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826B">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24"/>
          <w:szCs w:val="24"/>
          <w:highlight w:val="none"/>
          <w:lang w:eastAsia="zh-CN"/>
        </w:rPr>
      </w:pPr>
    </w:p>
    <w:p w14:paraId="42827A8E">
      <w:pPr>
        <w:rPr>
          <w:rFonts w:hint="eastAsia"/>
          <w:lang w:eastAsia="zh-CN"/>
        </w:rPr>
      </w:pPr>
    </w:p>
    <w:p w14:paraId="2BEC980B">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36"/>
          <w:szCs w:val="36"/>
          <w:highlight w:val="none"/>
          <w:lang w:eastAsia="zh-CN"/>
        </w:rPr>
      </w:pPr>
    </w:p>
    <w:p w14:paraId="3AAFACCF">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伽师县巴仁镇第四小学提升改造项目一标段（二次）</w:t>
      </w:r>
    </w:p>
    <w:p w14:paraId="427856D5">
      <w:pPr>
        <w:rPr>
          <w:rFonts w:hint="eastAsia" w:ascii="仿宋" w:hAnsi="仿宋" w:eastAsia="仿宋" w:cs="仿宋"/>
          <w:b/>
          <w:bCs/>
          <w:color w:val="auto"/>
          <w:spacing w:val="-4"/>
          <w:sz w:val="36"/>
          <w:szCs w:val="36"/>
          <w:highlight w:val="none"/>
          <w:lang w:eastAsia="zh-CN"/>
        </w:rPr>
      </w:pPr>
    </w:p>
    <w:p w14:paraId="5D7566E1">
      <w:pPr>
        <w:rPr>
          <w:rFonts w:hint="eastAsia" w:ascii="仿宋" w:hAnsi="仿宋" w:eastAsia="仿宋" w:cs="仿宋"/>
          <w:b/>
          <w:bCs/>
          <w:color w:val="auto"/>
          <w:spacing w:val="-4"/>
          <w:sz w:val="36"/>
          <w:szCs w:val="36"/>
          <w:highlight w:val="none"/>
          <w:lang w:eastAsia="zh-CN"/>
        </w:rPr>
      </w:pPr>
    </w:p>
    <w:p w14:paraId="6194522D">
      <w:pPr>
        <w:rPr>
          <w:rFonts w:hint="eastAsia" w:ascii="仿宋" w:hAnsi="仿宋" w:eastAsia="仿宋" w:cs="仿宋"/>
          <w:sz w:val="36"/>
          <w:szCs w:val="36"/>
          <w:lang w:eastAsia="zh-CN"/>
        </w:rPr>
      </w:pPr>
    </w:p>
    <w:p w14:paraId="7F8FC48F">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竞争性磋商文件</w:t>
      </w:r>
    </w:p>
    <w:p w14:paraId="397B850B">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51F586F3">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47CAF15A">
      <w:pPr>
        <w:pStyle w:val="2"/>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仿宋" w:hAnsi="仿宋" w:eastAsia="仿宋" w:cs="仿宋"/>
          <w:color w:val="auto"/>
          <w:sz w:val="36"/>
          <w:szCs w:val="36"/>
          <w:highlight w:val="none"/>
        </w:rPr>
      </w:pPr>
      <w:bookmarkStart w:id="0" w:name="_Toc5169"/>
      <w:bookmarkStart w:id="1" w:name="_Toc12463"/>
      <w:bookmarkStart w:id="2" w:name="_Toc16960"/>
      <w:r>
        <w:rPr>
          <w:rFonts w:hint="eastAsia" w:ascii="仿宋" w:hAnsi="仿宋" w:eastAsia="仿宋" w:cs="仿宋"/>
          <w:b/>
          <w:bCs/>
          <w:color w:val="auto"/>
          <w:spacing w:val="3"/>
          <w:sz w:val="36"/>
          <w:szCs w:val="36"/>
          <w:highlight w:val="none"/>
        </w:rPr>
        <w:t>第一册</w:t>
      </w:r>
      <w:bookmarkEnd w:id="0"/>
      <w:bookmarkEnd w:id="1"/>
      <w:bookmarkEnd w:id="2"/>
    </w:p>
    <w:p w14:paraId="4AE1BAF1">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45D7478A">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7AD5AC60">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4A1363C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0D2BF0C1">
      <w:pPr>
        <w:pStyle w:val="4"/>
        <w:rPr>
          <w:rFonts w:hint="eastAsia" w:ascii="仿宋" w:hAnsi="仿宋" w:eastAsia="仿宋" w:cs="仿宋"/>
          <w:color w:val="auto"/>
          <w:sz w:val="24"/>
          <w:szCs w:val="24"/>
          <w:highlight w:val="none"/>
        </w:rPr>
      </w:pPr>
    </w:p>
    <w:p w14:paraId="651CDAD1">
      <w:pPr>
        <w:rPr>
          <w:rFonts w:hint="eastAsia" w:ascii="仿宋" w:hAnsi="仿宋" w:eastAsia="仿宋" w:cs="仿宋"/>
        </w:rPr>
      </w:pPr>
    </w:p>
    <w:p w14:paraId="4E626406">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2C297BC">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E945A71">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highlight w:val="yellow"/>
          <w:lang w:val="en-US" w:eastAsia="zh-CN" w:bidi="ar-SA"/>
        </w:rPr>
      </w:pPr>
      <w:r>
        <w:rPr>
          <w:rFonts w:hint="eastAsia" w:ascii="仿宋" w:hAnsi="仿宋" w:eastAsia="仿宋" w:cs="仿宋"/>
          <w:b/>
          <w:kern w:val="2"/>
          <w:sz w:val="32"/>
          <w:szCs w:val="32"/>
          <w:lang w:val="en-US" w:eastAsia="zh-CN" w:bidi="ar-SA"/>
        </w:rPr>
        <w:t>项 目 编 号：KSJSX(CS)2025-25</w:t>
      </w:r>
    </w:p>
    <w:p w14:paraId="285171CB">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 购 单 位：伽师县教育局</w:t>
      </w:r>
    </w:p>
    <w:p w14:paraId="671493C6">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采购代理机构：伽师县政府采购中心</w:t>
      </w:r>
      <w:bookmarkStart w:id="420" w:name="_GoBack"/>
      <w:bookmarkEnd w:id="420"/>
    </w:p>
    <w:p w14:paraId="39A4E7AF">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发  出 日 期：2025年07月</w:t>
      </w:r>
    </w:p>
    <w:p w14:paraId="3434C0B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E38506D">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3C7955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05C02D5">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3BCF56F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77AC13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17A82BFF">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b/>
          <w:bCs/>
          <w:color w:val="auto"/>
          <w:sz w:val="24"/>
          <w:szCs w:val="24"/>
          <w:highlight w:val="none"/>
        </w:rPr>
      </w:pPr>
    </w:p>
    <w:p w14:paraId="7E8EFE9C">
      <w:pPr>
        <w:keepNext w:val="0"/>
        <w:keepLines w:val="0"/>
        <w:pageBreakBefore w:val="0"/>
        <w:widowControl/>
        <w:shd w:val="clear"/>
        <w:kinsoku w:val="0"/>
        <w:wordWrap/>
        <w:overflowPunct/>
        <w:topLinePunct w:val="0"/>
        <w:autoSpaceDE w:val="0"/>
        <w:autoSpaceDN w:val="0"/>
        <w:bidi w:val="0"/>
        <w:adjustRightInd w:val="0"/>
        <w:snapToGrid w:val="0"/>
        <w:spacing w:line="224" w:lineRule="auto"/>
        <w:jc w:val="both"/>
        <w:textAlignment w:val="baseline"/>
        <w:outlineLvl w:val="9"/>
        <w:rPr>
          <w:rFonts w:hint="eastAsia" w:ascii="仿宋" w:hAnsi="仿宋" w:eastAsia="仿宋" w:cs="仿宋"/>
          <w:color w:val="auto"/>
          <w:sz w:val="24"/>
          <w:szCs w:val="24"/>
          <w:highlight w:val="none"/>
        </w:rPr>
        <w:sectPr>
          <w:footerReference r:id="rId5" w:type="default"/>
          <w:pgSz w:w="11906" w:h="16839"/>
          <w:pgMar w:top="1431" w:right="1314" w:bottom="0" w:left="1247" w:header="0" w:footer="0" w:gutter="0"/>
          <w:pgNumType w:fmt="decimal"/>
          <w:cols w:space="720" w:num="1"/>
        </w:sectPr>
      </w:pPr>
    </w:p>
    <w:p w14:paraId="7FE9D062">
      <w:pPr>
        <w:spacing w:line="500" w:lineRule="exact"/>
        <w:jc w:val="center"/>
        <w:rPr>
          <w:rFonts w:hint="eastAsia" w:ascii="仿宋" w:hAnsi="仿宋" w:eastAsia="仿宋" w:cs="仿宋"/>
          <w:b/>
          <w:sz w:val="32"/>
          <w:szCs w:val="32"/>
          <w:highlight w:val="none"/>
        </w:rPr>
      </w:pPr>
      <w:bookmarkStart w:id="3" w:name="_Toc13671"/>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431885D6">
      <w:pPr>
        <w:pStyle w:val="16"/>
        <w:tabs>
          <w:tab w:val="right" w:leader="dot" w:pos="8426"/>
        </w:tabs>
        <w:rPr>
          <w:rFonts w:hint="eastAsia" w:ascii="仿宋" w:hAnsi="仿宋" w:eastAsia="仿宋" w:cs="仿宋"/>
          <w:sz w:val="24"/>
          <w:szCs w:val="24"/>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\l _Toc4397 </w:instrText>
      </w:r>
      <w:r>
        <w:rPr>
          <w:rFonts w:hint="eastAsia" w:ascii="仿宋" w:hAnsi="仿宋" w:eastAsia="仿宋" w:cs="仿宋"/>
          <w:kern w:val="0"/>
          <w:sz w:val="24"/>
          <w:szCs w:val="24"/>
          <w:highlight w:val="none"/>
        </w:rPr>
        <w:fldChar w:fldCharType="separate"/>
      </w:r>
      <w:r>
        <w:rPr>
          <w:rFonts w:hint="eastAsia" w:ascii="仿宋" w:hAnsi="仿宋" w:eastAsia="仿宋" w:cs="仿宋"/>
          <w:sz w:val="24"/>
          <w:szCs w:val="24"/>
          <w:lang w:eastAsia="zh-CN"/>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kern w:val="0"/>
          <w:sz w:val="24"/>
          <w:szCs w:val="24"/>
          <w:highlight w:val="none"/>
        </w:rPr>
        <w:fldChar w:fldCharType="end"/>
      </w:r>
    </w:p>
    <w:p w14:paraId="7D447604">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_Toc5210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10551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_Toc11269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1.采购人、采购代理机构及供应商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E201B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_Toc9438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C1E9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51AA77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_Toc18996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E7704C">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_Toc27286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   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71CF26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5.磋商文件构成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905FB0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6.磋商文件的澄清与修改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E9591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_Toc18620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7.投标截止时间的顺延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BBC3BB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_Toc21929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_Toc21929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C29883">
      <w:pPr>
        <w:pStyle w:val="11"/>
        <w:tabs>
          <w:tab w:val="right" w:pos="3200"/>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_Toc25618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投标范围及响应文件中标准和计量单位的使用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_Toc25618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960CD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9.响应文件构成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8D8C3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11.磋商报价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A04646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_Toc18536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12.磋商保证金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D6DFC0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13.磋商有效期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87229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14.响应文件的签署及规定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5265831">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 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15315B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_Toc7922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15.响应文件的密封和标记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6ABE95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16.磋商截止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48193A">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17.响应文件的接收、修改与撤回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D62C526">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 磋商开启及评审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5FEE44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18.磋商开启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D643E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19.资格审查及组建评审委员会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_Toc17693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357666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20.响应文件的符合性审查与澄清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_Toc21962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43DD6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_Toc4421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21.响应偏离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_Toc4421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24A4F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22.响应无效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25AFA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_Toc12097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23.比较与评价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F66D6E9">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948B8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_Toc13534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25.保密原则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651EBA">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5AAAD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26.中标候选人的确定原则及标准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8139B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27.确定中标候选人和中标人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5CB73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28.采购任务取消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_Toc15094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1D5B12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29.中标通知书和招标结果通知书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_Toc27755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F7F018">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9C19C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105FA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33.政府采购信用担保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F287D8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_Toc5697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34.廉洁自律规定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_Toc5697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EEA65E">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35.人员回避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BF311E3">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36.质疑与接收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DB4F4A">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第二章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_Toc13694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E30A6F2">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第一部分 开标一览表及资格证明文件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C457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 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50FB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_Toc4516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2 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9C9E1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_Toc9747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3 政府采购投标及履约承诺函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_Toc9747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93B107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_Toc27057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4 施工单位工程质量终身责任承诺书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65B77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_Toc20160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5 施工单位工程安全生产承诺书(法定代表人)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0CF16E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6 法定代表人身份证明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81ED33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7 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367861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_Toc5461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8 投标保证金缴纳凭证复印件或银行保函复印件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_Toc5461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45A7F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_Toc20524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9-1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_Toc20524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148D295">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_Toc23027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9-2  （监狱企业适用）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_Toc23027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4141A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_Toc18475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9-3  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_Toc18475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D49776">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_Toc27533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10 投标单位（供应商）针对本次项目《反商业贿赂承诺书》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_Toc27533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F36AF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_Toc17718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11 参加政府采购活动前3年内在经营活动中没有重大违法记录的书面声明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_Toc17718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2785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_Toc763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12 供应商须知资料表要求的其他资格证明文件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_Toc763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435487">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_Toc26330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13 近3年发生的被申请强制执行，未履行诉讼及仲裁生效法律文书的情况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_Toc26330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C31E409">
      <w:pPr>
        <w:pStyle w:val="19"/>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第二部分  商务及技术文件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8EFB2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1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F30CAB">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_Toc20819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2 磋商分项报价表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_Toc20819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E390D1">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_Toc15749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3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_Toc15749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E5E9DC">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_Toc12171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4 供应商关联单位的说明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9022BF2">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_Toc27029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5 附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_Toc27029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E8346C4">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6 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_Toc12118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4D18EF">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7 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064500">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_Toc16478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8 已标价的工程量清单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_Toc16478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5CEADD">
      <w:pPr>
        <w:pStyle w:val="11"/>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9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_Toc21859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7AC3280">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_Toc3163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第三章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_Toc3163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5F0AB7">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_Toc27597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第四章 投标人须知资料表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_Toc27597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B0EFD06">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_Toc19734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lang w:val="en-US" w:eastAsia="zh-CN" w:bidi="ar"/>
        </w:rPr>
        <w:t xml:space="preserve">第五章 </w:t>
      </w:r>
      <w:r>
        <w:rPr>
          <w:rFonts w:hint="eastAsia" w:ascii="仿宋" w:hAnsi="仿宋" w:eastAsia="仿宋" w:cs="仿宋"/>
          <w:snapToGrid w:val="0"/>
          <w:kern w:val="44"/>
          <w:sz w:val="24"/>
          <w:szCs w:val="24"/>
          <w:lang w:val="en-US" w:eastAsia="zh-CN" w:bidi="ar-SA"/>
        </w:rPr>
        <w:t>工程量清单详见附件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B95173">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_Toc17489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第六章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_Toc17489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549EF94">
      <w:pPr>
        <w:pStyle w:val="16"/>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_Toc32652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第七章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_Toc32652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24003FE">
      <w:pPr>
        <w:pStyle w:val="4"/>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fldChar w:fldCharType="end"/>
      </w:r>
      <w:bookmarkEnd w:id="3"/>
    </w:p>
    <w:p w14:paraId="7E8B4414">
      <w:pPr>
        <w:pStyle w:val="3"/>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4" w:name="_Toc23687"/>
      <w:bookmarkStart w:id="5" w:name="_Toc10724"/>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4"/>
      <w:bookmarkEnd w:id="5"/>
    </w:p>
    <w:p w14:paraId="330418DA">
      <w:pPr>
        <w:pStyle w:val="4"/>
        <w:spacing w:before="0" w:line="340" w:lineRule="exact"/>
        <w:ind w:left="1080" w:leftChars="257" w:hanging="540"/>
        <w:rPr>
          <w:rFonts w:hint="eastAsia" w:ascii="仿宋" w:hAnsi="仿宋" w:eastAsia="仿宋" w:cs="仿宋"/>
          <w:sz w:val="24"/>
          <w:szCs w:val="24"/>
          <w:highlight w:val="none"/>
        </w:rPr>
      </w:pPr>
      <w:bookmarkStart w:id="6" w:name="_Toc12173"/>
      <w:r>
        <w:rPr>
          <w:rFonts w:hint="eastAsia" w:ascii="仿宋" w:hAnsi="仿宋" w:eastAsia="仿宋" w:cs="仿宋"/>
          <w:b w:val="0"/>
          <w:bCs/>
          <w:sz w:val="24"/>
          <w:szCs w:val="24"/>
          <w:highlight w:val="none"/>
        </w:rPr>
        <w:t>一 总  则</w:t>
      </w:r>
      <w:bookmarkEnd w:id="6"/>
    </w:p>
    <w:p w14:paraId="2D6C34B7">
      <w:pPr>
        <w:pStyle w:val="5"/>
        <w:spacing w:before="0" w:after="0" w:line="340" w:lineRule="exact"/>
        <w:rPr>
          <w:rFonts w:hint="eastAsia" w:ascii="仿宋" w:hAnsi="仿宋" w:eastAsia="仿宋" w:cs="仿宋"/>
          <w:sz w:val="24"/>
          <w:szCs w:val="24"/>
          <w:highlight w:val="none"/>
        </w:rPr>
      </w:pPr>
    </w:p>
    <w:p w14:paraId="22B2E143">
      <w:pPr>
        <w:pStyle w:val="5"/>
        <w:spacing w:before="0" w:after="0" w:line="340" w:lineRule="exact"/>
        <w:rPr>
          <w:rFonts w:hint="eastAsia" w:ascii="仿宋" w:hAnsi="仿宋" w:eastAsia="仿宋" w:cs="仿宋"/>
          <w:sz w:val="24"/>
          <w:szCs w:val="24"/>
          <w:highlight w:val="none"/>
        </w:rPr>
      </w:pPr>
      <w:bookmarkStart w:id="7" w:name="_Toc30069"/>
      <w:r>
        <w:rPr>
          <w:rFonts w:hint="eastAsia" w:ascii="仿宋" w:hAnsi="仿宋" w:eastAsia="仿宋" w:cs="仿宋"/>
          <w:sz w:val="24"/>
          <w:szCs w:val="24"/>
          <w:highlight w:val="none"/>
        </w:rPr>
        <w:t>1.采购人、采购代理机构及供应商</w:t>
      </w:r>
      <w:bookmarkEnd w:id="7"/>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5"/>
        <w:spacing w:before="0" w:after="0" w:line="340" w:lineRule="exact"/>
        <w:rPr>
          <w:rFonts w:hint="eastAsia" w:ascii="仿宋" w:hAnsi="仿宋" w:eastAsia="仿宋" w:cs="仿宋"/>
          <w:sz w:val="24"/>
          <w:szCs w:val="24"/>
          <w:highlight w:val="none"/>
        </w:rPr>
      </w:pPr>
      <w:bookmarkStart w:id="8" w:name="_Toc22082"/>
      <w:bookmarkStart w:id="9" w:name="_Toc101"/>
      <w:bookmarkStart w:id="10" w:name="_Toc518923062"/>
      <w:r>
        <w:rPr>
          <w:rFonts w:hint="eastAsia" w:ascii="仿宋" w:hAnsi="仿宋" w:eastAsia="仿宋" w:cs="仿宋"/>
          <w:sz w:val="24"/>
          <w:szCs w:val="24"/>
          <w:highlight w:val="none"/>
        </w:rPr>
        <w:t>2.资金来源</w:t>
      </w:r>
      <w:bookmarkEnd w:id="8"/>
      <w:bookmarkEnd w:id="9"/>
      <w:bookmarkEnd w:id="10"/>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5"/>
        <w:spacing w:before="0" w:after="0" w:line="340" w:lineRule="exact"/>
        <w:rPr>
          <w:rFonts w:hint="eastAsia" w:ascii="仿宋" w:hAnsi="仿宋" w:eastAsia="仿宋" w:cs="仿宋"/>
          <w:sz w:val="24"/>
          <w:szCs w:val="24"/>
          <w:highlight w:val="none"/>
        </w:rPr>
      </w:pPr>
      <w:bookmarkStart w:id="11" w:name="_Toc520356145"/>
      <w:bookmarkStart w:id="12" w:name="_Toc518923063"/>
      <w:bookmarkStart w:id="13" w:name="_Toc14016"/>
      <w:bookmarkStart w:id="14" w:name="_Toc6628"/>
      <w:r>
        <w:rPr>
          <w:rFonts w:hint="eastAsia" w:ascii="仿宋" w:hAnsi="仿宋" w:eastAsia="仿宋" w:cs="仿宋"/>
          <w:sz w:val="24"/>
          <w:szCs w:val="24"/>
          <w:highlight w:val="none"/>
        </w:rPr>
        <w:t>3.投标费用</w:t>
      </w:r>
      <w:bookmarkEnd w:id="11"/>
      <w:bookmarkEnd w:id="12"/>
      <w:bookmarkEnd w:id="13"/>
      <w:bookmarkEnd w:id="14"/>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5"/>
        <w:spacing w:before="0" w:after="0" w:line="340" w:lineRule="exact"/>
        <w:rPr>
          <w:rFonts w:hint="eastAsia" w:ascii="仿宋" w:hAnsi="仿宋" w:eastAsia="仿宋" w:cs="仿宋"/>
          <w:sz w:val="24"/>
          <w:szCs w:val="24"/>
          <w:highlight w:val="none"/>
        </w:rPr>
      </w:pPr>
      <w:bookmarkStart w:id="15" w:name="_Toc2984"/>
      <w:bookmarkStart w:id="16" w:name="_Toc32072"/>
      <w:bookmarkStart w:id="17" w:name="_Toc518923064"/>
      <w:r>
        <w:rPr>
          <w:rFonts w:hint="eastAsia" w:ascii="仿宋" w:hAnsi="仿宋" w:eastAsia="仿宋" w:cs="仿宋"/>
          <w:sz w:val="24"/>
          <w:szCs w:val="24"/>
          <w:highlight w:val="none"/>
        </w:rPr>
        <w:t>4.适用法律</w:t>
      </w:r>
      <w:bookmarkEnd w:id="15"/>
      <w:bookmarkEnd w:id="16"/>
      <w:bookmarkEnd w:id="17"/>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4"/>
        <w:spacing w:before="0" w:line="340" w:lineRule="exact"/>
        <w:ind w:left="1080" w:leftChars="257" w:hanging="540"/>
        <w:rPr>
          <w:rFonts w:hint="eastAsia" w:ascii="仿宋" w:hAnsi="仿宋" w:eastAsia="仿宋" w:cs="仿宋"/>
          <w:sz w:val="24"/>
          <w:szCs w:val="24"/>
          <w:highlight w:val="none"/>
        </w:rPr>
      </w:pPr>
      <w:bookmarkStart w:id="18" w:name="_Toc24472"/>
      <w:bookmarkStart w:id="19" w:name="_Toc520356146"/>
      <w:bookmarkStart w:id="20" w:name="_Toc518923065"/>
      <w:bookmarkStart w:id="21" w:name="_Toc14280"/>
      <w:bookmarkStart w:id="22" w:name="_Toc216582806"/>
      <w:r>
        <w:rPr>
          <w:rFonts w:hint="eastAsia" w:ascii="仿宋" w:hAnsi="仿宋" w:eastAsia="仿宋" w:cs="仿宋"/>
          <w:sz w:val="24"/>
          <w:szCs w:val="24"/>
          <w:highlight w:val="none"/>
        </w:rPr>
        <w:t>二   磋商文件</w:t>
      </w:r>
      <w:bookmarkEnd w:id="18"/>
      <w:bookmarkEnd w:id="19"/>
      <w:bookmarkEnd w:id="20"/>
      <w:bookmarkEnd w:id="21"/>
      <w:bookmarkEnd w:id="22"/>
    </w:p>
    <w:p w14:paraId="5C0652EF">
      <w:pPr>
        <w:pStyle w:val="7"/>
        <w:spacing w:line="340" w:lineRule="exact"/>
        <w:rPr>
          <w:rFonts w:hint="eastAsia" w:ascii="仿宋" w:hAnsi="仿宋" w:eastAsia="仿宋" w:cs="仿宋"/>
          <w:sz w:val="24"/>
          <w:szCs w:val="24"/>
          <w:highlight w:val="none"/>
        </w:rPr>
      </w:pPr>
    </w:p>
    <w:p w14:paraId="46FD6B05">
      <w:pPr>
        <w:pStyle w:val="5"/>
        <w:spacing w:before="0" w:after="0" w:line="340" w:lineRule="exact"/>
        <w:rPr>
          <w:rFonts w:hint="eastAsia" w:ascii="仿宋" w:hAnsi="仿宋" w:eastAsia="仿宋" w:cs="仿宋"/>
          <w:sz w:val="24"/>
          <w:szCs w:val="24"/>
          <w:highlight w:val="none"/>
        </w:rPr>
      </w:pPr>
      <w:bookmarkStart w:id="23" w:name="_Toc14994"/>
      <w:bookmarkStart w:id="24" w:name="_Toc520356147"/>
      <w:bookmarkStart w:id="25" w:name="_Toc3360"/>
      <w:bookmarkStart w:id="26" w:name="_Toc518923066"/>
      <w:r>
        <w:rPr>
          <w:rFonts w:hint="eastAsia" w:ascii="仿宋" w:hAnsi="仿宋" w:eastAsia="仿宋" w:cs="仿宋"/>
          <w:sz w:val="24"/>
          <w:szCs w:val="24"/>
          <w:highlight w:val="none"/>
        </w:rPr>
        <w:t>5.磋商文件构成</w:t>
      </w:r>
      <w:bookmarkEnd w:id="23"/>
      <w:bookmarkEnd w:id="24"/>
      <w:bookmarkEnd w:id="25"/>
      <w:bookmarkEnd w:id="26"/>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服务需求</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5"/>
        <w:spacing w:before="0" w:after="0" w:line="340" w:lineRule="exact"/>
        <w:rPr>
          <w:rFonts w:hint="eastAsia" w:ascii="仿宋" w:hAnsi="仿宋" w:eastAsia="仿宋" w:cs="仿宋"/>
          <w:sz w:val="24"/>
          <w:szCs w:val="24"/>
          <w:highlight w:val="none"/>
        </w:rPr>
      </w:pPr>
      <w:bookmarkStart w:id="27" w:name="_Toc520356148"/>
      <w:bookmarkStart w:id="28" w:name="_Toc25742"/>
      <w:bookmarkStart w:id="29" w:name="_Toc518923067"/>
      <w:bookmarkStart w:id="30" w:name="_Toc14946"/>
      <w:r>
        <w:rPr>
          <w:rFonts w:hint="eastAsia" w:ascii="仿宋" w:hAnsi="仿宋" w:eastAsia="仿宋" w:cs="仿宋"/>
          <w:sz w:val="24"/>
          <w:szCs w:val="24"/>
          <w:highlight w:val="none"/>
        </w:rPr>
        <w:t>6.磋商文件的澄清</w:t>
      </w:r>
      <w:bookmarkEnd w:id="27"/>
      <w:r>
        <w:rPr>
          <w:rFonts w:hint="eastAsia" w:ascii="仿宋" w:hAnsi="仿宋" w:eastAsia="仿宋" w:cs="仿宋"/>
          <w:sz w:val="24"/>
          <w:szCs w:val="24"/>
          <w:highlight w:val="none"/>
        </w:rPr>
        <w:t>与修改</w:t>
      </w:r>
      <w:bookmarkEnd w:id="28"/>
      <w:bookmarkEnd w:id="29"/>
      <w:bookmarkEnd w:id="30"/>
    </w:p>
    <w:p w14:paraId="7BCF3FD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7"/>
        <w:spacing w:line="340" w:lineRule="exact"/>
        <w:ind w:left="840" w:hanging="840" w:hangingChars="350"/>
        <w:rPr>
          <w:rFonts w:hint="eastAsia" w:ascii="仿宋" w:hAnsi="仿宋" w:eastAsia="仿宋" w:cs="仿宋"/>
          <w:sz w:val="24"/>
          <w:szCs w:val="24"/>
          <w:highlight w:val="none"/>
        </w:rPr>
      </w:pPr>
      <w:bookmarkStart w:id="31" w:name="_Toc520356149"/>
      <w:bookmarkStart w:id="32" w:name="_Ref467378678"/>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7"/>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5"/>
        <w:spacing w:before="0" w:after="0" w:line="340" w:lineRule="exact"/>
        <w:rPr>
          <w:rFonts w:hint="eastAsia" w:ascii="仿宋" w:hAnsi="仿宋" w:eastAsia="仿宋" w:cs="仿宋"/>
          <w:sz w:val="24"/>
          <w:szCs w:val="24"/>
          <w:highlight w:val="none"/>
        </w:rPr>
      </w:pPr>
      <w:bookmarkStart w:id="33" w:name="_Toc26082"/>
      <w:bookmarkStart w:id="34" w:name="_Toc518923068"/>
      <w:bookmarkStart w:id="35" w:name="_Toc2396"/>
      <w:r>
        <w:rPr>
          <w:rFonts w:hint="eastAsia" w:ascii="仿宋" w:hAnsi="仿宋" w:eastAsia="仿宋" w:cs="仿宋"/>
          <w:sz w:val="24"/>
          <w:szCs w:val="24"/>
          <w:highlight w:val="none"/>
        </w:rPr>
        <w:t>7</w:t>
      </w:r>
      <w:bookmarkEnd w:id="31"/>
      <w:bookmarkEnd w:id="32"/>
      <w:r>
        <w:rPr>
          <w:rFonts w:hint="eastAsia" w:ascii="仿宋" w:hAnsi="仿宋" w:eastAsia="仿宋" w:cs="仿宋"/>
          <w:sz w:val="24"/>
          <w:szCs w:val="24"/>
          <w:highlight w:val="none"/>
        </w:rPr>
        <w:t>.投标截止时间的顺延</w:t>
      </w:r>
      <w:bookmarkEnd w:id="33"/>
      <w:bookmarkEnd w:id="34"/>
      <w:bookmarkEnd w:id="35"/>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36" w:name="_Toc516367020"/>
      <w:bookmarkStart w:id="37" w:name="_Toc15458"/>
      <w:bookmarkStart w:id="38" w:name="_Toc518923069"/>
      <w:bookmarkStart w:id="39" w:name="_Toc5118"/>
      <w:bookmarkStart w:id="40" w:name="_Toc216582807"/>
      <w:bookmarkStart w:id="41" w:name="_Toc520356150"/>
      <w:r>
        <w:rPr>
          <w:rFonts w:hint="eastAsia" w:ascii="仿宋" w:hAnsi="仿宋" w:eastAsia="仿宋" w:cs="仿宋"/>
          <w:sz w:val="24"/>
          <w:szCs w:val="24"/>
          <w:highlight w:val="none"/>
        </w:rPr>
        <w:t xml:space="preserve">三   </w:t>
      </w:r>
      <w:bookmarkEnd w:id="36"/>
      <w:r>
        <w:rPr>
          <w:rFonts w:hint="eastAsia" w:ascii="仿宋" w:hAnsi="仿宋" w:eastAsia="仿宋" w:cs="仿宋"/>
          <w:sz w:val="24"/>
          <w:szCs w:val="24"/>
          <w:highlight w:val="none"/>
        </w:rPr>
        <w:t>响应文件的编制</w:t>
      </w:r>
      <w:bookmarkEnd w:id="37"/>
      <w:bookmarkEnd w:id="38"/>
      <w:bookmarkEnd w:id="39"/>
      <w:bookmarkEnd w:id="40"/>
      <w:bookmarkEnd w:id="41"/>
    </w:p>
    <w:p w14:paraId="7012E35F">
      <w:pPr>
        <w:pStyle w:val="7"/>
        <w:spacing w:line="340" w:lineRule="exact"/>
        <w:rPr>
          <w:rFonts w:hint="eastAsia" w:ascii="仿宋" w:hAnsi="仿宋" w:eastAsia="仿宋" w:cs="仿宋"/>
          <w:sz w:val="24"/>
          <w:szCs w:val="24"/>
          <w:highlight w:val="none"/>
        </w:rPr>
      </w:pPr>
    </w:p>
    <w:p w14:paraId="39D9FCB6">
      <w:pPr>
        <w:pStyle w:val="5"/>
        <w:tabs>
          <w:tab w:val="left" w:pos="900"/>
        </w:tabs>
        <w:spacing w:before="0" w:after="0" w:line="340" w:lineRule="exact"/>
        <w:rPr>
          <w:rFonts w:hint="eastAsia" w:ascii="仿宋" w:hAnsi="仿宋" w:eastAsia="仿宋" w:cs="仿宋"/>
          <w:sz w:val="24"/>
          <w:szCs w:val="24"/>
          <w:highlight w:val="none"/>
          <w:u w:val="none"/>
        </w:rPr>
      </w:pPr>
      <w:bookmarkStart w:id="42" w:name="_Toc25058"/>
      <w:bookmarkStart w:id="43" w:name="_Toc520356151"/>
      <w:bookmarkStart w:id="44" w:name="_Toc22674"/>
      <w:bookmarkStart w:id="45" w:name="_Toc518923070"/>
      <w:bookmarkStart w:id="46" w:name="_Toc516367021"/>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42"/>
      <w:bookmarkEnd w:id="43"/>
      <w:bookmarkEnd w:id="44"/>
      <w:bookmarkEnd w:id="45"/>
      <w:bookmarkEnd w:id="46"/>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5"/>
        <w:tabs>
          <w:tab w:val="left" w:pos="900"/>
        </w:tabs>
        <w:spacing w:before="0" w:after="0" w:line="340" w:lineRule="exact"/>
        <w:rPr>
          <w:rFonts w:hint="eastAsia" w:ascii="仿宋" w:hAnsi="仿宋" w:eastAsia="仿宋" w:cs="仿宋"/>
          <w:sz w:val="24"/>
          <w:szCs w:val="24"/>
          <w:highlight w:val="none"/>
          <w:u w:val="none"/>
        </w:rPr>
      </w:pPr>
      <w:bookmarkStart w:id="47" w:name="_Ref467306195"/>
      <w:bookmarkStart w:id="48" w:name="_Toc516367022"/>
      <w:bookmarkStart w:id="49" w:name="_Ref467306676"/>
      <w:bookmarkStart w:id="50" w:name="_Toc6749"/>
      <w:bookmarkStart w:id="51" w:name="_Toc520356152"/>
      <w:bookmarkStart w:id="52" w:name="_Toc11915"/>
      <w:bookmarkStart w:id="53" w:name="_Toc518923071"/>
      <w:r>
        <w:rPr>
          <w:rFonts w:hint="eastAsia" w:ascii="仿宋" w:hAnsi="仿宋" w:eastAsia="仿宋" w:cs="仿宋"/>
          <w:sz w:val="24"/>
          <w:szCs w:val="24"/>
          <w:highlight w:val="none"/>
          <w:u w:val="none"/>
        </w:rPr>
        <w:t>9.</w:t>
      </w:r>
      <w:bookmarkEnd w:id="47"/>
      <w:bookmarkEnd w:id="48"/>
      <w:bookmarkEnd w:id="49"/>
      <w:r>
        <w:rPr>
          <w:rFonts w:hint="eastAsia" w:ascii="仿宋" w:hAnsi="仿宋" w:eastAsia="仿宋" w:cs="仿宋"/>
          <w:sz w:val="24"/>
          <w:szCs w:val="24"/>
          <w:highlight w:val="none"/>
          <w:u w:val="none"/>
        </w:rPr>
        <w:t>响应文件构成</w:t>
      </w:r>
      <w:bookmarkEnd w:id="50"/>
      <w:bookmarkEnd w:id="51"/>
      <w:bookmarkEnd w:id="52"/>
      <w:bookmarkEnd w:id="53"/>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54" w:name="_Ref467052588"/>
      <w:r>
        <w:rPr>
          <w:rFonts w:hint="eastAsia" w:ascii="仿宋" w:hAnsi="仿宋" w:eastAsia="仿宋" w:cs="仿宋"/>
          <w:sz w:val="24"/>
          <w:szCs w:val="24"/>
          <w:highlight w:val="none"/>
        </w:rPr>
        <w:t xml:space="preserve">9.1    </w:t>
      </w:r>
      <w:bookmarkEnd w:id="54"/>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55"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56"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56"/>
      <w:r>
        <w:rPr>
          <w:rFonts w:hint="eastAsia" w:ascii="仿宋" w:hAnsi="仿宋" w:eastAsia="仿宋" w:cs="仿宋"/>
          <w:kern w:val="0"/>
          <w:sz w:val="24"/>
          <w:szCs w:val="24"/>
          <w:highlight w:val="none"/>
        </w:rPr>
        <w:t>。</w:t>
      </w:r>
    </w:p>
    <w:p w14:paraId="4E9438D7">
      <w:pPr>
        <w:pStyle w:val="7"/>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5"/>
        <w:spacing w:before="0" w:after="0" w:line="340" w:lineRule="exact"/>
        <w:rPr>
          <w:rFonts w:hint="eastAsia" w:ascii="仿宋" w:hAnsi="仿宋" w:eastAsia="仿宋" w:cs="仿宋"/>
          <w:sz w:val="24"/>
          <w:szCs w:val="24"/>
          <w:highlight w:val="none"/>
          <w:u w:val="none"/>
        </w:rPr>
      </w:pPr>
      <w:bookmarkStart w:id="57" w:name="_Toc518923073"/>
      <w:bookmarkStart w:id="58" w:name="_Toc20532"/>
      <w:bookmarkStart w:id="59" w:name="_Toc2024"/>
      <w:r>
        <w:rPr>
          <w:rFonts w:hint="eastAsia" w:ascii="仿宋" w:hAnsi="仿宋" w:eastAsia="仿宋" w:cs="仿宋"/>
          <w:sz w:val="24"/>
          <w:szCs w:val="24"/>
          <w:highlight w:val="none"/>
          <w:u w:val="none"/>
        </w:rPr>
        <w:t>11.磋商报价</w:t>
      </w:r>
      <w:bookmarkEnd w:id="55"/>
      <w:bookmarkEnd w:id="57"/>
      <w:bookmarkEnd w:id="58"/>
      <w:bookmarkEnd w:id="59"/>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5"/>
        <w:spacing w:before="0" w:after="0" w:line="340" w:lineRule="exact"/>
        <w:rPr>
          <w:rFonts w:hint="eastAsia" w:ascii="仿宋" w:hAnsi="仿宋" w:eastAsia="仿宋" w:cs="仿宋"/>
          <w:sz w:val="24"/>
          <w:szCs w:val="24"/>
          <w:highlight w:val="none"/>
          <w:u w:val="none"/>
        </w:rPr>
      </w:pPr>
      <w:bookmarkStart w:id="60" w:name="_Ref467306513"/>
      <w:bookmarkStart w:id="61" w:name="_Toc1152"/>
      <w:bookmarkStart w:id="62" w:name="_Toc518923074"/>
      <w:bookmarkStart w:id="63" w:name="_Toc520356156"/>
      <w:bookmarkStart w:id="64" w:name="_Toc5228"/>
      <w:r>
        <w:rPr>
          <w:rFonts w:hint="eastAsia" w:ascii="仿宋" w:hAnsi="仿宋" w:eastAsia="仿宋" w:cs="仿宋"/>
          <w:sz w:val="24"/>
          <w:szCs w:val="24"/>
          <w:highlight w:val="none"/>
          <w:u w:val="none"/>
        </w:rPr>
        <w:t>12.磋商保证金</w:t>
      </w:r>
      <w:bookmarkEnd w:id="60"/>
      <w:bookmarkEnd w:id="61"/>
      <w:bookmarkEnd w:id="62"/>
      <w:bookmarkEnd w:id="63"/>
      <w:bookmarkEnd w:id="64"/>
    </w:p>
    <w:p w14:paraId="54C06414">
      <w:pPr>
        <w:spacing w:line="340" w:lineRule="exact"/>
        <w:ind w:left="900" w:hanging="900" w:hangingChars="375"/>
        <w:rPr>
          <w:rFonts w:hint="eastAsia" w:ascii="仿宋" w:hAnsi="仿宋" w:eastAsia="仿宋" w:cs="仿宋"/>
          <w:sz w:val="24"/>
          <w:szCs w:val="24"/>
          <w:highlight w:val="none"/>
        </w:rPr>
      </w:pPr>
      <w:bookmarkStart w:id="65" w:name="_Ref467306302"/>
      <w:r>
        <w:rPr>
          <w:rFonts w:hint="eastAsia" w:ascii="仿宋" w:hAnsi="仿宋" w:eastAsia="仿宋" w:cs="仿宋"/>
          <w:sz w:val="24"/>
          <w:szCs w:val="24"/>
          <w:highlight w:val="none"/>
        </w:rPr>
        <w:t>12.1</w:t>
      </w:r>
      <w:bookmarkEnd w:id="65"/>
      <w:bookmarkStart w:id="66"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67"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67"/>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68"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68"/>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5"/>
        <w:spacing w:before="0" w:after="0" w:line="340" w:lineRule="exact"/>
        <w:rPr>
          <w:rFonts w:hint="eastAsia" w:ascii="仿宋" w:hAnsi="仿宋" w:eastAsia="仿宋" w:cs="仿宋"/>
          <w:sz w:val="24"/>
          <w:szCs w:val="24"/>
          <w:highlight w:val="none"/>
          <w:u w:val="none"/>
        </w:rPr>
      </w:pPr>
      <w:bookmarkStart w:id="69" w:name="_Toc518923076"/>
      <w:bookmarkStart w:id="70" w:name="_Toc520356157"/>
      <w:bookmarkStart w:id="71" w:name="_Toc24701"/>
      <w:bookmarkStart w:id="72" w:name="_Toc11106_WPSOffice_Level2"/>
      <w:bookmarkStart w:id="73" w:name="_Toc20571"/>
      <w:bookmarkStart w:id="74" w:name="_Toc4716_WPSOffice_Level2"/>
      <w:r>
        <w:rPr>
          <w:rFonts w:hint="eastAsia" w:ascii="仿宋" w:hAnsi="仿宋" w:eastAsia="仿宋" w:cs="仿宋"/>
          <w:sz w:val="24"/>
          <w:szCs w:val="24"/>
          <w:highlight w:val="none"/>
          <w:u w:val="none"/>
        </w:rPr>
        <w:t>13.</w:t>
      </w:r>
      <w:bookmarkEnd w:id="69"/>
      <w:bookmarkEnd w:id="70"/>
      <w:r>
        <w:rPr>
          <w:rFonts w:hint="eastAsia" w:ascii="仿宋" w:hAnsi="仿宋" w:eastAsia="仿宋" w:cs="仿宋"/>
          <w:sz w:val="24"/>
          <w:szCs w:val="24"/>
          <w:highlight w:val="none"/>
          <w:u w:val="none"/>
        </w:rPr>
        <w:t>磋商有效期</w:t>
      </w:r>
      <w:bookmarkEnd w:id="71"/>
      <w:bookmarkEnd w:id="72"/>
      <w:bookmarkEnd w:id="73"/>
      <w:bookmarkEnd w:id="74"/>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5"/>
        <w:spacing w:before="0" w:after="0" w:line="400" w:lineRule="exact"/>
        <w:rPr>
          <w:rFonts w:hint="eastAsia" w:ascii="仿宋" w:hAnsi="仿宋" w:eastAsia="仿宋" w:cs="仿宋"/>
          <w:bCs/>
          <w:kern w:val="2"/>
          <w:sz w:val="24"/>
          <w:szCs w:val="24"/>
          <w:highlight w:val="none"/>
          <w:u w:val="none"/>
        </w:rPr>
      </w:pPr>
      <w:bookmarkStart w:id="75" w:name="_Toc520356158"/>
      <w:bookmarkStart w:id="76" w:name="_Toc13036"/>
      <w:bookmarkStart w:id="77" w:name="_Toc13034_WPSOffice_Level2"/>
      <w:bookmarkStart w:id="78" w:name="_Toc13883"/>
      <w:bookmarkStart w:id="79" w:name="_Toc518923077"/>
      <w:bookmarkStart w:id="80" w:name="_Toc31308_WPSOffice_Level2"/>
      <w:r>
        <w:rPr>
          <w:rFonts w:hint="eastAsia" w:ascii="仿宋" w:hAnsi="仿宋" w:eastAsia="仿宋" w:cs="仿宋"/>
          <w:sz w:val="24"/>
          <w:szCs w:val="24"/>
          <w:highlight w:val="none"/>
          <w:u w:val="none"/>
        </w:rPr>
        <w:t>14.响应文件的签署</w:t>
      </w:r>
      <w:bookmarkEnd w:id="75"/>
      <w:r>
        <w:rPr>
          <w:rFonts w:hint="eastAsia" w:ascii="仿宋" w:hAnsi="仿宋" w:eastAsia="仿宋" w:cs="仿宋"/>
          <w:sz w:val="24"/>
          <w:szCs w:val="24"/>
          <w:highlight w:val="none"/>
          <w:u w:val="none"/>
        </w:rPr>
        <w:t>及规定</w:t>
      </w:r>
      <w:bookmarkEnd w:id="76"/>
      <w:bookmarkEnd w:id="77"/>
      <w:bookmarkEnd w:id="78"/>
      <w:bookmarkEnd w:id="79"/>
      <w:bookmarkEnd w:id="80"/>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81" w:name="_Toc23875"/>
      <w:bookmarkStart w:id="82" w:name="_Toc9633"/>
      <w:bookmarkStart w:id="83" w:name="_Toc216582808"/>
      <w:bookmarkStart w:id="84" w:name="_Toc520356159"/>
      <w:bookmarkStart w:id="85" w:name="_Toc30674_WPSOffice_Level1"/>
      <w:bookmarkStart w:id="86" w:name="_Toc13659"/>
      <w:bookmarkStart w:id="87" w:name="_Toc518923078"/>
      <w:r>
        <w:rPr>
          <w:rFonts w:hint="eastAsia" w:ascii="仿宋" w:hAnsi="仿宋" w:eastAsia="仿宋" w:cs="仿宋"/>
          <w:sz w:val="24"/>
          <w:szCs w:val="24"/>
          <w:highlight w:val="none"/>
        </w:rPr>
        <w:t>四 响应文件的递交</w:t>
      </w:r>
      <w:bookmarkEnd w:id="81"/>
      <w:bookmarkEnd w:id="82"/>
      <w:bookmarkEnd w:id="83"/>
      <w:bookmarkEnd w:id="84"/>
      <w:bookmarkEnd w:id="85"/>
      <w:bookmarkEnd w:id="86"/>
      <w:bookmarkEnd w:id="87"/>
    </w:p>
    <w:p w14:paraId="7657C66B">
      <w:pPr>
        <w:pStyle w:val="5"/>
        <w:spacing w:before="0" w:after="0" w:line="400" w:lineRule="exact"/>
        <w:rPr>
          <w:rFonts w:hint="eastAsia" w:ascii="仿宋" w:hAnsi="仿宋" w:eastAsia="仿宋" w:cs="仿宋"/>
          <w:bCs/>
          <w:kern w:val="2"/>
          <w:sz w:val="24"/>
          <w:szCs w:val="24"/>
          <w:highlight w:val="none"/>
          <w:u w:val="none"/>
        </w:rPr>
      </w:pPr>
      <w:bookmarkStart w:id="88" w:name="_Toc22654_WPSOffice_Level2"/>
      <w:bookmarkStart w:id="89" w:name="_Toc520356160"/>
      <w:bookmarkStart w:id="90" w:name="_Toc11558"/>
      <w:bookmarkStart w:id="91" w:name="_Toc518923079"/>
      <w:bookmarkStart w:id="92" w:name="_Toc24004_WPSOffice_Level2"/>
      <w:bookmarkStart w:id="93" w:name="_Toc31241"/>
      <w:r>
        <w:rPr>
          <w:rFonts w:hint="eastAsia" w:ascii="仿宋" w:hAnsi="仿宋" w:eastAsia="仿宋" w:cs="仿宋"/>
          <w:sz w:val="24"/>
          <w:szCs w:val="24"/>
          <w:highlight w:val="none"/>
          <w:u w:val="none"/>
        </w:rPr>
        <w:t>15.响应文件的密封和标记</w:t>
      </w:r>
      <w:bookmarkEnd w:id="88"/>
      <w:bookmarkEnd w:id="89"/>
      <w:bookmarkEnd w:id="90"/>
      <w:bookmarkEnd w:id="91"/>
      <w:bookmarkEnd w:id="92"/>
      <w:bookmarkEnd w:id="93"/>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94" w:name="_Toc518923080"/>
      <w:bookmarkStart w:id="95" w:name="_Toc520356161"/>
      <w:bookmarkStart w:id="96" w:name="_Toc178_WPSOffice_Level2"/>
      <w:bookmarkStart w:id="97" w:name="_Toc14358_WPSOffice_Level2"/>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5"/>
        <w:spacing w:before="0" w:after="0" w:line="340" w:lineRule="exact"/>
        <w:rPr>
          <w:rFonts w:hint="eastAsia" w:ascii="仿宋" w:hAnsi="仿宋" w:eastAsia="仿宋" w:cs="仿宋"/>
          <w:sz w:val="24"/>
          <w:szCs w:val="24"/>
          <w:highlight w:val="none"/>
          <w:u w:val="none"/>
        </w:rPr>
      </w:pPr>
      <w:bookmarkStart w:id="98" w:name="_Toc16828"/>
      <w:bookmarkStart w:id="99" w:name="_Toc23679"/>
      <w:r>
        <w:rPr>
          <w:rFonts w:hint="eastAsia" w:ascii="仿宋" w:hAnsi="仿宋" w:eastAsia="仿宋" w:cs="仿宋"/>
          <w:sz w:val="24"/>
          <w:szCs w:val="24"/>
          <w:highlight w:val="none"/>
          <w:u w:val="none"/>
        </w:rPr>
        <w:t>16.磋商截止</w:t>
      </w:r>
      <w:bookmarkEnd w:id="94"/>
      <w:bookmarkEnd w:id="95"/>
      <w:bookmarkEnd w:id="96"/>
      <w:bookmarkEnd w:id="97"/>
      <w:bookmarkEnd w:id="98"/>
      <w:bookmarkEnd w:id="99"/>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5"/>
        <w:spacing w:before="0" w:after="0" w:line="340" w:lineRule="exact"/>
        <w:rPr>
          <w:rFonts w:hint="eastAsia" w:ascii="仿宋" w:hAnsi="仿宋" w:eastAsia="仿宋" w:cs="仿宋"/>
          <w:sz w:val="24"/>
          <w:szCs w:val="24"/>
          <w:highlight w:val="none"/>
          <w:u w:val="none"/>
        </w:rPr>
      </w:pPr>
      <w:bookmarkStart w:id="100" w:name="_Toc26522_WPSOffice_Level2"/>
      <w:bookmarkStart w:id="101" w:name="_Toc17985_WPSOffice_Level2"/>
      <w:bookmarkStart w:id="102" w:name="_Toc9803"/>
      <w:bookmarkStart w:id="103" w:name="_Toc520356162"/>
      <w:bookmarkStart w:id="104" w:name="_Toc518923081"/>
      <w:bookmarkStart w:id="105" w:name="_Toc15789"/>
      <w:r>
        <w:rPr>
          <w:rFonts w:hint="eastAsia" w:ascii="仿宋" w:hAnsi="仿宋" w:eastAsia="仿宋" w:cs="仿宋"/>
          <w:sz w:val="24"/>
          <w:szCs w:val="24"/>
          <w:highlight w:val="none"/>
          <w:u w:val="none"/>
        </w:rPr>
        <w:t>17.响应文件的接收、修改与撤回</w:t>
      </w:r>
      <w:bookmarkEnd w:id="100"/>
      <w:bookmarkEnd w:id="101"/>
      <w:bookmarkEnd w:id="102"/>
      <w:bookmarkEnd w:id="103"/>
      <w:bookmarkEnd w:id="104"/>
      <w:bookmarkEnd w:id="105"/>
    </w:p>
    <w:p w14:paraId="6B4C2928">
      <w:pPr>
        <w:spacing w:line="340" w:lineRule="exact"/>
        <w:ind w:left="900" w:hanging="900" w:hangingChars="375"/>
        <w:rPr>
          <w:rFonts w:hint="eastAsia" w:ascii="仿宋" w:hAnsi="仿宋" w:eastAsia="仿宋" w:cs="仿宋"/>
          <w:sz w:val="24"/>
          <w:szCs w:val="24"/>
          <w:highlight w:val="none"/>
        </w:rPr>
      </w:pPr>
      <w:bookmarkStart w:id="106" w:name="_Toc518923082"/>
      <w:bookmarkStart w:id="107" w:name="_Toc520356163"/>
      <w:bookmarkStart w:id="108" w:name="_Toc216582809"/>
      <w:bookmarkStart w:id="109" w:name="_Toc6601_WPSOffice_Level1"/>
      <w:bookmarkStart w:id="110" w:name="_Toc5445"/>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11" w:name="_Toc19583"/>
      <w:bookmarkStart w:id="112" w:name="_Toc13495"/>
      <w:bookmarkStart w:id="113" w:name="_Toc26872"/>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11"/>
      <w:bookmarkEnd w:id="112"/>
      <w:bookmarkEnd w:id="113"/>
    </w:p>
    <w:p w14:paraId="15F5AF38">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14" w:name="_Toc2415"/>
      <w:bookmarkStart w:id="115" w:name="_Toc11598"/>
      <w:r>
        <w:rPr>
          <w:rFonts w:hint="eastAsia" w:ascii="仿宋" w:hAnsi="仿宋" w:eastAsia="仿宋" w:cs="仿宋"/>
          <w:sz w:val="24"/>
          <w:szCs w:val="24"/>
          <w:highlight w:val="none"/>
        </w:rPr>
        <w:t>五 磋商开启及</w:t>
      </w:r>
      <w:bookmarkEnd w:id="106"/>
      <w:bookmarkEnd w:id="107"/>
      <w:bookmarkEnd w:id="108"/>
      <w:r>
        <w:rPr>
          <w:rFonts w:hint="eastAsia" w:ascii="仿宋" w:hAnsi="仿宋" w:eastAsia="仿宋" w:cs="仿宋"/>
          <w:sz w:val="24"/>
          <w:szCs w:val="24"/>
          <w:highlight w:val="none"/>
        </w:rPr>
        <w:t>评审</w:t>
      </w:r>
      <w:bookmarkEnd w:id="109"/>
      <w:bookmarkEnd w:id="110"/>
      <w:bookmarkEnd w:id="114"/>
      <w:bookmarkEnd w:id="115"/>
    </w:p>
    <w:p w14:paraId="54123570">
      <w:pPr>
        <w:pStyle w:val="5"/>
        <w:spacing w:before="0" w:after="0" w:line="340" w:lineRule="exact"/>
        <w:rPr>
          <w:rFonts w:hint="eastAsia" w:ascii="仿宋" w:hAnsi="仿宋" w:eastAsia="仿宋" w:cs="仿宋"/>
          <w:sz w:val="24"/>
          <w:szCs w:val="24"/>
          <w:highlight w:val="none"/>
          <w:u w:val="none"/>
        </w:rPr>
      </w:pPr>
      <w:bookmarkStart w:id="116" w:name="_Toc518923083"/>
      <w:bookmarkStart w:id="117" w:name="_Toc520356164"/>
      <w:bookmarkStart w:id="118" w:name="_Toc24919"/>
      <w:bookmarkStart w:id="119" w:name="_Toc32308_WPSOffice_Level2"/>
      <w:bookmarkStart w:id="120" w:name="_Toc13011_WPSOffice_Level2"/>
      <w:bookmarkStart w:id="121" w:name="_Toc829"/>
      <w:r>
        <w:rPr>
          <w:rFonts w:hint="eastAsia" w:ascii="仿宋" w:hAnsi="仿宋" w:eastAsia="仿宋" w:cs="仿宋"/>
          <w:sz w:val="24"/>
          <w:szCs w:val="24"/>
          <w:highlight w:val="none"/>
          <w:u w:val="none"/>
        </w:rPr>
        <w:t>18.</w:t>
      </w:r>
      <w:bookmarkEnd w:id="116"/>
      <w:bookmarkEnd w:id="117"/>
      <w:r>
        <w:rPr>
          <w:rFonts w:hint="eastAsia" w:ascii="仿宋" w:hAnsi="仿宋" w:eastAsia="仿宋" w:cs="仿宋"/>
          <w:sz w:val="24"/>
          <w:szCs w:val="24"/>
          <w:highlight w:val="none"/>
          <w:u w:val="none"/>
        </w:rPr>
        <w:t>磋商开启</w:t>
      </w:r>
      <w:bookmarkEnd w:id="118"/>
      <w:bookmarkEnd w:id="119"/>
      <w:bookmarkEnd w:id="120"/>
      <w:bookmarkEnd w:id="121"/>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22"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5"/>
        <w:spacing w:before="0" w:after="0" w:line="340" w:lineRule="exact"/>
        <w:rPr>
          <w:rFonts w:hint="eastAsia" w:ascii="仿宋" w:hAnsi="仿宋" w:eastAsia="仿宋" w:cs="仿宋"/>
          <w:sz w:val="24"/>
          <w:szCs w:val="24"/>
          <w:highlight w:val="none"/>
          <w:u w:val="none"/>
        </w:rPr>
      </w:pPr>
      <w:bookmarkStart w:id="123" w:name="_Toc14331"/>
      <w:bookmarkStart w:id="124" w:name="_Toc518923084"/>
      <w:bookmarkStart w:id="125" w:name="_Toc21320_WPSOffice_Level2"/>
      <w:bookmarkStart w:id="126" w:name="_Toc31301"/>
      <w:bookmarkStart w:id="127" w:name="_Toc4350_WPSOffice_Level2"/>
      <w:r>
        <w:rPr>
          <w:rFonts w:hint="eastAsia" w:ascii="仿宋" w:hAnsi="仿宋" w:eastAsia="仿宋" w:cs="仿宋"/>
          <w:sz w:val="24"/>
          <w:szCs w:val="24"/>
          <w:highlight w:val="none"/>
          <w:u w:val="none"/>
        </w:rPr>
        <w:t>19</w:t>
      </w:r>
      <w:bookmarkEnd w:id="122"/>
      <w:r>
        <w:rPr>
          <w:rFonts w:hint="eastAsia" w:ascii="仿宋" w:hAnsi="仿宋" w:eastAsia="仿宋" w:cs="仿宋"/>
          <w:sz w:val="24"/>
          <w:szCs w:val="24"/>
          <w:highlight w:val="none"/>
          <w:u w:val="none"/>
        </w:rPr>
        <w:t>.资格审查及组建评审委员会</w:t>
      </w:r>
      <w:bookmarkEnd w:id="123"/>
      <w:bookmarkEnd w:id="124"/>
      <w:bookmarkEnd w:id="125"/>
      <w:bookmarkEnd w:id="126"/>
      <w:bookmarkEnd w:id="127"/>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28" w:name="_Toc520356166"/>
      <w:bookmarkStart w:id="129" w:name="_Toc518923085"/>
      <w:bookmarkStart w:id="130" w:name="_Toc31689_WPSOffice_Level2"/>
      <w:bookmarkStart w:id="131" w:name="_Toc17843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57808316">
      <w:pPr>
        <w:pStyle w:val="5"/>
        <w:spacing w:before="0" w:after="0" w:line="340" w:lineRule="exact"/>
        <w:rPr>
          <w:rFonts w:hint="eastAsia" w:ascii="仿宋" w:hAnsi="仿宋" w:eastAsia="仿宋" w:cs="仿宋"/>
          <w:sz w:val="24"/>
          <w:szCs w:val="24"/>
          <w:highlight w:val="none"/>
          <w:u w:val="none"/>
        </w:rPr>
      </w:pPr>
      <w:bookmarkStart w:id="132" w:name="_Toc20433"/>
      <w:bookmarkStart w:id="133" w:name="_Toc5888"/>
      <w:r>
        <w:rPr>
          <w:rFonts w:hint="eastAsia" w:ascii="仿宋" w:hAnsi="仿宋" w:eastAsia="仿宋" w:cs="仿宋"/>
          <w:sz w:val="24"/>
          <w:szCs w:val="24"/>
          <w:highlight w:val="none"/>
          <w:u w:val="none"/>
        </w:rPr>
        <w:t>20.响应文件的</w:t>
      </w:r>
      <w:bookmarkEnd w:id="128"/>
      <w:r>
        <w:rPr>
          <w:rFonts w:hint="eastAsia" w:ascii="仿宋" w:hAnsi="仿宋" w:eastAsia="仿宋" w:cs="仿宋"/>
          <w:sz w:val="24"/>
          <w:szCs w:val="24"/>
          <w:highlight w:val="none"/>
          <w:u w:val="none"/>
        </w:rPr>
        <w:t>符合性审查与澄清</w:t>
      </w:r>
      <w:bookmarkEnd w:id="129"/>
      <w:bookmarkEnd w:id="130"/>
      <w:bookmarkEnd w:id="131"/>
      <w:bookmarkEnd w:id="132"/>
      <w:bookmarkEnd w:id="133"/>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34" w:name="_Hlt522424701"/>
      <w:bookmarkEnd w:id="134"/>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5"/>
        <w:spacing w:before="0" w:after="0" w:line="340" w:lineRule="exact"/>
        <w:rPr>
          <w:rFonts w:hint="eastAsia" w:ascii="仿宋" w:hAnsi="仿宋" w:eastAsia="仿宋" w:cs="仿宋"/>
          <w:sz w:val="24"/>
          <w:szCs w:val="24"/>
          <w:highlight w:val="none"/>
          <w:u w:val="none"/>
        </w:rPr>
      </w:pPr>
      <w:bookmarkStart w:id="135" w:name="_Toc6346_WPSOffice_Level2"/>
      <w:bookmarkStart w:id="136" w:name="_Toc6415"/>
      <w:bookmarkStart w:id="137" w:name="_Toc518923086"/>
      <w:bookmarkStart w:id="138" w:name="_Toc26452_WPSOffice_Level2"/>
      <w:bookmarkStart w:id="139" w:name="_Toc28142"/>
      <w:r>
        <w:rPr>
          <w:rFonts w:hint="eastAsia" w:ascii="仿宋" w:hAnsi="仿宋" w:eastAsia="仿宋" w:cs="仿宋"/>
          <w:sz w:val="24"/>
          <w:szCs w:val="24"/>
          <w:highlight w:val="none"/>
          <w:u w:val="none"/>
        </w:rPr>
        <w:t>21.响应偏离</w:t>
      </w:r>
      <w:bookmarkEnd w:id="135"/>
      <w:bookmarkEnd w:id="136"/>
      <w:bookmarkEnd w:id="137"/>
      <w:bookmarkEnd w:id="138"/>
      <w:bookmarkEnd w:id="139"/>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5"/>
        <w:spacing w:before="0" w:after="0" w:line="400" w:lineRule="exact"/>
        <w:rPr>
          <w:rFonts w:hint="eastAsia" w:ascii="仿宋" w:hAnsi="仿宋" w:eastAsia="仿宋" w:cs="仿宋"/>
          <w:sz w:val="24"/>
          <w:szCs w:val="24"/>
          <w:highlight w:val="none"/>
          <w:u w:val="none"/>
        </w:rPr>
      </w:pPr>
      <w:bookmarkStart w:id="140" w:name="_Toc11645_WPSOffice_Level2"/>
      <w:bookmarkStart w:id="141" w:name="_Toc12870"/>
      <w:bookmarkStart w:id="142" w:name="_Toc30386"/>
      <w:bookmarkStart w:id="143" w:name="_Toc25236_WPSOffice_Level2"/>
      <w:bookmarkStart w:id="144" w:name="_Toc518923087"/>
      <w:r>
        <w:rPr>
          <w:rFonts w:hint="eastAsia" w:ascii="仿宋" w:hAnsi="仿宋" w:eastAsia="仿宋" w:cs="仿宋"/>
          <w:sz w:val="24"/>
          <w:szCs w:val="24"/>
          <w:highlight w:val="none"/>
          <w:u w:val="none"/>
        </w:rPr>
        <w:t>22.响应无效</w:t>
      </w:r>
      <w:bookmarkEnd w:id="140"/>
      <w:bookmarkEnd w:id="141"/>
      <w:bookmarkEnd w:id="142"/>
      <w:bookmarkEnd w:id="143"/>
      <w:bookmarkEnd w:id="144"/>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5"/>
        <w:spacing w:before="0" w:after="0" w:line="340" w:lineRule="exact"/>
        <w:rPr>
          <w:rFonts w:hint="eastAsia" w:ascii="仿宋" w:hAnsi="仿宋" w:eastAsia="仿宋" w:cs="仿宋"/>
          <w:sz w:val="24"/>
          <w:szCs w:val="24"/>
          <w:highlight w:val="none"/>
          <w:u w:val="none"/>
        </w:rPr>
      </w:pPr>
      <w:bookmarkStart w:id="145" w:name="_Toc21056"/>
      <w:bookmarkStart w:id="146" w:name="_Toc518923088"/>
      <w:bookmarkStart w:id="147" w:name="_Toc13546"/>
      <w:r>
        <w:rPr>
          <w:rFonts w:hint="eastAsia" w:ascii="仿宋" w:hAnsi="仿宋" w:eastAsia="仿宋" w:cs="仿宋"/>
          <w:sz w:val="24"/>
          <w:szCs w:val="24"/>
          <w:highlight w:val="none"/>
          <w:u w:val="none"/>
        </w:rPr>
        <w:t>23</w:t>
      </w:r>
      <w:bookmarkEnd w:id="66"/>
      <w:r>
        <w:rPr>
          <w:rFonts w:hint="eastAsia" w:ascii="仿宋" w:hAnsi="仿宋" w:eastAsia="仿宋" w:cs="仿宋"/>
          <w:sz w:val="24"/>
          <w:szCs w:val="24"/>
          <w:highlight w:val="none"/>
          <w:u w:val="none"/>
        </w:rPr>
        <w:t>.比较与评价</w:t>
      </w:r>
      <w:bookmarkEnd w:id="145"/>
      <w:bookmarkEnd w:id="146"/>
      <w:bookmarkEnd w:id="147"/>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2"/>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2"/>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5"/>
        <w:spacing w:before="0" w:after="0" w:line="340" w:lineRule="exact"/>
        <w:rPr>
          <w:rFonts w:hint="eastAsia" w:ascii="仿宋" w:hAnsi="仿宋" w:eastAsia="仿宋" w:cs="仿宋"/>
          <w:sz w:val="24"/>
          <w:szCs w:val="24"/>
          <w:highlight w:val="none"/>
          <w:u w:val="none"/>
        </w:rPr>
      </w:pPr>
      <w:bookmarkStart w:id="148" w:name="_Toc520356168"/>
      <w:bookmarkStart w:id="149" w:name="_Toc4130"/>
      <w:bookmarkStart w:id="150" w:name="_Toc13945"/>
      <w:bookmarkStart w:id="151" w:name="_Toc518923089"/>
      <w:r>
        <w:rPr>
          <w:rFonts w:hint="eastAsia" w:ascii="仿宋" w:hAnsi="仿宋" w:eastAsia="仿宋" w:cs="仿宋"/>
          <w:sz w:val="24"/>
          <w:szCs w:val="24"/>
          <w:highlight w:val="none"/>
          <w:u w:val="none"/>
        </w:rPr>
        <w:t>24</w:t>
      </w:r>
      <w:bookmarkEnd w:id="148"/>
      <w:r>
        <w:rPr>
          <w:rFonts w:hint="eastAsia" w:ascii="仿宋" w:hAnsi="仿宋" w:eastAsia="仿宋" w:cs="仿宋"/>
          <w:sz w:val="24"/>
          <w:szCs w:val="24"/>
          <w:highlight w:val="none"/>
          <w:u w:val="none"/>
        </w:rPr>
        <w:t>.废标</w:t>
      </w:r>
      <w:bookmarkEnd w:id="149"/>
      <w:bookmarkEnd w:id="150"/>
      <w:bookmarkEnd w:id="151"/>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5"/>
        <w:spacing w:before="0" w:after="0" w:line="340" w:lineRule="exact"/>
        <w:rPr>
          <w:rFonts w:hint="eastAsia" w:ascii="仿宋" w:hAnsi="仿宋" w:eastAsia="仿宋" w:cs="仿宋"/>
          <w:sz w:val="24"/>
          <w:szCs w:val="24"/>
          <w:highlight w:val="none"/>
          <w:u w:val="none"/>
        </w:rPr>
      </w:pPr>
      <w:bookmarkStart w:id="152" w:name="_Toc518923090"/>
      <w:bookmarkStart w:id="153" w:name="_Toc25690"/>
      <w:bookmarkStart w:id="154" w:name="_Toc6910"/>
      <w:bookmarkStart w:id="155" w:name="_Toc520356169"/>
      <w:r>
        <w:rPr>
          <w:rFonts w:hint="eastAsia" w:ascii="仿宋" w:hAnsi="仿宋" w:eastAsia="仿宋" w:cs="仿宋"/>
          <w:sz w:val="24"/>
          <w:szCs w:val="24"/>
          <w:highlight w:val="none"/>
          <w:u w:val="none"/>
        </w:rPr>
        <w:t>25.保密原则</w:t>
      </w:r>
      <w:bookmarkEnd w:id="152"/>
      <w:bookmarkEnd w:id="153"/>
      <w:bookmarkEnd w:id="154"/>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4"/>
        <w:tabs>
          <w:tab w:val="left" w:pos="900"/>
        </w:tabs>
        <w:spacing w:before="0" w:line="340" w:lineRule="exact"/>
        <w:ind w:left="1080" w:leftChars="257" w:hanging="540"/>
        <w:rPr>
          <w:rFonts w:hint="eastAsia" w:ascii="仿宋" w:hAnsi="仿宋" w:eastAsia="仿宋" w:cs="仿宋"/>
          <w:sz w:val="24"/>
          <w:szCs w:val="24"/>
          <w:highlight w:val="none"/>
        </w:rPr>
      </w:pPr>
      <w:bookmarkStart w:id="156" w:name="_Toc23897"/>
      <w:bookmarkStart w:id="157" w:name="_Toc518923091"/>
      <w:bookmarkStart w:id="158" w:name="_Toc4880"/>
      <w:bookmarkStart w:id="159" w:name="_Toc216582810"/>
      <w:r>
        <w:rPr>
          <w:rFonts w:hint="eastAsia" w:ascii="仿宋" w:hAnsi="仿宋" w:eastAsia="仿宋" w:cs="仿宋"/>
          <w:sz w:val="24"/>
          <w:szCs w:val="24"/>
          <w:highlight w:val="none"/>
        </w:rPr>
        <w:t xml:space="preserve">六   </w:t>
      </w:r>
      <w:bookmarkEnd w:id="155"/>
      <w:r>
        <w:rPr>
          <w:rFonts w:hint="eastAsia" w:ascii="仿宋" w:hAnsi="仿宋" w:eastAsia="仿宋" w:cs="仿宋"/>
          <w:sz w:val="24"/>
          <w:szCs w:val="24"/>
          <w:highlight w:val="none"/>
        </w:rPr>
        <w:t>确定中标</w:t>
      </w:r>
      <w:bookmarkEnd w:id="156"/>
      <w:bookmarkEnd w:id="157"/>
      <w:bookmarkEnd w:id="158"/>
      <w:bookmarkEnd w:id="159"/>
    </w:p>
    <w:p w14:paraId="439E56A0">
      <w:pPr>
        <w:pStyle w:val="5"/>
        <w:spacing w:before="0" w:after="0" w:line="340" w:lineRule="exact"/>
        <w:rPr>
          <w:rFonts w:hint="eastAsia" w:ascii="仿宋" w:hAnsi="仿宋" w:eastAsia="仿宋" w:cs="仿宋"/>
          <w:sz w:val="24"/>
          <w:szCs w:val="24"/>
          <w:highlight w:val="none"/>
          <w:u w:val="none"/>
        </w:rPr>
      </w:pPr>
      <w:bookmarkStart w:id="160" w:name="_Toc28250"/>
      <w:bookmarkStart w:id="161" w:name="_Toc518923092"/>
      <w:bookmarkStart w:id="162" w:name="_Ref467307010"/>
      <w:bookmarkStart w:id="163" w:name="_Toc2536"/>
      <w:bookmarkStart w:id="164" w:name="_Toc520356170"/>
      <w:r>
        <w:rPr>
          <w:rFonts w:hint="eastAsia" w:ascii="仿宋" w:hAnsi="仿宋" w:eastAsia="仿宋" w:cs="仿宋"/>
          <w:sz w:val="24"/>
          <w:szCs w:val="24"/>
          <w:highlight w:val="none"/>
          <w:u w:val="none"/>
        </w:rPr>
        <w:t>26.中标候选人的确定原则及标准</w:t>
      </w:r>
      <w:bookmarkEnd w:id="160"/>
      <w:bookmarkEnd w:id="161"/>
      <w:bookmarkEnd w:id="162"/>
      <w:bookmarkEnd w:id="163"/>
      <w:bookmarkEnd w:id="164"/>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5"/>
        <w:spacing w:before="0" w:after="0" w:line="340" w:lineRule="exact"/>
        <w:rPr>
          <w:rFonts w:hint="eastAsia" w:ascii="仿宋" w:hAnsi="仿宋" w:eastAsia="仿宋" w:cs="仿宋"/>
          <w:sz w:val="24"/>
          <w:szCs w:val="24"/>
          <w:highlight w:val="none"/>
          <w:u w:val="none"/>
        </w:rPr>
      </w:pPr>
      <w:bookmarkStart w:id="165" w:name="_Toc520356171"/>
      <w:bookmarkStart w:id="166" w:name="_Toc8005"/>
      <w:bookmarkStart w:id="167" w:name="_Toc518923093"/>
      <w:bookmarkStart w:id="168" w:name="_Toc10662"/>
      <w:r>
        <w:rPr>
          <w:rFonts w:hint="eastAsia" w:ascii="仿宋" w:hAnsi="仿宋" w:eastAsia="仿宋" w:cs="仿宋"/>
          <w:sz w:val="24"/>
          <w:szCs w:val="24"/>
          <w:highlight w:val="none"/>
          <w:u w:val="none"/>
        </w:rPr>
        <w:t>27</w:t>
      </w:r>
      <w:bookmarkEnd w:id="165"/>
      <w:r>
        <w:rPr>
          <w:rFonts w:hint="eastAsia" w:ascii="仿宋" w:hAnsi="仿宋" w:eastAsia="仿宋" w:cs="仿宋"/>
          <w:sz w:val="24"/>
          <w:szCs w:val="24"/>
          <w:highlight w:val="none"/>
          <w:u w:val="none"/>
        </w:rPr>
        <w:t>.确定中标候选人和中标人</w:t>
      </w:r>
      <w:bookmarkEnd w:id="166"/>
      <w:bookmarkEnd w:id="167"/>
      <w:bookmarkEnd w:id="168"/>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5"/>
        <w:tabs>
          <w:tab w:val="left" w:pos="900"/>
        </w:tabs>
        <w:spacing w:before="0" w:after="0" w:line="340" w:lineRule="exact"/>
        <w:rPr>
          <w:rFonts w:hint="eastAsia" w:ascii="仿宋" w:hAnsi="仿宋" w:eastAsia="仿宋" w:cs="仿宋"/>
          <w:sz w:val="24"/>
          <w:szCs w:val="24"/>
          <w:highlight w:val="none"/>
          <w:u w:val="none"/>
        </w:rPr>
      </w:pPr>
      <w:bookmarkStart w:id="169" w:name="_Ref467306874"/>
      <w:bookmarkStart w:id="170" w:name="_Toc520356173"/>
      <w:bookmarkStart w:id="171" w:name="_Toc10495"/>
      <w:bookmarkStart w:id="172" w:name="_Toc2358"/>
      <w:bookmarkStart w:id="173" w:name="_Toc518923094"/>
      <w:r>
        <w:rPr>
          <w:rFonts w:hint="eastAsia" w:ascii="仿宋" w:hAnsi="仿宋" w:eastAsia="仿宋" w:cs="仿宋"/>
          <w:sz w:val="24"/>
          <w:szCs w:val="24"/>
          <w:highlight w:val="none"/>
          <w:u w:val="none"/>
        </w:rPr>
        <w:t>28</w:t>
      </w:r>
      <w:bookmarkEnd w:id="169"/>
      <w:bookmarkEnd w:id="170"/>
      <w:r>
        <w:rPr>
          <w:rFonts w:hint="eastAsia" w:ascii="仿宋" w:hAnsi="仿宋" w:eastAsia="仿宋" w:cs="仿宋"/>
          <w:sz w:val="24"/>
          <w:szCs w:val="24"/>
          <w:highlight w:val="none"/>
          <w:u w:val="none"/>
        </w:rPr>
        <w:t>.采购任务取消</w:t>
      </w:r>
      <w:bookmarkEnd w:id="171"/>
      <w:bookmarkEnd w:id="172"/>
      <w:bookmarkEnd w:id="173"/>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174" w:name="_Toc520356174"/>
    </w:p>
    <w:p w14:paraId="0369352C">
      <w:pPr>
        <w:pStyle w:val="5"/>
        <w:spacing w:before="0" w:after="0" w:line="340" w:lineRule="exact"/>
        <w:rPr>
          <w:rFonts w:hint="eastAsia" w:ascii="仿宋" w:hAnsi="仿宋" w:eastAsia="仿宋" w:cs="仿宋"/>
          <w:sz w:val="24"/>
          <w:szCs w:val="24"/>
          <w:highlight w:val="none"/>
          <w:u w:val="none"/>
        </w:rPr>
      </w:pPr>
      <w:bookmarkStart w:id="175" w:name="_Toc7563"/>
      <w:bookmarkStart w:id="176" w:name="_Toc518923095"/>
      <w:bookmarkStart w:id="177" w:name="_Toc2907"/>
      <w:r>
        <w:rPr>
          <w:rFonts w:hint="eastAsia" w:ascii="仿宋" w:hAnsi="仿宋" w:eastAsia="仿宋" w:cs="仿宋"/>
          <w:sz w:val="24"/>
          <w:szCs w:val="24"/>
          <w:highlight w:val="none"/>
          <w:u w:val="none"/>
        </w:rPr>
        <w:t>29.中标通知书</w:t>
      </w:r>
      <w:bookmarkEnd w:id="174"/>
      <w:r>
        <w:rPr>
          <w:rFonts w:hint="eastAsia" w:ascii="仿宋" w:hAnsi="仿宋" w:eastAsia="仿宋" w:cs="仿宋"/>
          <w:sz w:val="24"/>
          <w:szCs w:val="24"/>
          <w:highlight w:val="none"/>
          <w:u w:val="none"/>
        </w:rPr>
        <w:t>和招标结果通知书</w:t>
      </w:r>
      <w:bookmarkEnd w:id="175"/>
      <w:bookmarkEnd w:id="176"/>
      <w:bookmarkEnd w:id="177"/>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5"/>
        <w:spacing w:before="0" w:after="0" w:line="340" w:lineRule="exact"/>
        <w:rPr>
          <w:rFonts w:hint="eastAsia" w:ascii="仿宋" w:hAnsi="仿宋" w:eastAsia="仿宋" w:cs="仿宋"/>
          <w:sz w:val="24"/>
          <w:szCs w:val="24"/>
          <w:highlight w:val="none"/>
          <w:u w:val="none"/>
        </w:rPr>
      </w:pPr>
      <w:bookmarkStart w:id="178" w:name="_Ref467306978"/>
      <w:bookmarkStart w:id="179" w:name="_Ref467306377"/>
      <w:bookmarkStart w:id="180" w:name="_Ref467307062"/>
      <w:bookmarkStart w:id="181" w:name="_Toc25308"/>
      <w:bookmarkStart w:id="182" w:name="_Toc32042"/>
      <w:bookmarkStart w:id="183" w:name="_Ref467307204"/>
      <w:bookmarkStart w:id="184" w:name="_Toc518923096"/>
      <w:bookmarkStart w:id="185" w:name="_Toc520356175"/>
      <w:r>
        <w:rPr>
          <w:rFonts w:hint="eastAsia" w:ascii="仿宋" w:hAnsi="仿宋" w:eastAsia="仿宋" w:cs="仿宋"/>
          <w:sz w:val="24"/>
          <w:szCs w:val="24"/>
          <w:highlight w:val="none"/>
          <w:u w:val="none"/>
        </w:rPr>
        <w:t>30.签订合同</w:t>
      </w:r>
      <w:bookmarkEnd w:id="178"/>
      <w:bookmarkEnd w:id="179"/>
      <w:bookmarkEnd w:id="180"/>
      <w:bookmarkEnd w:id="181"/>
      <w:bookmarkEnd w:id="182"/>
      <w:bookmarkEnd w:id="183"/>
      <w:bookmarkEnd w:id="184"/>
      <w:bookmarkEnd w:id="185"/>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186" w:name="_Toc520356176"/>
      <w:bookmarkStart w:id="187" w:name="_Ref467306425"/>
      <w:bookmarkStart w:id="188" w:name="_Ref467307090"/>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5"/>
        <w:spacing w:before="0" w:after="0" w:line="340" w:lineRule="exact"/>
        <w:rPr>
          <w:rFonts w:hint="eastAsia" w:ascii="仿宋" w:hAnsi="仿宋" w:eastAsia="仿宋" w:cs="仿宋"/>
          <w:sz w:val="24"/>
          <w:szCs w:val="24"/>
          <w:highlight w:val="none"/>
          <w:u w:val="none"/>
        </w:rPr>
      </w:pPr>
      <w:bookmarkStart w:id="189" w:name="_Toc16698"/>
      <w:bookmarkStart w:id="190" w:name="_Toc3893"/>
      <w:bookmarkStart w:id="191" w:name="_Toc518923097"/>
      <w:r>
        <w:rPr>
          <w:rFonts w:hint="eastAsia" w:ascii="仿宋" w:hAnsi="仿宋" w:eastAsia="仿宋" w:cs="仿宋"/>
          <w:sz w:val="24"/>
          <w:szCs w:val="24"/>
          <w:highlight w:val="none"/>
          <w:u w:val="none"/>
        </w:rPr>
        <w:t>31.履约保证金</w:t>
      </w:r>
      <w:bookmarkEnd w:id="186"/>
      <w:bookmarkEnd w:id="187"/>
      <w:bookmarkEnd w:id="188"/>
      <w:bookmarkEnd w:id="189"/>
      <w:bookmarkEnd w:id="190"/>
      <w:bookmarkEnd w:id="191"/>
    </w:p>
    <w:p w14:paraId="2B62803E">
      <w:pPr>
        <w:spacing w:line="288" w:lineRule="auto"/>
        <w:ind w:left="900" w:hanging="900" w:hangingChars="375"/>
        <w:rPr>
          <w:rFonts w:hint="eastAsia" w:ascii="仿宋" w:hAnsi="仿宋" w:eastAsia="仿宋" w:cs="仿宋"/>
          <w:sz w:val="24"/>
          <w:szCs w:val="24"/>
          <w:highlight w:val="none"/>
        </w:rPr>
      </w:pPr>
      <w:bookmarkStart w:id="192"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5"/>
        <w:spacing w:before="0" w:after="0" w:line="340" w:lineRule="exact"/>
        <w:rPr>
          <w:rFonts w:hint="eastAsia" w:ascii="仿宋" w:hAnsi="仿宋" w:eastAsia="仿宋" w:cs="仿宋"/>
          <w:sz w:val="24"/>
          <w:szCs w:val="24"/>
          <w:highlight w:val="none"/>
          <w:u w:val="none"/>
        </w:rPr>
      </w:pPr>
      <w:bookmarkStart w:id="193" w:name="_Toc15216"/>
      <w:bookmarkStart w:id="194" w:name="_Toc19530"/>
      <w:r>
        <w:rPr>
          <w:rFonts w:hint="eastAsia" w:ascii="仿宋" w:hAnsi="仿宋" w:eastAsia="仿宋" w:cs="仿宋"/>
          <w:sz w:val="24"/>
          <w:szCs w:val="24"/>
          <w:highlight w:val="none"/>
          <w:u w:val="none"/>
        </w:rPr>
        <w:t>33.政府采购信用担保</w:t>
      </w:r>
      <w:bookmarkEnd w:id="192"/>
      <w:bookmarkEnd w:id="193"/>
      <w:bookmarkEnd w:id="194"/>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5"/>
        <w:spacing w:before="0" w:after="0" w:line="340" w:lineRule="exact"/>
        <w:rPr>
          <w:rFonts w:hint="eastAsia" w:ascii="仿宋" w:hAnsi="仿宋" w:eastAsia="仿宋" w:cs="仿宋"/>
          <w:sz w:val="24"/>
          <w:szCs w:val="24"/>
          <w:highlight w:val="none"/>
          <w:u w:val="none"/>
        </w:rPr>
      </w:pPr>
      <w:bookmarkStart w:id="195" w:name="_Toc271"/>
      <w:bookmarkStart w:id="196" w:name="_Toc27033"/>
      <w:bookmarkStart w:id="197" w:name="_Toc518923100"/>
      <w:r>
        <w:rPr>
          <w:rFonts w:hint="eastAsia" w:ascii="仿宋" w:hAnsi="仿宋" w:eastAsia="仿宋" w:cs="仿宋"/>
          <w:sz w:val="24"/>
          <w:szCs w:val="24"/>
          <w:highlight w:val="none"/>
          <w:u w:val="none"/>
        </w:rPr>
        <w:t>34.廉洁自律规定</w:t>
      </w:r>
      <w:bookmarkEnd w:id="195"/>
      <w:bookmarkEnd w:id="196"/>
      <w:bookmarkEnd w:id="197"/>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5"/>
        <w:spacing w:before="0" w:after="0" w:line="340" w:lineRule="exact"/>
        <w:rPr>
          <w:rFonts w:hint="eastAsia" w:ascii="仿宋" w:hAnsi="仿宋" w:eastAsia="仿宋" w:cs="仿宋"/>
          <w:sz w:val="24"/>
          <w:szCs w:val="24"/>
          <w:highlight w:val="none"/>
          <w:u w:val="none"/>
        </w:rPr>
      </w:pPr>
      <w:bookmarkStart w:id="198" w:name="_Toc18801"/>
      <w:bookmarkStart w:id="199" w:name="_Toc518923101"/>
      <w:bookmarkStart w:id="200" w:name="_Toc30429"/>
      <w:r>
        <w:rPr>
          <w:rFonts w:hint="eastAsia" w:ascii="仿宋" w:hAnsi="仿宋" w:eastAsia="仿宋" w:cs="仿宋"/>
          <w:sz w:val="24"/>
          <w:szCs w:val="24"/>
          <w:highlight w:val="none"/>
          <w:u w:val="none"/>
        </w:rPr>
        <w:t>35.人员回避</w:t>
      </w:r>
      <w:bookmarkEnd w:id="198"/>
      <w:bookmarkEnd w:id="199"/>
      <w:bookmarkEnd w:id="200"/>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5"/>
        <w:spacing w:before="0" w:after="0" w:line="340" w:lineRule="exact"/>
        <w:rPr>
          <w:rFonts w:hint="eastAsia" w:ascii="仿宋" w:hAnsi="仿宋" w:eastAsia="仿宋" w:cs="仿宋"/>
          <w:sz w:val="24"/>
          <w:szCs w:val="24"/>
          <w:highlight w:val="none"/>
          <w:u w:val="none"/>
        </w:rPr>
      </w:pPr>
      <w:bookmarkStart w:id="201" w:name="_Toc22309"/>
      <w:bookmarkStart w:id="202" w:name="_Toc8782"/>
      <w:r>
        <w:rPr>
          <w:rFonts w:hint="eastAsia" w:ascii="仿宋" w:hAnsi="仿宋" w:eastAsia="仿宋" w:cs="仿宋"/>
          <w:sz w:val="24"/>
          <w:szCs w:val="24"/>
          <w:highlight w:val="none"/>
          <w:u w:val="none"/>
        </w:rPr>
        <w:t>36.质疑与接收</w:t>
      </w:r>
      <w:bookmarkEnd w:id="201"/>
      <w:bookmarkEnd w:id="202"/>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861B4E1">
      <w:pPr>
        <w:spacing w:line="340" w:lineRule="exact"/>
        <w:ind w:left="904" w:hanging="904" w:hangingChars="375"/>
        <w:jc w:val="center"/>
        <w:rPr>
          <w:rFonts w:hint="eastAsia" w:ascii="仿宋" w:hAnsi="仿宋" w:eastAsia="仿宋" w:cs="仿宋"/>
          <w:b/>
          <w:bCs/>
          <w:sz w:val="24"/>
          <w:szCs w:val="24"/>
          <w:highlight w:val="none"/>
        </w:rPr>
      </w:pPr>
    </w:p>
    <w:p w14:paraId="641E2246">
      <w:pPr>
        <w:spacing w:line="340" w:lineRule="exact"/>
        <w:ind w:left="904" w:hanging="904" w:hangingChars="375"/>
        <w:jc w:val="center"/>
        <w:rPr>
          <w:rFonts w:hint="eastAsia" w:ascii="仿宋" w:hAnsi="仿宋" w:eastAsia="仿宋" w:cs="仿宋"/>
          <w:b/>
          <w:bCs/>
          <w:sz w:val="24"/>
          <w:szCs w:val="24"/>
          <w:highlight w:val="none"/>
        </w:rPr>
      </w:pPr>
    </w:p>
    <w:p w14:paraId="1AE668E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sz w:val="24"/>
          <w:szCs w:val="24"/>
        </w:rPr>
      </w:pPr>
    </w:p>
    <w:p w14:paraId="2D3A9911">
      <w:pPr>
        <w:pStyle w:val="2"/>
        <w:tabs>
          <w:tab w:val="left" w:pos="567"/>
        </w:tabs>
        <w:rPr>
          <w:rFonts w:hint="eastAsia" w:ascii="仿宋" w:hAnsi="仿宋" w:eastAsia="仿宋" w:cs="仿宋"/>
          <w:b/>
          <w:bCs/>
          <w:sz w:val="24"/>
          <w:szCs w:val="24"/>
        </w:rPr>
      </w:pP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03" w:name="_Toc30751"/>
      <w:bookmarkStart w:id="204" w:name="_Toc3083"/>
      <w:bookmarkStart w:id="205" w:name="_Toc23678"/>
      <w:r>
        <w:rPr>
          <w:rFonts w:hint="eastAsia" w:ascii="仿宋" w:hAnsi="仿宋" w:eastAsia="仿宋" w:cs="仿宋"/>
          <w:sz w:val="24"/>
          <w:szCs w:val="24"/>
          <w:highlight w:val="none"/>
        </w:rPr>
        <w:t>附件1：履约保证金保函（格式）</w:t>
      </w:r>
      <w:bookmarkEnd w:id="203"/>
      <w:bookmarkEnd w:id="204"/>
      <w:bookmarkEnd w:id="205"/>
    </w:p>
    <w:p w14:paraId="403FAC1A">
      <w:pPr>
        <w:pStyle w:val="12"/>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2"/>
        <w:spacing w:line="240" w:lineRule="atLeast"/>
        <w:ind w:left="1080" w:leftChars="257" w:hanging="540"/>
        <w:rPr>
          <w:rFonts w:hint="eastAsia" w:ascii="仿宋" w:hAnsi="仿宋" w:eastAsia="仿宋" w:cs="仿宋"/>
          <w:b/>
          <w:sz w:val="24"/>
          <w:szCs w:val="24"/>
          <w:highlight w:val="none"/>
        </w:rPr>
      </w:pPr>
    </w:p>
    <w:p w14:paraId="7D4BF84A">
      <w:pPr>
        <w:pStyle w:val="12"/>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2"/>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2"/>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2"/>
        <w:spacing w:line="240" w:lineRule="atLeast"/>
        <w:ind w:left="1080" w:leftChars="257" w:hanging="540"/>
        <w:jc w:val="center"/>
        <w:rPr>
          <w:rFonts w:hint="eastAsia" w:ascii="仿宋" w:hAnsi="仿宋" w:eastAsia="仿宋" w:cs="仿宋"/>
          <w:sz w:val="24"/>
          <w:szCs w:val="24"/>
          <w:highlight w:val="none"/>
        </w:rPr>
      </w:pPr>
    </w:p>
    <w:p w14:paraId="044E7531">
      <w:pPr>
        <w:pStyle w:val="12"/>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2"/>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2"/>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2"/>
        <w:spacing w:line="240" w:lineRule="atLeast"/>
        <w:ind w:left="1080" w:leftChars="257" w:hanging="540"/>
        <w:rPr>
          <w:rFonts w:hint="eastAsia" w:ascii="仿宋" w:hAnsi="仿宋" w:eastAsia="仿宋" w:cs="仿宋"/>
          <w:sz w:val="24"/>
          <w:szCs w:val="24"/>
          <w:highlight w:val="none"/>
        </w:rPr>
      </w:pPr>
      <w:bookmarkStart w:id="206" w:name="_Toc1076"/>
      <w:bookmarkStart w:id="207" w:name="_Toc6985"/>
      <w:r>
        <w:rPr>
          <w:rFonts w:hint="eastAsia" w:ascii="仿宋" w:hAnsi="仿宋" w:eastAsia="仿宋" w:cs="仿宋"/>
          <w:sz w:val="24"/>
          <w:szCs w:val="24"/>
          <w:highlight w:val="none"/>
        </w:rPr>
        <w:t>4.本保函在本合同规定的保证期期满前完全有效。</w:t>
      </w:r>
      <w:bookmarkEnd w:id="206"/>
      <w:bookmarkEnd w:id="207"/>
    </w:p>
    <w:p w14:paraId="4764EED2">
      <w:pPr>
        <w:pStyle w:val="12"/>
        <w:spacing w:line="240" w:lineRule="atLeast"/>
        <w:ind w:left="1080" w:leftChars="257" w:hanging="540"/>
        <w:rPr>
          <w:rFonts w:hint="eastAsia" w:ascii="仿宋" w:hAnsi="仿宋" w:eastAsia="仿宋" w:cs="仿宋"/>
          <w:sz w:val="24"/>
          <w:szCs w:val="24"/>
          <w:highlight w:val="none"/>
        </w:rPr>
      </w:pPr>
    </w:p>
    <w:p w14:paraId="46BAD97E">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2"/>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2"/>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2"/>
        <w:rPr>
          <w:rFonts w:hint="eastAsia" w:ascii="仿宋" w:hAnsi="仿宋" w:eastAsia="仿宋" w:cs="仿宋"/>
          <w:sz w:val="24"/>
          <w:szCs w:val="24"/>
        </w:rPr>
      </w:pPr>
    </w:p>
    <w:p w14:paraId="590AE6D6">
      <w:pPr>
        <w:pStyle w:val="17"/>
        <w:rPr>
          <w:rFonts w:hint="eastAsia" w:ascii="仿宋" w:hAnsi="仿宋" w:eastAsia="仿宋" w:cs="仿宋"/>
          <w:sz w:val="24"/>
          <w:szCs w:val="24"/>
          <w:highlight w:val="none"/>
        </w:rPr>
      </w:pPr>
    </w:p>
    <w:p w14:paraId="3005DED3">
      <w:pPr>
        <w:pStyle w:val="2"/>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4"/>
        <w:rPr>
          <w:rFonts w:hint="eastAsia" w:ascii="仿宋" w:hAnsi="仿宋" w:eastAsia="仿宋" w:cs="仿宋"/>
          <w:sz w:val="24"/>
          <w:szCs w:val="24"/>
          <w:highlight w:val="none"/>
        </w:rPr>
      </w:pPr>
    </w:p>
    <w:p w14:paraId="3FBD322E">
      <w:pPr>
        <w:rPr>
          <w:rFonts w:hint="eastAsia" w:ascii="仿宋" w:hAnsi="仿宋" w:eastAsia="仿宋" w:cs="仿宋"/>
          <w:sz w:val="24"/>
          <w:szCs w:val="24"/>
          <w:highlight w:val="none"/>
        </w:rPr>
      </w:pPr>
    </w:p>
    <w:p w14:paraId="2F1B6C58">
      <w:pPr>
        <w:pStyle w:val="4"/>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4"/>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4"/>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08" w:name="_Toc22540"/>
      <w:bookmarkStart w:id="209" w:name="_Toc518923104"/>
      <w:bookmarkStart w:id="210" w:name="_Toc27581"/>
      <w:bookmarkStart w:id="211" w:name="_Toc21744"/>
      <w:bookmarkStart w:id="212" w:name="_Toc16707"/>
      <w:r>
        <w:rPr>
          <w:rFonts w:hint="eastAsia" w:ascii="仿宋" w:hAnsi="仿宋" w:eastAsia="仿宋" w:cs="仿宋"/>
          <w:sz w:val="24"/>
          <w:szCs w:val="24"/>
          <w:highlight w:val="none"/>
        </w:rPr>
        <w:t>附件2：履约担保函格式</w:t>
      </w:r>
      <w:bookmarkEnd w:id="208"/>
      <w:bookmarkEnd w:id="209"/>
      <w:bookmarkEnd w:id="210"/>
      <w:bookmarkEnd w:id="211"/>
      <w:bookmarkEnd w:id="212"/>
    </w:p>
    <w:p w14:paraId="4CDC7F3D">
      <w:pPr>
        <w:spacing w:line="240" w:lineRule="atLeast"/>
        <w:ind w:left="1080" w:leftChars="257" w:hanging="540"/>
        <w:rPr>
          <w:rFonts w:hint="eastAsia" w:ascii="仿宋" w:hAnsi="仿宋" w:eastAsia="仿宋" w:cs="仿宋"/>
          <w:sz w:val="24"/>
          <w:szCs w:val="24"/>
          <w:highlight w:val="none"/>
        </w:rPr>
      </w:pPr>
      <w:bookmarkStart w:id="213" w:name="_Toc515647801"/>
      <w:bookmarkStart w:id="214" w:name="_Toc9735"/>
      <w:bookmarkStart w:id="215" w:name="_Toc162"/>
      <w:bookmarkStart w:id="216" w:name="_Toc32574"/>
      <w:bookmarkStart w:id="217" w:name="_Toc7209"/>
      <w:bookmarkStart w:id="218" w:name="_Toc13962"/>
      <w:r>
        <w:rPr>
          <w:rFonts w:hint="eastAsia" w:ascii="仿宋" w:hAnsi="仿宋" w:eastAsia="仿宋" w:cs="仿宋"/>
          <w:sz w:val="24"/>
          <w:szCs w:val="24"/>
          <w:highlight w:val="none"/>
        </w:rPr>
        <w:t>（采用政府采购信用担保形式时使用）</w:t>
      </w:r>
      <w:bookmarkEnd w:id="213"/>
      <w:bookmarkEnd w:id="214"/>
      <w:bookmarkEnd w:id="215"/>
      <w:bookmarkEnd w:id="216"/>
      <w:bookmarkEnd w:id="217"/>
      <w:bookmarkEnd w:id="218"/>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19" w:name="_Toc16807"/>
      <w:r>
        <w:rPr>
          <w:rFonts w:hint="eastAsia" w:ascii="仿宋" w:hAnsi="仿宋" w:eastAsia="仿宋" w:cs="仿宋"/>
          <w:sz w:val="24"/>
          <w:szCs w:val="24"/>
          <w:highlight w:val="none"/>
        </w:rPr>
        <w:t>一、保证责任的情形及保证金额</w:t>
      </w:r>
      <w:bookmarkEnd w:id="219"/>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20" w:name="_Toc30650"/>
      <w:bookmarkStart w:id="221" w:name="_Toc2434"/>
      <w:bookmarkStart w:id="222" w:name="_Toc806"/>
      <w:r>
        <w:rPr>
          <w:rFonts w:hint="eastAsia" w:ascii="仿宋" w:hAnsi="仿宋" w:eastAsia="仿宋" w:cs="仿宋"/>
          <w:sz w:val="24"/>
          <w:szCs w:val="24"/>
          <w:highlight w:val="none"/>
        </w:rPr>
        <w:t>2．主合同约定的应当缴纳履约保证金的情形:</w:t>
      </w:r>
      <w:bookmarkEnd w:id="220"/>
      <w:bookmarkEnd w:id="221"/>
      <w:bookmarkEnd w:id="222"/>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23" w:name="_Toc16733"/>
      <w:r>
        <w:rPr>
          <w:rFonts w:hint="eastAsia" w:ascii="仿宋" w:hAnsi="仿宋" w:eastAsia="仿宋" w:cs="仿宋"/>
          <w:sz w:val="24"/>
          <w:szCs w:val="24"/>
          <w:highlight w:val="none"/>
        </w:rPr>
        <w:t>二、保证的方式及保证期间</w:t>
      </w:r>
      <w:bookmarkEnd w:id="223"/>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24" w:name="_Toc19668"/>
      <w:r>
        <w:rPr>
          <w:rFonts w:hint="eastAsia" w:ascii="仿宋" w:hAnsi="仿宋" w:eastAsia="仿宋" w:cs="仿宋"/>
          <w:sz w:val="24"/>
          <w:szCs w:val="24"/>
          <w:highlight w:val="none"/>
        </w:rPr>
        <w:t>三、承担保证责任的程序</w:t>
      </w:r>
      <w:bookmarkEnd w:id="224"/>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25" w:name="_Toc11641"/>
      <w:r>
        <w:rPr>
          <w:rFonts w:hint="eastAsia" w:ascii="仿宋" w:hAnsi="仿宋" w:eastAsia="仿宋" w:cs="仿宋"/>
          <w:sz w:val="24"/>
          <w:szCs w:val="24"/>
          <w:highlight w:val="none"/>
        </w:rPr>
        <w:t>四、保证责任的终止</w:t>
      </w:r>
      <w:bookmarkEnd w:id="225"/>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26" w:name="_Toc3542"/>
      <w:r>
        <w:rPr>
          <w:rFonts w:hint="eastAsia" w:ascii="仿宋" w:hAnsi="仿宋" w:eastAsia="仿宋" w:cs="仿宋"/>
          <w:sz w:val="24"/>
          <w:szCs w:val="24"/>
          <w:highlight w:val="none"/>
        </w:rPr>
        <w:t>五、免责条款</w:t>
      </w:r>
      <w:bookmarkEnd w:id="226"/>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27" w:name="_Toc908"/>
      <w:r>
        <w:rPr>
          <w:rFonts w:hint="eastAsia" w:ascii="仿宋" w:hAnsi="仿宋" w:eastAsia="仿宋" w:cs="仿宋"/>
          <w:sz w:val="24"/>
          <w:szCs w:val="24"/>
          <w:highlight w:val="none"/>
        </w:rPr>
        <w:t>六、争议的解决</w:t>
      </w:r>
      <w:bookmarkEnd w:id="227"/>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28" w:name="_Toc17651"/>
      <w:r>
        <w:rPr>
          <w:rFonts w:hint="eastAsia" w:ascii="仿宋" w:hAnsi="仿宋" w:eastAsia="仿宋" w:cs="仿宋"/>
          <w:sz w:val="24"/>
          <w:szCs w:val="24"/>
          <w:highlight w:val="none"/>
        </w:rPr>
        <w:t>七、保函的生效</w:t>
      </w:r>
      <w:bookmarkEnd w:id="228"/>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7"/>
        <w:rPr>
          <w:rFonts w:hint="eastAsia" w:ascii="仿宋" w:hAnsi="仿宋" w:eastAsia="仿宋" w:cs="仿宋"/>
          <w:sz w:val="24"/>
          <w:szCs w:val="24"/>
          <w:highlight w:val="none"/>
        </w:rPr>
      </w:pPr>
    </w:p>
    <w:p w14:paraId="6BBDB017">
      <w:pPr>
        <w:pStyle w:val="2"/>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2"/>
        <w:ind w:firstLine="0" w:firstLineChars="0"/>
        <w:rPr>
          <w:rFonts w:hint="eastAsia" w:ascii="仿宋" w:hAnsi="仿宋" w:eastAsia="仿宋" w:cs="仿宋"/>
          <w:b/>
          <w:kern w:val="0"/>
          <w:sz w:val="24"/>
          <w:szCs w:val="24"/>
          <w:highlight w:val="none"/>
        </w:rPr>
      </w:pPr>
    </w:p>
    <w:p w14:paraId="75CD51D2">
      <w:pPr>
        <w:pStyle w:val="3"/>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2"/>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2"/>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2"/>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2"/>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2"/>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2"/>
        <w:rPr>
          <w:rFonts w:hint="eastAsia" w:ascii="仿宋" w:hAnsi="仿宋" w:eastAsia="仿宋" w:cs="仿宋"/>
          <w:sz w:val="24"/>
          <w:szCs w:val="24"/>
          <w:lang w:eastAsia="zh-CN"/>
        </w:rPr>
      </w:pPr>
    </w:p>
    <w:p w14:paraId="34F4AF1F">
      <w:pPr>
        <w:pStyle w:val="2"/>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2"/>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3"/>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3"/>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2"/>
        <w:rPr>
          <w:rFonts w:hint="eastAsia" w:ascii="仿宋" w:hAnsi="仿宋" w:eastAsia="仿宋" w:cs="仿宋"/>
          <w:sz w:val="24"/>
          <w:szCs w:val="24"/>
          <w:lang w:eastAsia="zh-CN"/>
        </w:rPr>
      </w:pPr>
    </w:p>
    <w:p w14:paraId="1200991D">
      <w:pPr>
        <w:pStyle w:val="3"/>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29" w:name="_Toc16162"/>
      <w:bookmarkStart w:id="230" w:name="_Toc5471"/>
      <w:bookmarkStart w:id="231" w:name="_Toc30544"/>
      <w:bookmarkStart w:id="232" w:name="_Toc30862"/>
      <w:bookmarkStart w:id="233" w:name="_Toc2510"/>
      <w:bookmarkStart w:id="234" w:name="_Toc3964"/>
      <w:bookmarkStart w:id="235" w:name="_Toc22624"/>
      <w:bookmarkStart w:id="236" w:name="_Toc1687"/>
      <w:bookmarkStart w:id="237" w:name="_Toc17793"/>
      <w:bookmarkStart w:id="238" w:name="_Toc23258"/>
      <w:bookmarkStart w:id="239" w:name="_Toc9326"/>
      <w:bookmarkStart w:id="240" w:name="_Toc8272"/>
      <w:bookmarkStart w:id="241" w:name="_Toc18867"/>
      <w:bookmarkStart w:id="242" w:name="_Toc28709"/>
      <w:bookmarkStart w:id="243" w:name="_Toc15055"/>
      <w:bookmarkStart w:id="244" w:name="_Toc11870"/>
      <w:r>
        <w:rPr>
          <w:rFonts w:hint="eastAsia" w:ascii="仿宋" w:hAnsi="仿宋" w:eastAsia="仿宋" w:cs="仿宋"/>
          <w:b/>
          <w:sz w:val="36"/>
          <w:szCs w:val="36"/>
          <w:lang w:eastAsia="zh-CN"/>
        </w:rPr>
        <w:t>第二章  响应文件格式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4"/>
        <w:spacing w:before="0" w:line="240" w:lineRule="atLeast"/>
        <w:ind w:left="1080" w:leftChars="257" w:hanging="540"/>
        <w:rPr>
          <w:rFonts w:hint="eastAsia" w:ascii="仿宋" w:hAnsi="仿宋" w:eastAsia="仿宋" w:cs="仿宋"/>
          <w:color w:val="auto"/>
          <w:sz w:val="32"/>
          <w:szCs w:val="32"/>
          <w:highlight w:val="none"/>
        </w:rPr>
      </w:pPr>
      <w:bookmarkStart w:id="245" w:name="_Toc25825"/>
      <w:bookmarkStart w:id="246" w:name="_Toc32210"/>
      <w:bookmarkStart w:id="247" w:name="_Toc10047"/>
      <w:bookmarkStart w:id="248" w:name="_Toc21312"/>
      <w:bookmarkStart w:id="249" w:name="_Toc8875"/>
      <w:bookmarkStart w:id="250" w:name="_Toc11201"/>
      <w:bookmarkStart w:id="251" w:name="_Toc13309"/>
      <w:bookmarkStart w:id="252" w:name="_Toc1308"/>
      <w:bookmarkStart w:id="253" w:name="_Toc11730"/>
      <w:bookmarkStart w:id="254" w:name="_Toc24822"/>
      <w:bookmarkStart w:id="255" w:name="_Toc7162"/>
      <w:bookmarkStart w:id="256" w:name="_Toc14363"/>
      <w:r>
        <w:rPr>
          <w:rFonts w:hint="eastAsia" w:ascii="仿宋" w:hAnsi="仿宋" w:eastAsia="仿宋" w:cs="仿宋"/>
          <w:color w:val="auto"/>
          <w:sz w:val="32"/>
          <w:szCs w:val="32"/>
          <w:highlight w:val="none"/>
        </w:rPr>
        <w:t>第一部分 开标一览表及资格证明文件</w:t>
      </w:r>
      <w:bookmarkEnd w:id="245"/>
      <w:bookmarkEnd w:id="246"/>
      <w:bookmarkEnd w:id="247"/>
      <w:bookmarkEnd w:id="248"/>
      <w:bookmarkEnd w:id="249"/>
      <w:bookmarkEnd w:id="250"/>
      <w:bookmarkEnd w:id="251"/>
      <w:bookmarkEnd w:id="252"/>
      <w:bookmarkEnd w:id="253"/>
      <w:bookmarkEnd w:id="254"/>
      <w:bookmarkEnd w:id="255"/>
      <w:bookmarkEnd w:id="256"/>
    </w:p>
    <w:p w14:paraId="3E5B5A54">
      <w:pPr>
        <w:pStyle w:val="4"/>
        <w:spacing w:before="0" w:line="240" w:lineRule="atLeast"/>
        <w:ind w:left="1080" w:leftChars="257" w:hanging="540"/>
        <w:rPr>
          <w:rFonts w:hint="eastAsia" w:ascii="仿宋" w:hAnsi="仿宋" w:eastAsia="仿宋" w:cs="仿宋"/>
          <w:color w:val="auto"/>
          <w:sz w:val="24"/>
          <w:szCs w:val="24"/>
          <w:highlight w:val="none"/>
        </w:rPr>
      </w:pPr>
    </w:p>
    <w:p w14:paraId="1F6D5A39">
      <w:pPr>
        <w:pStyle w:val="12"/>
        <w:tabs>
          <w:tab w:val="left" w:pos="5580"/>
        </w:tabs>
        <w:spacing w:line="240" w:lineRule="atLeast"/>
        <w:rPr>
          <w:rFonts w:hint="eastAsia" w:ascii="仿宋" w:hAnsi="仿宋" w:eastAsia="仿宋" w:cs="仿宋"/>
          <w:color w:val="auto"/>
          <w:sz w:val="24"/>
          <w:szCs w:val="24"/>
          <w:highlight w:val="none"/>
        </w:rPr>
      </w:pPr>
    </w:p>
    <w:p w14:paraId="70B69F29">
      <w:pPr>
        <w:pStyle w:val="12"/>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2"/>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5"/>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2"/>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2"/>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2"/>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2"/>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2"/>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2"/>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2"/>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2"/>
        <w:rPr>
          <w:rFonts w:hint="eastAsia" w:ascii="仿宋" w:hAnsi="仿宋" w:eastAsia="仿宋" w:cs="仿宋"/>
          <w:sz w:val="24"/>
          <w:szCs w:val="24"/>
          <w:lang w:val="en-US" w:eastAsia="zh-CN"/>
        </w:rPr>
      </w:pPr>
    </w:p>
    <w:p w14:paraId="08097E47">
      <w:pPr>
        <w:pStyle w:val="2"/>
        <w:rPr>
          <w:rFonts w:hint="eastAsia" w:ascii="仿宋" w:hAnsi="仿宋" w:eastAsia="仿宋" w:cs="仿宋"/>
          <w:sz w:val="24"/>
          <w:szCs w:val="24"/>
          <w:lang w:val="en-US" w:eastAsia="zh-CN"/>
        </w:rPr>
      </w:pPr>
    </w:p>
    <w:p w14:paraId="20BA6652">
      <w:pPr>
        <w:pStyle w:val="5"/>
        <w:jc w:val="center"/>
        <w:rPr>
          <w:rFonts w:hint="eastAsia" w:ascii="仿宋" w:hAnsi="仿宋" w:eastAsia="仿宋" w:cs="仿宋"/>
          <w:color w:val="auto"/>
          <w:sz w:val="36"/>
          <w:szCs w:val="36"/>
          <w:highlight w:val="none"/>
          <w:u w:val="none"/>
        </w:rPr>
      </w:pPr>
      <w:bookmarkStart w:id="257" w:name="_Toc31138"/>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257"/>
    </w:p>
    <w:p w14:paraId="44F31EE3">
      <w:pPr>
        <w:pStyle w:val="2"/>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2"/>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6"/>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2"/>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2"/>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2"/>
        <w:shd w:val="clear"/>
        <w:spacing w:before="78" w:line="218" w:lineRule="auto"/>
        <w:ind w:left="555"/>
        <w:rPr>
          <w:rFonts w:hint="eastAsia" w:ascii="仿宋" w:hAnsi="仿宋" w:eastAsia="仿宋" w:cs="仿宋"/>
          <w:color w:val="auto"/>
          <w:sz w:val="24"/>
          <w:szCs w:val="24"/>
          <w:highlight w:val="none"/>
        </w:rPr>
        <w:sectPr>
          <w:headerReference r:id="rId6" w:type="default"/>
          <w:footerReference r:id="rId7"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5"/>
        <w:jc w:val="center"/>
        <w:rPr>
          <w:rFonts w:hint="eastAsia" w:ascii="仿宋" w:hAnsi="仿宋" w:eastAsia="仿宋" w:cs="仿宋"/>
          <w:b/>
          <w:bCs w:val="0"/>
          <w:snapToGrid w:val="0"/>
          <w:color w:val="000000"/>
          <w:kern w:val="0"/>
          <w:sz w:val="36"/>
          <w:szCs w:val="36"/>
          <w:highlight w:val="none"/>
          <w:lang w:val="en-US" w:eastAsia="zh-CN" w:bidi="ar-SA"/>
        </w:rPr>
      </w:pPr>
      <w:bookmarkStart w:id="258" w:name="_Toc14443"/>
      <w:bookmarkStart w:id="259" w:name="_Toc11707"/>
      <w:bookmarkStart w:id="260" w:name="_Toc12324"/>
      <w:bookmarkStart w:id="261" w:name="_Toc3315"/>
      <w:bookmarkStart w:id="262" w:name="_Toc3935"/>
      <w:bookmarkStart w:id="263" w:name="_Toc10939"/>
      <w:bookmarkStart w:id="264" w:name="_Toc29224"/>
      <w:bookmarkStart w:id="265" w:name="_Toc27716"/>
      <w:bookmarkStart w:id="266" w:name="_Toc29361"/>
      <w:bookmarkStart w:id="267" w:name="_Toc28754"/>
      <w:bookmarkStart w:id="268" w:name="_Toc13608"/>
      <w:bookmarkStart w:id="269" w:name="_Toc17923"/>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258"/>
      <w:bookmarkEnd w:id="259"/>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270" w:name="_Toc31147"/>
    </w:p>
    <w:p w14:paraId="43BD59A5">
      <w:pPr>
        <w:pStyle w:val="5"/>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270"/>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2"/>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2"/>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5"/>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271" w:name="_Toc4434"/>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271"/>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272" w:name="_Toc778"/>
      <w:bookmarkStart w:id="273" w:name="_Toc17778"/>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272"/>
      <w:bookmarkEnd w:id="273"/>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3"/>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4" w:name="_Toc17421"/>
      <w:bookmarkStart w:id="275" w:name="_Toc19843"/>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274"/>
      <w:bookmarkEnd w:id="275"/>
    </w:p>
    <w:p w14:paraId="727DCB46">
      <w:pPr>
        <w:pStyle w:val="23"/>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260"/>
    <w:bookmarkEnd w:id="261"/>
    <w:bookmarkEnd w:id="262"/>
    <w:bookmarkEnd w:id="263"/>
    <w:bookmarkEnd w:id="264"/>
    <w:bookmarkEnd w:id="265"/>
    <w:bookmarkEnd w:id="266"/>
    <w:bookmarkEnd w:id="267"/>
    <w:bookmarkEnd w:id="268"/>
    <w:bookmarkEnd w:id="269"/>
    <w:p w14:paraId="3DAC223D">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76" w:name="_Toc23602"/>
      <w:bookmarkStart w:id="277" w:name="_Toc11984"/>
      <w:bookmarkStart w:id="278" w:name="_Toc31844_WPSOffice_Level2"/>
      <w:bookmarkStart w:id="279" w:name="_Toc20985"/>
      <w:bookmarkStart w:id="280" w:name="_Toc23379"/>
      <w:bookmarkStart w:id="281" w:name="_Toc6694"/>
      <w:bookmarkStart w:id="282" w:name="_Toc17640"/>
      <w:bookmarkStart w:id="283" w:name="_Toc11186"/>
      <w:bookmarkStart w:id="284" w:name="_Toc7492"/>
      <w:bookmarkStart w:id="285" w:name="_Toc13765"/>
      <w:bookmarkStart w:id="286" w:name="_Toc16471"/>
      <w:bookmarkStart w:id="287" w:name="_Toc3311"/>
      <w:bookmarkStart w:id="288" w:name="_Toc32520"/>
      <w:bookmarkStart w:id="289" w:name="_Toc7039"/>
      <w:bookmarkStart w:id="290" w:name="_Toc18130"/>
      <w:bookmarkStart w:id="291" w:name="_Toc515647808"/>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276"/>
      <w:bookmarkEnd w:id="277"/>
      <w:bookmarkEnd w:id="278"/>
      <w:bookmarkEnd w:id="279"/>
      <w:bookmarkEnd w:id="280"/>
      <w:bookmarkEnd w:id="281"/>
      <w:bookmarkEnd w:id="282"/>
      <w:bookmarkEnd w:id="283"/>
      <w:bookmarkEnd w:id="284"/>
      <w:bookmarkEnd w:id="285"/>
      <w:bookmarkEnd w:id="286"/>
      <w:bookmarkEnd w:id="287"/>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7"/>
                      </w:pPr>
                    </w:p>
                    <w:p w14:paraId="500E673A">
                      <w:pPr>
                        <w:pStyle w:val="7"/>
                      </w:pPr>
                    </w:p>
                    <w:p w14:paraId="68D78F7A">
                      <w:pPr>
                        <w:pStyle w:val="7"/>
                      </w:pPr>
                    </w:p>
                    <w:p w14:paraId="0C9CB7A9">
                      <w:pPr>
                        <w:pStyle w:val="7"/>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2"/>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292" w:name="_Toc22472"/>
      <w:bookmarkStart w:id="293" w:name="_Toc1083"/>
      <w:bookmarkStart w:id="294" w:name="_Toc515647807"/>
      <w:bookmarkStart w:id="295" w:name="_Toc12847_WPSOffice_Level2"/>
    </w:p>
    <w:p w14:paraId="4027E9D9">
      <w:pPr>
        <w:pStyle w:val="7"/>
        <w:rPr>
          <w:rFonts w:hint="eastAsia" w:ascii="仿宋" w:hAnsi="仿宋" w:eastAsia="仿宋" w:cs="仿宋"/>
          <w:sz w:val="24"/>
          <w:szCs w:val="24"/>
          <w:highlight w:val="none"/>
        </w:rPr>
      </w:pPr>
    </w:p>
    <w:p w14:paraId="640C7B4A">
      <w:pPr>
        <w:pStyle w:val="6"/>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2"/>
        <w:rPr>
          <w:rFonts w:hint="eastAsia" w:ascii="仿宋" w:hAnsi="仿宋" w:eastAsia="仿宋" w:cs="仿宋"/>
          <w:sz w:val="24"/>
          <w:szCs w:val="24"/>
        </w:rPr>
      </w:pPr>
    </w:p>
    <w:p w14:paraId="18937618">
      <w:pPr>
        <w:pStyle w:val="2"/>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96" w:name="_Toc4256"/>
      <w:bookmarkStart w:id="297" w:name="_Toc26070"/>
      <w:bookmarkStart w:id="298" w:name="_Toc16455"/>
      <w:bookmarkStart w:id="299" w:name="_Toc1783"/>
      <w:bookmarkStart w:id="300" w:name="_Toc8727"/>
      <w:bookmarkStart w:id="301" w:name="_Toc24776"/>
      <w:bookmarkStart w:id="302" w:name="_Toc25830"/>
      <w:bookmarkStart w:id="303" w:name="_Toc26923"/>
      <w:bookmarkStart w:id="304" w:name="_Toc15673"/>
      <w:bookmarkStart w:id="305" w:name="_Toc5946"/>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2DE2961">
      <w:pPr>
        <w:pStyle w:val="12"/>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06" w:name="_Toc5179"/>
      <w:r>
        <w:rPr>
          <w:rFonts w:hint="eastAsia" w:ascii="仿宋" w:hAnsi="仿宋" w:eastAsia="仿宋" w:cs="仿宋"/>
          <w:sz w:val="24"/>
          <w:szCs w:val="24"/>
          <w:highlight w:val="none"/>
        </w:rPr>
        <w:cr/>
      </w:r>
      <w:bookmarkEnd w:id="306"/>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662336;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1312;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664384;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663360;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2"/>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288"/>
      <w:bookmarkEnd w:id="289"/>
      <w:bookmarkEnd w:id="290"/>
      <w:bookmarkEnd w:id="291"/>
      <w:r>
        <w:rPr>
          <w:rFonts w:hint="eastAsia" w:ascii="仿宋" w:hAnsi="仿宋" w:eastAsia="仿宋" w:cs="仿宋"/>
          <w:sz w:val="24"/>
          <w:szCs w:val="24"/>
          <w:highlight w:val="none"/>
          <w:u w:val="single" w:color="FFFFFF"/>
        </w:rPr>
        <w:t xml:space="preserve"> </w:t>
      </w:r>
      <w:bookmarkStart w:id="307" w:name="_Toc18754"/>
      <w:bookmarkStart w:id="308" w:name="_Toc5710"/>
      <w:bookmarkStart w:id="309" w:name="_Toc41737064"/>
      <w:bookmarkStart w:id="310" w:name="_Toc515647810"/>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7"/>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07"/>
    <w:bookmarkEnd w:id="308"/>
    <w:bookmarkEnd w:id="309"/>
    <w:bookmarkEnd w:id="310"/>
    <w:p w14:paraId="7F66D14F">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1" w:name="_Toc22037"/>
      <w:bookmarkStart w:id="312" w:name="_Toc19764"/>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11"/>
      <w:bookmarkEnd w:id="312"/>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ind w:firstLine="6600" w:firstLineChars="2750"/>
        <w:rPr>
          <w:rFonts w:hint="eastAsia" w:ascii="仿宋" w:hAnsi="仿宋" w:eastAsia="仿宋" w:cs="仿宋"/>
          <w:sz w:val="24"/>
          <w:szCs w:val="24"/>
          <w:highlight w:val="none"/>
        </w:rPr>
        <w:sectPr>
          <w:footerReference r:id="rId8"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3" w:name="_Toc27595"/>
      <w:bookmarkStart w:id="314" w:name="_Toc7849"/>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13"/>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14"/>
    </w:p>
    <w:p w14:paraId="473C9159">
      <w:pPr>
        <w:pStyle w:val="5"/>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2"/>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2"/>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2"/>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2"/>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2"/>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2"/>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position w:val="10"/>
          <w:sz w:val="24"/>
          <w:szCs w:val="24"/>
          <w:highlight w:val="none"/>
        </w:rPr>
        <w:t>1</w:t>
      </w:r>
      <w:r>
        <w:rPr>
          <w:rFonts w:hint="eastAsia" w:ascii="仿宋" w:hAnsi="仿宋" w:eastAsia="仿宋" w:cs="仿宋"/>
          <w:color w:val="auto"/>
          <w:sz w:val="24"/>
          <w:szCs w:val="24"/>
          <w:highlight w:val="none"/>
        </w:rPr>
        <w:t>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2"/>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9"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10"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4"/>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11" w:type="default"/>
          <w:pgSz w:w="11906" w:h="16839"/>
          <w:pgMar w:top="1431" w:right="1698" w:bottom="1094" w:left="1785" w:header="0" w:footer="915" w:gutter="0"/>
          <w:pgNumType w:fmt="decimal"/>
          <w:cols w:space="720" w:num="1"/>
        </w:sectPr>
      </w:pPr>
    </w:p>
    <w:p w14:paraId="741D7623">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15" w:name="_Toc5702"/>
      <w:bookmarkStart w:id="316" w:name="_Toc3941"/>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15"/>
      <w:bookmarkEnd w:id="316"/>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5"/>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7"/>
        <w:rPr>
          <w:rFonts w:hint="eastAsia" w:ascii="仿宋" w:hAnsi="仿宋" w:eastAsia="仿宋" w:cs="仿宋"/>
          <w:b w:val="0"/>
          <w:i w:val="0"/>
          <w:caps w:val="0"/>
          <w:color w:val="auto"/>
          <w:spacing w:val="0"/>
          <w:w w:val="100"/>
          <w:sz w:val="24"/>
          <w:szCs w:val="24"/>
          <w:highlight w:val="none"/>
        </w:rPr>
      </w:pPr>
    </w:p>
    <w:p w14:paraId="3AD877FC">
      <w:pPr>
        <w:pStyle w:val="8"/>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7"/>
        <w:rPr>
          <w:rFonts w:hint="eastAsia" w:ascii="仿宋" w:hAnsi="仿宋" w:eastAsia="仿宋" w:cs="仿宋"/>
          <w:b w:val="0"/>
          <w:i w:val="0"/>
          <w:caps w:val="0"/>
          <w:color w:val="auto"/>
          <w:spacing w:val="0"/>
          <w:w w:val="100"/>
          <w:sz w:val="24"/>
          <w:szCs w:val="24"/>
          <w:highlight w:val="none"/>
        </w:rPr>
      </w:pPr>
    </w:p>
    <w:p w14:paraId="2D587EA7">
      <w:pPr>
        <w:pStyle w:val="8"/>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7"/>
        <w:rPr>
          <w:rFonts w:hint="eastAsia" w:ascii="仿宋" w:hAnsi="仿宋" w:eastAsia="仿宋" w:cs="仿宋"/>
          <w:b w:val="0"/>
          <w:i w:val="0"/>
          <w:caps w:val="0"/>
          <w:color w:val="auto"/>
          <w:spacing w:val="0"/>
          <w:w w:val="100"/>
          <w:sz w:val="24"/>
          <w:szCs w:val="24"/>
          <w:highlight w:val="none"/>
        </w:rPr>
      </w:pPr>
    </w:p>
    <w:p w14:paraId="4B13A53A">
      <w:pPr>
        <w:pStyle w:val="8"/>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2"/>
        <w:tabs>
          <w:tab w:val="left" w:pos="567"/>
        </w:tabs>
        <w:rPr>
          <w:rFonts w:hint="eastAsia" w:ascii="仿宋" w:hAnsi="仿宋" w:eastAsia="仿宋" w:cs="仿宋"/>
          <w:color w:val="auto"/>
          <w:sz w:val="24"/>
          <w:szCs w:val="24"/>
          <w:highlight w:val="none"/>
        </w:rPr>
      </w:pPr>
    </w:p>
    <w:p w14:paraId="6CB0C68D">
      <w:pPr>
        <w:pStyle w:val="8"/>
        <w:rPr>
          <w:rFonts w:hint="eastAsia" w:ascii="仿宋" w:hAnsi="仿宋" w:eastAsia="仿宋" w:cs="仿宋"/>
          <w:color w:val="auto"/>
          <w:sz w:val="24"/>
          <w:szCs w:val="24"/>
          <w:highlight w:val="none"/>
        </w:rPr>
      </w:pPr>
    </w:p>
    <w:p w14:paraId="76C4DF1D">
      <w:pPr>
        <w:pStyle w:val="8"/>
        <w:rPr>
          <w:rFonts w:hint="eastAsia" w:ascii="仿宋" w:hAnsi="仿宋" w:eastAsia="仿宋" w:cs="仿宋"/>
          <w:color w:val="auto"/>
          <w:sz w:val="24"/>
          <w:szCs w:val="24"/>
          <w:highlight w:val="none"/>
        </w:rPr>
      </w:pPr>
    </w:p>
    <w:p w14:paraId="006EB76F">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17" w:name="_Toc22731"/>
      <w:bookmarkStart w:id="318" w:name="_Toc32108"/>
      <w:bookmarkStart w:id="319" w:name="_Toc24603"/>
      <w:bookmarkStart w:id="320" w:name="_Toc26954"/>
      <w:bookmarkStart w:id="321" w:name="_Toc4978"/>
      <w:bookmarkStart w:id="322" w:name="_Toc9254"/>
      <w:bookmarkStart w:id="323" w:name="_Toc972"/>
      <w:bookmarkStart w:id="324" w:name="_Toc17001"/>
      <w:bookmarkStart w:id="325" w:name="_Toc23069"/>
      <w:bookmarkStart w:id="326" w:name="_Toc31498"/>
      <w:bookmarkStart w:id="327" w:name="_Toc15900"/>
      <w:bookmarkStart w:id="328" w:name="_Toc2337"/>
      <w:bookmarkStart w:id="329" w:name="_Toc26897"/>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30"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30"/>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2" w:type="default"/>
          <w:pgSz w:w="11906" w:h="16839"/>
          <w:pgMar w:top="1431" w:right="1698" w:bottom="1094" w:left="1785" w:header="0" w:footer="915" w:gutter="0"/>
          <w:pgNumType w:fmt="decimal"/>
          <w:cols w:space="720" w:num="1"/>
        </w:sectPr>
      </w:pPr>
    </w:p>
    <w:p w14:paraId="1D1B495A">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1" w:name="_Toc26676"/>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31"/>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4"/>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7"/>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2" w:name="_Toc26785"/>
      <w:bookmarkStart w:id="333" w:name="_Toc4092"/>
      <w:bookmarkStart w:id="334" w:name="_Toc13683"/>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35" w:name="_Toc6008"/>
      <w:bookmarkStart w:id="336" w:name="_Toc515647812"/>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32"/>
      <w:bookmarkEnd w:id="333"/>
      <w:bookmarkEnd w:id="334"/>
      <w:bookmarkEnd w:id="335"/>
      <w:bookmarkEnd w:id="336"/>
    </w:p>
    <w:p w14:paraId="6CCA3324">
      <w:pPr>
        <w:pStyle w:val="5"/>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2"/>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2"/>
        <w:tabs>
          <w:tab w:val="left" w:pos="5580"/>
        </w:tabs>
        <w:spacing w:line="360" w:lineRule="auto"/>
        <w:rPr>
          <w:rFonts w:hint="eastAsia" w:ascii="仿宋" w:hAnsi="仿宋" w:eastAsia="仿宋" w:cs="仿宋"/>
          <w:sz w:val="24"/>
          <w:szCs w:val="24"/>
          <w:highlight w:val="none"/>
        </w:rPr>
      </w:pPr>
    </w:p>
    <w:p w14:paraId="6A3ADFA9">
      <w:pPr>
        <w:pStyle w:val="17"/>
        <w:rPr>
          <w:rFonts w:hint="eastAsia" w:ascii="仿宋" w:hAnsi="仿宋" w:eastAsia="仿宋" w:cs="仿宋"/>
          <w:sz w:val="24"/>
          <w:szCs w:val="24"/>
          <w:highlight w:val="none"/>
        </w:rPr>
      </w:pPr>
    </w:p>
    <w:p w14:paraId="125AE527">
      <w:pPr>
        <w:pStyle w:val="2"/>
        <w:tabs>
          <w:tab w:val="left" w:pos="567"/>
        </w:tabs>
        <w:rPr>
          <w:rFonts w:hint="eastAsia" w:ascii="仿宋" w:hAnsi="仿宋" w:eastAsia="仿宋" w:cs="仿宋"/>
          <w:sz w:val="24"/>
          <w:szCs w:val="24"/>
          <w:highlight w:val="none"/>
        </w:rPr>
      </w:pPr>
    </w:p>
    <w:p w14:paraId="2A344F46">
      <w:pPr>
        <w:pStyle w:val="2"/>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2"/>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3" w:type="default"/>
          <w:footerReference r:id="rId14" w:type="default"/>
          <w:pgSz w:w="11906" w:h="16838"/>
          <w:pgMar w:top="1440" w:right="1797" w:bottom="1440" w:left="1797" w:header="851" w:footer="992" w:gutter="0"/>
          <w:pgNumType w:fmt="decimal"/>
          <w:cols w:space="720" w:num="1"/>
          <w:docGrid w:type="linesAndChars" w:linePitch="312" w:charSpace="0"/>
        </w:sectPr>
      </w:pPr>
    </w:p>
    <w:p w14:paraId="6D0D95C6">
      <w:pPr>
        <w:pStyle w:val="5"/>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7" w:name="_Toc30355"/>
      <w:bookmarkStart w:id="338" w:name="_Toc190"/>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65408"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65408;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39" w:name="bookmark28"/>
      <w:bookmarkEnd w:id="339"/>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337"/>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338"/>
    </w:p>
    <w:p w14:paraId="2FA9DD3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5E6AD788">
      <w:pPr>
        <w:pStyle w:val="2"/>
        <w:rPr>
          <w:rFonts w:hint="eastAsia" w:ascii="仿宋" w:hAnsi="仿宋" w:eastAsia="仿宋" w:cs="仿宋"/>
          <w:b/>
          <w:bCs/>
          <w:color w:val="auto"/>
          <w:spacing w:val="-4"/>
          <w:sz w:val="24"/>
          <w:szCs w:val="24"/>
          <w:highlight w:val="none"/>
        </w:rPr>
      </w:pPr>
    </w:p>
    <w:p w14:paraId="764D5D9E">
      <w:pPr>
        <w:pStyle w:val="5"/>
        <w:jc w:val="center"/>
        <w:rPr>
          <w:rFonts w:hint="eastAsia" w:ascii="仿宋" w:hAnsi="仿宋" w:eastAsia="仿宋" w:cs="仿宋"/>
          <w:b/>
          <w:bCs w:val="0"/>
          <w:snapToGrid w:val="0"/>
          <w:color w:val="000000"/>
          <w:kern w:val="0"/>
          <w:sz w:val="32"/>
          <w:szCs w:val="32"/>
          <w:highlight w:val="none"/>
          <w:u w:val="none"/>
          <w:lang w:val="en-US" w:eastAsia="zh-CN" w:bidi="ar-SA"/>
        </w:rPr>
        <w:sectPr>
          <w:footerReference r:id="rId15" w:type="default"/>
          <w:pgSz w:w="11906" w:h="16839"/>
          <w:pgMar w:top="1426" w:right="1691" w:bottom="1094" w:left="1770" w:header="0" w:footer="915" w:gutter="0"/>
          <w:pgNumType w:fmt="decimal"/>
          <w:cols w:space="720" w:num="1"/>
        </w:sectPr>
      </w:pPr>
      <w:bookmarkStart w:id="340" w:name="_Toc6436"/>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w:t>
      </w:r>
      <w:bookmarkEnd w:id="340"/>
    </w:p>
    <w:p w14:paraId="47958FA6">
      <w:pPr>
        <w:pStyle w:val="23"/>
        <w:shd w:val="clear"/>
        <w:ind w:left="0" w:leftChars="0" w:firstLine="0" w:firstLineChars="0"/>
        <w:rPr>
          <w:rFonts w:hint="eastAsia" w:ascii="仿宋" w:hAnsi="仿宋" w:eastAsia="仿宋" w:cs="仿宋"/>
          <w:color w:val="auto"/>
          <w:sz w:val="24"/>
          <w:szCs w:val="24"/>
          <w:highlight w:val="none"/>
        </w:rPr>
      </w:pPr>
    </w:p>
    <w:p w14:paraId="495D5996">
      <w:pPr>
        <w:pStyle w:val="23"/>
        <w:shd w:val="clear"/>
        <w:ind w:left="0" w:leftChars="0" w:firstLine="0" w:firstLineChars="0"/>
        <w:rPr>
          <w:rFonts w:hint="eastAsia" w:ascii="仿宋" w:hAnsi="仿宋" w:eastAsia="仿宋" w:cs="仿宋"/>
          <w:color w:val="auto"/>
          <w:sz w:val="24"/>
          <w:szCs w:val="24"/>
          <w:highlight w:val="none"/>
        </w:rPr>
      </w:pPr>
    </w:p>
    <w:p w14:paraId="2B057473">
      <w:pPr>
        <w:pStyle w:val="4"/>
        <w:spacing w:before="0" w:line="240" w:lineRule="atLeast"/>
        <w:ind w:left="1080" w:leftChars="257" w:hanging="540"/>
        <w:rPr>
          <w:rFonts w:hint="eastAsia" w:ascii="仿宋" w:hAnsi="仿宋" w:eastAsia="仿宋" w:cs="仿宋"/>
          <w:color w:val="auto"/>
          <w:sz w:val="36"/>
          <w:szCs w:val="36"/>
          <w:highlight w:val="none"/>
        </w:rPr>
      </w:pPr>
      <w:bookmarkStart w:id="341" w:name="_Toc7593"/>
      <w:bookmarkStart w:id="342" w:name="_Toc11180"/>
      <w:bookmarkStart w:id="343" w:name="_Toc22967"/>
      <w:bookmarkStart w:id="344" w:name="_Toc515647816"/>
      <w:bookmarkStart w:id="345" w:name="_Toc26350"/>
      <w:bookmarkStart w:id="346" w:name="_Toc8031"/>
      <w:bookmarkStart w:id="347" w:name="_Toc26653"/>
      <w:bookmarkStart w:id="348" w:name="_Toc15721"/>
      <w:r>
        <w:rPr>
          <w:rFonts w:hint="eastAsia" w:ascii="仿宋" w:hAnsi="仿宋" w:eastAsia="仿宋" w:cs="仿宋"/>
          <w:color w:val="auto"/>
          <w:sz w:val="36"/>
          <w:szCs w:val="36"/>
          <w:highlight w:val="none"/>
        </w:rPr>
        <w:t>第二部分  商务及技术文件</w:t>
      </w:r>
      <w:bookmarkEnd w:id="341"/>
      <w:bookmarkEnd w:id="342"/>
      <w:bookmarkEnd w:id="343"/>
      <w:bookmarkEnd w:id="344"/>
      <w:bookmarkEnd w:id="345"/>
      <w:bookmarkEnd w:id="346"/>
      <w:bookmarkEnd w:id="347"/>
      <w:bookmarkEnd w:id="348"/>
    </w:p>
    <w:p w14:paraId="341DA621">
      <w:pPr>
        <w:pStyle w:val="12"/>
        <w:ind w:left="1080" w:leftChars="257" w:hanging="540"/>
        <w:rPr>
          <w:rFonts w:hint="eastAsia" w:ascii="仿宋" w:hAnsi="仿宋" w:eastAsia="仿宋" w:cs="仿宋"/>
          <w:color w:val="auto"/>
          <w:sz w:val="24"/>
          <w:szCs w:val="24"/>
          <w:highlight w:val="none"/>
        </w:rPr>
      </w:pPr>
    </w:p>
    <w:p w14:paraId="570E9C9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42700D64">
      <w:pPr>
        <w:pStyle w:val="12"/>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134E494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312310F8">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F2E08CA">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7DB6D6B3">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7F9BE49E">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0AEB863C">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7EBF6E4E">
      <w:pPr>
        <w:shd w:val="clear"/>
        <w:rPr>
          <w:rFonts w:hint="eastAsia" w:ascii="仿宋" w:hAnsi="仿宋" w:eastAsia="仿宋" w:cs="仿宋"/>
          <w:color w:val="auto"/>
          <w:sz w:val="24"/>
          <w:szCs w:val="24"/>
          <w:highlight w:val="none"/>
        </w:rPr>
      </w:pPr>
    </w:p>
    <w:p w14:paraId="4E62495B">
      <w:pPr>
        <w:pStyle w:val="23"/>
        <w:shd w:val="clear"/>
        <w:rPr>
          <w:rFonts w:hint="eastAsia" w:ascii="仿宋" w:hAnsi="仿宋" w:eastAsia="仿宋" w:cs="仿宋"/>
          <w:color w:val="auto"/>
          <w:sz w:val="24"/>
          <w:szCs w:val="24"/>
          <w:highlight w:val="none"/>
        </w:rPr>
      </w:pPr>
    </w:p>
    <w:p w14:paraId="57F17B13">
      <w:pPr>
        <w:shd w:val="clear"/>
        <w:rPr>
          <w:rFonts w:hint="eastAsia" w:ascii="仿宋" w:hAnsi="仿宋" w:eastAsia="仿宋" w:cs="仿宋"/>
          <w:color w:val="auto"/>
          <w:sz w:val="24"/>
          <w:szCs w:val="24"/>
          <w:highlight w:val="none"/>
        </w:rPr>
      </w:pPr>
    </w:p>
    <w:p w14:paraId="46933882">
      <w:pPr>
        <w:pStyle w:val="23"/>
        <w:shd w:val="clear"/>
        <w:rPr>
          <w:rFonts w:hint="eastAsia" w:ascii="仿宋" w:hAnsi="仿宋" w:eastAsia="仿宋" w:cs="仿宋"/>
          <w:color w:val="auto"/>
          <w:sz w:val="24"/>
          <w:szCs w:val="24"/>
          <w:highlight w:val="none"/>
        </w:rPr>
      </w:pPr>
    </w:p>
    <w:p w14:paraId="59FCF0DC">
      <w:pPr>
        <w:shd w:val="clear"/>
        <w:rPr>
          <w:rFonts w:hint="eastAsia" w:ascii="仿宋" w:hAnsi="仿宋" w:eastAsia="仿宋" w:cs="仿宋"/>
          <w:color w:val="auto"/>
          <w:sz w:val="24"/>
          <w:szCs w:val="24"/>
          <w:highlight w:val="none"/>
        </w:rPr>
      </w:pPr>
    </w:p>
    <w:p w14:paraId="576FF0F8">
      <w:pPr>
        <w:pStyle w:val="23"/>
        <w:shd w:val="clear"/>
        <w:rPr>
          <w:rFonts w:hint="eastAsia" w:ascii="仿宋" w:hAnsi="仿宋" w:eastAsia="仿宋" w:cs="仿宋"/>
          <w:color w:val="auto"/>
          <w:sz w:val="24"/>
          <w:szCs w:val="24"/>
          <w:highlight w:val="none"/>
        </w:rPr>
      </w:pPr>
    </w:p>
    <w:p w14:paraId="19EB4969">
      <w:pPr>
        <w:shd w:val="clear"/>
        <w:rPr>
          <w:rFonts w:hint="eastAsia" w:ascii="仿宋" w:hAnsi="仿宋" w:eastAsia="仿宋" w:cs="仿宋"/>
          <w:color w:val="auto"/>
          <w:sz w:val="24"/>
          <w:szCs w:val="24"/>
          <w:highlight w:val="none"/>
        </w:rPr>
      </w:pPr>
    </w:p>
    <w:p w14:paraId="4E45169B">
      <w:pPr>
        <w:pStyle w:val="23"/>
        <w:shd w:val="clear"/>
        <w:rPr>
          <w:rFonts w:hint="eastAsia" w:ascii="仿宋" w:hAnsi="仿宋" w:eastAsia="仿宋" w:cs="仿宋"/>
          <w:color w:val="auto"/>
          <w:sz w:val="24"/>
          <w:szCs w:val="24"/>
          <w:highlight w:val="none"/>
        </w:rPr>
      </w:pPr>
    </w:p>
    <w:p w14:paraId="60817E0D">
      <w:pPr>
        <w:shd w:val="clear"/>
        <w:rPr>
          <w:rFonts w:hint="eastAsia" w:ascii="仿宋" w:hAnsi="仿宋" w:eastAsia="仿宋" w:cs="仿宋"/>
          <w:color w:val="auto"/>
          <w:sz w:val="24"/>
          <w:szCs w:val="24"/>
          <w:highlight w:val="none"/>
        </w:rPr>
      </w:pPr>
    </w:p>
    <w:p w14:paraId="6C1C1841">
      <w:pPr>
        <w:shd w:val="clear"/>
        <w:ind w:firstLine="645"/>
        <w:rPr>
          <w:rFonts w:hint="eastAsia" w:ascii="仿宋" w:hAnsi="仿宋" w:eastAsia="仿宋" w:cs="仿宋"/>
          <w:color w:val="auto"/>
          <w:sz w:val="24"/>
          <w:szCs w:val="24"/>
          <w:highlight w:val="none"/>
        </w:rPr>
      </w:pPr>
    </w:p>
    <w:p w14:paraId="3620246A">
      <w:pPr>
        <w:shd w:val="clear"/>
        <w:jc w:val="both"/>
        <w:rPr>
          <w:rFonts w:hint="eastAsia" w:ascii="仿宋" w:hAnsi="仿宋" w:eastAsia="仿宋" w:cs="仿宋"/>
          <w:color w:val="auto"/>
          <w:sz w:val="24"/>
          <w:szCs w:val="24"/>
          <w:highlight w:val="none"/>
          <w:lang w:val="en-US" w:eastAsia="zh-CN"/>
        </w:rPr>
      </w:pPr>
    </w:p>
    <w:p w14:paraId="4ECBC17A">
      <w:pPr>
        <w:shd w:val="clear"/>
        <w:ind w:firstLine="480" w:firstLineChars="200"/>
        <w:jc w:val="center"/>
        <w:rPr>
          <w:rFonts w:hint="eastAsia" w:ascii="仿宋" w:hAnsi="仿宋" w:eastAsia="仿宋" w:cs="仿宋"/>
          <w:color w:val="auto"/>
          <w:sz w:val="24"/>
          <w:szCs w:val="24"/>
          <w:highlight w:val="none"/>
          <w:lang w:val="en-US" w:eastAsia="zh-CN"/>
        </w:rPr>
      </w:pPr>
    </w:p>
    <w:p w14:paraId="142D75E1">
      <w:pPr>
        <w:shd w:val="clear"/>
        <w:ind w:firstLine="480" w:firstLineChars="200"/>
        <w:jc w:val="center"/>
        <w:rPr>
          <w:rFonts w:hint="eastAsia" w:ascii="仿宋" w:hAnsi="仿宋" w:eastAsia="仿宋" w:cs="仿宋"/>
          <w:color w:val="auto"/>
          <w:sz w:val="24"/>
          <w:szCs w:val="24"/>
          <w:highlight w:val="none"/>
          <w:lang w:val="en-US" w:eastAsia="zh-CN"/>
        </w:rPr>
      </w:pPr>
    </w:p>
    <w:p w14:paraId="3C9C550F">
      <w:pPr>
        <w:shd w:val="clear"/>
        <w:ind w:firstLine="480" w:firstLineChars="200"/>
        <w:jc w:val="center"/>
        <w:rPr>
          <w:rFonts w:hint="eastAsia" w:ascii="仿宋" w:hAnsi="仿宋" w:eastAsia="仿宋" w:cs="仿宋"/>
          <w:color w:val="auto"/>
          <w:sz w:val="24"/>
          <w:szCs w:val="24"/>
          <w:highlight w:val="none"/>
          <w:lang w:val="en-US" w:eastAsia="zh-CN"/>
        </w:rPr>
      </w:pPr>
    </w:p>
    <w:p w14:paraId="30283A2B">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261862C9">
      <w:pPr>
        <w:pStyle w:val="23"/>
        <w:shd w:val="clear"/>
        <w:rPr>
          <w:rFonts w:hint="eastAsia" w:ascii="仿宋" w:hAnsi="仿宋" w:eastAsia="仿宋" w:cs="仿宋"/>
          <w:color w:val="auto"/>
          <w:sz w:val="24"/>
          <w:szCs w:val="24"/>
          <w:highlight w:val="none"/>
        </w:rPr>
      </w:pPr>
    </w:p>
    <w:p w14:paraId="6EA4F746">
      <w:pPr>
        <w:pStyle w:val="2"/>
        <w:shd w:val="clear"/>
        <w:spacing w:before="60" w:line="228" w:lineRule="auto"/>
        <w:rPr>
          <w:rFonts w:hint="eastAsia" w:ascii="仿宋" w:hAnsi="仿宋" w:eastAsia="仿宋" w:cs="仿宋"/>
          <w:b/>
          <w:bCs/>
          <w:color w:val="auto"/>
          <w:spacing w:val="5"/>
          <w:sz w:val="24"/>
          <w:szCs w:val="24"/>
          <w:highlight w:val="none"/>
        </w:rPr>
      </w:pPr>
    </w:p>
    <w:p w14:paraId="3FF1ADE0">
      <w:pPr>
        <w:rPr>
          <w:rFonts w:hint="eastAsia" w:ascii="仿宋" w:hAnsi="仿宋" w:eastAsia="仿宋" w:cs="仿宋"/>
          <w:b/>
          <w:bCs/>
          <w:color w:val="auto"/>
          <w:spacing w:val="5"/>
          <w:sz w:val="24"/>
          <w:szCs w:val="24"/>
          <w:highlight w:val="none"/>
        </w:rPr>
      </w:pPr>
    </w:p>
    <w:p w14:paraId="1F1A0DA1">
      <w:pPr>
        <w:pStyle w:val="23"/>
        <w:rPr>
          <w:rFonts w:hint="eastAsia" w:ascii="仿宋" w:hAnsi="仿宋" w:eastAsia="仿宋" w:cs="仿宋"/>
          <w:b/>
          <w:bCs/>
          <w:color w:val="auto"/>
          <w:spacing w:val="5"/>
          <w:sz w:val="24"/>
          <w:szCs w:val="24"/>
          <w:highlight w:val="none"/>
        </w:rPr>
      </w:pPr>
    </w:p>
    <w:p w14:paraId="2B538DC4">
      <w:pPr>
        <w:pStyle w:val="7"/>
        <w:rPr>
          <w:rFonts w:hint="eastAsia" w:ascii="仿宋" w:hAnsi="仿宋" w:eastAsia="仿宋" w:cs="仿宋"/>
          <w:b/>
          <w:bCs/>
          <w:color w:val="auto"/>
          <w:spacing w:val="5"/>
          <w:sz w:val="24"/>
          <w:szCs w:val="24"/>
          <w:highlight w:val="none"/>
        </w:rPr>
      </w:pPr>
    </w:p>
    <w:p w14:paraId="40C4A0D8">
      <w:pPr>
        <w:pStyle w:val="6"/>
        <w:numPr>
          <w:ilvl w:val="3"/>
          <w:numId w:val="0"/>
        </w:numPr>
        <w:rPr>
          <w:rFonts w:hint="eastAsia" w:ascii="仿宋" w:hAnsi="仿宋" w:eastAsia="仿宋" w:cs="仿宋"/>
          <w:b/>
          <w:bCs/>
          <w:color w:val="auto"/>
          <w:spacing w:val="5"/>
          <w:sz w:val="24"/>
          <w:szCs w:val="24"/>
          <w:highlight w:val="none"/>
        </w:rPr>
      </w:pPr>
    </w:p>
    <w:p w14:paraId="19D402BB">
      <w:pPr>
        <w:rPr>
          <w:rFonts w:hint="eastAsia" w:ascii="仿宋" w:hAnsi="仿宋" w:eastAsia="仿宋" w:cs="仿宋"/>
          <w:b/>
          <w:bCs/>
          <w:color w:val="auto"/>
          <w:spacing w:val="5"/>
          <w:sz w:val="24"/>
          <w:szCs w:val="24"/>
          <w:highlight w:val="none"/>
        </w:rPr>
      </w:pPr>
    </w:p>
    <w:p w14:paraId="1A9CE342">
      <w:pPr>
        <w:pStyle w:val="23"/>
        <w:rPr>
          <w:rFonts w:hint="eastAsia" w:ascii="仿宋" w:hAnsi="仿宋" w:eastAsia="仿宋" w:cs="仿宋"/>
          <w:b/>
          <w:bCs/>
          <w:color w:val="auto"/>
          <w:spacing w:val="5"/>
          <w:sz w:val="24"/>
          <w:szCs w:val="24"/>
          <w:highlight w:val="none"/>
        </w:rPr>
      </w:pPr>
    </w:p>
    <w:p w14:paraId="27C07B02">
      <w:pPr>
        <w:pStyle w:val="7"/>
        <w:ind w:left="0" w:leftChars="0" w:firstLine="0" w:firstLineChars="0"/>
        <w:rPr>
          <w:rFonts w:hint="eastAsia" w:ascii="仿宋" w:hAnsi="仿宋" w:eastAsia="仿宋" w:cs="仿宋"/>
          <w:b/>
          <w:bCs/>
          <w:color w:val="auto"/>
          <w:spacing w:val="5"/>
          <w:sz w:val="24"/>
          <w:szCs w:val="24"/>
          <w:highlight w:val="none"/>
        </w:rPr>
      </w:pPr>
    </w:p>
    <w:p w14:paraId="379928F6">
      <w:pPr>
        <w:pStyle w:val="6"/>
        <w:numPr>
          <w:ilvl w:val="3"/>
          <w:numId w:val="0"/>
        </w:numPr>
        <w:ind w:left="864" w:leftChars="0"/>
        <w:rPr>
          <w:rFonts w:hint="eastAsia" w:ascii="仿宋" w:hAnsi="仿宋" w:eastAsia="仿宋" w:cs="仿宋"/>
          <w:b/>
          <w:bCs/>
          <w:color w:val="auto"/>
          <w:spacing w:val="5"/>
          <w:sz w:val="24"/>
          <w:szCs w:val="24"/>
          <w:highlight w:val="none"/>
        </w:rPr>
      </w:pPr>
    </w:p>
    <w:p w14:paraId="6CAB7C70">
      <w:pPr>
        <w:pStyle w:val="23"/>
        <w:ind w:left="0" w:leftChars="0" w:firstLine="0" w:firstLineChars="0"/>
        <w:rPr>
          <w:rFonts w:hint="eastAsia" w:ascii="仿宋" w:hAnsi="仿宋" w:eastAsia="仿宋" w:cs="仿宋"/>
          <w:sz w:val="24"/>
          <w:szCs w:val="24"/>
        </w:rPr>
      </w:pPr>
    </w:p>
    <w:p w14:paraId="2437195B">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49" w:name="_Toc14607"/>
      <w:bookmarkStart w:id="350" w:name="_Toc14062"/>
      <w:bookmarkStart w:id="351" w:name="_Toc29559"/>
      <w:bookmarkStart w:id="352" w:name="_Toc362"/>
      <w:bookmarkStart w:id="353" w:name="_Toc1116"/>
      <w:bookmarkStart w:id="354" w:name="_Toc31410"/>
      <w:bookmarkStart w:id="355" w:name="_Toc31638"/>
      <w:bookmarkStart w:id="356" w:name="_Toc18055"/>
      <w:bookmarkStart w:id="357" w:name="_Toc17635"/>
      <w:bookmarkStart w:id="358" w:name="_Toc21159"/>
      <w:bookmarkStart w:id="359" w:name="_Toc28985"/>
      <w:bookmarkStart w:id="360" w:name="_Toc4003"/>
      <w:bookmarkStart w:id="361" w:name="_Toc17434"/>
      <w:bookmarkStart w:id="362" w:name="_Toc9782"/>
      <w:bookmarkStart w:id="363" w:name="_Toc12083"/>
      <w:bookmarkStart w:id="364" w:name="_Toc24743"/>
      <w:bookmarkStart w:id="365" w:name="_Toc19728"/>
      <w:r>
        <w:rPr>
          <w:rFonts w:hint="eastAsia" w:ascii="仿宋" w:hAnsi="仿宋" w:eastAsia="仿宋" w:cs="仿宋"/>
          <w:b/>
          <w:color w:val="auto"/>
          <w:kern w:val="0"/>
          <w:sz w:val="32"/>
          <w:szCs w:val="32"/>
          <w:highlight w:val="none"/>
          <w:u w:val="none"/>
          <w:lang w:val="en-US" w:eastAsia="zh-CN" w:bidi="ar-SA"/>
        </w:rPr>
        <w:t>1</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eastAsia" w:ascii="仿宋" w:hAnsi="仿宋" w:eastAsia="仿宋" w:cs="仿宋"/>
          <w:b/>
          <w:color w:val="auto"/>
          <w:kern w:val="0"/>
          <w:sz w:val="32"/>
          <w:szCs w:val="32"/>
          <w:highlight w:val="none"/>
          <w:u w:val="none"/>
          <w:lang w:val="en-US" w:eastAsia="zh-CN" w:bidi="ar-SA"/>
        </w:rPr>
        <w:t xml:space="preserve"> 磋商响应函</w:t>
      </w:r>
      <w:bookmarkEnd w:id="365"/>
    </w:p>
    <w:p w14:paraId="14C1B468">
      <w:pPr>
        <w:tabs>
          <w:tab w:val="left" w:pos="5580"/>
        </w:tabs>
        <w:spacing w:line="240" w:lineRule="atLeast"/>
        <w:ind w:left="1080" w:leftChars="257" w:hanging="540"/>
        <w:rPr>
          <w:rFonts w:hint="eastAsia" w:ascii="仿宋" w:hAnsi="仿宋" w:eastAsia="仿宋" w:cs="仿宋"/>
          <w:sz w:val="24"/>
          <w:szCs w:val="24"/>
          <w:highlight w:val="none"/>
        </w:rPr>
      </w:pPr>
    </w:p>
    <w:p w14:paraId="6248C3E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089C921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8BAB5D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252E9B5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394C957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152CA849">
      <w:pPr>
        <w:pStyle w:val="12"/>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183D494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3582FA17">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34FFE06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5E34002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6684870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7EA3B9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67D5B68C">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38058D3">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18644DF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14376DB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5F533FC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163618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1F442DE">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8C695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69F6528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0712C76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4331574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216A50A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33501185">
      <w:pPr>
        <w:pStyle w:val="8"/>
        <w:rPr>
          <w:rFonts w:hint="eastAsia" w:ascii="仿宋" w:hAnsi="仿宋" w:eastAsia="仿宋" w:cs="仿宋"/>
          <w:sz w:val="24"/>
          <w:szCs w:val="24"/>
        </w:rPr>
      </w:pPr>
    </w:p>
    <w:p w14:paraId="74996DF9">
      <w:pPr>
        <w:rPr>
          <w:rFonts w:hint="eastAsia" w:ascii="仿宋" w:hAnsi="仿宋" w:eastAsia="仿宋" w:cs="仿宋"/>
          <w:sz w:val="24"/>
          <w:szCs w:val="24"/>
        </w:rPr>
      </w:pPr>
    </w:p>
    <w:p w14:paraId="52D291A6">
      <w:pPr>
        <w:pStyle w:val="2"/>
        <w:rPr>
          <w:rFonts w:hint="eastAsia" w:ascii="仿宋" w:hAnsi="仿宋" w:eastAsia="仿宋" w:cs="仿宋"/>
          <w:sz w:val="24"/>
          <w:szCs w:val="24"/>
        </w:rPr>
      </w:pPr>
    </w:p>
    <w:p w14:paraId="026EEE67">
      <w:pPr>
        <w:rPr>
          <w:rFonts w:hint="eastAsia" w:ascii="仿宋" w:hAnsi="仿宋" w:eastAsia="仿宋" w:cs="仿宋"/>
          <w:sz w:val="24"/>
          <w:szCs w:val="24"/>
        </w:rPr>
      </w:pPr>
    </w:p>
    <w:p w14:paraId="2ECC55AC">
      <w:pPr>
        <w:pStyle w:val="2"/>
        <w:rPr>
          <w:rFonts w:hint="eastAsia" w:ascii="仿宋" w:hAnsi="仿宋" w:eastAsia="仿宋" w:cs="仿宋"/>
          <w:sz w:val="24"/>
          <w:szCs w:val="24"/>
        </w:rPr>
      </w:pPr>
    </w:p>
    <w:p w14:paraId="66E74EDD">
      <w:pPr>
        <w:rPr>
          <w:rFonts w:hint="eastAsia" w:ascii="仿宋" w:hAnsi="仿宋" w:eastAsia="仿宋" w:cs="仿宋"/>
          <w:sz w:val="24"/>
          <w:szCs w:val="24"/>
        </w:rPr>
      </w:pPr>
    </w:p>
    <w:p w14:paraId="589A8861">
      <w:pPr>
        <w:pStyle w:val="2"/>
        <w:rPr>
          <w:rFonts w:hint="eastAsia" w:ascii="仿宋" w:hAnsi="仿宋" w:eastAsia="仿宋" w:cs="仿宋"/>
          <w:sz w:val="24"/>
          <w:szCs w:val="24"/>
        </w:rPr>
      </w:pPr>
    </w:p>
    <w:p w14:paraId="5BE9C813">
      <w:pPr>
        <w:rPr>
          <w:rFonts w:hint="eastAsia" w:ascii="仿宋" w:hAnsi="仿宋" w:eastAsia="仿宋" w:cs="仿宋"/>
          <w:sz w:val="24"/>
          <w:szCs w:val="24"/>
        </w:rPr>
      </w:pPr>
    </w:p>
    <w:p w14:paraId="3129494E">
      <w:pPr>
        <w:pStyle w:val="2"/>
        <w:rPr>
          <w:rFonts w:hint="eastAsia"/>
        </w:rPr>
      </w:pPr>
    </w:p>
    <w:p w14:paraId="55B23969">
      <w:pPr>
        <w:rPr>
          <w:rFonts w:hint="eastAsia" w:ascii="仿宋" w:hAnsi="仿宋" w:eastAsia="仿宋" w:cs="仿宋"/>
          <w:sz w:val="24"/>
          <w:szCs w:val="24"/>
        </w:rPr>
      </w:pPr>
    </w:p>
    <w:p w14:paraId="445215E3">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66" w:name="_Toc515647821"/>
      <w:bookmarkStart w:id="367" w:name="_Toc32568"/>
      <w:bookmarkStart w:id="368" w:name="_Toc25996"/>
      <w:bookmarkStart w:id="369" w:name="_Toc9745"/>
      <w:bookmarkStart w:id="370" w:name="_Toc11991"/>
      <w:bookmarkStart w:id="371" w:name="_Toc1980"/>
      <w:bookmarkStart w:id="372" w:name="_Toc216582818"/>
      <w:bookmarkStart w:id="373" w:name="_Toc23"/>
      <w:r>
        <w:rPr>
          <w:rFonts w:hint="eastAsia" w:ascii="仿宋" w:hAnsi="仿宋" w:eastAsia="仿宋" w:cs="仿宋"/>
          <w:b/>
          <w:color w:val="auto"/>
          <w:kern w:val="0"/>
          <w:sz w:val="32"/>
          <w:szCs w:val="32"/>
          <w:highlight w:val="none"/>
          <w:u w:val="none"/>
          <w:lang w:val="en-US" w:eastAsia="zh-CN" w:bidi="ar-SA"/>
        </w:rPr>
        <w:t>2 商务条款偏离表</w:t>
      </w:r>
      <w:bookmarkEnd w:id="366"/>
      <w:bookmarkEnd w:id="367"/>
      <w:bookmarkEnd w:id="368"/>
      <w:bookmarkEnd w:id="369"/>
      <w:bookmarkEnd w:id="370"/>
      <w:bookmarkEnd w:id="371"/>
      <w:bookmarkEnd w:id="372"/>
      <w:bookmarkEnd w:id="373"/>
    </w:p>
    <w:p w14:paraId="3487B6C8">
      <w:pPr>
        <w:pStyle w:val="12"/>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6EEFA9D1">
      <w:pPr>
        <w:pStyle w:val="12"/>
        <w:spacing w:line="240" w:lineRule="atLeast"/>
        <w:ind w:left="1080" w:leftChars="257" w:hanging="540"/>
        <w:rPr>
          <w:rFonts w:hint="eastAsia" w:ascii="仿宋" w:hAnsi="仿宋" w:eastAsia="仿宋" w:cs="仿宋"/>
          <w:color w:val="auto"/>
          <w:sz w:val="24"/>
          <w:szCs w:val="24"/>
          <w:highlight w:val="none"/>
        </w:rPr>
      </w:pPr>
    </w:p>
    <w:p w14:paraId="0D50C0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48B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BC172C">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4044285">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19DD732F">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2B628DE0">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1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A624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3C0D4C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0EF0710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1AA02A7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20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A7D40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C4FB11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78E22F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6ACB06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3A4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5CAA3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F083BE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4A22AF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A8E0B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6E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53F32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0BFDF3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43F971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21BD28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4B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D0FA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06C59F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0F98D7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C69EE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9D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5F19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811DB1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17740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698D3D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2BA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9368A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E82A65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A0FEA0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5E1217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DA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1FE5C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56DE2A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7D7C34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9C7A53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69A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9596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E213C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802BC3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4F4B17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1068A84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643D261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638AB9CB">
      <w:pPr>
        <w:pStyle w:val="12"/>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w:t>
      </w:r>
      <w:r>
        <w:rPr>
          <w:rFonts w:hint="eastAsia" w:ascii="仿宋" w:hAnsi="仿宋" w:eastAsia="仿宋" w:cs="仿宋"/>
          <w:b/>
          <w:bCs/>
          <w:color w:val="auto"/>
          <w:sz w:val="24"/>
          <w:szCs w:val="24"/>
          <w:highlight w:val="none"/>
          <w:lang w:eastAsia="zh-CN"/>
        </w:rPr>
        <w:t>包括付款方式、交货地点（履约地点）等</w:t>
      </w:r>
      <w:r>
        <w:rPr>
          <w:rFonts w:hint="eastAsia" w:ascii="仿宋" w:hAnsi="仿宋" w:eastAsia="仿宋" w:cs="仿宋"/>
          <w:color w:val="auto"/>
          <w:sz w:val="24"/>
          <w:szCs w:val="24"/>
          <w:highlight w:val="none"/>
          <w:lang w:eastAsia="zh-CN"/>
        </w:rPr>
        <w:t>内容；</w:t>
      </w:r>
    </w:p>
    <w:p w14:paraId="4814612C">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2E96C5EE">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CA0F41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8047DD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27E8279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03AEF17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CD254BB">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14E74F8E">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F2F50A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A6A7BF4">
      <w:pPr>
        <w:pStyle w:val="12"/>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3C3B85C3">
      <w:pPr>
        <w:pStyle w:val="7"/>
        <w:rPr>
          <w:rFonts w:hint="eastAsia" w:ascii="仿宋" w:hAnsi="仿宋" w:eastAsia="仿宋" w:cs="仿宋"/>
          <w:color w:val="auto"/>
          <w:sz w:val="24"/>
          <w:szCs w:val="24"/>
          <w:highlight w:val="none"/>
        </w:rPr>
      </w:pPr>
    </w:p>
    <w:p w14:paraId="7447AF1E">
      <w:pPr>
        <w:pStyle w:val="27"/>
        <w:rPr>
          <w:rFonts w:hint="eastAsia" w:ascii="仿宋" w:hAnsi="仿宋" w:eastAsia="仿宋" w:cs="仿宋"/>
          <w:color w:val="auto"/>
          <w:sz w:val="24"/>
          <w:szCs w:val="24"/>
          <w:highlight w:val="none"/>
        </w:rPr>
      </w:pPr>
    </w:p>
    <w:p w14:paraId="6857C03F">
      <w:pPr>
        <w:pStyle w:val="27"/>
        <w:rPr>
          <w:rFonts w:hint="eastAsia" w:ascii="仿宋" w:hAnsi="仿宋" w:eastAsia="仿宋" w:cs="仿宋"/>
          <w:color w:val="auto"/>
          <w:sz w:val="24"/>
          <w:szCs w:val="24"/>
          <w:highlight w:val="none"/>
        </w:rPr>
      </w:pPr>
    </w:p>
    <w:p w14:paraId="5385C2B8">
      <w:pPr>
        <w:pStyle w:val="27"/>
        <w:rPr>
          <w:rFonts w:hint="eastAsia" w:ascii="仿宋" w:hAnsi="仿宋" w:eastAsia="仿宋" w:cs="仿宋"/>
          <w:color w:val="auto"/>
          <w:sz w:val="24"/>
          <w:szCs w:val="24"/>
          <w:highlight w:val="none"/>
        </w:rPr>
      </w:pPr>
    </w:p>
    <w:p w14:paraId="2F8A9C2E">
      <w:pPr>
        <w:pStyle w:val="27"/>
        <w:rPr>
          <w:rFonts w:hint="eastAsia" w:ascii="仿宋" w:hAnsi="仿宋" w:eastAsia="仿宋" w:cs="仿宋"/>
          <w:color w:val="auto"/>
          <w:sz w:val="24"/>
          <w:szCs w:val="24"/>
          <w:highlight w:val="none"/>
        </w:rPr>
      </w:pPr>
    </w:p>
    <w:p w14:paraId="0FD56D3F">
      <w:pPr>
        <w:pStyle w:val="27"/>
        <w:rPr>
          <w:rFonts w:hint="eastAsia" w:ascii="仿宋" w:hAnsi="仿宋" w:eastAsia="仿宋" w:cs="仿宋"/>
          <w:color w:val="auto"/>
          <w:sz w:val="24"/>
          <w:szCs w:val="24"/>
          <w:highlight w:val="none"/>
        </w:rPr>
      </w:pPr>
    </w:p>
    <w:p w14:paraId="376F69EB">
      <w:pPr>
        <w:pStyle w:val="27"/>
        <w:rPr>
          <w:rFonts w:hint="eastAsia" w:ascii="仿宋" w:hAnsi="仿宋" w:eastAsia="仿宋" w:cs="仿宋"/>
          <w:color w:val="auto"/>
          <w:sz w:val="24"/>
          <w:szCs w:val="24"/>
          <w:highlight w:val="none"/>
        </w:rPr>
      </w:pPr>
    </w:p>
    <w:p w14:paraId="73D06A96">
      <w:pPr>
        <w:pStyle w:val="27"/>
        <w:rPr>
          <w:rFonts w:hint="eastAsia" w:ascii="仿宋" w:hAnsi="仿宋" w:eastAsia="仿宋" w:cs="仿宋"/>
          <w:color w:val="auto"/>
          <w:sz w:val="24"/>
          <w:szCs w:val="24"/>
          <w:highlight w:val="none"/>
        </w:rPr>
      </w:pPr>
    </w:p>
    <w:p w14:paraId="3795837D">
      <w:pPr>
        <w:pStyle w:val="27"/>
        <w:ind w:left="0" w:leftChars="0" w:firstLine="0" w:firstLineChars="0"/>
        <w:rPr>
          <w:rFonts w:hint="eastAsia" w:ascii="仿宋" w:hAnsi="仿宋" w:eastAsia="仿宋" w:cs="仿宋"/>
          <w:color w:val="auto"/>
          <w:sz w:val="24"/>
          <w:szCs w:val="24"/>
          <w:highlight w:val="none"/>
        </w:rPr>
      </w:pPr>
    </w:p>
    <w:p w14:paraId="23108E54">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4" w:name="_Toc16775"/>
      <w:bookmarkStart w:id="375" w:name="_Toc22912"/>
      <w:bookmarkStart w:id="376" w:name="_Toc1260"/>
      <w:r>
        <w:rPr>
          <w:rFonts w:hint="eastAsia" w:ascii="仿宋" w:hAnsi="仿宋" w:eastAsia="仿宋" w:cs="仿宋"/>
          <w:b/>
          <w:color w:val="auto"/>
          <w:kern w:val="0"/>
          <w:sz w:val="32"/>
          <w:szCs w:val="32"/>
          <w:highlight w:val="none"/>
          <w:u w:val="none"/>
          <w:lang w:val="en-US" w:eastAsia="zh-CN" w:bidi="ar-SA"/>
        </w:rPr>
        <w:t>3 供应商关联单位的说明</w:t>
      </w:r>
      <w:bookmarkEnd w:id="374"/>
      <w:bookmarkEnd w:id="375"/>
      <w:bookmarkEnd w:id="376"/>
    </w:p>
    <w:p w14:paraId="6DE1AC3E">
      <w:pPr>
        <w:pStyle w:val="7"/>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69DF18B">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00D71F73">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8C5450B">
      <w:pPr>
        <w:pStyle w:val="7"/>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767DDA1D">
      <w:pPr>
        <w:pStyle w:val="2"/>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78B5901C">
      <w:pPr>
        <w:rPr>
          <w:rFonts w:hint="eastAsia" w:ascii="仿宋" w:hAnsi="仿宋" w:eastAsia="仿宋" w:cs="仿宋"/>
          <w:sz w:val="24"/>
          <w:szCs w:val="24"/>
        </w:rPr>
      </w:pPr>
    </w:p>
    <w:p w14:paraId="6727765C">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7" w:name="_Toc10403"/>
      <w:r>
        <w:rPr>
          <w:rFonts w:hint="eastAsia" w:ascii="仿宋" w:hAnsi="仿宋" w:eastAsia="仿宋" w:cs="仿宋"/>
          <w:b/>
          <w:color w:val="auto"/>
          <w:kern w:val="0"/>
          <w:sz w:val="32"/>
          <w:szCs w:val="32"/>
          <w:highlight w:val="none"/>
          <w:u w:val="none"/>
          <w:lang w:val="en-US" w:eastAsia="zh-CN" w:bidi="ar-SA"/>
        </w:rPr>
        <w:t>4 附  录</w:t>
      </w:r>
      <w:bookmarkEnd w:id="377"/>
    </w:p>
    <w:p w14:paraId="1591E3BD">
      <w:pPr>
        <w:pStyle w:val="2"/>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7EE86EBA">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6"/>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1C40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4F74D4BE">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422B083B">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6D472FA4">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5171AED0">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6A38370C">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AE6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30DBD4D0">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68E0796F">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4DD1FF49">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762D99E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00A4D585">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EDB187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8EC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448120">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01A7851D">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617A05AC">
            <w:pPr>
              <w:pStyle w:val="28"/>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237E88E3">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7D58DC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D4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5646B6EF">
            <w:pPr>
              <w:pStyle w:val="28"/>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5E8EA99C">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32ECFBA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0469BC5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C45DD8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6F7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02DC4488">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232D0F5C">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0D3BB53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82484E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AD4F44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BB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C6B6EB4">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64FE1049">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3B0FA6DB">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704B4C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45BA32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43BE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CD5E49B">
            <w:pPr>
              <w:pStyle w:val="28"/>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0DDF7576">
            <w:pPr>
              <w:pStyle w:val="28"/>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5ED6399C">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5BAC4EA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5B4F0E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97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8CB0D32">
            <w:pPr>
              <w:pStyle w:val="28"/>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44A0B1C9">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4D81D9B0">
            <w:pPr>
              <w:pStyle w:val="28"/>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69C4196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DBA139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75B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6447BC">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4DC86A5">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56EF04E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4DA574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4B98CE08">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BBFB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4F79A62A">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758D2CBD">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793F1CB1">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D40C511">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79D7A60">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36AF0E33">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77BB8F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3A7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67886E5E">
            <w:pPr>
              <w:pStyle w:val="28"/>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3305A800">
            <w:pPr>
              <w:pStyle w:val="28"/>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61DF9C66">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C1043CA">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17DEFE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442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4DAB767D">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5759FDF0">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3C1D046D">
            <w:pPr>
              <w:pStyle w:val="28"/>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5199051D">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544C003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AC6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DEB5B57">
            <w:pPr>
              <w:pStyle w:val="28"/>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6E7377D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1E780AD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EC12E1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424D0D9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6C4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6741FD23">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0C72F292">
            <w:pPr>
              <w:pStyle w:val="28"/>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6D71FCC8">
            <w:pPr>
              <w:pStyle w:val="28"/>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815E78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D993AF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52561297">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13396E6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58194A23">
      <w:pPr>
        <w:shd w:val="clear"/>
        <w:spacing w:line="228" w:lineRule="auto"/>
        <w:rPr>
          <w:rFonts w:hint="eastAsia" w:ascii="仿宋" w:hAnsi="仿宋" w:eastAsia="仿宋" w:cs="仿宋"/>
          <w:color w:val="auto"/>
          <w:sz w:val="24"/>
          <w:szCs w:val="24"/>
          <w:highlight w:val="none"/>
        </w:rPr>
        <w:sectPr>
          <w:footerReference r:id="rId16" w:type="default"/>
          <w:pgSz w:w="11906" w:h="16839"/>
          <w:pgMar w:top="1431" w:right="1225" w:bottom="1167" w:left="1090" w:header="0" w:footer="987" w:gutter="0"/>
          <w:pgNumType w:fmt="decimal"/>
          <w:cols w:space="720" w:num="1"/>
        </w:sectPr>
      </w:pPr>
    </w:p>
    <w:p w14:paraId="7A4673DD">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8" w:name="_Toc17161"/>
      <w:bookmarkStart w:id="379" w:name="_Toc1170"/>
      <w:r>
        <w:rPr>
          <w:rFonts w:hint="eastAsia" w:ascii="仿宋" w:hAnsi="仿宋" w:eastAsia="仿宋" w:cs="仿宋"/>
          <w:b/>
          <w:color w:val="auto"/>
          <w:kern w:val="0"/>
          <w:sz w:val="32"/>
          <w:szCs w:val="32"/>
          <w:highlight w:val="none"/>
          <w:u w:val="none"/>
          <w:lang w:val="en-US" w:eastAsia="zh-CN" w:bidi="ar-SA"/>
        </w:rPr>
        <w:t>5 项目管理机构</w:t>
      </w:r>
      <w:bookmarkEnd w:id="378"/>
      <w:bookmarkEnd w:id="379"/>
    </w:p>
    <w:p w14:paraId="54913A3E">
      <w:pPr>
        <w:shd w:val="clear"/>
        <w:spacing w:line="308" w:lineRule="auto"/>
        <w:rPr>
          <w:rFonts w:hint="eastAsia" w:ascii="仿宋" w:hAnsi="仿宋" w:eastAsia="仿宋" w:cs="仿宋"/>
          <w:color w:val="auto"/>
          <w:sz w:val="24"/>
          <w:szCs w:val="24"/>
          <w:highlight w:val="none"/>
        </w:rPr>
      </w:pPr>
    </w:p>
    <w:p w14:paraId="489C6D36">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5B67AED1">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68221890">
      <w:pPr>
        <w:pStyle w:val="2"/>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0ED4ECA">
      <w:pPr>
        <w:pStyle w:val="2"/>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07B22DFF">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CA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633E4333">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401114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6B676A87">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503E1869">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46C6F057">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39CE8C88">
            <w:pPr>
              <w:jc w:val="center"/>
              <w:rPr>
                <w:rFonts w:hint="eastAsia" w:ascii="仿宋" w:hAnsi="仿宋" w:eastAsia="仿宋" w:cs="仿宋"/>
                <w:sz w:val="24"/>
                <w:szCs w:val="24"/>
              </w:rPr>
            </w:pPr>
            <w:r>
              <w:rPr>
                <w:rFonts w:hint="eastAsia" w:ascii="仿宋" w:hAnsi="仿宋" w:eastAsia="仿宋" w:cs="仿宋"/>
                <w:sz w:val="24"/>
                <w:szCs w:val="24"/>
              </w:rPr>
              <w:t>执业</w:t>
            </w:r>
          </w:p>
          <w:p w14:paraId="2B5F4B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6274A008">
            <w:pPr>
              <w:jc w:val="center"/>
              <w:rPr>
                <w:rFonts w:hint="eastAsia" w:ascii="仿宋" w:hAnsi="仿宋" w:eastAsia="仿宋" w:cs="仿宋"/>
                <w:sz w:val="24"/>
                <w:szCs w:val="24"/>
              </w:rPr>
            </w:pPr>
            <w:r>
              <w:rPr>
                <w:rFonts w:hint="eastAsia" w:ascii="仿宋" w:hAnsi="仿宋" w:eastAsia="仿宋" w:cs="仿宋"/>
                <w:sz w:val="24"/>
                <w:szCs w:val="24"/>
              </w:rPr>
              <w:t>证件</w:t>
            </w:r>
          </w:p>
          <w:p w14:paraId="64753C7F">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7298DCA0">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138F450C">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5DA37070">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92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73123A9E">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783C3937">
            <w:pPr>
              <w:jc w:val="center"/>
              <w:rPr>
                <w:rFonts w:hint="eastAsia" w:ascii="仿宋" w:hAnsi="仿宋" w:eastAsia="仿宋" w:cs="仿宋"/>
                <w:sz w:val="24"/>
                <w:szCs w:val="24"/>
              </w:rPr>
            </w:pPr>
          </w:p>
        </w:tc>
        <w:tc>
          <w:tcPr>
            <w:tcW w:w="900" w:type="dxa"/>
            <w:noWrap w:val="0"/>
            <w:vAlign w:val="center"/>
          </w:tcPr>
          <w:p w14:paraId="1002595E">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572834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C4C26DA">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412EF17">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8CB536D">
            <w:pPr>
              <w:jc w:val="center"/>
              <w:rPr>
                <w:rFonts w:hint="eastAsia" w:ascii="仿宋" w:hAnsi="仿宋" w:eastAsia="仿宋" w:cs="仿宋"/>
                <w:sz w:val="24"/>
                <w:szCs w:val="24"/>
              </w:rPr>
            </w:pPr>
          </w:p>
        </w:tc>
        <w:tc>
          <w:tcPr>
            <w:tcW w:w="1000" w:type="dxa"/>
            <w:noWrap w:val="0"/>
            <w:vAlign w:val="center"/>
          </w:tcPr>
          <w:p w14:paraId="26B58E01">
            <w:pPr>
              <w:jc w:val="center"/>
              <w:rPr>
                <w:rFonts w:hint="eastAsia" w:ascii="仿宋" w:hAnsi="仿宋" w:eastAsia="仿宋" w:cs="仿宋"/>
                <w:sz w:val="24"/>
                <w:szCs w:val="24"/>
              </w:rPr>
            </w:pPr>
          </w:p>
        </w:tc>
        <w:tc>
          <w:tcPr>
            <w:tcW w:w="885" w:type="dxa"/>
            <w:noWrap w:val="0"/>
            <w:vAlign w:val="center"/>
          </w:tcPr>
          <w:p w14:paraId="088D1C5C">
            <w:pPr>
              <w:jc w:val="center"/>
              <w:rPr>
                <w:rFonts w:hint="eastAsia" w:ascii="仿宋" w:hAnsi="仿宋" w:eastAsia="仿宋" w:cs="仿宋"/>
                <w:sz w:val="24"/>
                <w:szCs w:val="24"/>
              </w:rPr>
            </w:pPr>
          </w:p>
        </w:tc>
        <w:tc>
          <w:tcPr>
            <w:tcW w:w="885" w:type="dxa"/>
            <w:noWrap w:val="0"/>
            <w:vAlign w:val="center"/>
          </w:tcPr>
          <w:p w14:paraId="271781F1">
            <w:pPr>
              <w:jc w:val="center"/>
              <w:rPr>
                <w:rFonts w:hint="eastAsia" w:ascii="仿宋" w:hAnsi="仿宋" w:eastAsia="仿宋" w:cs="仿宋"/>
                <w:sz w:val="24"/>
                <w:szCs w:val="24"/>
              </w:rPr>
            </w:pPr>
          </w:p>
        </w:tc>
      </w:tr>
      <w:tr w14:paraId="5359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DE26759">
            <w:pPr>
              <w:jc w:val="center"/>
              <w:rPr>
                <w:rFonts w:hint="eastAsia" w:ascii="仿宋" w:hAnsi="仿宋" w:eastAsia="仿宋" w:cs="仿宋"/>
                <w:sz w:val="24"/>
                <w:szCs w:val="24"/>
              </w:rPr>
            </w:pPr>
          </w:p>
        </w:tc>
        <w:tc>
          <w:tcPr>
            <w:tcW w:w="869" w:type="dxa"/>
            <w:noWrap w:val="0"/>
            <w:vAlign w:val="center"/>
          </w:tcPr>
          <w:p w14:paraId="28014D98">
            <w:pPr>
              <w:jc w:val="center"/>
              <w:rPr>
                <w:rFonts w:hint="eastAsia" w:ascii="仿宋" w:hAnsi="仿宋" w:eastAsia="仿宋" w:cs="仿宋"/>
                <w:sz w:val="24"/>
                <w:szCs w:val="24"/>
              </w:rPr>
            </w:pPr>
          </w:p>
        </w:tc>
        <w:tc>
          <w:tcPr>
            <w:tcW w:w="900" w:type="dxa"/>
            <w:noWrap w:val="0"/>
            <w:vAlign w:val="center"/>
          </w:tcPr>
          <w:p w14:paraId="28241E4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9FF1E4D">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C4153E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714A824">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F0E2065">
            <w:pPr>
              <w:jc w:val="center"/>
              <w:rPr>
                <w:rFonts w:hint="eastAsia" w:ascii="仿宋" w:hAnsi="仿宋" w:eastAsia="仿宋" w:cs="仿宋"/>
                <w:sz w:val="24"/>
                <w:szCs w:val="24"/>
              </w:rPr>
            </w:pPr>
          </w:p>
        </w:tc>
        <w:tc>
          <w:tcPr>
            <w:tcW w:w="1000" w:type="dxa"/>
            <w:noWrap w:val="0"/>
            <w:vAlign w:val="center"/>
          </w:tcPr>
          <w:p w14:paraId="6A9F9E88">
            <w:pPr>
              <w:jc w:val="center"/>
              <w:rPr>
                <w:rFonts w:hint="eastAsia" w:ascii="仿宋" w:hAnsi="仿宋" w:eastAsia="仿宋" w:cs="仿宋"/>
                <w:sz w:val="24"/>
                <w:szCs w:val="24"/>
              </w:rPr>
            </w:pPr>
          </w:p>
        </w:tc>
        <w:tc>
          <w:tcPr>
            <w:tcW w:w="885" w:type="dxa"/>
            <w:noWrap w:val="0"/>
            <w:vAlign w:val="center"/>
          </w:tcPr>
          <w:p w14:paraId="7A087711">
            <w:pPr>
              <w:jc w:val="center"/>
              <w:rPr>
                <w:rFonts w:hint="eastAsia" w:ascii="仿宋" w:hAnsi="仿宋" w:eastAsia="仿宋" w:cs="仿宋"/>
                <w:sz w:val="24"/>
                <w:szCs w:val="24"/>
              </w:rPr>
            </w:pPr>
          </w:p>
        </w:tc>
        <w:tc>
          <w:tcPr>
            <w:tcW w:w="885" w:type="dxa"/>
            <w:noWrap w:val="0"/>
            <w:vAlign w:val="center"/>
          </w:tcPr>
          <w:p w14:paraId="7ECBFC7C">
            <w:pPr>
              <w:jc w:val="center"/>
              <w:rPr>
                <w:rFonts w:hint="eastAsia" w:ascii="仿宋" w:hAnsi="仿宋" w:eastAsia="仿宋" w:cs="仿宋"/>
                <w:sz w:val="24"/>
                <w:szCs w:val="24"/>
              </w:rPr>
            </w:pPr>
          </w:p>
        </w:tc>
      </w:tr>
      <w:tr w14:paraId="1D96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5F79179">
            <w:pPr>
              <w:jc w:val="center"/>
              <w:rPr>
                <w:rFonts w:hint="eastAsia" w:ascii="仿宋" w:hAnsi="仿宋" w:eastAsia="仿宋" w:cs="仿宋"/>
                <w:sz w:val="24"/>
                <w:szCs w:val="24"/>
              </w:rPr>
            </w:pPr>
          </w:p>
        </w:tc>
        <w:tc>
          <w:tcPr>
            <w:tcW w:w="869" w:type="dxa"/>
            <w:noWrap w:val="0"/>
            <w:vAlign w:val="center"/>
          </w:tcPr>
          <w:p w14:paraId="66284CEA">
            <w:pPr>
              <w:jc w:val="center"/>
              <w:rPr>
                <w:rFonts w:hint="eastAsia" w:ascii="仿宋" w:hAnsi="仿宋" w:eastAsia="仿宋" w:cs="仿宋"/>
                <w:sz w:val="24"/>
                <w:szCs w:val="24"/>
              </w:rPr>
            </w:pPr>
          </w:p>
        </w:tc>
        <w:tc>
          <w:tcPr>
            <w:tcW w:w="900" w:type="dxa"/>
            <w:noWrap w:val="0"/>
            <w:vAlign w:val="center"/>
          </w:tcPr>
          <w:p w14:paraId="6A2ACBBA">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12D25AB">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16BFB7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73C2AB25">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42DB4BC5">
            <w:pPr>
              <w:jc w:val="center"/>
              <w:rPr>
                <w:rFonts w:hint="eastAsia" w:ascii="仿宋" w:hAnsi="仿宋" w:eastAsia="仿宋" w:cs="仿宋"/>
                <w:sz w:val="24"/>
                <w:szCs w:val="24"/>
              </w:rPr>
            </w:pPr>
          </w:p>
        </w:tc>
        <w:tc>
          <w:tcPr>
            <w:tcW w:w="1000" w:type="dxa"/>
            <w:noWrap w:val="0"/>
            <w:vAlign w:val="center"/>
          </w:tcPr>
          <w:p w14:paraId="12D60929">
            <w:pPr>
              <w:jc w:val="center"/>
              <w:rPr>
                <w:rFonts w:hint="eastAsia" w:ascii="仿宋" w:hAnsi="仿宋" w:eastAsia="仿宋" w:cs="仿宋"/>
                <w:sz w:val="24"/>
                <w:szCs w:val="24"/>
              </w:rPr>
            </w:pPr>
          </w:p>
        </w:tc>
        <w:tc>
          <w:tcPr>
            <w:tcW w:w="885" w:type="dxa"/>
            <w:noWrap w:val="0"/>
            <w:vAlign w:val="center"/>
          </w:tcPr>
          <w:p w14:paraId="3DD51955">
            <w:pPr>
              <w:jc w:val="center"/>
              <w:rPr>
                <w:rFonts w:hint="eastAsia" w:ascii="仿宋" w:hAnsi="仿宋" w:eastAsia="仿宋" w:cs="仿宋"/>
                <w:sz w:val="24"/>
                <w:szCs w:val="24"/>
              </w:rPr>
            </w:pPr>
          </w:p>
        </w:tc>
        <w:tc>
          <w:tcPr>
            <w:tcW w:w="885" w:type="dxa"/>
            <w:noWrap w:val="0"/>
            <w:vAlign w:val="center"/>
          </w:tcPr>
          <w:p w14:paraId="5F84AB6E">
            <w:pPr>
              <w:jc w:val="center"/>
              <w:rPr>
                <w:rFonts w:hint="eastAsia" w:ascii="仿宋" w:hAnsi="仿宋" w:eastAsia="仿宋" w:cs="仿宋"/>
                <w:sz w:val="24"/>
                <w:szCs w:val="24"/>
              </w:rPr>
            </w:pPr>
          </w:p>
        </w:tc>
      </w:tr>
      <w:tr w14:paraId="0456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2C97D03">
            <w:pPr>
              <w:jc w:val="center"/>
              <w:rPr>
                <w:rFonts w:hint="eastAsia" w:ascii="仿宋" w:hAnsi="仿宋" w:eastAsia="仿宋" w:cs="仿宋"/>
                <w:sz w:val="24"/>
                <w:szCs w:val="24"/>
              </w:rPr>
            </w:pPr>
          </w:p>
        </w:tc>
        <w:tc>
          <w:tcPr>
            <w:tcW w:w="869" w:type="dxa"/>
            <w:noWrap w:val="0"/>
            <w:vAlign w:val="center"/>
          </w:tcPr>
          <w:p w14:paraId="24DFF0AF">
            <w:pPr>
              <w:jc w:val="center"/>
              <w:rPr>
                <w:rFonts w:hint="eastAsia" w:ascii="仿宋" w:hAnsi="仿宋" w:eastAsia="仿宋" w:cs="仿宋"/>
                <w:sz w:val="24"/>
                <w:szCs w:val="24"/>
              </w:rPr>
            </w:pPr>
          </w:p>
        </w:tc>
        <w:tc>
          <w:tcPr>
            <w:tcW w:w="900" w:type="dxa"/>
            <w:noWrap w:val="0"/>
            <w:vAlign w:val="center"/>
          </w:tcPr>
          <w:p w14:paraId="31519572">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5D0951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E66179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BF381B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CC8E580">
            <w:pPr>
              <w:jc w:val="center"/>
              <w:rPr>
                <w:rFonts w:hint="eastAsia" w:ascii="仿宋" w:hAnsi="仿宋" w:eastAsia="仿宋" w:cs="仿宋"/>
                <w:sz w:val="24"/>
                <w:szCs w:val="24"/>
              </w:rPr>
            </w:pPr>
          </w:p>
        </w:tc>
        <w:tc>
          <w:tcPr>
            <w:tcW w:w="1000" w:type="dxa"/>
            <w:noWrap w:val="0"/>
            <w:vAlign w:val="center"/>
          </w:tcPr>
          <w:p w14:paraId="1EB12789">
            <w:pPr>
              <w:jc w:val="center"/>
              <w:rPr>
                <w:rFonts w:hint="eastAsia" w:ascii="仿宋" w:hAnsi="仿宋" w:eastAsia="仿宋" w:cs="仿宋"/>
                <w:sz w:val="24"/>
                <w:szCs w:val="24"/>
              </w:rPr>
            </w:pPr>
          </w:p>
        </w:tc>
        <w:tc>
          <w:tcPr>
            <w:tcW w:w="885" w:type="dxa"/>
            <w:noWrap w:val="0"/>
            <w:vAlign w:val="center"/>
          </w:tcPr>
          <w:p w14:paraId="58802DEF">
            <w:pPr>
              <w:jc w:val="center"/>
              <w:rPr>
                <w:rFonts w:hint="eastAsia" w:ascii="仿宋" w:hAnsi="仿宋" w:eastAsia="仿宋" w:cs="仿宋"/>
                <w:sz w:val="24"/>
                <w:szCs w:val="24"/>
              </w:rPr>
            </w:pPr>
          </w:p>
        </w:tc>
        <w:tc>
          <w:tcPr>
            <w:tcW w:w="885" w:type="dxa"/>
            <w:noWrap w:val="0"/>
            <w:vAlign w:val="center"/>
          </w:tcPr>
          <w:p w14:paraId="655F6961">
            <w:pPr>
              <w:jc w:val="center"/>
              <w:rPr>
                <w:rFonts w:hint="eastAsia" w:ascii="仿宋" w:hAnsi="仿宋" w:eastAsia="仿宋" w:cs="仿宋"/>
                <w:sz w:val="24"/>
                <w:szCs w:val="24"/>
              </w:rPr>
            </w:pPr>
          </w:p>
        </w:tc>
      </w:tr>
      <w:tr w14:paraId="6147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8614CA2">
            <w:pPr>
              <w:jc w:val="center"/>
              <w:rPr>
                <w:rFonts w:hint="eastAsia" w:ascii="仿宋" w:hAnsi="仿宋" w:eastAsia="仿宋" w:cs="仿宋"/>
                <w:sz w:val="24"/>
                <w:szCs w:val="24"/>
              </w:rPr>
            </w:pPr>
          </w:p>
        </w:tc>
        <w:tc>
          <w:tcPr>
            <w:tcW w:w="869" w:type="dxa"/>
            <w:noWrap w:val="0"/>
            <w:vAlign w:val="center"/>
          </w:tcPr>
          <w:p w14:paraId="3909AA3F">
            <w:pPr>
              <w:jc w:val="center"/>
              <w:rPr>
                <w:rFonts w:hint="eastAsia" w:ascii="仿宋" w:hAnsi="仿宋" w:eastAsia="仿宋" w:cs="仿宋"/>
                <w:sz w:val="24"/>
                <w:szCs w:val="24"/>
              </w:rPr>
            </w:pPr>
          </w:p>
        </w:tc>
        <w:tc>
          <w:tcPr>
            <w:tcW w:w="900" w:type="dxa"/>
            <w:noWrap w:val="0"/>
            <w:vAlign w:val="center"/>
          </w:tcPr>
          <w:p w14:paraId="430BE58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858757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F4CEA7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DF03C18">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08974D22">
            <w:pPr>
              <w:jc w:val="center"/>
              <w:rPr>
                <w:rFonts w:hint="eastAsia" w:ascii="仿宋" w:hAnsi="仿宋" w:eastAsia="仿宋" w:cs="仿宋"/>
                <w:sz w:val="24"/>
                <w:szCs w:val="24"/>
              </w:rPr>
            </w:pPr>
          </w:p>
        </w:tc>
        <w:tc>
          <w:tcPr>
            <w:tcW w:w="1000" w:type="dxa"/>
            <w:noWrap w:val="0"/>
            <w:vAlign w:val="center"/>
          </w:tcPr>
          <w:p w14:paraId="4B7FF7B7">
            <w:pPr>
              <w:jc w:val="center"/>
              <w:rPr>
                <w:rFonts w:hint="eastAsia" w:ascii="仿宋" w:hAnsi="仿宋" w:eastAsia="仿宋" w:cs="仿宋"/>
                <w:sz w:val="24"/>
                <w:szCs w:val="24"/>
              </w:rPr>
            </w:pPr>
          </w:p>
        </w:tc>
        <w:tc>
          <w:tcPr>
            <w:tcW w:w="885" w:type="dxa"/>
            <w:noWrap w:val="0"/>
            <w:vAlign w:val="center"/>
          </w:tcPr>
          <w:p w14:paraId="10EC3C12">
            <w:pPr>
              <w:jc w:val="center"/>
              <w:rPr>
                <w:rFonts w:hint="eastAsia" w:ascii="仿宋" w:hAnsi="仿宋" w:eastAsia="仿宋" w:cs="仿宋"/>
                <w:sz w:val="24"/>
                <w:szCs w:val="24"/>
              </w:rPr>
            </w:pPr>
          </w:p>
        </w:tc>
        <w:tc>
          <w:tcPr>
            <w:tcW w:w="885" w:type="dxa"/>
            <w:noWrap w:val="0"/>
            <w:vAlign w:val="center"/>
          </w:tcPr>
          <w:p w14:paraId="418F14B4">
            <w:pPr>
              <w:jc w:val="center"/>
              <w:rPr>
                <w:rFonts w:hint="eastAsia" w:ascii="仿宋" w:hAnsi="仿宋" w:eastAsia="仿宋" w:cs="仿宋"/>
                <w:sz w:val="24"/>
                <w:szCs w:val="24"/>
              </w:rPr>
            </w:pPr>
          </w:p>
        </w:tc>
      </w:tr>
      <w:tr w14:paraId="2EEA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77937A">
            <w:pPr>
              <w:jc w:val="center"/>
              <w:rPr>
                <w:rFonts w:hint="eastAsia" w:ascii="仿宋" w:hAnsi="仿宋" w:eastAsia="仿宋" w:cs="仿宋"/>
                <w:sz w:val="24"/>
                <w:szCs w:val="24"/>
              </w:rPr>
            </w:pPr>
          </w:p>
        </w:tc>
        <w:tc>
          <w:tcPr>
            <w:tcW w:w="869" w:type="dxa"/>
            <w:noWrap w:val="0"/>
            <w:vAlign w:val="center"/>
          </w:tcPr>
          <w:p w14:paraId="5A3BCC35">
            <w:pPr>
              <w:jc w:val="center"/>
              <w:rPr>
                <w:rFonts w:hint="eastAsia" w:ascii="仿宋" w:hAnsi="仿宋" w:eastAsia="仿宋" w:cs="仿宋"/>
                <w:sz w:val="24"/>
                <w:szCs w:val="24"/>
              </w:rPr>
            </w:pPr>
          </w:p>
        </w:tc>
        <w:tc>
          <w:tcPr>
            <w:tcW w:w="900" w:type="dxa"/>
            <w:noWrap w:val="0"/>
            <w:vAlign w:val="center"/>
          </w:tcPr>
          <w:p w14:paraId="6F9EE3B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23B448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F0801C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9B0812E">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DFB0938">
            <w:pPr>
              <w:jc w:val="center"/>
              <w:rPr>
                <w:rFonts w:hint="eastAsia" w:ascii="仿宋" w:hAnsi="仿宋" w:eastAsia="仿宋" w:cs="仿宋"/>
                <w:sz w:val="24"/>
                <w:szCs w:val="24"/>
              </w:rPr>
            </w:pPr>
          </w:p>
        </w:tc>
        <w:tc>
          <w:tcPr>
            <w:tcW w:w="1000" w:type="dxa"/>
            <w:noWrap w:val="0"/>
            <w:vAlign w:val="center"/>
          </w:tcPr>
          <w:p w14:paraId="217D6896">
            <w:pPr>
              <w:jc w:val="center"/>
              <w:rPr>
                <w:rFonts w:hint="eastAsia" w:ascii="仿宋" w:hAnsi="仿宋" w:eastAsia="仿宋" w:cs="仿宋"/>
                <w:sz w:val="24"/>
                <w:szCs w:val="24"/>
              </w:rPr>
            </w:pPr>
          </w:p>
        </w:tc>
        <w:tc>
          <w:tcPr>
            <w:tcW w:w="885" w:type="dxa"/>
            <w:noWrap w:val="0"/>
            <w:vAlign w:val="center"/>
          </w:tcPr>
          <w:p w14:paraId="45304602">
            <w:pPr>
              <w:jc w:val="center"/>
              <w:rPr>
                <w:rFonts w:hint="eastAsia" w:ascii="仿宋" w:hAnsi="仿宋" w:eastAsia="仿宋" w:cs="仿宋"/>
                <w:sz w:val="24"/>
                <w:szCs w:val="24"/>
              </w:rPr>
            </w:pPr>
          </w:p>
        </w:tc>
        <w:tc>
          <w:tcPr>
            <w:tcW w:w="885" w:type="dxa"/>
            <w:noWrap w:val="0"/>
            <w:vAlign w:val="center"/>
          </w:tcPr>
          <w:p w14:paraId="560B1DEC">
            <w:pPr>
              <w:jc w:val="center"/>
              <w:rPr>
                <w:rFonts w:hint="eastAsia" w:ascii="仿宋" w:hAnsi="仿宋" w:eastAsia="仿宋" w:cs="仿宋"/>
                <w:sz w:val="24"/>
                <w:szCs w:val="24"/>
              </w:rPr>
            </w:pPr>
          </w:p>
        </w:tc>
      </w:tr>
      <w:tr w14:paraId="5FE9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D5451C">
            <w:pPr>
              <w:jc w:val="center"/>
              <w:rPr>
                <w:rFonts w:hint="eastAsia" w:ascii="仿宋" w:hAnsi="仿宋" w:eastAsia="仿宋" w:cs="仿宋"/>
                <w:sz w:val="24"/>
                <w:szCs w:val="24"/>
              </w:rPr>
            </w:pPr>
          </w:p>
        </w:tc>
        <w:tc>
          <w:tcPr>
            <w:tcW w:w="869" w:type="dxa"/>
            <w:noWrap w:val="0"/>
            <w:vAlign w:val="center"/>
          </w:tcPr>
          <w:p w14:paraId="30DBE4A4">
            <w:pPr>
              <w:jc w:val="center"/>
              <w:rPr>
                <w:rFonts w:hint="eastAsia" w:ascii="仿宋" w:hAnsi="仿宋" w:eastAsia="仿宋" w:cs="仿宋"/>
                <w:sz w:val="24"/>
                <w:szCs w:val="24"/>
              </w:rPr>
            </w:pPr>
          </w:p>
        </w:tc>
        <w:tc>
          <w:tcPr>
            <w:tcW w:w="900" w:type="dxa"/>
            <w:noWrap w:val="0"/>
            <w:vAlign w:val="center"/>
          </w:tcPr>
          <w:p w14:paraId="4680348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FDC506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6A8C9D2">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A9B37B">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51CDC1E">
            <w:pPr>
              <w:jc w:val="center"/>
              <w:rPr>
                <w:rFonts w:hint="eastAsia" w:ascii="仿宋" w:hAnsi="仿宋" w:eastAsia="仿宋" w:cs="仿宋"/>
                <w:sz w:val="24"/>
                <w:szCs w:val="24"/>
              </w:rPr>
            </w:pPr>
          </w:p>
        </w:tc>
        <w:tc>
          <w:tcPr>
            <w:tcW w:w="1000" w:type="dxa"/>
            <w:noWrap w:val="0"/>
            <w:vAlign w:val="center"/>
          </w:tcPr>
          <w:p w14:paraId="1A98280D">
            <w:pPr>
              <w:jc w:val="center"/>
              <w:rPr>
                <w:rFonts w:hint="eastAsia" w:ascii="仿宋" w:hAnsi="仿宋" w:eastAsia="仿宋" w:cs="仿宋"/>
                <w:sz w:val="24"/>
                <w:szCs w:val="24"/>
              </w:rPr>
            </w:pPr>
          </w:p>
        </w:tc>
        <w:tc>
          <w:tcPr>
            <w:tcW w:w="885" w:type="dxa"/>
            <w:noWrap w:val="0"/>
            <w:vAlign w:val="center"/>
          </w:tcPr>
          <w:p w14:paraId="044DE5FE">
            <w:pPr>
              <w:jc w:val="center"/>
              <w:rPr>
                <w:rFonts w:hint="eastAsia" w:ascii="仿宋" w:hAnsi="仿宋" w:eastAsia="仿宋" w:cs="仿宋"/>
                <w:sz w:val="24"/>
                <w:szCs w:val="24"/>
              </w:rPr>
            </w:pPr>
          </w:p>
        </w:tc>
        <w:tc>
          <w:tcPr>
            <w:tcW w:w="885" w:type="dxa"/>
            <w:noWrap w:val="0"/>
            <w:vAlign w:val="center"/>
          </w:tcPr>
          <w:p w14:paraId="1FF329DC">
            <w:pPr>
              <w:jc w:val="center"/>
              <w:rPr>
                <w:rFonts w:hint="eastAsia" w:ascii="仿宋" w:hAnsi="仿宋" w:eastAsia="仿宋" w:cs="仿宋"/>
                <w:sz w:val="24"/>
                <w:szCs w:val="24"/>
              </w:rPr>
            </w:pPr>
          </w:p>
        </w:tc>
      </w:tr>
      <w:tr w14:paraId="43E9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A7B72A1">
            <w:pPr>
              <w:jc w:val="center"/>
              <w:rPr>
                <w:rFonts w:hint="eastAsia" w:ascii="仿宋" w:hAnsi="仿宋" w:eastAsia="仿宋" w:cs="仿宋"/>
                <w:sz w:val="24"/>
                <w:szCs w:val="24"/>
              </w:rPr>
            </w:pPr>
          </w:p>
        </w:tc>
        <w:tc>
          <w:tcPr>
            <w:tcW w:w="869" w:type="dxa"/>
            <w:noWrap w:val="0"/>
            <w:vAlign w:val="center"/>
          </w:tcPr>
          <w:p w14:paraId="47564809">
            <w:pPr>
              <w:jc w:val="center"/>
              <w:rPr>
                <w:rFonts w:hint="eastAsia" w:ascii="仿宋" w:hAnsi="仿宋" w:eastAsia="仿宋" w:cs="仿宋"/>
                <w:sz w:val="24"/>
                <w:szCs w:val="24"/>
              </w:rPr>
            </w:pPr>
          </w:p>
        </w:tc>
        <w:tc>
          <w:tcPr>
            <w:tcW w:w="900" w:type="dxa"/>
            <w:noWrap w:val="0"/>
            <w:vAlign w:val="center"/>
          </w:tcPr>
          <w:p w14:paraId="05EC0D80">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576D7C3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608E24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1DA9B27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317756D">
            <w:pPr>
              <w:jc w:val="center"/>
              <w:rPr>
                <w:rFonts w:hint="eastAsia" w:ascii="仿宋" w:hAnsi="仿宋" w:eastAsia="仿宋" w:cs="仿宋"/>
                <w:sz w:val="24"/>
                <w:szCs w:val="24"/>
              </w:rPr>
            </w:pPr>
          </w:p>
        </w:tc>
        <w:tc>
          <w:tcPr>
            <w:tcW w:w="1000" w:type="dxa"/>
            <w:noWrap w:val="0"/>
            <w:vAlign w:val="center"/>
          </w:tcPr>
          <w:p w14:paraId="3831088A">
            <w:pPr>
              <w:jc w:val="center"/>
              <w:rPr>
                <w:rFonts w:hint="eastAsia" w:ascii="仿宋" w:hAnsi="仿宋" w:eastAsia="仿宋" w:cs="仿宋"/>
                <w:sz w:val="24"/>
                <w:szCs w:val="24"/>
              </w:rPr>
            </w:pPr>
          </w:p>
        </w:tc>
        <w:tc>
          <w:tcPr>
            <w:tcW w:w="885" w:type="dxa"/>
            <w:noWrap w:val="0"/>
            <w:vAlign w:val="center"/>
          </w:tcPr>
          <w:p w14:paraId="1AE12F1E">
            <w:pPr>
              <w:jc w:val="center"/>
              <w:rPr>
                <w:rFonts w:hint="eastAsia" w:ascii="仿宋" w:hAnsi="仿宋" w:eastAsia="仿宋" w:cs="仿宋"/>
                <w:sz w:val="24"/>
                <w:szCs w:val="24"/>
              </w:rPr>
            </w:pPr>
          </w:p>
        </w:tc>
        <w:tc>
          <w:tcPr>
            <w:tcW w:w="885" w:type="dxa"/>
            <w:noWrap w:val="0"/>
            <w:vAlign w:val="center"/>
          </w:tcPr>
          <w:p w14:paraId="18D49EE5">
            <w:pPr>
              <w:jc w:val="center"/>
              <w:rPr>
                <w:rFonts w:hint="eastAsia" w:ascii="仿宋" w:hAnsi="仿宋" w:eastAsia="仿宋" w:cs="仿宋"/>
                <w:sz w:val="24"/>
                <w:szCs w:val="24"/>
              </w:rPr>
            </w:pPr>
          </w:p>
        </w:tc>
      </w:tr>
    </w:tbl>
    <w:p w14:paraId="074525B5">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03BB9C27">
      <w:pPr>
        <w:pStyle w:val="2"/>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5B80607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7" w:type="default"/>
          <w:pgSz w:w="11906" w:h="16839"/>
          <w:pgMar w:top="1431" w:right="1014" w:bottom="1166" w:left="967" w:header="0" w:footer="987" w:gutter="0"/>
          <w:pgNumType w:fmt="decimal"/>
          <w:cols w:space="720" w:num="1"/>
        </w:sectPr>
      </w:pPr>
    </w:p>
    <w:p w14:paraId="4FBD5156">
      <w:pPr>
        <w:pStyle w:val="2"/>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244E517B">
      <w:pPr>
        <w:pStyle w:val="2"/>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C1B7F51">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76682351">
      <w:pPr>
        <w:pStyle w:val="2"/>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3BFF3D2">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6"/>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38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6F17B09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C1EE9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0B343BC8">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3FCE07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2F076C9">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2E94A4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A1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A0A241D">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A47935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4E2BBF">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43493A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AD8FC6">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052D911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0077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047BFD67">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30C6C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3AC67D0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3772D12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2A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B90BED7">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7DEAD8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D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71B2A1">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EE08DFC">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4A3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CC7080">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4570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DE0AB7C">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39815E59">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0FC6A20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591472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CC2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EB6A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19644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E2F0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2BEB430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5B6453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AE9F6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18F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E10A4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A77F9C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7821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B2FB1C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98481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615C53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EE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77EA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4B13B2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B6D2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D60C51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39FC5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12B19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488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E67D9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E6B2B7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6F61F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C2EB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C2DFB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1FD021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8BD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9E00F0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3D628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17D84A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757F68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73CC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06AC46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F88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39B0E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9DF380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4F83C2C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2D8C2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612C971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2F7EB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45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55A26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49FB9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4E5CF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36B6A45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EA6DD1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3D8C5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67B72015">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7873C189">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1903C0E5">
      <w:pPr>
        <w:pStyle w:val="2"/>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8" w:type="default"/>
          <w:pgSz w:w="11906" w:h="16839"/>
          <w:pgMar w:top="1431" w:right="1166" w:bottom="1166" w:left="1087" w:header="0" w:footer="987" w:gutter="0"/>
          <w:pgNumType w:fmt="decimal"/>
          <w:cols w:space="720" w:num="1"/>
        </w:sectPr>
      </w:pPr>
    </w:p>
    <w:p w14:paraId="61257824">
      <w:pPr>
        <w:pStyle w:val="2"/>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7C1EFB26">
      <w:pPr>
        <w:pStyle w:val="2"/>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5C0E5465">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6"/>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F6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567B764">
            <w:pPr>
              <w:pStyle w:val="28"/>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2E5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06B9377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23C3897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C857994">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029E5A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66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594ED88">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01D188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7906141F">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4BF5586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4D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C1270C8">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171F9F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15B90FA0">
            <w:pPr>
              <w:pStyle w:val="28"/>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3E4BE21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1D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4D781AD">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6C4561E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3C02FD4">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10C051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4F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DE2239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5B7DEF1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5F58D93">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04E9EB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E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2F6F83BD">
            <w:pPr>
              <w:pStyle w:val="28"/>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4B1435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482F54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1436B65">
      <w:pPr>
        <w:shd w:val="clear"/>
        <w:rPr>
          <w:rFonts w:hint="eastAsia" w:ascii="仿宋" w:hAnsi="仿宋" w:eastAsia="仿宋" w:cs="仿宋"/>
          <w:color w:val="auto"/>
          <w:sz w:val="24"/>
          <w:szCs w:val="24"/>
          <w:highlight w:val="none"/>
        </w:rPr>
        <w:sectPr>
          <w:footerReference r:id="rId19" w:type="default"/>
          <w:pgSz w:w="11906" w:h="16839"/>
          <w:pgMar w:top="1431" w:right="1165" w:bottom="1166" w:left="1088" w:header="0" w:footer="987" w:gutter="0"/>
          <w:pgNumType w:fmt="decimal"/>
          <w:cols w:space="720" w:num="1"/>
        </w:sectPr>
      </w:pPr>
    </w:p>
    <w:p w14:paraId="1991E0E6">
      <w:pPr>
        <w:pStyle w:val="2"/>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0" w:name="_Toc15589"/>
      <w:bookmarkStart w:id="381" w:name="_Toc10645"/>
      <w:r>
        <w:rPr>
          <w:rFonts w:hint="eastAsia" w:ascii="仿宋" w:hAnsi="仿宋" w:eastAsia="仿宋" w:cs="仿宋"/>
          <w:b/>
          <w:color w:val="auto"/>
          <w:kern w:val="0"/>
          <w:sz w:val="32"/>
          <w:szCs w:val="32"/>
          <w:highlight w:val="none"/>
          <w:u w:val="none"/>
          <w:lang w:val="en-US" w:eastAsia="zh-CN" w:bidi="ar-SA"/>
        </w:rPr>
        <w:t>6 审查资料</w:t>
      </w:r>
      <w:bookmarkEnd w:id="380"/>
      <w:bookmarkEnd w:id="381"/>
    </w:p>
    <w:p w14:paraId="0E24CA1A">
      <w:pPr>
        <w:shd w:val="clear"/>
        <w:spacing w:line="284" w:lineRule="auto"/>
        <w:rPr>
          <w:rFonts w:hint="eastAsia" w:ascii="仿宋" w:hAnsi="仿宋" w:eastAsia="仿宋" w:cs="仿宋"/>
          <w:color w:val="auto"/>
          <w:sz w:val="24"/>
          <w:szCs w:val="24"/>
          <w:highlight w:val="none"/>
        </w:rPr>
      </w:pPr>
    </w:p>
    <w:p w14:paraId="7B9B6239">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2153B4BE">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6"/>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4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3378E2D">
            <w:pPr>
              <w:pStyle w:val="28"/>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2CE88D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207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6DFA927">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54DF96A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0962678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0AF671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AE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00B32A9">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3588DFF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6F62C7A2">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07EB7DE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42A327A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2EFAAC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1FA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0A46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1D12925B">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0659A3E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275DE423">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2BBA7BE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A1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18EEB8E">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3F7231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7A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CCFFFC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E4BE9F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40149A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1F53CBE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4B9052C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144BEC3C">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53B0641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995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36C0706">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E34CB4E">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5A04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AE0DA9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7826265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7208E95">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4A8B9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5FE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C0F4144">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7FD064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918D908">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4962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4A28B311">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4FE0974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6443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7A8878B6">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513E8949">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6083022">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362BC11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496D91D8">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0158DBB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49E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6408121">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548C23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BA02E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4AEC3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155681E9">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4828EDF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423E1882">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1B72423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DE5A72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96502D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39A03A06">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125DBB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18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C15F11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11B674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6B21D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008766D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635B7A8D">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44815B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2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7EAB3629">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0E7F8C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720AC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30EF80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B9EF704">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AFE5A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D5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4C2E8DE7">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1A881B44">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774149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1B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CB9D8C2">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2ADE0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00E0AA0">
      <w:pPr>
        <w:pStyle w:val="2"/>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153E2353">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44374366">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8971DB3">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119F339">
      <w:pPr>
        <w:pStyle w:val="2"/>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1FA4E9E0">
      <w:pPr>
        <w:pStyle w:val="2"/>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00D27F34">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1E22ED57">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18E29E02">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15C26D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5F3B2E4D">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3E66EEE">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3E9A3BE7">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27305AD4">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3B315977">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57BDFD97">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133381E1">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1600CEA9">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28899AFB">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06091CB7">
      <w:pPr>
        <w:pStyle w:val="2"/>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382" w:name="_Toc5882"/>
      <w:r>
        <w:rPr>
          <w:rFonts w:hint="eastAsia" w:ascii="仿宋" w:hAnsi="仿宋" w:eastAsia="仿宋" w:cs="仿宋"/>
          <w:b/>
          <w:bCs/>
          <w:color w:val="auto"/>
          <w:spacing w:val="6"/>
          <w:sz w:val="24"/>
          <w:szCs w:val="24"/>
          <w:highlight w:val="none"/>
        </w:rPr>
        <w:t>（年份要求同诉讼及仲裁情况年份要求）</w:t>
      </w:r>
      <w:bookmarkEnd w:id="382"/>
    </w:p>
    <w:p w14:paraId="1236EF97">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89133B7">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5197D16">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7EEF5FB3">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3414F1C1">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1D9F2F78">
      <w:pPr>
        <w:pStyle w:val="2"/>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72CE6DE3">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CB520AA">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4DEE0E9D">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383" w:name="_Toc10002"/>
      <w:bookmarkStart w:id="384" w:name="_Toc12468"/>
    </w:p>
    <w:p w14:paraId="52F382DC">
      <w:pPr>
        <w:pStyle w:val="2"/>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383"/>
      <w:bookmarkEnd w:id="384"/>
    </w:p>
    <w:p w14:paraId="7CE97CA1">
      <w:pPr>
        <w:rPr>
          <w:rFonts w:hint="eastAsia"/>
        </w:rPr>
      </w:pPr>
    </w:p>
    <w:p w14:paraId="1B8F0849">
      <w:pPr>
        <w:pStyle w:val="7"/>
        <w:numPr>
          <w:ilvl w:val="0"/>
          <w:numId w:val="0"/>
        </w:numPr>
        <w:spacing w:line="360" w:lineRule="auto"/>
        <w:jc w:val="center"/>
        <w:rPr>
          <w:rFonts w:hint="eastAsia" w:ascii="仿宋" w:hAnsi="仿宋" w:eastAsia="仿宋" w:cs="仿宋"/>
          <w:b/>
          <w:bCs/>
          <w:sz w:val="28"/>
          <w:szCs w:val="28"/>
          <w:lang w:val="en-US" w:eastAsia="zh-CN"/>
        </w:rPr>
      </w:pPr>
      <w:bookmarkStart w:id="385" w:name="_Toc518923123"/>
      <w:bookmarkStart w:id="386" w:name="_Toc17066"/>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385"/>
      <w:bookmarkEnd w:id="386"/>
      <w:r>
        <w:rPr>
          <w:rFonts w:hint="eastAsia" w:ascii="仿宋" w:hAnsi="仿宋" w:eastAsia="仿宋" w:cs="仿宋"/>
          <w:b/>
          <w:bCs/>
          <w:sz w:val="28"/>
          <w:szCs w:val="28"/>
          <w:lang w:val="en-US" w:eastAsia="zh-CN"/>
        </w:rPr>
        <w:t>内容</w:t>
      </w:r>
    </w:p>
    <w:p w14:paraId="0C471A95">
      <w:pPr>
        <w:rPr>
          <w:rFonts w:hint="eastAsia" w:ascii="仿宋" w:hAnsi="仿宋" w:eastAsia="仿宋" w:cs="仿宋"/>
          <w:sz w:val="24"/>
          <w:szCs w:val="24"/>
          <w:lang w:val="en-US" w:eastAsia="zh-CN"/>
        </w:rPr>
      </w:pPr>
    </w:p>
    <w:p w14:paraId="226A2E5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397EE89B">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3A875E8A">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554072BD">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伽师县巴仁镇第四小学提升改造项目一标段（二次）</w:t>
      </w:r>
    </w:p>
    <w:p w14:paraId="46BE8D30">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6F9A389F">
      <w:pPr>
        <w:keepNext w:val="0"/>
        <w:keepLines w:val="0"/>
        <w:pageBreakBefore w:val="0"/>
        <w:widowControl w:val="0"/>
        <w:kinsoku/>
        <w:wordWrap/>
        <w:overflowPunct/>
        <w:topLinePunct w:val="0"/>
        <w:autoSpaceDE/>
        <w:autoSpaceDN/>
        <w:bidi w:val="0"/>
        <w:adjustRightInd/>
        <w:snapToGrid/>
        <w:spacing w:line="252" w:lineRule="auto"/>
        <w:jc w:val="both"/>
        <w:textAlignment w:val="auto"/>
        <w:outlineLvl w:val="9"/>
        <w:rPr>
          <w:rFonts w:hint="eastAsia" w:ascii="仿宋" w:hAnsi="仿宋" w:eastAsia="仿宋" w:cs="仿宋"/>
          <w:b/>
          <w:bCs/>
          <w:color w:val="auto"/>
          <w:spacing w:val="-4"/>
          <w:sz w:val="24"/>
          <w:szCs w:val="24"/>
          <w:highlight w:val="none"/>
          <w:lang w:eastAsia="zh-CN"/>
        </w:rPr>
      </w:pPr>
    </w:p>
    <w:p w14:paraId="6D5434AE">
      <w:pPr>
        <w:pStyle w:val="2"/>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snapToGrid w:val="0"/>
          <w:color w:val="auto"/>
          <w:spacing w:val="-4"/>
          <w:kern w:val="0"/>
          <w:sz w:val="36"/>
          <w:szCs w:val="36"/>
          <w:highlight w:val="none"/>
          <w:lang w:val="en-US" w:eastAsia="zh-CN" w:bidi="ar-SA"/>
        </w:rPr>
      </w:pPr>
      <w:r>
        <w:rPr>
          <w:rFonts w:hint="eastAsia" w:ascii="仿宋" w:hAnsi="仿宋" w:eastAsia="仿宋" w:cs="仿宋"/>
          <w:b/>
          <w:bCs/>
          <w:snapToGrid w:val="0"/>
          <w:color w:val="auto"/>
          <w:spacing w:val="-4"/>
          <w:kern w:val="0"/>
          <w:sz w:val="36"/>
          <w:szCs w:val="36"/>
          <w:highlight w:val="none"/>
          <w:lang w:val="en-US" w:eastAsia="zh-CN" w:bidi="ar-SA"/>
        </w:rPr>
        <w:t>竞争性磋商文件</w:t>
      </w:r>
    </w:p>
    <w:p w14:paraId="11FB4715">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36"/>
          <w:szCs w:val="36"/>
          <w:highlight w:val="none"/>
        </w:rPr>
      </w:pPr>
    </w:p>
    <w:p w14:paraId="182DBEB6">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24"/>
          <w:szCs w:val="24"/>
          <w:highlight w:val="none"/>
        </w:rPr>
      </w:pPr>
    </w:p>
    <w:p w14:paraId="76063F77">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24"/>
          <w:szCs w:val="24"/>
          <w:highlight w:val="none"/>
        </w:rPr>
      </w:pPr>
    </w:p>
    <w:p w14:paraId="03413E06">
      <w:pPr>
        <w:pStyle w:val="2"/>
        <w:keepNext w:val="0"/>
        <w:keepLines w:val="0"/>
        <w:pageBreakBefore w:val="0"/>
        <w:widowControl/>
        <w:shd w:val="clear"/>
        <w:kinsoku w:val="0"/>
        <w:wordWrap/>
        <w:overflowPunct/>
        <w:topLinePunct w:val="0"/>
        <w:autoSpaceDE w:val="0"/>
        <w:autoSpaceDN w:val="0"/>
        <w:bidi w:val="0"/>
        <w:adjustRightInd w:val="0"/>
        <w:snapToGrid w:val="0"/>
        <w:spacing w:before="100" w:line="223" w:lineRule="auto"/>
        <w:ind w:left="2025"/>
        <w:textAlignment w:val="baseline"/>
        <w:outlineLvl w:val="9"/>
        <w:rPr>
          <w:rFonts w:hint="eastAsia" w:ascii="仿宋" w:hAnsi="仿宋" w:eastAsia="仿宋" w:cs="仿宋"/>
          <w:color w:val="auto"/>
          <w:spacing w:val="6"/>
          <w:sz w:val="32"/>
          <w:szCs w:val="32"/>
          <w:highlight w:val="none"/>
        </w:rPr>
      </w:pPr>
      <w:bookmarkStart w:id="387" w:name="_Toc3575"/>
      <w:bookmarkStart w:id="388" w:name="_Toc12717"/>
      <w:bookmarkStart w:id="389" w:name="_Toc2195"/>
      <w:bookmarkStart w:id="390" w:name="_Toc12767"/>
      <w:r>
        <w:rPr>
          <w:rFonts w:hint="eastAsia" w:ascii="仿宋" w:hAnsi="仿宋" w:eastAsia="仿宋" w:cs="仿宋"/>
          <w:color w:val="auto"/>
          <w:spacing w:val="6"/>
          <w:sz w:val="32"/>
          <w:szCs w:val="32"/>
          <w:highlight w:val="none"/>
        </w:rPr>
        <w:t>（项目编号：</w:t>
      </w:r>
      <w:r>
        <w:rPr>
          <w:rFonts w:hint="eastAsia" w:ascii="仿宋" w:hAnsi="仿宋" w:eastAsia="仿宋" w:cs="仿宋"/>
          <w:color w:val="auto"/>
          <w:spacing w:val="6"/>
          <w:sz w:val="32"/>
          <w:szCs w:val="32"/>
          <w:highlight w:val="none"/>
          <w:lang w:val="en-US" w:eastAsia="zh-CN"/>
        </w:rPr>
        <w:t>KSJSX(CS)2025-25</w:t>
      </w:r>
      <w:r>
        <w:rPr>
          <w:rFonts w:hint="eastAsia" w:ascii="仿宋" w:hAnsi="仿宋" w:eastAsia="仿宋" w:cs="仿宋"/>
          <w:color w:val="auto"/>
          <w:spacing w:val="6"/>
          <w:sz w:val="32"/>
          <w:szCs w:val="32"/>
          <w:highlight w:val="none"/>
        </w:rPr>
        <w:t>）</w:t>
      </w:r>
      <w:bookmarkEnd w:id="387"/>
      <w:bookmarkEnd w:id="388"/>
      <w:bookmarkEnd w:id="389"/>
      <w:bookmarkEnd w:id="390"/>
    </w:p>
    <w:p w14:paraId="291FC55C">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58571D8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CD34609">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895A2E7">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0E965094">
      <w:pPr>
        <w:pStyle w:val="2"/>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3967"/>
        <w:textAlignment w:val="baseline"/>
        <w:outlineLvl w:val="9"/>
        <w:rPr>
          <w:rFonts w:hint="eastAsia" w:ascii="仿宋" w:hAnsi="仿宋" w:eastAsia="仿宋" w:cs="仿宋"/>
          <w:color w:val="auto"/>
          <w:sz w:val="40"/>
          <w:szCs w:val="40"/>
          <w:highlight w:val="none"/>
        </w:rPr>
        <w:sectPr>
          <w:footerReference r:id="rId20" w:type="default"/>
          <w:pgSz w:w="11906" w:h="16839"/>
          <w:pgMar w:top="1431" w:right="1530" w:bottom="1166" w:left="1551" w:header="0" w:footer="987" w:gutter="0"/>
          <w:pgNumType w:fmt="decimal"/>
          <w:cols w:space="720" w:num="1"/>
        </w:sectPr>
      </w:pPr>
      <w:r>
        <w:rPr>
          <w:rFonts w:hint="eastAsia" w:ascii="仿宋" w:hAnsi="仿宋" w:eastAsia="仿宋" w:cs="仿宋"/>
          <w:b/>
          <w:bCs/>
          <w:color w:val="auto"/>
          <w:spacing w:val="-1"/>
          <w:sz w:val="40"/>
          <w:szCs w:val="40"/>
          <w:highlight w:val="none"/>
        </w:rPr>
        <w:t>第二册</w:t>
      </w:r>
    </w:p>
    <w:p w14:paraId="1971930D">
      <w:pPr>
        <w:pStyle w:val="2"/>
        <w:shd w:val="clear"/>
        <w:spacing w:before="101" w:line="224" w:lineRule="auto"/>
        <w:ind w:left="3514"/>
        <w:outlineLvl w:val="0"/>
        <w:rPr>
          <w:rFonts w:hint="eastAsia" w:ascii="仿宋" w:hAnsi="仿宋" w:eastAsia="仿宋" w:cs="仿宋"/>
          <w:b/>
          <w:snapToGrid w:val="0"/>
          <w:color w:val="000000"/>
          <w:kern w:val="44"/>
          <w:sz w:val="32"/>
          <w:szCs w:val="32"/>
          <w:lang w:val="en-US" w:eastAsia="zh-CN" w:bidi="ar-SA"/>
        </w:rPr>
      </w:pPr>
      <w:bookmarkStart w:id="391" w:name="_Toc21112"/>
      <w:bookmarkStart w:id="392" w:name="_Toc30835"/>
      <w:bookmarkStart w:id="393" w:name="_Toc2173"/>
      <w:r>
        <w:rPr>
          <w:rFonts w:hint="eastAsia" w:ascii="仿宋" w:hAnsi="仿宋" w:eastAsia="仿宋" w:cs="仿宋"/>
          <w:b/>
          <w:snapToGrid w:val="0"/>
          <w:color w:val="000000"/>
          <w:kern w:val="44"/>
          <w:sz w:val="32"/>
          <w:szCs w:val="32"/>
          <w:lang w:val="en-US" w:eastAsia="zh-CN" w:bidi="ar-SA"/>
        </w:rPr>
        <w:t>第三章 投标邀请</w:t>
      </w:r>
      <w:bookmarkEnd w:id="391"/>
      <w:bookmarkEnd w:id="392"/>
      <w:bookmarkEnd w:id="393"/>
    </w:p>
    <w:p w14:paraId="5FD276BE">
      <w:pPr>
        <w:pStyle w:val="2"/>
        <w:keepNext w:val="0"/>
        <w:keepLines w:val="0"/>
        <w:pageBreakBefore w:val="0"/>
        <w:widowControl/>
        <w:shd w:val="clear"/>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lang w:eastAsia="zh-CN"/>
        </w:rPr>
        <w:t>伽师县巴仁镇第四小学提升改造项目一标段（二次）</w:t>
      </w:r>
      <w:r>
        <w:rPr>
          <w:rFonts w:hint="eastAsia" w:ascii="仿宋" w:hAnsi="仿宋" w:eastAsia="仿宋" w:cs="仿宋"/>
          <w:b/>
          <w:bCs/>
          <w:color w:val="auto"/>
          <w:spacing w:val="-4"/>
          <w:sz w:val="28"/>
          <w:szCs w:val="28"/>
          <w:highlight w:val="none"/>
        </w:rPr>
        <w:t>竞争性磋商公告</w:t>
      </w:r>
    </w:p>
    <w:tbl>
      <w:tblPr>
        <w:tblStyle w:val="26"/>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B810D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5E13D41C">
            <w:pPr>
              <w:pStyle w:val="28"/>
              <w:keepNext w:val="0"/>
              <w:keepLines w:val="0"/>
              <w:pageBreakBefore w:val="0"/>
              <w:widowControl/>
              <w:shd w:val="clear"/>
              <w:overflowPunct/>
              <w:topLinePunct w:val="0"/>
              <w:autoSpaceDE w:val="0"/>
              <w:autoSpaceDN w:val="0"/>
              <w:bidi w:val="0"/>
              <w:adjustRightInd w:val="0"/>
              <w:snapToGrid w:val="0"/>
              <w:spacing w:before="124" w:line="219" w:lineRule="auto"/>
              <w:ind w:left="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项目概况</w:t>
            </w:r>
          </w:p>
          <w:p w14:paraId="778CF448">
            <w:pPr>
              <w:pStyle w:val="2"/>
              <w:keepNext w:val="0"/>
              <w:keepLines w:val="0"/>
              <w:pageBreakBefore w:val="0"/>
              <w:widowControl w:val="0"/>
              <w:tabs>
                <w:tab w:val="left" w:pos="567"/>
              </w:tabs>
              <w:kinsoku/>
              <w:wordWrap/>
              <w:overflowPunct/>
              <w:topLinePunct w:val="0"/>
              <w:autoSpaceDE/>
              <w:autoSpaceDN/>
              <w:bidi w:val="0"/>
              <w:adjustRightInd/>
              <w:snapToGrid/>
              <w:spacing w:line="240" w:lineRule="auto"/>
              <w:ind w:left="0" w:firstLine="484"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zh-CN" w:bidi="ar-SA"/>
              </w:rPr>
              <w:t>伽师县巴仁镇第四小学提升改造项目</w:t>
            </w:r>
            <w:r>
              <w:rPr>
                <w:rFonts w:hint="eastAsia" w:ascii="仿宋" w:hAnsi="仿宋" w:eastAsia="仿宋" w:cs="仿宋"/>
                <w:color w:val="auto"/>
                <w:spacing w:val="1"/>
                <w:sz w:val="24"/>
                <w:szCs w:val="24"/>
                <w:highlight w:val="none"/>
                <w:lang w:eastAsia="zh-CN"/>
              </w:rPr>
              <w:t>一标段（二次）</w:t>
            </w:r>
            <w:r>
              <w:rPr>
                <w:rFonts w:hint="eastAsia" w:ascii="仿宋" w:hAnsi="仿宋" w:eastAsia="仿宋" w:cs="仿宋"/>
                <w:color w:val="auto"/>
                <w:spacing w:val="1"/>
                <w:sz w:val="24"/>
                <w:szCs w:val="24"/>
                <w:highlight w:val="none"/>
              </w:rPr>
              <w:t>的潜在</w:t>
            </w:r>
            <w:r>
              <w:rPr>
                <w:rFonts w:hint="eastAsia" w:ascii="仿宋" w:hAnsi="仿宋" w:eastAsia="仿宋" w:cs="仿宋"/>
                <w:color w:val="auto"/>
                <w:sz w:val="24"/>
                <w:szCs w:val="24"/>
                <w:highlight w:val="none"/>
              </w:rPr>
              <w:t>供</w:t>
            </w:r>
            <w:r>
              <w:rPr>
                <w:rFonts w:hint="eastAsia" w:ascii="仿宋" w:hAnsi="仿宋" w:eastAsia="仿宋" w:cs="仿宋"/>
                <w:color w:val="auto"/>
                <w:spacing w:val="1"/>
                <w:sz w:val="24"/>
                <w:szCs w:val="24"/>
                <w:highlight w:val="none"/>
              </w:rPr>
              <w:t>应商应在政采云平台（</w:t>
            </w:r>
            <w:r>
              <w:rPr>
                <w:rFonts w:hint="eastAsia" w:ascii="仿宋" w:hAnsi="仿宋" w:eastAsia="仿宋" w:cs="仿宋"/>
                <w:color w:val="auto"/>
                <w:sz w:val="24"/>
                <w:szCs w:val="24"/>
                <w:highlight w:val="none"/>
              </w:rPr>
              <w:t>www</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zcygov</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
                <w:sz w:val="24"/>
                <w:szCs w:val="24"/>
                <w:highlight w:val="none"/>
              </w:rPr>
              <w:t>）线上获取获取采购文件，并于</w:t>
            </w:r>
            <w:r>
              <w:rPr>
                <w:rFonts w:hint="eastAsia" w:ascii="仿宋" w:hAnsi="仿宋" w:eastAsia="仿宋" w:cs="仿宋"/>
                <w:color w:val="auto"/>
                <w:spacing w:val="1"/>
                <w:sz w:val="24"/>
                <w:szCs w:val="24"/>
                <w:highlight w:val="yellow"/>
                <w:u w:val="single" w:color="auto"/>
                <w:lang w:eastAsia="zh-CN"/>
              </w:rPr>
              <w:t>202</w:t>
            </w:r>
            <w:r>
              <w:rPr>
                <w:rFonts w:hint="eastAsia" w:ascii="仿宋" w:hAnsi="仿宋" w:eastAsia="仿宋" w:cs="仿宋"/>
                <w:color w:val="auto"/>
                <w:spacing w:val="1"/>
                <w:sz w:val="24"/>
                <w:szCs w:val="24"/>
                <w:highlight w:val="yellow"/>
                <w:u w:val="single" w:color="auto"/>
                <w:lang w:val="en-US" w:eastAsia="zh-CN"/>
              </w:rPr>
              <w:t>5</w:t>
            </w:r>
            <w:r>
              <w:rPr>
                <w:rFonts w:hint="eastAsia" w:ascii="仿宋" w:hAnsi="仿宋" w:eastAsia="仿宋" w:cs="仿宋"/>
                <w:color w:val="auto"/>
                <w:spacing w:val="1"/>
                <w:sz w:val="24"/>
                <w:szCs w:val="24"/>
                <w:highlight w:val="yellow"/>
                <w:u w:val="single" w:color="auto"/>
                <w:lang w:eastAsia="zh-CN"/>
              </w:rPr>
              <w:t>年</w:t>
            </w:r>
            <w:r>
              <w:rPr>
                <w:rFonts w:hint="eastAsia" w:ascii="仿宋" w:hAnsi="仿宋" w:eastAsia="仿宋" w:cs="仿宋"/>
                <w:color w:val="auto"/>
                <w:spacing w:val="1"/>
                <w:sz w:val="24"/>
                <w:szCs w:val="24"/>
                <w:highlight w:val="yellow"/>
                <w:u w:val="single" w:color="auto"/>
                <w:lang w:val="en-US" w:eastAsia="zh-CN"/>
              </w:rPr>
              <w:t>07</w:t>
            </w:r>
            <w:r>
              <w:rPr>
                <w:rFonts w:hint="eastAsia" w:ascii="仿宋" w:hAnsi="仿宋" w:eastAsia="仿宋" w:cs="仿宋"/>
                <w:color w:val="auto"/>
                <w:spacing w:val="1"/>
                <w:sz w:val="24"/>
                <w:szCs w:val="24"/>
                <w:highlight w:val="yellow"/>
                <w:u w:val="single" w:color="auto"/>
                <w:lang w:eastAsia="zh-CN"/>
              </w:rPr>
              <w:t>月</w:t>
            </w:r>
            <w:r>
              <w:rPr>
                <w:rFonts w:hint="eastAsia" w:ascii="仿宋" w:hAnsi="仿宋" w:eastAsia="仿宋" w:cs="仿宋"/>
                <w:color w:val="auto"/>
                <w:spacing w:val="1"/>
                <w:sz w:val="24"/>
                <w:szCs w:val="24"/>
                <w:highlight w:val="yellow"/>
                <w:u w:val="single" w:color="auto"/>
                <w:lang w:val="en-US" w:eastAsia="zh-CN"/>
              </w:rPr>
              <w:t>17</w:t>
            </w:r>
            <w:r>
              <w:rPr>
                <w:rFonts w:hint="eastAsia" w:ascii="仿宋" w:hAnsi="仿宋" w:eastAsia="仿宋" w:cs="仿宋"/>
                <w:color w:val="auto"/>
                <w:spacing w:val="1"/>
                <w:sz w:val="24"/>
                <w:szCs w:val="24"/>
                <w:highlight w:val="yellow"/>
                <w:u w:val="single" w:color="auto"/>
                <w:lang w:eastAsia="zh-CN"/>
              </w:rPr>
              <w:t>日1</w:t>
            </w:r>
            <w:r>
              <w:rPr>
                <w:rFonts w:hint="eastAsia" w:ascii="仿宋" w:hAnsi="仿宋" w:eastAsia="仿宋" w:cs="仿宋"/>
                <w:color w:val="auto"/>
                <w:spacing w:val="1"/>
                <w:sz w:val="24"/>
                <w:szCs w:val="24"/>
                <w:highlight w:val="yellow"/>
                <w:u w:val="single" w:color="auto"/>
                <w:lang w:val="en-US" w:eastAsia="zh-CN"/>
              </w:rPr>
              <w:t>1</w:t>
            </w:r>
            <w:r>
              <w:rPr>
                <w:rFonts w:hint="eastAsia" w:ascii="仿宋" w:hAnsi="仿宋" w:eastAsia="仿宋" w:cs="仿宋"/>
                <w:color w:val="auto"/>
                <w:spacing w:val="1"/>
                <w:sz w:val="24"/>
                <w:szCs w:val="24"/>
                <w:highlight w:val="yellow"/>
                <w:u w:val="single" w:color="auto"/>
                <w:lang w:eastAsia="zh-CN"/>
              </w:rPr>
              <w:t>时00分</w:t>
            </w:r>
            <w:r>
              <w:rPr>
                <w:rFonts w:hint="eastAsia" w:ascii="仿宋" w:hAnsi="仿宋" w:eastAsia="仿宋" w:cs="仿宋"/>
                <w:color w:val="auto"/>
                <w:spacing w:val="-4"/>
                <w:sz w:val="24"/>
                <w:szCs w:val="24"/>
                <w:highlight w:val="yellow"/>
                <w:u w:val="single" w:color="auto"/>
              </w:rPr>
              <w:t>前</w:t>
            </w:r>
            <w:r>
              <w:rPr>
                <w:rFonts w:hint="eastAsia" w:ascii="仿宋" w:hAnsi="仿宋" w:eastAsia="仿宋" w:cs="仿宋"/>
                <w:color w:val="auto"/>
                <w:spacing w:val="-4"/>
                <w:sz w:val="24"/>
                <w:szCs w:val="24"/>
                <w:highlight w:val="none"/>
                <w:u w:val="single" w:color="auto"/>
              </w:rPr>
              <w:t>提交响应文件。</w:t>
            </w:r>
          </w:p>
        </w:tc>
      </w:tr>
    </w:tbl>
    <w:p w14:paraId="4D754749">
      <w:pPr>
        <w:pStyle w:val="2"/>
        <w:keepNext w:val="0"/>
        <w:keepLines w:val="0"/>
        <w:pageBreakBefore w:val="0"/>
        <w:widowControl/>
        <w:shd w:val="clear"/>
        <w:overflowPunct/>
        <w:topLinePunct w:val="0"/>
        <w:autoSpaceDE w:val="0"/>
        <w:autoSpaceDN w:val="0"/>
        <w:bidi w:val="0"/>
        <w:adjustRightInd w:val="0"/>
        <w:snapToGrid w:val="0"/>
        <w:spacing w:before="99" w:line="219" w:lineRule="auto"/>
        <w:ind w:left="102"/>
        <w:textAlignment w:val="baseline"/>
        <w:outlineLvl w:val="9"/>
        <w:rPr>
          <w:rFonts w:hint="eastAsia" w:ascii="仿宋" w:hAnsi="仿宋" w:eastAsia="仿宋" w:cs="仿宋"/>
          <w:color w:val="auto"/>
          <w:sz w:val="24"/>
          <w:szCs w:val="24"/>
          <w:highlight w:val="none"/>
        </w:rPr>
      </w:pPr>
      <w:bookmarkStart w:id="394" w:name="_Toc13237"/>
      <w:r>
        <w:rPr>
          <w:rFonts w:hint="eastAsia" w:ascii="仿宋" w:hAnsi="仿宋" w:eastAsia="仿宋" w:cs="仿宋"/>
          <w:color w:val="auto"/>
          <w:spacing w:val="-2"/>
          <w:sz w:val="24"/>
          <w:szCs w:val="24"/>
          <w:highlight w:val="none"/>
        </w:rPr>
        <w:t>一、项目基本情况</w:t>
      </w:r>
      <w:bookmarkEnd w:id="394"/>
    </w:p>
    <w:p w14:paraId="2CCAB437">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default"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项目编号：</w:t>
      </w:r>
      <w:r>
        <w:rPr>
          <w:rFonts w:hint="default" w:ascii="仿宋" w:hAnsi="仿宋" w:eastAsia="仿宋" w:cs="仿宋"/>
          <w:color w:val="auto"/>
          <w:spacing w:val="-3"/>
          <w:position w:val="10"/>
          <w:sz w:val="24"/>
          <w:szCs w:val="24"/>
          <w:highlight w:val="none"/>
          <w:lang w:val="en-US" w:eastAsia="zh-CN"/>
        </w:rPr>
        <w:t>KSJSX(CS)2025-</w:t>
      </w:r>
      <w:r>
        <w:rPr>
          <w:rFonts w:hint="eastAsia" w:ascii="仿宋" w:hAnsi="仿宋" w:eastAsia="仿宋" w:cs="仿宋"/>
          <w:color w:val="auto"/>
          <w:spacing w:val="-3"/>
          <w:position w:val="10"/>
          <w:sz w:val="24"/>
          <w:szCs w:val="24"/>
          <w:highlight w:val="none"/>
          <w:lang w:val="en-US" w:eastAsia="zh-CN"/>
        </w:rPr>
        <w:t>25</w:t>
      </w:r>
    </w:p>
    <w:p w14:paraId="1D543855">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项目名称：伽师县巴仁镇第四小学提升改造项目一标段（二次）</w:t>
      </w:r>
    </w:p>
    <w:p w14:paraId="5E1F0427">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采购方式：竞争性磋商</w:t>
      </w:r>
    </w:p>
    <w:p w14:paraId="5F610E24">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234" w:firstLineChars="1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资金来源：中储粮资金</w:t>
      </w:r>
    </w:p>
    <w:p w14:paraId="743813FD">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预算金额（元）：1440925.54</w:t>
      </w:r>
    </w:p>
    <w:p w14:paraId="7087413A">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最高限价（元）：1440925.54 </w:t>
      </w:r>
    </w:p>
    <w:p w14:paraId="5B54F9AD">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采购需求：墙面粉刷11286.4平方米，改造72间教学用房空气能设备148台(套)（具体内容详见磋商文件工程量清单工程量清单）</w:t>
      </w:r>
    </w:p>
    <w:p w14:paraId="537C3B7D">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468" w:firstLineChars="2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简要规格描述或项目基本概况介绍、用途（具体详见磋商文件）</w:t>
      </w:r>
    </w:p>
    <w:p w14:paraId="0E5C830D">
      <w:pPr>
        <w:pStyle w:val="2"/>
        <w:keepNext w:val="0"/>
        <w:keepLines w:val="0"/>
        <w:pageBreakBefore w:val="0"/>
        <w:widowControl/>
        <w:shd w:val="clear"/>
        <w:overflowPunct/>
        <w:topLinePunct w:val="0"/>
        <w:autoSpaceDE w:val="0"/>
        <w:autoSpaceDN w:val="0"/>
        <w:bidi w:val="0"/>
        <w:adjustRightInd w:val="0"/>
        <w:snapToGrid w:val="0"/>
        <w:spacing w:before="94" w:line="379" w:lineRule="exact"/>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position w:val="10"/>
          <w:sz w:val="24"/>
          <w:szCs w:val="24"/>
          <w:highlight w:val="none"/>
        </w:rPr>
        <w:t>合同履行期限：详见磋商文件</w:t>
      </w:r>
    </w:p>
    <w:p w14:paraId="78B73962">
      <w:pPr>
        <w:pStyle w:val="2"/>
        <w:keepNext w:val="0"/>
        <w:keepLines w:val="0"/>
        <w:pageBreakBefore w:val="0"/>
        <w:widowControl/>
        <w:shd w:val="clear"/>
        <w:overflowPunct/>
        <w:topLinePunct w:val="0"/>
        <w:autoSpaceDE w:val="0"/>
        <w:autoSpaceDN w:val="0"/>
        <w:bidi w:val="0"/>
        <w:adjustRightInd w:val="0"/>
        <w:snapToGrid w:val="0"/>
        <w:spacing w:before="1" w:line="218" w:lineRule="auto"/>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本项目不接受联合体投标。</w:t>
      </w:r>
    </w:p>
    <w:p w14:paraId="0A61A89D">
      <w:pPr>
        <w:pStyle w:val="2"/>
        <w:keepNext w:val="0"/>
        <w:keepLines w:val="0"/>
        <w:pageBreakBefore w:val="0"/>
        <w:widowControl/>
        <w:shd w:val="clear"/>
        <w:overflowPunct/>
        <w:topLinePunct w:val="0"/>
        <w:autoSpaceDE w:val="0"/>
        <w:autoSpaceDN w:val="0"/>
        <w:bidi w:val="0"/>
        <w:adjustRightInd w:val="0"/>
        <w:snapToGrid w:val="0"/>
        <w:spacing w:before="96" w:line="219" w:lineRule="auto"/>
        <w:ind w:left="102"/>
        <w:textAlignment w:val="baseline"/>
        <w:outlineLvl w:val="9"/>
        <w:rPr>
          <w:rFonts w:hint="eastAsia" w:ascii="仿宋" w:hAnsi="仿宋" w:eastAsia="仿宋" w:cs="仿宋"/>
          <w:color w:val="auto"/>
          <w:sz w:val="24"/>
          <w:szCs w:val="24"/>
          <w:highlight w:val="none"/>
        </w:rPr>
      </w:pPr>
      <w:bookmarkStart w:id="395" w:name="_Toc23641"/>
      <w:r>
        <w:rPr>
          <w:rFonts w:hint="eastAsia" w:ascii="仿宋" w:hAnsi="仿宋" w:eastAsia="仿宋" w:cs="仿宋"/>
          <w:color w:val="auto"/>
          <w:spacing w:val="-2"/>
          <w:sz w:val="24"/>
          <w:szCs w:val="24"/>
          <w:highlight w:val="none"/>
        </w:rPr>
        <w:t>二、申请人的资格要求：</w:t>
      </w:r>
      <w:bookmarkEnd w:id="395"/>
    </w:p>
    <w:p w14:paraId="32DF59CA">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bookmarkStart w:id="396" w:name="_Toc28216"/>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69708ECD">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F14DAE6">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641716AA">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（4）供应商须具备【机电安装资质三级】（含）以上资质等级，【建筑工程施工总承包叁级】(含)以上资质或【建筑装修装饰工程专业承包贰级】（含）以上资质等级，并具备有效的安全生产许可证；</w:t>
      </w:r>
    </w:p>
    <w:p w14:paraId="56DF87F2">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6E395BB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11A1305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（7）投标企业提供税务部门出具的近3个月内其中任意1个月的完税证明（零申报需加盖税务机关鲜章），非社会保险类；</w:t>
      </w:r>
    </w:p>
    <w:p w14:paraId="7AF9817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47B66F8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（9）参加政府采购活动前三年内在经营活动中没有重大违法记录的书面声明；</w:t>
      </w:r>
    </w:p>
    <w:p w14:paraId="3B6A947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0136556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9C97560">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三、获取采购文件</w:t>
      </w:r>
      <w:bookmarkEnd w:id="396"/>
    </w:p>
    <w:p w14:paraId="3F0D7ACE">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7" w:name="_Toc21734"/>
      <w:r>
        <w:rPr>
          <w:rFonts w:hint="eastAsia" w:ascii="仿宋" w:hAnsi="仿宋" w:eastAsia="仿宋" w:cs="仿宋"/>
          <w:color w:val="auto"/>
          <w:spacing w:val="-2"/>
          <w:sz w:val="24"/>
          <w:szCs w:val="24"/>
          <w:highlight w:val="yellow"/>
        </w:rPr>
        <w:t>时间：</w:t>
      </w:r>
      <w:r>
        <w:rPr>
          <w:rFonts w:hint="eastAsia" w:ascii="仿宋" w:hAnsi="仿宋" w:eastAsia="仿宋" w:cs="仿宋"/>
          <w:color w:val="auto"/>
          <w:spacing w:val="-2"/>
          <w:sz w:val="24"/>
          <w:szCs w:val="24"/>
          <w:highlight w:val="yellow"/>
          <w:lang w:val="en-US" w:eastAsia="zh-CN"/>
        </w:rPr>
        <w:t>2025年7月4日至2025年7月11日</w:t>
      </w:r>
      <w:r>
        <w:rPr>
          <w:rFonts w:hint="eastAsia" w:ascii="仿宋" w:hAnsi="仿宋" w:eastAsia="仿宋" w:cs="仿宋"/>
          <w:color w:val="auto"/>
          <w:spacing w:val="-2"/>
          <w:sz w:val="24"/>
          <w:szCs w:val="24"/>
          <w:highlight w:val="none"/>
          <w:lang w:val="en-US" w:eastAsia="zh-CN"/>
        </w:rPr>
        <w:t>，每天上午00:00至14:00，下午14:00至23:59（北京时间，法定节假日除外）</w:t>
      </w:r>
      <w:r>
        <w:rPr>
          <w:rFonts w:hint="eastAsia" w:ascii="仿宋" w:hAnsi="仿宋" w:eastAsia="仿宋" w:cs="仿宋"/>
          <w:color w:val="auto"/>
          <w:spacing w:val="-2"/>
          <w:sz w:val="24"/>
          <w:szCs w:val="24"/>
          <w:highlight w:val="none"/>
        </w:rPr>
        <w:t>。</w:t>
      </w:r>
      <w:bookmarkEnd w:id="397"/>
    </w:p>
    <w:p w14:paraId="3384F7CF">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地点：政采云平台（www.zcygov.cn）线上获取</w:t>
      </w:r>
    </w:p>
    <w:p w14:paraId="49FAE7EE">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8" w:name="_Toc19690"/>
      <w:r>
        <w:rPr>
          <w:rFonts w:hint="eastAsia" w:ascii="仿宋" w:hAnsi="仿宋" w:eastAsia="仿宋" w:cs="仿宋"/>
          <w:color w:val="auto"/>
          <w:spacing w:val="-2"/>
          <w:sz w:val="24"/>
          <w:szCs w:val="24"/>
          <w:highlight w:val="none"/>
        </w:rPr>
        <w:t>方式：线上下载（供应商登陆政采云平台→ 项目采购 → 获取磋商文件，通过后可下载磋商文件）</w:t>
      </w:r>
      <w:bookmarkEnd w:id="398"/>
    </w:p>
    <w:p w14:paraId="11420DA0">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399" w:name="_Toc7652"/>
      <w:r>
        <w:rPr>
          <w:rFonts w:hint="eastAsia" w:ascii="仿宋" w:hAnsi="仿宋" w:eastAsia="仿宋" w:cs="仿宋"/>
          <w:color w:val="auto"/>
          <w:spacing w:val="-2"/>
          <w:sz w:val="24"/>
          <w:szCs w:val="24"/>
          <w:highlight w:val="none"/>
        </w:rPr>
        <w:t>售价：0.00 元</w:t>
      </w:r>
      <w:bookmarkEnd w:id="399"/>
    </w:p>
    <w:p w14:paraId="073B28B9">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0" w:name="_Toc2129"/>
      <w:r>
        <w:rPr>
          <w:rFonts w:hint="eastAsia" w:ascii="仿宋" w:hAnsi="仿宋" w:eastAsia="仿宋" w:cs="仿宋"/>
          <w:color w:val="auto"/>
          <w:spacing w:val="-2"/>
          <w:sz w:val="24"/>
          <w:szCs w:val="24"/>
          <w:highlight w:val="none"/>
        </w:rPr>
        <w:t>四、响应文件提交</w:t>
      </w:r>
      <w:bookmarkEnd w:id="400"/>
    </w:p>
    <w:p w14:paraId="797DBF6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yellow"/>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w:t>
      </w:r>
      <w:r>
        <w:rPr>
          <w:rFonts w:hint="eastAsia" w:ascii="仿宋" w:hAnsi="仿宋" w:eastAsia="仿宋" w:cs="仿宋"/>
          <w:color w:val="auto"/>
          <w:spacing w:val="-2"/>
          <w:sz w:val="24"/>
          <w:szCs w:val="24"/>
          <w:highlight w:val="yellow"/>
          <w:lang w:val="en-US" w:eastAsia="zh-CN"/>
        </w:rPr>
        <w:t>2025年7月17日11：00（北京时间）</w:t>
      </w:r>
    </w:p>
    <w:p w14:paraId="6C2B133D">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01" w:name="_Toc22446"/>
      <w:r>
        <w:rPr>
          <w:rFonts w:hint="eastAsia" w:ascii="仿宋" w:hAnsi="仿宋" w:eastAsia="仿宋" w:cs="仿宋"/>
          <w:color w:val="auto"/>
          <w:spacing w:val="-2"/>
          <w:sz w:val="24"/>
          <w:szCs w:val="24"/>
          <w:highlight w:val="none"/>
        </w:rPr>
        <w:t>地点：供应商登录政采云平台 https://www.zcygov.cn/在线提交</w:t>
      </w:r>
      <w:bookmarkEnd w:id="401"/>
    </w:p>
    <w:p w14:paraId="5069A29C">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2" w:name="_Toc2464"/>
      <w:r>
        <w:rPr>
          <w:rFonts w:hint="eastAsia" w:ascii="仿宋" w:hAnsi="仿宋" w:eastAsia="仿宋" w:cs="仿宋"/>
          <w:color w:val="auto"/>
          <w:spacing w:val="-2"/>
          <w:sz w:val="24"/>
          <w:szCs w:val="24"/>
          <w:highlight w:val="none"/>
        </w:rPr>
        <w:t>五、响应文件开启</w:t>
      </w:r>
      <w:bookmarkEnd w:id="402"/>
    </w:p>
    <w:p w14:paraId="2BA5F6D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yellow"/>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w:t>
      </w:r>
      <w:r>
        <w:rPr>
          <w:rFonts w:hint="eastAsia" w:ascii="仿宋" w:hAnsi="仿宋" w:eastAsia="仿宋" w:cs="仿宋"/>
          <w:color w:val="auto"/>
          <w:spacing w:val="-2"/>
          <w:sz w:val="24"/>
          <w:szCs w:val="24"/>
          <w:highlight w:val="yellow"/>
          <w:lang w:val="en-US" w:eastAsia="zh-CN"/>
        </w:rPr>
        <w:t>2025年7月17日11：00（北京时间）</w:t>
      </w:r>
    </w:p>
    <w:p w14:paraId="703EA494">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03" w:name="_Toc28637"/>
      <w:r>
        <w:rPr>
          <w:rFonts w:hint="eastAsia" w:ascii="仿宋" w:hAnsi="仿宋" w:eastAsia="仿宋" w:cs="仿宋"/>
          <w:color w:val="auto"/>
          <w:spacing w:val="-2"/>
          <w:sz w:val="24"/>
          <w:szCs w:val="24"/>
          <w:highlight w:val="none"/>
        </w:rPr>
        <w:t>地点：政采云平台https://www.zcygov.cn 不见面开标</w:t>
      </w:r>
      <w:bookmarkEnd w:id="403"/>
    </w:p>
    <w:p w14:paraId="219B28D5">
      <w:pPr>
        <w:pStyle w:val="2"/>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04" w:name="_Toc29786"/>
      <w:r>
        <w:rPr>
          <w:rFonts w:hint="eastAsia" w:ascii="仿宋" w:hAnsi="仿宋" w:eastAsia="仿宋" w:cs="仿宋"/>
          <w:color w:val="auto"/>
          <w:spacing w:val="-2"/>
          <w:sz w:val="24"/>
          <w:szCs w:val="24"/>
          <w:highlight w:val="none"/>
        </w:rPr>
        <w:t>六、公告期限</w:t>
      </w:r>
      <w:bookmarkEnd w:id="404"/>
    </w:p>
    <w:p w14:paraId="2124B010">
      <w:pPr>
        <w:pStyle w:val="2"/>
        <w:keepNext w:val="0"/>
        <w:keepLines w:val="0"/>
        <w:pageBreakBefore w:val="0"/>
        <w:widowControl/>
        <w:shd w:val="clear"/>
        <w:overflowPunct/>
        <w:topLinePunct w:val="0"/>
        <w:autoSpaceDE w:val="0"/>
        <w:autoSpaceDN w:val="0"/>
        <w:bidi w:val="0"/>
        <w:adjustRightInd w:val="0"/>
        <w:snapToGrid w:val="0"/>
        <w:spacing w:before="96" w:line="218" w:lineRule="auto"/>
        <w:ind w:left="77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自本公告发布之日起</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个工作日。</w:t>
      </w:r>
    </w:p>
    <w:p w14:paraId="4B799790">
      <w:pPr>
        <w:pStyle w:val="2"/>
        <w:keepNext w:val="0"/>
        <w:keepLines w:val="0"/>
        <w:pageBreakBefore w:val="0"/>
        <w:widowControl/>
        <w:shd w:val="clear"/>
        <w:overflowPunct/>
        <w:topLinePunct w:val="0"/>
        <w:autoSpaceDE w:val="0"/>
        <w:autoSpaceDN w:val="0"/>
        <w:bidi w:val="0"/>
        <w:adjustRightInd w:val="0"/>
        <w:snapToGrid w:val="0"/>
        <w:spacing w:before="98" w:line="220" w:lineRule="auto"/>
        <w:ind w:left="10"/>
        <w:textAlignment w:val="baseline"/>
        <w:outlineLvl w:val="9"/>
        <w:rPr>
          <w:rFonts w:hint="eastAsia" w:ascii="仿宋" w:hAnsi="仿宋" w:eastAsia="仿宋" w:cs="仿宋"/>
          <w:color w:val="auto"/>
          <w:sz w:val="24"/>
          <w:szCs w:val="24"/>
          <w:highlight w:val="none"/>
        </w:rPr>
      </w:pPr>
      <w:bookmarkStart w:id="405" w:name="_Toc32505"/>
      <w:r>
        <w:rPr>
          <w:rFonts w:hint="eastAsia" w:ascii="仿宋" w:hAnsi="仿宋" w:eastAsia="仿宋" w:cs="仿宋"/>
          <w:color w:val="auto"/>
          <w:spacing w:val="-2"/>
          <w:sz w:val="24"/>
          <w:szCs w:val="24"/>
          <w:highlight w:val="none"/>
        </w:rPr>
        <w:t>七、其他补充事宜</w:t>
      </w:r>
      <w:bookmarkEnd w:id="405"/>
    </w:p>
    <w:p w14:paraId="5B8BF066">
      <w:pPr>
        <w:pStyle w:val="2"/>
        <w:keepNext w:val="0"/>
        <w:keepLines w:val="0"/>
        <w:pageBreakBefore w:val="0"/>
        <w:widowControl/>
        <w:shd w:val="clear"/>
        <w:kinsoku/>
        <w:wordWrap w:val="0"/>
        <w:overflowPunct/>
        <w:topLinePunct w:val="0"/>
        <w:autoSpaceDE w:val="0"/>
        <w:autoSpaceDN w:val="0"/>
        <w:bidi w:val="0"/>
        <w:adjustRightInd w:val="0"/>
        <w:snapToGrid w:val="0"/>
        <w:spacing w:before="94" w:line="255" w:lineRule="auto"/>
        <w:ind w:left="39" w:right="61" w:hanging="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1.本项目实行网上投标，采用电子投标文件(供应商须使用</w:t>
      </w:r>
      <w:r>
        <w:rPr>
          <w:rFonts w:hint="eastAsia" w:ascii="仿宋" w:hAnsi="仿宋" w:eastAsia="仿宋" w:cs="仿宋"/>
          <w:color w:val="auto"/>
          <w:spacing w:val="-3"/>
          <w:sz w:val="24"/>
          <w:szCs w:val="24"/>
          <w:highlight w:val="none"/>
        </w:rPr>
        <w:t>CA加密设备通过新疆政采云电子投标客户端制作投标文件)。若供应商参与投标，自行承担投标一切费用。</w:t>
      </w:r>
    </w:p>
    <w:p w14:paraId="278816F7">
      <w:pPr>
        <w:pStyle w:val="2"/>
        <w:keepNext w:val="0"/>
        <w:keepLines w:val="0"/>
        <w:pageBreakBefore w:val="0"/>
        <w:widowControl/>
        <w:shd w:val="clear"/>
        <w:kinsoku/>
        <w:wordWrap w:val="0"/>
        <w:overflowPunct/>
        <w:topLinePunct w:val="0"/>
        <w:autoSpaceDE w:val="0"/>
        <w:autoSpaceDN w:val="0"/>
        <w:bidi w:val="0"/>
        <w:adjustRightInd w:val="0"/>
        <w:snapToGrid w:val="0"/>
        <w:spacing w:before="98" w:line="267" w:lineRule="auto"/>
        <w:ind w:left="12" w:right="133" w:firstLine="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2.各供应商应在开标前应确保成为新疆政府采购网正式注册入库供应商，并完成CA数字证书申领。因未注册入库、未办理CA数字证书等原因造成无法投标或投标失败等后</w:t>
      </w:r>
      <w:r>
        <w:rPr>
          <w:rFonts w:hint="eastAsia" w:ascii="仿宋" w:hAnsi="仿宋" w:eastAsia="仿宋" w:cs="仿宋"/>
          <w:color w:val="auto"/>
          <w:spacing w:val="-2"/>
          <w:sz w:val="24"/>
          <w:szCs w:val="24"/>
          <w:highlight w:val="none"/>
        </w:rPr>
        <w:t>果由供应商自行承担。</w:t>
      </w:r>
    </w:p>
    <w:p w14:paraId="4EEC0836">
      <w:pPr>
        <w:pStyle w:val="2"/>
        <w:keepNext w:val="0"/>
        <w:keepLines w:val="0"/>
        <w:pageBreakBefore w:val="0"/>
        <w:widowControl/>
        <w:shd w:val="clear"/>
        <w:kinsoku/>
        <w:wordWrap w:val="0"/>
        <w:overflowPunct/>
        <w:topLinePunct w:val="0"/>
        <w:autoSpaceDE w:val="0"/>
        <w:autoSpaceDN w:val="0"/>
        <w:bidi w:val="0"/>
        <w:adjustRightInd w:val="0"/>
        <w:snapToGrid w:val="0"/>
        <w:spacing w:before="97" w:line="268" w:lineRule="auto"/>
        <w:ind w:left="12" w:right="61" w:firstLine="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3.供应商将政采云电子交易客户端下载、安装完成后，可通过账号密码或CA登录客户</w:t>
      </w:r>
      <w:r>
        <w:rPr>
          <w:rFonts w:hint="eastAsia" w:ascii="仿宋" w:hAnsi="仿宋" w:eastAsia="仿宋" w:cs="仿宋"/>
          <w:color w:val="auto"/>
          <w:spacing w:val="-2"/>
          <w:sz w:val="24"/>
          <w:szCs w:val="24"/>
          <w:highlight w:val="none"/>
        </w:rPr>
        <w:t>端进行投标文件制作。在使用新疆政采云投标客户端时，建议使用WIN7+64位及以上操</w:t>
      </w:r>
      <w:r>
        <w:rPr>
          <w:rFonts w:hint="eastAsia" w:ascii="仿宋" w:hAnsi="仿宋" w:eastAsia="仿宋" w:cs="仿宋"/>
          <w:color w:val="auto"/>
          <w:spacing w:val="-3"/>
          <w:sz w:val="24"/>
          <w:szCs w:val="24"/>
          <w:highlight w:val="none"/>
        </w:rPr>
        <w:t>作系统。</w:t>
      </w:r>
    </w:p>
    <w:p w14:paraId="4CE7AA07">
      <w:pPr>
        <w:pStyle w:val="2"/>
        <w:keepNext w:val="0"/>
        <w:keepLines w:val="0"/>
        <w:pageBreakBefore w:val="0"/>
        <w:widowControl/>
        <w:shd w:val="clear"/>
        <w:kinsoku/>
        <w:wordWrap w:val="0"/>
        <w:overflowPunct/>
        <w:topLinePunct w:val="0"/>
        <w:autoSpaceDE w:val="0"/>
        <w:autoSpaceDN w:val="0"/>
        <w:bidi w:val="0"/>
        <w:adjustRightInd w:val="0"/>
        <w:snapToGrid w:val="0"/>
        <w:spacing w:before="96" w:line="255" w:lineRule="auto"/>
        <w:ind w:left="9" w:right="13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4.供应商在开标时须使用制作加密电子投标文件所使用的CA锁及电脑，电脑须提前配</w:t>
      </w:r>
      <w:r>
        <w:rPr>
          <w:rFonts w:hint="eastAsia" w:ascii="仿宋" w:hAnsi="仿宋" w:eastAsia="仿宋" w:cs="仿宋"/>
          <w:color w:val="auto"/>
          <w:spacing w:val="-2"/>
          <w:sz w:val="24"/>
          <w:szCs w:val="24"/>
          <w:highlight w:val="none"/>
        </w:rPr>
        <w:t>置好浏览器（建议使用360浏览器兼容版或谷歌浏览器</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2"/>
          <w:sz w:val="24"/>
          <w:szCs w:val="24"/>
          <w:highlight w:val="none"/>
        </w:rPr>
        <w:t>以便</w:t>
      </w:r>
      <w:r>
        <w:rPr>
          <w:rFonts w:hint="eastAsia" w:ascii="仿宋" w:hAnsi="仿宋" w:eastAsia="仿宋" w:cs="仿宋"/>
          <w:color w:val="auto"/>
          <w:spacing w:val="-3"/>
          <w:sz w:val="24"/>
          <w:szCs w:val="24"/>
          <w:highlight w:val="none"/>
        </w:rPr>
        <w:t>开标时解锁。</w:t>
      </w:r>
    </w:p>
    <w:p w14:paraId="65EE25BB">
      <w:pPr>
        <w:pStyle w:val="2"/>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5.供应商对不见面开评标系统的技术操作咨询，可通过</w:t>
      </w:r>
    </w:p>
    <w:p w14:paraId="4C49F31C">
      <w:pPr>
        <w:pStyle w:val="2"/>
        <w:keepNext w:val="0"/>
        <w:keepLines w:val="0"/>
        <w:pageBreakBefore w:val="0"/>
        <w:widowControl/>
        <w:shd w:val="clear"/>
        <w:kinsoku/>
        <w:wordWrap w:val="0"/>
        <w:overflowPunct/>
        <w:topLinePunct w:val="0"/>
        <w:autoSpaceDE w:val="0"/>
        <w:autoSpaceDN w:val="0"/>
        <w:bidi w:val="0"/>
        <w:adjustRightInd w:val="0"/>
        <w:snapToGrid w:val="0"/>
        <w:spacing w:before="96" w:line="282" w:lineRule="auto"/>
        <w:ind w:firstLine="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HYPERLINK"https://edu.zcygov.cn/luban/xinjiang-e-biding"</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https://edu.zcygov.cn/luban/xinjiang-e-biding</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自助查询，也可在</w:t>
      </w:r>
      <w:r>
        <w:rPr>
          <w:rFonts w:hint="eastAsia" w:ascii="仿宋" w:hAnsi="仿宋" w:eastAsia="仿宋" w:cs="仿宋"/>
          <w:color w:val="auto"/>
          <w:spacing w:val="-2"/>
          <w:sz w:val="24"/>
          <w:szCs w:val="24"/>
          <w:highlight w:val="none"/>
        </w:rPr>
        <w:t>政采云帮助中心</w:t>
      </w:r>
      <w:r>
        <w:rPr>
          <w:rFonts w:hint="eastAsia" w:ascii="仿宋" w:hAnsi="仿宋" w:eastAsia="仿宋" w:cs="仿宋"/>
          <w:color w:val="auto"/>
          <w:spacing w:val="-4"/>
          <w:sz w:val="24"/>
          <w:szCs w:val="24"/>
          <w:highlight w:val="none"/>
        </w:rPr>
        <w:t>常见问题解答和操作流程讲解视频中自助查询，网址为：https://s</w:t>
      </w:r>
      <w:r>
        <w:rPr>
          <w:rFonts w:hint="eastAsia" w:ascii="仿宋" w:hAnsi="仿宋" w:eastAsia="仿宋" w:cs="仿宋"/>
          <w:color w:val="auto"/>
          <w:spacing w:val="-5"/>
          <w:sz w:val="24"/>
          <w:szCs w:val="24"/>
          <w:highlight w:val="none"/>
        </w:rPr>
        <w:t>ervice.zcygov.cn/，</w:t>
      </w:r>
      <w:r>
        <w:rPr>
          <w:rFonts w:hint="eastAsia" w:ascii="仿宋" w:hAnsi="仿宋" w:eastAsia="仿宋" w:cs="仿宋"/>
          <w:color w:val="auto"/>
          <w:spacing w:val="-3"/>
          <w:sz w:val="24"/>
          <w:szCs w:val="24"/>
          <w:highlight w:val="none"/>
        </w:rPr>
        <w:t>“项目采购”—“操作流程-电子招投标”—“政府采购项目电子交易管理操作指南-供</w:t>
      </w:r>
      <w:r>
        <w:rPr>
          <w:rFonts w:hint="eastAsia" w:ascii="仿宋" w:hAnsi="仿宋" w:eastAsia="仿宋" w:cs="仿宋"/>
          <w:color w:val="auto"/>
          <w:spacing w:val="-2"/>
          <w:sz w:val="24"/>
          <w:szCs w:val="24"/>
          <w:highlight w:val="none"/>
        </w:rPr>
        <w:t>应商”版面获取操作指南，同时对自助查询无法解决的问题可通过钉钉群及政采</w:t>
      </w:r>
      <w:r>
        <w:rPr>
          <w:rFonts w:hint="eastAsia" w:ascii="仿宋" w:hAnsi="仿宋" w:eastAsia="仿宋" w:cs="仿宋"/>
          <w:color w:val="auto"/>
          <w:spacing w:val="-3"/>
          <w:sz w:val="24"/>
          <w:szCs w:val="24"/>
          <w:highlight w:val="none"/>
        </w:rPr>
        <w:t>云在线</w:t>
      </w:r>
      <w:r>
        <w:rPr>
          <w:rFonts w:hint="eastAsia" w:ascii="仿宋" w:hAnsi="仿宋" w:eastAsia="仿宋" w:cs="仿宋"/>
          <w:color w:val="auto"/>
          <w:spacing w:val="-5"/>
          <w:sz w:val="24"/>
          <w:szCs w:val="24"/>
          <w:highlight w:val="none"/>
        </w:rPr>
        <w:t>客服获取服务支持。供应商钉钉群号：政采云新疆供应商服务十群：33</w:t>
      </w:r>
      <w:r>
        <w:rPr>
          <w:rFonts w:hint="eastAsia" w:ascii="仿宋" w:hAnsi="仿宋" w:eastAsia="仿宋" w:cs="仿宋"/>
          <w:color w:val="auto"/>
          <w:spacing w:val="-6"/>
          <w:sz w:val="24"/>
          <w:szCs w:val="24"/>
          <w:highlight w:val="none"/>
        </w:rPr>
        <w:t>132402、十一群：</w:t>
      </w:r>
      <w:r>
        <w:rPr>
          <w:rFonts w:hint="eastAsia" w:ascii="仿宋" w:hAnsi="仿宋" w:eastAsia="仿宋" w:cs="仿宋"/>
          <w:color w:val="auto"/>
          <w:spacing w:val="-2"/>
          <w:sz w:val="24"/>
          <w:szCs w:val="24"/>
          <w:highlight w:val="none"/>
        </w:rPr>
        <w:t>30213207（如已加入1-9群，无需重复加入，十一个群联动直播</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2"/>
          <w:sz w:val="24"/>
          <w:szCs w:val="24"/>
          <w:highlight w:val="none"/>
        </w:rPr>
        <w:t>钉钉工具软件具有</w:t>
      </w:r>
      <w:r>
        <w:rPr>
          <w:rFonts w:hint="eastAsia" w:ascii="仿宋" w:hAnsi="仿宋" w:eastAsia="仿宋" w:cs="仿宋"/>
          <w:color w:val="auto"/>
          <w:sz w:val="24"/>
          <w:szCs w:val="24"/>
          <w:highlight w:val="none"/>
        </w:rPr>
        <w:t>回放功能，直播培训结束后可在钉钉群中回放观看学习。</w:t>
      </w:r>
    </w:p>
    <w:p w14:paraId="7609A012">
      <w:pPr>
        <w:pStyle w:val="2"/>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5"/>
        <w:jc w:val="both"/>
        <w:textAlignment w:val="baseline"/>
        <w:outlineLvl w:val="9"/>
        <w:rPr>
          <w:rFonts w:hint="eastAsia" w:ascii="仿宋" w:hAnsi="仿宋" w:eastAsia="仿宋" w:cs="仿宋"/>
          <w:color w:val="auto"/>
          <w:sz w:val="24"/>
          <w:szCs w:val="24"/>
          <w:highlight w:val="none"/>
        </w:rPr>
      </w:pPr>
      <w:bookmarkStart w:id="406" w:name="_Toc7629"/>
      <w:r>
        <w:rPr>
          <w:rFonts w:hint="eastAsia" w:ascii="仿宋" w:hAnsi="仿宋" w:eastAsia="仿宋" w:cs="仿宋"/>
          <w:color w:val="auto"/>
          <w:spacing w:val="-1"/>
          <w:sz w:val="24"/>
          <w:szCs w:val="24"/>
          <w:highlight w:val="none"/>
        </w:rPr>
        <w:t>八、对本次招标提出询问，请按以下方式联系。</w:t>
      </w:r>
      <w:bookmarkEnd w:id="406"/>
    </w:p>
    <w:p w14:paraId="3C897714">
      <w:pPr>
        <w:pStyle w:val="2"/>
        <w:keepNext w:val="0"/>
        <w:keepLines w:val="0"/>
        <w:pageBreakBefore w:val="0"/>
        <w:widowControl/>
        <w:shd w:val="clear"/>
        <w:overflowPunct/>
        <w:topLinePunct w:val="0"/>
        <w:autoSpaceDE w:val="0"/>
        <w:autoSpaceDN w:val="0"/>
        <w:bidi w:val="0"/>
        <w:adjustRightInd w:val="0"/>
        <w:snapToGrid w:val="0"/>
        <w:spacing w:before="95" w:line="219" w:lineRule="auto"/>
        <w:ind w:left="19"/>
        <w:textAlignment w:val="baseline"/>
        <w:outlineLvl w:val="9"/>
        <w:rPr>
          <w:rFonts w:hint="eastAsia" w:ascii="仿宋" w:hAnsi="仿宋" w:eastAsia="仿宋" w:cs="仿宋"/>
          <w:color w:val="auto"/>
          <w:sz w:val="24"/>
          <w:szCs w:val="24"/>
          <w:highlight w:val="none"/>
        </w:rPr>
      </w:pPr>
      <w:bookmarkStart w:id="407" w:name="_Toc22490"/>
      <w:bookmarkStart w:id="408" w:name="_Toc24031"/>
      <w:r>
        <w:rPr>
          <w:rFonts w:hint="eastAsia" w:ascii="仿宋" w:hAnsi="仿宋" w:eastAsia="仿宋" w:cs="仿宋"/>
          <w:color w:val="auto"/>
          <w:spacing w:val="-4"/>
          <w:sz w:val="24"/>
          <w:szCs w:val="24"/>
          <w:highlight w:val="none"/>
        </w:rPr>
        <w:t>1.采购人信息</w:t>
      </w:r>
    </w:p>
    <w:p w14:paraId="444155ED">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position w:val="10"/>
          <w:sz w:val="24"/>
          <w:szCs w:val="24"/>
          <w:highlight w:val="none"/>
        </w:rPr>
        <w:t>名 称</w:t>
      </w:r>
      <w:r>
        <w:rPr>
          <w:rFonts w:hint="eastAsia" w:ascii="仿宋" w:hAnsi="仿宋" w:eastAsia="仿宋" w:cs="仿宋"/>
          <w:color w:val="auto"/>
          <w:spacing w:val="-1"/>
          <w:position w:val="10"/>
          <w:sz w:val="24"/>
          <w:szCs w:val="24"/>
          <w:highlight w:val="none"/>
          <w:lang w:eastAsia="zh-CN"/>
        </w:rPr>
        <w:t>：</w:t>
      </w:r>
      <w:r>
        <w:rPr>
          <w:rFonts w:hint="eastAsia" w:ascii="仿宋" w:hAnsi="仿宋" w:eastAsia="仿宋" w:cs="仿宋"/>
          <w:color w:val="auto"/>
          <w:spacing w:val="-1"/>
          <w:position w:val="10"/>
          <w:sz w:val="24"/>
          <w:szCs w:val="24"/>
          <w:highlight w:val="none"/>
          <w:lang w:val="en-US" w:eastAsia="zh-CN"/>
        </w:rPr>
        <w:t>伽师县教育局</w:t>
      </w:r>
    </w:p>
    <w:p w14:paraId="4574E3F5">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 xml:space="preserve">地 </w:t>
      </w:r>
      <w:r>
        <w:rPr>
          <w:rFonts w:hint="eastAsia" w:ascii="仿宋" w:hAnsi="仿宋" w:eastAsia="仿宋" w:cs="仿宋"/>
          <w:color w:val="auto"/>
          <w:spacing w:val="-1"/>
          <w:position w:val="10"/>
          <w:sz w:val="24"/>
          <w:szCs w:val="24"/>
          <w:highlight w:val="none"/>
          <w:lang w:val="en-US" w:eastAsia="zh-CN"/>
        </w:rPr>
        <w:t>址：伽师县古宰尔路（第四中学旁）</w:t>
      </w:r>
    </w:p>
    <w:p w14:paraId="4D7D3C96">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蔡秀伟</w:t>
      </w:r>
    </w:p>
    <w:p w14:paraId="1EF7DC90">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联系电话：</w:t>
      </w:r>
      <w:r>
        <w:rPr>
          <w:rFonts w:hint="eastAsia" w:ascii="仿宋" w:hAnsi="仿宋" w:eastAsia="仿宋" w:cs="仿宋"/>
          <w:color w:val="auto"/>
          <w:spacing w:val="-1"/>
          <w:position w:val="10"/>
          <w:sz w:val="24"/>
          <w:szCs w:val="24"/>
          <w:highlight w:val="none"/>
          <w:lang w:val="en-US" w:eastAsia="zh-CN"/>
        </w:rPr>
        <w:t>15999320380</w:t>
      </w:r>
    </w:p>
    <w:p w14:paraId="3922840B">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pPr>
      <w:r>
        <w:rPr>
          <w:rFonts w:hint="eastAsia" w:ascii="仿宋" w:hAnsi="仿宋" w:eastAsia="仿宋" w:cs="仿宋"/>
          <w:color w:val="auto"/>
          <w:spacing w:val="-1"/>
          <w:position w:val="10"/>
          <w:sz w:val="24"/>
          <w:szCs w:val="24"/>
          <w:highlight w:val="none"/>
        </w:rPr>
        <w:t>2.采购代理机构信息</w:t>
      </w:r>
    </w:p>
    <w:p w14:paraId="50200E97">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bookmarkStart w:id="409" w:name="_Toc12397"/>
      <w:bookmarkStart w:id="410" w:name="_Toc16727"/>
      <w:bookmarkStart w:id="411" w:name="_Toc1274"/>
      <w:bookmarkStart w:id="412" w:name="_Toc26203"/>
      <w:r>
        <w:rPr>
          <w:rFonts w:hint="eastAsia" w:ascii="仿宋" w:hAnsi="仿宋" w:eastAsia="仿宋" w:cs="仿宋"/>
          <w:color w:val="auto"/>
          <w:spacing w:val="-1"/>
          <w:position w:val="10"/>
          <w:sz w:val="24"/>
          <w:szCs w:val="24"/>
          <w:highlight w:val="none"/>
        </w:rPr>
        <w:t>名 称：</w:t>
      </w:r>
      <w:bookmarkEnd w:id="409"/>
      <w:bookmarkEnd w:id="410"/>
      <w:bookmarkEnd w:id="411"/>
      <w:bookmarkEnd w:id="412"/>
      <w:r>
        <w:rPr>
          <w:rFonts w:hint="eastAsia" w:ascii="仿宋" w:hAnsi="仿宋" w:eastAsia="仿宋" w:cs="仿宋"/>
          <w:color w:val="auto"/>
          <w:spacing w:val="-1"/>
          <w:position w:val="10"/>
          <w:sz w:val="24"/>
          <w:szCs w:val="24"/>
          <w:highlight w:val="none"/>
          <w:lang w:val="en-US" w:eastAsia="zh-CN"/>
        </w:rPr>
        <w:t>伽师县政府采购中心</w:t>
      </w:r>
    </w:p>
    <w:p w14:paraId="5A122D43">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地  址：</w:t>
      </w:r>
      <w:r>
        <w:rPr>
          <w:rFonts w:hint="eastAsia" w:ascii="仿宋" w:hAnsi="仿宋" w:eastAsia="仿宋" w:cs="仿宋"/>
          <w:color w:val="auto"/>
          <w:spacing w:val="-1"/>
          <w:position w:val="10"/>
          <w:sz w:val="24"/>
          <w:szCs w:val="24"/>
          <w:highlight w:val="none"/>
          <w:lang w:val="en-US" w:eastAsia="zh-CN"/>
        </w:rPr>
        <w:t>伽师县行政服务大厅四楼采购中心</w:t>
      </w:r>
    </w:p>
    <w:p w14:paraId="1F05A328">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联系方式：</w:t>
      </w:r>
      <w:r>
        <w:rPr>
          <w:rFonts w:hint="eastAsia" w:ascii="仿宋" w:hAnsi="仿宋" w:eastAsia="仿宋" w:cs="仿宋"/>
          <w:color w:val="auto"/>
          <w:spacing w:val="-1"/>
          <w:position w:val="10"/>
          <w:sz w:val="24"/>
          <w:szCs w:val="24"/>
          <w:highlight w:val="none"/>
          <w:lang w:val="en-US" w:eastAsia="zh-CN"/>
        </w:rPr>
        <w:t xml:space="preserve">0998-5713206 </w:t>
      </w:r>
    </w:p>
    <w:p w14:paraId="4025A4A4">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sectPr>
          <w:footerReference r:id="rId21" w:type="default"/>
          <w:pgSz w:w="11906" w:h="16839"/>
          <w:pgMar w:top="1431" w:right="1418" w:bottom="1166" w:left="1423" w:header="0" w:footer="987" w:gutter="0"/>
          <w:pgNumType w:fmt="decimal"/>
          <w:cols w:space="720" w:num="1"/>
        </w:sect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陈雪、依明江</w:t>
      </w:r>
    </w:p>
    <w:p w14:paraId="07C64ED1">
      <w:pPr>
        <w:pStyle w:val="2"/>
        <w:shd w:val="clear"/>
        <w:spacing w:before="63" w:line="224" w:lineRule="auto"/>
        <w:ind w:left="3112"/>
        <w:outlineLvl w:val="0"/>
        <w:rPr>
          <w:rFonts w:hint="eastAsia" w:ascii="仿宋" w:hAnsi="仿宋" w:eastAsia="仿宋" w:cs="仿宋"/>
          <w:color w:val="auto"/>
          <w:sz w:val="24"/>
          <w:szCs w:val="24"/>
          <w:highlight w:val="none"/>
        </w:rPr>
      </w:pPr>
      <w:bookmarkStart w:id="413" w:name="_Toc20187"/>
      <w:r>
        <w:rPr>
          <w:rFonts w:hint="eastAsia" w:ascii="仿宋" w:hAnsi="仿宋" w:eastAsia="仿宋" w:cs="仿宋"/>
          <w:b/>
          <w:snapToGrid w:val="0"/>
          <w:color w:val="000000"/>
          <w:kern w:val="44"/>
          <w:sz w:val="36"/>
          <w:szCs w:val="36"/>
          <w:lang w:val="en-US" w:eastAsia="zh-CN" w:bidi="ar-SA"/>
        </w:rPr>
        <w:t>第四章 投标人须知资料表</w:t>
      </w:r>
      <w:bookmarkEnd w:id="407"/>
      <w:bookmarkEnd w:id="408"/>
      <w:bookmarkEnd w:id="413"/>
    </w:p>
    <w:p w14:paraId="65AE7F6D">
      <w:pPr>
        <w:pStyle w:val="2"/>
        <w:keepNext w:val="0"/>
        <w:keepLines w:val="0"/>
        <w:pageBreakBefore w:val="0"/>
        <w:widowControl/>
        <w:shd w:val="clear"/>
        <w:overflowPunct/>
        <w:topLinePunct w:val="0"/>
        <w:autoSpaceDE w:val="0"/>
        <w:autoSpaceDN w:val="0"/>
        <w:bidi w:val="0"/>
        <w:adjustRightInd w:val="0"/>
        <w:snapToGrid w:val="0"/>
        <w:spacing w:before="97" w:line="380" w:lineRule="exact"/>
        <w:ind w:left="4" w:firstLine="480" w:firstLineChars="200"/>
        <w:textAlignment w:val="baseline"/>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本表是本招标项目的具体资料，是对投标人须知的具体补充和修改，如有矛盾，</w:t>
      </w:r>
      <w:r>
        <w:rPr>
          <w:rFonts w:hint="eastAsia" w:ascii="仿宋" w:hAnsi="仿宋" w:eastAsia="仿宋" w:cs="仿宋"/>
          <w:b/>
          <w:bCs/>
          <w:snapToGrid w:val="0"/>
          <w:color w:val="000000"/>
          <w:kern w:val="0"/>
          <w:sz w:val="24"/>
          <w:szCs w:val="24"/>
          <w:lang w:val="en-US" w:eastAsia="zh-CN" w:bidi="ar-SA"/>
        </w:rPr>
        <w:t>应以本资料表为准</w:t>
      </w:r>
      <w:r>
        <w:rPr>
          <w:rFonts w:hint="eastAsia" w:ascii="仿宋" w:hAnsi="仿宋" w:eastAsia="仿宋" w:cs="仿宋"/>
          <w:snapToGrid w:val="0"/>
          <w:color w:val="000000"/>
          <w:kern w:val="0"/>
          <w:sz w:val="24"/>
          <w:szCs w:val="24"/>
          <w:lang w:val="en-US" w:eastAsia="zh-CN" w:bidi="ar-SA"/>
        </w:rPr>
        <w:t>。</w:t>
      </w:r>
    </w:p>
    <w:tbl>
      <w:tblPr>
        <w:tblStyle w:val="26"/>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8614"/>
      </w:tblGrid>
      <w:tr w14:paraId="4380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95" w:type="dxa"/>
            <w:tcBorders>
              <w:top w:val="single" w:color="000000" w:sz="10" w:space="0"/>
              <w:left w:val="single" w:color="000000" w:sz="10" w:space="0"/>
            </w:tcBorders>
            <w:vAlign w:val="top"/>
          </w:tcPr>
          <w:p w14:paraId="3305AF4F">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条款号</w:t>
            </w:r>
          </w:p>
        </w:tc>
        <w:tc>
          <w:tcPr>
            <w:tcW w:w="8614" w:type="dxa"/>
            <w:tcBorders>
              <w:top w:val="single" w:color="000000" w:sz="10" w:space="0"/>
              <w:right w:val="single" w:color="000000" w:sz="10" w:space="0"/>
            </w:tcBorders>
            <w:vAlign w:val="top"/>
          </w:tcPr>
          <w:p w14:paraId="7B4070AC">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61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2"/>
                <w:sz w:val="24"/>
                <w:szCs w:val="24"/>
                <w:highlight w:val="none"/>
              </w:rPr>
              <w:t>内</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2"/>
                <w:sz w:val="24"/>
                <w:szCs w:val="24"/>
                <w:highlight w:val="none"/>
              </w:rPr>
              <w:t>容</w:t>
            </w:r>
          </w:p>
        </w:tc>
      </w:tr>
      <w:tr w14:paraId="45C1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tcBorders>
            <w:vAlign w:val="top"/>
          </w:tcPr>
          <w:p w14:paraId="65DF8558">
            <w:pPr>
              <w:keepNext w:val="0"/>
              <w:keepLines w:val="0"/>
              <w:pageBreakBefore w:val="0"/>
              <w:shd w:val="clear"/>
              <w:wordWrap/>
              <w:overflowPunct/>
              <w:topLinePunct w:val="0"/>
              <w:autoSpaceDE w:val="0"/>
              <w:autoSpaceDN w:val="0"/>
              <w:bidi w:val="0"/>
              <w:adjustRightInd w:val="0"/>
              <w:snapToGrid w:val="0"/>
              <w:spacing w:line="262" w:lineRule="auto"/>
              <w:jc w:val="both"/>
              <w:outlineLvl w:val="9"/>
              <w:rPr>
                <w:rFonts w:hint="eastAsia" w:ascii="仿宋" w:hAnsi="仿宋" w:eastAsia="仿宋" w:cs="仿宋"/>
                <w:color w:val="auto"/>
                <w:sz w:val="24"/>
                <w:szCs w:val="24"/>
                <w:highlight w:val="none"/>
              </w:rPr>
            </w:pPr>
          </w:p>
          <w:p w14:paraId="010A543A">
            <w:pPr>
              <w:keepNext w:val="0"/>
              <w:keepLines w:val="0"/>
              <w:pageBreakBefore w:val="0"/>
              <w:shd w:val="clear"/>
              <w:wordWrap/>
              <w:overflowPunct/>
              <w:topLinePunct w:val="0"/>
              <w:autoSpaceDE w:val="0"/>
              <w:autoSpaceDN w:val="0"/>
              <w:bidi w:val="0"/>
              <w:adjustRightInd w:val="0"/>
              <w:snapToGrid w:val="0"/>
              <w:spacing w:line="263" w:lineRule="auto"/>
              <w:jc w:val="both"/>
              <w:outlineLvl w:val="9"/>
              <w:rPr>
                <w:rFonts w:hint="eastAsia" w:ascii="仿宋" w:hAnsi="仿宋" w:eastAsia="仿宋" w:cs="仿宋"/>
                <w:color w:val="auto"/>
                <w:sz w:val="24"/>
                <w:szCs w:val="24"/>
                <w:highlight w:val="none"/>
              </w:rPr>
            </w:pPr>
          </w:p>
          <w:p w14:paraId="774F4D18">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1.1</w:t>
            </w:r>
          </w:p>
        </w:tc>
        <w:tc>
          <w:tcPr>
            <w:tcW w:w="8614" w:type="dxa"/>
            <w:tcBorders>
              <w:right w:val="single" w:color="000000" w:sz="10" w:space="0"/>
            </w:tcBorders>
            <w:vAlign w:val="center"/>
          </w:tcPr>
          <w:p w14:paraId="051C822F">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en-US" w:bidi="ar-SA"/>
              </w:rPr>
              <w:t>名 称</w:t>
            </w:r>
            <w:r>
              <w:rPr>
                <w:rFonts w:hint="eastAsia" w:ascii="仿宋" w:hAnsi="仿宋" w:eastAsia="仿宋" w:cs="仿宋"/>
                <w:snapToGrid w:val="0"/>
                <w:color w:val="auto"/>
                <w:spacing w:val="-1"/>
                <w:kern w:val="0"/>
                <w:sz w:val="24"/>
                <w:szCs w:val="24"/>
                <w:highlight w:val="none"/>
                <w:lang w:val="en-US" w:eastAsia="zh-CN" w:bidi="ar-SA"/>
              </w:rPr>
              <w:t>：伽师县教育局</w:t>
            </w:r>
          </w:p>
          <w:p w14:paraId="62ACBFC2">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en-US" w:bidi="ar-SA"/>
              </w:rPr>
              <w:t>地 址：</w:t>
            </w:r>
            <w:r>
              <w:rPr>
                <w:rFonts w:hint="eastAsia" w:ascii="仿宋" w:hAnsi="仿宋" w:eastAsia="仿宋" w:cs="仿宋"/>
                <w:color w:val="auto"/>
                <w:spacing w:val="-1"/>
                <w:position w:val="10"/>
                <w:sz w:val="24"/>
                <w:szCs w:val="24"/>
                <w:highlight w:val="none"/>
                <w:lang w:val="en-US" w:eastAsia="zh-CN"/>
              </w:rPr>
              <w:t>伽师县古宰尔路（第四中学旁）</w:t>
            </w:r>
          </w:p>
          <w:p w14:paraId="278415D1">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en-US" w:bidi="ar-SA"/>
              </w:rPr>
              <w:t>联系人：</w:t>
            </w:r>
            <w:r>
              <w:rPr>
                <w:rFonts w:hint="eastAsia" w:ascii="仿宋" w:hAnsi="仿宋" w:eastAsia="仿宋" w:cs="仿宋"/>
                <w:snapToGrid w:val="0"/>
                <w:color w:val="auto"/>
                <w:spacing w:val="-1"/>
                <w:kern w:val="0"/>
                <w:sz w:val="24"/>
                <w:szCs w:val="24"/>
                <w:highlight w:val="none"/>
                <w:lang w:val="en-US" w:eastAsia="zh-CN" w:bidi="ar-SA"/>
              </w:rPr>
              <w:t xml:space="preserve">蔡秀伟               </w:t>
            </w:r>
            <w:r>
              <w:rPr>
                <w:rFonts w:hint="eastAsia" w:ascii="仿宋" w:hAnsi="仿宋" w:eastAsia="仿宋" w:cs="仿宋"/>
                <w:snapToGrid w:val="0"/>
                <w:color w:val="auto"/>
                <w:spacing w:val="-1"/>
                <w:kern w:val="0"/>
                <w:sz w:val="24"/>
                <w:szCs w:val="24"/>
                <w:highlight w:val="none"/>
                <w:lang w:val="en-US" w:eastAsia="en-US" w:bidi="ar-SA"/>
              </w:rPr>
              <w:t>联系电话：</w:t>
            </w:r>
            <w:r>
              <w:rPr>
                <w:rFonts w:hint="eastAsia" w:ascii="仿宋" w:hAnsi="仿宋" w:eastAsia="仿宋" w:cs="仿宋"/>
                <w:snapToGrid w:val="0"/>
                <w:color w:val="auto"/>
                <w:spacing w:val="-1"/>
                <w:kern w:val="0"/>
                <w:sz w:val="24"/>
                <w:szCs w:val="24"/>
                <w:highlight w:val="none"/>
                <w:lang w:val="en-US" w:eastAsia="zh-CN" w:bidi="ar-SA"/>
              </w:rPr>
              <w:t>15999320380</w:t>
            </w:r>
          </w:p>
        </w:tc>
      </w:tr>
      <w:tr w14:paraId="24C54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95" w:type="dxa"/>
            <w:tcBorders>
              <w:left w:val="single" w:color="000000" w:sz="10" w:space="0"/>
            </w:tcBorders>
            <w:vAlign w:val="top"/>
          </w:tcPr>
          <w:p w14:paraId="620BCC20">
            <w:pPr>
              <w:keepNext w:val="0"/>
              <w:keepLines w:val="0"/>
              <w:pageBreakBefore w:val="0"/>
              <w:shd w:val="clear"/>
              <w:wordWrap/>
              <w:overflowPunct/>
              <w:topLinePunct w:val="0"/>
              <w:autoSpaceDE w:val="0"/>
              <w:autoSpaceDN w:val="0"/>
              <w:bidi w:val="0"/>
              <w:adjustRightInd w:val="0"/>
              <w:snapToGrid w:val="0"/>
              <w:spacing w:line="303" w:lineRule="auto"/>
              <w:jc w:val="both"/>
              <w:outlineLvl w:val="9"/>
              <w:rPr>
                <w:rFonts w:hint="eastAsia" w:ascii="仿宋" w:hAnsi="仿宋" w:eastAsia="仿宋" w:cs="仿宋"/>
                <w:color w:val="auto"/>
                <w:sz w:val="24"/>
                <w:szCs w:val="24"/>
                <w:highlight w:val="none"/>
              </w:rPr>
            </w:pPr>
          </w:p>
          <w:p w14:paraId="546EAB9A">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1.2</w:t>
            </w:r>
          </w:p>
        </w:tc>
        <w:tc>
          <w:tcPr>
            <w:tcW w:w="8614" w:type="dxa"/>
            <w:tcBorders>
              <w:right w:val="single" w:color="000000" w:sz="10" w:space="0"/>
            </w:tcBorders>
            <w:vAlign w:val="center"/>
          </w:tcPr>
          <w:p w14:paraId="490FD1AA">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z w:val="24"/>
                <w:szCs w:val="24"/>
              </w:rPr>
              <w:t>采购</w:t>
            </w:r>
            <w:r>
              <w:rPr>
                <w:rFonts w:hint="eastAsia" w:ascii="仿宋" w:hAnsi="仿宋" w:eastAsia="仿宋" w:cs="仿宋"/>
                <w:snapToGrid w:val="0"/>
                <w:color w:val="auto"/>
                <w:spacing w:val="-1"/>
                <w:kern w:val="0"/>
                <w:sz w:val="24"/>
                <w:szCs w:val="24"/>
                <w:highlight w:val="none"/>
                <w:lang w:val="en-US" w:eastAsia="zh-CN" w:bidi="ar-SA"/>
              </w:rPr>
              <w:t>代理机构：伽师县政府采购中心</w:t>
            </w:r>
          </w:p>
          <w:p w14:paraId="7065815F">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地址：伽师县行政审批局四楼（伽师县花园路3号）</w:t>
            </w:r>
          </w:p>
          <w:p w14:paraId="53DDF37F">
            <w:pPr>
              <w:pStyle w:val="28"/>
              <w:keepNext w:val="0"/>
              <w:keepLines w:val="0"/>
              <w:pageBreakBefore w:val="0"/>
              <w:shd w:val="clear"/>
              <w:wordWrap/>
              <w:overflowPunct/>
              <w:topLinePunct w:val="0"/>
              <w:autoSpaceDE w:val="0"/>
              <w:autoSpaceDN w:val="0"/>
              <w:bidi w:val="0"/>
              <w:adjustRightInd w:val="0"/>
              <w:snapToGrid w:val="0"/>
              <w:spacing w:before="24" w:line="206" w:lineRule="auto"/>
              <w:ind w:left="25"/>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spacing w:val="-1"/>
                <w:kern w:val="0"/>
                <w:sz w:val="24"/>
                <w:szCs w:val="24"/>
                <w:highlight w:val="none"/>
                <w:lang w:val="en-US" w:eastAsia="zh-CN" w:bidi="ar-SA"/>
              </w:rPr>
              <w:t>联系人：陈雪、依明江        联系电话：0998-5713206</w:t>
            </w:r>
          </w:p>
        </w:tc>
      </w:tr>
      <w:tr w14:paraId="3BFF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bottom w:val="single" w:color="000000" w:sz="10" w:space="0"/>
            </w:tcBorders>
            <w:vAlign w:val="top"/>
          </w:tcPr>
          <w:p w14:paraId="4A1B6582">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DF8F271">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061759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E4180F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09A7A5A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836B33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59405EE6">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B1007F4">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0C866B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5E12447">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A4BD7E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19027CA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3C7340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4AA4A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A2BB80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C40B86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60F3B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34C970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907A7A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DCF16D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380"/>
              <w:jc w:val="both"/>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1.3.4</w:t>
            </w:r>
          </w:p>
        </w:tc>
        <w:tc>
          <w:tcPr>
            <w:tcW w:w="8614" w:type="dxa"/>
            <w:tcBorders>
              <w:bottom w:val="single" w:color="000000" w:sz="10" w:space="0"/>
              <w:right w:val="single" w:color="000000" w:sz="10" w:space="0"/>
            </w:tcBorders>
            <w:vAlign w:val="center"/>
          </w:tcPr>
          <w:p w14:paraId="53D000A1">
            <w:pPr>
              <w:pStyle w:val="28"/>
              <w:keepNext w:val="0"/>
              <w:keepLines w:val="0"/>
              <w:pageBreakBefore w:val="0"/>
              <w:shd w:val="clear"/>
              <w:wordWrap/>
              <w:overflowPunct/>
              <w:topLinePunct w:val="0"/>
              <w:autoSpaceDE w:val="0"/>
              <w:autoSpaceDN w:val="0"/>
              <w:bidi w:val="0"/>
              <w:adjustRightInd w:val="0"/>
              <w:snapToGrid w:val="0"/>
              <w:spacing w:before="88" w:line="219" w:lineRule="auto"/>
              <w:jc w:val="left"/>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合格投标人的其他资格要求：</w:t>
            </w:r>
          </w:p>
          <w:p w14:paraId="2ECE4D60">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（1）具有有效的营业执照；</w:t>
            </w:r>
          </w:p>
          <w:p w14:paraId="36F2B62A">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（2）法定代表人证明或法定代表人授权委托书签字（章）并加盖公章；；</w:t>
            </w:r>
          </w:p>
          <w:p w14:paraId="680DC420">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7D99B084">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（4）供应商须具备【机电安装资质三级】（含）以上资质等级，【建筑工程施工总承包叁级】(含)以上资质或【建筑装修装饰工程专业承包贰级】（含）以上资质等级，并具备有效的安全生产许可证；</w:t>
            </w:r>
          </w:p>
          <w:p w14:paraId="2A61FF57">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6DD16A7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（6）</w:t>
            </w:r>
            <w:r>
              <w:rPr>
                <w:rFonts w:hint="eastAsia" w:ascii="仿宋" w:hAnsi="仿宋" w:eastAsia="仿宋" w:cs="仿宋"/>
                <w:snapToGrid w:val="0"/>
                <w:color w:val="auto"/>
                <w:spacing w:val="-1"/>
                <w:kern w:val="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1"/>
                <w:kern w:val="0"/>
                <w:sz w:val="24"/>
                <w:szCs w:val="24"/>
                <w:highlight w:val="none"/>
                <w:lang w:val="en-US" w:eastAsia="zh-CN" w:bidi="ar-SA"/>
              </w:rPr>
              <w:t>；</w:t>
            </w:r>
          </w:p>
          <w:p w14:paraId="542FFE42">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（7）投标企业提供税务部门出具的近3个月内其中任意1个月的完税证明（零申报需加盖税务机关鲜章），非社会保险类；</w:t>
            </w:r>
          </w:p>
          <w:p w14:paraId="111A14A5">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（8）参加政府采购活动前三年内在经营活动中没有重大违法记录的书面声明及</w:t>
            </w:r>
            <w:r>
              <w:rPr>
                <w:rFonts w:hint="eastAsia" w:ascii="仿宋" w:hAnsi="仿宋" w:eastAsia="仿宋" w:cs="仿宋"/>
                <w:color w:val="auto"/>
                <w:spacing w:val="-1"/>
                <w:sz w:val="24"/>
                <w:szCs w:val="24"/>
                <w:highlight w:val="none"/>
              </w:rPr>
              <w:t>《反商业贿赂承诺书》</w:t>
            </w:r>
            <w:r>
              <w:rPr>
                <w:rFonts w:hint="eastAsia" w:ascii="仿宋" w:hAnsi="仿宋" w:eastAsia="仿宋" w:cs="仿宋"/>
                <w:snapToGrid w:val="0"/>
                <w:color w:val="auto"/>
                <w:spacing w:val="-1"/>
                <w:kern w:val="0"/>
                <w:sz w:val="24"/>
                <w:szCs w:val="24"/>
                <w:highlight w:val="none"/>
                <w:lang w:val="en-US" w:eastAsia="zh-CN" w:bidi="ar-SA"/>
              </w:rPr>
              <w:t>；</w:t>
            </w:r>
          </w:p>
          <w:p w14:paraId="30CE1826">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（9）</w:t>
            </w:r>
            <w:r>
              <w:rPr>
                <w:rFonts w:hint="eastAsia" w:ascii="仿宋" w:hAnsi="仿宋" w:eastAsia="仿宋" w:cs="仿宋"/>
                <w:snapToGrid w:val="0"/>
                <w:color w:val="auto"/>
                <w:spacing w:val="-1"/>
                <w:kern w:val="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1"/>
                <w:kern w:val="0"/>
                <w:sz w:val="24"/>
                <w:szCs w:val="24"/>
                <w:highlight w:val="none"/>
                <w:lang w:val="en-US" w:eastAsia="zh-CN" w:bidi="ar-SA"/>
              </w:rPr>
              <w:t>的缴款凭证或金融机构、担保机构出具的保函。</w:t>
            </w:r>
          </w:p>
          <w:p w14:paraId="3FE6328C">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（10）供应商为中小企业。</w:t>
            </w:r>
          </w:p>
          <w:p w14:paraId="0C1523A5">
            <w:pPr>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（11）本项目不接受联合体投标。</w:t>
            </w:r>
          </w:p>
          <w:p w14:paraId="2EA10D8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z w:val="24"/>
                <w:szCs w:val="24"/>
                <w:lang w:val="en-US" w:eastAsia="zh-CN"/>
              </w:rPr>
            </w:pPr>
            <w:r>
              <w:rPr>
                <w:rFonts w:hint="eastAsia" w:ascii="仿宋" w:hAnsi="仿宋" w:eastAsia="仿宋" w:cs="仿宋"/>
                <w:snapToGrid w:val="0"/>
                <w:color w:val="auto"/>
                <w:spacing w:val="-1"/>
                <w:kern w:val="0"/>
                <w:sz w:val="24"/>
                <w:szCs w:val="24"/>
                <w:highlight w:val="none"/>
                <w:lang w:val="en-US" w:eastAsia="zh-CN" w:bidi="ar-SA"/>
              </w:rPr>
              <w:t>（12）根据《财政部关于在政府采购活动中查询及使用信用记录有关问题的通知》（财库﹝2016﹞125号）的要求，凡拟参加本次招标项目的供应商，如在“信用中国”网站（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6B0B344">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b/>
                <w:bCs/>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bl>
    <w:p w14:paraId="01E5D0E5">
      <w:pPr>
        <w:keepNext w:val="0"/>
        <w:keepLines w:val="0"/>
        <w:pageBreakBefore w:val="0"/>
        <w:shd w:val="clear"/>
        <w:wordWrap/>
        <w:overflowPunct/>
        <w:topLinePunct w:val="0"/>
        <w:autoSpaceDE w:val="0"/>
        <w:autoSpaceDN w:val="0"/>
        <w:bidi w:val="0"/>
        <w:adjustRightInd w:val="0"/>
        <w:snapToGrid w:val="0"/>
        <w:outlineLvl w:val="9"/>
        <w:rPr>
          <w:rFonts w:hint="eastAsia" w:ascii="仿宋" w:hAnsi="仿宋" w:eastAsia="仿宋" w:cs="仿宋"/>
          <w:color w:val="auto"/>
          <w:sz w:val="24"/>
          <w:szCs w:val="24"/>
          <w:highlight w:val="none"/>
        </w:rPr>
        <w:sectPr>
          <w:footerReference r:id="rId22" w:type="default"/>
          <w:pgSz w:w="11906" w:h="16839"/>
          <w:pgMar w:top="1424" w:right="1085" w:bottom="1166" w:left="1085" w:header="0" w:footer="987" w:gutter="0"/>
          <w:pgNumType w:fmt="decimal"/>
          <w:cols w:space="720" w:num="1"/>
        </w:sectPr>
      </w:pPr>
    </w:p>
    <w:tbl>
      <w:tblPr>
        <w:tblStyle w:val="26"/>
        <w:tblW w:w="10418"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9350"/>
      </w:tblGrid>
      <w:tr w14:paraId="2004D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643A351B">
            <w:pPr>
              <w:pStyle w:val="28"/>
              <w:keepNext w:val="0"/>
              <w:keepLines w:val="0"/>
              <w:pageBreakBefore w:val="0"/>
              <w:shd w:val="clear"/>
              <w:wordWrap/>
              <w:overflowPunct/>
              <w:topLinePunct w:val="0"/>
              <w:autoSpaceDE w:val="0"/>
              <w:autoSpaceDN w:val="0"/>
              <w:bidi w:val="0"/>
              <w:adjustRightInd w:val="0"/>
              <w:snapToGrid w:val="0"/>
              <w:spacing w:before="135"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1.3.6</w:t>
            </w:r>
          </w:p>
        </w:tc>
        <w:tc>
          <w:tcPr>
            <w:tcW w:w="9350" w:type="dxa"/>
            <w:tcBorders>
              <w:right w:val="single" w:color="000000" w:sz="10" w:space="0"/>
            </w:tcBorders>
            <w:vAlign w:val="center"/>
          </w:tcPr>
          <w:p w14:paraId="1F5AD69A">
            <w:pPr>
              <w:keepNext w:val="0"/>
              <w:keepLines w:val="0"/>
              <w:pageBreakBefore w:val="0"/>
              <w:wordWrap/>
              <w:overflowPunct/>
              <w:topLinePunct w:val="0"/>
              <w:autoSpaceDE w:val="0"/>
              <w:autoSpaceDN w:val="0"/>
              <w:bidi w:val="0"/>
              <w:adjustRightInd w:val="0"/>
              <w:snapToGrid w:val="0"/>
              <w:spacing w:line="240" w:lineRule="atLeast"/>
              <w:outlineLvl w:val="9"/>
              <w:rPr>
                <w:rFonts w:hint="eastAsia" w:ascii="仿宋" w:hAnsi="仿宋" w:eastAsia="仿宋" w:cs="仿宋"/>
                <w:b/>
                <w:bCs/>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是否为专门面向中小企业采购：</w:t>
            </w:r>
            <w:r>
              <w:rPr>
                <w:rFonts w:hint="eastAsia" w:ascii="仿宋" w:hAnsi="仿宋" w:eastAsia="仿宋" w:cs="仿宋"/>
                <w:b/>
                <w:bCs/>
                <w:snapToGrid w:val="0"/>
                <w:color w:val="auto"/>
                <w:spacing w:val="-1"/>
                <w:kern w:val="0"/>
                <w:sz w:val="24"/>
                <w:szCs w:val="24"/>
                <w:highlight w:val="none"/>
                <w:u w:val="single"/>
                <w:lang w:val="en-US" w:eastAsia="zh-CN" w:bidi="ar-SA"/>
              </w:rPr>
              <w:t>是</w:t>
            </w:r>
            <w:r>
              <w:rPr>
                <w:rFonts w:hint="eastAsia" w:ascii="仿宋" w:hAnsi="仿宋" w:eastAsia="仿宋" w:cs="仿宋"/>
                <w:b/>
                <w:bCs/>
                <w:snapToGrid w:val="0"/>
                <w:color w:val="auto"/>
                <w:spacing w:val="-1"/>
                <w:kern w:val="0"/>
                <w:sz w:val="24"/>
                <w:szCs w:val="24"/>
                <w:highlight w:val="none"/>
                <w:lang w:val="en-US" w:eastAsia="zh-CN" w:bidi="ar-SA"/>
              </w:rPr>
              <w:t>（是、否）</w:t>
            </w:r>
          </w:p>
          <w:p w14:paraId="27964BDB">
            <w:pPr>
              <w:pStyle w:val="17"/>
              <w:keepNext w:val="0"/>
              <w:keepLines w:val="0"/>
              <w:pageBreakBefore w:val="0"/>
              <w:wordWrap/>
              <w:overflowPunct/>
              <w:topLinePunct w:val="0"/>
              <w:autoSpaceDE w:val="0"/>
              <w:autoSpaceDN w:val="0"/>
              <w:bidi w:val="0"/>
              <w:adjustRightInd w:val="0"/>
              <w:snapToGrid w:val="0"/>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1C4C2500">
            <w:pPr>
              <w:pStyle w:val="28"/>
              <w:keepNext w:val="0"/>
              <w:keepLines w:val="0"/>
              <w:pageBreakBefore w:val="0"/>
              <w:shd w:val="clear"/>
              <w:wordWrap/>
              <w:overflowPunct/>
              <w:topLinePunct w:val="0"/>
              <w:autoSpaceDE w:val="0"/>
              <w:autoSpaceDN w:val="0"/>
              <w:bidi w:val="0"/>
              <w:adjustRightInd w:val="0"/>
              <w:snapToGrid w:val="0"/>
              <w:spacing w:before="98"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潜在投标企业属于中小微企业的，请在响应文件中提供“中小企业声明函”，如果未提供或提供虛假的“中小企业声明函”，投标企业将承担由此造成的一切不利后果。</w:t>
            </w:r>
          </w:p>
        </w:tc>
      </w:tr>
      <w:tr w14:paraId="6D64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2EF66051">
            <w:pPr>
              <w:pStyle w:val="28"/>
              <w:keepNext w:val="0"/>
              <w:keepLines w:val="0"/>
              <w:pageBreakBefore w:val="0"/>
              <w:shd w:val="clear"/>
              <w:wordWrap/>
              <w:overflowPunct/>
              <w:topLinePunct w:val="0"/>
              <w:autoSpaceDE w:val="0"/>
              <w:autoSpaceDN w:val="0"/>
              <w:bidi w:val="0"/>
              <w:adjustRightInd w:val="0"/>
              <w:snapToGrid w:val="0"/>
              <w:spacing w:before="137" w:line="184" w:lineRule="auto"/>
              <w:ind w:left="5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1.4</w:t>
            </w:r>
          </w:p>
        </w:tc>
        <w:tc>
          <w:tcPr>
            <w:tcW w:w="9350" w:type="dxa"/>
            <w:tcBorders>
              <w:right w:val="single" w:color="000000" w:sz="10" w:space="0"/>
            </w:tcBorders>
            <w:vAlign w:val="center"/>
          </w:tcPr>
          <w:p w14:paraId="242944EE">
            <w:pPr>
              <w:pStyle w:val="28"/>
              <w:keepNext w:val="0"/>
              <w:keepLines w:val="0"/>
              <w:pageBreakBefore w:val="0"/>
              <w:shd w:val="clear"/>
              <w:wordWrap/>
              <w:overflowPunct/>
              <w:topLinePunct w:val="0"/>
              <w:autoSpaceDE w:val="0"/>
              <w:autoSpaceDN w:val="0"/>
              <w:bidi w:val="0"/>
              <w:adjustRightInd w:val="0"/>
              <w:snapToGrid w:val="0"/>
              <w:spacing w:before="100"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是否允许联合体投标：</w:t>
            </w:r>
            <w:r>
              <w:rPr>
                <w:rFonts w:hint="eastAsia" w:ascii="仿宋" w:hAnsi="仿宋" w:eastAsia="仿宋" w:cs="仿宋"/>
                <w:color w:val="auto"/>
                <w:spacing w:val="-1"/>
                <w:sz w:val="24"/>
                <w:szCs w:val="24"/>
                <w:highlight w:val="none"/>
                <w:u w:val="single"/>
              </w:rPr>
              <w:t>否</w:t>
            </w:r>
            <w:r>
              <w:rPr>
                <w:rFonts w:hint="eastAsia" w:ascii="仿宋" w:hAnsi="仿宋" w:eastAsia="仿宋" w:cs="仿宋"/>
                <w:color w:val="auto"/>
                <w:spacing w:val="-1"/>
                <w:sz w:val="24"/>
                <w:szCs w:val="24"/>
                <w:highlight w:val="none"/>
              </w:rPr>
              <w:t>（是、否）</w:t>
            </w:r>
          </w:p>
        </w:tc>
      </w:tr>
      <w:tr w14:paraId="3AAA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68" w:type="dxa"/>
            <w:tcBorders>
              <w:left w:val="single" w:color="000000" w:sz="10" w:space="0"/>
            </w:tcBorders>
            <w:vAlign w:val="top"/>
          </w:tcPr>
          <w:p w14:paraId="30AC4842">
            <w:pPr>
              <w:pStyle w:val="28"/>
              <w:keepNext w:val="0"/>
              <w:keepLines w:val="0"/>
              <w:pageBreakBefore w:val="0"/>
              <w:shd w:val="clear"/>
              <w:wordWrap/>
              <w:overflowPunct/>
              <w:topLinePunct w:val="0"/>
              <w:autoSpaceDE w:val="0"/>
              <w:autoSpaceDN w:val="0"/>
              <w:bidi w:val="0"/>
              <w:adjustRightInd w:val="0"/>
              <w:snapToGrid w:val="0"/>
              <w:spacing w:before="148"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1.4.8</w:t>
            </w:r>
          </w:p>
        </w:tc>
        <w:tc>
          <w:tcPr>
            <w:tcW w:w="9350" w:type="dxa"/>
            <w:tcBorders>
              <w:right w:val="single" w:color="000000" w:sz="10" w:space="0"/>
            </w:tcBorders>
            <w:vAlign w:val="center"/>
          </w:tcPr>
          <w:p w14:paraId="3A325A98">
            <w:pPr>
              <w:pStyle w:val="28"/>
              <w:keepNext w:val="0"/>
              <w:keepLines w:val="0"/>
              <w:pageBreakBefore w:val="0"/>
              <w:shd w:val="clear"/>
              <w:wordWrap/>
              <w:overflowPunct/>
              <w:topLinePunct w:val="0"/>
              <w:autoSpaceDE w:val="0"/>
              <w:autoSpaceDN w:val="0"/>
              <w:bidi w:val="0"/>
              <w:adjustRightInd w:val="0"/>
              <w:snapToGrid w:val="0"/>
              <w:spacing w:before="112" w:line="219"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w:t>
            </w:r>
            <w:r>
              <w:rPr>
                <w:rFonts w:hint="eastAsia" w:ascii="仿宋" w:hAnsi="仿宋" w:eastAsia="仿宋" w:cs="仿宋"/>
                <w:color w:val="auto"/>
                <w:sz w:val="24"/>
                <w:szCs w:val="24"/>
                <w:highlight w:val="none"/>
                <w:u w:val="single"/>
              </w:rPr>
              <w:t>无</w:t>
            </w:r>
          </w:p>
        </w:tc>
      </w:tr>
      <w:tr w14:paraId="589E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68" w:type="dxa"/>
            <w:tcBorders>
              <w:left w:val="single" w:color="000000" w:sz="10" w:space="0"/>
            </w:tcBorders>
            <w:vAlign w:val="top"/>
          </w:tcPr>
          <w:p w14:paraId="3478107E">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2.2</w:t>
            </w:r>
          </w:p>
        </w:tc>
        <w:tc>
          <w:tcPr>
            <w:tcW w:w="9350" w:type="dxa"/>
            <w:tcBorders>
              <w:right w:val="single" w:color="000000" w:sz="10" w:space="0"/>
            </w:tcBorders>
            <w:vAlign w:val="center"/>
          </w:tcPr>
          <w:p w14:paraId="11B22B0F">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snapToGrid w:val="0"/>
                <w:color w:val="auto"/>
                <w:spacing w:val="-3"/>
                <w:kern w:val="0"/>
                <w:sz w:val="24"/>
                <w:szCs w:val="24"/>
                <w:highlight w:val="none"/>
                <w:lang w:val="en-US" w:eastAsia="zh-CN" w:bidi="ar-SA"/>
              </w:rPr>
              <w:t>预算金额（元）：1440925.54   最高限价（元）：1440925.54</w:t>
            </w:r>
          </w:p>
        </w:tc>
      </w:tr>
      <w:tr w14:paraId="08E9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8" w:type="dxa"/>
            <w:tcBorders>
              <w:left w:val="single" w:color="000000" w:sz="10" w:space="0"/>
            </w:tcBorders>
            <w:vAlign w:val="top"/>
          </w:tcPr>
          <w:p w14:paraId="0C403B9C">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8.1</w:t>
            </w:r>
          </w:p>
        </w:tc>
        <w:tc>
          <w:tcPr>
            <w:tcW w:w="9350" w:type="dxa"/>
            <w:tcBorders>
              <w:right w:val="single" w:color="000000" w:sz="10" w:space="0"/>
            </w:tcBorders>
            <w:vAlign w:val="center"/>
          </w:tcPr>
          <w:p w14:paraId="14F33877">
            <w:pPr>
              <w:pStyle w:val="28"/>
              <w:keepNext w:val="0"/>
              <w:keepLines w:val="0"/>
              <w:pageBreakBefore w:val="0"/>
              <w:shd w:val="clear"/>
              <w:wordWrap/>
              <w:overflowPunct/>
              <w:topLinePunct w:val="0"/>
              <w:autoSpaceDE w:val="0"/>
              <w:autoSpaceDN w:val="0"/>
              <w:bidi w:val="0"/>
              <w:adjustRightInd w:val="0"/>
              <w:snapToGrid w:val="0"/>
              <w:spacing w:before="77" w:line="175" w:lineRule="auto"/>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注：本项目不分标段</w:t>
            </w:r>
          </w:p>
        </w:tc>
      </w:tr>
      <w:tr w14:paraId="513F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068" w:type="dxa"/>
            <w:tcBorders>
              <w:left w:val="single" w:color="000000" w:sz="10" w:space="0"/>
            </w:tcBorders>
            <w:vAlign w:val="center"/>
          </w:tcPr>
          <w:p w14:paraId="131A1EC4">
            <w:pPr>
              <w:pStyle w:val="28"/>
              <w:keepNext w:val="0"/>
              <w:keepLines w:val="0"/>
              <w:pageBreakBefore w:val="0"/>
              <w:shd w:val="clear"/>
              <w:wordWrap/>
              <w:overflowPunct/>
              <w:topLinePunct w:val="0"/>
              <w:autoSpaceDE w:val="0"/>
              <w:autoSpaceDN w:val="0"/>
              <w:bidi w:val="0"/>
              <w:adjustRightInd w:val="0"/>
              <w:snapToGrid w:val="0"/>
              <w:spacing w:before="71" w:line="189" w:lineRule="auto"/>
              <w:ind w:left="16" w:firstLine="762" w:firstLineChars="300"/>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12</w:t>
            </w:r>
          </w:p>
        </w:tc>
        <w:tc>
          <w:tcPr>
            <w:tcW w:w="9350" w:type="dxa"/>
            <w:tcBorders>
              <w:right w:val="single" w:color="000000" w:sz="10" w:space="0"/>
            </w:tcBorders>
            <w:vAlign w:val="center"/>
          </w:tcPr>
          <w:p w14:paraId="79BF93E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7"/>
                <w:sz w:val="24"/>
                <w:szCs w:val="24"/>
                <w:highlight w:val="none"/>
                <w:lang w:eastAsia="zh-CN"/>
              </w:rPr>
              <w:t>磋</w:t>
            </w:r>
            <w:r>
              <w:rPr>
                <w:rFonts w:hint="eastAsia" w:ascii="仿宋" w:hAnsi="仿宋" w:eastAsia="仿宋" w:cs="仿宋"/>
                <w:color w:val="auto"/>
                <w:spacing w:val="-3"/>
                <w:sz w:val="24"/>
                <w:szCs w:val="24"/>
                <w:highlight w:val="none"/>
                <w:lang w:eastAsia="zh-CN"/>
              </w:rPr>
              <w:t>商</w:t>
            </w:r>
            <w:r>
              <w:rPr>
                <w:rFonts w:hint="eastAsia" w:ascii="仿宋" w:hAnsi="仿宋" w:eastAsia="仿宋" w:cs="仿宋"/>
                <w:color w:val="auto"/>
                <w:spacing w:val="-3"/>
                <w:sz w:val="24"/>
                <w:szCs w:val="24"/>
                <w:highlight w:val="none"/>
                <w:lang w:val="zh-CN"/>
              </w:rPr>
              <w:t>保证金形式：</w:t>
            </w:r>
            <w:r>
              <w:rPr>
                <w:rFonts w:hint="eastAsia" w:ascii="仿宋" w:hAnsi="仿宋" w:eastAsia="仿宋" w:cs="仿宋"/>
                <w:color w:val="auto"/>
                <w:spacing w:val="-3"/>
                <w:sz w:val="24"/>
                <w:szCs w:val="24"/>
                <w:highlight w:val="none"/>
              </w:rPr>
              <w:t>☑电汇</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支票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本票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保函☑等非现金形式提交</w:t>
            </w:r>
          </w:p>
          <w:p w14:paraId="3B1865C7">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zh-CN"/>
              </w:rPr>
              <w:t>投标保证金数额:</w:t>
            </w:r>
            <w:r>
              <w:rPr>
                <w:rFonts w:hint="eastAsia" w:ascii="仿宋" w:hAnsi="仿宋" w:eastAsia="仿宋" w:cs="仿宋"/>
                <w:b w:val="0"/>
                <w:bCs w:val="0"/>
                <w:color w:val="auto"/>
                <w:sz w:val="24"/>
                <w:lang w:val="en-US" w:eastAsia="zh-CN"/>
              </w:rPr>
              <w:t>28000元（贰万捌仟元整）</w:t>
            </w:r>
          </w:p>
          <w:p w14:paraId="4CB295E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投标保证金缴纳账户：伽师县教育局</w:t>
            </w:r>
          </w:p>
          <w:p w14:paraId="024E2F61">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银行账号：3012000209100095893　</w:t>
            </w:r>
          </w:p>
          <w:p w14:paraId="2E11A21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开 户 行：中国工商银行股份有限公司伽师县支行</w:t>
            </w:r>
          </w:p>
          <w:p w14:paraId="0B38B915">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zh-CN" w:eastAsia="en-US" w:bidi="ar-SA"/>
              </w:rPr>
              <w:t>联系人：</w:t>
            </w:r>
            <w:r>
              <w:rPr>
                <w:rFonts w:hint="eastAsia" w:ascii="仿宋" w:hAnsi="仿宋" w:eastAsia="仿宋" w:cs="仿宋"/>
                <w:snapToGrid w:val="0"/>
                <w:color w:val="auto"/>
                <w:spacing w:val="-3"/>
                <w:kern w:val="0"/>
                <w:sz w:val="24"/>
                <w:szCs w:val="24"/>
                <w:highlight w:val="none"/>
                <w:lang w:val="en-US" w:eastAsia="zh-CN" w:bidi="ar-SA"/>
              </w:rPr>
              <w:t>许</w:t>
            </w:r>
            <w:r>
              <w:rPr>
                <w:rFonts w:hint="eastAsia" w:ascii="仿宋" w:hAnsi="仿宋" w:eastAsia="仿宋" w:cs="仿宋"/>
                <w:snapToGrid w:val="0"/>
                <w:color w:val="auto"/>
                <w:spacing w:val="-3"/>
                <w:kern w:val="0"/>
                <w:sz w:val="24"/>
                <w:szCs w:val="24"/>
                <w:highlight w:val="none"/>
                <w:lang w:val="zh-CN" w:eastAsia="en-US" w:bidi="ar-SA"/>
              </w:rPr>
              <w:t xml:space="preserve">老师  </w:t>
            </w:r>
            <w:r>
              <w:rPr>
                <w:rFonts w:hint="eastAsia" w:ascii="仿宋" w:hAnsi="仿宋" w:eastAsia="仿宋" w:cs="仿宋"/>
                <w:snapToGrid w:val="0"/>
                <w:color w:val="auto"/>
                <w:spacing w:val="-3"/>
                <w:kern w:val="0"/>
                <w:sz w:val="24"/>
                <w:szCs w:val="24"/>
                <w:highlight w:val="none"/>
                <w:lang w:val="en-US" w:eastAsia="zh-CN" w:bidi="ar-SA"/>
              </w:rPr>
              <w:t>13477473820</w:t>
            </w:r>
          </w:p>
          <w:p w14:paraId="75583FEE">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仿宋" w:hAnsi="仿宋" w:eastAsia="仿宋" w:cs="仿宋"/>
                <w:b/>
                <w:bCs/>
                <w:snapToGrid w:val="0"/>
                <w:color w:val="auto"/>
                <w:spacing w:val="-3"/>
                <w:kern w:val="0"/>
                <w:sz w:val="24"/>
                <w:szCs w:val="24"/>
                <w:highlight w:val="none"/>
                <w:lang w:val="en-US" w:eastAsia="zh-CN" w:bidi="ar-SA"/>
              </w:rPr>
            </w:pPr>
            <w:r>
              <w:rPr>
                <w:rFonts w:hint="eastAsia" w:ascii="仿宋" w:hAnsi="仿宋" w:eastAsia="仿宋" w:cs="仿宋"/>
                <w:b/>
                <w:bCs/>
                <w:snapToGrid w:val="0"/>
                <w:color w:val="auto"/>
                <w:spacing w:val="-3"/>
                <w:kern w:val="0"/>
                <w:sz w:val="24"/>
                <w:szCs w:val="24"/>
                <w:highlight w:val="none"/>
                <w:lang w:val="en-US" w:eastAsia="zh-CN" w:bidi="ar-SA"/>
              </w:rPr>
              <w:t>注：退还投标保证金时需提供开户信息及开户行行号，请主动联系提供相关资料。</w:t>
            </w:r>
          </w:p>
          <w:p w14:paraId="4A5A7E2A">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一、</w:t>
            </w:r>
            <w:r>
              <w:rPr>
                <w:rFonts w:hint="eastAsia" w:ascii="仿宋" w:hAnsi="仿宋" w:eastAsia="仿宋" w:cs="仿宋"/>
                <w:color w:val="auto"/>
                <w:spacing w:val="-3"/>
                <w:sz w:val="24"/>
                <w:szCs w:val="24"/>
                <w:highlight w:val="none"/>
                <w:lang w:eastAsia="zh-CN"/>
              </w:rPr>
              <w:t>投标</w:t>
            </w:r>
            <w:r>
              <w:rPr>
                <w:rFonts w:hint="eastAsia" w:ascii="仿宋" w:hAnsi="仿宋" w:eastAsia="仿宋" w:cs="仿宋"/>
                <w:color w:val="auto"/>
                <w:spacing w:val="-3"/>
                <w:sz w:val="24"/>
                <w:szCs w:val="24"/>
                <w:highlight w:val="none"/>
              </w:rPr>
              <w:t>保证金的缴纳</w:t>
            </w:r>
          </w:p>
          <w:p w14:paraId="3A74375B">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1.到账截止时间 ：投标截止时间前（以到账时间为准）</w:t>
            </w:r>
            <w:r>
              <w:rPr>
                <w:rFonts w:hint="eastAsia" w:ascii="仿宋" w:hAnsi="仿宋" w:eastAsia="仿宋" w:cs="仿宋"/>
                <w:color w:val="auto"/>
                <w:spacing w:val="-3"/>
                <w:sz w:val="24"/>
                <w:szCs w:val="24"/>
                <w:highlight w:val="none"/>
                <w:lang w:val="en-US" w:eastAsia="zh-CN"/>
              </w:rPr>
              <w:t>；投标人须自行评估因异地、跨行、公休日等因素造成的投标保证金到账延迟风险，并承担相应责任。</w:t>
            </w:r>
          </w:p>
          <w:p w14:paraId="08F2BB7D">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2.打款时必须注明投标保证金项目名称或项目编号</w:t>
            </w:r>
            <w:r>
              <w:rPr>
                <w:rFonts w:hint="eastAsia" w:ascii="仿宋" w:hAnsi="仿宋" w:eastAsia="仿宋" w:cs="仿宋"/>
                <w:color w:val="auto"/>
                <w:spacing w:val="-3"/>
                <w:sz w:val="24"/>
                <w:szCs w:val="24"/>
                <w:highlight w:val="none"/>
                <w:lang w:eastAsia="zh-CN"/>
              </w:rPr>
              <w:t>。</w:t>
            </w:r>
          </w:p>
          <w:p w14:paraId="4B5734C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因投标人自身原因打款不成功的 ，</w:t>
            </w:r>
            <w:r>
              <w:rPr>
                <w:rFonts w:hint="eastAsia" w:ascii="仿宋" w:hAnsi="仿宋" w:eastAsia="仿宋" w:cs="仿宋"/>
                <w:color w:val="auto"/>
                <w:spacing w:val="-3"/>
                <w:sz w:val="24"/>
                <w:szCs w:val="24"/>
                <w:highlight w:val="none"/>
                <w:lang w:val="en-US" w:eastAsia="zh-CN"/>
              </w:rPr>
              <w:t>投标人自行承担</w:t>
            </w:r>
            <w:r>
              <w:rPr>
                <w:rFonts w:hint="eastAsia" w:ascii="仿宋" w:hAnsi="仿宋" w:eastAsia="仿宋" w:cs="仿宋"/>
                <w:color w:val="auto"/>
                <w:spacing w:val="-3"/>
                <w:sz w:val="24"/>
                <w:szCs w:val="24"/>
                <w:highlight w:val="none"/>
              </w:rPr>
              <w:t>责任。</w:t>
            </w:r>
          </w:p>
          <w:p w14:paraId="1FA72DE7">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rPr>
              <w:t>保函中必须明确 ：保函有效期满足投标有效期、保函承兑时效必须等于或大于投标有效期</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否则视为无效保函。</w:t>
            </w:r>
          </w:p>
          <w:p w14:paraId="541BD1AA">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二、投标保证金的退还：根据《中华人民共和国政府采购法实施条例》（中华人民共和国国务院令第658号）第三十三条、《政府采购竞争性磋商采购方式管理暂行办法》第三十一条规定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因供应商自身原因耽搁领取，超过退还时限，不承担延后退还责任。）</w:t>
            </w:r>
          </w:p>
          <w:p w14:paraId="6F46242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en-US"/>
              </w:rPr>
            </w:pPr>
            <w:r>
              <w:rPr>
                <w:rFonts w:hint="eastAsia" w:ascii="仿宋" w:hAnsi="仿宋" w:eastAsia="仿宋" w:cs="仿宋"/>
                <w:color w:val="auto"/>
                <w:spacing w:val="-3"/>
                <w:sz w:val="24"/>
                <w:szCs w:val="24"/>
                <w:highlight w:val="none"/>
                <w:lang w:val="en-US" w:eastAsia="en-US"/>
              </w:rPr>
              <w:t>三、 中标人应在与采购人签订合同之日起</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val="en-US" w:eastAsia="en-US"/>
              </w:rPr>
              <w:t>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5F07211E">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3"/>
                <w:sz w:val="24"/>
                <w:szCs w:val="24"/>
                <w:highlight w:val="none"/>
                <w:lang w:val="en-US" w:eastAsia="zh-CN"/>
              </w:rPr>
              <w:t>四、</w:t>
            </w:r>
            <w:r>
              <w:rPr>
                <w:rFonts w:hint="eastAsia" w:ascii="仿宋" w:hAnsi="仿宋" w:eastAsia="仿宋" w:cs="仿宋"/>
                <w:color w:val="auto"/>
                <w:spacing w:val="-3"/>
                <w:sz w:val="24"/>
                <w:szCs w:val="24"/>
                <w:highlight w:val="none"/>
              </w:rPr>
              <w:t>投标人未按招标文件规定缴纳投标保证金的,投标文件将被拒绝评审。</w:t>
            </w:r>
          </w:p>
        </w:tc>
      </w:tr>
      <w:tr w14:paraId="0896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68" w:type="dxa"/>
            <w:tcBorders>
              <w:left w:val="single" w:color="000000" w:sz="10" w:space="0"/>
            </w:tcBorders>
            <w:vAlign w:val="top"/>
          </w:tcPr>
          <w:p w14:paraId="5390582B">
            <w:pPr>
              <w:pStyle w:val="28"/>
              <w:keepNext w:val="0"/>
              <w:keepLines w:val="0"/>
              <w:pageBreakBefore w:val="0"/>
              <w:shd w:val="clear"/>
              <w:wordWrap/>
              <w:overflowPunct/>
              <w:topLinePunct w:val="0"/>
              <w:autoSpaceDE w:val="0"/>
              <w:autoSpaceDN w:val="0"/>
              <w:bidi w:val="0"/>
              <w:adjustRightInd w:val="0"/>
              <w:snapToGrid w:val="0"/>
              <w:spacing w:before="12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w:t>
            </w:r>
          </w:p>
        </w:tc>
        <w:tc>
          <w:tcPr>
            <w:tcW w:w="9350" w:type="dxa"/>
            <w:tcBorders>
              <w:right w:val="single" w:color="000000" w:sz="10" w:space="0"/>
            </w:tcBorders>
            <w:vAlign w:val="center"/>
          </w:tcPr>
          <w:p w14:paraId="53B2C8EC">
            <w:pPr>
              <w:pStyle w:val="28"/>
              <w:keepNext w:val="0"/>
              <w:keepLines w:val="0"/>
              <w:pageBreakBefore w:val="0"/>
              <w:shd w:val="clear"/>
              <w:wordWrap/>
              <w:overflowPunct/>
              <w:topLinePunct w:val="0"/>
              <w:autoSpaceDE w:val="0"/>
              <w:autoSpaceDN w:val="0"/>
              <w:bidi w:val="0"/>
              <w:adjustRightInd w:val="0"/>
              <w:snapToGrid w:val="0"/>
              <w:spacing w:before="88" w:line="220"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投标有效期：</w:t>
            </w:r>
            <w:r>
              <w:rPr>
                <w:rFonts w:hint="eastAsia" w:ascii="仿宋" w:hAnsi="仿宋" w:eastAsia="仿宋" w:cs="仿宋"/>
                <w:color w:val="auto"/>
                <w:spacing w:val="-6"/>
                <w:sz w:val="24"/>
                <w:szCs w:val="24"/>
                <w:highlight w:val="none"/>
                <w:u w:val="single"/>
                <w:lang w:val="en-US" w:eastAsia="zh-CN"/>
              </w:rPr>
              <w:t>90</w:t>
            </w:r>
            <w:r>
              <w:rPr>
                <w:rFonts w:hint="eastAsia" w:ascii="仿宋" w:hAnsi="仿宋" w:eastAsia="仿宋" w:cs="仿宋"/>
                <w:color w:val="auto"/>
                <w:spacing w:val="-6"/>
                <w:sz w:val="24"/>
                <w:szCs w:val="24"/>
                <w:highlight w:val="none"/>
              </w:rPr>
              <w:t xml:space="preserve"> 日历日</w:t>
            </w:r>
          </w:p>
        </w:tc>
      </w:tr>
      <w:tr w14:paraId="3B2C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068" w:type="dxa"/>
            <w:tcBorders>
              <w:left w:val="single" w:color="000000" w:sz="10" w:space="0"/>
            </w:tcBorders>
            <w:vAlign w:val="top"/>
          </w:tcPr>
          <w:p w14:paraId="715BC419">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39DD98C7">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4BA4E716">
            <w:pPr>
              <w:keepNext w:val="0"/>
              <w:keepLines w:val="0"/>
              <w:pageBreakBefore w:val="0"/>
              <w:shd w:val="clear"/>
              <w:wordWrap/>
              <w:overflowPunct/>
              <w:topLinePunct w:val="0"/>
              <w:autoSpaceDE w:val="0"/>
              <w:autoSpaceDN w:val="0"/>
              <w:bidi w:val="0"/>
              <w:adjustRightInd w:val="0"/>
              <w:snapToGrid w:val="0"/>
              <w:spacing w:line="312" w:lineRule="auto"/>
              <w:outlineLvl w:val="9"/>
              <w:rPr>
                <w:rFonts w:hint="eastAsia" w:ascii="仿宋" w:hAnsi="仿宋" w:eastAsia="仿宋" w:cs="仿宋"/>
                <w:color w:val="auto"/>
                <w:sz w:val="24"/>
                <w:szCs w:val="24"/>
                <w:highlight w:val="none"/>
              </w:rPr>
            </w:pPr>
          </w:p>
          <w:p w14:paraId="63A448B4">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w:t>
            </w:r>
          </w:p>
        </w:tc>
        <w:tc>
          <w:tcPr>
            <w:tcW w:w="9350" w:type="dxa"/>
            <w:tcBorders>
              <w:right w:val="single" w:color="000000" w:sz="10" w:space="0"/>
            </w:tcBorders>
            <w:vAlign w:val="center"/>
          </w:tcPr>
          <w:p w14:paraId="5CC5D7C4">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2203E37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2.本项目实行网上投标，采用电子投标文件(供应商须使用 CA 加密设备通过政采云电子投标客户端制作投标文件)。若供应商参与投标，自行承担投标一切费用。 </w:t>
            </w:r>
          </w:p>
          <w:p w14:paraId="3438841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411624D">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160EEE9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7EB5A54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3F10343F">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7405C13C">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8.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 </w:t>
            </w:r>
          </w:p>
          <w:p w14:paraId="509F9F6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46F27743">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6" w:firstLine="1"/>
              <w:jc w:val="left"/>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3"/>
                <w:kern w:val="0"/>
                <w:sz w:val="24"/>
                <w:szCs w:val="24"/>
                <w:highlight w:val="none"/>
                <w:lang w:val="en-US" w:eastAsia="zh-CN" w:bidi="ar-SA"/>
              </w:rPr>
              <w:t>9.解密时长为 30 分钟。</w:t>
            </w:r>
          </w:p>
        </w:tc>
      </w:tr>
      <w:tr w14:paraId="6C3A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68" w:type="dxa"/>
            <w:tcBorders>
              <w:left w:val="single" w:color="000000" w:sz="10" w:space="0"/>
            </w:tcBorders>
            <w:vAlign w:val="top"/>
          </w:tcPr>
          <w:p w14:paraId="1A14F1DE">
            <w:pPr>
              <w:pStyle w:val="28"/>
              <w:keepNext w:val="0"/>
              <w:keepLines w:val="0"/>
              <w:pageBreakBefore w:val="0"/>
              <w:shd w:val="clear"/>
              <w:wordWrap/>
              <w:overflowPunct/>
              <w:topLinePunct w:val="0"/>
              <w:autoSpaceDE w:val="0"/>
              <w:autoSpaceDN w:val="0"/>
              <w:bidi w:val="0"/>
              <w:adjustRightInd w:val="0"/>
              <w:snapToGrid w:val="0"/>
              <w:spacing w:before="89" w:line="166"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9350" w:type="dxa"/>
            <w:tcBorders>
              <w:right w:val="single" w:color="000000" w:sz="10" w:space="0"/>
            </w:tcBorders>
            <w:vAlign w:val="center"/>
          </w:tcPr>
          <w:p w14:paraId="3A501343">
            <w:pPr>
              <w:pStyle w:val="28"/>
              <w:keepNext w:val="0"/>
              <w:keepLines w:val="0"/>
              <w:pageBreakBefore w:val="0"/>
              <w:shd w:val="clear"/>
              <w:wordWrap/>
              <w:overflowPunct/>
              <w:topLinePunct w:val="0"/>
              <w:autoSpaceDE w:val="0"/>
              <w:autoSpaceDN w:val="0"/>
              <w:bidi w:val="0"/>
              <w:adjustRightInd w:val="0"/>
              <w:snapToGrid w:val="0"/>
              <w:spacing w:before="51" w:line="195"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0000FF"/>
                <w:spacing w:val="-5"/>
                <w:sz w:val="24"/>
                <w:szCs w:val="24"/>
                <w:highlight w:val="none"/>
              </w:rPr>
              <w:t>投标截止时间：</w:t>
            </w:r>
            <w:r>
              <w:rPr>
                <w:rFonts w:hint="eastAsia" w:ascii="仿宋" w:hAnsi="仿宋" w:eastAsia="仿宋" w:cs="仿宋"/>
                <w:color w:val="0000FF"/>
                <w:spacing w:val="-5"/>
                <w:sz w:val="24"/>
                <w:szCs w:val="24"/>
                <w:highlight w:val="yellow"/>
                <w:lang w:eastAsia="zh-CN"/>
              </w:rPr>
              <w:t>202</w:t>
            </w:r>
            <w:r>
              <w:rPr>
                <w:rFonts w:hint="eastAsia" w:ascii="仿宋" w:hAnsi="仿宋" w:eastAsia="仿宋" w:cs="仿宋"/>
                <w:color w:val="0000FF"/>
                <w:spacing w:val="-5"/>
                <w:sz w:val="24"/>
                <w:szCs w:val="24"/>
                <w:highlight w:val="yellow"/>
                <w:lang w:val="en-US" w:eastAsia="zh-CN"/>
              </w:rPr>
              <w:t>5</w:t>
            </w:r>
            <w:r>
              <w:rPr>
                <w:rFonts w:hint="eastAsia" w:ascii="仿宋" w:hAnsi="仿宋" w:eastAsia="仿宋" w:cs="仿宋"/>
                <w:color w:val="0000FF"/>
                <w:spacing w:val="-5"/>
                <w:sz w:val="24"/>
                <w:szCs w:val="24"/>
                <w:highlight w:val="yellow"/>
                <w:lang w:eastAsia="zh-CN"/>
              </w:rPr>
              <w:t>年</w:t>
            </w:r>
            <w:r>
              <w:rPr>
                <w:rFonts w:hint="eastAsia" w:ascii="仿宋" w:hAnsi="仿宋" w:eastAsia="仿宋" w:cs="仿宋"/>
                <w:color w:val="0000FF"/>
                <w:spacing w:val="-5"/>
                <w:sz w:val="24"/>
                <w:szCs w:val="24"/>
                <w:highlight w:val="yellow"/>
                <w:lang w:val="en-US" w:eastAsia="zh-CN"/>
              </w:rPr>
              <w:t>7</w:t>
            </w:r>
            <w:r>
              <w:rPr>
                <w:rFonts w:hint="eastAsia" w:ascii="仿宋" w:hAnsi="仿宋" w:eastAsia="仿宋" w:cs="仿宋"/>
                <w:color w:val="0000FF"/>
                <w:spacing w:val="-5"/>
                <w:sz w:val="24"/>
                <w:szCs w:val="24"/>
                <w:highlight w:val="yellow"/>
                <w:lang w:eastAsia="zh-CN"/>
              </w:rPr>
              <w:t>月</w:t>
            </w:r>
            <w:r>
              <w:rPr>
                <w:rFonts w:hint="eastAsia" w:ascii="仿宋" w:hAnsi="仿宋" w:eastAsia="仿宋" w:cs="仿宋"/>
                <w:color w:val="0000FF"/>
                <w:spacing w:val="-5"/>
                <w:sz w:val="24"/>
                <w:szCs w:val="24"/>
                <w:highlight w:val="yellow"/>
                <w:lang w:val="en-US" w:eastAsia="zh-CN"/>
              </w:rPr>
              <w:t>17</w:t>
            </w:r>
            <w:r>
              <w:rPr>
                <w:rFonts w:hint="eastAsia" w:ascii="仿宋" w:hAnsi="仿宋" w:eastAsia="仿宋" w:cs="仿宋"/>
                <w:color w:val="0000FF"/>
                <w:spacing w:val="-5"/>
                <w:sz w:val="24"/>
                <w:szCs w:val="24"/>
                <w:highlight w:val="yellow"/>
                <w:lang w:eastAsia="zh-CN"/>
              </w:rPr>
              <w:t>日</w:t>
            </w:r>
            <w:r>
              <w:rPr>
                <w:rFonts w:hint="eastAsia" w:ascii="仿宋" w:hAnsi="仿宋" w:eastAsia="仿宋" w:cs="仿宋"/>
                <w:color w:val="0000FF"/>
                <w:spacing w:val="-5"/>
                <w:sz w:val="24"/>
                <w:szCs w:val="24"/>
                <w:highlight w:val="yellow"/>
                <w:lang w:val="en-US" w:eastAsia="zh-CN"/>
              </w:rPr>
              <w:t xml:space="preserve"> 11：00</w:t>
            </w:r>
            <w:r>
              <w:rPr>
                <w:rFonts w:hint="eastAsia" w:ascii="仿宋" w:hAnsi="仿宋" w:eastAsia="仿宋" w:cs="仿宋"/>
                <w:color w:val="0000FF"/>
                <w:spacing w:val="-5"/>
                <w:sz w:val="24"/>
                <w:szCs w:val="24"/>
                <w:highlight w:val="yellow"/>
                <w:lang w:eastAsia="zh-CN"/>
              </w:rPr>
              <w:t>（北京时间）</w:t>
            </w:r>
          </w:p>
        </w:tc>
      </w:tr>
      <w:tr w14:paraId="09FA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68" w:type="dxa"/>
            <w:tcBorders>
              <w:left w:val="single" w:color="000000" w:sz="10" w:space="0"/>
            </w:tcBorders>
            <w:vAlign w:val="top"/>
          </w:tcPr>
          <w:p w14:paraId="0132A8AF">
            <w:pPr>
              <w:pStyle w:val="28"/>
              <w:keepNext w:val="0"/>
              <w:keepLines w:val="0"/>
              <w:pageBreakBefore w:val="0"/>
              <w:shd w:val="clear"/>
              <w:wordWrap/>
              <w:overflowPunct/>
              <w:topLinePunct w:val="0"/>
              <w:autoSpaceDE w:val="0"/>
              <w:autoSpaceDN w:val="0"/>
              <w:bidi w:val="0"/>
              <w:adjustRightInd w:val="0"/>
              <w:snapToGrid w:val="0"/>
              <w:spacing w:before="24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w:t>
            </w:r>
          </w:p>
        </w:tc>
        <w:tc>
          <w:tcPr>
            <w:tcW w:w="9350" w:type="dxa"/>
            <w:tcBorders>
              <w:right w:val="single" w:color="000000" w:sz="10" w:space="0"/>
            </w:tcBorders>
            <w:vAlign w:val="center"/>
          </w:tcPr>
          <w:p w14:paraId="0BDC2A76">
            <w:pPr>
              <w:pStyle w:val="28"/>
              <w:keepNext w:val="0"/>
              <w:keepLines w:val="0"/>
              <w:pageBreakBefore w:val="0"/>
              <w:shd w:val="clear"/>
              <w:wordWrap/>
              <w:overflowPunct/>
              <w:topLinePunct w:val="0"/>
              <w:autoSpaceDE w:val="0"/>
              <w:autoSpaceDN w:val="0"/>
              <w:bidi w:val="0"/>
              <w:adjustRightInd w:val="0"/>
              <w:snapToGrid w:val="0"/>
              <w:spacing w:before="53" w:line="220"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开标时间：同投标截止时间</w:t>
            </w:r>
          </w:p>
          <w:p w14:paraId="007159E2">
            <w:pPr>
              <w:pStyle w:val="28"/>
              <w:keepNext w:val="0"/>
              <w:keepLines w:val="0"/>
              <w:pageBreakBefore w:val="0"/>
              <w:shd w:val="clear"/>
              <w:wordWrap/>
              <w:overflowPunct/>
              <w:topLinePunct w:val="0"/>
              <w:autoSpaceDE w:val="0"/>
              <w:autoSpaceDN w:val="0"/>
              <w:bidi w:val="0"/>
              <w:adjustRightInd w:val="0"/>
              <w:snapToGrid w:val="0"/>
              <w:spacing w:before="26" w:line="193"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开标地点：政采云平台</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
                <w:sz w:val="24"/>
                <w:szCs w:val="24"/>
                <w:highlight w:val="none"/>
              </w:rPr>
              <w:t>https://www.zcygov.cn</w:t>
            </w:r>
          </w:p>
        </w:tc>
      </w:tr>
      <w:tr w14:paraId="61A7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68" w:type="dxa"/>
            <w:tcBorders>
              <w:left w:val="single" w:color="000000" w:sz="10" w:space="0"/>
            </w:tcBorders>
            <w:vAlign w:val="top"/>
          </w:tcPr>
          <w:p w14:paraId="207BF63C">
            <w:pPr>
              <w:pStyle w:val="28"/>
              <w:keepNext w:val="0"/>
              <w:keepLines w:val="0"/>
              <w:pageBreakBefore w:val="0"/>
              <w:shd w:val="clear"/>
              <w:wordWrap/>
              <w:overflowPunct/>
              <w:topLinePunct w:val="0"/>
              <w:autoSpaceDE w:val="0"/>
              <w:autoSpaceDN w:val="0"/>
              <w:bidi w:val="0"/>
              <w:adjustRightInd w:val="0"/>
              <w:snapToGrid w:val="0"/>
              <w:spacing w:before="78" w:line="183" w:lineRule="auto"/>
              <w:ind w:firstLine="464"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23.2</w:t>
            </w:r>
          </w:p>
        </w:tc>
        <w:tc>
          <w:tcPr>
            <w:tcW w:w="9350" w:type="dxa"/>
            <w:tcBorders>
              <w:right w:val="single" w:color="000000" w:sz="10" w:space="0"/>
            </w:tcBorders>
            <w:vAlign w:val="center"/>
          </w:tcPr>
          <w:p w14:paraId="71B6C630">
            <w:pPr>
              <w:pStyle w:val="28"/>
              <w:keepNext w:val="0"/>
              <w:keepLines w:val="0"/>
              <w:pageBreakBefore w:val="0"/>
              <w:shd w:val="clear"/>
              <w:wordWrap/>
              <w:overflowPunct/>
              <w:topLinePunct w:val="0"/>
              <w:autoSpaceDE w:val="0"/>
              <w:autoSpaceDN w:val="0"/>
              <w:bidi w:val="0"/>
              <w:adjustRightInd w:val="0"/>
              <w:snapToGrid w:val="0"/>
              <w:spacing w:before="56" w:line="234" w:lineRule="auto"/>
              <w:ind w:left="23" w:right="16"/>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评标方法：</w:t>
            </w:r>
            <w:r>
              <w:rPr>
                <w:rFonts w:hint="eastAsia" w:ascii="仿宋" w:hAnsi="仿宋" w:eastAsia="仿宋" w:cs="仿宋"/>
                <w:b/>
                <w:bCs/>
                <w:color w:val="auto"/>
                <w:spacing w:val="-3"/>
                <w:sz w:val="24"/>
                <w:szCs w:val="24"/>
                <w:highlight w:val="none"/>
              </w:rPr>
              <w:t>竞争性磋商：综合评分法</w:t>
            </w:r>
          </w:p>
          <w:p w14:paraId="342D300D">
            <w:pPr>
              <w:pStyle w:val="28"/>
              <w:keepNext w:val="0"/>
              <w:keepLines w:val="0"/>
              <w:pageBreakBefore w:val="0"/>
              <w:shd w:val="clear"/>
              <w:wordWrap/>
              <w:overflowPunct/>
              <w:topLinePunct w:val="0"/>
              <w:autoSpaceDE w:val="0"/>
              <w:autoSpaceDN w:val="0"/>
              <w:bidi w:val="0"/>
              <w:adjustRightInd w:val="0"/>
              <w:snapToGrid w:val="0"/>
              <w:spacing w:before="27" w:line="228" w:lineRule="auto"/>
              <w:ind w:left="23" w:right="16" w:firstLine="3"/>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备注：二次报价时需要供应商提前准备好二轮已标价的工程</w:t>
            </w:r>
            <w:r>
              <w:rPr>
                <w:rFonts w:hint="eastAsia" w:ascii="仿宋" w:hAnsi="仿宋" w:eastAsia="仿宋" w:cs="仿宋"/>
                <w:b/>
                <w:bCs/>
                <w:color w:val="auto"/>
                <w:spacing w:val="-6"/>
                <w:sz w:val="24"/>
                <w:szCs w:val="24"/>
                <w:highlight w:val="none"/>
              </w:rPr>
              <w:t>量清单，将会作为附</w:t>
            </w:r>
            <w:r>
              <w:rPr>
                <w:rFonts w:hint="eastAsia" w:ascii="仿宋" w:hAnsi="仿宋" w:eastAsia="仿宋" w:cs="仿宋"/>
                <w:b/>
                <w:bCs/>
                <w:color w:val="auto"/>
                <w:spacing w:val="-5"/>
                <w:sz w:val="24"/>
                <w:szCs w:val="24"/>
                <w:highlight w:val="none"/>
              </w:rPr>
              <w:t>件进行上传，作为报价评审依据，成为其响应文件的组成部分。</w:t>
            </w:r>
            <w:r>
              <w:rPr>
                <w:rFonts w:hint="eastAsia" w:ascii="仿宋" w:hAnsi="仿宋" w:eastAsia="仿宋" w:cs="仿宋"/>
                <w:b/>
                <w:bCs/>
                <w:color w:val="auto"/>
                <w:spacing w:val="-6"/>
                <w:sz w:val="24"/>
                <w:szCs w:val="24"/>
                <w:highlight w:val="none"/>
              </w:rPr>
              <w:t>未按要求上传视</w:t>
            </w:r>
            <w:r>
              <w:rPr>
                <w:rFonts w:hint="eastAsia" w:ascii="仿宋" w:hAnsi="仿宋" w:eastAsia="仿宋" w:cs="仿宋"/>
                <w:b/>
                <w:bCs/>
                <w:color w:val="auto"/>
                <w:spacing w:val="-5"/>
                <w:sz w:val="24"/>
                <w:szCs w:val="24"/>
                <w:highlight w:val="none"/>
              </w:rPr>
              <w:t>为无效。</w:t>
            </w:r>
          </w:p>
        </w:tc>
      </w:tr>
    </w:tbl>
    <w:p w14:paraId="1B782A89">
      <w:pPr>
        <w:keepNext w:val="0"/>
        <w:keepLines w:val="0"/>
        <w:pageBreakBefore w:val="0"/>
        <w:shd w:val="clear"/>
        <w:wordWrap/>
        <w:overflowPunct/>
        <w:topLinePunct w:val="0"/>
        <w:autoSpaceDE w:val="0"/>
        <w:autoSpaceDN w:val="0"/>
        <w:bidi w:val="0"/>
        <w:adjustRightInd w:val="0"/>
        <w:snapToGrid w:val="0"/>
        <w:spacing w:line="91" w:lineRule="auto"/>
        <w:outlineLvl w:val="9"/>
        <w:rPr>
          <w:rFonts w:hint="eastAsia" w:ascii="仿宋" w:hAnsi="仿宋" w:eastAsia="仿宋" w:cs="仿宋"/>
          <w:color w:val="auto"/>
          <w:sz w:val="24"/>
          <w:szCs w:val="24"/>
          <w:highlight w:val="none"/>
        </w:rPr>
      </w:pPr>
    </w:p>
    <w:tbl>
      <w:tblPr>
        <w:tblStyle w:val="26"/>
        <w:tblW w:w="10478" w:type="dxa"/>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6"/>
        <w:gridCol w:w="9362"/>
      </w:tblGrid>
      <w:tr w14:paraId="2FC4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16" w:type="dxa"/>
            <w:tcBorders>
              <w:top w:val="single" w:color="000000" w:sz="10" w:space="0"/>
              <w:left w:val="single" w:color="000000" w:sz="10" w:space="0"/>
            </w:tcBorders>
            <w:vAlign w:val="top"/>
          </w:tcPr>
          <w:p w14:paraId="02B407CF">
            <w:pPr>
              <w:pStyle w:val="28"/>
              <w:keepNext w:val="0"/>
              <w:keepLines w:val="0"/>
              <w:pageBreakBefore w:val="0"/>
              <w:shd w:val="clear"/>
              <w:wordWrap/>
              <w:overflowPunct/>
              <w:topLinePunct w:val="0"/>
              <w:autoSpaceDE w:val="0"/>
              <w:autoSpaceDN w:val="0"/>
              <w:bidi w:val="0"/>
              <w:adjustRightInd w:val="0"/>
              <w:snapToGrid w:val="0"/>
              <w:spacing w:before="79" w:line="18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27</w:t>
            </w:r>
          </w:p>
        </w:tc>
        <w:tc>
          <w:tcPr>
            <w:tcW w:w="9362" w:type="dxa"/>
            <w:tcBorders>
              <w:top w:val="single" w:color="000000" w:sz="10" w:space="0"/>
              <w:right w:val="single" w:color="000000" w:sz="10" w:space="0"/>
            </w:tcBorders>
            <w:vAlign w:val="center"/>
          </w:tcPr>
          <w:p w14:paraId="2B6C65B4">
            <w:pPr>
              <w:pStyle w:val="28"/>
              <w:keepNext w:val="0"/>
              <w:keepLines w:val="0"/>
              <w:pageBreakBefore w:val="0"/>
              <w:shd w:val="clear"/>
              <w:wordWrap/>
              <w:overflowPunct/>
              <w:topLinePunct w:val="0"/>
              <w:autoSpaceDE w:val="0"/>
              <w:autoSpaceDN w:val="0"/>
              <w:bidi w:val="0"/>
              <w:adjustRightInd w:val="0"/>
              <w:snapToGrid w:val="0"/>
              <w:spacing w:before="41" w:line="209" w:lineRule="auto"/>
              <w:ind w:left="24"/>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推荐中标候选供应商的数量：3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名</w:t>
            </w:r>
          </w:p>
        </w:tc>
      </w:tr>
      <w:tr w14:paraId="6D27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6" w:type="dxa"/>
            <w:tcBorders>
              <w:left w:val="single" w:color="000000" w:sz="10" w:space="0"/>
            </w:tcBorders>
            <w:vAlign w:val="center"/>
          </w:tcPr>
          <w:p w14:paraId="0EF14210">
            <w:pPr>
              <w:pStyle w:val="28"/>
              <w:keepNext w:val="0"/>
              <w:keepLines w:val="0"/>
              <w:pageBreakBefore w:val="0"/>
              <w:shd w:val="clear"/>
              <w:wordWrap/>
              <w:overflowPunct/>
              <w:topLinePunct w:val="0"/>
              <w:autoSpaceDE w:val="0"/>
              <w:autoSpaceDN w:val="0"/>
              <w:bidi w:val="0"/>
              <w:adjustRightInd w:val="0"/>
              <w:snapToGrid w:val="0"/>
              <w:spacing w:before="71" w:line="18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27</w:t>
            </w:r>
          </w:p>
        </w:tc>
        <w:tc>
          <w:tcPr>
            <w:tcW w:w="9362" w:type="dxa"/>
            <w:tcBorders>
              <w:right w:val="single" w:color="000000" w:sz="10" w:space="0"/>
            </w:tcBorders>
            <w:vAlign w:val="center"/>
          </w:tcPr>
          <w:p w14:paraId="5FE55F3B">
            <w:pPr>
              <w:pStyle w:val="28"/>
              <w:keepNext w:val="0"/>
              <w:keepLines w:val="0"/>
              <w:pageBreakBefore w:val="0"/>
              <w:shd w:val="clear"/>
              <w:wordWrap/>
              <w:overflowPunct/>
              <w:topLinePunct w:val="0"/>
              <w:autoSpaceDE w:val="0"/>
              <w:autoSpaceDN w:val="0"/>
              <w:bidi w:val="0"/>
              <w:adjustRightInd w:val="0"/>
              <w:snapToGrid w:val="0"/>
              <w:spacing w:before="34" w:line="209" w:lineRule="auto"/>
              <w:ind w:left="2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采购人是否委托磋商小组直接确定中标人：否 （是、否）</w:t>
            </w:r>
          </w:p>
        </w:tc>
      </w:tr>
      <w:tr w14:paraId="3906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116" w:type="dxa"/>
            <w:tcBorders>
              <w:left w:val="single" w:color="000000" w:sz="10" w:space="0"/>
            </w:tcBorders>
            <w:vAlign w:val="top"/>
          </w:tcPr>
          <w:p w14:paraId="0D1A6522">
            <w:pPr>
              <w:keepNext w:val="0"/>
              <w:keepLines w:val="0"/>
              <w:pageBreakBefore w:val="0"/>
              <w:shd w:val="clear"/>
              <w:wordWrap/>
              <w:overflowPunct/>
              <w:topLinePunct w:val="0"/>
              <w:autoSpaceDE w:val="0"/>
              <w:autoSpaceDN w:val="0"/>
              <w:bidi w:val="0"/>
              <w:adjustRightInd w:val="0"/>
              <w:snapToGrid w:val="0"/>
              <w:spacing w:line="301" w:lineRule="auto"/>
              <w:outlineLvl w:val="9"/>
              <w:rPr>
                <w:rFonts w:hint="eastAsia" w:ascii="仿宋" w:hAnsi="仿宋" w:eastAsia="仿宋" w:cs="仿宋"/>
                <w:color w:val="auto"/>
                <w:sz w:val="24"/>
                <w:szCs w:val="24"/>
                <w:highlight w:val="none"/>
              </w:rPr>
            </w:pPr>
          </w:p>
          <w:p w14:paraId="2B361CA0">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2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31.1</w:t>
            </w:r>
          </w:p>
        </w:tc>
        <w:tc>
          <w:tcPr>
            <w:tcW w:w="9362" w:type="dxa"/>
            <w:tcBorders>
              <w:right w:val="single" w:color="000000" w:sz="10" w:space="0"/>
            </w:tcBorders>
            <w:vAlign w:val="center"/>
          </w:tcPr>
          <w:p w14:paraId="2C8CE876">
            <w:pPr>
              <w:pStyle w:val="28"/>
              <w:keepNext w:val="0"/>
              <w:keepLines w:val="0"/>
              <w:pageBreakBefore w:val="0"/>
              <w:shd w:val="clear"/>
              <w:wordWrap/>
              <w:overflowPunct/>
              <w:topLinePunct w:val="0"/>
              <w:autoSpaceDE w:val="0"/>
              <w:autoSpaceDN w:val="0"/>
              <w:bidi w:val="0"/>
              <w:adjustRightInd w:val="0"/>
              <w:snapToGrid w:val="0"/>
              <w:spacing w:before="34" w:line="218"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履约保证金金额：合同总价的</w:t>
            </w:r>
            <w:r>
              <w:rPr>
                <w:rFonts w:hint="eastAsia" w:ascii="仿宋" w:hAnsi="仿宋" w:eastAsia="仿宋" w:cs="仿宋"/>
                <w:color w:val="auto"/>
                <w:spacing w:val="-36"/>
                <w:sz w:val="24"/>
                <w:szCs w:val="24"/>
                <w:highlight w:val="none"/>
                <w:lang w:val="en-US" w:eastAsia="zh-CN"/>
              </w:rPr>
              <w:t xml:space="preserve">10 </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（不得超过政府采购合同金额的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p>
          <w:p w14:paraId="49EE74FA">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履约保证金形式：转账或电汇（基本账户转出或出具）</w:t>
            </w:r>
          </w:p>
          <w:p w14:paraId="5FB72F22">
            <w:pPr>
              <w:pStyle w:val="28"/>
              <w:keepNext w:val="0"/>
              <w:keepLines w:val="0"/>
              <w:pageBreakBefore w:val="0"/>
              <w:shd w:val="clear"/>
              <w:wordWrap/>
              <w:overflowPunct/>
              <w:topLinePunct w:val="0"/>
              <w:autoSpaceDE w:val="0"/>
              <w:autoSpaceDN w:val="0"/>
              <w:bidi w:val="0"/>
              <w:adjustRightInd w:val="0"/>
              <w:snapToGrid w:val="0"/>
              <w:spacing w:before="27" w:line="188"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提交履约保证金的时间：</w:t>
            </w:r>
            <w:r>
              <w:rPr>
                <w:rFonts w:hint="eastAsia" w:ascii="仿宋" w:hAnsi="仿宋" w:eastAsia="仿宋" w:cs="仿宋"/>
                <w:color w:val="auto"/>
                <w:spacing w:val="-1"/>
                <w:sz w:val="24"/>
                <w:szCs w:val="24"/>
                <w:highlight w:val="none"/>
              </w:rPr>
              <w:t xml:space="preserve">中标通知书后5天内 </w:t>
            </w:r>
          </w:p>
        </w:tc>
      </w:tr>
      <w:tr w14:paraId="77F67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16" w:type="dxa"/>
            <w:tcBorders>
              <w:left w:val="single" w:color="000000" w:sz="10" w:space="0"/>
            </w:tcBorders>
            <w:vAlign w:val="top"/>
          </w:tcPr>
          <w:p w14:paraId="34396E73">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32</w:t>
            </w:r>
          </w:p>
        </w:tc>
        <w:tc>
          <w:tcPr>
            <w:tcW w:w="9362" w:type="dxa"/>
            <w:tcBorders>
              <w:right w:val="single" w:color="000000" w:sz="10" w:space="0"/>
            </w:tcBorders>
            <w:vAlign w:val="center"/>
          </w:tcPr>
          <w:p w14:paraId="317D58C2">
            <w:pPr>
              <w:pStyle w:val="28"/>
              <w:keepNext w:val="0"/>
              <w:keepLines w:val="0"/>
              <w:pageBreakBefore w:val="0"/>
              <w:shd w:val="clear"/>
              <w:wordWrap/>
              <w:overflowPunct/>
              <w:topLinePunct w:val="0"/>
              <w:autoSpaceDE w:val="0"/>
              <w:autoSpaceDN w:val="0"/>
              <w:bidi w:val="0"/>
              <w:adjustRightInd w:val="0"/>
              <w:snapToGrid w:val="0"/>
              <w:spacing w:before="26" w:line="206" w:lineRule="auto"/>
              <w:ind w:left="25"/>
              <w:jc w:val="left"/>
              <w:outlineLvl w:val="9"/>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中标服务费：本项目不收取中标服务费</w:t>
            </w:r>
          </w:p>
        </w:tc>
      </w:tr>
      <w:tr w14:paraId="5221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16" w:type="dxa"/>
            <w:tcBorders>
              <w:left w:val="single" w:color="000000" w:sz="10" w:space="0"/>
            </w:tcBorders>
            <w:vAlign w:val="center"/>
          </w:tcPr>
          <w:p w14:paraId="58E14D7F">
            <w:pPr>
              <w:pStyle w:val="28"/>
              <w:keepNext w:val="0"/>
              <w:keepLines w:val="0"/>
              <w:pageBreakBefore w:val="0"/>
              <w:shd w:val="clear"/>
              <w:wordWrap/>
              <w:overflowPunct/>
              <w:topLinePunct w:val="0"/>
              <w:autoSpaceDE w:val="0"/>
              <w:autoSpaceDN w:val="0"/>
              <w:bidi w:val="0"/>
              <w:adjustRightInd w:val="0"/>
              <w:snapToGrid w:val="0"/>
              <w:spacing w:before="75" w:line="15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33.1</w:t>
            </w:r>
          </w:p>
        </w:tc>
        <w:tc>
          <w:tcPr>
            <w:tcW w:w="9362" w:type="dxa"/>
            <w:tcBorders>
              <w:right w:val="single" w:color="000000" w:sz="10" w:space="0"/>
            </w:tcBorders>
            <w:vAlign w:val="center"/>
          </w:tcPr>
          <w:p w14:paraId="737DD4A3">
            <w:pPr>
              <w:pStyle w:val="28"/>
              <w:keepNext w:val="0"/>
              <w:keepLines w:val="0"/>
              <w:pageBreakBefore w:val="0"/>
              <w:shd w:val="clear"/>
              <w:wordWrap/>
              <w:overflowPunct/>
              <w:topLinePunct w:val="0"/>
              <w:autoSpaceDE w:val="0"/>
              <w:autoSpaceDN w:val="0"/>
              <w:bidi w:val="0"/>
              <w:adjustRightInd w:val="0"/>
              <w:snapToGrid w:val="0"/>
              <w:spacing w:before="39" w:line="186"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本项目是否属于信用担保试点范围：否（是、否）</w:t>
            </w:r>
          </w:p>
        </w:tc>
      </w:tr>
      <w:tr w14:paraId="7217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6" w:type="dxa"/>
            <w:tcBorders>
              <w:left w:val="single" w:color="000000" w:sz="10" w:space="0"/>
            </w:tcBorders>
            <w:vAlign w:val="center"/>
          </w:tcPr>
          <w:p w14:paraId="18A1E4CB">
            <w:pPr>
              <w:pStyle w:val="28"/>
              <w:keepNext w:val="0"/>
              <w:keepLines w:val="0"/>
              <w:pageBreakBefore w:val="0"/>
              <w:shd w:val="clear"/>
              <w:wordWrap/>
              <w:overflowPunct/>
              <w:topLinePunct w:val="0"/>
              <w:autoSpaceDE w:val="0"/>
              <w:autoSpaceDN w:val="0"/>
              <w:bidi w:val="0"/>
              <w:adjustRightInd w:val="0"/>
              <w:snapToGrid w:val="0"/>
              <w:spacing w:before="102" w:line="175"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w:t>
            </w:r>
          </w:p>
        </w:tc>
        <w:tc>
          <w:tcPr>
            <w:tcW w:w="9362" w:type="dxa"/>
            <w:tcBorders>
              <w:right w:val="single" w:color="000000" w:sz="10" w:space="0"/>
            </w:tcBorders>
            <w:vAlign w:val="center"/>
          </w:tcPr>
          <w:p w14:paraId="64B2443B">
            <w:pPr>
              <w:pStyle w:val="28"/>
              <w:keepNext w:val="0"/>
              <w:keepLines w:val="0"/>
              <w:pageBreakBefore w:val="0"/>
              <w:shd w:val="clear"/>
              <w:wordWrap/>
              <w:overflowPunct/>
              <w:topLinePunct w:val="0"/>
              <w:autoSpaceDE w:val="0"/>
              <w:autoSpaceDN w:val="0"/>
              <w:bidi w:val="0"/>
              <w:adjustRightInd w:val="0"/>
              <w:snapToGrid w:val="0"/>
              <w:spacing w:before="64" w:line="204"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反腐倡廉监督电话/邮箱：</w:t>
            </w:r>
            <w:r>
              <w:rPr>
                <w:rFonts w:hint="eastAsia" w:ascii="仿宋" w:hAnsi="仿宋" w:eastAsia="仿宋" w:cs="仿宋"/>
                <w:color w:val="auto"/>
                <w:spacing w:val="-1"/>
                <w:sz w:val="24"/>
                <w:szCs w:val="24"/>
                <w:highlight w:val="none"/>
                <w:u w:val="single" w:color="auto"/>
              </w:rPr>
              <w:t>0998-2866667</w:t>
            </w:r>
          </w:p>
        </w:tc>
      </w:tr>
      <w:tr w14:paraId="4915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116" w:type="dxa"/>
            <w:tcBorders>
              <w:left w:val="single" w:color="000000" w:sz="10" w:space="0"/>
            </w:tcBorders>
            <w:vAlign w:val="center"/>
          </w:tcPr>
          <w:p w14:paraId="5BE2EF87">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35</w:t>
            </w:r>
          </w:p>
        </w:tc>
        <w:tc>
          <w:tcPr>
            <w:tcW w:w="9362" w:type="dxa"/>
            <w:tcBorders>
              <w:right w:val="single" w:color="000000" w:sz="10" w:space="0"/>
            </w:tcBorders>
            <w:vAlign w:val="center"/>
          </w:tcPr>
          <w:p w14:paraId="4256B554">
            <w:pPr>
              <w:pStyle w:val="28"/>
              <w:keepNext w:val="0"/>
              <w:keepLines w:val="0"/>
              <w:pageBreakBefore w:val="0"/>
              <w:shd w:val="clear"/>
              <w:wordWrap/>
              <w:overflowPunct/>
              <w:topLinePunct w:val="0"/>
              <w:autoSpaceDE w:val="0"/>
              <w:autoSpaceDN w:val="0"/>
              <w:bidi w:val="0"/>
              <w:adjustRightInd w:val="0"/>
              <w:snapToGrid w:val="0"/>
              <w:spacing w:before="42" w:line="236"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本次招标需要落实的政府采购政策</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
                <w:sz w:val="24"/>
                <w:szCs w:val="24"/>
                <w:highlight w:val="none"/>
              </w:rPr>
              <w:t>1）鼓励节能政策:财政部</w:t>
            </w:r>
            <w:r>
              <w:rPr>
                <w:rFonts w:hint="eastAsia" w:ascii="仿宋" w:hAnsi="仿宋" w:eastAsia="仿宋" w:cs="仿宋"/>
                <w:color w:val="auto"/>
                <w:spacing w:val="-2"/>
                <w:sz w:val="24"/>
                <w:szCs w:val="24"/>
                <w:highlight w:val="none"/>
              </w:rPr>
              <w:t>、发展改革委、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生态环境部、市场监管总局《关于调整优化节能产</w:t>
            </w:r>
            <w:r>
              <w:rPr>
                <w:rFonts w:hint="eastAsia" w:ascii="仿宋" w:hAnsi="仿宋" w:eastAsia="仿宋" w:cs="仿宋"/>
                <w:color w:val="auto"/>
                <w:spacing w:val="-4"/>
                <w:sz w:val="24"/>
                <w:szCs w:val="24"/>
                <w:highlight w:val="none"/>
              </w:rPr>
              <w:t>品、环境标志产品政府采购执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行机制的通知》（财库【2019】9</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号）、财政部、发展改革委《关于印发节能产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品政府采购品目清单的通知》（财库【2019】19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号）、《市场监管总局关于发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布参与实施政府采购节能、环境标志产品认证机</w:t>
            </w:r>
            <w:r>
              <w:rPr>
                <w:rFonts w:hint="eastAsia" w:ascii="仿宋" w:hAnsi="仿宋" w:eastAsia="仿宋" w:cs="仿宋"/>
                <w:color w:val="auto"/>
                <w:spacing w:val="-3"/>
                <w:sz w:val="24"/>
                <w:szCs w:val="24"/>
                <w:highlight w:val="none"/>
              </w:rPr>
              <w:t>构名录的公告》（2019</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年第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 xml:space="preserve">16 </w:t>
            </w:r>
            <w:r>
              <w:rPr>
                <w:rFonts w:hint="eastAsia" w:ascii="仿宋" w:hAnsi="仿宋" w:eastAsia="仿宋" w:cs="仿宋"/>
                <w:color w:val="auto"/>
                <w:spacing w:val="-11"/>
                <w:sz w:val="24"/>
                <w:szCs w:val="24"/>
                <w:highlight w:val="none"/>
              </w:rPr>
              <w:t>号</w:t>
            </w:r>
            <w:r>
              <w:rPr>
                <w:rFonts w:hint="eastAsia" w:ascii="仿宋" w:hAnsi="仿宋" w:eastAsia="仿宋" w:cs="仿宋"/>
                <w:color w:val="auto"/>
                <w:spacing w:val="-1"/>
                <w:sz w:val="24"/>
                <w:szCs w:val="24"/>
                <w:highlight w:val="none"/>
              </w:rPr>
              <w:t>）；</w:t>
            </w:r>
          </w:p>
          <w:p w14:paraId="44342455">
            <w:pPr>
              <w:pStyle w:val="28"/>
              <w:keepNext w:val="0"/>
              <w:keepLines w:val="0"/>
              <w:pageBreakBefore w:val="0"/>
              <w:shd w:val="clear"/>
              <w:wordWrap/>
              <w:overflowPunct/>
              <w:topLinePunct w:val="0"/>
              <w:autoSpaceDE w:val="0"/>
              <w:autoSpaceDN w:val="0"/>
              <w:bidi w:val="0"/>
              <w:adjustRightInd w:val="0"/>
              <w:snapToGrid w:val="0"/>
              <w:spacing w:before="23" w:line="235" w:lineRule="auto"/>
              <w:ind w:left="17" w:firstLine="1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（2）鼓励环保政策:财政部、发展改革委、生态环境部、市场监管总局《关</w:t>
            </w:r>
            <w:r>
              <w:rPr>
                <w:rFonts w:hint="eastAsia" w:ascii="仿宋" w:hAnsi="仿宋" w:eastAsia="仿宋" w:cs="仿宋"/>
                <w:color w:val="auto"/>
                <w:spacing w:val="-6"/>
                <w:sz w:val="24"/>
                <w:szCs w:val="24"/>
                <w:highlight w:val="none"/>
              </w:rPr>
              <w:t xml:space="preserve">于调 </w:t>
            </w:r>
            <w:r>
              <w:rPr>
                <w:rFonts w:hint="eastAsia" w:ascii="仿宋" w:hAnsi="仿宋" w:eastAsia="仿宋" w:cs="仿宋"/>
                <w:color w:val="auto"/>
                <w:spacing w:val="-13"/>
                <w:sz w:val="24"/>
                <w:szCs w:val="24"/>
                <w:highlight w:val="none"/>
              </w:rPr>
              <w:t>整优化节能产品、环境标志产品政府采购执行机制的通知》（财库【2019】9</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3"/>
                <w:sz w:val="24"/>
                <w:szCs w:val="24"/>
                <w:highlight w:val="none"/>
              </w:rPr>
              <w:t>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财政部、生态环境部《关于印发环境标志产品政府采购品目清单</w:t>
            </w:r>
            <w:r>
              <w:rPr>
                <w:rFonts w:hint="eastAsia" w:ascii="仿宋" w:hAnsi="仿宋" w:eastAsia="仿宋" w:cs="仿宋"/>
                <w:color w:val="auto"/>
                <w:spacing w:val="-5"/>
                <w:sz w:val="24"/>
                <w:szCs w:val="24"/>
                <w:highlight w:val="none"/>
              </w:rPr>
              <w:t>的通知》（财库</w:t>
            </w:r>
            <w:r>
              <w:rPr>
                <w:rFonts w:hint="eastAsia" w:ascii="仿宋" w:hAnsi="仿宋" w:eastAsia="仿宋" w:cs="仿宋"/>
                <w:color w:val="auto"/>
                <w:sz w:val="24"/>
                <w:szCs w:val="24"/>
                <w:highlight w:val="none"/>
              </w:rPr>
              <w:t xml:space="preserve"> 【2019】18</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z w:val="24"/>
                <w:szCs w:val="24"/>
                <w:highlight w:val="none"/>
              </w:rPr>
              <w:t xml:space="preserve">号）、《市场监管总局关于发布参与实施政府采购节能、环境标志 </w:t>
            </w:r>
            <w:r>
              <w:rPr>
                <w:rFonts w:hint="eastAsia" w:ascii="仿宋" w:hAnsi="仿宋" w:eastAsia="仿宋" w:cs="仿宋"/>
                <w:color w:val="auto"/>
                <w:spacing w:val="-4"/>
                <w:sz w:val="24"/>
                <w:szCs w:val="24"/>
                <w:highlight w:val="none"/>
              </w:rPr>
              <w:t>产品认证机构名录的公告》（2019</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年第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5"/>
                <w:sz w:val="24"/>
                <w:szCs w:val="24"/>
                <w:highlight w:val="none"/>
              </w:rPr>
              <w:t>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号</w:t>
            </w:r>
            <w:r>
              <w:rPr>
                <w:rFonts w:hint="eastAsia" w:ascii="仿宋" w:hAnsi="仿宋" w:eastAsia="仿宋" w:cs="仿宋"/>
                <w:color w:val="auto"/>
                <w:spacing w:val="-1"/>
                <w:sz w:val="24"/>
                <w:szCs w:val="24"/>
                <w:highlight w:val="none"/>
              </w:rPr>
              <w:t>）；</w:t>
            </w:r>
          </w:p>
          <w:p w14:paraId="27E1A1CF">
            <w:pPr>
              <w:pStyle w:val="28"/>
              <w:keepNext w:val="0"/>
              <w:keepLines w:val="0"/>
              <w:pageBreakBefore w:val="0"/>
              <w:shd w:val="clear"/>
              <w:wordWrap/>
              <w:overflowPunct/>
              <w:topLinePunct w:val="0"/>
              <w:autoSpaceDE w:val="0"/>
              <w:autoSpaceDN w:val="0"/>
              <w:bidi w:val="0"/>
              <w:adjustRightInd w:val="0"/>
              <w:snapToGrid w:val="0"/>
              <w:spacing w:before="26" w:line="233" w:lineRule="auto"/>
              <w:ind w:left="24" w:right="16" w:firstLine="11"/>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（3）财政部、工业和信息化部文件关于印发《政府采购促进中小企业发展管理</w:t>
            </w:r>
            <w:r>
              <w:rPr>
                <w:rFonts w:hint="eastAsia" w:ascii="仿宋" w:hAnsi="仿宋" w:eastAsia="仿宋" w:cs="仿宋"/>
                <w:color w:val="auto"/>
                <w:spacing w:val="2"/>
                <w:sz w:val="24"/>
                <w:szCs w:val="24"/>
                <w:highlight w:val="none"/>
              </w:rPr>
              <w:t>办法》（财库[2020]46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rPr>
              <w:t>号文）、关于进一步加大政府采购</w:t>
            </w:r>
            <w:r>
              <w:rPr>
                <w:rFonts w:hint="eastAsia" w:ascii="仿宋" w:hAnsi="仿宋" w:eastAsia="仿宋" w:cs="仿宋"/>
                <w:color w:val="auto"/>
                <w:spacing w:val="1"/>
                <w:sz w:val="24"/>
                <w:szCs w:val="24"/>
                <w:highlight w:val="none"/>
              </w:rPr>
              <w:t>支持中小企业力度的</w:t>
            </w:r>
            <w:r>
              <w:rPr>
                <w:rFonts w:hint="eastAsia" w:ascii="仿宋" w:hAnsi="仿宋" w:eastAsia="仿宋" w:cs="仿宋"/>
                <w:color w:val="auto"/>
                <w:spacing w:val="-2"/>
                <w:sz w:val="24"/>
                <w:szCs w:val="24"/>
                <w:highlight w:val="none"/>
              </w:rPr>
              <w:t>通知（财库〔2022〕19</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
                <w:sz w:val="24"/>
                <w:szCs w:val="24"/>
                <w:highlight w:val="none"/>
              </w:rPr>
              <w:t>）；</w:t>
            </w:r>
          </w:p>
          <w:p w14:paraId="01380588">
            <w:pPr>
              <w:pStyle w:val="28"/>
              <w:keepNext w:val="0"/>
              <w:keepLines w:val="0"/>
              <w:pageBreakBefore w:val="0"/>
              <w:shd w:val="clear"/>
              <w:wordWrap/>
              <w:overflowPunct/>
              <w:topLinePunct w:val="0"/>
              <w:autoSpaceDE w:val="0"/>
              <w:autoSpaceDN w:val="0"/>
              <w:bidi w:val="0"/>
              <w:adjustRightInd w:val="0"/>
              <w:snapToGrid w:val="0"/>
              <w:spacing w:before="26" w:line="230" w:lineRule="auto"/>
              <w:ind w:left="25" w:right="18" w:firstLine="1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（4）财政部、司法部《关于政府采购支持监狱企业发展有关问题的通知》（财</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库〔2014〕68</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号</w:t>
            </w:r>
            <w:r>
              <w:rPr>
                <w:rFonts w:hint="eastAsia" w:ascii="仿宋" w:hAnsi="仿宋" w:eastAsia="仿宋" w:cs="仿宋"/>
                <w:color w:val="auto"/>
                <w:spacing w:val="1"/>
                <w:sz w:val="24"/>
                <w:szCs w:val="24"/>
                <w:highlight w:val="none"/>
              </w:rPr>
              <w:t>）；</w:t>
            </w:r>
          </w:p>
          <w:p w14:paraId="2DAF3F08">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8" w:firstLine="12"/>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（5）财政部、民政部、中国残疾人联合会文件《关于促进残疾人就业政府采购</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政策的通知》（财库[2017]141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监狱企业、残疾人福利性单位视同小型、</w:t>
            </w:r>
            <w:r>
              <w:rPr>
                <w:rFonts w:hint="eastAsia" w:ascii="仿宋" w:hAnsi="仿宋" w:eastAsia="仿宋" w:cs="仿宋"/>
                <w:color w:val="auto"/>
                <w:sz w:val="24"/>
                <w:szCs w:val="24"/>
                <w:highlight w:val="none"/>
              </w:rPr>
              <w:t xml:space="preserve"> 微型企业,享受小型、微型企业评审中价格</w:t>
            </w:r>
            <w:r>
              <w:rPr>
                <w:rFonts w:hint="eastAsia" w:ascii="仿宋" w:hAnsi="仿宋" w:eastAsia="仿宋" w:cs="仿宋"/>
                <w:color w:val="auto"/>
                <w:spacing w:val="-1"/>
                <w:sz w:val="24"/>
                <w:szCs w:val="24"/>
                <w:highlight w:val="none"/>
              </w:rPr>
              <w:t>扣除的政府采购政策。</w:t>
            </w:r>
          </w:p>
        </w:tc>
      </w:tr>
      <w:tr w14:paraId="1927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5" w:hRule="atLeast"/>
        </w:trPr>
        <w:tc>
          <w:tcPr>
            <w:tcW w:w="1116" w:type="dxa"/>
            <w:tcBorders>
              <w:left w:val="single" w:color="000000" w:sz="10" w:space="0"/>
            </w:tcBorders>
            <w:vAlign w:val="top"/>
          </w:tcPr>
          <w:p w14:paraId="0D8A512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8067999">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0E91317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5CFDAEA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13E820D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1BFE55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7070791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95C93D4">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23CCA1D">
            <w:pPr>
              <w:pStyle w:val="28"/>
              <w:keepNext w:val="0"/>
              <w:keepLines w:val="0"/>
              <w:pageBreakBefore w:val="0"/>
              <w:shd w:val="clear"/>
              <w:wordWrap/>
              <w:overflowPunct/>
              <w:topLinePunct w:val="0"/>
              <w:autoSpaceDE w:val="0"/>
              <w:autoSpaceDN w:val="0"/>
              <w:bidi w:val="0"/>
              <w:adjustRightInd w:val="0"/>
              <w:snapToGrid w:val="0"/>
              <w:spacing w:before="78" w:line="219" w:lineRule="auto"/>
              <w:ind w:left="18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其他内容</w:t>
            </w:r>
          </w:p>
        </w:tc>
        <w:tc>
          <w:tcPr>
            <w:tcW w:w="9362" w:type="dxa"/>
            <w:tcBorders>
              <w:right w:val="single" w:color="000000" w:sz="10" w:space="0"/>
            </w:tcBorders>
            <w:vAlign w:val="top"/>
          </w:tcPr>
          <w:p w14:paraId="1A9809FB">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b/>
                <w:bCs/>
                <w:color w:val="auto"/>
                <w:spacing w:val="-2"/>
                <w:sz w:val="24"/>
                <w:szCs w:val="24"/>
                <w:highlight w:val="none"/>
                <w:lang w:val="en-US" w:eastAsia="zh-CN"/>
              </w:rPr>
              <w:t>本项目的付款方式为：中标公示期满须向采购人缴纳履约保证金（合同总价的10 %）。签订施工合同后，进场支付30%工程预付款，后期根据工程进度支付工程款，项目竣工验收审计后支付至合同价100%。（最终以签到合同为准）。</w:t>
            </w:r>
          </w:p>
          <w:p w14:paraId="7E17705B">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项目工期：</w:t>
            </w:r>
            <w:r>
              <w:rPr>
                <w:rFonts w:hint="eastAsia" w:ascii="仿宋" w:hAnsi="仿宋" w:eastAsia="仿宋" w:cs="仿宋"/>
                <w:b/>
                <w:bCs/>
                <w:color w:val="auto"/>
                <w:spacing w:val="-2"/>
                <w:sz w:val="24"/>
                <w:szCs w:val="24"/>
                <w:highlight w:val="none"/>
                <w:lang w:val="en-US" w:eastAsia="zh-CN"/>
              </w:rPr>
              <w:t>中标公示期满后5天内与采购人签订合同，合同签订后60天（日历日）完成全部工作。</w:t>
            </w:r>
          </w:p>
          <w:p w14:paraId="4F3BDA03">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项目质量标准：合格。</w:t>
            </w:r>
          </w:p>
          <w:p w14:paraId="3580EE81">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1、除不可抗力外，如果乙方没有按照约定的期限、地点和方式完成采购内容， 那么甲方可要求乙方支付违约金，违约金按 2000 元/天 计算，最高限额为本合 同总价的 10 %；迟延的违约金计算数额达到前述最高限额之日起，甲方有权在要求乙方支付违约金的同时，书面通知乙方解除本合同；</w:t>
            </w:r>
          </w:p>
          <w:p w14:paraId="37A20D33">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、投标单位拟投入本项目的项目管理机构人员必须与响应文件中一致，如若中标后因特殊原因确需更换的，需经发包人同意，未经发包人同意，</w:t>
            </w:r>
            <w:r>
              <w:rPr>
                <w:rFonts w:hint="eastAsia" w:ascii="仿宋" w:hAnsi="仿宋" w:eastAsia="仿宋" w:cs="仿宋"/>
                <w:color w:val="auto"/>
                <w:spacing w:val="-3"/>
                <w:sz w:val="24"/>
                <w:szCs w:val="24"/>
                <w:highlight w:val="none"/>
              </w:rPr>
              <w:t>在本合同施工工期内擅自更换建造师、技术负责人的，发包人视承包人自动放弃履行合同，有</w:t>
            </w:r>
            <w:r>
              <w:rPr>
                <w:rFonts w:hint="eastAsia" w:ascii="仿宋" w:hAnsi="仿宋" w:eastAsia="仿宋" w:cs="仿宋"/>
                <w:color w:val="auto"/>
                <w:spacing w:val="-5"/>
                <w:sz w:val="24"/>
                <w:szCs w:val="24"/>
                <w:highlight w:val="none"/>
              </w:rPr>
              <w:t>权解除承包合同。投标单位需将</w:t>
            </w:r>
            <w:r>
              <w:rPr>
                <w:rFonts w:hint="eastAsia" w:ascii="仿宋" w:hAnsi="仿宋" w:eastAsia="仿宋" w:cs="仿宋"/>
                <w:b/>
                <w:bCs/>
                <w:color w:val="auto"/>
                <w:spacing w:val="-5"/>
                <w:sz w:val="24"/>
                <w:szCs w:val="24"/>
                <w:highlight w:val="none"/>
              </w:rPr>
              <w:t>不随意更换“项目管理机构人员</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5"/>
                <w:sz w:val="24"/>
                <w:szCs w:val="24"/>
                <w:highlight w:val="none"/>
              </w:rPr>
              <w:t>”的承</w:t>
            </w:r>
            <w:r>
              <w:rPr>
                <w:rFonts w:hint="eastAsia" w:ascii="仿宋" w:hAnsi="仿宋" w:eastAsia="仿宋" w:cs="仿宋"/>
                <w:b/>
                <w:bCs/>
                <w:color w:val="auto"/>
                <w:spacing w:val="-6"/>
                <w:sz w:val="24"/>
                <w:szCs w:val="24"/>
                <w:highlight w:val="none"/>
              </w:rPr>
              <w:t>诺做入响</w:t>
            </w:r>
            <w:r>
              <w:rPr>
                <w:rFonts w:hint="eastAsia" w:ascii="仿宋" w:hAnsi="仿宋" w:eastAsia="仿宋" w:cs="仿宋"/>
                <w:b/>
                <w:bCs/>
                <w:color w:val="auto"/>
                <w:spacing w:val="-3"/>
                <w:sz w:val="24"/>
                <w:szCs w:val="24"/>
                <w:highlight w:val="none"/>
              </w:rPr>
              <w:t>应文件中（格式自拟）。</w:t>
            </w:r>
          </w:p>
          <w:p w14:paraId="2A861224">
            <w:pPr>
              <w:pStyle w:val="28"/>
              <w:keepNext w:val="0"/>
              <w:keepLines w:val="0"/>
              <w:pageBreakBefore w:val="0"/>
              <w:shd w:val="clear"/>
              <w:wordWrap/>
              <w:overflowPunct/>
              <w:topLinePunct w:val="0"/>
              <w:autoSpaceDE w:val="0"/>
              <w:autoSpaceDN w:val="0"/>
              <w:bidi w:val="0"/>
              <w:adjustRightInd w:val="0"/>
              <w:snapToGrid w:val="0"/>
              <w:spacing w:before="27" w:line="223" w:lineRule="auto"/>
              <w:ind w:left="26" w:right="1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w:t>
            </w:r>
            <w:r>
              <w:rPr>
                <w:rFonts w:hint="eastAsia" w:ascii="仿宋" w:hAnsi="仿宋" w:eastAsia="仿宋" w:cs="仿宋"/>
                <w:color w:val="auto"/>
                <w:spacing w:val="-8"/>
                <w:sz w:val="24"/>
                <w:szCs w:val="24"/>
                <w:highlight w:val="none"/>
              </w:rPr>
              <w:t>、</w:t>
            </w:r>
            <w:r>
              <w:rPr>
                <w:rFonts w:hint="eastAsia" w:ascii="仿宋" w:hAnsi="仿宋" w:eastAsia="仿宋" w:cs="仿宋"/>
                <w:b/>
                <w:bCs/>
                <w:color w:val="auto"/>
                <w:spacing w:val="-8"/>
                <w:sz w:val="24"/>
                <w:szCs w:val="24"/>
                <w:highlight w:val="none"/>
              </w:rPr>
              <w:t>磋商文件澄清或修改发出的形式：在原公告发布媒体上发布澄清或修改公告，</w:t>
            </w:r>
            <w:r>
              <w:rPr>
                <w:rFonts w:hint="eastAsia" w:ascii="仿宋" w:hAnsi="仿宋" w:eastAsia="仿宋" w:cs="仿宋"/>
                <w:color w:val="auto"/>
                <w:spacing w:val="1"/>
                <w:sz w:val="24"/>
                <w:szCs w:val="24"/>
                <w:highlight w:val="none"/>
              </w:rPr>
              <w:t xml:space="preserve"> </w:t>
            </w:r>
            <w:r>
              <w:rPr>
                <w:rFonts w:hint="eastAsia" w:ascii="仿宋" w:hAnsi="仿宋" w:eastAsia="仿宋" w:cs="仿宋"/>
                <w:b/>
                <w:bCs/>
                <w:color w:val="auto"/>
                <w:spacing w:val="-3"/>
                <w:sz w:val="24"/>
                <w:szCs w:val="24"/>
                <w:highlight w:val="none"/>
              </w:rPr>
              <w:t>供应商在提交响应文件截止时间前须自行查看在原公告发布媒体上</w:t>
            </w:r>
            <w:r>
              <w:rPr>
                <w:rFonts w:hint="eastAsia" w:ascii="仿宋" w:hAnsi="仿宋" w:eastAsia="仿宋" w:cs="仿宋"/>
                <w:b/>
                <w:bCs/>
                <w:color w:val="auto"/>
                <w:spacing w:val="-4"/>
                <w:sz w:val="24"/>
                <w:szCs w:val="24"/>
                <w:highlight w:val="none"/>
              </w:rPr>
              <w:t>发布的澄清或修改公告，因供应商未及时查看而造成的后果自负。</w:t>
            </w:r>
          </w:p>
        </w:tc>
      </w:tr>
      <w:tr w14:paraId="638DE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tcBorders>
            <w:vAlign w:val="center"/>
          </w:tcPr>
          <w:p w14:paraId="503021B4">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right w:val="single" w:color="000000" w:sz="10" w:space="0"/>
            </w:tcBorders>
            <w:vAlign w:val="top"/>
          </w:tcPr>
          <w:p w14:paraId="3BFB690E">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1、</w:t>
            </w:r>
            <w:r>
              <w:rPr>
                <w:rFonts w:hint="eastAsia" w:ascii="仿宋" w:hAnsi="仿宋" w:eastAsia="仿宋" w:cs="仿宋"/>
                <w:b/>
                <w:bCs/>
                <w:color w:val="auto"/>
                <w:spacing w:val="-5"/>
                <w:sz w:val="24"/>
                <w:szCs w:val="24"/>
                <w:highlight w:val="none"/>
              </w:rPr>
              <w:t>本磋商文件的解释权属于采购人。项目执行过程中，所运用</w:t>
            </w:r>
            <w:r>
              <w:rPr>
                <w:rFonts w:hint="eastAsia" w:ascii="仿宋" w:hAnsi="仿宋" w:eastAsia="仿宋" w:cs="仿宋"/>
                <w:b/>
                <w:bCs/>
                <w:color w:val="auto"/>
                <w:spacing w:val="-6"/>
                <w:sz w:val="24"/>
                <w:szCs w:val="24"/>
                <w:highlight w:val="none"/>
              </w:rPr>
              <w:t>到的规范性文件均以</w:t>
            </w:r>
            <w:r>
              <w:rPr>
                <w:rFonts w:hint="eastAsia" w:ascii="仿宋" w:hAnsi="仿宋" w:eastAsia="仿宋" w:cs="仿宋"/>
                <w:b/>
                <w:bCs/>
                <w:color w:val="auto"/>
                <w:spacing w:val="-4"/>
                <w:sz w:val="24"/>
                <w:szCs w:val="24"/>
                <w:highlight w:val="none"/>
              </w:rPr>
              <w:t>国家或自治区颁布的最新文件为准。</w:t>
            </w:r>
          </w:p>
        </w:tc>
      </w:tr>
      <w:tr w14:paraId="1535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bottom w:val="single" w:color="000000" w:sz="10" w:space="0"/>
            </w:tcBorders>
            <w:vAlign w:val="center"/>
          </w:tcPr>
          <w:p w14:paraId="64EFB012">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bottom w:val="single" w:color="000000" w:sz="10" w:space="0"/>
              <w:right w:val="single" w:color="000000" w:sz="10" w:space="0"/>
            </w:tcBorders>
            <w:vAlign w:val="top"/>
          </w:tcPr>
          <w:p w14:paraId="14CD258D">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7FDE7A5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工程量清单中分部分项工程投标报价不得为零，若报价为零作无效投标处理。</w:t>
            </w:r>
          </w:p>
          <w:p w14:paraId="554CE88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如出现不同投标人的投标文件异常一致或者投标报价呈规律性差异的，将视为投标人串通投标，其投标无效。</w:t>
            </w:r>
          </w:p>
          <w:p w14:paraId="5B1475F7">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5275EA8C">
      <w:pPr>
        <w:rPr>
          <w:rFonts w:hint="eastAsia"/>
          <w:lang w:val="en-US" w:eastAsia="zh-CN"/>
        </w:rPr>
      </w:pPr>
      <w:bookmarkStart w:id="414" w:name="_Toc4441"/>
      <w:bookmarkStart w:id="415" w:name="_Toc24311"/>
    </w:p>
    <w:p w14:paraId="001CE3E6">
      <w:pPr>
        <w:pStyle w:val="4"/>
        <w:rPr>
          <w:rFonts w:hint="eastAsia"/>
          <w:lang w:val="en-US" w:eastAsia="zh-CN"/>
        </w:rPr>
      </w:pPr>
    </w:p>
    <w:p w14:paraId="6D4D6B28">
      <w:pPr>
        <w:rPr>
          <w:rFonts w:hint="eastAsia"/>
          <w:lang w:val="en-US" w:eastAsia="zh-CN"/>
        </w:rPr>
      </w:pPr>
    </w:p>
    <w:p w14:paraId="500EB7DD">
      <w:pPr>
        <w:pStyle w:val="4"/>
        <w:rPr>
          <w:rFonts w:hint="eastAsia"/>
          <w:lang w:val="en-US" w:eastAsia="zh-CN"/>
        </w:rPr>
      </w:pPr>
    </w:p>
    <w:p w14:paraId="412D8C14">
      <w:pPr>
        <w:rPr>
          <w:rFonts w:hint="eastAsia"/>
          <w:lang w:val="en-US" w:eastAsia="zh-CN"/>
        </w:rPr>
      </w:pPr>
    </w:p>
    <w:p w14:paraId="399AF041">
      <w:pPr>
        <w:pStyle w:val="4"/>
        <w:rPr>
          <w:rFonts w:hint="eastAsia"/>
          <w:lang w:val="en-US" w:eastAsia="zh-CN"/>
        </w:rPr>
      </w:pPr>
    </w:p>
    <w:p w14:paraId="6152ACE8">
      <w:pPr>
        <w:rPr>
          <w:rFonts w:hint="eastAsia"/>
          <w:lang w:val="en-US" w:eastAsia="zh-CN"/>
        </w:rPr>
      </w:pPr>
    </w:p>
    <w:p w14:paraId="46A98FAB">
      <w:pPr>
        <w:pStyle w:val="4"/>
        <w:rPr>
          <w:rFonts w:hint="eastAsia"/>
          <w:lang w:val="en-US" w:eastAsia="zh-CN"/>
        </w:rPr>
      </w:pPr>
    </w:p>
    <w:p w14:paraId="050AF924">
      <w:pPr>
        <w:rPr>
          <w:rFonts w:hint="eastAsia"/>
          <w:lang w:val="en-US" w:eastAsia="zh-CN"/>
        </w:rPr>
      </w:pPr>
    </w:p>
    <w:p w14:paraId="3C37D059">
      <w:pPr>
        <w:pStyle w:val="4"/>
        <w:rPr>
          <w:rFonts w:hint="eastAsia"/>
          <w:lang w:val="en-US" w:eastAsia="zh-CN"/>
        </w:rPr>
      </w:pPr>
    </w:p>
    <w:p w14:paraId="4EC505BE">
      <w:pPr>
        <w:rPr>
          <w:rFonts w:hint="eastAsia"/>
          <w:lang w:val="en-US" w:eastAsia="zh-CN"/>
        </w:rPr>
      </w:pPr>
    </w:p>
    <w:p w14:paraId="15DF4566">
      <w:pPr>
        <w:pStyle w:val="4"/>
        <w:rPr>
          <w:rFonts w:hint="eastAsia"/>
          <w:lang w:val="en-US" w:eastAsia="zh-CN"/>
        </w:rPr>
      </w:pPr>
    </w:p>
    <w:p w14:paraId="0CD85780">
      <w:pPr>
        <w:rPr>
          <w:rFonts w:hint="eastAsia"/>
          <w:lang w:val="en-US" w:eastAsia="zh-CN"/>
        </w:rPr>
      </w:pPr>
    </w:p>
    <w:p w14:paraId="11EF04C0">
      <w:pPr>
        <w:pStyle w:val="4"/>
        <w:rPr>
          <w:rFonts w:hint="eastAsia"/>
          <w:lang w:val="en-US" w:eastAsia="zh-CN"/>
        </w:rPr>
      </w:pPr>
    </w:p>
    <w:p w14:paraId="02775EAC">
      <w:pPr>
        <w:rPr>
          <w:rFonts w:hint="eastAsia"/>
          <w:lang w:val="en-US" w:eastAsia="zh-CN"/>
        </w:rPr>
      </w:pPr>
    </w:p>
    <w:p w14:paraId="1E95A011">
      <w:pPr>
        <w:pStyle w:val="4"/>
        <w:rPr>
          <w:rFonts w:hint="eastAsia"/>
          <w:lang w:val="en-US" w:eastAsia="zh-CN"/>
        </w:rPr>
      </w:pPr>
    </w:p>
    <w:p w14:paraId="39D5EA0C">
      <w:pPr>
        <w:rPr>
          <w:rFonts w:hint="eastAsia"/>
          <w:lang w:val="en-US" w:eastAsia="zh-CN"/>
        </w:rPr>
      </w:pPr>
    </w:p>
    <w:p w14:paraId="69B6D24F">
      <w:pPr>
        <w:pStyle w:val="4"/>
        <w:rPr>
          <w:rFonts w:hint="eastAsia"/>
          <w:lang w:val="en-US" w:eastAsia="zh-CN"/>
        </w:rPr>
      </w:pPr>
    </w:p>
    <w:p w14:paraId="78288E9C">
      <w:pPr>
        <w:rPr>
          <w:rFonts w:hint="eastAsia"/>
          <w:lang w:val="en-US" w:eastAsia="zh-CN"/>
        </w:rPr>
      </w:pPr>
    </w:p>
    <w:p w14:paraId="1EE424AD">
      <w:pPr>
        <w:pStyle w:val="4"/>
        <w:rPr>
          <w:rFonts w:hint="eastAsia"/>
          <w:lang w:val="en-US" w:eastAsia="zh-CN"/>
        </w:rPr>
      </w:pPr>
    </w:p>
    <w:p w14:paraId="280FE167">
      <w:pPr>
        <w:rPr>
          <w:rFonts w:hint="eastAsia"/>
          <w:lang w:val="en-US" w:eastAsia="zh-CN"/>
        </w:rPr>
      </w:pPr>
    </w:p>
    <w:p w14:paraId="2644E79A">
      <w:pPr>
        <w:pStyle w:val="4"/>
        <w:rPr>
          <w:rFonts w:hint="eastAsia"/>
          <w:lang w:val="en-US" w:eastAsia="zh-CN"/>
        </w:rPr>
      </w:pPr>
    </w:p>
    <w:p w14:paraId="264BD80F">
      <w:pPr>
        <w:rPr>
          <w:rFonts w:hint="eastAsia"/>
          <w:lang w:val="en-US" w:eastAsia="zh-CN"/>
        </w:rPr>
      </w:pPr>
    </w:p>
    <w:p w14:paraId="4C8C5703">
      <w:pPr>
        <w:pStyle w:val="4"/>
        <w:rPr>
          <w:rFonts w:hint="eastAsia"/>
          <w:lang w:val="en-US" w:eastAsia="zh-CN"/>
        </w:rPr>
      </w:pPr>
    </w:p>
    <w:p w14:paraId="6A4BA4F7">
      <w:pPr>
        <w:rPr>
          <w:rFonts w:hint="eastAsia"/>
          <w:lang w:val="en-US" w:eastAsia="zh-CN"/>
        </w:rPr>
      </w:pPr>
    </w:p>
    <w:p w14:paraId="1B573FFA">
      <w:pPr>
        <w:pStyle w:val="4"/>
        <w:rPr>
          <w:rFonts w:hint="eastAsia"/>
          <w:lang w:val="en-US" w:eastAsia="zh-CN"/>
        </w:rPr>
      </w:pPr>
    </w:p>
    <w:p w14:paraId="1F6727B1">
      <w:pPr>
        <w:rPr>
          <w:rFonts w:hint="eastAsia"/>
          <w:lang w:val="en-US" w:eastAsia="zh-CN"/>
        </w:rPr>
      </w:pPr>
    </w:p>
    <w:p w14:paraId="01158809">
      <w:pPr>
        <w:pStyle w:val="4"/>
        <w:rPr>
          <w:rFonts w:hint="eastAsia"/>
          <w:lang w:val="en-US" w:eastAsia="zh-CN"/>
        </w:rPr>
      </w:pPr>
    </w:p>
    <w:p w14:paraId="17CB0F1C">
      <w:pPr>
        <w:rPr>
          <w:rFonts w:hint="eastAsia"/>
          <w:lang w:val="en-US" w:eastAsia="zh-CN"/>
        </w:rPr>
      </w:pPr>
    </w:p>
    <w:p w14:paraId="5426D50F">
      <w:pPr>
        <w:pStyle w:val="4"/>
        <w:rPr>
          <w:rFonts w:hint="eastAsia"/>
          <w:lang w:val="en-US" w:eastAsia="zh-CN"/>
        </w:rPr>
      </w:pPr>
    </w:p>
    <w:p w14:paraId="0188BB52">
      <w:pPr>
        <w:pStyle w:val="2"/>
        <w:numPr>
          <w:ilvl w:val="0"/>
          <w:numId w:val="8"/>
        </w:numPr>
        <w:shd w:val="clear"/>
        <w:spacing w:before="191" w:line="219" w:lineRule="auto"/>
        <w:ind w:firstLine="1807" w:firstLineChars="500"/>
        <w:jc w:val="both"/>
        <w:outlineLvl w:val="0"/>
        <w:rPr>
          <w:rFonts w:hint="eastAsia" w:ascii="仿宋" w:hAnsi="仿宋" w:eastAsia="仿宋" w:cs="仿宋"/>
          <w:b/>
          <w:snapToGrid w:val="0"/>
          <w:color w:val="000000"/>
          <w:kern w:val="0"/>
          <w:sz w:val="36"/>
          <w:szCs w:val="36"/>
          <w:lang w:val="en-US" w:eastAsia="zh-CN" w:bidi="ar"/>
        </w:rPr>
      </w:pPr>
      <w:bookmarkStart w:id="416" w:name="_Toc7312"/>
      <w:r>
        <w:rPr>
          <w:rFonts w:hint="eastAsia" w:ascii="仿宋" w:hAnsi="仿宋" w:eastAsia="仿宋" w:cs="仿宋"/>
          <w:b/>
          <w:snapToGrid w:val="0"/>
          <w:color w:val="000000"/>
          <w:kern w:val="44"/>
          <w:sz w:val="36"/>
          <w:szCs w:val="36"/>
          <w:lang w:val="en-US" w:eastAsia="zh-CN" w:bidi="ar-SA"/>
        </w:rPr>
        <w:t>工程量清单详见附件</w:t>
      </w:r>
      <w:bookmarkEnd w:id="414"/>
      <w:bookmarkEnd w:id="415"/>
      <w:bookmarkEnd w:id="416"/>
    </w:p>
    <w:p w14:paraId="68822425">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lang w:val="en-US" w:eastAsia="zh-CN"/>
        </w:rPr>
      </w:pPr>
    </w:p>
    <w:p w14:paraId="2CFCF225">
      <w:pPr>
        <w:keepNext w:val="0"/>
        <w:keepLines w:val="0"/>
        <w:pageBreakBefore w:val="0"/>
        <w:widowControl w:val="0"/>
        <w:kinsoku/>
        <w:wordWrap/>
        <w:overflowPunct/>
        <w:topLinePunct w:val="0"/>
        <w:bidi w:val="0"/>
        <w:spacing w:line="240" w:lineRule="atLeast"/>
        <w:outlineLvl w:val="9"/>
        <w:rPr>
          <w:rFonts w:hint="eastAsia" w:ascii="仿宋" w:hAnsi="仿宋" w:eastAsia="仿宋" w:cs="仿宋"/>
          <w:sz w:val="28"/>
          <w:szCs w:val="28"/>
          <w:lang w:val="en-US" w:eastAsia="zh-CN"/>
        </w:rPr>
      </w:pPr>
      <w:r>
        <w:rPr>
          <w:rFonts w:hint="eastAsia" w:ascii="仿宋" w:hAnsi="仿宋" w:eastAsia="仿宋" w:cs="仿宋"/>
          <w:b/>
          <w:bCs/>
          <w:color w:val="auto"/>
          <w:sz w:val="28"/>
          <w:szCs w:val="28"/>
          <w:highlight w:val="none"/>
          <w:lang w:val="en-US" w:eastAsia="zh-CN"/>
        </w:rPr>
        <w:t>说明：</w:t>
      </w:r>
      <w:r>
        <w:rPr>
          <w:rFonts w:hint="eastAsia" w:ascii="仿宋" w:hAnsi="仿宋" w:eastAsia="仿宋" w:cs="仿宋"/>
          <w:b/>
          <w:bCs/>
          <w:color w:val="000000"/>
          <w:sz w:val="28"/>
          <w:szCs w:val="28"/>
          <w:highlight w:val="none"/>
        </w:rPr>
        <w:t>采购人应对招标</w:t>
      </w:r>
      <w:r>
        <w:rPr>
          <w:rFonts w:hint="eastAsia" w:ascii="仿宋" w:hAnsi="仿宋" w:eastAsia="仿宋" w:cs="仿宋"/>
          <w:b/>
          <w:bCs/>
          <w:color w:val="000000"/>
          <w:sz w:val="28"/>
          <w:szCs w:val="28"/>
          <w:highlight w:val="none"/>
          <w:lang w:val="en-US" w:eastAsia="zh-CN"/>
        </w:rPr>
        <w:t>项目</w:t>
      </w:r>
      <w:r>
        <w:rPr>
          <w:rFonts w:hint="eastAsia" w:ascii="仿宋" w:hAnsi="仿宋" w:eastAsia="仿宋" w:cs="仿宋"/>
          <w:b/>
          <w:bCs/>
          <w:color w:val="000000"/>
          <w:sz w:val="28"/>
          <w:szCs w:val="28"/>
          <w:highlight w:val="none"/>
        </w:rPr>
        <w:t>提出详细的技术规格及相关要求（详见清单）。</w:t>
      </w:r>
    </w:p>
    <w:p w14:paraId="1669707A">
      <w:pPr>
        <w:pStyle w:val="21"/>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工程量清单编制说明</w:t>
      </w:r>
    </w:p>
    <w:p w14:paraId="6F8144A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bookmarkStart w:id="417" w:name="_Toc4019"/>
      <w:r>
        <w:rPr>
          <w:rFonts w:hint="eastAsia" w:ascii="仿宋" w:hAnsi="仿宋" w:eastAsia="仿宋" w:cs="仿宋"/>
          <w:b/>
          <w:bCs/>
          <w:snapToGrid w:val="0"/>
          <w:color w:val="auto"/>
          <w:spacing w:val="-1"/>
          <w:kern w:val="0"/>
          <w:sz w:val="24"/>
          <w:szCs w:val="24"/>
          <w:highlight w:val="none"/>
          <w:lang w:val="en-US" w:eastAsia="en-US" w:bidi="ar-SA"/>
        </w:rPr>
        <w:t>一、工程概况：</w:t>
      </w:r>
    </w:p>
    <w:p w14:paraId="6ADBC9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工程名称:</w:t>
      </w:r>
      <w:r>
        <w:rPr>
          <w:rFonts w:hint="eastAsia" w:ascii="仿宋" w:hAnsi="仿宋" w:eastAsia="仿宋" w:cs="仿宋"/>
          <w:b/>
          <w:bCs/>
          <w:snapToGrid w:val="0"/>
          <w:color w:val="auto"/>
          <w:spacing w:val="-1"/>
          <w:kern w:val="0"/>
          <w:sz w:val="24"/>
          <w:szCs w:val="24"/>
          <w:highlight w:val="none"/>
          <w:lang w:val="en-US" w:eastAsia="zh-CN" w:bidi="ar-SA"/>
        </w:rPr>
        <w:t>伽师县巴仁镇第四小学一标段（二次）</w:t>
      </w:r>
      <w:r>
        <w:rPr>
          <w:rFonts w:hint="eastAsia" w:ascii="仿宋" w:hAnsi="仿宋" w:eastAsia="仿宋" w:cs="仿宋"/>
          <w:b/>
          <w:bCs/>
          <w:snapToGrid w:val="0"/>
          <w:color w:val="auto"/>
          <w:spacing w:val="-1"/>
          <w:kern w:val="0"/>
          <w:sz w:val="24"/>
          <w:szCs w:val="24"/>
          <w:highlight w:val="none"/>
          <w:lang w:val="en-US" w:eastAsia="en-US" w:bidi="ar-SA"/>
        </w:rPr>
        <w:t>。</w:t>
      </w:r>
    </w:p>
    <w:p w14:paraId="46C9BD7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地点:</w:t>
      </w:r>
      <w:r>
        <w:rPr>
          <w:rFonts w:hint="eastAsia" w:ascii="仿宋" w:hAnsi="仿宋" w:eastAsia="仿宋" w:cs="仿宋"/>
          <w:b/>
          <w:bCs/>
          <w:iCs/>
          <w:color w:val="000000"/>
          <w:sz w:val="24"/>
          <w:highlight w:val="none"/>
          <w:u w:val="single"/>
          <w:lang w:val="en-US" w:eastAsia="zh-CN"/>
        </w:rPr>
        <w:t>伽师县巴仁镇第四小学</w:t>
      </w:r>
      <w:r>
        <w:rPr>
          <w:rFonts w:hint="eastAsia" w:ascii="仿宋" w:hAnsi="仿宋" w:eastAsia="仿宋" w:cs="仿宋"/>
          <w:b/>
          <w:bCs/>
          <w:snapToGrid w:val="0"/>
          <w:color w:val="auto"/>
          <w:spacing w:val="-1"/>
          <w:kern w:val="0"/>
          <w:sz w:val="24"/>
          <w:szCs w:val="24"/>
          <w:highlight w:val="none"/>
          <w:lang w:val="en-US" w:eastAsia="en-US" w:bidi="ar-SA"/>
        </w:rPr>
        <w:t>。</w:t>
      </w:r>
    </w:p>
    <w:p w14:paraId="23C39F1C">
      <w:pPr>
        <w:pStyle w:val="2"/>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项目规模:</w:t>
      </w:r>
      <w:r>
        <w:rPr>
          <w:rFonts w:hint="eastAsia" w:ascii="仿宋" w:hAnsi="仿宋" w:eastAsia="仿宋" w:cs="仿宋"/>
          <w:b/>
          <w:bCs/>
          <w:snapToGrid w:val="0"/>
          <w:color w:val="auto"/>
          <w:spacing w:val="-1"/>
          <w:kern w:val="0"/>
          <w:sz w:val="24"/>
          <w:szCs w:val="24"/>
          <w:highlight w:val="none"/>
          <w:lang w:val="en-US" w:eastAsia="zh-CN" w:bidi="ar-SA"/>
        </w:rPr>
        <w:t>墙面粉刷11286.4平方米，改造72间教学用房空气能设备148台(套)（具体内容详见磋商文件工程量清单工程量清单）</w:t>
      </w:r>
    </w:p>
    <w:p w14:paraId="6E42AB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二、编制依据：</w:t>
      </w:r>
    </w:p>
    <w:p w14:paraId="0E7A6318">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1.本工程依据国家建设部2012年12月25日颁布的《建设工程工程量清单计价规范》（GB50500-2013）中工程量计价方法，根据建设单位提供的工程量计算。</w:t>
      </w:r>
    </w:p>
    <w:p w14:paraId="145F6D1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2</w:t>
      </w:r>
      <w:r>
        <w:rPr>
          <w:rFonts w:hint="eastAsia" w:ascii="仿宋" w:hAnsi="仿宋" w:eastAsia="仿宋" w:cs="仿宋"/>
          <w:b/>
          <w:bCs/>
          <w:snapToGrid w:val="0"/>
          <w:color w:val="auto"/>
          <w:spacing w:val="-1"/>
          <w:kern w:val="0"/>
          <w:sz w:val="24"/>
          <w:szCs w:val="24"/>
          <w:highlight w:val="none"/>
          <w:lang w:val="en-US" w:eastAsia="en-US" w:bidi="ar-SA"/>
        </w:rPr>
        <w:t>、投标人报价时，可以根据本企业的实际情况、工程项目特点、施工组织等因素增加或减少措施项目内容报价。</w:t>
      </w:r>
    </w:p>
    <w:p w14:paraId="490EAB97">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3</w:t>
      </w:r>
      <w:r>
        <w:rPr>
          <w:rFonts w:hint="eastAsia" w:ascii="仿宋" w:hAnsi="仿宋" w:eastAsia="仿宋" w:cs="仿宋"/>
          <w:b/>
          <w:bCs/>
          <w:snapToGrid w:val="0"/>
          <w:color w:val="auto"/>
          <w:spacing w:val="-1"/>
          <w:kern w:val="0"/>
          <w:sz w:val="24"/>
          <w:szCs w:val="24"/>
          <w:highlight w:val="none"/>
          <w:lang w:val="en-US" w:eastAsia="en-US" w:bidi="ar-SA"/>
        </w:rPr>
        <w:t>、规费和税金必须按国家有关规定报价。</w:t>
      </w:r>
    </w:p>
    <w:p w14:paraId="7C07825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4</w:t>
      </w:r>
      <w:r>
        <w:rPr>
          <w:rFonts w:hint="eastAsia" w:ascii="仿宋" w:hAnsi="仿宋" w:eastAsia="仿宋" w:cs="仿宋"/>
          <w:b/>
          <w:bCs/>
          <w:snapToGrid w:val="0"/>
          <w:color w:val="auto"/>
          <w:spacing w:val="-1"/>
          <w:kern w:val="0"/>
          <w:sz w:val="24"/>
          <w:szCs w:val="24"/>
          <w:highlight w:val="none"/>
          <w:lang w:val="en-US" w:eastAsia="en-US" w:bidi="ar-SA"/>
        </w:rPr>
        <w:t>、其他项目清单中的零星项目内容及数量，各投标人可根据本企业及工程情况自行报价，竣工结算时，应按发包人、承包人、监理单位三方确认的实际完成项目内容及数量以投标报价中相应项目的综合单价进行结算。</w:t>
      </w:r>
    </w:p>
    <w:p w14:paraId="67729854">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5</w:t>
      </w:r>
      <w:r>
        <w:rPr>
          <w:rFonts w:hint="eastAsia" w:ascii="仿宋" w:hAnsi="仿宋" w:eastAsia="仿宋" w:cs="仿宋"/>
          <w:b/>
          <w:bCs/>
          <w:snapToGrid w:val="0"/>
          <w:color w:val="auto"/>
          <w:spacing w:val="-1"/>
          <w:kern w:val="0"/>
          <w:sz w:val="24"/>
          <w:szCs w:val="24"/>
          <w:highlight w:val="none"/>
          <w:lang w:val="en-US" w:eastAsia="en-US" w:bidi="ar-SA"/>
        </w:rPr>
        <w:t>、由于变更引起工程量增减，其增加或扣减部分的工程量的综合单价如投标预算中没有的，由承包人提出，经发包人确认后作为结算的依据。</w:t>
      </w:r>
    </w:p>
    <w:p w14:paraId="446D088A">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6</w:t>
      </w:r>
      <w:r>
        <w:rPr>
          <w:rFonts w:hint="eastAsia" w:ascii="仿宋" w:hAnsi="仿宋" w:eastAsia="仿宋" w:cs="仿宋"/>
          <w:b/>
          <w:bCs/>
          <w:snapToGrid w:val="0"/>
          <w:color w:val="auto"/>
          <w:spacing w:val="-1"/>
          <w:kern w:val="0"/>
          <w:sz w:val="24"/>
          <w:szCs w:val="24"/>
          <w:highlight w:val="none"/>
          <w:lang w:val="en-US" w:eastAsia="en-US" w:bidi="ar-SA"/>
        </w:rPr>
        <w:t>、未说明的事项按清单计价规范（GB50500-2013）执行。</w:t>
      </w:r>
    </w:p>
    <w:p w14:paraId="5D7521A1">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7</w:t>
      </w:r>
      <w:r>
        <w:rPr>
          <w:rFonts w:hint="eastAsia" w:ascii="仿宋" w:hAnsi="仿宋" w:eastAsia="仿宋" w:cs="仿宋"/>
          <w:b/>
          <w:bCs/>
          <w:snapToGrid w:val="0"/>
          <w:color w:val="auto"/>
          <w:spacing w:val="-1"/>
          <w:kern w:val="0"/>
          <w:sz w:val="24"/>
          <w:szCs w:val="24"/>
          <w:highlight w:val="none"/>
          <w:lang w:val="en-US" w:eastAsia="en-US" w:bidi="ar-SA"/>
        </w:rPr>
        <w:t>、工程量清单叙述不到位的，由投标人根据施工组织及规范考虑在报价中。</w:t>
      </w:r>
    </w:p>
    <w:p w14:paraId="00981F9C">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、本工程量清单仅作为投标报价的依据，若工程发生变更、实际工程量与清单工程量不符时，以实际发生和现场签证确认的工程量作为结算依据。</w:t>
      </w:r>
    </w:p>
    <w:p w14:paraId="28F4218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、投标人必须依据相关规范认真核对清单项目和工程量。如有疑问应及时提出，并与清单编制单位核对。若未提出疑问或不与清单编制单位核对，视为接受，结算时一律不予调整。</w:t>
      </w:r>
    </w:p>
    <w:p w14:paraId="79FD4A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bCs/>
          <w:snapToGrid w:val="0"/>
          <w:color w:val="auto"/>
          <w:spacing w:val="-1"/>
          <w:kern w:val="0"/>
          <w:sz w:val="24"/>
          <w:szCs w:val="24"/>
          <w:highlight w:val="none"/>
          <w:lang w:val="en-US" w:eastAsia="zh-CN" w:bidi="ar-SA"/>
        </w:rPr>
        <w:t>三、</w:t>
      </w:r>
      <w:r>
        <w:rPr>
          <w:rFonts w:hint="eastAsia" w:ascii="仿宋" w:hAnsi="仿宋" w:eastAsia="仿宋" w:cs="仿宋"/>
          <w:b/>
          <w:bCs/>
          <w:snapToGrid w:val="0"/>
          <w:color w:val="auto"/>
          <w:spacing w:val="-1"/>
          <w:kern w:val="0"/>
          <w:sz w:val="24"/>
          <w:szCs w:val="24"/>
          <w:highlight w:val="none"/>
          <w:lang w:val="en-US" w:eastAsia="en-US" w:bidi="ar-SA"/>
        </w:rPr>
        <w:t>其他说明</w:t>
      </w:r>
      <w:r>
        <w:rPr>
          <w:rFonts w:hint="eastAsia" w:ascii="仿宋" w:hAnsi="仿宋" w:eastAsia="仿宋" w:cs="仿宋"/>
          <w:b/>
          <w:bCs/>
          <w:snapToGrid w:val="0"/>
          <w:color w:val="auto"/>
          <w:spacing w:val="-1"/>
          <w:kern w:val="0"/>
          <w:sz w:val="24"/>
          <w:szCs w:val="24"/>
          <w:highlight w:val="none"/>
          <w:lang w:val="en-US" w:eastAsia="zh-CN" w:bidi="ar-SA"/>
        </w:rPr>
        <w:t>：</w:t>
      </w:r>
      <w:r>
        <w:rPr>
          <w:rFonts w:hint="eastAsia" w:ascii="仿宋_GB2312" w:hAnsi="Times New Roman" w:eastAsia="仿宋_GB2312" w:cs="Times New Roman"/>
          <w:color w:val="auto"/>
          <w:sz w:val="24"/>
          <w:highlight w:val="none"/>
          <w:lang w:val="en-US" w:eastAsia="zh-CN"/>
        </w:rPr>
        <w:t>无；</w:t>
      </w:r>
    </w:p>
    <w:p w14:paraId="1D908BC7">
      <w:pPr>
        <w:rPr>
          <w:rFonts w:hint="eastAsia"/>
          <w:lang w:val="en-US" w:eastAsia="zh-CN"/>
        </w:rPr>
      </w:pPr>
    </w:p>
    <w:p w14:paraId="3526FAA9">
      <w:pPr>
        <w:keepNext w:val="0"/>
        <w:keepLines w:val="0"/>
        <w:pageBreakBefore w:val="0"/>
        <w:kinsoku/>
        <w:wordWrap/>
        <w:overflowPunct/>
        <w:topLinePunct w:val="0"/>
        <w:bidi w:val="0"/>
        <w:adjustRightInd/>
        <w:snapToGrid/>
        <w:spacing w:line="560" w:lineRule="exact"/>
        <w:ind w:firstLine="2530" w:firstLineChars="700"/>
        <w:textAlignment w:val="auto"/>
        <w:outlineLvl w:val="0"/>
        <w:rPr>
          <w:rFonts w:hint="eastAsia" w:ascii="仿宋" w:hAnsi="仿宋" w:eastAsia="仿宋" w:cs="仿宋"/>
          <w:b/>
          <w:snapToGrid w:val="0"/>
          <w:color w:val="000000"/>
          <w:kern w:val="44"/>
          <w:sz w:val="36"/>
          <w:szCs w:val="36"/>
          <w:lang w:val="en-US" w:eastAsia="zh-CN" w:bidi="ar-SA"/>
        </w:rPr>
      </w:pPr>
      <w:r>
        <w:rPr>
          <w:rFonts w:hint="eastAsia" w:ascii="仿宋" w:hAnsi="仿宋" w:eastAsia="仿宋" w:cs="仿宋"/>
          <w:b/>
          <w:snapToGrid w:val="0"/>
          <w:color w:val="000000"/>
          <w:kern w:val="44"/>
          <w:sz w:val="36"/>
          <w:szCs w:val="36"/>
          <w:lang w:val="en-US" w:eastAsia="zh-CN" w:bidi="ar-SA"/>
        </w:rPr>
        <w:t>第六章  评标方法和标准</w:t>
      </w:r>
      <w:bookmarkEnd w:id="417"/>
    </w:p>
    <w:p w14:paraId="15CC45DD">
      <w:pPr>
        <w:spacing w:line="368" w:lineRule="auto"/>
        <w:rPr>
          <w:rFonts w:hint="eastAsia" w:ascii="仿宋" w:hAnsi="仿宋" w:eastAsia="仿宋" w:cs="仿宋"/>
          <w:color w:val="auto"/>
          <w:sz w:val="24"/>
          <w:szCs w:val="24"/>
          <w:highlight w:val="none"/>
        </w:rPr>
      </w:pPr>
    </w:p>
    <w:p w14:paraId="0D3D78AA">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32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一、评标方法</w:t>
      </w:r>
    </w:p>
    <w:p w14:paraId="32C02AC6">
      <w:pPr>
        <w:pStyle w:val="2"/>
        <w:keepNext w:val="0"/>
        <w:keepLines w:val="0"/>
        <w:pageBreakBefore w:val="0"/>
        <w:widowControl/>
        <w:kinsoku w:val="0"/>
        <w:wordWrap/>
        <w:overflowPunct/>
        <w:topLinePunct w:val="0"/>
        <w:autoSpaceDE w:val="0"/>
        <w:autoSpaceDN w:val="0"/>
        <w:bidi w:val="0"/>
        <w:adjustRightInd w:val="0"/>
        <w:snapToGrid w:val="0"/>
        <w:spacing w:before="126"/>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（一）总则</w:t>
      </w:r>
    </w:p>
    <w:p w14:paraId="1E8F8C4F">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4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1.磋商小组</w:t>
      </w:r>
    </w:p>
    <w:p w14:paraId="146500D6">
      <w:pPr>
        <w:pStyle w:val="2"/>
        <w:keepNext w:val="0"/>
        <w:keepLines w:val="0"/>
        <w:pageBreakBefore w:val="0"/>
        <w:widowControl/>
        <w:kinsoku w:val="0"/>
        <w:wordWrap/>
        <w:overflowPunct/>
        <w:topLinePunct w:val="0"/>
        <w:autoSpaceDE w:val="0"/>
        <w:autoSpaceDN w:val="0"/>
        <w:bidi w:val="0"/>
        <w:adjustRightInd w:val="0"/>
        <w:snapToGrid w:val="0"/>
        <w:spacing w:before="23"/>
        <w:ind w:left="5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评标由依法组建的磋商小组成员负责。</w:t>
      </w:r>
    </w:p>
    <w:p w14:paraId="3EA8D236">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磋商小组构成：</w:t>
      </w:r>
      <w:r>
        <w:rPr>
          <w:rFonts w:hint="eastAsia" w:ascii="仿宋" w:hAnsi="仿宋" w:eastAsia="仿宋" w:cs="仿宋"/>
          <w:color w:val="auto"/>
          <w:spacing w:val="-2"/>
          <w:sz w:val="24"/>
          <w:szCs w:val="24"/>
          <w:highlight w:val="none"/>
          <w:lang w:val="en-US" w:eastAsia="zh-CN"/>
        </w:rPr>
        <w:t>采购人代表1人，评审专家4人，共5人组成。</w:t>
      </w:r>
    </w:p>
    <w:p w14:paraId="0E964A37">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评标专家确定方式：政采云专家库随机抽取。</w:t>
      </w:r>
    </w:p>
    <w:p w14:paraId="75CCCD65">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2.评标方法</w:t>
      </w:r>
    </w:p>
    <w:p w14:paraId="6AB0A1B2">
      <w:pPr>
        <w:pStyle w:val="2"/>
        <w:keepNext w:val="0"/>
        <w:keepLines w:val="0"/>
        <w:pageBreakBefore w:val="0"/>
        <w:widowControl/>
        <w:kinsoku w:val="0"/>
        <w:wordWrap/>
        <w:overflowPunct/>
        <w:topLinePunct w:val="0"/>
        <w:autoSpaceDE w:val="0"/>
        <w:autoSpaceDN w:val="0"/>
        <w:bidi w:val="0"/>
        <w:adjustRightInd w:val="0"/>
        <w:snapToGrid w:val="0"/>
        <w:spacing w:before="26" w:line="219"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b/>
          <w:bCs/>
          <w:color w:val="auto"/>
          <w:spacing w:val="-3"/>
          <w:sz w:val="24"/>
          <w:szCs w:val="24"/>
          <w:highlight w:val="none"/>
        </w:rPr>
        <w:t>本项目评标方法为：竞争性磋商（综合评分法）。</w:t>
      </w:r>
    </w:p>
    <w:p w14:paraId="5D30FAA8">
      <w:pPr>
        <w:pStyle w:val="2"/>
        <w:keepNext w:val="0"/>
        <w:keepLines w:val="0"/>
        <w:pageBreakBefore w:val="0"/>
        <w:widowControl/>
        <w:kinsoku w:val="0"/>
        <w:wordWrap/>
        <w:overflowPunct/>
        <w:topLinePunct w:val="0"/>
        <w:autoSpaceDE w:val="0"/>
        <w:autoSpaceDN w:val="0"/>
        <w:bidi w:val="0"/>
        <w:adjustRightInd w:val="0"/>
        <w:snapToGrid w:val="0"/>
        <w:spacing w:before="30" w:line="234" w:lineRule="auto"/>
        <w:ind w:left="24" w:right="18"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2.1.1</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综合评分法（</w:t>
      </w:r>
      <w:r>
        <w:rPr>
          <w:rFonts w:hint="eastAsia" w:ascii="仿宋" w:hAnsi="仿宋" w:eastAsia="仿宋" w:cs="仿宋"/>
          <w:color w:val="auto"/>
          <w:spacing w:val="-4"/>
          <w:sz w:val="24"/>
          <w:szCs w:val="24"/>
          <w:highlight w:val="none"/>
        </w:rPr>
        <w:t xml:space="preserve">磋商小组对所有满足实质性要求且提交最后报价的投标人的响应文件按评审因素评审得分，最终汇总得分由高到低排序推荐第一、第  </w:t>
      </w:r>
      <w:r>
        <w:rPr>
          <w:rFonts w:hint="eastAsia" w:ascii="仿宋" w:hAnsi="仿宋" w:eastAsia="仿宋" w:cs="仿宋"/>
          <w:color w:val="auto"/>
          <w:spacing w:val="-1"/>
          <w:sz w:val="24"/>
          <w:szCs w:val="24"/>
          <w:highlight w:val="none"/>
        </w:rPr>
        <w:t>二、第三中标候选人）。</w:t>
      </w:r>
    </w:p>
    <w:p w14:paraId="31D90301">
      <w:pPr>
        <w:pStyle w:val="2"/>
        <w:keepNext w:val="0"/>
        <w:keepLines w:val="0"/>
        <w:pageBreakBefore w:val="0"/>
        <w:widowControl/>
        <w:kinsoku w:val="0"/>
        <w:wordWrap/>
        <w:overflowPunct/>
        <w:topLinePunct w:val="0"/>
        <w:autoSpaceDE w:val="0"/>
        <w:autoSpaceDN w:val="0"/>
        <w:bidi w:val="0"/>
        <w:adjustRightInd w:val="0"/>
        <w:snapToGrid w:val="0"/>
        <w:spacing w:before="23" w:line="233" w:lineRule="auto"/>
        <w:ind w:left="22" w:right="200"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评标因素的设定包括投标报价、技术水平等有关内容。资格条件</w:t>
      </w:r>
      <w:r>
        <w:rPr>
          <w:rFonts w:hint="eastAsia" w:ascii="仿宋" w:hAnsi="仿宋" w:eastAsia="仿宋" w:cs="仿宋"/>
          <w:color w:val="auto"/>
          <w:spacing w:val="-4"/>
          <w:sz w:val="24"/>
          <w:szCs w:val="24"/>
          <w:highlight w:val="none"/>
        </w:rPr>
        <w:t>不得作为评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标因素。最低投标报价不是确定中标候选人的唯一标准，磋商小组根据投标人企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业实力、实施方案、投标报价等综合因素标准确定中标候选人。</w:t>
      </w:r>
    </w:p>
    <w:p w14:paraId="6E19085E">
      <w:pPr>
        <w:pStyle w:val="2"/>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18"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2.1.2</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3"/>
          <w:sz w:val="24"/>
          <w:szCs w:val="24"/>
          <w:highlight w:val="none"/>
        </w:rPr>
        <w:t>评标时，磋商小组各成员应当独立对每个投标人的响应文</w:t>
      </w:r>
      <w:r>
        <w:rPr>
          <w:rFonts w:hint="eastAsia" w:ascii="仿宋" w:hAnsi="仿宋" w:eastAsia="仿宋" w:cs="仿宋"/>
          <w:color w:val="auto"/>
          <w:spacing w:val="-4"/>
          <w:sz w:val="24"/>
          <w:szCs w:val="24"/>
          <w:highlight w:val="none"/>
        </w:rPr>
        <w:t>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并汇总每个投标人的得分。</w:t>
      </w:r>
    </w:p>
    <w:p w14:paraId="3F43CABA">
      <w:pPr>
        <w:pStyle w:val="2"/>
        <w:keepNext w:val="0"/>
        <w:keepLines w:val="0"/>
        <w:pageBreakBefore w:val="0"/>
        <w:widowControl/>
        <w:kinsoku w:val="0"/>
        <w:wordWrap/>
        <w:overflowPunct/>
        <w:topLinePunct w:val="0"/>
        <w:autoSpaceDE w:val="0"/>
        <w:autoSpaceDN w:val="0"/>
        <w:bidi w:val="0"/>
        <w:adjustRightInd w:val="0"/>
        <w:snapToGrid w:val="0"/>
        <w:spacing w:before="26" w:line="218"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2.1.3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评标过程中，不得去掉报价中的最高报价和最低报价。</w:t>
      </w:r>
    </w:p>
    <w:p w14:paraId="6C6BFF80">
      <w:pPr>
        <w:pStyle w:val="2"/>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200"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2.1.4</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因落实政府采购政策进行价格或投标报价得分调整的，按</w:t>
      </w:r>
      <w:r>
        <w:rPr>
          <w:rFonts w:hint="eastAsia" w:ascii="仿宋" w:hAnsi="仿宋" w:eastAsia="仿宋" w:cs="仿宋"/>
          <w:color w:val="auto"/>
          <w:spacing w:val="-3"/>
          <w:sz w:val="24"/>
          <w:szCs w:val="24"/>
          <w:highlight w:val="none"/>
        </w:rPr>
        <w:t>法律法规规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定内容进行调整。</w:t>
      </w:r>
    </w:p>
    <w:p w14:paraId="02C0C7EE">
      <w:pPr>
        <w:pStyle w:val="2"/>
        <w:keepNext w:val="0"/>
        <w:keepLines w:val="0"/>
        <w:pageBreakBefore w:val="0"/>
        <w:widowControl/>
        <w:kinsoku w:val="0"/>
        <w:wordWrap/>
        <w:overflowPunct/>
        <w:topLinePunct w:val="0"/>
        <w:autoSpaceDE w:val="0"/>
        <w:autoSpaceDN w:val="0"/>
        <w:bidi w:val="0"/>
        <w:adjustRightInd w:val="0"/>
        <w:snapToGrid w:val="0"/>
        <w:spacing w:before="28" w:line="235" w:lineRule="auto"/>
        <w:ind w:left="22" w:right="200"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31A933A2">
      <w:pPr>
        <w:pStyle w:val="2"/>
        <w:keepNext w:val="0"/>
        <w:keepLines w:val="0"/>
        <w:pageBreakBefore w:val="0"/>
        <w:widowControl/>
        <w:kinsoku w:val="0"/>
        <w:wordWrap/>
        <w:overflowPunct/>
        <w:topLinePunct w:val="0"/>
        <w:autoSpaceDE w:val="0"/>
        <w:autoSpaceDN w:val="0"/>
        <w:bidi w:val="0"/>
        <w:adjustRightInd w:val="0"/>
        <w:snapToGrid w:val="0"/>
        <w:spacing w:before="23" w:line="219" w:lineRule="auto"/>
        <w:ind w:left="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3.评标原则和评标纪律</w:t>
      </w:r>
    </w:p>
    <w:p w14:paraId="048ED8F8">
      <w:pPr>
        <w:pStyle w:val="2"/>
        <w:keepNext w:val="0"/>
        <w:keepLines w:val="0"/>
        <w:pageBreakBefore w:val="0"/>
        <w:widowControl/>
        <w:kinsoku w:val="0"/>
        <w:wordWrap/>
        <w:overflowPunct/>
        <w:topLinePunct w:val="0"/>
        <w:autoSpaceDE w:val="0"/>
        <w:autoSpaceDN w:val="0"/>
        <w:bidi w:val="0"/>
        <w:adjustRightInd w:val="0"/>
        <w:snapToGrid w:val="0"/>
        <w:spacing w:before="27" w:line="235" w:lineRule="auto"/>
        <w:ind w:left="21" w:right="200" w:firstLine="48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磋商小组成员应当按照客观、公正、公平的原则，根据磋商文件规定的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评标程序、评标方法和评标标准进行独立评标。磋商小组成员发现磋商文件存在</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歧义、重大缺陷导致评标工作无法进行，或者磋商文件内容违反国家有关强制性</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规定的，应当停止评标工作，与采购人或者采购代理机构沟通并作书面记录。采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z w:val="24"/>
          <w:szCs w:val="24"/>
          <w:highlight w:val="none"/>
        </w:rPr>
        <w:t>购人或者采购代理机构确认后，应当修改磋商文件，</w:t>
      </w:r>
      <w:r>
        <w:rPr>
          <w:rFonts w:hint="eastAsia" w:ascii="仿宋" w:hAnsi="仿宋" w:eastAsia="仿宋" w:cs="仿宋"/>
          <w:color w:val="auto"/>
          <w:spacing w:val="-1"/>
          <w:sz w:val="24"/>
          <w:szCs w:val="24"/>
          <w:highlight w:val="none"/>
        </w:rPr>
        <w:t>重新组织采购活动。</w:t>
      </w:r>
    </w:p>
    <w:p w14:paraId="06947959">
      <w:pPr>
        <w:pStyle w:val="2"/>
        <w:keepNext w:val="0"/>
        <w:keepLines w:val="0"/>
        <w:pageBreakBefore w:val="0"/>
        <w:widowControl/>
        <w:kinsoku w:val="0"/>
        <w:wordWrap/>
        <w:overflowPunct/>
        <w:topLinePunct w:val="0"/>
        <w:autoSpaceDE w:val="0"/>
        <w:autoSpaceDN w:val="0"/>
        <w:bidi w:val="0"/>
        <w:adjustRightInd w:val="0"/>
        <w:snapToGrid w:val="0"/>
        <w:spacing w:before="28" w:line="234" w:lineRule="auto"/>
        <w:ind w:left="22" w:right="200" w:firstLine="48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评标委员会成员应当在评标报告上签字，对自己的评标意见承担法律责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任。评标委员会成员对需要共同认定的事项存在争议的，应当按照少数服从多数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的原则作出结论。持不同意见的评标委员会成员应当在评标报告上签署不同意见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及理由，否则视为同意评标报告。</w:t>
      </w:r>
    </w:p>
    <w:p w14:paraId="3AF7CB78">
      <w:pPr>
        <w:pStyle w:val="2"/>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4"/>
          <w:sz w:val="24"/>
          <w:szCs w:val="24"/>
          <w:highlight w:val="none"/>
        </w:rPr>
        <w:t>评标纪律</w:t>
      </w:r>
    </w:p>
    <w:p w14:paraId="0EABB4DD">
      <w:pPr>
        <w:pStyle w:val="2"/>
        <w:keepNext w:val="0"/>
        <w:keepLines w:val="0"/>
        <w:pageBreakBefore w:val="0"/>
        <w:widowControl/>
        <w:kinsoku w:val="0"/>
        <w:wordWrap/>
        <w:overflowPunct/>
        <w:topLinePunct w:val="0"/>
        <w:autoSpaceDE w:val="0"/>
        <w:autoSpaceDN w:val="0"/>
        <w:bidi w:val="0"/>
        <w:adjustRightInd w:val="0"/>
        <w:snapToGrid w:val="0"/>
        <w:spacing w:before="26" w:line="236" w:lineRule="auto"/>
        <w:ind w:left="22"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采购人委派代表参加评标委员会的，应当向采购代理机构出具授权函。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除授权代表外，采购人可以委派纪检监察等相关人员进入</w:t>
      </w:r>
      <w:r>
        <w:rPr>
          <w:rFonts w:hint="eastAsia" w:ascii="仿宋" w:hAnsi="仿宋" w:eastAsia="仿宋" w:cs="仿宋"/>
          <w:color w:val="auto"/>
          <w:spacing w:val="-4"/>
          <w:sz w:val="24"/>
          <w:szCs w:val="24"/>
          <w:highlight w:val="none"/>
        </w:rPr>
        <w:t>评标现场，对评标</w:t>
      </w:r>
      <w:r>
        <w:rPr>
          <w:rFonts w:hint="eastAsia" w:ascii="仿宋" w:hAnsi="仿宋" w:eastAsia="仿宋" w:cs="仿宋"/>
          <w:color w:val="auto"/>
          <w:spacing w:val="-4"/>
          <w:sz w:val="24"/>
          <w:szCs w:val="24"/>
          <w:highlight w:val="none"/>
          <w:lang w:eastAsia="zh-CN"/>
        </w:rPr>
        <w:t>工作</w:t>
      </w:r>
      <w:r>
        <w:rPr>
          <w:rFonts w:hint="eastAsia" w:ascii="仿宋" w:hAnsi="仿宋" w:eastAsia="仿宋" w:cs="仿宋"/>
          <w:color w:val="auto"/>
          <w:spacing w:val="4"/>
          <w:sz w:val="24"/>
          <w:szCs w:val="24"/>
          <w:highlight w:val="none"/>
        </w:rPr>
        <w:t>实施监督，但不得超过2人。采购人需要在评标前介绍项目背景和技术需求的，</w:t>
      </w:r>
      <w:r>
        <w:rPr>
          <w:rFonts w:hint="eastAsia" w:ascii="仿宋" w:hAnsi="仿宋" w:eastAsia="仿宋" w:cs="仿宋"/>
          <w:color w:val="auto"/>
          <w:spacing w:val="-3"/>
          <w:sz w:val="24"/>
          <w:szCs w:val="24"/>
          <w:highlight w:val="none"/>
        </w:rPr>
        <w:t>应当事先提交书面介绍材料，介绍内容不得存在歧视性、</w:t>
      </w:r>
      <w:r>
        <w:rPr>
          <w:rFonts w:hint="eastAsia" w:ascii="仿宋" w:hAnsi="仿宋" w:eastAsia="仿宋" w:cs="仿宋"/>
          <w:color w:val="auto"/>
          <w:spacing w:val="-4"/>
          <w:sz w:val="24"/>
          <w:szCs w:val="24"/>
          <w:highlight w:val="none"/>
        </w:rPr>
        <w:t>倾向性意见，不得超出</w:t>
      </w:r>
      <w:r>
        <w:rPr>
          <w:rFonts w:hint="eastAsia" w:ascii="仿宋" w:hAnsi="仿宋" w:eastAsia="仿宋" w:cs="仿宋"/>
          <w:color w:val="auto"/>
          <w:spacing w:val="-3"/>
          <w:sz w:val="24"/>
          <w:szCs w:val="24"/>
          <w:highlight w:val="none"/>
        </w:rPr>
        <w:t>采购文件所述范围，书面介绍材料作为采购项</w:t>
      </w:r>
      <w:r>
        <w:rPr>
          <w:rFonts w:hint="eastAsia" w:ascii="仿宋" w:hAnsi="仿宋" w:eastAsia="仿宋" w:cs="仿宋"/>
          <w:color w:val="auto"/>
          <w:spacing w:val="-4"/>
          <w:sz w:val="24"/>
          <w:szCs w:val="24"/>
          <w:highlight w:val="none"/>
        </w:rPr>
        <w:t>目文件随其他文件一并存档。</w:t>
      </w:r>
      <w:r>
        <w:rPr>
          <w:rFonts w:hint="eastAsia" w:ascii="仿宋" w:hAnsi="仿宋" w:eastAsia="仿宋" w:cs="仿宋"/>
          <w:b/>
          <w:bCs/>
          <w:color w:val="auto"/>
          <w:spacing w:val="-4"/>
          <w:sz w:val="24"/>
          <w:szCs w:val="24"/>
          <w:highlight w:val="none"/>
        </w:rPr>
        <w:t>评标</w:t>
      </w:r>
      <w:r>
        <w:rPr>
          <w:rFonts w:hint="eastAsia" w:ascii="仿宋" w:hAnsi="仿宋" w:eastAsia="仿宋" w:cs="仿宋"/>
          <w:b/>
          <w:bCs/>
          <w:color w:val="auto"/>
          <w:spacing w:val="-2"/>
          <w:sz w:val="24"/>
          <w:szCs w:val="24"/>
          <w:highlight w:val="none"/>
        </w:rPr>
        <w:t>委员会应当推选组长，但采购人代表不得担任组长</w:t>
      </w:r>
      <w:r>
        <w:rPr>
          <w:rFonts w:hint="eastAsia" w:ascii="仿宋" w:hAnsi="仿宋" w:eastAsia="仿宋" w:cs="仿宋"/>
          <w:color w:val="auto"/>
          <w:spacing w:val="-2"/>
          <w:sz w:val="24"/>
          <w:szCs w:val="24"/>
          <w:highlight w:val="none"/>
        </w:rPr>
        <w:t>。</w:t>
      </w:r>
    </w:p>
    <w:p w14:paraId="33B93105">
      <w:pPr>
        <w:keepNext w:val="0"/>
        <w:keepLines w:val="0"/>
        <w:pageBreakBefore w:val="0"/>
        <w:widowControl/>
        <w:kinsoku w:val="0"/>
        <w:wordWrap/>
        <w:overflowPunct/>
        <w:topLinePunct w:val="0"/>
        <w:autoSpaceDE w:val="0"/>
        <w:autoSpaceDN w:val="0"/>
        <w:bidi w:val="0"/>
        <w:adjustRightInd w:val="0"/>
        <w:snapToGrid w:val="0"/>
        <w:spacing w:line="236" w:lineRule="auto"/>
        <w:textAlignment w:val="baseline"/>
        <w:outlineLvl w:val="9"/>
        <w:rPr>
          <w:rFonts w:hint="eastAsia" w:ascii="仿宋" w:hAnsi="仿宋" w:eastAsia="仿宋" w:cs="仿宋"/>
          <w:color w:val="auto"/>
          <w:sz w:val="24"/>
          <w:szCs w:val="24"/>
          <w:highlight w:val="none"/>
        </w:rPr>
        <w:sectPr>
          <w:headerReference r:id="rId23" w:type="default"/>
          <w:footerReference r:id="rId24" w:type="default"/>
          <w:pgSz w:w="11906" w:h="16839"/>
          <w:pgMar w:top="1424" w:right="1599" w:bottom="1171" w:left="1785" w:header="0" w:footer="992" w:gutter="0"/>
          <w:pgNumType w:fmt="decimal"/>
          <w:cols w:space="720" w:num="1"/>
        </w:sectPr>
      </w:pPr>
    </w:p>
    <w:p w14:paraId="1158D49D">
      <w:pPr>
        <w:pStyle w:val="2"/>
        <w:keepNext w:val="0"/>
        <w:keepLines w:val="0"/>
        <w:pageBreakBefore w:val="0"/>
        <w:widowControl/>
        <w:kinsoku w:val="0"/>
        <w:wordWrap/>
        <w:overflowPunct/>
        <w:topLinePunct w:val="0"/>
        <w:autoSpaceDE w:val="0"/>
        <w:autoSpaceDN w:val="0"/>
        <w:bidi w:val="0"/>
        <w:adjustRightInd w:val="0"/>
        <w:snapToGrid w:val="0"/>
        <w:spacing w:before="48" w:line="234"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评标委员会成员要严格遵守评标时间，主动出具身份证明，遵守评标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工作纪律和评标回避的相关规定。在评标工作开始前，将手机等通讯工具或相关</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电子设备交由采购人或采购代理机构统一保管，拒不上交的，采购人或采购代理</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机构可以拒绝其参加评标工作并向财政部门报告。</w:t>
      </w:r>
    </w:p>
    <w:p w14:paraId="031B88F9">
      <w:pPr>
        <w:pStyle w:val="2"/>
        <w:keepNext w:val="0"/>
        <w:keepLines w:val="0"/>
        <w:pageBreakBefore w:val="0"/>
        <w:widowControl/>
        <w:kinsoku w:val="0"/>
        <w:wordWrap/>
        <w:overflowPunct/>
        <w:topLinePunct w:val="0"/>
        <w:autoSpaceDE w:val="0"/>
        <w:autoSpaceDN w:val="0"/>
        <w:bidi w:val="0"/>
        <w:adjustRightInd w:val="0"/>
        <w:snapToGrid w:val="0"/>
        <w:spacing w:before="30" w:line="237"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评标委员会成员和评标工作有关人员不得干预或者影响正常评标工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作，不得明示或者暗示其倾向性、引导性意见，不得修改或细化采购文件确定的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评标程序、评标方法、评标因素和评标标准，不得接受投标人主动提出的澄清和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解释，不得征询采购人代表的倾向性意见，不得协商评分，不得记录、复制或带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走任何评标资料。评标结果汇总完成后，采购人、采购代理机构和评标委员会均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不得修改评标结果或者要求重新评标，但资格性检查认定错误、分值汇总计算错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误、分项评分超出评分标准范围、客观分评分不一致、经评标委员会一致认定评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分畸高、畸低的情形除外。出现上述除外情形的，评标委员会应当现场修改评标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结果，并在评标报告中明确记载。</w:t>
      </w:r>
    </w:p>
    <w:p w14:paraId="5BBB3B94">
      <w:pPr>
        <w:pStyle w:val="2"/>
        <w:keepNext w:val="0"/>
        <w:keepLines w:val="0"/>
        <w:pageBreakBefore w:val="0"/>
        <w:widowControl/>
        <w:kinsoku w:val="0"/>
        <w:wordWrap/>
        <w:overflowPunct/>
        <w:topLinePunct w:val="0"/>
        <w:autoSpaceDE w:val="0"/>
        <w:autoSpaceDN w:val="0"/>
        <w:bidi w:val="0"/>
        <w:adjustRightInd w:val="0"/>
        <w:snapToGrid w:val="0"/>
        <w:spacing w:before="28" w:line="232"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评标委员会成员不得私自泄露评标内容。评标过程应严格遵守保密制</w:t>
      </w:r>
      <w:r>
        <w:rPr>
          <w:rFonts w:hint="eastAsia" w:ascii="仿宋" w:hAnsi="仿宋" w:eastAsia="仿宋" w:cs="仿宋"/>
          <w:color w:val="auto"/>
          <w:sz w:val="24"/>
          <w:szCs w:val="24"/>
          <w:highlight w:val="none"/>
        </w:rPr>
        <w:t xml:space="preserve"> 度。开标后,直到授予中标人合同止，凡是属于审查、澄清、评价和比较的有关</w:t>
      </w:r>
      <w:r>
        <w:rPr>
          <w:rFonts w:hint="eastAsia" w:ascii="仿宋" w:hAnsi="仿宋" w:eastAsia="仿宋" w:cs="仿宋"/>
          <w:color w:val="auto"/>
          <w:spacing w:val="-1"/>
          <w:sz w:val="24"/>
          <w:szCs w:val="24"/>
          <w:highlight w:val="none"/>
        </w:rPr>
        <w:t>资料以及授标建议等均不得向投标人或其他无关的人员透露。</w:t>
      </w:r>
    </w:p>
    <w:p w14:paraId="4ADEF057">
      <w:pPr>
        <w:pStyle w:val="2"/>
        <w:keepNext w:val="0"/>
        <w:keepLines w:val="0"/>
        <w:pageBreakBefore w:val="0"/>
        <w:widowControl/>
        <w:kinsoku w:val="0"/>
        <w:wordWrap/>
        <w:overflowPunct/>
        <w:topLinePunct w:val="0"/>
        <w:autoSpaceDE w:val="0"/>
        <w:autoSpaceDN w:val="0"/>
        <w:bidi w:val="0"/>
        <w:adjustRightInd w:val="0"/>
        <w:snapToGrid w:val="0"/>
        <w:spacing w:before="26" w:line="233" w:lineRule="auto"/>
        <w:ind w:left="27" w:right="53"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采购人、采购代理机构要加强评标现场管理，与评标工作无关的人员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不得进入评标现场。各级财政部门对评标活动相关各方违反评标工作纪律</w:t>
      </w:r>
      <w:r>
        <w:rPr>
          <w:rFonts w:hint="eastAsia" w:ascii="仿宋" w:hAnsi="仿宋" w:eastAsia="仿宋" w:cs="仿宋"/>
          <w:color w:val="auto"/>
          <w:spacing w:val="-4"/>
          <w:sz w:val="24"/>
          <w:szCs w:val="24"/>
          <w:highlight w:val="none"/>
        </w:rPr>
        <w:t>及要求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的行为，将依法严肃处理。</w:t>
      </w:r>
    </w:p>
    <w:p w14:paraId="374866F5">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评标委员会成员应当履行的义务</w:t>
      </w:r>
    </w:p>
    <w:p w14:paraId="34F45960">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4" w:right="54"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3.4.1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评标委员会成员应根据政府采购法律法规和采购文件所载明的评标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方法、标准进行评标，遵纪守法，客观、公正、廉洁地履行职责。</w:t>
      </w:r>
    </w:p>
    <w:p w14:paraId="7CB9671A">
      <w:pPr>
        <w:pStyle w:val="2"/>
        <w:keepNext w:val="0"/>
        <w:keepLines w:val="0"/>
        <w:pageBreakBefore w:val="0"/>
        <w:widowControl/>
        <w:kinsoku w:val="0"/>
        <w:wordWrap/>
        <w:overflowPunct/>
        <w:topLinePunct w:val="0"/>
        <w:autoSpaceDE w:val="0"/>
        <w:autoSpaceDN w:val="0"/>
        <w:bidi w:val="0"/>
        <w:adjustRightInd w:val="0"/>
        <w:snapToGrid w:val="0"/>
        <w:spacing w:before="23" w:line="233" w:lineRule="auto"/>
        <w:ind w:left="24" w:right="53"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评标委员会成员应熟悉和理解采购文件，认真阅读所有投标人的响应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文件，对所有响应文件逐一进行资格性、符合性检查，按采购文件规定的评标方</w:t>
      </w:r>
      <w:r>
        <w:rPr>
          <w:rFonts w:hint="eastAsia" w:ascii="仿宋" w:hAnsi="仿宋" w:eastAsia="仿宋" w:cs="仿宋"/>
          <w:color w:val="auto"/>
          <w:spacing w:val="-1"/>
          <w:sz w:val="24"/>
          <w:szCs w:val="24"/>
          <w:highlight w:val="none"/>
        </w:rPr>
        <w:t>法和标准，进行比较和评价；</w:t>
      </w:r>
    </w:p>
    <w:p w14:paraId="7974825A">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对投标人的价格分等客观评分项的评分应当一致，对其他需要借助专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业知识评判的主观评分项，应当严格按照评分细则公正评分。</w:t>
      </w:r>
    </w:p>
    <w:p w14:paraId="092F1D3A">
      <w:pPr>
        <w:pStyle w:val="2"/>
        <w:keepNext w:val="0"/>
        <w:keepLines w:val="0"/>
        <w:pageBreakBefore w:val="0"/>
        <w:widowControl/>
        <w:kinsoku w:val="0"/>
        <w:wordWrap/>
        <w:overflowPunct/>
        <w:topLinePunct w:val="0"/>
        <w:autoSpaceDE w:val="0"/>
        <w:autoSpaceDN w:val="0"/>
        <w:bidi w:val="0"/>
        <w:adjustRightInd w:val="0"/>
        <w:snapToGrid w:val="0"/>
        <w:spacing w:before="27" w:line="237" w:lineRule="auto"/>
        <w:ind w:left="22"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在磋商过程中，磋商小组可以根据磋商文件和磋商情况实质性变动</w:t>
      </w:r>
      <w:r>
        <w:rPr>
          <w:rFonts w:hint="eastAsia" w:ascii="仿宋" w:hAnsi="仿宋" w:eastAsia="仿宋" w:cs="仿宋"/>
          <w:color w:val="auto"/>
          <w:spacing w:val="-4"/>
          <w:sz w:val="24"/>
          <w:szCs w:val="24"/>
          <w:highlight w:val="none"/>
        </w:rPr>
        <w:t>采购需求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中的技术、服务要求以及合同草案条款，但不得变动磋商文件中的其他内容。实质性变动的内容，须经采购人代表确认。对磋商文件作出的实质性变动是磋商文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件的有效组成部分，磋商小组应当及时以书面形式同时通知所有参加磋商的供应</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商。供应商应当按照磋商文件的变动情况和磋</w:t>
      </w:r>
      <w:r>
        <w:rPr>
          <w:rFonts w:hint="eastAsia" w:ascii="仿宋" w:hAnsi="仿宋" w:eastAsia="仿宋" w:cs="仿宋"/>
          <w:color w:val="auto"/>
          <w:spacing w:val="-2"/>
          <w:sz w:val="24"/>
          <w:szCs w:val="24"/>
          <w:highlight w:val="none"/>
        </w:rPr>
        <w:t>商小组的要求重新提交响应文件，</w:t>
      </w:r>
      <w:r>
        <w:rPr>
          <w:rFonts w:hint="eastAsia" w:ascii="仿宋" w:hAnsi="仿宋" w:eastAsia="仿宋" w:cs="仿宋"/>
          <w:color w:val="auto"/>
          <w:spacing w:val="-3"/>
          <w:sz w:val="24"/>
          <w:szCs w:val="24"/>
          <w:highlight w:val="none"/>
        </w:rPr>
        <w:t>并由其法定代表人或授权代表签字或者加盖公章。由授权代表签字的，应当附法定代表人授权书。供应商为自然人的，应当由本人签字并附身份证明。已提交响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应文件的供应商，在提交最后报价之前，可以</w:t>
      </w:r>
      <w:r>
        <w:rPr>
          <w:rFonts w:hint="eastAsia" w:ascii="仿宋" w:hAnsi="仿宋" w:eastAsia="仿宋" w:cs="仿宋"/>
          <w:color w:val="auto"/>
          <w:spacing w:val="-2"/>
          <w:sz w:val="24"/>
          <w:szCs w:val="24"/>
          <w:highlight w:val="none"/>
        </w:rPr>
        <w:t>根据磋商情况退出磋商。采购人、</w:t>
      </w:r>
      <w:r>
        <w:rPr>
          <w:rFonts w:hint="eastAsia" w:ascii="仿宋" w:hAnsi="仿宋" w:eastAsia="仿宋" w:cs="仿宋"/>
          <w:color w:val="auto"/>
          <w:spacing w:val="-1"/>
          <w:sz w:val="24"/>
          <w:szCs w:val="24"/>
          <w:highlight w:val="none"/>
        </w:rPr>
        <w:t>采购代理机构应当退还退出磋商的供应商的磋商保证金。</w:t>
      </w:r>
    </w:p>
    <w:p w14:paraId="38094C88">
      <w:pPr>
        <w:pStyle w:val="2"/>
        <w:keepNext w:val="0"/>
        <w:keepLines w:val="0"/>
        <w:pageBreakBefore w:val="0"/>
        <w:widowControl/>
        <w:kinsoku w:val="0"/>
        <w:wordWrap/>
        <w:overflowPunct/>
        <w:topLinePunct w:val="0"/>
        <w:autoSpaceDE w:val="0"/>
        <w:autoSpaceDN w:val="0"/>
        <w:bidi w:val="0"/>
        <w:adjustRightInd w:val="0"/>
        <w:snapToGrid w:val="0"/>
        <w:spacing w:before="29" w:line="232"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评标委员会如需要投标人对响应文件有关事项作出澄清的，应当给予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投标人必要的反馈时间，但澄清事项不得超出响应文件的范围，不得实质性</w:t>
      </w:r>
      <w:r>
        <w:rPr>
          <w:rFonts w:hint="eastAsia" w:ascii="仿宋" w:hAnsi="仿宋" w:eastAsia="仿宋" w:cs="仿宋"/>
          <w:color w:val="auto"/>
          <w:spacing w:val="-4"/>
          <w:sz w:val="24"/>
          <w:szCs w:val="24"/>
          <w:highlight w:val="none"/>
        </w:rPr>
        <w:t>改变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响应文件的内容，不得通过澄清等方式对投标人实行差别对待。</w:t>
      </w:r>
    </w:p>
    <w:p w14:paraId="305126A7">
      <w:pPr>
        <w:pStyle w:val="2"/>
        <w:keepNext w:val="0"/>
        <w:keepLines w:val="0"/>
        <w:pageBreakBefore w:val="0"/>
        <w:widowControl/>
        <w:kinsoku w:val="0"/>
        <w:wordWrap/>
        <w:overflowPunct/>
        <w:topLinePunct w:val="0"/>
        <w:autoSpaceDE w:val="0"/>
        <w:autoSpaceDN w:val="0"/>
        <w:bidi w:val="0"/>
        <w:adjustRightInd w:val="0"/>
        <w:snapToGrid w:val="0"/>
        <w:spacing w:before="27" w:line="234"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评标委员会应对评分汇总情况进行复核，特别是对排名第一的、报价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最低的投标或相应文件被认定为无效的情形进行重点复核，并根据评标结果</w:t>
      </w:r>
      <w:r>
        <w:rPr>
          <w:rFonts w:hint="eastAsia" w:ascii="仿宋" w:hAnsi="仿宋" w:eastAsia="仿宋" w:cs="仿宋"/>
          <w:color w:val="auto"/>
          <w:spacing w:val="-4"/>
          <w:sz w:val="24"/>
          <w:szCs w:val="24"/>
          <w:highlight w:val="none"/>
        </w:rPr>
        <w:t>推荐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中标候选人，或者根据采购人委托协议规定直接确定中标人，起草并签署评</w:t>
      </w:r>
      <w:r>
        <w:rPr>
          <w:rFonts w:hint="eastAsia" w:ascii="仿宋" w:hAnsi="仿宋" w:eastAsia="仿宋" w:cs="仿宋"/>
          <w:color w:val="auto"/>
          <w:spacing w:val="-4"/>
          <w:sz w:val="24"/>
          <w:szCs w:val="24"/>
          <w:highlight w:val="none"/>
        </w:rPr>
        <w:t>标报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告。</w:t>
      </w:r>
    </w:p>
    <w:p w14:paraId="32B77D00">
      <w:pPr>
        <w:pStyle w:val="2"/>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评标委员会应在采购项目招标失败时，出具磋商文件是否存在不合理</w:t>
      </w:r>
    </w:p>
    <w:p w14:paraId="3CD41EE2">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仿宋" w:hAnsi="仿宋" w:eastAsia="仿宋" w:cs="仿宋"/>
          <w:color w:val="auto"/>
          <w:sz w:val="24"/>
          <w:szCs w:val="24"/>
          <w:highlight w:val="none"/>
        </w:rPr>
        <w:sectPr>
          <w:footerReference r:id="rId25" w:type="default"/>
          <w:pgSz w:w="11906" w:h="16839"/>
          <w:pgMar w:top="1426" w:right="1745" w:bottom="1171" w:left="1785" w:header="0" w:footer="992" w:gutter="0"/>
          <w:pgNumType w:fmt="decimal"/>
          <w:cols w:space="720" w:num="1"/>
        </w:sectPr>
      </w:pPr>
    </w:p>
    <w:p w14:paraId="751F4DC7">
      <w:pPr>
        <w:pStyle w:val="2"/>
        <w:keepNext w:val="0"/>
        <w:keepLines w:val="0"/>
        <w:pageBreakBefore w:val="0"/>
        <w:widowControl/>
        <w:kinsoku w:val="0"/>
        <w:wordWrap/>
        <w:overflowPunct/>
        <w:topLinePunct w:val="0"/>
        <w:autoSpaceDE w:val="0"/>
        <w:autoSpaceDN w:val="0"/>
        <w:bidi w:val="0"/>
        <w:adjustRightInd w:val="0"/>
        <w:snapToGrid w:val="0"/>
        <w:spacing w:before="48" w:line="230" w:lineRule="auto"/>
        <w:ind w:left="23"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条款的论证意见，并协助采购人、采购代理机构、财政部门答复质疑或处理投诉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事项。</w:t>
      </w:r>
    </w:p>
    <w:p w14:paraId="45C0C7B3">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3.4.7</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评标委员会应对评标过程和结果以及投标人的商业秘密保密。</w:t>
      </w:r>
    </w:p>
    <w:p w14:paraId="60C0F588">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（二）评标程序</w:t>
      </w:r>
    </w:p>
    <w:p w14:paraId="546B0646">
      <w:pPr>
        <w:pStyle w:val="2"/>
        <w:keepNext w:val="0"/>
        <w:keepLines w:val="0"/>
        <w:pageBreakBefore w:val="0"/>
        <w:widowControl/>
        <w:kinsoku w:val="0"/>
        <w:wordWrap/>
        <w:overflowPunct/>
        <w:topLinePunct w:val="0"/>
        <w:autoSpaceDE w:val="0"/>
        <w:autoSpaceDN w:val="0"/>
        <w:bidi w:val="0"/>
        <w:adjustRightInd w:val="0"/>
        <w:snapToGrid w:val="0"/>
        <w:spacing w:before="26" w:line="219"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4．响应文件的初步评标</w:t>
      </w:r>
    </w:p>
    <w:p w14:paraId="4B1D34A3">
      <w:pPr>
        <w:pStyle w:val="2"/>
        <w:keepNext w:val="0"/>
        <w:keepLines w:val="0"/>
        <w:pageBreakBefore w:val="0"/>
        <w:widowControl/>
        <w:kinsoku w:val="0"/>
        <w:wordWrap/>
        <w:overflowPunct/>
        <w:topLinePunct w:val="0"/>
        <w:autoSpaceDE w:val="0"/>
        <w:autoSpaceDN w:val="0"/>
        <w:bidi w:val="0"/>
        <w:adjustRightInd w:val="0"/>
        <w:snapToGrid w:val="0"/>
        <w:spacing w:before="27"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初步评标分为资格性检查和符合性检查。</w:t>
      </w:r>
    </w:p>
    <w:p w14:paraId="0048918F">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4.1.1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3"/>
          <w:sz w:val="24"/>
          <w:szCs w:val="24"/>
          <w:highlight w:val="none"/>
        </w:rPr>
        <w:t>资格性检查</w:t>
      </w:r>
    </w:p>
    <w:p w14:paraId="0F2E1BFE">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25" w:right="13" w:firstLine="4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根据法律法规和磋商文件的规定，对响应文件中的资格证明文件</w:t>
      </w:r>
      <w:r>
        <w:rPr>
          <w:rFonts w:hint="eastAsia" w:ascii="仿宋" w:hAnsi="仿宋" w:eastAsia="仿宋" w:cs="仿宋"/>
          <w:color w:val="auto"/>
          <w:spacing w:val="-4"/>
          <w:sz w:val="24"/>
          <w:szCs w:val="24"/>
          <w:highlight w:val="none"/>
        </w:rPr>
        <w:t>、磋商保证</w:t>
      </w:r>
      <w:r>
        <w:rPr>
          <w:rFonts w:hint="eastAsia" w:ascii="仿宋" w:hAnsi="仿宋" w:eastAsia="仿宋" w:cs="仿宋"/>
          <w:color w:val="auto"/>
          <w:spacing w:val="-1"/>
          <w:sz w:val="24"/>
          <w:szCs w:val="24"/>
          <w:highlight w:val="none"/>
        </w:rPr>
        <w:t>金等进行审查，以确定投标投标人是否具备投标资格。审查事项如下：</w:t>
      </w:r>
    </w:p>
    <w:p w14:paraId="606A6DE8">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rFonts w:hint="eastAsia" w:ascii="仿宋" w:hAnsi="仿宋" w:eastAsia="仿宋" w:cs="仿宋"/>
          <w:color w:val="auto"/>
          <w:sz w:val="24"/>
          <w:szCs w:val="24"/>
          <w:highlight w:val="none"/>
        </w:rPr>
      </w:pPr>
    </w:p>
    <w:p w14:paraId="77FAC443">
      <w:pPr>
        <w:pStyle w:val="2"/>
        <w:pageBreakBefore w:val="0"/>
        <w:wordWrap/>
        <w:overflowPunct/>
        <w:topLinePunct w:val="0"/>
        <w:bidi w:val="0"/>
        <w:spacing w:before="48" w:line="219" w:lineRule="auto"/>
        <w:ind w:left="411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6"/>
          <w:sz w:val="32"/>
          <w:szCs w:val="32"/>
          <w:highlight w:val="none"/>
        </w:rPr>
        <w:t>资格审查表</w:t>
      </w:r>
    </w:p>
    <w:p w14:paraId="1852372F">
      <w:pPr>
        <w:pageBreakBefore w:val="0"/>
        <w:wordWrap/>
        <w:overflowPunct/>
        <w:topLinePunct w:val="0"/>
        <w:bidi w:val="0"/>
        <w:spacing w:line="147" w:lineRule="exact"/>
        <w:outlineLvl w:val="9"/>
        <w:rPr>
          <w:rFonts w:hint="eastAsia" w:ascii="仿宋" w:hAnsi="仿宋" w:eastAsia="仿宋" w:cs="仿宋"/>
          <w:color w:val="auto"/>
          <w:sz w:val="24"/>
          <w:szCs w:val="24"/>
          <w:highlight w:val="none"/>
        </w:rPr>
      </w:pPr>
    </w:p>
    <w:tbl>
      <w:tblPr>
        <w:tblStyle w:val="26"/>
        <w:tblW w:w="9713"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637"/>
        <w:gridCol w:w="581"/>
        <w:gridCol w:w="790"/>
      </w:tblGrid>
      <w:tr w14:paraId="6A1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5" w:type="dxa"/>
            <w:vMerge w:val="restart"/>
            <w:tcBorders>
              <w:top w:val="single" w:color="000000" w:sz="10" w:space="0"/>
              <w:left w:val="single" w:color="000000" w:sz="10" w:space="0"/>
              <w:bottom w:val="nil"/>
            </w:tcBorders>
            <w:vAlign w:val="top"/>
          </w:tcPr>
          <w:p w14:paraId="0471B0A2">
            <w:pPr>
              <w:pageBreakBefore w:val="0"/>
              <w:wordWrap/>
              <w:overflowPunct/>
              <w:topLinePunct w:val="0"/>
              <w:bidi w:val="0"/>
              <w:spacing w:line="345" w:lineRule="auto"/>
              <w:jc w:val="both"/>
              <w:outlineLvl w:val="9"/>
              <w:rPr>
                <w:rFonts w:hint="eastAsia" w:ascii="仿宋" w:hAnsi="仿宋" w:eastAsia="仿宋" w:cs="仿宋"/>
                <w:color w:val="auto"/>
                <w:sz w:val="24"/>
                <w:szCs w:val="24"/>
                <w:highlight w:val="none"/>
              </w:rPr>
            </w:pPr>
          </w:p>
          <w:p w14:paraId="74E22CDA">
            <w:pPr>
              <w:pStyle w:val="28"/>
              <w:pageBreakBefore w:val="0"/>
              <w:wordWrap/>
              <w:overflowPunct/>
              <w:topLinePunct w:val="0"/>
              <w:bidi w:val="0"/>
              <w:spacing w:before="78" w:line="221" w:lineRule="auto"/>
              <w:ind w:left="110"/>
              <w:jc w:val="both"/>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7637" w:type="dxa"/>
            <w:vMerge w:val="restart"/>
            <w:tcBorders>
              <w:top w:val="single" w:color="000000" w:sz="10" w:space="0"/>
              <w:bottom w:val="nil"/>
            </w:tcBorders>
            <w:vAlign w:val="top"/>
          </w:tcPr>
          <w:p w14:paraId="04A66A36">
            <w:pPr>
              <w:pageBreakBefore w:val="0"/>
              <w:wordWrap/>
              <w:overflowPunct/>
              <w:topLinePunct w:val="0"/>
              <w:bidi w:val="0"/>
              <w:spacing w:line="346" w:lineRule="auto"/>
              <w:outlineLvl w:val="9"/>
              <w:rPr>
                <w:rFonts w:hint="eastAsia" w:ascii="仿宋" w:hAnsi="仿宋" w:eastAsia="仿宋" w:cs="仿宋"/>
                <w:color w:val="auto"/>
                <w:sz w:val="24"/>
                <w:szCs w:val="24"/>
                <w:highlight w:val="none"/>
              </w:rPr>
            </w:pPr>
          </w:p>
          <w:p w14:paraId="3BE4B8E5">
            <w:pPr>
              <w:pStyle w:val="28"/>
              <w:pageBreakBefore w:val="0"/>
              <w:wordWrap/>
              <w:overflowPunct/>
              <w:topLinePunct w:val="0"/>
              <w:bidi w:val="0"/>
              <w:spacing w:before="78" w:line="219" w:lineRule="auto"/>
              <w:ind w:left="315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1371" w:type="dxa"/>
            <w:gridSpan w:val="2"/>
            <w:tcBorders>
              <w:top w:val="single" w:color="000000" w:sz="10" w:space="0"/>
              <w:right w:val="single" w:color="000000" w:sz="10" w:space="0"/>
            </w:tcBorders>
            <w:vAlign w:val="top"/>
          </w:tcPr>
          <w:p w14:paraId="7E5E86E1">
            <w:pPr>
              <w:pStyle w:val="28"/>
              <w:pageBreakBefore w:val="0"/>
              <w:wordWrap/>
              <w:overflowPunct/>
              <w:topLinePunct w:val="0"/>
              <w:bidi w:val="0"/>
              <w:spacing w:before="85"/>
              <w:ind w:left="45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72C5CCF6">
            <w:pPr>
              <w:pStyle w:val="28"/>
              <w:pageBreakBefore w:val="0"/>
              <w:wordWrap/>
              <w:overflowPunct/>
              <w:topLinePunct w:val="0"/>
              <w:bidi w:val="0"/>
              <w:spacing w:line="219" w:lineRule="auto"/>
              <w:ind w:left="45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5775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05" w:type="dxa"/>
            <w:vMerge w:val="continue"/>
            <w:tcBorders>
              <w:top w:val="nil"/>
              <w:left w:val="single" w:color="000000" w:sz="10" w:space="0"/>
            </w:tcBorders>
            <w:vAlign w:val="top"/>
          </w:tcPr>
          <w:p w14:paraId="26E790B1">
            <w:pPr>
              <w:pageBreakBefore w:val="0"/>
              <w:wordWrap/>
              <w:overflowPunct/>
              <w:topLinePunct w:val="0"/>
              <w:bidi w:val="0"/>
              <w:jc w:val="both"/>
              <w:outlineLvl w:val="9"/>
              <w:rPr>
                <w:rFonts w:hint="eastAsia" w:ascii="仿宋" w:hAnsi="仿宋" w:eastAsia="仿宋" w:cs="仿宋"/>
                <w:color w:val="auto"/>
                <w:sz w:val="24"/>
                <w:szCs w:val="24"/>
                <w:highlight w:val="none"/>
              </w:rPr>
            </w:pPr>
          </w:p>
        </w:tc>
        <w:tc>
          <w:tcPr>
            <w:tcW w:w="7637" w:type="dxa"/>
            <w:vMerge w:val="continue"/>
            <w:tcBorders>
              <w:top w:val="nil"/>
            </w:tcBorders>
            <w:vAlign w:val="top"/>
          </w:tcPr>
          <w:p w14:paraId="6636737A">
            <w:pPr>
              <w:pageBreakBefore w:val="0"/>
              <w:wordWrap/>
              <w:overflowPunct/>
              <w:topLinePunct w:val="0"/>
              <w:bidi w:val="0"/>
              <w:outlineLvl w:val="9"/>
              <w:rPr>
                <w:rFonts w:hint="eastAsia" w:ascii="仿宋" w:hAnsi="仿宋" w:eastAsia="仿宋" w:cs="仿宋"/>
                <w:color w:val="auto"/>
                <w:sz w:val="24"/>
                <w:szCs w:val="24"/>
                <w:highlight w:val="none"/>
              </w:rPr>
            </w:pPr>
          </w:p>
        </w:tc>
        <w:tc>
          <w:tcPr>
            <w:tcW w:w="581" w:type="dxa"/>
            <w:vAlign w:val="top"/>
          </w:tcPr>
          <w:p w14:paraId="4C37C4AC">
            <w:pPr>
              <w:pStyle w:val="28"/>
              <w:pageBreakBefore w:val="0"/>
              <w:wordWrap/>
              <w:overflowPunct/>
              <w:topLinePunct w:val="0"/>
              <w:bidi w:val="0"/>
              <w:spacing w:before="55" w:line="223" w:lineRule="auto"/>
              <w:ind w:left="18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790" w:type="dxa"/>
            <w:tcBorders>
              <w:right w:val="single" w:color="000000" w:sz="10" w:space="0"/>
            </w:tcBorders>
            <w:vAlign w:val="top"/>
          </w:tcPr>
          <w:p w14:paraId="582231B7">
            <w:pPr>
              <w:pStyle w:val="28"/>
              <w:pageBreakBefore w:val="0"/>
              <w:wordWrap/>
              <w:overflowPunct/>
              <w:topLinePunct w:val="0"/>
              <w:bidi w:val="0"/>
              <w:spacing w:before="55" w:line="220" w:lineRule="auto"/>
              <w:ind w:left="29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E2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5" w:type="dxa"/>
            <w:tcBorders>
              <w:left w:val="single" w:color="000000" w:sz="10" w:space="0"/>
            </w:tcBorders>
            <w:vAlign w:val="top"/>
          </w:tcPr>
          <w:p w14:paraId="51252802">
            <w:pPr>
              <w:pStyle w:val="28"/>
              <w:pageBreakBefore w:val="0"/>
              <w:wordWrap/>
              <w:overflowPunct/>
              <w:topLinePunct w:val="0"/>
              <w:bidi w:val="0"/>
              <w:spacing w:before="170" w:line="184" w:lineRule="auto"/>
              <w:ind w:left="311"/>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37" w:type="dxa"/>
            <w:vAlign w:val="top"/>
          </w:tcPr>
          <w:p w14:paraId="6D2FC420">
            <w:pPr>
              <w:pStyle w:val="28"/>
              <w:pageBreakBefore w:val="0"/>
              <w:wordWrap/>
              <w:overflowPunct/>
              <w:topLinePunct w:val="0"/>
              <w:bidi w:val="0"/>
              <w:spacing w:before="134" w:line="219" w:lineRule="auto"/>
              <w:ind w:left="1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具有有效的营业执照；</w:t>
            </w:r>
          </w:p>
        </w:tc>
        <w:tc>
          <w:tcPr>
            <w:tcW w:w="581" w:type="dxa"/>
            <w:vAlign w:val="top"/>
          </w:tcPr>
          <w:p w14:paraId="5DD639D3">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583F66B7">
            <w:pPr>
              <w:pageBreakBefore w:val="0"/>
              <w:wordWrap/>
              <w:overflowPunct/>
              <w:topLinePunct w:val="0"/>
              <w:bidi w:val="0"/>
              <w:outlineLvl w:val="9"/>
              <w:rPr>
                <w:rFonts w:hint="eastAsia" w:ascii="仿宋" w:hAnsi="仿宋" w:eastAsia="仿宋" w:cs="仿宋"/>
                <w:color w:val="auto"/>
                <w:sz w:val="24"/>
                <w:szCs w:val="24"/>
                <w:highlight w:val="none"/>
              </w:rPr>
            </w:pPr>
          </w:p>
        </w:tc>
      </w:tr>
      <w:tr w14:paraId="3740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05" w:type="dxa"/>
            <w:tcBorders>
              <w:left w:val="single" w:color="000000" w:sz="10" w:space="0"/>
            </w:tcBorders>
            <w:vAlign w:val="top"/>
          </w:tcPr>
          <w:p w14:paraId="4E9FA4C5">
            <w:pPr>
              <w:pStyle w:val="28"/>
              <w:pageBreakBefore w:val="0"/>
              <w:wordWrap/>
              <w:overflowPunct/>
              <w:topLinePunct w:val="0"/>
              <w:bidi w:val="0"/>
              <w:spacing w:before="299" w:line="183" w:lineRule="auto"/>
              <w:ind w:left="296"/>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637" w:type="dxa"/>
            <w:vAlign w:val="top"/>
          </w:tcPr>
          <w:p w14:paraId="48752D73">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法定代表人证明或法定代表人授权委托书签字</w:t>
            </w:r>
            <w:r>
              <w:rPr>
                <w:rFonts w:hint="eastAsia" w:ascii="仿宋" w:hAnsi="仿宋" w:eastAsia="仿宋" w:cs="仿宋"/>
                <w:color w:val="auto"/>
                <w:spacing w:val="-5"/>
                <w:sz w:val="24"/>
                <w:szCs w:val="24"/>
                <w:highlight w:val="none"/>
                <w:lang w:eastAsia="zh-CN"/>
              </w:rPr>
              <w:t>（章）</w:t>
            </w:r>
            <w:r>
              <w:rPr>
                <w:rFonts w:hint="eastAsia" w:ascii="仿宋" w:hAnsi="仿宋" w:eastAsia="仿宋" w:cs="仿宋"/>
                <w:color w:val="auto"/>
                <w:spacing w:val="-5"/>
                <w:sz w:val="24"/>
                <w:szCs w:val="24"/>
                <w:highlight w:val="none"/>
              </w:rPr>
              <w:t>并加盖公章；</w:t>
            </w:r>
          </w:p>
        </w:tc>
        <w:tc>
          <w:tcPr>
            <w:tcW w:w="581" w:type="dxa"/>
            <w:vAlign w:val="top"/>
          </w:tcPr>
          <w:p w14:paraId="3FFE639D">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4D0647CA">
            <w:pPr>
              <w:pageBreakBefore w:val="0"/>
              <w:wordWrap/>
              <w:overflowPunct/>
              <w:topLinePunct w:val="0"/>
              <w:bidi w:val="0"/>
              <w:outlineLvl w:val="9"/>
              <w:rPr>
                <w:rFonts w:hint="eastAsia" w:ascii="仿宋" w:hAnsi="仿宋" w:eastAsia="仿宋" w:cs="仿宋"/>
                <w:color w:val="auto"/>
                <w:sz w:val="24"/>
                <w:szCs w:val="24"/>
                <w:highlight w:val="none"/>
              </w:rPr>
            </w:pPr>
          </w:p>
        </w:tc>
      </w:tr>
      <w:tr w14:paraId="2E08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05" w:type="dxa"/>
            <w:tcBorders>
              <w:left w:val="single" w:color="000000" w:sz="10" w:space="0"/>
            </w:tcBorders>
            <w:vAlign w:val="top"/>
          </w:tcPr>
          <w:p w14:paraId="162800D0">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637" w:type="dxa"/>
            <w:vAlign w:val="top"/>
          </w:tcPr>
          <w:p w14:paraId="2794D2C0">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提供投标</w:t>
            </w:r>
            <w:r>
              <w:rPr>
                <w:rFonts w:hint="eastAsia" w:ascii="仿宋" w:hAnsi="仿宋" w:eastAsia="仿宋" w:cs="仿宋"/>
                <w:color w:val="auto"/>
                <w:spacing w:val="-1"/>
                <w:sz w:val="24"/>
                <w:szCs w:val="24"/>
                <w:highlight w:val="none"/>
              </w:rPr>
              <w:t>单位缴纳近三个月内（任意一个月）的社保证明；</w:t>
            </w:r>
          </w:p>
        </w:tc>
        <w:tc>
          <w:tcPr>
            <w:tcW w:w="581" w:type="dxa"/>
            <w:vAlign w:val="top"/>
          </w:tcPr>
          <w:p w14:paraId="7ED2379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16130C7C">
            <w:pPr>
              <w:pageBreakBefore w:val="0"/>
              <w:wordWrap/>
              <w:overflowPunct/>
              <w:topLinePunct w:val="0"/>
              <w:bidi w:val="0"/>
              <w:outlineLvl w:val="9"/>
              <w:rPr>
                <w:rFonts w:hint="eastAsia" w:ascii="仿宋" w:hAnsi="仿宋" w:eastAsia="仿宋" w:cs="仿宋"/>
                <w:color w:val="auto"/>
                <w:sz w:val="24"/>
                <w:szCs w:val="24"/>
                <w:highlight w:val="none"/>
              </w:rPr>
            </w:pPr>
          </w:p>
        </w:tc>
      </w:tr>
      <w:tr w14:paraId="32E3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05" w:type="dxa"/>
            <w:tcBorders>
              <w:left w:val="single" w:color="000000" w:sz="10" w:space="0"/>
            </w:tcBorders>
            <w:vAlign w:val="top"/>
          </w:tcPr>
          <w:p w14:paraId="68FBABE1">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37" w:type="dxa"/>
            <w:vAlign w:val="top"/>
          </w:tcPr>
          <w:p w14:paraId="49E2894A">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4"/>
                <w:sz w:val="24"/>
                <w:szCs w:val="24"/>
                <w:highlight w:val="none"/>
              </w:rPr>
              <w:t>投标企业提供税务部门出具的近3个月内其中任意1个月的完税证明（零申报需加盖税务机关鲜章），非社会保险类；</w:t>
            </w:r>
          </w:p>
        </w:tc>
        <w:tc>
          <w:tcPr>
            <w:tcW w:w="581" w:type="dxa"/>
            <w:vAlign w:val="top"/>
          </w:tcPr>
          <w:p w14:paraId="68DF936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6C3F889">
            <w:pPr>
              <w:pageBreakBefore w:val="0"/>
              <w:wordWrap/>
              <w:overflowPunct/>
              <w:topLinePunct w:val="0"/>
              <w:bidi w:val="0"/>
              <w:outlineLvl w:val="9"/>
              <w:rPr>
                <w:rFonts w:hint="eastAsia" w:ascii="仿宋" w:hAnsi="仿宋" w:eastAsia="仿宋" w:cs="仿宋"/>
                <w:color w:val="auto"/>
                <w:sz w:val="24"/>
                <w:szCs w:val="24"/>
                <w:highlight w:val="none"/>
              </w:rPr>
            </w:pPr>
          </w:p>
        </w:tc>
      </w:tr>
      <w:tr w14:paraId="31C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5" w:type="dxa"/>
            <w:tcBorders>
              <w:left w:val="single" w:color="000000" w:sz="10" w:space="0"/>
            </w:tcBorders>
            <w:vAlign w:val="top"/>
          </w:tcPr>
          <w:p w14:paraId="1A3B6690">
            <w:pPr>
              <w:pageBreakBefore w:val="0"/>
              <w:wordWrap/>
              <w:overflowPunct/>
              <w:topLinePunct w:val="0"/>
              <w:bidi w:val="0"/>
              <w:spacing w:line="305" w:lineRule="auto"/>
              <w:jc w:val="both"/>
              <w:outlineLvl w:val="9"/>
              <w:rPr>
                <w:rFonts w:hint="eastAsia" w:ascii="仿宋" w:hAnsi="仿宋" w:eastAsia="仿宋" w:cs="仿宋"/>
                <w:color w:val="auto"/>
                <w:sz w:val="24"/>
                <w:szCs w:val="24"/>
                <w:highlight w:val="none"/>
              </w:rPr>
            </w:pPr>
          </w:p>
          <w:p w14:paraId="33D1E69D">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37" w:type="dxa"/>
            <w:vAlign w:val="top"/>
          </w:tcPr>
          <w:p w14:paraId="7FDEC08B">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供应商须具备【机电安装资质三级】（含）以上资质等级，【建筑工程施工总承包叁级】(含)以上资质或【建筑装修装饰工程专业承包贰级】（含）以上资质等级，并具备有效的安全生产许可证；</w:t>
            </w:r>
          </w:p>
          <w:p w14:paraId="464EA17F">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zh-CN" w:bidi="ar-SA"/>
              </w:rPr>
              <w:t>项目负责人：须具备【建筑工程专业】二级或以上注册建造师执业资格，具备有效的安全生产考核合格证书，且未担任其他在建建设工程项目的项目负责人；</w:t>
            </w:r>
          </w:p>
        </w:tc>
        <w:tc>
          <w:tcPr>
            <w:tcW w:w="581" w:type="dxa"/>
            <w:vAlign w:val="top"/>
          </w:tcPr>
          <w:p w14:paraId="3EA22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5F377A1">
            <w:pPr>
              <w:pageBreakBefore w:val="0"/>
              <w:wordWrap/>
              <w:overflowPunct/>
              <w:topLinePunct w:val="0"/>
              <w:bidi w:val="0"/>
              <w:outlineLvl w:val="9"/>
              <w:rPr>
                <w:rFonts w:hint="eastAsia" w:ascii="仿宋" w:hAnsi="仿宋" w:eastAsia="仿宋" w:cs="仿宋"/>
                <w:color w:val="auto"/>
                <w:sz w:val="24"/>
                <w:szCs w:val="24"/>
                <w:highlight w:val="none"/>
              </w:rPr>
            </w:pPr>
          </w:p>
        </w:tc>
      </w:tr>
      <w:tr w14:paraId="57F7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5" w:type="dxa"/>
            <w:tcBorders>
              <w:left w:val="single" w:color="000000" w:sz="10" w:space="0"/>
            </w:tcBorders>
            <w:vAlign w:val="top"/>
          </w:tcPr>
          <w:p w14:paraId="56A7E9E6">
            <w:pPr>
              <w:pStyle w:val="28"/>
              <w:pageBreakBefore w:val="0"/>
              <w:wordWrap/>
              <w:overflowPunct/>
              <w:topLinePunct w:val="0"/>
              <w:bidi w:val="0"/>
              <w:spacing w:before="151" w:line="182"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637" w:type="dxa"/>
            <w:vAlign w:val="top"/>
          </w:tcPr>
          <w:p w14:paraId="270E342D">
            <w:pPr>
              <w:pStyle w:val="28"/>
              <w:pageBreakBefore w:val="0"/>
              <w:wordWrap/>
              <w:overflowPunct/>
              <w:topLinePunct w:val="0"/>
              <w:bidi w:val="0"/>
              <w:spacing w:before="111" w:line="219" w:lineRule="auto"/>
              <w:ind w:left="1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投标人针对本次项目《反商业贿赂承诺书》；</w:t>
            </w:r>
          </w:p>
        </w:tc>
        <w:tc>
          <w:tcPr>
            <w:tcW w:w="581" w:type="dxa"/>
            <w:vAlign w:val="top"/>
          </w:tcPr>
          <w:p w14:paraId="1BDFFC4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8F460E6">
            <w:pPr>
              <w:pageBreakBefore w:val="0"/>
              <w:wordWrap/>
              <w:overflowPunct/>
              <w:topLinePunct w:val="0"/>
              <w:bidi w:val="0"/>
              <w:outlineLvl w:val="9"/>
              <w:rPr>
                <w:rFonts w:hint="eastAsia" w:ascii="仿宋" w:hAnsi="仿宋" w:eastAsia="仿宋" w:cs="仿宋"/>
                <w:color w:val="auto"/>
                <w:sz w:val="24"/>
                <w:szCs w:val="24"/>
                <w:highlight w:val="none"/>
              </w:rPr>
            </w:pPr>
          </w:p>
        </w:tc>
      </w:tr>
      <w:tr w14:paraId="0399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05" w:type="dxa"/>
            <w:tcBorders>
              <w:left w:val="single" w:color="000000" w:sz="10" w:space="0"/>
            </w:tcBorders>
            <w:vAlign w:val="top"/>
          </w:tcPr>
          <w:p w14:paraId="59BFCB03">
            <w:pPr>
              <w:pStyle w:val="28"/>
              <w:pageBreakBefore w:val="0"/>
              <w:wordWrap/>
              <w:overflowPunct/>
              <w:topLinePunct w:val="0"/>
              <w:bidi w:val="0"/>
              <w:spacing w:before="235" w:line="183" w:lineRule="auto"/>
              <w:ind w:left="295"/>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637" w:type="dxa"/>
            <w:vAlign w:val="top"/>
          </w:tcPr>
          <w:p w14:paraId="2DD4961D">
            <w:pPr>
              <w:pStyle w:val="28"/>
              <w:pageBreakBefore w:val="0"/>
              <w:wordWrap/>
              <w:overflowPunct/>
              <w:topLinePunct w:val="0"/>
              <w:bidi w:val="0"/>
              <w:spacing w:before="43" w:line="220" w:lineRule="auto"/>
              <w:ind w:left="107" w:right="95" w:hanging="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参加政府采购活动前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年内在经营活动中没有重大违法记录的书面</w:t>
            </w:r>
            <w:r>
              <w:rPr>
                <w:rFonts w:hint="eastAsia" w:ascii="仿宋" w:hAnsi="仿宋" w:eastAsia="仿宋" w:cs="仿宋"/>
                <w:color w:val="auto"/>
                <w:spacing w:val="-5"/>
                <w:sz w:val="24"/>
                <w:szCs w:val="24"/>
                <w:highlight w:val="none"/>
              </w:rPr>
              <w:t>声明；</w:t>
            </w:r>
          </w:p>
        </w:tc>
        <w:tc>
          <w:tcPr>
            <w:tcW w:w="581" w:type="dxa"/>
            <w:vAlign w:val="top"/>
          </w:tcPr>
          <w:p w14:paraId="70D331D5">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F61AF97">
            <w:pPr>
              <w:pageBreakBefore w:val="0"/>
              <w:wordWrap/>
              <w:overflowPunct/>
              <w:topLinePunct w:val="0"/>
              <w:bidi w:val="0"/>
              <w:outlineLvl w:val="9"/>
              <w:rPr>
                <w:rFonts w:hint="eastAsia" w:ascii="仿宋" w:hAnsi="仿宋" w:eastAsia="仿宋" w:cs="仿宋"/>
                <w:color w:val="auto"/>
                <w:sz w:val="24"/>
                <w:szCs w:val="24"/>
                <w:highlight w:val="none"/>
              </w:rPr>
            </w:pPr>
          </w:p>
        </w:tc>
      </w:tr>
      <w:tr w14:paraId="22E8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05" w:type="dxa"/>
            <w:tcBorders>
              <w:left w:val="single" w:color="000000" w:sz="10" w:space="0"/>
            </w:tcBorders>
            <w:vAlign w:val="top"/>
          </w:tcPr>
          <w:p w14:paraId="11DA5175">
            <w:pPr>
              <w:pStyle w:val="28"/>
              <w:pageBreakBefore w:val="0"/>
              <w:wordWrap/>
              <w:overflowPunct/>
              <w:topLinePunct w:val="0"/>
              <w:bidi w:val="0"/>
              <w:spacing w:before="239" w:line="182" w:lineRule="auto"/>
              <w:ind w:left="299"/>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637" w:type="dxa"/>
            <w:vAlign w:val="top"/>
          </w:tcPr>
          <w:p w14:paraId="6D5B91C4">
            <w:pPr>
              <w:pStyle w:val="28"/>
              <w:pageBreakBefore w:val="0"/>
              <w:wordWrap/>
              <w:overflowPunct/>
              <w:topLinePunct w:val="0"/>
              <w:bidi w:val="0"/>
              <w:spacing w:before="94" w:line="268" w:lineRule="auto"/>
              <w:ind w:left="25" w:right="16" w:firstLine="1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良好的商业信誉和健全的财务会计制度证明材料（会计事务所出具的202</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eastAsia="zh-CN"/>
              </w:rPr>
              <w:t>或</w:t>
            </w:r>
            <w:r>
              <w:rPr>
                <w:rFonts w:hint="eastAsia" w:ascii="仿宋" w:hAnsi="仿宋" w:eastAsia="仿宋" w:cs="仿宋"/>
                <w:color w:val="auto"/>
                <w:spacing w:val="2"/>
                <w:sz w:val="24"/>
                <w:szCs w:val="24"/>
                <w:highlight w:val="none"/>
                <w:lang w:val="en-US" w:eastAsia="zh-CN"/>
              </w:rPr>
              <w:t>2024年</w:t>
            </w:r>
            <w:r>
              <w:rPr>
                <w:rFonts w:hint="eastAsia" w:ascii="仿宋" w:hAnsi="仿宋" w:eastAsia="仿宋" w:cs="仿宋"/>
                <w:color w:val="auto"/>
                <w:spacing w:val="2"/>
                <w:sz w:val="24"/>
                <w:szCs w:val="24"/>
                <w:highlight w:val="none"/>
              </w:rPr>
              <w:t>的年度财务审计报告书；注册成立未满一年新公司</w:t>
            </w:r>
            <w:r>
              <w:rPr>
                <w:rFonts w:hint="eastAsia" w:ascii="仿宋" w:hAnsi="仿宋" w:eastAsia="仿宋" w:cs="仿宋"/>
                <w:color w:val="auto"/>
                <w:spacing w:val="2"/>
                <w:sz w:val="24"/>
                <w:szCs w:val="24"/>
                <w:highlight w:val="none"/>
                <w:lang w:val="en-US" w:eastAsia="zh-CN"/>
              </w:rPr>
              <w:t>需</w:t>
            </w:r>
            <w:r>
              <w:rPr>
                <w:rFonts w:hint="eastAsia" w:ascii="仿宋" w:hAnsi="仿宋" w:eastAsia="仿宋" w:cs="仿宋"/>
                <w:color w:val="auto"/>
                <w:spacing w:val="2"/>
                <w:sz w:val="24"/>
                <w:szCs w:val="24"/>
                <w:highlight w:val="none"/>
              </w:rPr>
              <w:t>提供银行资信证明）</w:t>
            </w:r>
            <w:r>
              <w:rPr>
                <w:rFonts w:hint="eastAsia" w:ascii="仿宋" w:hAnsi="仿宋" w:eastAsia="仿宋" w:cs="仿宋"/>
                <w:color w:val="auto"/>
                <w:spacing w:val="2"/>
                <w:sz w:val="24"/>
                <w:szCs w:val="24"/>
                <w:highlight w:val="none"/>
                <w:lang w:eastAsia="zh-CN"/>
              </w:rPr>
              <w:t>；</w:t>
            </w:r>
          </w:p>
        </w:tc>
        <w:tc>
          <w:tcPr>
            <w:tcW w:w="581" w:type="dxa"/>
            <w:vAlign w:val="top"/>
          </w:tcPr>
          <w:p w14:paraId="7C37805A">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8457AAB">
            <w:pPr>
              <w:pageBreakBefore w:val="0"/>
              <w:wordWrap/>
              <w:overflowPunct/>
              <w:topLinePunct w:val="0"/>
              <w:bidi w:val="0"/>
              <w:outlineLvl w:val="9"/>
              <w:rPr>
                <w:rFonts w:hint="eastAsia" w:ascii="仿宋" w:hAnsi="仿宋" w:eastAsia="仿宋" w:cs="仿宋"/>
                <w:color w:val="auto"/>
                <w:sz w:val="24"/>
                <w:szCs w:val="24"/>
                <w:highlight w:val="none"/>
              </w:rPr>
            </w:pPr>
          </w:p>
        </w:tc>
      </w:tr>
      <w:tr w14:paraId="570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705" w:type="dxa"/>
            <w:tcBorders>
              <w:left w:val="single" w:color="000000" w:sz="10" w:space="0"/>
            </w:tcBorders>
            <w:vAlign w:val="top"/>
          </w:tcPr>
          <w:p w14:paraId="28DB491E">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597A4DCF">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719FE92D">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09D1F517">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678977DB">
            <w:pPr>
              <w:pStyle w:val="28"/>
              <w:pageBreakBefore w:val="0"/>
              <w:wordWrap/>
              <w:overflowPunct/>
              <w:topLinePunct w:val="0"/>
              <w:bidi w:val="0"/>
              <w:spacing w:before="78" w:line="183" w:lineRule="auto"/>
              <w:ind w:left="294"/>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637" w:type="dxa"/>
            <w:vAlign w:val="top"/>
          </w:tcPr>
          <w:p w14:paraId="2973D24E">
            <w:pPr>
              <w:pStyle w:val="2"/>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2"/>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581" w:type="dxa"/>
            <w:vAlign w:val="top"/>
          </w:tcPr>
          <w:p w14:paraId="1C82EEBF">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D3E5C38">
            <w:pPr>
              <w:pageBreakBefore w:val="0"/>
              <w:wordWrap/>
              <w:overflowPunct/>
              <w:topLinePunct w:val="0"/>
              <w:bidi w:val="0"/>
              <w:outlineLvl w:val="9"/>
              <w:rPr>
                <w:rFonts w:hint="eastAsia" w:ascii="仿宋" w:hAnsi="仿宋" w:eastAsia="仿宋" w:cs="仿宋"/>
                <w:color w:val="auto"/>
                <w:sz w:val="24"/>
                <w:szCs w:val="24"/>
                <w:highlight w:val="none"/>
              </w:rPr>
            </w:pPr>
          </w:p>
        </w:tc>
      </w:tr>
      <w:tr w14:paraId="59A1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5" w:type="dxa"/>
            <w:tcBorders>
              <w:left w:val="single" w:color="000000" w:sz="10" w:space="0"/>
            </w:tcBorders>
            <w:vAlign w:val="top"/>
          </w:tcPr>
          <w:p w14:paraId="2BBEE827">
            <w:pPr>
              <w:pageBreakBefore w:val="0"/>
              <w:wordWrap/>
              <w:overflowPunct/>
              <w:topLinePunct w:val="0"/>
              <w:bidi w:val="0"/>
              <w:spacing w:line="295" w:lineRule="auto"/>
              <w:jc w:val="both"/>
              <w:outlineLvl w:val="9"/>
              <w:rPr>
                <w:rFonts w:hint="eastAsia" w:ascii="仿宋" w:hAnsi="仿宋" w:eastAsia="仿宋" w:cs="仿宋"/>
                <w:color w:val="auto"/>
                <w:sz w:val="24"/>
                <w:szCs w:val="24"/>
                <w:highlight w:val="none"/>
              </w:rPr>
            </w:pPr>
          </w:p>
          <w:p w14:paraId="7D40F4E9">
            <w:pPr>
              <w:pStyle w:val="28"/>
              <w:pageBreakBefore w:val="0"/>
              <w:wordWrap/>
              <w:overflowPunct/>
              <w:topLinePunct w:val="0"/>
              <w:bidi w:val="0"/>
              <w:spacing w:before="78" w:line="184" w:lineRule="auto"/>
              <w:ind w:left="251" w:leftChars="0"/>
              <w:jc w:val="both"/>
              <w:outlineLvl w:val="9"/>
              <w:rPr>
                <w:rFonts w:hint="eastAsia" w:ascii="仿宋" w:hAnsi="仿宋" w:eastAsia="仿宋" w:cs="仿宋"/>
                <w:sz w:val="24"/>
                <w:szCs w:val="24"/>
                <w:lang w:val="en-US"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4"/>
                <w:sz w:val="24"/>
                <w:szCs w:val="24"/>
                <w:highlight w:val="none"/>
                <w:lang w:val="en-US" w:eastAsia="zh-CN"/>
              </w:rPr>
              <w:t>0</w:t>
            </w:r>
          </w:p>
        </w:tc>
        <w:tc>
          <w:tcPr>
            <w:tcW w:w="7637" w:type="dxa"/>
            <w:vAlign w:val="top"/>
          </w:tcPr>
          <w:p w14:paraId="71248BA6">
            <w:pPr>
              <w:keepNext w:val="0"/>
              <w:keepLines w:val="0"/>
              <w:pageBreakBefore w:val="0"/>
              <w:widowControl w:val="0"/>
              <w:kinsoku/>
              <w:wordWrap/>
              <w:overflowPunct/>
              <w:topLinePunct w:val="0"/>
              <w:autoSpaceDE/>
              <w:autoSpaceDN/>
              <w:bidi w:val="0"/>
              <w:adjustRightInd/>
              <w:spacing w:line="240" w:lineRule="atLeast"/>
              <w:textAlignment w:val="auto"/>
              <w:outlineLvl w:val="9"/>
              <w:rPr>
                <w:rFonts w:hint="eastAsia" w:ascii="仿宋" w:hAnsi="仿宋" w:eastAsia="仿宋" w:cs="仿宋"/>
                <w:snapToGrid w:val="0"/>
                <w:color w:val="auto"/>
                <w:spacing w:val="-5"/>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投标单位按磋商文件要求提供缴纳磋商保证金的</w:t>
            </w:r>
            <w:r>
              <w:rPr>
                <w:rFonts w:hint="eastAsia" w:ascii="仿宋" w:hAnsi="仿宋" w:eastAsia="仿宋" w:cs="仿宋"/>
                <w:snapToGrid w:val="0"/>
                <w:color w:val="auto"/>
                <w:spacing w:val="-5"/>
                <w:kern w:val="0"/>
                <w:sz w:val="24"/>
                <w:szCs w:val="24"/>
                <w:highlight w:val="none"/>
                <w:lang w:val="en-US" w:eastAsia="zh-CN" w:bidi="ar-SA"/>
              </w:rPr>
              <w:t>缴款凭证或金融机构、担保机构出具的保函；</w:t>
            </w:r>
          </w:p>
        </w:tc>
        <w:tc>
          <w:tcPr>
            <w:tcW w:w="581" w:type="dxa"/>
            <w:tcBorders>
              <w:right w:val="single" w:color="000000" w:sz="2" w:space="0"/>
            </w:tcBorders>
            <w:vAlign w:val="top"/>
          </w:tcPr>
          <w:p w14:paraId="015BE32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left w:val="single" w:color="000000" w:sz="2" w:space="0"/>
              <w:right w:val="single" w:color="000000" w:sz="10" w:space="0"/>
            </w:tcBorders>
            <w:vAlign w:val="top"/>
          </w:tcPr>
          <w:p w14:paraId="00368B9B">
            <w:pPr>
              <w:pageBreakBefore w:val="0"/>
              <w:wordWrap/>
              <w:overflowPunct/>
              <w:topLinePunct w:val="0"/>
              <w:bidi w:val="0"/>
              <w:outlineLvl w:val="9"/>
              <w:rPr>
                <w:rFonts w:hint="eastAsia" w:ascii="仿宋" w:hAnsi="仿宋" w:eastAsia="仿宋" w:cs="仿宋"/>
                <w:color w:val="auto"/>
                <w:sz w:val="24"/>
                <w:szCs w:val="24"/>
                <w:highlight w:val="none"/>
              </w:rPr>
            </w:pPr>
          </w:p>
        </w:tc>
      </w:tr>
      <w:tr w14:paraId="6940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05" w:type="dxa"/>
            <w:tcBorders>
              <w:left w:val="single" w:color="000000" w:sz="10" w:space="0"/>
            </w:tcBorders>
            <w:vAlign w:val="top"/>
          </w:tcPr>
          <w:p w14:paraId="02B73CA6">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637" w:type="dxa"/>
            <w:tcBorders>
              <w:left w:val="single" w:color="000000" w:sz="10" w:space="0"/>
            </w:tcBorders>
            <w:vAlign w:val="top"/>
          </w:tcPr>
          <w:p w14:paraId="4CF87B27">
            <w:pPr>
              <w:pStyle w:val="28"/>
              <w:pageBreakBefore w:val="0"/>
              <w:wordWrap/>
              <w:overflowPunct/>
              <w:topLinePunct w:val="0"/>
              <w:bidi w:val="0"/>
              <w:spacing w:before="168" w:line="220" w:lineRule="auto"/>
              <w:ind w:left="112"/>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5"/>
                <w:kern w:val="0"/>
                <w:sz w:val="24"/>
                <w:szCs w:val="24"/>
                <w:highlight w:val="none"/>
                <w:lang w:val="en-US" w:eastAsia="zh-CN" w:bidi="ar-SA"/>
              </w:rPr>
              <w:t>供应商为中小企业</w:t>
            </w:r>
          </w:p>
        </w:tc>
        <w:tc>
          <w:tcPr>
            <w:tcW w:w="581" w:type="dxa"/>
            <w:vAlign w:val="top"/>
          </w:tcPr>
          <w:p w14:paraId="636D450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B850B6B">
            <w:pPr>
              <w:pageBreakBefore w:val="0"/>
              <w:wordWrap/>
              <w:overflowPunct/>
              <w:topLinePunct w:val="0"/>
              <w:bidi w:val="0"/>
              <w:outlineLvl w:val="9"/>
              <w:rPr>
                <w:rFonts w:hint="eastAsia" w:ascii="仿宋" w:hAnsi="仿宋" w:eastAsia="仿宋" w:cs="仿宋"/>
                <w:color w:val="auto"/>
                <w:sz w:val="24"/>
                <w:szCs w:val="24"/>
                <w:highlight w:val="none"/>
              </w:rPr>
            </w:pPr>
          </w:p>
        </w:tc>
      </w:tr>
      <w:tr w14:paraId="3BF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538E9608">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637" w:type="dxa"/>
            <w:tcBorders>
              <w:left w:val="single" w:color="000000" w:sz="10" w:space="0"/>
            </w:tcBorders>
            <w:vAlign w:val="top"/>
          </w:tcPr>
          <w:p w14:paraId="4598F215">
            <w:pPr>
              <w:pStyle w:val="28"/>
              <w:pageBreakBefore w:val="0"/>
              <w:wordWrap/>
              <w:overflowPunct/>
              <w:topLinePunct w:val="0"/>
              <w:bidi w:val="0"/>
              <w:spacing w:before="168" w:line="220"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本项目不接受联合体投标。</w:t>
            </w:r>
          </w:p>
        </w:tc>
        <w:tc>
          <w:tcPr>
            <w:tcW w:w="581" w:type="dxa"/>
            <w:vAlign w:val="top"/>
          </w:tcPr>
          <w:p w14:paraId="4EFA28F1">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c>
          <w:tcPr>
            <w:tcW w:w="790" w:type="dxa"/>
            <w:tcBorders>
              <w:right w:val="single" w:color="000000" w:sz="10" w:space="0"/>
            </w:tcBorders>
            <w:vAlign w:val="top"/>
          </w:tcPr>
          <w:p w14:paraId="2B3F428E">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r>
      <w:tr w14:paraId="1E5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42" w:type="dxa"/>
            <w:gridSpan w:val="2"/>
            <w:tcBorders>
              <w:left w:val="single" w:color="000000" w:sz="10" w:space="0"/>
              <w:bottom w:val="single" w:color="000000" w:sz="10" w:space="0"/>
            </w:tcBorders>
            <w:vAlign w:val="top"/>
          </w:tcPr>
          <w:p w14:paraId="1E0B886E">
            <w:pPr>
              <w:pStyle w:val="28"/>
              <w:pageBreakBefore w:val="0"/>
              <w:wordWrap/>
              <w:overflowPunct/>
              <w:topLinePunct w:val="0"/>
              <w:bidi w:val="0"/>
              <w:spacing w:before="168" w:line="220" w:lineRule="auto"/>
              <w:ind w:left="112" w:leftChars="0"/>
              <w:jc w:val="both"/>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2"/>
                <w:sz w:val="24"/>
                <w:szCs w:val="24"/>
                <w:highlight w:val="none"/>
              </w:rPr>
              <w:t>结论：是否通过评审</w:t>
            </w:r>
          </w:p>
        </w:tc>
        <w:tc>
          <w:tcPr>
            <w:tcW w:w="581" w:type="dxa"/>
            <w:tcBorders>
              <w:bottom w:val="single" w:color="000000" w:sz="10" w:space="0"/>
            </w:tcBorders>
            <w:vAlign w:val="top"/>
          </w:tcPr>
          <w:p w14:paraId="067AE951">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c>
          <w:tcPr>
            <w:tcW w:w="790" w:type="dxa"/>
            <w:tcBorders>
              <w:bottom w:val="single" w:color="000000" w:sz="10" w:space="0"/>
              <w:right w:val="single" w:color="000000" w:sz="10" w:space="0"/>
            </w:tcBorders>
            <w:vAlign w:val="top"/>
          </w:tcPr>
          <w:p w14:paraId="104B4409">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r>
    </w:tbl>
    <w:p w14:paraId="3E6AE4F4">
      <w:pPr>
        <w:pageBreakBefore w:val="0"/>
        <w:wordWrap/>
        <w:overflowPunct/>
        <w:topLinePunct w:val="0"/>
        <w:bidi w:val="0"/>
        <w:spacing w:line="266" w:lineRule="auto"/>
        <w:outlineLvl w:val="9"/>
        <w:rPr>
          <w:rFonts w:hint="eastAsia" w:ascii="仿宋" w:hAnsi="仿宋" w:eastAsia="仿宋" w:cs="仿宋"/>
          <w:color w:val="auto"/>
          <w:sz w:val="24"/>
          <w:szCs w:val="24"/>
          <w:highlight w:val="none"/>
        </w:rPr>
      </w:pPr>
    </w:p>
    <w:p w14:paraId="345A14BB">
      <w:pPr>
        <w:pStyle w:val="2"/>
        <w:pageBreakBefore w:val="0"/>
        <w:wordWrap/>
        <w:overflowPunct/>
        <w:topLinePunct w:val="0"/>
        <w:bidi w:val="0"/>
        <w:spacing w:line="360" w:lineRule="auto"/>
        <w:ind w:left="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4.1.2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符合性检查</w:t>
      </w:r>
    </w:p>
    <w:p w14:paraId="12AFB8AC">
      <w:pPr>
        <w:pStyle w:val="2"/>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"4.1.2.1"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rPr>
        <w:t>4.1.2.1</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依据磋商文件的规定，从响应文件的响应程度进行审查，以确定是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否对磋商文件的实质性要求作出响应。评标委员会评标响应文件</w:t>
      </w:r>
      <w:r>
        <w:rPr>
          <w:rFonts w:hint="eastAsia" w:ascii="仿宋" w:hAnsi="仿宋" w:eastAsia="仿宋" w:cs="仿宋"/>
          <w:color w:val="auto"/>
          <w:spacing w:val="-4"/>
          <w:sz w:val="24"/>
          <w:szCs w:val="24"/>
          <w:highlight w:val="none"/>
        </w:rPr>
        <w:t>的响应性只根据</w:t>
      </w:r>
    </w:p>
    <w:p w14:paraId="4F412C78">
      <w:pPr>
        <w:pStyle w:val="2"/>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响应文件真实无误的内容，而不依据外部的证据，但</w:t>
      </w:r>
      <w:r>
        <w:rPr>
          <w:rFonts w:hint="eastAsia" w:ascii="仿宋" w:hAnsi="仿宋" w:eastAsia="仿宋" w:cs="仿宋"/>
          <w:color w:val="auto"/>
          <w:spacing w:val="-4"/>
          <w:sz w:val="24"/>
          <w:szCs w:val="24"/>
          <w:highlight w:val="none"/>
        </w:rPr>
        <w:t>响应文件有不真实、不正确</w:t>
      </w:r>
      <w:r>
        <w:rPr>
          <w:rFonts w:hint="eastAsia" w:ascii="仿宋" w:hAnsi="仿宋" w:eastAsia="仿宋" w:cs="仿宋"/>
          <w:color w:val="auto"/>
          <w:spacing w:val="-5"/>
          <w:sz w:val="24"/>
          <w:szCs w:val="24"/>
          <w:highlight w:val="none"/>
        </w:rPr>
        <w:t>的内容时除外。</w:t>
      </w:r>
    </w:p>
    <w:p w14:paraId="00C45122">
      <w:pPr>
        <w:pStyle w:val="2"/>
        <w:pageBreakBefore w:val="0"/>
        <w:wordWrap/>
        <w:overflowPunct/>
        <w:topLinePunct w:val="0"/>
        <w:bidi w:val="0"/>
        <w:spacing w:line="360" w:lineRule="auto"/>
        <w:ind w:left="0" w:right="0" w:firstLine="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fldChar w:fldCharType="begin"/>
      </w:r>
      <w:r>
        <w:rPr>
          <w:rFonts w:hint="eastAsia" w:ascii="仿宋" w:hAnsi="仿宋" w:eastAsia="仿宋" w:cs="仿宋"/>
          <w:color w:val="auto"/>
          <w:spacing w:val="-3"/>
          <w:sz w:val="24"/>
          <w:szCs w:val="24"/>
          <w:highlight w:val="none"/>
        </w:rPr>
        <w:instrText xml:space="preserve"> HYPERLINK "4.1.2.2" </w:instrText>
      </w:r>
      <w:r>
        <w:rPr>
          <w:rFonts w:hint="eastAsia" w:ascii="仿宋" w:hAnsi="仿宋" w:eastAsia="仿宋" w:cs="仿宋"/>
          <w:color w:val="auto"/>
          <w:spacing w:val="-3"/>
          <w:sz w:val="24"/>
          <w:szCs w:val="24"/>
          <w:highlight w:val="none"/>
        </w:rPr>
        <w:fldChar w:fldCharType="separate"/>
      </w:r>
      <w:r>
        <w:rPr>
          <w:rFonts w:hint="eastAsia" w:ascii="仿宋" w:hAnsi="仿宋" w:eastAsia="仿宋" w:cs="仿宋"/>
          <w:color w:val="auto"/>
          <w:spacing w:val="-3"/>
          <w:sz w:val="24"/>
          <w:szCs w:val="24"/>
          <w:highlight w:val="none"/>
        </w:rPr>
        <w:t>4.1.2.2</w:t>
      </w:r>
      <w:r>
        <w:rPr>
          <w:rFonts w:hint="eastAsia" w:ascii="仿宋" w:hAnsi="仿宋" w:eastAsia="仿宋" w:cs="仿宋"/>
          <w:color w:val="auto"/>
          <w:spacing w:val="-3"/>
          <w:sz w:val="24"/>
          <w:szCs w:val="24"/>
          <w:highlight w:val="none"/>
        </w:rPr>
        <w:fldChar w:fldCharType="end"/>
      </w:r>
      <w:r>
        <w:rPr>
          <w:rFonts w:hint="eastAsia" w:ascii="仿宋" w:hAnsi="仿宋" w:eastAsia="仿宋" w:cs="仿宋"/>
          <w:color w:val="auto"/>
          <w:spacing w:val="-3"/>
          <w:sz w:val="24"/>
          <w:szCs w:val="24"/>
          <w:highlight w:val="none"/>
        </w:rPr>
        <w:t xml:space="preserve"> 投标人不得通过修正或撤销不符合要求的偏离从而使其投标成为实质上响应的投标。</w:t>
      </w:r>
    </w:p>
    <w:p w14:paraId="67A94756">
      <w:pPr>
        <w:pageBreakBefore w:val="0"/>
        <w:wordWrap/>
        <w:overflowPunct/>
        <w:topLinePunct w:val="0"/>
        <w:bidi w:val="0"/>
        <w:spacing w:line="261" w:lineRule="auto"/>
        <w:outlineLvl w:val="9"/>
        <w:rPr>
          <w:rFonts w:hint="eastAsia" w:ascii="仿宋" w:hAnsi="仿宋" w:eastAsia="仿宋" w:cs="仿宋"/>
          <w:color w:val="auto"/>
          <w:sz w:val="24"/>
          <w:szCs w:val="24"/>
          <w:highlight w:val="none"/>
        </w:rPr>
      </w:pPr>
    </w:p>
    <w:p w14:paraId="31EDF3EE">
      <w:pPr>
        <w:pStyle w:val="2"/>
        <w:pageBreakBefore w:val="0"/>
        <w:wordWrap/>
        <w:overflowPunct/>
        <w:topLinePunct w:val="0"/>
        <w:bidi w:val="0"/>
        <w:spacing w:before="78" w:line="219" w:lineRule="auto"/>
        <w:ind w:left="356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4"/>
          <w:sz w:val="32"/>
          <w:szCs w:val="32"/>
          <w:highlight w:val="none"/>
        </w:rPr>
        <w:t>符合性检查表</w:t>
      </w:r>
    </w:p>
    <w:p w14:paraId="38E9629A">
      <w:pPr>
        <w:pageBreakBefore w:val="0"/>
        <w:wordWrap/>
        <w:overflowPunct/>
        <w:topLinePunct w:val="0"/>
        <w:bidi w:val="0"/>
        <w:spacing w:before="43"/>
        <w:outlineLvl w:val="9"/>
        <w:rPr>
          <w:rFonts w:hint="eastAsia" w:ascii="仿宋" w:hAnsi="仿宋" w:eastAsia="仿宋" w:cs="仿宋"/>
          <w:color w:val="auto"/>
          <w:sz w:val="24"/>
          <w:szCs w:val="24"/>
          <w:highlight w:val="none"/>
        </w:rPr>
      </w:pPr>
    </w:p>
    <w:tbl>
      <w:tblPr>
        <w:tblStyle w:val="26"/>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03"/>
        <w:gridCol w:w="4738"/>
        <w:gridCol w:w="1015"/>
        <w:gridCol w:w="1146"/>
      </w:tblGrid>
      <w:tr w14:paraId="13DC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21" w:type="dxa"/>
            <w:vMerge w:val="restart"/>
            <w:tcBorders>
              <w:top w:val="single" w:color="000000" w:sz="10" w:space="0"/>
              <w:left w:val="single" w:color="000000" w:sz="10" w:space="0"/>
              <w:bottom w:val="nil"/>
            </w:tcBorders>
            <w:vAlign w:val="top"/>
          </w:tcPr>
          <w:p w14:paraId="3C261997">
            <w:pPr>
              <w:pageBreakBefore w:val="0"/>
              <w:wordWrap/>
              <w:overflowPunct/>
              <w:topLinePunct w:val="0"/>
              <w:bidi w:val="0"/>
              <w:spacing w:line="277" w:lineRule="auto"/>
              <w:outlineLvl w:val="9"/>
              <w:rPr>
                <w:rFonts w:hint="eastAsia" w:ascii="仿宋" w:hAnsi="仿宋" w:eastAsia="仿宋" w:cs="仿宋"/>
                <w:color w:val="auto"/>
                <w:sz w:val="24"/>
                <w:szCs w:val="24"/>
                <w:highlight w:val="none"/>
              </w:rPr>
            </w:pPr>
          </w:p>
          <w:p w14:paraId="33F40CE4">
            <w:pPr>
              <w:pStyle w:val="28"/>
              <w:pageBreakBefore w:val="0"/>
              <w:wordWrap/>
              <w:overflowPunct/>
              <w:topLinePunct w:val="0"/>
              <w:bidi w:val="0"/>
              <w:spacing w:before="79" w:line="220" w:lineRule="auto"/>
              <w:ind w:left="16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项目</w:t>
            </w:r>
          </w:p>
        </w:tc>
        <w:tc>
          <w:tcPr>
            <w:tcW w:w="5541" w:type="dxa"/>
            <w:gridSpan w:val="2"/>
            <w:vMerge w:val="restart"/>
            <w:tcBorders>
              <w:top w:val="single" w:color="000000" w:sz="10" w:space="0"/>
              <w:bottom w:val="nil"/>
            </w:tcBorders>
            <w:vAlign w:val="top"/>
          </w:tcPr>
          <w:p w14:paraId="38870770">
            <w:pPr>
              <w:pageBreakBefore w:val="0"/>
              <w:wordWrap/>
              <w:overflowPunct/>
              <w:topLinePunct w:val="0"/>
              <w:bidi w:val="0"/>
              <w:spacing w:line="278" w:lineRule="auto"/>
              <w:outlineLvl w:val="9"/>
              <w:rPr>
                <w:rFonts w:hint="eastAsia" w:ascii="仿宋" w:hAnsi="仿宋" w:eastAsia="仿宋" w:cs="仿宋"/>
                <w:color w:val="auto"/>
                <w:sz w:val="24"/>
                <w:szCs w:val="24"/>
                <w:highlight w:val="none"/>
              </w:rPr>
            </w:pPr>
          </w:p>
          <w:p w14:paraId="7853D828">
            <w:pPr>
              <w:pStyle w:val="28"/>
              <w:pageBreakBefore w:val="0"/>
              <w:wordWrap/>
              <w:overflowPunct/>
              <w:topLinePunct w:val="0"/>
              <w:bidi w:val="0"/>
              <w:spacing w:before="78" w:line="219" w:lineRule="auto"/>
              <w:ind w:left="228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2161" w:type="dxa"/>
            <w:gridSpan w:val="2"/>
            <w:tcBorders>
              <w:top w:val="single" w:color="000000" w:sz="10" w:space="0"/>
              <w:right w:val="single" w:color="000000" w:sz="10" w:space="0"/>
            </w:tcBorders>
            <w:vAlign w:val="top"/>
          </w:tcPr>
          <w:p w14:paraId="1D6DC761">
            <w:pPr>
              <w:pStyle w:val="28"/>
              <w:pageBreakBefore w:val="0"/>
              <w:wordWrap/>
              <w:overflowPunct/>
              <w:topLinePunct w:val="0"/>
              <w:bidi w:val="0"/>
              <w:spacing w:before="40"/>
              <w:ind w:left="84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1A86B6CE">
            <w:pPr>
              <w:pStyle w:val="28"/>
              <w:pageBreakBefore w:val="0"/>
              <w:wordWrap/>
              <w:overflowPunct/>
              <w:topLinePunct w:val="0"/>
              <w:bidi w:val="0"/>
              <w:spacing w:before="1" w:line="207" w:lineRule="auto"/>
              <w:ind w:left="853"/>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132E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21" w:type="dxa"/>
            <w:vMerge w:val="continue"/>
            <w:tcBorders>
              <w:top w:val="nil"/>
              <w:left w:val="single" w:color="000000" w:sz="10" w:space="0"/>
              <w:bottom w:val="single" w:color="000000" w:sz="2" w:space="0"/>
            </w:tcBorders>
            <w:vAlign w:val="top"/>
          </w:tcPr>
          <w:p w14:paraId="7505312F">
            <w:pPr>
              <w:pageBreakBefore w:val="0"/>
              <w:wordWrap/>
              <w:overflowPunct/>
              <w:topLinePunct w:val="0"/>
              <w:bidi w:val="0"/>
              <w:outlineLvl w:val="9"/>
              <w:rPr>
                <w:rFonts w:hint="eastAsia" w:ascii="仿宋" w:hAnsi="仿宋" w:eastAsia="仿宋" w:cs="仿宋"/>
                <w:color w:val="auto"/>
                <w:sz w:val="24"/>
                <w:szCs w:val="24"/>
                <w:highlight w:val="none"/>
              </w:rPr>
            </w:pPr>
          </w:p>
        </w:tc>
        <w:tc>
          <w:tcPr>
            <w:tcW w:w="5541" w:type="dxa"/>
            <w:gridSpan w:val="2"/>
            <w:vMerge w:val="continue"/>
            <w:tcBorders>
              <w:top w:val="nil"/>
            </w:tcBorders>
            <w:vAlign w:val="top"/>
          </w:tcPr>
          <w:p w14:paraId="0BA49385">
            <w:pPr>
              <w:pageBreakBefore w:val="0"/>
              <w:wordWrap/>
              <w:overflowPunct/>
              <w:topLinePunct w:val="0"/>
              <w:bidi w:val="0"/>
              <w:outlineLvl w:val="9"/>
              <w:rPr>
                <w:rFonts w:hint="eastAsia" w:ascii="仿宋" w:hAnsi="仿宋" w:eastAsia="仿宋" w:cs="仿宋"/>
                <w:color w:val="auto"/>
                <w:sz w:val="24"/>
                <w:szCs w:val="24"/>
                <w:highlight w:val="none"/>
              </w:rPr>
            </w:pPr>
          </w:p>
        </w:tc>
        <w:tc>
          <w:tcPr>
            <w:tcW w:w="1015" w:type="dxa"/>
            <w:vAlign w:val="top"/>
          </w:tcPr>
          <w:p w14:paraId="0269543E">
            <w:pPr>
              <w:pStyle w:val="28"/>
              <w:pageBreakBefore w:val="0"/>
              <w:wordWrap/>
              <w:overflowPunct/>
              <w:topLinePunct w:val="0"/>
              <w:bidi w:val="0"/>
              <w:spacing w:before="33" w:line="207" w:lineRule="auto"/>
              <w:ind w:left="404"/>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1146" w:type="dxa"/>
            <w:tcBorders>
              <w:right w:val="single" w:color="000000" w:sz="10" w:space="0"/>
            </w:tcBorders>
            <w:vAlign w:val="top"/>
          </w:tcPr>
          <w:p w14:paraId="0A729C77">
            <w:pPr>
              <w:pStyle w:val="28"/>
              <w:pageBreakBefore w:val="0"/>
              <w:wordWrap/>
              <w:overflowPunct/>
              <w:topLinePunct w:val="0"/>
              <w:bidi w:val="0"/>
              <w:spacing w:before="33" w:line="207" w:lineRule="auto"/>
              <w:ind w:left="46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5D6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restart"/>
            <w:tcBorders>
              <w:top w:val="single" w:color="000000" w:sz="2" w:space="0"/>
              <w:left w:val="single" w:color="000000" w:sz="10" w:space="0"/>
            </w:tcBorders>
            <w:textDirection w:val="tbRlV"/>
            <w:vAlign w:val="top"/>
          </w:tcPr>
          <w:p w14:paraId="41219C69">
            <w:pPr>
              <w:pStyle w:val="28"/>
              <w:pageBreakBefore w:val="0"/>
              <w:wordWrap/>
              <w:overflowPunct/>
              <w:topLinePunct w:val="0"/>
              <w:bidi w:val="0"/>
              <w:spacing w:before="290" w:line="20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2"/>
                <w:sz w:val="24"/>
                <w:szCs w:val="24"/>
                <w:highlight w:val="none"/>
              </w:rPr>
              <w:t>审查标准</w:t>
            </w:r>
          </w:p>
        </w:tc>
        <w:tc>
          <w:tcPr>
            <w:tcW w:w="803" w:type="dxa"/>
            <w:tcBorders>
              <w:top w:val="single" w:color="000000" w:sz="2" w:space="0"/>
              <w:right w:val="single" w:color="000000" w:sz="2" w:space="0"/>
            </w:tcBorders>
            <w:vAlign w:val="center"/>
          </w:tcPr>
          <w:p w14:paraId="1F91B9E5">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738" w:type="dxa"/>
            <w:tcBorders>
              <w:left w:val="single" w:color="000000" w:sz="2" w:space="0"/>
              <w:right w:val="single" w:color="000000" w:sz="2" w:space="0"/>
            </w:tcBorders>
            <w:vAlign w:val="top"/>
          </w:tcPr>
          <w:p w14:paraId="3442DDC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填写《投标函》；</w:t>
            </w:r>
          </w:p>
        </w:tc>
        <w:tc>
          <w:tcPr>
            <w:tcW w:w="1015" w:type="dxa"/>
            <w:tcBorders>
              <w:left w:val="single" w:color="000000" w:sz="2" w:space="0"/>
              <w:right w:val="single" w:color="000000" w:sz="2" w:space="0"/>
            </w:tcBorders>
            <w:vAlign w:val="top"/>
          </w:tcPr>
          <w:p w14:paraId="21C934E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03FB8784">
            <w:pPr>
              <w:pageBreakBefore w:val="0"/>
              <w:wordWrap/>
              <w:overflowPunct/>
              <w:topLinePunct w:val="0"/>
              <w:bidi w:val="0"/>
              <w:outlineLvl w:val="9"/>
              <w:rPr>
                <w:rFonts w:hint="eastAsia" w:ascii="仿宋" w:hAnsi="仿宋" w:eastAsia="仿宋" w:cs="仿宋"/>
                <w:color w:val="auto"/>
                <w:sz w:val="24"/>
                <w:szCs w:val="24"/>
                <w:highlight w:val="none"/>
              </w:rPr>
            </w:pPr>
          </w:p>
        </w:tc>
      </w:tr>
      <w:tr w14:paraId="3546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BA89E2C">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004C5105">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738" w:type="dxa"/>
            <w:tcBorders>
              <w:left w:val="single" w:color="000000" w:sz="2" w:space="0"/>
              <w:right w:val="single" w:color="000000" w:sz="2" w:space="0"/>
            </w:tcBorders>
            <w:vAlign w:val="top"/>
          </w:tcPr>
          <w:p w14:paraId="5717FCAD">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所提供的《政府采购投标及履约承诺函》</w:t>
            </w:r>
            <w:r>
              <w:rPr>
                <w:rFonts w:hint="eastAsia" w:ascii="仿宋" w:hAnsi="仿宋" w:eastAsia="仿宋" w:cs="仿宋"/>
                <w:color w:val="auto"/>
                <w:sz w:val="24"/>
                <w:szCs w:val="24"/>
                <w:highlight w:val="none"/>
                <w:lang w:val="en-US" w:eastAsia="zh-CN"/>
              </w:rPr>
              <w:t>格式及要求</w:t>
            </w:r>
            <w:r>
              <w:rPr>
                <w:rFonts w:hint="eastAsia" w:ascii="仿宋" w:hAnsi="仿宋" w:eastAsia="仿宋" w:cs="仿宋"/>
                <w:color w:val="auto"/>
                <w:sz w:val="24"/>
                <w:szCs w:val="24"/>
                <w:highlight w:val="none"/>
              </w:rPr>
              <w:t>进行承诺</w:t>
            </w:r>
            <w:r>
              <w:rPr>
                <w:rFonts w:hint="eastAsia" w:ascii="仿宋" w:hAnsi="仿宋" w:eastAsia="仿宋" w:cs="仿宋"/>
                <w:color w:val="auto"/>
                <w:sz w:val="24"/>
                <w:szCs w:val="24"/>
                <w:highlight w:val="none"/>
                <w:lang w:eastAsia="zh-CN"/>
              </w:rPr>
              <w:t>；</w:t>
            </w:r>
          </w:p>
        </w:tc>
        <w:tc>
          <w:tcPr>
            <w:tcW w:w="1015" w:type="dxa"/>
            <w:tcBorders>
              <w:left w:val="single" w:color="000000" w:sz="2" w:space="0"/>
              <w:right w:val="single" w:color="000000" w:sz="2" w:space="0"/>
            </w:tcBorders>
            <w:vAlign w:val="top"/>
          </w:tcPr>
          <w:p w14:paraId="0E226A2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2631929D">
            <w:pPr>
              <w:pageBreakBefore w:val="0"/>
              <w:wordWrap/>
              <w:overflowPunct/>
              <w:topLinePunct w:val="0"/>
              <w:bidi w:val="0"/>
              <w:outlineLvl w:val="9"/>
              <w:rPr>
                <w:rFonts w:hint="eastAsia" w:ascii="仿宋" w:hAnsi="仿宋" w:eastAsia="仿宋" w:cs="仿宋"/>
                <w:color w:val="auto"/>
                <w:sz w:val="24"/>
                <w:szCs w:val="24"/>
                <w:highlight w:val="none"/>
              </w:rPr>
            </w:pPr>
          </w:p>
        </w:tc>
      </w:tr>
      <w:tr w14:paraId="532B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1E6421E9">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42F5772F">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38" w:type="dxa"/>
            <w:tcBorders>
              <w:left w:val="single" w:color="000000" w:sz="2" w:space="0"/>
              <w:right w:val="single" w:color="000000" w:sz="2" w:space="0"/>
            </w:tcBorders>
            <w:vAlign w:val="top"/>
          </w:tcPr>
          <w:p w14:paraId="4D3D853F">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单位工程质量责任承诺书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格式及要求进行承诺；</w:t>
            </w:r>
          </w:p>
        </w:tc>
        <w:tc>
          <w:tcPr>
            <w:tcW w:w="1015" w:type="dxa"/>
            <w:tcBorders>
              <w:left w:val="single" w:color="000000" w:sz="2" w:space="0"/>
              <w:right w:val="single" w:color="000000" w:sz="2" w:space="0"/>
            </w:tcBorders>
            <w:vAlign w:val="top"/>
          </w:tcPr>
          <w:p w14:paraId="532B602A">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2EDB1F52">
            <w:pPr>
              <w:pageBreakBefore w:val="0"/>
              <w:wordWrap/>
              <w:overflowPunct/>
              <w:topLinePunct w:val="0"/>
              <w:bidi w:val="0"/>
              <w:outlineLvl w:val="9"/>
              <w:rPr>
                <w:rFonts w:hint="eastAsia" w:ascii="仿宋" w:hAnsi="仿宋" w:eastAsia="仿宋" w:cs="仿宋"/>
                <w:color w:val="auto"/>
                <w:sz w:val="24"/>
                <w:szCs w:val="24"/>
                <w:highlight w:val="none"/>
              </w:rPr>
            </w:pPr>
          </w:p>
        </w:tc>
      </w:tr>
      <w:tr w14:paraId="72A4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5078CD8">
            <w:pPr>
              <w:pStyle w:val="28"/>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803" w:type="dxa"/>
            <w:tcBorders>
              <w:top w:val="single" w:color="000000" w:sz="2" w:space="0"/>
              <w:right w:val="single" w:color="000000" w:sz="2" w:space="0"/>
            </w:tcBorders>
            <w:vAlign w:val="center"/>
          </w:tcPr>
          <w:p w14:paraId="559CA037">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38" w:type="dxa"/>
            <w:tcBorders>
              <w:left w:val="single" w:color="000000" w:sz="2" w:space="0"/>
              <w:right w:val="single" w:color="000000" w:sz="2" w:space="0"/>
            </w:tcBorders>
            <w:vAlign w:val="top"/>
          </w:tcPr>
          <w:p w14:paraId="3D6D949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单位工程安全生产承诺书（法定代表人）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样式及要求进行承诺；</w:t>
            </w:r>
          </w:p>
        </w:tc>
        <w:tc>
          <w:tcPr>
            <w:tcW w:w="1015" w:type="dxa"/>
            <w:tcBorders>
              <w:left w:val="single" w:color="000000" w:sz="2" w:space="0"/>
              <w:right w:val="single" w:color="000000" w:sz="2" w:space="0"/>
            </w:tcBorders>
            <w:vAlign w:val="top"/>
          </w:tcPr>
          <w:p w14:paraId="4EA10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4DEEA649">
            <w:pPr>
              <w:pageBreakBefore w:val="0"/>
              <w:wordWrap/>
              <w:overflowPunct/>
              <w:topLinePunct w:val="0"/>
              <w:bidi w:val="0"/>
              <w:outlineLvl w:val="9"/>
              <w:rPr>
                <w:rFonts w:hint="eastAsia" w:ascii="仿宋" w:hAnsi="仿宋" w:eastAsia="仿宋" w:cs="仿宋"/>
                <w:color w:val="auto"/>
                <w:sz w:val="24"/>
                <w:szCs w:val="24"/>
                <w:highlight w:val="none"/>
              </w:rPr>
            </w:pPr>
          </w:p>
        </w:tc>
      </w:tr>
      <w:tr w14:paraId="5C20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41D39A8C">
            <w:pPr>
              <w:pStyle w:val="28"/>
              <w:pageBreakBefore w:val="0"/>
              <w:wordWrap/>
              <w:overflowPunct/>
              <w:topLinePunct w:val="0"/>
              <w:bidi w:val="0"/>
              <w:spacing w:before="290" w:line="208" w:lineRule="auto"/>
              <w:ind w:left="2828"/>
              <w:outlineLvl w:val="9"/>
              <w:rPr>
                <w:rFonts w:hint="eastAsia" w:ascii="仿宋" w:hAnsi="仿宋" w:eastAsia="仿宋" w:cs="仿宋"/>
                <w:color w:val="auto"/>
                <w:sz w:val="24"/>
                <w:szCs w:val="24"/>
                <w:highlight w:val="none"/>
              </w:rPr>
            </w:pPr>
          </w:p>
        </w:tc>
        <w:tc>
          <w:tcPr>
            <w:tcW w:w="803" w:type="dxa"/>
            <w:tcBorders>
              <w:top w:val="single" w:color="000000" w:sz="2" w:space="0"/>
              <w:right w:val="single" w:color="000000" w:sz="2" w:space="0"/>
            </w:tcBorders>
            <w:vAlign w:val="center"/>
          </w:tcPr>
          <w:p w14:paraId="63266C46">
            <w:pPr>
              <w:pStyle w:val="28"/>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38" w:type="dxa"/>
            <w:tcBorders>
              <w:left w:val="single" w:color="000000" w:sz="2" w:space="0"/>
              <w:right w:val="single" w:color="000000" w:sz="2" w:space="0"/>
            </w:tcBorders>
            <w:vAlign w:val="top"/>
          </w:tcPr>
          <w:p w14:paraId="1671A7F3">
            <w:pPr>
              <w:pStyle w:val="28"/>
              <w:pageBreakBefore w:val="0"/>
              <w:wordWrap/>
              <w:overflowPunct/>
              <w:topLinePunct w:val="0"/>
              <w:bidi w:val="0"/>
              <w:spacing w:before="37" w:line="218"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投标报价高于预算金额；</w:t>
            </w:r>
          </w:p>
        </w:tc>
        <w:tc>
          <w:tcPr>
            <w:tcW w:w="1015" w:type="dxa"/>
            <w:tcBorders>
              <w:left w:val="single" w:color="000000" w:sz="2" w:space="0"/>
              <w:right w:val="single" w:color="000000" w:sz="2" w:space="0"/>
            </w:tcBorders>
            <w:vAlign w:val="top"/>
          </w:tcPr>
          <w:p w14:paraId="21CF0DA0">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05B8BA29">
            <w:pPr>
              <w:pageBreakBefore w:val="0"/>
              <w:wordWrap/>
              <w:overflowPunct/>
              <w:topLinePunct w:val="0"/>
              <w:bidi w:val="0"/>
              <w:outlineLvl w:val="9"/>
              <w:rPr>
                <w:rFonts w:hint="eastAsia" w:ascii="仿宋" w:hAnsi="仿宋" w:eastAsia="仿宋" w:cs="仿宋"/>
                <w:color w:val="auto"/>
                <w:sz w:val="24"/>
                <w:szCs w:val="24"/>
                <w:highlight w:val="none"/>
              </w:rPr>
            </w:pPr>
          </w:p>
        </w:tc>
      </w:tr>
      <w:tr w14:paraId="6A9C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1" w:type="dxa"/>
            <w:vMerge w:val="continue"/>
            <w:tcBorders>
              <w:left w:val="single" w:color="000000" w:sz="10" w:space="0"/>
            </w:tcBorders>
            <w:textDirection w:val="tbRlV"/>
            <w:vAlign w:val="top"/>
          </w:tcPr>
          <w:p w14:paraId="12E60106">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tcBorders>
              <w:right w:val="single" w:color="000000" w:sz="2" w:space="0"/>
            </w:tcBorders>
            <w:vAlign w:val="center"/>
          </w:tcPr>
          <w:p w14:paraId="316AB13A">
            <w:pPr>
              <w:pStyle w:val="28"/>
              <w:pageBreakBefore w:val="0"/>
              <w:wordWrap/>
              <w:overflowPunct/>
              <w:topLinePunct w:val="0"/>
              <w:bidi w:val="0"/>
              <w:spacing w:before="310"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38" w:type="dxa"/>
            <w:tcBorders>
              <w:left w:val="single" w:color="000000" w:sz="2" w:space="0"/>
              <w:right w:val="single" w:color="000000" w:sz="2" w:space="0"/>
            </w:tcBorders>
            <w:vAlign w:val="top"/>
          </w:tcPr>
          <w:p w14:paraId="60CBE245">
            <w:pPr>
              <w:pStyle w:val="28"/>
              <w:pageBreakBefore w:val="0"/>
              <w:wordWrap/>
              <w:overflowPunct/>
              <w:topLinePunct w:val="0"/>
              <w:bidi w:val="0"/>
              <w:spacing w:before="40" w:line="260" w:lineRule="auto"/>
              <w:ind w:right="314"/>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投标人之间或者投标人与采购人串通投标的；</w:t>
            </w:r>
          </w:p>
        </w:tc>
        <w:tc>
          <w:tcPr>
            <w:tcW w:w="1015" w:type="dxa"/>
            <w:tcBorders>
              <w:left w:val="single" w:color="000000" w:sz="2" w:space="0"/>
              <w:right w:val="single" w:color="000000" w:sz="2" w:space="0"/>
            </w:tcBorders>
            <w:vAlign w:val="top"/>
          </w:tcPr>
          <w:p w14:paraId="73E2DC9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49363876">
            <w:pPr>
              <w:pageBreakBefore w:val="0"/>
              <w:wordWrap/>
              <w:overflowPunct/>
              <w:topLinePunct w:val="0"/>
              <w:bidi w:val="0"/>
              <w:outlineLvl w:val="9"/>
              <w:rPr>
                <w:rFonts w:hint="eastAsia" w:ascii="仿宋" w:hAnsi="仿宋" w:eastAsia="仿宋" w:cs="仿宋"/>
                <w:color w:val="auto"/>
                <w:sz w:val="24"/>
                <w:szCs w:val="24"/>
                <w:highlight w:val="none"/>
              </w:rPr>
            </w:pPr>
          </w:p>
        </w:tc>
      </w:tr>
      <w:tr w14:paraId="400E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36E5912E">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5372E080">
            <w:pPr>
              <w:pStyle w:val="28"/>
              <w:pageBreakBefore w:val="0"/>
              <w:wordWrap/>
              <w:overflowPunct/>
              <w:topLinePunct w:val="0"/>
              <w:bidi w:val="0"/>
              <w:spacing w:before="311"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738" w:type="dxa"/>
            <w:vAlign w:val="top"/>
          </w:tcPr>
          <w:p w14:paraId="0411FBBA">
            <w:pPr>
              <w:pStyle w:val="28"/>
              <w:pageBreakBefore w:val="0"/>
              <w:wordWrap/>
              <w:overflowPunct/>
              <w:topLinePunct w:val="0"/>
              <w:bidi w:val="0"/>
              <w:spacing w:before="39" w:line="260"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以行贿手段谋取中标或者以其他弄虚作假方式投标的；</w:t>
            </w:r>
          </w:p>
        </w:tc>
        <w:tc>
          <w:tcPr>
            <w:tcW w:w="1015" w:type="dxa"/>
            <w:tcBorders>
              <w:right w:val="single" w:color="000000" w:sz="2" w:space="0"/>
            </w:tcBorders>
            <w:vAlign w:val="top"/>
          </w:tcPr>
          <w:p w14:paraId="1B81404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left w:val="single" w:color="000000" w:sz="2" w:space="0"/>
              <w:right w:val="single" w:color="000000" w:sz="10" w:space="0"/>
            </w:tcBorders>
            <w:vAlign w:val="top"/>
          </w:tcPr>
          <w:p w14:paraId="7BE2F2DE">
            <w:pPr>
              <w:pageBreakBefore w:val="0"/>
              <w:wordWrap/>
              <w:overflowPunct/>
              <w:topLinePunct w:val="0"/>
              <w:bidi w:val="0"/>
              <w:outlineLvl w:val="9"/>
              <w:rPr>
                <w:rFonts w:hint="eastAsia" w:ascii="仿宋" w:hAnsi="仿宋" w:eastAsia="仿宋" w:cs="仿宋"/>
                <w:color w:val="auto"/>
                <w:sz w:val="24"/>
                <w:szCs w:val="24"/>
                <w:highlight w:val="none"/>
              </w:rPr>
            </w:pPr>
          </w:p>
        </w:tc>
      </w:tr>
      <w:tr w14:paraId="5DB06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0ABA32AE">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502405FC">
            <w:pPr>
              <w:pStyle w:val="28"/>
              <w:pageBreakBefore w:val="0"/>
              <w:wordWrap/>
              <w:overflowPunct/>
              <w:topLinePunct w:val="0"/>
              <w:bidi w:val="0"/>
              <w:spacing w:before="315"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738" w:type="dxa"/>
            <w:vAlign w:val="top"/>
          </w:tcPr>
          <w:p w14:paraId="2253A0E7">
            <w:pPr>
              <w:pStyle w:val="28"/>
              <w:pageBreakBefore w:val="0"/>
              <w:wordWrap/>
              <w:overflowPunct/>
              <w:topLinePunct w:val="0"/>
              <w:bidi w:val="0"/>
              <w:spacing w:before="45" w:line="259"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评标委员会共同确定有实质上不响应招标文件要求的；</w:t>
            </w:r>
          </w:p>
        </w:tc>
        <w:tc>
          <w:tcPr>
            <w:tcW w:w="1015" w:type="dxa"/>
            <w:vAlign w:val="top"/>
          </w:tcPr>
          <w:p w14:paraId="15553A5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0AA5FEE4">
            <w:pPr>
              <w:pageBreakBefore w:val="0"/>
              <w:wordWrap/>
              <w:overflowPunct/>
              <w:topLinePunct w:val="0"/>
              <w:bidi w:val="0"/>
              <w:outlineLvl w:val="9"/>
              <w:rPr>
                <w:rFonts w:hint="eastAsia" w:ascii="仿宋" w:hAnsi="仿宋" w:eastAsia="仿宋" w:cs="仿宋"/>
                <w:color w:val="auto"/>
                <w:sz w:val="24"/>
                <w:szCs w:val="24"/>
                <w:highlight w:val="none"/>
              </w:rPr>
            </w:pPr>
          </w:p>
        </w:tc>
      </w:tr>
      <w:tr w14:paraId="26F7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20F23B62">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24416A36">
            <w:pPr>
              <w:pStyle w:val="28"/>
              <w:pageBreakBefore w:val="0"/>
              <w:wordWrap/>
              <w:overflowPunct/>
              <w:topLinePunct w:val="0"/>
              <w:bidi w:val="0"/>
              <w:spacing w:before="318"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738" w:type="dxa"/>
            <w:vAlign w:val="top"/>
          </w:tcPr>
          <w:p w14:paraId="5BFAD110">
            <w:pPr>
              <w:pStyle w:val="28"/>
              <w:pageBreakBefore w:val="0"/>
              <w:wordWrap/>
              <w:overflowPunct/>
              <w:topLinePunct w:val="0"/>
              <w:bidi w:val="0"/>
              <w:spacing w:before="46" w:line="259"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投标的政府采购项目完成期限超过招标文件规定期限的；</w:t>
            </w:r>
          </w:p>
        </w:tc>
        <w:tc>
          <w:tcPr>
            <w:tcW w:w="1015" w:type="dxa"/>
            <w:vAlign w:val="top"/>
          </w:tcPr>
          <w:p w14:paraId="57E74E56">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50B5468C">
            <w:pPr>
              <w:pageBreakBefore w:val="0"/>
              <w:wordWrap/>
              <w:overflowPunct/>
              <w:topLinePunct w:val="0"/>
              <w:bidi w:val="0"/>
              <w:outlineLvl w:val="9"/>
              <w:rPr>
                <w:rFonts w:hint="eastAsia" w:ascii="仿宋" w:hAnsi="仿宋" w:eastAsia="仿宋" w:cs="仿宋"/>
                <w:color w:val="auto"/>
                <w:sz w:val="24"/>
                <w:szCs w:val="24"/>
                <w:highlight w:val="none"/>
              </w:rPr>
            </w:pPr>
          </w:p>
        </w:tc>
      </w:tr>
      <w:tr w14:paraId="4117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7B5E7ADF">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77062F8F">
            <w:pPr>
              <w:pStyle w:val="28"/>
              <w:pageBreakBefore w:val="0"/>
              <w:wordWrap/>
              <w:overflowPunct/>
              <w:topLinePunct w:val="0"/>
              <w:bidi w:val="0"/>
              <w:spacing w:before="78"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738" w:type="dxa"/>
            <w:vAlign w:val="top"/>
          </w:tcPr>
          <w:p w14:paraId="09A4437B">
            <w:pPr>
              <w:pStyle w:val="28"/>
              <w:pageBreakBefore w:val="0"/>
              <w:wordWrap/>
              <w:overflowPunct/>
              <w:topLinePunct w:val="0"/>
              <w:bidi w:val="0"/>
              <w:spacing w:before="51" w:line="259"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投标文件载明的技术规格、技术标准等，不符合招标文件要求的；</w:t>
            </w:r>
          </w:p>
        </w:tc>
        <w:tc>
          <w:tcPr>
            <w:tcW w:w="1015" w:type="dxa"/>
            <w:vAlign w:val="top"/>
          </w:tcPr>
          <w:p w14:paraId="345EDA44">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74FF2818">
            <w:pPr>
              <w:pageBreakBefore w:val="0"/>
              <w:wordWrap/>
              <w:overflowPunct/>
              <w:topLinePunct w:val="0"/>
              <w:bidi w:val="0"/>
              <w:outlineLvl w:val="9"/>
              <w:rPr>
                <w:rFonts w:hint="eastAsia" w:ascii="仿宋" w:hAnsi="仿宋" w:eastAsia="仿宋" w:cs="仿宋"/>
                <w:color w:val="auto"/>
                <w:sz w:val="24"/>
                <w:szCs w:val="24"/>
                <w:highlight w:val="none"/>
              </w:rPr>
            </w:pPr>
          </w:p>
        </w:tc>
      </w:tr>
      <w:tr w14:paraId="2AA0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21" w:type="dxa"/>
            <w:vMerge w:val="continue"/>
            <w:tcBorders>
              <w:left w:val="single" w:color="000000" w:sz="10" w:space="0"/>
            </w:tcBorders>
            <w:textDirection w:val="tbRlV"/>
            <w:vAlign w:val="top"/>
          </w:tcPr>
          <w:p w14:paraId="2911D047">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6B181E43">
            <w:pPr>
              <w:pStyle w:val="28"/>
              <w:pageBreakBefore w:val="0"/>
              <w:wordWrap/>
              <w:overflowPunct/>
              <w:topLinePunct w:val="0"/>
              <w:bidi w:val="0"/>
              <w:spacing w:before="129"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738" w:type="dxa"/>
            <w:vAlign w:val="top"/>
          </w:tcPr>
          <w:p w14:paraId="09094518">
            <w:pPr>
              <w:pStyle w:val="28"/>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投标文件附有采购人不能接受条件的；</w:t>
            </w:r>
          </w:p>
        </w:tc>
        <w:tc>
          <w:tcPr>
            <w:tcW w:w="1015" w:type="dxa"/>
            <w:vAlign w:val="top"/>
          </w:tcPr>
          <w:p w14:paraId="143038C2">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396E9CE2">
            <w:pPr>
              <w:pageBreakBefore w:val="0"/>
              <w:wordWrap/>
              <w:overflowPunct/>
              <w:topLinePunct w:val="0"/>
              <w:bidi w:val="0"/>
              <w:outlineLvl w:val="9"/>
              <w:rPr>
                <w:rFonts w:hint="eastAsia" w:ascii="仿宋" w:hAnsi="仿宋" w:eastAsia="仿宋" w:cs="仿宋"/>
                <w:color w:val="auto"/>
                <w:sz w:val="24"/>
                <w:szCs w:val="24"/>
                <w:highlight w:val="none"/>
              </w:rPr>
            </w:pPr>
          </w:p>
        </w:tc>
      </w:tr>
      <w:tr w14:paraId="360D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4D1719A">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4615E117">
            <w:pPr>
              <w:pStyle w:val="28"/>
              <w:pageBreakBefore w:val="0"/>
              <w:wordWrap/>
              <w:overflowPunct/>
              <w:topLinePunct w:val="0"/>
              <w:bidi w:val="0"/>
              <w:spacing w:before="127"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738" w:type="dxa"/>
            <w:vAlign w:val="top"/>
          </w:tcPr>
          <w:p w14:paraId="426F6F9F">
            <w:pPr>
              <w:pStyle w:val="28"/>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不满足招标文件实质性要求的其他情形；</w:t>
            </w:r>
          </w:p>
        </w:tc>
        <w:tc>
          <w:tcPr>
            <w:tcW w:w="1015" w:type="dxa"/>
            <w:vAlign w:val="top"/>
          </w:tcPr>
          <w:p w14:paraId="03BA991A">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16DA9C65">
            <w:pPr>
              <w:pageBreakBefore w:val="0"/>
              <w:wordWrap/>
              <w:overflowPunct/>
              <w:topLinePunct w:val="0"/>
              <w:bidi w:val="0"/>
              <w:outlineLvl w:val="9"/>
              <w:rPr>
                <w:rFonts w:hint="eastAsia" w:ascii="仿宋" w:hAnsi="仿宋" w:eastAsia="仿宋" w:cs="仿宋"/>
                <w:color w:val="auto"/>
                <w:sz w:val="24"/>
                <w:szCs w:val="24"/>
                <w:highlight w:val="none"/>
              </w:rPr>
            </w:pPr>
          </w:p>
        </w:tc>
      </w:tr>
      <w:tr w14:paraId="2F6A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152B5955">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64EE7762">
            <w:pPr>
              <w:pStyle w:val="28"/>
              <w:pageBreakBefore w:val="0"/>
              <w:wordWrap/>
              <w:overflowPunct/>
              <w:topLinePunct w:val="0"/>
              <w:bidi w:val="0"/>
              <w:spacing w:before="129"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738" w:type="dxa"/>
            <w:vAlign w:val="top"/>
          </w:tcPr>
          <w:p w14:paraId="377BE68F">
            <w:pPr>
              <w:pStyle w:val="28"/>
              <w:pageBreakBefore w:val="0"/>
              <w:wordWrap/>
              <w:overflowPunct/>
              <w:topLinePunct w:val="0"/>
              <w:bidi w:val="0"/>
              <w:spacing w:before="53"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不符合法律法规的其他情形；</w:t>
            </w:r>
          </w:p>
        </w:tc>
        <w:tc>
          <w:tcPr>
            <w:tcW w:w="1015" w:type="dxa"/>
            <w:vAlign w:val="top"/>
          </w:tcPr>
          <w:p w14:paraId="42ED7D3F">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2E82F820">
            <w:pPr>
              <w:pageBreakBefore w:val="0"/>
              <w:wordWrap/>
              <w:overflowPunct/>
              <w:topLinePunct w:val="0"/>
              <w:bidi w:val="0"/>
              <w:outlineLvl w:val="9"/>
              <w:rPr>
                <w:rFonts w:hint="eastAsia" w:ascii="仿宋" w:hAnsi="仿宋" w:eastAsia="仿宋" w:cs="仿宋"/>
                <w:color w:val="auto"/>
                <w:sz w:val="24"/>
                <w:szCs w:val="24"/>
                <w:highlight w:val="none"/>
              </w:rPr>
            </w:pPr>
          </w:p>
        </w:tc>
      </w:tr>
      <w:tr w14:paraId="743B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21" w:type="dxa"/>
            <w:vMerge w:val="continue"/>
            <w:tcBorders>
              <w:left w:val="single" w:color="000000" w:sz="10" w:space="0"/>
            </w:tcBorders>
            <w:textDirection w:val="tbRlV"/>
            <w:vAlign w:val="top"/>
          </w:tcPr>
          <w:p w14:paraId="1E7FE83B">
            <w:pPr>
              <w:pageBreakBefore w:val="0"/>
              <w:wordWrap/>
              <w:overflowPunct/>
              <w:topLinePunct w:val="0"/>
              <w:bidi w:val="0"/>
              <w:outlineLvl w:val="9"/>
              <w:rPr>
                <w:rFonts w:hint="eastAsia" w:ascii="仿宋" w:hAnsi="仿宋" w:eastAsia="仿宋" w:cs="仿宋"/>
                <w:color w:val="auto"/>
                <w:sz w:val="24"/>
                <w:szCs w:val="24"/>
                <w:highlight w:val="none"/>
              </w:rPr>
            </w:pPr>
          </w:p>
        </w:tc>
        <w:tc>
          <w:tcPr>
            <w:tcW w:w="803" w:type="dxa"/>
            <w:vAlign w:val="center"/>
          </w:tcPr>
          <w:p w14:paraId="3D833364">
            <w:pPr>
              <w:pStyle w:val="28"/>
              <w:pageBreakBefore w:val="0"/>
              <w:wordWrap/>
              <w:overflowPunct/>
              <w:topLinePunct w:val="0"/>
              <w:bidi w:val="0"/>
              <w:spacing w:before="78"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738" w:type="dxa"/>
            <w:vAlign w:val="top"/>
          </w:tcPr>
          <w:p w14:paraId="37AB1D8F">
            <w:pPr>
              <w:pStyle w:val="28"/>
              <w:pageBreakBefore w:val="0"/>
              <w:wordWrap/>
              <w:overflowPunct/>
              <w:topLinePunct w:val="0"/>
              <w:bidi w:val="0"/>
              <w:spacing w:before="51" w:line="228"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将工程排污费、社会保障费、住房公积金、危险作业意外伤害保险等规费和营业税、城 市维护建设税、教育费附加等税金，以及安全文明施工费列入招标投标竞争性费用的；</w:t>
            </w:r>
          </w:p>
        </w:tc>
        <w:tc>
          <w:tcPr>
            <w:tcW w:w="1015" w:type="dxa"/>
            <w:vAlign w:val="top"/>
          </w:tcPr>
          <w:p w14:paraId="2989C1AE">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right w:val="single" w:color="000000" w:sz="10" w:space="0"/>
            </w:tcBorders>
            <w:vAlign w:val="top"/>
          </w:tcPr>
          <w:p w14:paraId="17FCC631">
            <w:pPr>
              <w:pageBreakBefore w:val="0"/>
              <w:wordWrap/>
              <w:overflowPunct/>
              <w:topLinePunct w:val="0"/>
              <w:bidi w:val="0"/>
              <w:outlineLvl w:val="9"/>
              <w:rPr>
                <w:rFonts w:hint="eastAsia" w:ascii="仿宋" w:hAnsi="仿宋" w:eastAsia="仿宋" w:cs="仿宋"/>
                <w:color w:val="auto"/>
                <w:sz w:val="24"/>
                <w:szCs w:val="24"/>
                <w:highlight w:val="none"/>
              </w:rPr>
            </w:pPr>
          </w:p>
        </w:tc>
      </w:tr>
      <w:tr w14:paraId="1834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tcBorders>
              <w:left w:val="single" w:color="000000" w:sz="10" w:space="0"/>
              <w:bottom w:val="single" w:color="000000" w:sz="10" w:space="0"/>
            </w:tcBorders>
            <w:vAlign w:val="top"/>
          </w:tcPr>
          <w:p w14:paraId="677E5DD3">
            <w:pPr>
              <w:pageBreakBefore w:val="0"/>
              <w:wordWrap/>
              <w:overflowPunct/>
              <w:topLinePunct w:val="0"/>
              <w:bidi w:val="0"/>
              <w:outlineLvl w:val="9"/>
              <w:rPr>
                <w:rFonts w:hint="eastAsia" w:ascii="仿宋" w:hAnsi="仿宋" w:eastAsia="仿宋" w:cs="仿宋"/>
                <w:color w:val="auto"/>
                <w:sz w:val="24"/>
                <w:szCs w:val="24"/>
                <w:highlight w:val="none"/>
              </w:rPr>
            </w:pPr>
          </w:p>
        </w:tc>
        <w:tc>
          <w:tcPr>
            <w:tcW w:w="5541" w:type="dxa"/>
            <w:gridSpan w:val="2"/>
            <w:tcBorders>
              <w:bottom w:val="single" w:color="000000" w:sz="10" w:space="0"/>
            </w:tcBorders>
            <w:vAlign w:val="top"/>
          </w:tcPr>
          <w:p w14:paraId="0CD5DAD9">
            <w:pPr>
              <w:pStyle w:val="28"/>
              <w:pageBreakBefore w:val="0"/>
              <w:wordWrap/>
              <w:overflowPunct/>
              <w:topLinePunct w:val="0"/>
              <w:bidi w:val="0"/>
              <w:spacing w:before="56" w:line="220" w:lineRule="auto"/>
              <w:ind w:left="10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结论：是否通过评审</w:t>
            </w:r>
          </w:p>
        </w:tc>
        <w:tc>
          <w:tcPr>
            <w:tcW w:w="1015" w:type="dxa"/>
            <w:tcBorders>
              <w:bottom w:val="single" w:color="000000" w:sz="10" w:space="0"/>
            </w:tcBorders>
            <w:vAlign w:val="top"/>
          </w:tcPr>
          <w:p w14:paraId="07D8CFB1">
            <w:pPr>
              <w:pageBreakBefore w:val="0"/>
              <w:wordWrap/>
              <w:overflowPunct/>
              <w:topLinePunct w:val="0"/>
              <w:bidi w:val="0"/>
              <w:outlineLvl w:val="9"/>
              <w:rPr>
                <w:rFonts w:hint="eastAsia" w:ascii="仿宋" w:hAnsi="仿宋" w:eastAsia="仿宋" w:cs="仿宋"/>
                <w:color w:val="auto"/>
                <w:sz w:val="24"/>
                <w:szCs w:val="24"/>
                <w:highlight w:val="none"/>
              </w:rPr>
            </w:pPr>
          </w:p>
        </w:tc>
        <w:tc>
          <w:tcPr>
            <w:tcW w:w="1146" w:type="dxa"/>
            <w:tcBorders>
              <w:bottom w:val="single" w:color="000000" w:sz="10" w:space="0"/>
              <w:right w:val="single" w:color="000000" w:sz="10" w:space="0"/>
            </w:tcBorders>
            <w:vAlign w:val="top"/>
          </w:tcPr>
          <w:p w14:paraId="57D6AA9D">
            <w:pPr>
              <w:pageBreakBefore w:val="0"/>
              <w:wordWrap/>
              <w:overflowPunct/>
              <w:topLinePunct w:val="0"/>
              <w:bidi w:val="0"/>
              <w:outlineLvl w:val="9"/>
              <w:rPr>
                <w:rFonts w:hint="eastAsia" w:ascii="仿宋" w:hAnsi="仿宋" w:eastAsia="仿宋" w:cs="仿宋"/>
                <w:color w:val="auto"/>
                <w:sz w:val="24"/>
                <w:szCs w:val="24"/>
                <w:highlight w:val="none"/>
              </w:rPr>
            </w:pPr>
          </w:p>
        </w:tc>
      </w:tr>
    </w:tbl>
    <w:p w14:paraId="4D54D222">
      <w:pPr>
        <w:pStyle w:val="2"/>
        <w:pageBreakBefore w:val="0"/>
        <w:wordWrap/>
        <w:overflowPunct/>
        <w:topLinePunct w:val="0"/>
        <w:bidi w:val="0"/>
        <w:spacing w:before="78" w:line="216" w:lineRule="auto"/>
        <w:outlineLvl w:val="9"/>
        <w:rPr>
          <w:rFonts w:hint="eastAsia" w:ascii="仿宋" w:hAnsi="仿宋" w:eastAsia="仿宋" w:cs="仿宋"/>
          <w:color w:val="auto"/>
          <w:spacing w:val="-1"/>
          <w:sz w:val="24"/>
          <w:szCs w:val="24"/>
          <w:highlight w:val="none"/>
        </w:rPr>
      </w:pPr>
    </w:p>
    <w:p w14:paraId="66B1FC13">
      <w:pPr>
        <w:pStyle w:val="2"/>
        <w:pageBreakBefore w:val="0"/>
        <w:wordWrap/>
        <w:overflowPunct/>
        <w:topLinePunct w:val="0"/>
        <w:bidi w:val="0"/>
        <w:spacing w:before="78" w:line="216" w:lineRule="auto"/>
        <w:ind w:left="61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有下列情形之一时,评标委员会应予废标,并将理由通知所有投标人：</w:t>
      </w:r>
    </w:p>
    <w:p w14:paraId="378292A6">
      <w:pPr>
        <w:pStyle w:val="2"/>
        <w:pageBreakBefore w:val="0"/>
        <w:wordWrap/>
        <w:overflowPunct/>
        <w:topLinePunct w:val="0"/>
        <w:bidi w:val="0"/>
        <w:spacing w:before="187" w:line="226" w:lineRule="auto"/>
        <w:ind w:left="151" w:right="122"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(1)符合专业条件的投标人或者对磋商文件作实质性响应的投标人不足三家</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5"/>
          <w:sz w:val="24"/>
          <w:szCs w:val="24"/>
          <w:highlight w:val="none"/>
        </w:rPr>
        <w:t>的；</w:t>
      </w:r>
    </w:p>
    <w:p w14:paraId="5C728120">
      <w:pPr>
        <w:pStyle w:val="2"/>
        <w:pageBreakBefore w:val="0"/>
        <w:wordWrap/>
        <w:overflowPunct/>
        <w:topLinePunct w:val="0"/>
        <w:bidi w:val="0"/>
        <w:spacing w:before="12" w:line="220"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(2)出现影响磋商公正的违法、违规行为的；</w:t>
      </w:r>
    </w:p>
    <w:p w14:paraId="3625BA72">
      <w:pPr>
        <w:pStyle w:val="2"/>
        <w:pageBreakBefore w:val="0"/>
        <w:wordWrap/>
        <w:overflowPunct/>
        <w:topLinePunct w:val="0"/>
        <w:bidi w:val="0"/>
        <w:spacing w:before="15" w:line="216"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(3)投标人的报价均超过了采购预算,采购人不能支付的；</w:t>
      </w:r>
    </w:p>
    <w:p w14:paraId="102BC3E2">
      <w:pPr>
        <w:pStyle w:val="2"/>
        <w:pageBreakBefore w:val="0"/>
        <w:wordWrap/>
        <w:overflowPunct/>
        <w:topLinePunct w:val="0"/>
        <w:bidi w:val="0"/>
        <w:spacing w:before="18" w:line="219"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(4)因重大变故，采购任务取消的。</w:t>
      </w:r>
    </w:p>
    <w:p w14:paraId="65A763D0">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（5）如发现有二份及以上响应文件的相互之间有相同或高度相似之处，</w:t>
      </w:r>
      <w:r>
        <w:rPr>
          <w:rFonts w:hint="eastAsia" w:ascii="仿宋" w:hAnsi="仿宋" w:eastAsia="仿宋" w:cs="仿宋"/>
          <w:color w:val="auto"/>
          <w:spacing w:val="-2"/>
          <w:sz w:val="24"/>
          <w:szCs w:val="24"/>
          <w:highlight w:val="none"/>
        </w:rPr>
        <w:t xml:space="preserve">且 </w:t>
      </w:r>
      <w:r>
        <w:rPr>
          <w:rFonts w:hint="eastAsia" w:ascii="仿宋" w:hAnsi="仿宋" w:eastAsia="仿宋" w:cs="仿宋"/>
          <w:color w:val="auto"/>
          <w:spacing w:val="-3"/>
          <w:sz w:val="24"/>
          <w:szCs w:val="24"/>
          <w:highlight w:val="none"/>
        </w:rPr>
        <w:t>无合理解释的，经评标委员会半数以上成员认定有串通投标嫌疑的，其响应文件</w:t>
      </w:r>
      <w:r>
        <w:rPr>
          <w:rFonts w:hint="eastAsia" w:ascii="仿宋" w:hAnsi="仿宋" w:eastAsia="仿宋" w:cs="仿宋"/>
          <w:color w:val="auto"/>
          <w:sz w:val="24"/>
          <w:szCs w:val="24"/>
          <w:highlight w:val="none"/>
        </w:rPr>
        <w:t xml:space="preserve"> 按无效标处理，予以废除，不再对其进行评审，</w:t>
      </w:r>
      <w:r>
        <w:rPr>
          <w:rFonts w:hint="eastAsia" w:ascii="仿宋" w:hAnsi="仿宋" w:eastAsia="仿宋" w:cs="仿宋"/>
          <w:color w:val="auto"/>
          <w:spacing w:val="-1"/>
          <w:sz w:val="24"/>
          <w:szCs w:val="24"/>
          <w:highlight w:val="none"/>
        </w:rPr>
        <w:t>也不影响磋商工作继续评标</w:t>
      </w:r>
      <w:r>
        <w:rPr>
          <w:rFonts w:hint="eastAsia" w:ascii="仿宋" w:hAnsi="仿宋" w:eastAsia="仿宋" w:cs="仿宋"/>
          <w:color w:val="auto"/>
          <w:spacing w:val="-3"/>
          <w:sz w:val="24"/>
          <w:szCs w:val="24"/>
          <w:highlight w:val="none"/>
        </w:rPr>
        <w:t>。</w:t>
      </w:r>
    </w:p>
    <w:p w14:paraId="2A91422B">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4.3 废标后，除采购任务取消情形外，招标采购单位应当重新组织招标。需要采取其他采购方式的，应当在采购活动开始前获得设区的市、自治州以上人民 政府财政部门的批准</w:t>
      </w:r>
      <w:r>
        <w:rPr>
          <w:rFonts w:hint="eastAsia" w:ascii="仿宋" w:hAnsi="仿宋" w:eastAsia="仿宋" w:cs="仿宋"/>
          <w:color w:val="auto"/>
          <w:spacing w:val="-1"/>
          <w:sz w:val="24"/>
          <w:szCs w:val="24"/>
          <w:highlight w:val="none"/>
        </w:rPr>
        <w:t>。</w:t>
      </w:r>
    </w:p>
    <w:p w14:paraId="4EAF539B">
      <w:pPr>
        <w:pStyle w:val="2"/>
        <w:pageBreakBefore w:val="0"/>
        <w:wordWrap/>
        <w:overflowPunct/>
        <w:topLinePunct w:val="0"/>
        <w:bidi w:val="0"/>
        <w:spacing w:before="15" w:line="220" w:lineRule="auto"/>
        <w:ind w:left="2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5．澄清有关问题</w:t>
      </w:r>
    </w:p>
    <w:p w14:paraId="270897F1">
      <w:pPr>
        <w:pStyle w:val="2"/>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对于响应文件中含义不明确、同类问题表述不一致或者有明显文字和计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算错误的内容，评标委员会应当以书面形式要求投标人作出必要的澄清、说明或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者补正。</w:t>
      </w:r>
    </w:p>
    <w:p w14:paraId="5E825E32">
      <w:pPr>
        <w:pStyle w:val="2"/>
        <w:pageBreakBefore w:val="0"/>
        <w:wordWrap/>
        <w:overflowPunct/>
        <w:topLinePunct w:val="0"/>
        <w:bidi w:val="0"/>
        <w:spacing w:before="13" w:line="227" w:lineRule="auto"/>
        <w:ind w:left="22" w:right="200"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投标人的澄清、说明或者补正应当采用书面形式，并加盖</w:t>
      </w:r>
      <w:r>
        <w:rPr>
          <w:rFonts w:hint="eastAsia" w:ascii="仿宋" w:hAnsi="仿宋" w:eastAsia="仿宋" w:cs="仿宋"/>
          <w:color w:val="auto"/>
          <w:spacing w:val="-4"/>
          <w:sz w:val="24"/>
          <w:szCs w:val="24"/>
          <w:highlight w:val="none"/>
        </w:rPr>
        <w:t>公章，或者由法定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代表人或其授权的代表签字。投标人的澄清、说明或者补正不得超出响应文件的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范围或者改变响应文件的实质性内容。</w:t>
      </w:r>
    </w:p>
    <w:p w14:paraId="1996D855">
      <w:pPr>
        <w:pStyle w:val="2"/>
        <w:pageBreakBefore w:val="0"/>
        <w:wordWrap/>
        <w:overflowPunct/>
        <w:topLinePunct w:val="0"/>
        <w:bidi w:val="0"/>
        <w:spacing w:before="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2"/>
          <w:sz w:val="24"/>
          <w:szCs w:val="24"/>
          <w:highlight w:val="none"/>
        </w:rPr>
        <w:t>投标人不得对下列内容进行澄清或补充：</w:t>
      </w:r>
    </w:p>
    <w:p w14:paraId="2C61ED8A">
      <w:pPr>
        <w:pStyle w:val="2"/>
        <w:pageBreakBefore w:val="0"/>
        <w:wordWrap/>
        <w:overflowPunct/>
        <w:topLinePunct w:val="0"/>
        <w:bidi w:val="0"/>
        <w:spacing w:before="15" w:line="218"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(1)投标报价、质量标准、合同履行期限等实质性内容。</w:t>
      </w:r>
    </w:p>
    <w:p w14:paraId="5BB626B1">
      <w:pPr>
        <w:pStyle w:val="2"/>
        <w:pageBreakBefore w:val="0"/>
        <w:wordWrap/>
        <w:overflowPunct/>
        <w:topLinePunct w:val="0"/>
        <w:bidi w:val="0"/>
        <w:spacing w:before="17"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(2)不满足投标人须知规定的实质性要求的响应文件内容。</w:t>
      </w:r>
    </w:p>
    <w:p w14:paraId="1A35AF67">
      <w:pPr>
        <w:pStyle w:val="2"/>
        <w:pageBreakBefore w:val="0"/>
        <w:wordWrap/>
        <w:overflowPunct/>
        <w:topLinePunct w:val="0"/>
        <w:bidi w:val="0"/>
        <w:spacing w:before="15" w:line="225" w:lineRule="auto"/>
        <w:ind w:left="29" w:right="200" w:firstLine="47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响应文件报价出现前后不一致的，除磋商文件另有规定外，按照</w:t>
      </w:r>
      <w:r>
        <w:rPr>
          <w:rFonts w:hint="eastAsia" w:ascii="仿宋" w:hAnsi="仿宋" w:eastAsia="仿宋" w:cs="仿宋"/>
          <w:color w:val="auto"/>
          <w:spacing w:val="-3"/>
          <w:sz w:val="24"/>
          <w:szCs w:val="24"/>
          <w:highlight w:val="none"/>
        </w:rPr>
        <w:t>下列规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定修正：</w:t>
      </w:r>
    </w:p>
    <w:p w14:paraId="39800D9E">
      <w:pPr>
        <w:pStyle w:val="2"/>
        <w:pageBreakBefore w:val="0"/>
        <w:wordWrap/>
        <w:overflowPunct/>
        <w:topLinePunct w:val="0"/>
        <w:bidi w:val="0"/>
        <w:spacing w:before="16" w:line="224" w:lineRule="auto"/>
        <w:ind w:left="43" w:right="202" w:firstLine="4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（1）响应文件中开标一览表（报价表）内容与响应文件中相应内容不一致</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rPr>
        <w:t>的，以开标一览表（报价表）为准；</w:t>
      </w:r>
    </w:p>
    <w:p w14:paraId="5A738D7E">
      <w:pPr>
        <w:pStyle w:val="2"/>
        <w:pageBreakBefore w:val="0"/>
        <w:wordWrap/>
        <w:overflowPunct/>
        <w:topLinePunct w:val="0"/>
        <w:bidi w:val="0"/>
        <w:spacing w:before="17"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（2）大写金额和小写金额不一致的，以大写金额为准；</w:t>
      </w:r>
    </w:p>
    <w:p w14:paraId="11BE195A">
      <w:pPr>
        <w:pStyle w:val="2"/>
        <w:pageBreakBefore w:val="0"/>
        <w:wordWrap/>
        <w:overflowPunct/>
        <w:topLinePunct w:val="0"/>
        <w:bidi w:val="0"/>
        <w:spacing w:before="16" w:line="224" w:lineRule="auto"/>
        <w:ind w:left="29" w:right="138"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（3）单价金额小数点或者百分比有明显错位的，以开标一览表的总</w:t>
      </w:r>
      <w:r>
        <w:rPr>
          <w:rFonts w:hint="eastAsia" w:ascii="仿宋" w:hAnsi="仿宋" w:eastAsia="仿宋" w:cs="仿宋"/>
          <w:color w:val="auto"/>
          <w:spacing w:val="-6"/>
          <w:sz w:val="24"/>
          <w:szCs w:val="24"/>
          <w:highlight w:val="none"/>
        </w:rPr>
        <w:t>价为准，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并修改单价；</w:t>
      </w:r>
    </w:p>
    <w:p w14:paraId="61262723">
      <w:pPr>
        <w:pStyle w:val="2"/>
        <w:pageBreakBefore w:val="0"/>
        <w:wordWrap/>
        <w:overflowPunct/>
        <w:topLinePunct w:val="0"/>
        <w:bidi w:val="0"/>
        <w:spacing w:before="16" w:line="218"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（4）总价金额与按单价汇总金额不一致的，以单价金额计算结果为准。</w:t>
      </w:r>
    </w:p>
    <w:p w14:paraId="5E39F84A">
      <w:pPr>
        <w:pStyle w:val="2"/>
        <w:pageBreakBefore w:val="0"/>
        <w:wordWrap/>
        <w:overflowPunct/>
        <w:topLinePunct w:val="0"/>
        <w:bidi w:val="0"/>
        <w:spacing w:before="18" w:line="227" w:lineRule="auto"/>
        <w:ind w:left="24" w:right="153"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同时出现两种以上不一致的，按照前款规定的顺序修正。修正后的报价按照</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3"/>
          <w:sz w:val="24"/>
          <w:szCs w:val="24"/>
          <w:highlight w:val="none"/>
        </w:rPr>
        <w:t>本章</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5.1</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款的规定经投标人确认后产生约束力，▲投标人不确认或拒绝修正的，其投标无效。</w:t>
      </w:r>
    </w:p>
    <w:p w14:paraId="7A077728">
      <w:pPr>
        <w:pStyle w:val="2"/>
        <w:pageBreakBefore w:val="0"/>
        <w:wordWrap/>
        <w:overflowPunct/>
        <w:topLinePunct w:val="0"/>
        <w:bidi w:val="0"/>
        <w:spacing w:before="13" w:line="225" w:lineRule="auto"/>
        <w:ind w:left="26" w:right="200"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5.4</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投标人按照评标委员会要求提供的有效书面澄清材料，是响应文件的补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充材料，成为其响应文件的组成部分。</w:t>
      </w:r>
    </w:p>
    <w:p w14:paraId="08BC7B93">
      <w:pPr>
        <w:pStyle w:val="2"/>
        <w:pageBreakBefore w:val="0"/>
        <w:wordWrap/>
        <w:overflowPunct/>
        <w:topLinePunct w:val="0"/>
        <w:bidi w:val="0"/>
        <w:spacing w:before="14" w:line="228" w:lineRule="auto"/>
        <w:ind w:left="21" w:right="200" w:firstLine="486"/>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3"/>
          <w:sz w:val="24"/>
          <w:szCs w:val="24"/>
          <w:highlight w:val="none"/>
        </w:rPr>
        <w:t>5.5</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194BF950">
      <w:pPr>
        <w:pStyle w:val="2"/>
        <w:pageBreakBefore w:val="0"/>
        <w:wordWrap/>
        <w:overflowPunct/>
        <w:topLinePunct w:val="0"/>
        <w:bidi w:val="0"/>
        <w:spacing w:before="16" w:line="220" w:lineRule="auto"/>
        <w:ind w:left="2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6．详细评标</w:t>
      </w:r>
    </w:p>
    <w:p w14:paraId="210DC182">
      <w:pPr>
        <w:pStyle w:val="2"/>
        <w:pageBreakBefore w:val="0"/>
        <w:wordWrap/>
        <w:overflowPunct/>
        <w:topLinePunct w:val="0"/>
        <w:bidi w:val="0"/>
        <w:spacing w:before="15" w:line="224" w:lineRule="auto"/>
        <w:ind w:left="23" w:right="146"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6.1</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评标委员会应按照磋商文件中规定的评标方法、标准和评标因素，对资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格性检查和符合性检查合格的响应文件进行</w:t>
      </w:r>
      <w:r>
        <w:rPr>
          <w:rFonts w:hint="eastAsia" w:ascii="仿宋" w:hAnsi="仿宋" w:eastAsia="仿宋" w:cs="仿宋"/>
          <w:color w:val="auto"/>
          <w:spacing w:val="-2"/>
          <w:sz w:val="24"/>
          <w:szCs w:val="24"/>
          <w:highlight w:val="none"/>
        </w:rPr>
        <w:t>商务和技术评估，综合比较与评价。</w:t>
      </w:r>
    </w:p>
    <w:p w14:paraId="20B1B63A">
      <w:pPr>
        <w:pStyle w:val="2"/>
        <w:pageBreakBefore w:val="0"/>
        <w:wordWrap/>
        <w:overflowPunct/>
        <w:topLinePunct w:val="0"/>
        <w:bidi w:val="0"/>
        <w:spacing w:before="17" w:line="225" w:lineRule="auto"/>
        <w:ind w:left="22" w:firstLine="48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评标时，评标委员会各成员应当独立对每个投标人的响应文件进行评价、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评分，然后汇总每个投标人每项评分因素的得分。</w:t>
      </w:r>
    </w:p>
    <w:p w14:paraId="30CC3DA6">
      <w:pPr>
        <w:pStyle w:val="2"/>
        <w:pageBreakBefore w:val="0"/>
        <w:wordWrap/>
        <w:overflowPunct/>
        <w:topLinePunct w:val="0"/>
        <w:bidi w:val="0"/>
        <w:spacing w:before="15" w:line="225" w:lineRule="auto"/>
        <w:ind w:left="27" w:right="200" w:firstLine="47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投标人在评标过程中，所进行的试图影响评标结果的不符合招标规则的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活动，可能导致其被取消中标资格。</w:t>
      </w:r>
    </w:p>
    <w:p w14:paraId="2B5A02B0">
      <w:pPr>
        <w:pStyle w:val="2"/>
        <w:pageBreakBefore w:val="0"/>
        <w:wordWrap/>
        <w:overflowPunct/>
        <w:topLinePunct w:val="0"/>
        <w:bidi w:val="0"/>
        <w:spacing w:before="15"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评分标准：具体见评标标准</w:t>
      </w:r>
    </w:p>
    <w:p w14:paraId="56B73464">
      <w:pPr>
        <w:pStyle w:val="2"/>
        <w:pageBreakBefore w:val="0"/>
        <w:wordWrap/>
        <w:overflowPunct/>
        <w:topLinePunct w:val="0"/>
        <w:bidi w:val="0"/>
        <w:spacing w:before="15" w:line="219" w:lineRule="auto"/>
        <w:ind w:left="2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7．推荐中标候选人名单</w:t>
      </w:r>
    </w:p>
    <w:p w14:paraId="3B18A870">
      <w:pPr>
        <w:pStyle w:val="2"/>
        <w:pageBreakBefore w:val="0"/>
        <w:wordWrap/>
        <w:overflowPunct/>
        <w:topLinePunct w:val="0"/>
        <w:bidi w:val="0"/>
        <w:spacing w:before="14" w:line="229" w:lineRule="auto"/>
        <w:ind w:left="22" w:right="200" w:firstLine="48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61FD9013">
      <w:pPr>
        <w:pStyle w:val="2"/>
        <w:pageBreakBefore w:val="0"/>
        <w:wordWrap/>
        <w:overflowPunct/>
        <w:topLinePunct w:val="0"/>
        <w:bidi w:val="0"/>
        <w:spacing w:before="11" w:line="219" w:lineRule="auto"/>
        <w:ind w:left="50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7.2</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评标结果汇总完成后，除下列情形外，任何人不得修改评标结果：</w:t>
      </w:r>
    </w:p>
    <w:p w14:paraId="3AB141C6">
      <w:pPr>
        <w:pStyle w:val="2"/>
        <w:pageBreakBefore w:val="0"/>
        <w:wordWrap/>
        <w:overflowPunct/>
        <w:topLinePunct w:val="0"/>
        <w:bidi w:val="0"/>
        <w:spacing w:before="15"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(1)分值汇总计算错误的；</w:t>
      </w:r>
    </w:p>
    <w:p w14:paraId="5119BB21">
      <w:pPr>
        <w:pStyle w:val="2"/>
        <w:pageBreakBefore w:val="0"/>
        <w:wordWrap/>
        <w:overflowPunct/>
        <w:topLinePunct w:val="0"/>
        <w:bidi w:val="0"/>
        <w:spacing w:before="15" w:line="22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(2)分项评分超出评分标准范围的；</w:t>
      </w:r>
    </w:p>
    <w:p w14:paraId="51129C67">
      <w:pPr>
        <w:pStyle w:val="2"/>
        <w:pageBreakBefore w:val="0"/>
        <w:wordWrap/>
        <w:overflowPunct/>
        <w:topLinePunct w:val="0"/>
        <w:bidi w:val="0"/>
        <w:spacing w:before="47" w:line="219" w:lineRule="auto"/>
        <w:ind w:firstLine="472" w:firstLineChars="20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2"/>
          <w:sz w:val="24"/>
          <w:szCs w:val="24"/>
          <w:highlight w:val="none"/>
        </w:rPr>
        <w:t>(3)评标委员会成员对客观评标因素评分</w:t>
      </w:r>
      <w:r>
        <w:rPr>
          <w:rFonts w:hint="eastAsia" w:ascii="仿宋" w:hAnsi="仿宋" w:eastAsia="仿宋" w:cs="仿宋"/>
          <w:color w:val="auto"/>
          <w:spacing w:val="-3"/>
          <w:sz w:val="24"/>
          <w:szCs w:val="24"/>
          <w:highlight w:val="none"/>
        </w:rPr>
        <w:t>不一致的；</w:t>
      </w:r>
    </w:p>
    <w:p w14:paraId="18F62B33">
      <w:pPr>
        <w:pStyle w:val="2"/>
        <w:pageBreakBefore w:val="0"/>
        <w:wordWrap/>
        <w:overflowPunct/>
        <w:topLinePunct w:val="0"/>
        <w:bidi w:val="0"/>
        <w:spacing w:before="47" w:line="219" w:lineRule="auto"/>
        <w:ind w:firstLine="468"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(4)经评标委员会认定评分畸高、畸低的。</w:t>
      </w:r>
    </w:p>
    <w:p w14:paraId="2FD2C025">
      <w:pPr>
        <w:pStyle w:val="2"/>
        <w:pageBreakBefore w:val="0"/>
        <w:wordWrap/>
        <w:overflowPunct/>
        <w:topLinePunct w:val="0"/>
        <w:bidi w:val="0"/>
        <w:spacing w:before="13" w:line="228" w:lineRule="auto"/>
        <w:ind w:left="22" w:right="80"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评标报告签署前，经复核发现存在以上情形之一的，评标委员会</w:t>
      </w:r>
      <w:r>
        <w:rPr>
          <w:rFonts w:hint="eastAsia" w:ascii="仿宋" w:hAnsi="仿宋" w:eastAsia="仿宋" w:cs="仿宋"/>
          <w:color w:val="auto"/>
          <w:spacing w:val="-4"/>
          <w:sz w:val="24"/>
          <w:szCs w:val="24"/>
          <w:highlight w:val="none"/>
        </w:rPr>
        <w:t>应当当场修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改评标结果，并在评标报告中记载；评标报告签署后，采购人或者采购代理机构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发现存在以上情形之一的，应当组织原评标委员会进行重新评标，重新评标改变</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评标结果的，书面报告本级财政部门。</w:t>
      </w:r>
    </w:p>
    <w:p w14:paraId="38017D26">
      <w:pPr>
        <w:pStyle w:val="2"/>
        <w:pageBreakBefore w:val="0"/>
        <w:wordWrap/>
        <w:overflowPunct/>
        <w:topLinePunct w:val="0"/>
        <w:bidi w:val="0"/>
        <w:spacing w:before="17" w:line="224" w:lineRule="auto"/>
        <w:ind w:left="24"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投标人对上述(1)～(4)提出质疑的，采购</w:t>
      </w:r>
      <w:r>
        <w:rPr>
          <w:rFonts w:hint="eastAsia" w:ascii="仿宋" w:hAnsi="仿宋" w:eastAsia="仿宋" w:cs="仿宋"/>
          <w:color w:val="auto"/>
          <w:spacing w:val="-4"/>
          <w:sz w:val="24"/>
          <w:szCs w:val="24"/>
          <w:highlight w:val="none"/>
        </w:rPr>
        <w:t xml:space="preserve">人或者采购代理机构可以组织原评 </w:t>
      </w:r>
      <w:r>
        <w:rPr>
          <w:rFonts w:hint="eastAsia" w:ascii="仿宋" w:hAnsi="仿宋" w:eastAsia="仿宋" w:cs="仿宋"/>
          <w:color w:val="auto"/>
          <w:spacing w:val="-7"/>
          <w:sz w:val="24"/>
          <w:szCs w:val="24"/>
          <w:highlight w:val="none"/>
        </w:rPr>
        <w:t>标委员会进行重新评标，重新评标改变评标结果的，</w:t>
      </w:r>
      <w:r>
        <w:rPr>
          <w:rFonts w:hint="eastAsia" w:ascii="仿宋" w:hAnsi="仿宋" w:eastAsia="仿宋" w:cs="仿宋"/>
          <w:color w:val="auto"/>
          <w:spacing w:val="-8"/>
          <w:sz w:val="24"/>
          <w:szCs w:val="24"/>
          <w:highlight w:val="none"/>
        </w:rPr>
        <w:t>应当书面报告本级财政部门。</w:t>
      </w:r>
    </w:p>
    <w:p w14:paraId="7E7BF473">
      <w:pPr>
        <w:pStyle w:val="2"/>
        <w:pageBreakBefore w:val="0"/>
        <w:wordWrap/>
        <w:overflowPunct/>
        <w:topLinePunct w:val="0"/>
        <w:bidi w:val="0"/>
        <w:spacing w:before="17" w:line="224" w:lineRule="auto"/>
        <w:ind w:left="24" w:right="82" w:firstLine="48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评标委员会根据全体评标成员签字的原始评标记录和评标结果编写评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标报告。评标报告应当包括以下内容：</w:t>
      </w:r>
    </w:p>
    <w:p w14:paraId="324BF23C">
      <w:pPr>
        <w:pStyle w:val="2"/>
        <w:pageBreakBefore w:val="0"/>
        <w:wordWrap/>
        <w:overflowPunct/>
        <w:topLinePunct w:val="0"/>
        <w:bidi w:val="0"/>
        <w:spacing w:before="16"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（1）项目基本情况；</w:t>
      </w:r>
    </w:p>
    <w:p w14:paraId="20BA87D8">
      <w:pPr>
        <w:pStyle w:val="2"/>
        <w:pageBreakBefore w:val="0"/>
        <w:wordWrap/>
        <w:overflowPunct/>
        <w:topLinePunct w:val="0"/>
        <w:bidi w:val="0"/>
        <w:spacing w:before="15"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（2）投标人名单和评标委员会成员名单；</w:t>
      </w:r>
    </w:p>
    <w:p w14:paraId="6CA08377">
      <w:pPr>
        <w:pStyle w:val="2"/>
        <w:pageBreakBefore w:val="0"/>
        <w:wordWrap/>
        <w:overflowPunct/>
        <w:topLinePunct w:val="0"/>
        <w:bidi w:val="0"/>
        <w:spacing w:before="16" w:line="220"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（3）评标方法和标准；</w:t>
      </w:r>
    </w:p>
    <w:p w14:paraId="11D751BE">
      <w:pPr>
        <w:pStyle w:val="2"/>
        <w:pageBreakBefore w:val="0"/>
        <w:wordWrap/>
        <w:overflowPunct/>
        <w:topLinePunct w:val="0"/>
        <w:bidi w:val="0"/>
        <w:spacing w:before="14"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（4）开标记录和评标情况及说明，包括无效投标人名单及原因；</w:t>
      </w:r>
    </w:p>
    <w:p w14:paraId="1B5551B9">
      <w:pPr>
        <w:pStyle w:val="2"/>
        <w:pageBreakBefore w:val="0"/>
        <w:wordWrap/>
        <w:overflowPunct/>
        <w:topLinePunct w:val="0"/>
        <w:bidi w:val="0"/>
        <w:spacing w:before="16" w:line="226" w:lineRule="auto"/>
        <w:ind w:left="25" w:right="82" w:firstLine="48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（5）评标结果，确定的中标候选人名单或者经采购人委托直接确定的中标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人；</w:t>
      </w:r>
    </w:p>
    <w:p w14:paraId="1950D735">
      <w:pPr>
        <w:pStyle w:val="2"/>
        <w:pageBreakBefore w:val="0"/>
        <w:wordWrap/>
        <w:overflowPunct/>
        <w:topLinePunct w:val="0"/>
        <w:bidi w:val="0"/>
        <w:spacing w:before="11" w:line="225" w:lineRule="auto"/>
        <w:ind w:left="27" w:right="82" w:firstLine="48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（6）其他需要说明的情况，包括评标过程中投标人根据评标委员会要求进</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行的澄清、说明或者补正，评标委员会成员的更换等。</w:t>
      </w:r>
    </w:p>
    <w:p w14:paraId="7B9A229D">
      <w:pPr>
        <w:pStyle w:val="2"/>
        <w:pageBreakBefore w:val="0"/>
        <w:wordWrap/>
        <w:overflowPunct/>
        <w:topLinePunct w:val="0"/>
        <w:bidi w:val="0"/>
        <w:spacing w:before="17" w:line="228" w:lineRule="auto"/>
        <w:ind w:left="25" w:right="18" w:firstLine="47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评审报告应当由磋商小组全体人员签字认可。磋商小组成员对评</w:t>
      </w:r>
      <w:r>
        <w:rPr>
          <w:rFonts w:hint="eastAsia" w:ascii="仿宋" w:hAnsi="仿宋" w:eastAsia="仿宋" w:cs="仿宋"/>
          <w:color w:val="auto"/>
          <w:spacing w:val="-4"/>
          <w:sz w:val="24"/>
          <w:szCs w:val="24"/>
          <w:highlight w:val="none"/>
        </w:rPr>
        <w:t>审报告有异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议的，磋商小组按照少数服从多数的原则推荐成交候选供应商，采购程序继续进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行。对评审报告有异议的磋商小组成员，应当在报告上签署不同意见并说明理由，</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3"/>
          <w:sz w:val="24"/>
          <w:szCs w:val="24"/>
          <w:highlight w:val="none"/>
        </w:rPr>
        <w:t>由磋商小组书面记录相关情况。磋商小组成员拒绝在报告上签字又不书面说明其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不同意见和理由的，视为同意评审报告。</w:t>
      </w:r>
    </w:p>
    <w:p w14:paraId="0E99F578">
      <w:pPr>
        <w:pStyle w:val="2"/>
        <w:pageBreakBefore w:val="0"/>
        <w:wordWrap/>
        <w:overflowPunct/>
        <w:topLinePunct w:val="0"/>
        <w:bidi w:val="0"/>
        <w:spacing w:before="16" w:line="219" w:lineRule="auto"/>
        <w:ind w:left="509"/>
        <w:outlineLvl w:val="9"/>
        <w:rPr>
          <w:rFonts w:hint="eastAsia" w:ascii="仿宋" w:hAnsi="仿宋" w:eastAsia="仿宋" w:cs="仿宋"/>
          <w:color w:val="auto"/>
          <w:sz w:val="24"/>
          <w:szCs w:val="24"/>
          <w:highlight w:val="none"/>
        </w:rPr>
        <w:sectPr>
          <w:footerReference r:id="rId26" w:type="default"/>
          <w:pgSz w:w="11906" w:h="16839"/>
          <w:pgMar w:top="1426" w:right="1719" w:bottom="1171" w:left="1785" w:header="0" w:footer="992" w:gutter="0"/>
          <w:pgNumType w:fmt="decimal"/>
          <w:cols w:space="720" w:num="1"/>
        </w:sectPr>
      </w:pPr>
      <w:r>
        <w:rPr>
          <w:rFonts w:hint="eastAsia" w:ascii="仿宋" w:hAnsi="仿宋" w:eastAsia="仿宋" w:cs="仿宋"/>
          <w:color w:val="auto"/>
          <w:spacing w:val="-1"/>
          <w:sz w:val="24"/>
          <w:szCs w:val="24"/>
          <w:highlight w:val="none"/>
        </w:rPr>
        <w:t>7.4</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本次招标采购推荐的中标候选人数量见投标须知资料表。</w:t>
      </w:r>
    </w:p>
    <w:p w14:paraId="4AB0F808">
      <w:pPr>
        <w:pStyle w:val="2"/>
        <w:pageBreakBefore w:val="0"/>
        <w:wordWrap/>
        <w:overflowPunct/>
        <w:topLinePunct w:val="0"/>
        <w:bidi w:val="0"/>
        <w:spacing w:before="177" w:line="224" w:lineRule="auto"/>
        <w:ind w:left="1231"/>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二、评标中的落实政府采购政策具体办法</w:t>
      </w:r>
    </w:p>
    <w:p w14:paraId="3DC95466">
      <w:pPr>
        <w:pageBreakBefore w:val="0"/>
        <w:wordWrap/>
        <w:overflowPunct/>
        <w:topLinePunct w:val="0"/>
        <w:bidi w:val="0"/>
        <w:spacing w:line="398" w:lineRule="auto"/>
        <w:outlineLvl w:val="9"/>
        <w:rPr>
          <w:rFonts w:hint="eastAsia" w:ascii="仿宋" w:hAnsi="仿宋" w:eastAsia="仿宋" w:cs="仿宋"/>
          <w:color w:val="auto"/>
          <w:sz w:val="24"/>
          <w:szCs w:val="24"/>
          <w:highlight w:val="none"/>
        </w:rPr>
      </w:pPr>
    </w:p>
    <w:p w14:paraId="38E57C49">
      <w:pPr>
        <w:pStyle w:val="2"/>
        <w:pageBreakBefore w:val="0"/>
        <w:wordWrap/>
        <w:overflowPunct/>
        <w:topLinePunct w:val="0"/>
        <w:bidi w:val="0"/>
        <w:spacing w:before="78" w:line="308" w:lineRule="auto"/>
        <w:ind w:left="22" w:firstLine="49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1.根据《政府采购促进中小企业发展管理办法》（财库[2020]46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 xml:space="preserve">号）、《财 </w:t>
      </w:r>
      <w:r>
        <w:rPr>
          <w:rFonts w:hint="eastAsia" w:ascii="仿宋" w:hAnsi="仿宋" w:eastAsia="仿宋" w:cs="仿宋"/>
          <w:color w:val="auto"/>
          <w:spacing w:val="-3"/>
          <w:sz w:val="24"/>
          <w:szCs w:val="24"/>
          <w:highlight w:val="none"/>
        </w:rPr>
        <w:t>政部司法部关于政府采购支持监狱企业发展有关问题的通知》（财库〔2014〕68</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3"/>
          <w:sz w:val="24"/>
          <w:szCs w:val="24"/>
          <w:highlight w:val="none"/>
        </w:rPr>
        <w:t>号）和《三部门联合发布关于促进残疾人就业政府采购政策的通知》（财库〔2017〕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141</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号）的规定，对满足价格扣除条件且在响应文件中提交了《投标人企业类型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声明函》、《残疾人福利性单位声明函》或省级以上监狱管理局、戒毒管理局（含</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新疆生产建设兵团）出具的属于监狱企业的投标人，其投标报价扣除</w:t>
      </w:r>
      <w:r>
        <w:rPr>
          <w:rFonts w:hint="eastAsia" w:ascii="仿宋" w:hAnsi="仿宋" w:eastAsia="仿宋" w:cs="仿宋"/>
          <w:color w:val="auto"/>
          <w:sz w:val="24"/>
          <w:szCs w:val="24"/>
          <w:highlight w:val="none"/>
          <w:u w:val="single" w:color="auto"/>
        </w:rPr>
        <w:t xml:space="preserve"> 10 </w:t>
      </w:r>
      <w:r>
        <w:rPr>
          <w:rFonts w:hint="eastAsia" w:ascii="仿宋" w:hAnsi="仿宋" w:eastAsia="仿宋" w:cs="仿宋"/>
          <w:color w:val="auto"/>
          <w:sz w:val="24"/>
          <w:szCs w:val="24"/>
          <w:highlight w:val="none"/>
        </w:rPr>
        <w:t>%后参</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与评审。对于同时属于小微企业、监狱企业残疾人福利性单位的，不重复进行投</w:t>
      </w:r>
    </w:p>
    <w:p w14:paraId="7C05823D">
      <w:pPr>
        <w:pStyle w:val="2"/>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标报价扣除。</w:t>
      </w:r>
    </w:p>
    <w:p w14:paraId="7409F45F">
      <w:pPr>
        <w:pStyle w:val="2"/>
        <w:pageBreakBefore w:val="0"/>
        <w:wordWrap/>
        <w:overflowPunct/>
        <w:topLinePunct w:val="0"/>
        <w:bidi w:val="0"/>
        <w:spacing w:before="115" w:line="400" w:lineRule="exact"/>
        <w:ind w:left="5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position w:val="11"/>
          <w:sz w:val="24"/>
          <w:szCs w:val="24"/>
          <w:highlight w:val="none"/>
        </w:rPr>
        <w:t>2.联合协议中约定，小型、微型企业和监狱企业的协议合同金额</w:t>
      </w:r>
      <w:r>
        <w:rPr>
          <w:rFonts w:hint="eastAsia" w:ascii="仿宋" w:hAnsi="仿宋" w:eastAsia="仿宋" w:cs="仿宋"/>
          <w:color w:val="auto"/>
          <w:spacing w:val="-4"/>
          <w:position w:val="11"/>
          <w:sz w:val="24"/>
          <w:szCs w:val="24"/>
          <w:highlight w:val="none"/>
        </w:rPr>
        <w:t>占到联合体</w:t>
      </w:r>
    </w:p>
    <w:p w14:paraId="568F2C56">
      <w:pPr>
        <w:pStyle w:val="2"/>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协议合同总金额</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40%以上的，可给予联合体</w:t>
      </w:r>
      <w:r>
        <w:rPr>
          <w:rFonts w:hint="eastAsia" w:ascii="仿宋" w:hAnsi="仿宋" w:eastAsia="仿宋" w:cs="仿宋"/>
          <w:color w:val="auto"/>
          <w:spacing w:val="-1"/>
          <w:sz w:val="24"/>
          <w:szCs w:val="24"/>
          <w:highlight w:val="none"/>
          <w:u w:val="single" w:color="auto"/>
        </w:rPr>
        <w:t xml:space="preserve">  /  </w:t>
      </w:r>
      <w:r>
        <w:rPr>
          <w:rFonts w:hint="eastAsia" w:ascii="仿宋" w:hAnsi="仿宋" w:eastAsia="仿宋" w:cs="仿宋"/>
          <w:color w:val="auto"/>
          <w:spacing w:val="-1"/>
          <w:sz w:val="24"/>
          <w:szCs w:val="24"/>
          <w:highlight w:val="none"/>
        </w:rPr>
        <w:t>%的价格扣除。</w:t>
      </w:r>
    </w:p>
    <w:p w14:paraId="694820E1">
      <w:pPr>
        <w:pStyle w:val="2"/>
        <w:pageBreakBefore w:val="0"/>
        <w:wordWrap/>
        <w:overflowPunct/>
        <w:topLinePunct w:val="0"/>
        <w:bidi w:val="0"/>
        <w:spacing w:before="118" w:line="263" w:lineRule="auto"/>
        <w:ind w:left="22" w:right="75"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联合体各方均为小型、微型企业和监狱企业的，联合体视同为</w:t>
      </w:r>
      <w:r>
        <w:rPr>
          <w:rFonts w:hint="eastAsia" w:ascii="仿宋" w:hAnsi="仿宋" w:eastAsia="仿宋" w:cs="仿宋"/>
          <w:color w:val="auto"/>
          <w:spacing w:val="-4"/>
          <w:sz w:val="24"/>
          <w:szCs w:val="24"/>
          <w:highlight w:val="none"/>
        </w:rPr>
        <w:t>小型、微型企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业和监狱企业。</w:t>
      </w:r>
    </w:p>
    <w:p w14:paraId="2B9A0917">
      <w:pPr>
        <w:pStyle w:val="2"/>
        <w:pageBreakBefore w:val="0"/>
        <w:wordWrap/>
        <w:overflowPunct/>
        <w:topLinePunct w:val="0"/>
        <w:bidi w:val="0"/>
        <w:spacing w:before="114" w:line="278" w:lineRule="auto"/>
        <w:ind w:left="22" w:right="75"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3.投标人所投产品如被列入财政部与国家主管部门颁发的节能产品目录或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环境标志产品目录或无线局域网产品目录，应提供相关证明，在评标时予以优先</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采购，具体优惠措施为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z w:val="24"/>
          <w:szCs w:val="24"/>
          <w:highlight w:val="none"/>
          <w:u w:val="single" w:color="auto"/>
        </w:rPr>
        <w:t xml:space="preserve">        </w:t>
      </w:r>
    </w:p>
    <w:p w14:paraId="61B238D2">
      <w:pPr>
        <w:pStyle w:val="2"/>
        <w:pageBreakBefore w:val="0"/>
        <w:wordWrap/>
        <w:overflowPunct/>
        <w:topLinePunct w:val="0"/>
        <w:bidi w:val="0"/>
        <w:spacing w:before="118" w:line="278" w:lineRule="auto"/>
        <w:ind w:left="22" w:right="75"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4.如采购人所采购产品为政府强制采购的节能产品，投标人所投产品的品牌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及型号必须为清单中有效期内产品并提供证明文件，否则其投标将</w:t>
      </w:r>
      <w:r>
        <w:rPr>
          <w:rFonts w:hint="eastAsia" w:ascii="仿宋" w:hAnsi="仿宋" w:eastAsia="仿宋" w:cs="仿宋"/>
          <w:color w:val="auto"/>
          <w:spacing w:val="-4"/>
          <w:sz w:val="24"/>
          <w:szCs w:val="24"/>
          <w:highlight w:val="none"/>
        </w:rPr>
        <w:t>被认定为</w:t>
      </w:r>
      <w:r>
        <w:rPr>
          <w:rFonts w:hint="eastAsia" w:ascii="仿宋" w:hAnsi="仿宋" w:eastAsia="仿宋" w:cs="仿宋"/>
          <w:b/>
          <w:bCs/>
          <w:color w:val="auto"/>
          <w:spacing w:val="-4"/>
          <w:sz w:val="24"/>
          <w:szCs w:val="24"/>
          <w:highlight w:val="none"/>
        </w:rPr>
        <w:t>投标</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5"/>
          <w:sz w:val="24"/>
          <w:szCs w:val="24"/>
          <w:highlight w:val="none"/>
        </w:rPr>
        <w:t>无效</w:t>
      </w:r>
      <w:r>
        <w:rPr>
          <w:rFonts w:hint="eastAsia" w:ascii="仿宋" w:hAnsi="仿宋" w:eastAsia="仿宋" w:cs="仿宋"/>
          <w:color w:val="auto"/>
          <w:spacing w:val="-5"/>
          <w:sz w:val="24"/>
          <w:szCs w:val="24"/>
          <w:highlight w:val="none"/>
        </w:rPr>
        <w:t>。</w:t>
      </w:r>
    </w:p>
    <w:p w14:paraId="3A4ABAAF">
      <w:pPr>
        <w:pStyle w:val="2"/>
        <w:pageBreakBefore w:val="0"/>
        <w:wordWrap/>
        <w:overflowPunct/>
        <w:topLinePunct w:val="0"/>
        <w:bidi w:val="0"/>
        <w:spacing w:before="1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5.对创新产品或创新性企业的优惠措施为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pacing w:val="1"/>
          <w:sz w:val="24"/>
          <w:szCs w:val="24"/>
          <w:highlight w:val="none"/>
          <w:u w:val="single" w:color="auto"/>
        </w:rPr>
        <w:t xml:space="preserve">             </w:t>
      </w:r>
    </w:p>
    <w:p w14:paraId="23FF6592">
      <w:pPr>
        <w:pStyle w:val="2"/>
        <w:pageBreakBefore w:val="0"/>
        <w:wordWrap/>
        <w:overflowPunct/>
        <w:topLinePunct w:val="0"/>
        <w:bidi w:val="0"/>
        <w:spacing w:before="116"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6.中标候选人并列式时的处理方式：</w:t>
      </w:r>
    </w:p>
    <w:p w14:paraId="57B97714">
      <w:pPr>
        <w:pStyle w:val="2"/>
        <w:pageBreakBefore w:val="0"/>
        <w:wordWrap/>
        <w:overflowPunct/>
        <w:topLinePunct w:val="0"/>
        <w:bidi w:val="0"/>
        <w:spacing w:before="154" w:line="359" w:lineRule="auto"/>
        <w:ind w:left="23" w:right="75"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如采用综合评标法，则： 评标结果按评审后得分由高到低顺序排列。得分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相同的，按磋商报价由低到高顺序排列。得分且磋商报价相同的并列。投标文件</w:t>
      </w:r>
    </w:p>
    <w:p w14:paraId="7D0DDC1B">
      <w:pPr>
        <w:pStyle w:val="2"/>
        <w:pageBreakBefore w:val="0"/>
        <w:wordWrap/>
        <w:overflowPunct/>
        <w:topLinePunct w:val="0"/>
        <w:bidi w:val="0"/>
        <w:spacing w:before="1" w:line="218" w:lineRule="auto"/>
        <w:ind w:left="2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满足磋商文件全部实质性要求，且按照评审因素的量化指标评审得分最高的供应</w:t>
      </w:r>
    </w:p>
    <w:p w14:paraId="33EF678C">
      <w:pPr>
        <w:pStyle w:val="2"/>
        <w:pageBreakBefore w:val="0"/>
        <w:wordWrap/>
        <w:overflowPunct/>
        <w:topLinePunct w:val="0"/>
        <w:bidi w:val="0"/>
        <w:spacing w:before="184" w:line="219" w:lineRule="auto"/>
        <w:ind w:left="2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商为排名第一的成交候选人。</w:t>
      </w:r>
    </w:p>
    <w:p w14:paraId="05D074EC">
      <w:pPr>
        <w:pageBreakBefore w:val="0"/>
        <w:wordWrap/>
        <w:overflowPunct/>
        <w:topLinePunct w:val="0"/>
        <w:bidi w:val="0"/>
        <w:spacing w:line="219" w:lineRule="auto"/>
        <w:outlineLvl w:val="9"/>
        <w:rPr>
          <w:rFonts w:hint="eastAsia" w:ascii="仿宋" w:hAnsi="仿宋" w:eastAsia="仿宋" w:cs="仿宋"/>
          <w:color w:val="auto"/>
          <w:sz w:val="24"/>
          <w:szCs w:val="24"/>
          <w:highlight w:val="none"/>
        </w:rPr>
        <w:sectPr>
          <w:footerReference r:id="rId27" w:type="default"/>
          <w:pgSz w:w="11906" w:h="16839"/>
          <w:pgMar w:top="1431" w:right="1723" w:bottom="1171" w:left="1785" w:header="0" w:footer="992" w:gutter="0"/>
          <w:pgNumType w:fmt="decimal"/>
          <w:cols w:space="720" w:num="1"/>
        </w:sectPr>
      </w:pPr>
    </w:p>
    <w:p w14:paraId="10591D99">
      <w:pPr>
        <w:pageBreakBefore w:val="0"/>
        <w:wordWrap/>
        <w:overflowPunct/>
        <w:topLinePunct w:val="0"/>
        <w:bidi w:val="0"/>
        <w:ind w:firstLine="3468" w:firstLineChars="1100"/>
        <w:outlineLvl w:val="9"/>
        <w:rPr>
          <w:rFonts w:hint="eastAsia" w:ascii="仿宋" w:hAnsi="仿宋" w:eastAsia="仿宋" w:cs="仿宋"/>
          <w:sz w:val="32"/>
          <w:szCs w:val="32"/>
        </w:rPr>
      </w:pPr>
      <w:r>
        <w:rPr>
          <w:rFonts w:hint="eastAsia" w:ascii="仿宋" w:hAnsi="仿宋" w:eastAsia="仿宋" w:cs="仿宋"/>
          <w:b/>
          <w:snapToGrid w:val="0"/>
          <w:color w:val="auto"/>
          <w:spacing w:val="-3"/>
          <w:kern w:val="0"/>
          <w:sz w:val="32"/>
          <w:szCs w:val="32"/>
          <w:highlight w:val="none"/>
          <w:lang w:val="en-US" w:eastAsia="zh-CN" w:bidi="ar-SA"/>
        </w:rPr>
        <w:t>综合评分表</w:t>
      </w:r>
    </w:p>
    <w:p w14:paraId="061B6384">
      <w:pPr>
        <w:rPr>
          <w:rFonts w:hint="eastAsia" w:ascii="仿宋" w:hAnsi="仿宋" w:eastAsia="仿宋" w:cs="仿宋"/>
          <w:sz w:val="24"/>
          <w:szCs w:val="24"/>
        </w:rPr>
      </w:pPr>
    </w:p>
    <w:tbl>
      <w:tblPr>
        <w:tblStyle w:val="24"/>
        <w:tblpPr w:leftFromText="180" w:rightFromText="180" w:vertAnchor="text" w:horzAnchor="page" w:tblpX="1310" w:tblpY="316"/>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91"/>
        <w:gridCol w:w="734"/>
        <w:gridCol w:w="6285"/>
        <w:gridCol w:w="780"/>
      </w:tblGrid>
      <w:tr w14:paraId="739E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981" w:type="dxa"/>
            <w:noWrap w:val="0"/>
            <w:vAlign w:val="center"/>
          </w:tcPr>
          <w:p w14:paraId="6E3C26F7">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序号</w:t>
            </w:r>
          </w:p>
        </w:tc>
        <w:tc>
          <w:tcPr>
            <w:tcW w:w="791" w:type="dxa"/>
            <w:noWrap w:val="0"/>
            <w:vAlign w:val="center"/>
          </w:tcPr>
          <w:p w14:paraId="5297FC12">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评分因素</w:t>
            </w:r>
          </w:p>
        </w:tc>
        <w:tc>
          <w:tcPr>
            <w:tcW w:w="734" w:type="dxa"/>
            <w:noWrap w:val="0"/>
            <w:vAlign w:val="center"/>
          </w:tcPr>
          <w:p w14:paraId="188E1573">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分值</w:t>
            </w:r>
          </w:p>
        </w:tc>
        <w:tc>
          <w:tcPr>
            <w:tcW w:w="6285" w:type="dxa"/>
            <w:noWrap w:val="0"/>
            <w:vAlign w:val="center"/>
          </w:tcPr>
          <w:p w14:paraId="5962CB74">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评分标准</w:t>
            </w:r>
          </w:p>
          <w:p w14:paraId="0744A643">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价格：40分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技术：47分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商务：13分</w:t>
            </w:r>
            <w:r>
              <w:rPr>
                <w:rFonts w:hint="eastAsia" w:ascii="仿宋" w:hAnsi="仿宋" w:eastAsia="仿宋" w:cs="仿宋"/>
                <w:snapToGrid w:val="0"/>
                <w:color w:val="auto"/>
                <w:spacing w:val="-3"/>
                <w:kern w:val="0"/>
                <w:sz w:val="24"/>
                <w:szCs w:val="24"/>
                <w:highlight w:val="none"/>
                <w:lang w:val="en-US" w:eastAsia="en-US" w:bidi="ar-SA"/>
              </w:rPr>
              <w:t xml:space="preserve">               </w:t>
            </w:r>
          </w:p>
        </w:tc>
        <w:tc>
          <w:tcPr>
            <w:tcW w:w="780" w:type="dxa"/>
            <w:noWrap w:val="0"/>
            <w:vAlign w:val="center"/>
          </w:tcPr>
          <w:p w14:paraId="00B42B24">
            <w:pPr>
              <w:pStyle w:val="32"/>
              <w:shd w:val="clear" w:color="auto" w:fill="auto"/>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14:paraId="2D86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981" w:type="dxa"/>
            <w:noWrap w:val="0"/>
            <w:vAlign w:val="center"/>
          </w:tcPr>
          <w:p w14:paraId="2294D7E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 格部 分（40分）</w:t>
            </w:r>
          </w:p>
        </w:tc>
        <w:tc>
          <w:tcPr>
            <w:tcW w:w="791" w:type="dxa"/>
            <w:noWrap w:val="0"/>
            <w:vAlign w:val="center"/>
          </w:tcPr>
          <w:p w14:paraId="1186E79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价格评分标准</w:t>
            </w:r>
          </w:p>
        </w:tc>
        <w:tc>
          <w:tcPr>
            <w:tcW w:w="734" w:type="dxa"/>
            <w:noWrap w:val="0"/>
            <w:vAlign w:val="center"/>
          </w:tcPr>
          <w:p w14:paraId="6B0B113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40分</w:t>
            </w:r>
          </w:p>
        </w:tc>
        <w:tc>
          <w:tcPr>
            <w:tcW w:w="6285" w:type="dxa"/>
            <w:noWrap w:val="0"/>
            <w:vAlign w:val="center"/>
          </w:tcPr>
          <w:p w14:paraId="28DD527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完全满足招标文件参数的投标报价中的最低报价为评标基准价，按照下列公式计算每个投标人的投标价格得分。</w:t>
            </w:r>
          </w:p>
          <w:p w14:paraId="3DEE5A95">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评分标准=（评标基准价/有效投标报价）*最大分值，其中：评标基准价=最低投标报价</w:t>
            </w:r>
          </w:p>
          <w:p w14:paraId="34AB5EE1">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有效投标报价=投标报价（若存在价格评审优惠的场景，此处投标报价为进行相应价格评审优惠后的价格，最终以评标结果为准）</w:t>
            </w:r>
          </w:p>
          <w:p w14:paraId="5EEEC08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投标报价超过采购预算价的按无效投标处理。</w:t>
            </w:r>
          </w:p>
        </w:tc>
        <w:tc>
          <w:tcPr>
            <w:tcW w:w="780" w:type="dxa"/>
            <w:noWrap w:val="0"/>
            <w:vAlign w:val="center"/>
          </w:tcPr>
          <w:p w14:paraId="6322ECB4">
            <w:pPr>
              <w:shd w:val="clear" w:color="auto" w:fill="auto"/>
              <w:spacing w:line="400" w:lineRule="exact"/>
              <w:rPr>
                <w:rFonts w:hint="eastAsia" w:ascii="仿宋" w:hAnsi="仿宋" w:eastAsia="仿宋" w:cs="仿宋"/>
                <w:color w:val="auto"/>
                <w:sz w:val="24"/>
                <w:szCs w:val="24"/>
                <w:highlight w:val="none"/>
              </w:rPr>
            </w:pPr>
          </w:p>
        </w:tc>
      </w:tr>
      <w:tr w14:paraId="5F66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restart"/>
            <w:noWrap w:val="0"/>
            <w:vAlign w:val="center"/>
          </w:tcPr>
          <w:p w14:paraId="6FCF3AF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 术评 分标 准</w:t>
            </w:r>
          </w:p>
          <w:p w14:paraId="4CC5C71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（47分）</w:t>
            </w:r>
          </w:p>
        </w:tc>
        <w:tc>
          <w:tcPr>
            <w:tcW w:w="791" w:type="dxa"/>
            <w:noWrap w:val="0"/>
            <w:vAlign w:val="center"/>
          </w:tcPr>
          <w:p w14:paraId="31080DD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项目实施方案</w:t>
            </w:r>
          </w:p>
        </w:tc>
        <w:tc>
          <w:tcPr>
            <w:tcW w:w="734" w:type="dxa"/>
            <w:noWrap w:val="0"/>
            <w:vAlign w:val="center"/>
          </w:tcPr>
          <w:p w14:paraId="5E48E9A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12分</w:t>
            </w:r>
          </w:p>
        </w:tc>
        <w:tc>
          <w:tcPr>
            <w:tcW w:w="6285" w:type="dxa"/>
            <w:noWrap w:val="0"/>
            <w:vAlign w:val="center"/>
          </w:tcPr>
          <w:p w14:paraId="572E7EC8">
            <w:pPr>
              <w:bidi w:val="0"/>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投标人根据本项目需求，编写施工方案、方法及整体保障方案等内容，方案内容包含：①整体项目概况；②编制依据和原则；③项目质量控制；④设施设备保障目标；⑤设施设备维护计划及安装、调试方案；⑥项目质量验收；以上6项内容，每提供一项内容得2分，全部提供完整且完全满足项目要求得12分，每项内容中有一处内容缺陷得1分，不提供不得分。</w:t>
            </w:r>
          </w:p>
        </w:tc>
        <w:tc>
          <w:tcPr>
            <w:tcW w:w="780" w:type="dxa"/>
            <w:noWrap w:val="0"/>
            <w:vAlign w:val="center"/>
          </w:tcPr>
          <w:p w14:paraId="057C72F5">
            <w:pPr>
              <w:shd w:val="clear" w:color="auto" w:fill="auto"/>
              <w:spacing w:line="400" w:lineRule="exact"/>
              <w:rPr>
                <w:rFonts w:hint="eastAsia" w:ascii="仿宋" w:hAnsi="仿宋" w:eastAsia="仿宋" w:cs="仿宋"/>
                <w:color w:val="auto"/>
                <w:sz w:val="24"/>
                <w:szCs w:val="24"/>
                <w:highlight w:val="none"/>
              </w:rPr>
            </w:pPr>
          </w:p>
        </w:tc>
      </w:tr>
      <w:tr w14:paraId="278D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continue"/>
            <w:noWrap w:val="0"/>
            <w:vAlign w:val="center"/>
          </w:tcPr>
          <w:p w14:paraId="1D740623">
            <w:pPr>
              <w:bidi w:val="0"/>
              <w:rPr>
                <w:rFonts w:hint="eastAsia" w:ascii="仿宋" w:hAnsi="仿宋" w:eastAsia="仿宋" w:cs="仿宋"/>
                <w:snapToGrid w:val="0"/>
                <w:color w:val="auto"/>
                <w:spacing w:val="-3"/>
                <w:kern w:val="0"/>
                <w:sz w:val="24"/>
                <w:szCs w:val="24"/>
                <w:highlight w:val="none"/>
                <w:lang w:val="en-US" w:eastAsia="zh-CN" w:bidi="ar-SA"/>
              </w:rPr>
            </w:pPr>
          </w:p>
        </w:tc>
        <w:tc>
          <w:tcPr>
            <w:tcW w:w="791" w:type="dxa"/>
            <w:noWrap w:val="0"/>
            <w:vAlign w:val="center"/>
          </w:tcPr>
          <w:p w14:paraId="0C3AD75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整体项目保证体系及保证措</w:t>
            </w:r>
          </w:p>
          <w:p w14:paraId="2BC2F05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施</w:t>
            </w:r>
          </w:p>
        </w:tc>
        <w:tc>
          <w:tcPr>
            <w:tcW w:w="734" w:type="dxa"/>
            <w:noWrap w:val="0"/>
            <w:vAlign w:val="center"/>
          </w:tcPr>
          <w:p w14:paraId="6F365D2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top"/>
          </w:tcPr>
          <w:p w14:paraId="002679A1">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项目特点，编写整体项目保证体系及保证措施，内容包含：①项目进度安排保证措施：②人员调配投入计划；③施工进度计划；以上3项内容，每提供一项内容得1分，全部提供完整且完全满足项目要求得3分，每项内容中有一处内容缺陷得1分，不提供不得分。</w:t>
            </w:r>
          </w:p>
        </w:tc>
        <w:tc>
          <w:tcPr>
            <w:tcW w:w="780" w:type="dxa"/>
            <w:noWrap w:val="0"/>
            <w:vAlign w:val="center"/>
          </w:tcPr>
          <w:p w14:paraId="39102C02">
            <w:pPr>
              <w:shd w:val="clear" w:color="auto" w:fill="auto"/>
              <w:spacing w:line="400" w:lineRule="exact"/>
              <w:rPr>
                <w:rFonts w:hint="eastAsia" w:ascii="仿宋" w:hAnsi="仿宋" w:eastAsia="仿宋" w:cs="仿宋"/>
                <w:color w:val="auto"/>
                <w:sz w:val="24"/>
                <w:szCs w:val="24"/>
                <w:highlight w:val="none"/>
              </w:rPr>
            </w:pPr>
          </w:p>
        </w:tc>
      </w:tr>
      <w:tr w14:paraId="6F5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45F03203">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603823C8">
            <w:pPr>
              <w:bidi w:val="0"/>
              <w:rPr>
                <w:rFonts w:hint="eastAsia" w:ascii="仿宋" w:hAnsi="仿宋" w:eastAsia="仿宋" w:cs="仿宋"/>
                <w:snapToGrid w:val="0"/>
                <w:color w:val="auto"/>
                <w:spacing w:val="-3"/>
                <w:kern w:val="0"/>
                <w:sz w:val="24"/>
                <w:szCs w:val="24"/>
                <w:highlight w:val="none"/>
                <w:lang w:val="en-US" w:eastAsia="zh-CN" w:bidi="ar-SA"/>
              </w:rPr>
            </w:pPr>
            <w:bookmarkStart w:id="418" w:name="OLE_LINK20"/>
            <w:r>
              <w:rPr>
                <w:rFonts w:hint="eastAsia" w:ascii="仿宋" w:hAnsi="仿宋" w:eastAsia="仿宋" w:cs="仿宋"/>
                <w:snapToGrid w:val="0"/>
                <w:color w:val="auto"/>
                <w:spacing w:val="-3"/>
                <w:kern w:val="0"/>
                <w:sz w:val="24"/>
                <w:szCs w:val="24"/>
                <w:highlight w:val="none"/>
                <w:lang w:val="en-US" w:eastAsia="zh-CN" w:bidi="ar-SA"/>
              </w:rPr>
              <w:t>现场文明施工方案</w:t>
            </w:r>
            <w:bookmarkEnd w:id="418"/>
          </w:p>
        </w:tc>
        <w:tc>
          <w:tcPr>
            <w:tcW w:w="734" w:type="dxa"/>
            <w:noWrap w:val="0"/>
            <w:vAlign w:val="center"/>
          </w:tcPr>
          <w:p w14:paraId="6E0BBDF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4分</w:t>
            </w:r>
          </w:p>
        </w:tc>
        <w:tc>
          <w:tcPr>
            <w:tcW w:w="6285" w:type="dxa"/>
            <w:noWrap w:val="0"/>
            <w:vAlign w:val="center"/>
          </w:tcPr>
          <w:p w14:paraId="3FF205D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现场文明施工方案（4分)：</w:t>
            </w:r>
          </w:p>
          <w:p w14:paraId="0FB5E93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文明施工方案措施应符合工程实际情况，切实可行，需包含：1.文明施工的组织管理2.现场布置3.安全措施（施工现场必须与教学区设置硬隔离、施工车辆进出学校的相关安全措施）、4.文明施工措施等（包含但不限于施工人员遵守学校管理规定等）以上每项内容完整准确且能完全满足项目需求的得4分。每项内容完整得1分，内容有缺陷或缺项漏项不得分。</w:t>
            </w:r>
          </w:p>
        </w:tc>
        <w:tc>
          <w:tcPr>
            <w:tcW w:w="780" w:type="dxa"/>
            <w:noWrap w:val="0"/>
            <w:vAlign w:val="center"/>
          </w:tcPr>
          <w:p w14:paraId="0BA582B8">
            <w:pPr>
              <w:shd w:val="clear" w:color="auto" w:fill="auto"/>
              <w:spacing w:line="400" w:lineRule="exact"/>
              <w:rPr>
                <w:rFonts w:hint="eastAsia" w:ascii="仿宋" w:hAnsi="仿宋" w:eastAsia="仿宋" w:cs="仿宋"/>
                <w:color w:val="auto"/>
                <w:sz w:val="24"/>
                <w:szCs w:val="24"/>
                <w:highlight w:val="none"/>
              </w:rPr>
            </w:pPr>
          </w:p>
        </w:tc>
      </w:tr>
      <w:tr w14:paraId="221B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09CD33FE">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5E58D55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工程质量管</w:t>
            </w:r>
          </w:p>
          <w:p w14:paraId="6F5C359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理体系及保</w:t>
            </w:r>
          </w:p>
          <w:p w14:paraId="7A5ACA9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证措施</w:t>
            </w:r>
          </w:p>
        </w:tc>
        <w:tc>
          <w:tcPr>
            <w:tcW w:w="734" w:type="dxa"/>
            <w:noWrap w:val="0"/>
            <w:vAlign w:val="center"/>
          </w:tcPr>
          <w:p w14:paraId="2C39EF3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4A4471D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工程特点，编写质量管理体系及保证措施，内容包含：①质量目标；②质量责任制；③质量保证体系及监督体系；④管理措施；⑤技术措施；以上5项内容，每提供一项内容得2分，全部提供完整且完全满足项目要求得10分，每项内容中有一处内容缺陷得1分，不提供不得分。</w:t>
            </w:r>
          </w:p>
        </w:tc>
        <w:tc>
          <w:tcPr>
            <w:tcW w:w="780" w:type="dxa"/>
            <w:noWrap w:val="0"/>
            <w:vAlign w:val="center"/>
          </w:tcPr>
          <w:p w14:paraId="27B86915">
            <w:pPr>
              <w:shd w:val="clear" w:color="auto" w:fill="auto"/>
              <w:spacing w:line="400" w:lineRule="exact"/>
              <w:rPr>
                <w:rFonts w:hint="eastAsia" w:ascii="仿宋" w:hAnsi="仿宋" w:eastAsia="仿宋" w:cs="仿宋"/>
                <w:color w:val="auto"/>
                <w:sz w:val="24"/>
                <w:szCs w:val="24"/>
                <w:highlight w:val="none"/>
              </w:rPr>
            </w:pPr>
          </w:p>
        </w:tc>
      </w:tr>
      <w:tr w14:paraId="67E3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2EBE15BD">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57D9B70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安全生产管理体系及保证措施</w:t>
            </w:r>
          </w:p>
        </w:tc>
        <w:tc>
          <w:tcPr>
            <w:tcW w:w="734" w:type="dxa"/>
            <w:noWrap w:val="0"/>
            <w:vAlign w:val="center"/>
          </w:tcPr>
          <w:p w14:paraId="1775872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798FE17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工程安全生产管理体系及保证措施编写方案，内容包含：①安全管理制度；②安全目标与计划；③安全技术措施；④安全教育培训措施；⑤安全检查与隐患排查措施；以上5项内容，每提供一项内容得2分，全部提供完整且完全满足项目要求得10分，每项内容中有一处内容缺陷得1分，不提供不得分。</w:t>
            </w:r>
          </w:p>
        </w:tc>
        <w:tc>
          <w:tcPr>
            <w:tcW w:w="780" w:type="dxa"/>
            <w:noWrap w:val="0"/>
            <w:vAlign w:val="center"/>
          </w:tcPr>
          <w:p w14:paraId="6F46E3C8">
            <w:pPr>
              <w:shd w:val="clear" w:color="auto" w:fill="auto"/>
              <w:spacing w:line="400" w:lineRule="exact"/>
              <w:rPr>
                <w:rFonts w:hint="eastAsia" w:ascii="仿宋" w:hAnsi="仿宋" w:eastAsia="仿宋" w:cs="仿宋"/>
                <w:color w:val="auto"/>
                <w:sz w:val="24"/>
                <w:szCs w:val="24"/>
                <w:highlight w:val="none"/>
              </w:rPr>
            </w:pPr>
          </w:p>
        </w:tc>
      </w:tr>
      <w:tr w14:paraId="21F6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6AC88E90">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1905D55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项目风险预 测与防范事 故应急预案</w:t>
            </w:r>
          </w:p>
        </w:tc>
        <w:tc>
          <w:tcPr>
            <w:tcW w:w="734" w:type="dxa"/>
            <w:noWrap w:val="0"/>
            <w:vAlign w:val="center"/>
          </w:tcPr>
          <w:p w14:paraId="56B9AD0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8分</w:t>
            </w:r>
          </w:p>
        </w:tc>
        <w:tc>
          <w:tcPr>
            <w:tcW w:w="6285" w:type="dxa"/>
            <w:noWrap w:val="0"/>
            <w:vAlign w:val="center"/>
          </w:tcPr>
          <w:p w14:paraId="14BA526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项目风险预测与防范事故编写应急预案，内容包含：①风险预测与分析；②预防措施；③应急组织机构与职责；④应急响应与后期处置；以上4项内容，每提供一项内容得2分，全部提供完整且完全满足项目要求得8分，每项内容中有一处内容缺陷得1分，不提供不得分。</w:t>
            </w:r>
          </w:p>
        </w:tc>
        <w:tc>
          <w:tcPr>
            <w:tcW w:w="780" w:type="dxa"/>
            <w:noWrap w:val="0"/>
            <w:vAlign w:val="center"/>
          </w:tcPr>
          <w:p w14:paraId="33AAD025">
            <w:pPr>
              <w:shd w:val="clear" w:color="auto" w:fill="auto"/>
              <w:spacing w:line="400" w:lineRule="exact"/>
              <w:rPr>
                <w:rFonts w:hint="eastAsia" w:ascii="仿宋" w:hAnsi="仿宋" w:eastAsia="仿宋" w:cs="仿宋"/>
                <w:color w:val="auto"/>
                <w:sz w:val="24"/>
                <w:szCs w:val="24"/>
                <w:highlight w:val="none"/>
              </w:rPr>
            </w:pPr>
          </w:p>
        </w:tc>
      </w:tr>
      <w:tr w14:paraId="030E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81" w:type="dxa"/>
            <w:vMerge w:val="restart"/>
            <w:noWrap w:val="0"/>
            <w:vAlign w:val="center"/>
          </w:tcPr>
          <w:p w14:paraId="322220F5">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商务评分标准</w:t>
            </w:r>
          </w:p>
          <w:p w14:paraId="62B0F61D">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（13分）</w:t>
            </w:r>
          </w:p>
        </w:tc>
        <w:tc>
          <w:tcPr>
            <w:tcW w:w="791" w:type="dxa"/>
            <w:noWrap w:val="0"/>
            <w:vAlign w:val="center"/>
          </w:tcPr>
          <w:p w14:paraId="28C29C1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企业业绩</w:t>
            </w:r>
          </w:p>
        </w:tc>
        <w:tc>
          <w:tcPr>
            <w:tcW w:w="734" w:type="dxa"/>
            <w:noWrap w:val="0"/>
            <w:vAlign w:val="center"/>
          </w:tcPr>
          <w:p w14:paraId="46A30DF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center"/>
          </w:tcPr>
          <w:p w14:paraId="581D438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自 2021年1月1日起有类似项目业绩的（需提供中标（成交）通知书 、合同协议、验收报告， 以签订日期为准），提供一套完整类似项目得1.5分，满分3分。</w:t>
            </w:r>
          </w:p>
        </w:tc>
        <w:tc>
          <w:tcPr>
            <w:tcW w:w="780" w:type="dxa"/>
            <w:noWrap w:val="0"/>
            <w:vAlign w:val="center"/>
          </w:tcPr>
          <w:p w14:paraId="42571F33">
            <w:pPr>
              <w:shd w:val="clear" w:color="auto" w:fill="auto"/>
              <w:spacing w:line="400" w:lineRule="exact"/>
              <w:rPr>
                <w:rFonts w:hint="eastAsia" w:ascii="仿宋" w:hAnsi="仿宋" w:eastAsia="仿宋" w:cs="仿宋"/>
                <w:color w:val="auto"/>
                <w:sz w:val="24"/>
                <w:szCs w:val="24"/>
                <w:highlight w:val="none"/>
              </w:rPr>
            </w:pPr>
          </w:p>
        </w:tc>
      </w:tr>
      <w:tr w14:paraId="04B6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981" w:type="dxa"/>
            <w:vMerge w:val="continue"/>
            <w:noWrap w:val="0"/>
            <w:vAlign w:val="center"/>
          </w:tcPr>
          <w:p w14:paraId="2E323CC9">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760F82F5">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w:t>
            </w:r>
          </w:p>
        </w:tc>
        <w:tc>
          <w:tcPr>
            <w:tcW w:w="734" w:type="dxa"/>
            <w:noWrap w:val="0"/>
            <w:vAlign w:val="center"/>
          </w:tcPr>
          <w:p w14:paraId="04B59C1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center"/>
          </w:tcPr>
          <w:p w14:paraId="255409A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项目负责人具有相关专业中级职称的得3分，其余不得分。 (提供相关证明材料扫描件）</w:t>
            </w:r>
          </w:p>
        </w:tc>
        <w:tc>
          <w:tcPr>
            <w:tcW w:w="780" w:type="dxa"/>
            <w:noWrap w:val="0"/>
            <w:vAlign w:val="center"/>
          </w:tcPr>
          <w:p w14:paraId="50FBB070">
            <w:pPr>
              <w:shd w:val="clear" w:color="auto" w:fill="auto"/>
              <w:spacing w:line="400" w:lineRule="exact"/>
              <w:rPr>
                <w:rFonts w:hint="eastAsia" w:ascii="仿宋" w:hAnsi="仿宋" w:eastAsia="仿宋" w:cs="仿宋"/>
                <w:color w:val="auto"/>
                <w:sz w:val="24"/>
                <w:szCs w:val="24"/>
                <w:highlight w:val="none"/>
              </w:rPr>
            </w:pPr>
          </w:p>
        </w:tc>
      </w:tr>
      <w:tr w14:paraId="24B6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981" w:type="dxa"/>
            <w:vMerge w:val="continue"/>
            <w:noWrap w:val="0"/>
            <w:vAlign w:val="center"/>
          </w:tcPr>
          <w:p w14:paraId="7936E75F">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77C7083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项目管理团队</w:t>
            </w:r>
          </w:p>
        </w:tc>
        <w:tc>
          <w:tcPr>
            <w:tcW w:w="734" w:type="dxa"/>
            <w:noWrap w:val="0"/>
            <w:vAlign w:val="center"/>
          </w:tcPr>
          <w:p w14:paraId="46A46AE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7分</w:t>
            </w:r>
          </w:p>
        </w:tc>
        <w:tc>
          <w:tcPr>
            <w:tcW w:w="6285" w:type="dxa"/>
            <w:noWrap w:val="0"/>
            <w:vAlign w:val="top"/>
          </w:tcPr>
          <w:p w14:paraId="67A0F79E">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技术负责人、施工员、安全员、材料员、造价人员、资料员、 质量员等项目主要管理人员配置全面，岗位证件齐全得 7分，配置不全、岗位证件不全，每项1分，缺1项不得分。(提供相关证明材料扫描件及投标单位为其缴纳的近三个月任意一个月的社保）</w:t>
            </w:r>
          </w:p>
        </w:tc>
        <w:tc>
          <w:tcPr>
            <w:tcW w:w="780" w:type="dxa"/>
            <w:noWrap w:val="0"/>
            <w:vAlign w:val="center"/>
          </w:tcPr>
          <w:p w14:paraId="769DFE24">
            <w:pPr>
              <w:shd w:val="clear" w:color="auto" w:fill="auto"/>
              <w:spacing w:line="400" w:lineRule="exact"/>
              <w:rPr>
                <w:rFonts w:hint="eastAsia" w:ascii="仿宋" w:hAnsi="仿宋" w:eastAsia="仿宋" w:cs="仿宋"/>
                <w:color w:val="auto"/>
                <w:sz w:val="24"/>
                <w:szCs w:val="24"/>
                <w:highlight w:val="none"/>
              </w:rPr>
            </w:pPr>
          </w:p>
        </w:tc>
      </w:tr>
    </w:tbl>
    <w:p w14:paraId="66632C35">
      <w:pPr>
        <w:pStyle w:val="2"/>
        <w:rPr>
          <w:rFonts w:hint="eastAsia"/>
        </w:rPr>
        <w:sectPr>
          <w:footerReference r:id="rId28" w:type="default"/>
          <w:pgSz w:w="11906" w:h="16839"/>
          <w:pgMar w:top="1412" w:right="1785" w:bottom="1171" w:left="1785" w:header="0" w:footer="992" w:gutter="0"/>
          <w:pgNumType w:fmt="decimal"/>
          <w:cols w:space="720" w:num="1"/>
        </w:sectPr>
      </w:pPr>
    </w:p>
    <w:p w14:paraId="0045703D">
      <w:pPr>
        <w:pStyle w:val="20"/>
        <w:rPr>
          <w:rFonts w:hint="eastAsia" w:ascii="仿宋" w:hAnsi="仿宋" w:eastAsia="仿宋" w:cs="仿宋"/>
          <w:sz w:val="24"/>
          <w:szCs w:val="24"/>
        </w:rPr>
      </w:pPr>
    </w:p>
    <w:p w14:paraId="7EB8FC9B">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r>
        <w:rPr>
          <w:rFonts w:hint="eastAsia" w:ascii="仿宋" w:hAnsi="仿宋" w:eastAsia="仿宋" w:cs="仿宋"/>
          <w:b/>
          <w:bCs/>
          <w:snapToGrid w:val="0"/>
          <w:color w:val="auto"/>
          <w:spacing w:val="-15"/>
          <w:kern w:val="0"/>
          <w:sz w:val="44"/>
          <w:szCs w:val="44"/>
          <w:highlight w:val="none"/>
          <w:lang w:val="en-US" w:eastAsia="zh-CN" w:bidi="ar-SA"/>
        </w:rPr>
        <w:t>伽师县巴仁镇第四小学提升改造项目一标段</w:t>
      </w:r>
    </w:p>
    <w:p w14:paraId="1E6A97A3">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r>
        <w:rPr>
          <w:rFonts w:hint="eastAsia" w:ascii="仿宋" w:hAnsi="仿宋" w:eastAsia="仿宋" w:cs="仿宋"/>
          <w:b/>
          <w:bCs/>
          <w:snapToGrid w:val="0"/>
          <w:color w:val="auto"/>
          <w:spacing w:val="-15"/>
          <w:kern w:val="0"/>
          <w:sz w:val="44"/>
          <w:szCs w:val="44"/>
          <w:highlight w:val="none"/>
          <w:lang w:val="en-US" w:eastAsia="zh-CN" w:bidi="ar-SA"/>
        </w:rPr>
        <w:t>（二次）</w:t>
      </w:r>
    </w:p>
    <w:p w14:paraId="37035E24">
      <w:pPr>
        <w:pStyle w:val="2"/>
        <w:pageBreakBefore w:val="0"/>
        <w:shd w:val="clear"/>
        <w:wordWrap/>
        <w:overflowPunct/>
        <w:topLinePunct w:val="0"/>
        <w:bidi w:val="0"/>
        <w:spacing w:line="240" w:lineRule="auto"/>
        <w:ind w:left="0" w:right="0" w:firstLine="0"/>
        <w:jc w:val="center"/>
        <w:outlineLvl w:val="9"/>
        <w:rPr>
          <w:rFonts w:hint="eastAsia" w:ascii="仿宋" w:hAnsi="仿宋" w:eastAsia="仿宋" w:cs="仿宋"/>
          <w:color w:val="auto"/>
          <w:sz w:val="40"/>
          <w:szCs w:val="40"/>
          <w:highlight w:val="none"/>
        </w:rPr>
      </w:pPr>
      <w:r>
        <w:rPr>
          <w:rFonts w:hint="eastAsia" w:ascii="仿宋" w:hAnsi="仿宋" w:eastAsia="仿宋" w:cs="仿宋"/>
          <w:color w:val="auto"/>
          <w:spacing w:val="-15"/>
          <w:sz w:val="40"/>
          <w:szCs w:val="40"/>
          <w:highlight w:val="none"/>
          <w:lang w:eastAsia="zh-CN"/>
        </w:rPr>
        <w:t>竞</w:t>
      </w:r>
      <w:r>
        <w:rPr>
          <w:rFonts w:hint="eastAsia" w:ascii="仿宋" w:hAnsi="仿宋" w:eastAsia="仿宋" w:cs="仿宋"/>
          <w:color w:val="auto"/>
          <w:spacing w:val="-15"/>
          <w:sz w:val="40"/>
          <w:szCs w:val="40"/>
          <w:highlight w:val="none"/>
        </w:rPr>
        <w:t>争性磋商文件</w:t>
      </w:r>
    </w:p>
    <w:p w14:paraId="11090756">
      <w:pPr>
        <w:pageBreakBefore w:val="0"/>
        <w:shd w:val="clear"/>
        <w:wordWrap/>
        <w:overflowPunct/>
        <w:topLinePunct w:val="0"/>
        <w:bidi w:val="0"/>
        <w:spacing w:line="254" w:lineRule="auto"/>
        <w:outlineLvl w:val="9"/>
        <w:rPr>
          <w:rFonts w:hint="eastAsia" w:ascii="仿宋" w:hAnsi="仿宋" w:eastAsia="仿宋" w:cs="仿宋"/>
          <w:color w:val="auto"/>
          <w:sz w:val="24"/>
          <w:szCs w:val="24"/>
          <w:highlight w:val="none"/>
        </w:rPr>
      </w:pPr>
    </w:p>
    <w:p w14:paraId="4691A13E">
      <w:pPr>
        <w:pageBreakBefore w:val="0"/>
        <w:shd w:val="clear"/>
        <w:wordWrap/>
        <w:overflowPunct/>
        <w:topLinePunct w:val="0"/>
        <w:bidi w:val="0"/>
        <w:spacing w:line="254" w:lineRule="auto"/>
        <w:outlineLvl w:val="9"/>
        <w:rPr>
          <w:rFonts w:hint="eastAsia" w:ascii="仿宋" w:hAnsi="仿宋" w:eastAsia="仿宋" w:cs="仿宋"/>
          <w:color w:val="auto"/>
          <w:sz w:val="24"/>
          <w:szCs w:val="24"/>
          <w:highlight w:val="none"/>
        </w:rPr>
      </w:pPr>
    </w:p>
    <w:p w14:paraId="61A20543">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7FA64C06">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65A0E13E">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718A4ED1">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3B779448">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63020140">
      <w:pPr>
        <w:pStyle w:val="2"/>
        <w:pageBreakBefore w:val="0"/>
        <w:shd w:val="clear"/>
        <w:wordWrap/>
        <w:overflowPunct/>
        <w:topLinePunct w:val="0"/>
        <w:bidi w:val="0"/>
        <w:spacing w:before="101" w:line="223" w:lineRule="auto"/>
        <w:ind w:left="1791"/>
        <w:outlineLvl w:val="9"/>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 项目编号：</w:t>
      </w:r>
      <w:r>
        <w:rPr>
          <w:rFonts w:hint="eastAsia" w:ascii="仿宋" w:hAnsi="仿宋" w:eastAsia="仿宋" w:cs="仿宋"/>
          <w:color w:val="auto"/>
          <w:spacing w:val="6"/>
          <w:sz w:val="32"/>
          <w:szCs w:val="32"/>
          <w:highlight w:val="none"/>
          <w:lang w:eastAsia="zh-CN"/>
        </w:rPr>
        <w:t>KSJSX(CS)20</w:t>
      </w:r>
      <w:r>
        <w:rPr>
          <w:rFonts w:hint="eastAsia" w:ascii="仿宋" w:hAnsi="仿宋" w:eastAsia="仿宋" w:cs="仿宋"/>
          <w:color w:val="auto"/>
          <w:spacing w:val="6"/>
          <w:sz w:val="32"/>
          <w:szCs w:val="32"/>
          <w:highlight w:val="none"/>
          <w:lang w:val="en-US" w:eastAsia="zh-CN"/>
        </w:rPr>
        <w:t>25</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25</w:t>
      </w:r>
      <w:r>
        <w:rPr>
          <w:rFonts w:hint="eastAsia" w:ascii="仿宋" w:hAnsi="仿宋" w:eastAsia="仿宋" w:cs="仿宋"/>
          <w:color w:val="auto"/>
          <w:spacing w:val="6"/>
          <w:sz w:val="32"/>
          <w:szCs w:val="32"/>
          <w:highlight w:val="none"/>
        </w:rPr>
        <w:t>）</w:t>
      </w:r>
    </w:p>
    <w:p w14:paraId="1353AAC8">
      <w:pPr>
        <w:pageBreakBefore w:val="0"/>
        <w:shd w:val="clear"/>
        <w:wordWrap/>
        <w:overflowPunct/>
        <w:topLinePunct w:val="0"/>
        <w:bidi w:val="0"/>
        <w:spacing w:line="342" w:lineRule="auto"/>
        <w:outlineLvl w:val="9"/>
        <w:rPr>
          <w:rFonts w:hint="eastAsia" w:ascii="仿宋" w:hAnsi="仿宋" w:eastAsia="仿宋" w:cs="仿宋"/>
          <w:color w:val="auto"/>
          <w:sz w:val="32"/>
          <w:szCs w:val="32"/>
          <w:highlight w:val="none"/>
        </w:rPr>
      </w:pPr>
    </w:p>
    <w:p w14:paraId="462B1610">
      <w:pPr>
        <w:pageBreakBefore w:val="0"/>
        <w:shd w:val="clear"/>
        <w:wordWrap/>
        <w:overflowPunct/>
        <w:topLinePunct w:val="0"/>
        <w:bidi w:val="0"/>
        <w:spacing w:line="342" w:lineRule="auto"/>
        <w:outlineLvl w:val="9"/>
        <w:rPr>
          <w:rFonts w:hint="eastAsia" w:ascii="仿宋" w:hAnsi="仿宋" w:eastAsia="仿宋" w:cs="仿宋"/>
          <w:color w:val="auto"/>
          <w:sz w:val="24"/>
          <w:szCs w:val="24"/>
          <w:highlight w:val="none"/>
        </w:rPr>
      </w:pPr>
    </w:p>
    <w:p w14:paraId="4C84C42A">
      <w:pPr>
        <w:pStyle w:val="2"/>
        <w:pageBreakBefore w:val="0"/>
        <w:shd w:val="clear"/>
        <w:wordWrap/>
        <w:overflowPunct/>
        <w:topLinePunct w:val="0"/>
        <w:bidi w:val="0"/>
        <w:spacing w:before="152" w:line="223" w:lineRule="auto"/>
        <w:ind w:left="373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1"/>
          <w:sz w:val="32"/>
          <w:szCs w:val="32"/>
          <w:highlight w:val="none"/>
        </w:rPr>
        <w:t>第三册</w:t>
      </w:r>
    </w:p>
    <w:p w14:paraId="2F96421A">
      <w:pPr>
        <w:pageBreakBefore w:val="0"/>
        <w:shd w:val="clear"/>
        <w:wordWrap/>
        <w:overflowPunct/>
        <w:topLinePunct w:val="0"/>
        <w:bidi w:val="0"/>
        <w:spacing w:line="223" w:lineRule="auto"/>
        <w:outlineLvl w:val="9"/>
        <w:rPr>
          <w:rFonts w:hint="eastAsia" w:ascii="仿宋" w:hAnsi="仿宋" w:eastAsia="仿宋" w:cs="仿宋"/>
          <w:color w:val="auto"/>
          <w:sz w:val="32"/>
          <w:szCs w:val="32"/>
          <w:highlight w:val="none"/>
        </w:rPr>
        <w:sectPr>
          <w:pgSz w:w="11906" w:h="16839"/>
          <w:pgMar w:top="1412" w:right="1785" w:bottom="1171" w:left="1785" w:header="0" w:footer="992" w:gutter="0"/>
          <w:pgNumType w:fmt="decimal"/>
          <w:cols w:space="720" w:num="1"/>
        </w:sectPr>
      </w:pPr>
    </w:p>
    <w:p w14:paraId="4027039A">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32"/>
          <w:szCs w:val="32"/>
          <w:lang w:val="en-US" w:eastAsia="zh-CN" w:bidi="ar-SA"/>
        </w:rPr>
      </w:pPr>
      <w:bookmarkStart w:id="419" w:name="_Toc24612"/>
      <w:r>
        <w:rPr>
          <w:rFonts w:hint="eastAsia" w:ascii="仿宋" w:hAnsi="仿宋" w:eastAsia="仿宋" w:cs="仿宋"/>
          <w:b/>
          <w:snapToGrid w:val="0"/>
          <w:color w:val="000000"/>
          <w:kern w:val="44"/>
          <w:sz w:val="32"/>
          <w:szCs w:val="32"/>
          <w:lang w:val="en-US" w:eastAsia="zh-CN" w:bidi="ar-SA"/>
        </w:rPr>
        <w:t>第七章   合同</w:t>
      </w:r>
      <w:bookmarkEnd w:id="419"/>
    </w:p>
    <w:p w14:paraId="58FA27B1">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合同条款及格式</w:t>
      </w:r>
    </w:p>
    <w:p w14:paraId="48AC04F3">
      <w:pPr>
        <w:pStyle w:val="2"/>
        <w:numPr>
          <w:ilvl w:val="0"/>
          <w:numId w:val="0"/>
        </w:numPr>
        <w:shd w:val="clear"/>
        <w:spacing w:before="191" w:line="219" w:lineRule="auto"/>
        <w:jc w:val="center"/>
        <w:outlineLvl w:val="0"/>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第一部分 合同协议书</w:t>
      </w:r>
    </w:p>
    <w:p w14:paraId="457FF223">
      <w:pPr>
        <w:pStyle w:val="2"/>
        <w:keepNext w:val="0"/>
        <w:keepLines w:val="0"/>
        <w:pageBreakBefore w:val="0"/>
        <w:widowControl/>
        <w:kinsoku w:val="0"/>
        <w:wordWrap/>
        <w:overflowPunct/>
        <w:topLinePunct w:val="0"/>
        <w:autoSpaceDE w:val="0"/>
        <w:autoSpaceDN w:val="0"/>
        <w:bidi w:val="0"/>
        <w:adjustRightInd w:val="0"/>
        <w:snapToGrid w:val="0"/>
        <w:spacing w:before="55"/>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发包人（全称</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66CA9074">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承包人（全称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color="auto"/>
        </w:rPr>
        <w:t xml:space="preserve">                                    </w:t>
      </w:r>
    </w:p>
    <w:p w14:paraId="587D6AFC">
      <w:pPr>
        <w:pStyle w:val="2"/>
        <w:keepNext w:val="0"/>
        <w:keepLines w:val="0"/>
        <w:pageBreakBefore w:val="0"/>
        <w:widowControl/>
        <w:kinsoku w:val="0"/>
        <w:wordWrap/>
        <w:overflowPunct/>
        <w:topLinePunct w:val="0"/>
        <w:autoSpaceDE w:val="0"/>
        <w:autoSpaceDN w:val="0"/>
        <w:bidi w:val="0"/>
        <w:adjustRightInd w:val="0"/>
        <w:snapToGrid w:val="0"/>
        <w:spacing w:before="25" w:line="232" w:lineRule="auto"/>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根据《中华人民共和国民法典》、《中华人民共和国建筑法》及有关法</w:t>
      </w:r>
      <w:r>
        <w:rPr>
          <w:rFonts w:hint="eastAsia" w:ascii="仿宋" w:hAnsi="仿宋" w:eastAsia="仿宋" w:cs="仿宋"/>
          <w:color w:val="auto"/>
          <w:spacing w:val="-1"/>
          <w:sz w:val="24"/>
          <w:szCs w:val="24"/>
          <w:highlight w:val="none"/>
        </w:rPr>
        <w:t>律规定，</w:t>
      </w:r>
      <w:r>
        <w:rPr>
          <w:rFonts w:hint="eastAsia" w:ascii="仿宋" w:hAnsi="仿宋" w:eastAsia="仿宋" w:cs="仿宋"/>
          <w:color w:val="auto"/>
          <w:sz w:val="24"/>
          <w:szCs w:val="24"/>
          <w:highlight w:val="none"/>
        </w:rPr>
        <w:t xml:space="preserve"> 遵循平等、</w:t>
      </w:r>
      <w:r>
        <w:rPr>
          <w:rFonts w:hint="eastAsia" w:ascii="仿宋" w:hAnsi="仿宋" w:eastAsia="仿宋" w:cs="仿宋"/>
          <w:color w:val="auto"/>
          <w:spacing w:val="-64"/>
          <w:sz w:val="24"/>
          <w:szCs w:val="24"/>
          <w:highlight w:val="none"/>
        </w:rPr>
        <w:t xml:space="preserve"> </w:t>
      </w:r>
      <w:r>
        <w:rPr>
          <w:rFonts w:hint="eastAsia" w:ascii="仿宋" w:hAnsi="仿宋" w:eastAsia="仿宋" w:cs="仿宋"/>
          <w:color w:val="auto"/>
          <w:sz w:val="24"/>
          <w:szCs w:val="24"/>
          <w:highlight w:val="none"/>
        </w:rPr>
        <w:t>自愿、公平和诚实信用的原则，双方就</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项目的工程总承包及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有关事项协商一致，共同达成如下协议：</w:t>
      </w:r>
    </w:p>
    <w:p w14:paraId="10E1B986">
      <w:pPr>
        <w:pStyle w:val="2"/>
        <w:keepNext w:val="0"/>
        <w:keepLines w:val="0"/>
        <w:pageBreakBefore w:val="0"/>
        <w:widowControl/>
        <w:kinsoku w:val="0"/>
        <w:wordWrap/>
        <w:overflowPunct/>
        <w:topLinePunct w:val="0"/>
        <w:autoSpaceDE w:val="0"/>
        <w:autoSpaceDN w:val="0"/>
        <w:bidi w:val="0"/>
        <w:adjustRightInd w:val="0"/>
        <w:snapToGrid w:val="0"/>
        <w:spacing w:before="144"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一、工程概况</w:t>
      </w:r>
    </w:p>
    <w:p w14:paraId="55B848D7">
      <w:pPr>
        <w:pStyle w:val="2"/>
        <w:keepNext w:val="0"/>
        <w:keepLines w:val="0"/>
        <w:pageBreakBefore w:val="0"/>
        <w:widowControl/>
        <w:kinsoku w:val="0"/>
        <w:wordWrap/>
        <w:overflowPunct/>
        <w:topLinePunct w:val="0"/>
        <w:autoSpaceDE w:val="0"/>
        <w:autoSpaceDN w:val="0"/>
        <w:bidi w:val="0"/>
        <w:adjustRightInd w:val="0"/>
        <w:snapToGrid w:val="0"/>
        <w:spacing w:before="22"/>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工程名称：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69D84CB3">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工程地点：</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4954E5EB">
      <w:pPr>
        <w:pStyle w:val="2"/>
        <w:keepNext w:val="0"/>
        <w:keepLines w:val="0"/>
        <w:pageBreakBefore w:val="0"/>
        <w:widowControl/>
        <w:kinsoku w:val="0"/>
        <w:wordWrap/>
        <w:overflowPunct/>
        <w:topLinePunct w:val="0"/>
        <w:autoSpaceDE w:val="0"/>
        <w:autoSpaceDN w:val="0"/>
        <w:bidi w:val="0"/>
        <w:adjustRightInd w:val="0"/>
        <w:snapToGrid w:val="0"/>
        <w:spacing w:before="23" w:line="221"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工程审批、核准或备案文号：</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5E3C06A">
      <w:pPr>
        <w:pStyle w:val="2"/>
        <w:keepNext w:val="0"/>
        <w:keepLines w:val="0"/>
        <w:pageBreakBefore w:val="0"/>
        <w:widowControl/>
        <w:kinsoku w:val="0"/>
        <w:wordWrap/>
        <w:overflowPunct/>
        <w:topLinePunct w:val="0"/>
        <w:autoSpaceDE w:val="0"/>
        <w:autoSpaceDN w:val="0"/>
        <w:bidi w:val="0"/>
        <w:adjustRightInd w:val="0"/>
        <w:snapToGrid w:val="0"/>
        <w:spacing w:before="22" w:line="220"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资金来源：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45EB10A">
      <w:pPr>
        <w:pStyle w:val="2"/>
        <w:keepNext w:val="0"/>
        <w:keepLines w:val="0"/>
        <w:pageBreakBefore w:val="0"/>
        <w:widowControl/>
        <w:kinsoku w:val="0"/>
        <w:wordWrap/>
        <w:overflowPunct/>
        <w:topLinePunct w:val="0"/>
        <w:autoSpaceDE w:val="0"/>
        <w:autoSpaceDN w:val="0"/>
        <w:bidi w:val="0"/>
        <w:adjustRightInd w:val="0"/>
        <w:snapToGrid w:val="0"/>
        <w:spacing w:before="24" w:line="220"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工程内容及规模：</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E26E642">
      <w:pPr>
        <w:pStyle w:val="2"/>
        <w:keepNext w:val="0"/>
        <w:keepLines w:val="0"/>
        <w:pageBreakBefore w:val="0"/>
        <w:widowControl/>
        <w:kinsoku w:val="0"/>
        <w:wordWrap/>
        <w:overflowPunct/>
        <w:topLinePunct w:val="0"/>
        <w:autoSpaceDE w:val="0"/>
        <w:autoSpaceDN w:val="0"/>
        <w:bidi w:val="0"/>
        <w:adjustRightInd w:val="0"/>
        <w:snapToGrid w:val="0"/>
        <w:spacing w:before="23" w:line="220"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工程承包范围：</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FB0A646">
      <w:pPr>
        <w:pStyle w:val="2"/>
        <w:keepNext w:val="0"/>
        <w:keepLines w:val="0"/>
        <w:pageBreakBefore w:val="0"/>
        <w:widowControl/>
        <w:kinsoku w:val="0"/>
        <w:wordWrap/>
        <w:overflowPunct/>
        <w:topLinePunct w:val="0"/>
        <w:autoSpaceDE w:val="0"/>
        <w:autoSpaceDN w:val="0"/>
        <w:bidi w:val="0"/>
        <w:adjustRightInd w:val="0"/>
        <w:snapToGrid w:val="0"/>
        <w:spacing w:before="141" w:line="221"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二、合同工期</w:t>
      </w:r>
    </w:p>
    <w:p w14:paraId="720149A7">
      <w:pPr>
        <w:pStyle w:val="2"/>
        <w:keepNext w:val="0"/>
        <w:keepLines w:val="0"/>
        <w:pageBreakBefore w:val="0"/>
        <w:widowControl/>
        <w:kinsoku w:val="0"/>
        <w:wordWrap/>
        <w:overflowPunct/>
        <w:topLinePunct w:val="0"/>
        <w:autoSpaceDE w:val="0"/>
        <w:autoSpaceDN w:val="0"/>
        <w:bidi w:val="0"/>
        <w:adjustRightInd w:val="0"/>
        <w:snapToGrid w:val="0"/>
        <w:spacing w:before="22"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计划开始工作日期：</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71B07C13">
      <w:pPr>
        <w:pStyle w:val="2"/>
        <w:keepNext w:val="0"/>
        <w:keepLines w:val="0"/>
        <w:pageBreakBefore w:val="0"/>
        <w:widowControl/>
        <w:kinsoku w:val="0"/>
        <w:wordWrap/>
        <w:overflowPunct/>
        <w:topLinePunct w:val="0"/>
        <w:autoSpaceDE w:val="0"/>
        <w:autoSpaceDN w:val="0"/>
        <w:bidi w:val="0"/>
        <w:adjustRightInd w:val="0"/>
        <w:snapToGrid w:val="0"/>
        <w:spacing w:before="23"/>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计划开始现场施工日期：</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135D3BBC">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计划竣工日期：</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4"/>
          <w:sz w:val="24"/>
          <w:szCs w:val="24"/>
          <w:highlight w:val="none"/>
        </w:rPr>
        <w:t>日。</w:t>
      </w:r>
    </w:p>
    <w:p w14:paraId="31CAD389">
      <w:pPr>
        <w:pStyle w:val="2"/>
        <w:keepNext w:val="0"/>
        <w:keepLines w:val="0"/>
        <w:pageBreakBefore w:val="0"/>
        <w:widowControl/>
        <w:kinsoku w:val="0"/>
        <w:wordWrap/>
        <w:overflowPunct/>
        <w:topLinePunct w:val="0"/>
        <w:autoSpaceDE w:val="0"/>
        <w:autoSpaceDN w:val="0"/>
        <w:bidi w:val="0"/>
        <w:adjustRightInd w:val="0"/>
        <w:snapToGrid w:val="0"/>
        <w:spacing w:before="23" w:line="230" w:lineRule="auto"/>
        <w:ind w:left="27"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z w:val="24"/>
          <w:szCs w:val="24"/>
          <w:highlight w:val="none"/>
        </w:rPr>
        <w:t>天，工</w:t>
      </w:r>
      <w:r>
        <w:rPr>
          <w:rFonts w:hint="eastAsia" w:ascii="仿宋" w:hAnsi="仿宋" w:eastAsia="仿宋" w:cs="仿宋"/>
          <w:color w:val="auto"/>
          <w:spacing w:val="-1"/>
          <w:sz w:val="24"/>
          <w:szCs w:val="24"/>
          <w:highlight w:val="none"/>
        </w:rPr>
        <w:t>期总日历天数与根据前述计划日期计算的工期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天数不一致的，以工期总日历天数为准。</w:t>
      </w:r>
    </w:p>
    <w:p w14:paraId="5AD20CB9">
      <w:pPr>
        <w:pStyle w:val="2"/>
        <w:keepNext w:val="0"/>
        <w:keepLines w:val="0"/>
        <w:pageBreakBefore w:val="0"/>
        <w:widowControl/>
        <w:kinsoku w:val="0"/>
        <w:wordWrap/>
        <w:overflowPunct/>
        <w:topLinePunct w:val="0"/>
        <w:autoSpaceDE w:val="0"/>
        <w:autoSpaceDN w:val="0"/>
        <w:bidi w:val="0"/>
        <w:adjustRightInd w:val="0"/>
        <w:snapToGrid w:val="0"/>
        <w:spacing w:before="144" w:line="221"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三、质量标准</w:t>
      </w:r>
    </w:p>
    <w:p w14:paraId="32D7AAC8">
      <w:pPr>
        <w:pStyle w:val="2"/>
        <w:keepNext w:val="0"/>
        <w:keepLines w:val="0"/>
        <w:pageBreakBefore w:val="0"/>
        <w:widowControl/>
        <w:kinsoku w:val="0"/>
        <w:wordWrap/>
        <w:overflowPunct/>
        <w:topLinePunct w:val="0"/>
        <w:autoSpaceDE w:val="0"/>
        <w:autoSpaceDN w:val="0"/>
        <w:bidi w:val="0"/>
        <w:adjustRightInd w:val="0"/>
        <w:snapToGrid w:val="0"/>
        <w:spacing w:before="19" w:line="221"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319D8B9">
      <w:pPr>
        <w:pStyle w:val="2"/>
        <w:keepNext w:val="0"/>
        <w:keepLines w:val="0"/>
        <w:pageBreakBefore w:val="0"/>
        <w:widowControl/>
        <w:kinsoku w:val="0"/>
        <w:wordWrap/>
        <w:overflowPunct/>
        <w:topLinePunct w:val="0"/>
        <w:autoSpaceDE w:val="0"/>
        <w:autoSpaceDN w:val="0"/>
        <w:bidi w:val="0"/>
        <w:adjustRightInd w:val="0"/>
        <w:snapToGrid w:val="0"/>
        <w:spacing w:before="145" w:line="219" w:lineRule="auto"/>
        <w:ind w:left="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四、签约合同价与合同价格形式</w:t>
      </w:r>
    </w:p>
    <w:p w14:paraId="4B5932F9">
      <w:pPr>
        <w:pStyle w:val="2"/>
        <w:keepNext w:val="0"/>
        <w:keepLines w:val="0"/>
        <w:pageBreakBefore w:val="0"/>
        <w:widowControl/>
        <w:kinsoku w:val="0"/>
        <w:wordWrap/>
        <w:overflowPunct/>
        <w:topLinePunct w:val="0"/>
        <w:autoSpaceDE w:val="0"/>
        <w:autoSpaceDN w:val="0"/>
        <w:bidi w:val="0"/>
        <w:adjustRightInd w:val="0"/>
        <w:snapToGrid w:val="0"/>
        <w:spacing w:before="22" w:line="219" w:lineRule="auto"/>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签约合同价（含税）为：</w:t>
      </w:r>
    </w:p>
    <w:p w14:paraId="34B973BB">
      <w:pPr>
        <w:pStyle w:val="2"/>
        <w:keepNext w:val="0"/>
        <w:keepLines w:val="0"/>
        <w:pageBreakBefore w:val="0"/>
        <w:widowControl/>
        <w:kinsoku w:val="0"/>
        <w:wordWrap/>
        <w:overflowPunct/>
        <w:topLinePunct w:val="0"/>
        <w:autoSpaceDE w:val="0"/>
        <w:autoSpaceDN w:val="0"/>
        <w:bidi w:val="0"/>
        <w:adjustRightInd w:val="0"/>
        <w:snapToGrid w:val="0"/>
        <w:spacing w:before="25"/>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人民币（大写)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707821B0">
      <w:pPr>
        <w:pStyle w:val="2"/>
        <w:keepNext w:val="0"/>
        <w:keepLines w:val="0"/>
        <w:pageBreakBefore w:val="0"/>
        <w:widowControl/>
        <w:kinsoku w:val="0"/>
        <w:wordWrap/>
        <w:overflowPunct/>
        <w:topLinePunct w:val="0"/>
        <w:autoSpaceDE w:val="0"/>
        <w:autoSpaceDN w:val="0"/>
        <w:bidi w:val="0"/>
        <w:adjustRightInd w:val="0"/>
        <w:snapToGrid w:val="0"/>
        <w:spacing w:before="1" w:line="21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具体构成详见价格清单。其中：</w:t>
      </w:r>
    </w:p>
    <w:p w14:paraId="6353408B">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设计费（含税</w:t>
      </w:r>
      <w:r>
        <w:rPr>
          <w:rFonts w:hint="eastAsia" w:ascii="仿宋" w:hAnsi="仿宋" w:eastAsia="仿宋" w:cs="仿宋"/>
          <w:color w:val="auto"/>
          <w:spacing w:val="2"/>
          <w:sz w:val="24"/>
          <w:szCs w:val="24"/>
          <w:highlight w:val="none"/>
        </w:rPr>
        <w:t>）：</w:t>
      </w:r>
    </w:p>
    <w:p w14:paraId="467B785F">
      <w:pPr>
        <w:pStyle w:val="2"/>
        <w:keepNext w:val="0"/>
        <w:keepLines w:val="0"/>
        <w:pageBreakBefore w:val="0"/>
        <w:widowControl/>
        <w:kinsoku w:val="0"/>
        <w:wordWrap/>
        <w:overflowPunct/>
        <w:topLinePunct w:val="0"/>
        <w:autoSpaceDE w:val="0"/>
        <w:autoSpaceDN w:val="0"/>
        <w:bidi w:val="0"/>
        <w:adjustRightInd w:val="0"/>
        <w:snapToGrid w:val="0"/>
        <w:spacing w:before="22" w:line="230" w:lineRule="auto"/>
        <w:ind w:left="46" w:right="13"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2"/>
          <w:sz w:val="24"/>
          <w:szCs w:val="24"/>
          <w:highlight w:val="none"/>
        </w:rPr>
        <w:t>%，税</w:t>
      </w:r>
      <w:r>
        <w:rPr>
          <w:rFonts w:hint="eastAsia" w:ascii="仿宋" w:hAnsi="仿宋" w:eastAsia="仿宋" w:cs="仿宋"/>
          <w:color w:val="auto"/>
          <w:spacing w:val="-3"/>
          <w:sz w:val="24"/>
          <w:szCs w:val="24"/>
          <w:highlight w:val="none"/>
        </w:rPr>
        <w:t>金为人民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币（大写)</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8"/>
          <w:sz w:val="24"/>
          <w:szCs w:val="24"/>
          <w:highlight w:val="none"/>
        </w:rPr>
        <w:t>元</w:t>
      </w:r>
      <w:r>
        <w:rPr>
          <w:rFonts w:hint="eastAsia" w:ascii="仿宋" w:hAnsi="仿宋" w:eastAsia="仿宋" w:cs="仿宋"/>
          <w:color w:val="auto"/>
          <w:spacing w:val="2"/>
          <w:sz w:val="24"/>
          <w:szCs w:val="24"/>
          <w:highlight w:val="none"/>
        </w:rPr>
        <w:t>）；</w:t>
      </w:r>
    </w:p>
    <w:p w14:paraId="4F19A49B">
      <w:pPr>
        <w:pStyle w:val="2"/>
        <w:keepNext w:val="0"/>
        <w:keepLines w:val="0"/>
        <w:pageBreakBefore w:val="0"/>
        <w:widowControl/>
        <w:kinsoku w:val="0"/>
        <w:wordWrap/>
        <w:overflowPunct/>
        <w:topLinePunct w:val="0"/>
        <w:autoSpaceDE w:val="0"/>
        <w:autoSpaceDN w:val="0"/>
        <w:bidi w:val="0"/>
        <w:adjustRightInd w:val="0"/>
        <w:snapToGrid w:val="0"/>
        <w:spacing w:before="24"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设备购置费（含税</w:t>
      </w:r>
      <w:r>
        <w:rPr>
          <w:rFonts w:hint="eastAsia" w:ascii="仿宋" w:hAnsi="仿宋" w:eastAsia="仿宋" w:cs="仿宋"/>
          <w:color w:val="auto"/>
          <w:spacing w:val="3"/>
          <w:sz w:val="24"/>
          <w:szCs w:val="24"/>
          <w:highlight w:val="none"/>
        </w:rPr>
        <w:t>）：</w:t>
      </w:r>
    </w:p>
    <w:p w14:paraId="5A033CA9">
      <w:pPr>
        <w:pStyle w:val="2"/>
        <w:keepNext w:val="0"/>
        <w:keepLines w:val="0"/>
        <w:pageBreakBefore w:val="0"/>
        <w:widowControl/>
        <w:kinsoku w:val="0"/>
        <w:wordWrap/>
        <w:overflowPunct/>
        <w:topLinePunct w:val="0"/>
        <w:autoSpaceDE w:val="0"/>
        <w:autoSpaceDN w:val="0"/>
        <w:bidi w:val="0"/>
        <w:adjustRightInd w:val="0"/>
        <w:snapToGrid w:val="0"/>
        <w:spacing w:before="22" w:line="231"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6F2AABC5">
      <w:pPr>
        <w:pStyle w:val="2"/>
        <w:keepNext w:val="0"/>
        <w:keepLines w:val="0"/>
        <w:pageBreakBefore w:val="0"/>
        <w:widowControl/>
        <w:kinsoku w:val="0"/>
        <w:wordWrap/>
        <w:overflowPunct/>
        <w:topLinePunct w:val="0"/>
        <w:autoSpaceDE w:val="0"/>
        <w:autoSpaceDN w:val="0"/>
        <w:bidi w:val="0"/>
        <w:adjustRightInd w:val="0"/>
        <w:snapToGrid w:val="0"/>
        <w:spacing w:before="20"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建筑安装工程费（含税</w:t>
      </w:r>
      <w:r>
        <w:rPr>
          <w:rFonts w:hint="eastAsia" w:ascii="仿宋" w:hAnsi="仿宋" w:eastAsia="仿宋" w:cs="仿宋"/>
          <w:color w:val="auto"/>
          <w:spacing w:val="6"/>
          <w:sz w:val="24"/>
          <w:szCs w:val="24"/>
          <w:highlight w:val="none"/>
        </w:rPr>
        <w:t>）：</w:t>
      </w:r>
    </w:p>
    <w:p w14:paraId="0CA9A53A">
      <w:pPr>
        <w:pStyle w:val="2"/>
        <w:keepNext w:val="0"/>
        <w:keepLines w:val="0"/>
        <w:pageBreakBefore w:val="0"/>
        <w:widowControl/>
        <w:kinsoku w:val="0"/>
        <w:wordWrap/>
        <w:overflowPunct/>
        <w:topLinePunct w:val="0"/>
        <w:autoSpaceDE w:val="0"/>
        <w:autoSpaceDN w:val="0"/>
        <w:bidi w:val="0"/>
        <w:adjustRightInd w:val="0"/>
        <w:snapToGrid w:val="0"/>
        <w:spacing w:before="24" w:line="230"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人民币（大写)</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00E51F1F">
      <w:pPr>
        <w:pStyle w:val="2"/>
        <w:keepNext w:val="0"/>
        <w:keepLines w:val="0"/>
        <w:pageBreakBefore w:val="0"/>
        <w:widowControl/>
        <w:kinsoku w:val="0"/>
        <w:wordWrap/>
        <w:overflowPunct/>
        <w:topLinePunct w:val="0"/>
        <w:autoSpaceDE w:val="0"/>
        <w:autoSpaceDN w:val="0"/>
        <w:bidi w:val="0"/>
        <w:adjustRightInd w:val="0"/>
        <w:snapToGrid w:val="0"/>
        <w:spacing w:before="22" w:line="219"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暂估价（含税</w:t>
      </w:r>
      <w:r>
        <w:rPr>
          <w:rFonts w:hint="eastAsia" w:ascii="仿宋" w:hAnsi="仿宋" w:eastAsia="仿宋" w:cs="仿宋"/>
          <w:color w:val="auto"/>
          <w:spacing w:val="1"/>
          <w:sz w:val="24"/>
          <w:szCs w:val="24"/>
          <w:highlight w:val="none"/>
        </w:rPr>
        <w:t>）：</w:t>
      </w:r>
    </w:p>
    <w:p w14:paraId="6D4136B2">
      <w:pPr>
        <w:pStyle w:val="2"/>
        <w:keepNext w:val="0"/>
        <w:keepLines w:val="0"/>
        <w:pageBreakBefore w:val="0"/>
        <w:widowControl/>
        <w:kinsoku w:val="0"/>
        <w:wordWrap/>
        <w:overflowPunct/>
        <w:topLinePunct w:val="0"/>
        <w:autoSpaceDE w:val="0"/>
        <w:autoSpaceDN w:val="0"/>
        <w:bidi w:val="0"/>
        <w:adjustRightInd w:val="0"/>
        <w:snapToGrid w:val="0"/>
        <w:spacing w:before="24"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65D283EA">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暂列金额（含税</w:t>
      </w:r>
      <w:r>
        <w:rPr>
          <w:rFonts w:hint="eastAsia" w:ascii="仿宋" w:hAnsi="仿宋" w:eastAsia="仿宋" w:cs="仿宋"/>
          <w:color w:val="auto"/>
          <w:spacing w:val="3"/>
          <w:sz w:val="24"/>
          <w:szCs w:val="24"/>
          <w:highlight w:val="none"/>
        </w:rPr>
        <w:t>）：</w:t>
      </w:r>
    </w:p>
    <w:p w14:paraId="72ED3A48">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31971A4D">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 双方约定的其他费用（含税</w:t>
      </w:r>
      <w:r>
        <w:rPr>
          <w:rFonts w:hint="eastAsia" w:ascii="仿宋" w:hAnsi="仿宋" w:eastAsia="仿宋" w:cs="仿宋"/>
          <w:color w:val="auto"/>
          <w:sz w:val="24"/>
          <w:szCs w:val="24"/>
          <w:highlight w:val="none"/>
        </w:rPr>
        <w:t>）：</w:t>
      </w:r>
    </w:p>
    <w:p w14:paraId="3DE66F93">
      <w:pPr>
        <w:pStyle w:val="2"/>
        <w:keepNext w:val="0"/>
        <w:keepLines w:val="0"/>
        <w:pageBreakBefore w:val="0"/>
        <w:widowControl/>
        <w:kinsoku w:val="0"/>
        <w:wordWrap/>
        <w:overflowPunct/>
        <w:topLinePunct w:val="0"/>
        <w:autoSpaceDE w:val="0"/>
        <w:autoSpaceDN w:val="0"/>
        <w:bidi w:val="0"/>
        <w:adjustRightInd w:val="0"/>
        <w:snapToGrid w:val="0"/>
        <w:spacing w:before="22" w:line="230" w:lineRule="auto"/>
        <w:ind w:left="21" w:right="68"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人民币（大写)</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5"/>
          <w:sz w:val="24"/>
          <w:szCs w:val="24"/>
          <w:highlight w:val="none"/>
        </w:rPr>
        <w:t>元</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rPr>
        <w:t>适用税率：</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税金为人民币（大写)</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元）。</w:t>
      </w:r>
    </w:p>
    <w:p w14:paraId="72CAAD71">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合同价格形式：</w:t>
      </w:r>
    </w:p>
    <w:p w14:paraId="4DD7E030">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26" w:right="13" w:firstLine="597"/>
        <w:textAlignment w:val="baseline"/>
        <w:outlineLvl w:val="9"/>
        <w:rPr>
          <w:rFonts w:hint="eastAsia" w:ascii="仿宋" w:hAnsi="仿宋" w:eastAsia="仿宋" w:cs="仿宋"/>
          <w:color w:val="auto"/>
          <w:sz w:val="24"/>
          <w:szCs w:val="24"/>
          <w:highlight w:val="none"/>
        </w:rPr>
        <w:sectPr>
          <w:footerReference r:id="rId29" w:type="default"/>
          <w:pgSz w:w="11906" w:h="16839"/>
          <w:pgMar w:top="1424" w:right="1785" w:bottom="1171" w:left="1785" w:header="0" w:footer="992" w:gutter="0"/>
          <w:pgNumType w:fmt="decimal"/>
          <w:cols w:space="720" w:num="1"/>
        </w:sectPr>
      </w:pPr>
      <w:r>
        <w:rPr>
          <w:rFonts w:hint="eastAsia" w:ascii="仿宋" w:hAnsi="仿宋" w:eastAsia="仿宋" w:cs="仿宋"/>
          <w:color w:val="auto"/>
          <w:sz w:val="24"/>
          <w:szCs w:val="24"/>
          <w:highlight w:val="none"/>
        </w:rPr>
        <w:t>合同价格形式为总价合同，除根据合同约定的在工程实施过程中需进</w:t>
      </w:r>
      <w:r>
        <w:rPr>
          <w:rFonts w:hint="eastAsia" w:ascii="仿宋" w:hAnsi="仿宋" w:eastAsia="仿宋" w:cs="仿宋"/>
          <w:color w:val="auto"/>
          <w:spacing w:val="-1"/>
          <w:sz w:val="24"/>
          <w:szCs w:val="24"/>
          <w:highlight w:val="none"/>
        </w:rPr>
        <w:t>行增减的款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项外，合同价格不予调整，但合同当事人另有约定的除外。</w:t>
      </w:r>
    </w:p>
    <w:p w14:paraId="3F38FDEC">
      <w:pPr>
        <w:pStyle w:val="2"/>
        <w:keepNext w:val="0"/>
        <w:keepLines w:val="0"/>
        <w:pageBreakBefore w:val="0"/>
        <w:widowControl/>
        <w:kinsoku w:val="0"/>
        <w:wordWrap/>
        <w:overflowPunct/>
        <w:topLinePunct w:val="0"/>
        <w:autoSpaceDE w:val="0"/>
        <w:autoSpaceDN w:val="0"/>
        <w:bidi w:val="0"/>
        <w:adjustRightInd w:val="0"/>
        <w:snapToGrid w:val="0"/>
        <w:spacing w:before="43"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合同当事人对合同价格形式的其他约定：</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FCCB0D5">
      <w:pPr>
        <w:pStyle w:val="2"/>
        <w:keepNext w:val="0"/>
        <w:keepLines w:val="0"/>
        <w:pageBreakBefore w:val="0"/>
        <w:widowControl/>
        <w:kinsoku w:val="0"/>
        <w:wordWrap/>
        <w:overflowPunct/>
        <w:topLinePunct w:val="0"/>
        <w:autoSpaceDE w:val="0"/>
        <w:autoSpaceDN w:val="0"/>
        <w:bidi w:val="0"/>
        <w:adjustRightInd w:val="0"/>
        <w:snapToGrid w:val="0"/>
        <w:spacing w:before="145" w:line="220" w:lineRule="auto"/>
        <w:ind w:left="1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五、工程总承包项目经理</w:t>
      </w:r>
    </w:p>
    <w:p w14:paraId="6C711A07">
      <w:pPr>
        <w:pStyle w:val="2"/>
        <w:keepNext w:val="0"/>
        <w:keepLines w:val="0"/>
        <w:pageBreakBefore w:val="0"/>
        <w:widowControl/>
        <w:kinsoku w:val="0"/>
        <w:wordWrap/>
        <w:overflowPunct/>
        <w:topLinePunct w:val="0"/>
        <w:autoSpaceDE w:val="0"/>
        <w:autoSpaceDN w:val="0"/>
        <w:bidi w:val="0"/>
        <w:adjustRightInd w:val="0"/>
        <w:snapToGrid w:val="0"/>
        <w:spacing w:before="23" w:line="220" w:lineRule="auto"/>
        <w:ind w:left="7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工程总承包项目经理：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82D337F">
      <w:pPr>
        <w:pStyle w:val="2"/>
        <w:keepNext w:val="0"/>
        <w:keepLines w:val="0"/>
        <w:pageBreakBefore w:val="0"/>
        <w:widowControl/>
        <w:kinsoku w:val="0"/>
        <w:wordWrap/>
        <w:overflowPunct/>
        <w:topLinePunct w:val="0"/>
        <w:autoSpaceDE w:val="0"/>
        <w:autoSpaceDN w:val="0"/>
        <w:bidi w:val="0"/>
        <w:adjustRightInd w:val="0"/>
        <w:snapToGrid w:val="0"/>
        <w:spacing w:before="141" w:line="220"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六、合同文件构成</w:t>
      </w:r>
    </w:p>
    <w:p w14:paraId="5AEF6943">
      <w:pPr>
        <w:pStyle w:val="2"/>
        <w:keepNext w:val="0"/>
        <w:keepLines w:val="0"/>
        <w:pageBreakBefore w:val="0"/>
        <w:widowControl/>
        <w:kinsoku w:val="0"/>
        <w:wordWrap/>
        <w:overflowPunct/>
        <w:topLinePunct w:val="0"/>
        <w:autoSpaceDE w:val="0"/>
        <w:autoSpaceDN w:val="0"/>
        <w:bidi w:val="0"/>
        <w:adjustRightInd w:val="0"/>
        <w:snapToGrid w:val="0"/>
        <w:spacing w:before="22"/>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本协议书与下列文件一起构成合同文件：</w:t>
      </w:r>
    </w:p>
    <w:p w14:paraId="6BC7E456">
      <w:pPr>
        <w:pStyle w:val="2"/>
        <w:keepNext w:val="0"/>
        <w:keepLines w:val="0"/>
        <w:pageBreakBefore w:val="0"/>
        <w:widowControl/>
        <w:kinsoku w:val="0"/>
        <w:wordWrap/>
        <w:overflowPunct/>
        <w:topLinePunct w:val="0"/>
        <w:autoSpaceDE w:val="0"/>
        <w:autoSpaceDN w:val="0"/>
        <w:bidi w:val="0"/>
        <w:adjustRightInd w:val="0"/>
        <w:snapToGrid w:val="0"/>
        <w:spacing w:line="219"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1"/>
          <w:sz w:val="24"/>
          <w:szCs w:val="24"/>
          <w:highlight w:val="none"/>
        </w:rPr>
        <w:t>）；</w:t>
      </w:r>
    </w:p>
    <w:p w14:paraId="1BA11382">
      <w:pPr>
        <w:pStyle w:val="2"/>
        <w:keepNext w:val="0"/>
        <w:keepLines w:val="0"/>
        <w:pageBreakBefore w:val="0"/>
        <w:widowControl/>
        <w:kinsoku w:val="0"/>
        <w:wordWrap/>
        <w:overflowPunct/>
        <w:topLinePunct w:val="0"/>
        <w:autoSpaceDE w:val="0"/>
        <w:autoSpaceDN w:val="0"/>
        <w:bidi w:val="0"/>
        <w:adjustRightInd w:val="0"/>
        <w:snapToGrid w:val="0"/>
        <w:spacing w:before="25" w:line="219"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投标函及投标函附录（如果有</w:t>
      </w:r>
      <w:r>
        <w:rPr>
          <w:rFonts w:hint="eastAsia" w:ascii="仿宋" w:hAnsi="仿宋" w:eastAsia="仿宋" w:cs="仿宋"/>
          <w:color w:val="auto"/>
          <w:sz w:val="24"/>
          <w:szCs w:val="24"/>
          <w:highlight w:val="none"/>
        </w:rPr>
        <w:t>）；</w:t>
      </w:r>
    </w:p>
    <w:p w14:paraId="6B3216B9">
      <w:pPr>
        <w:pStyle w:val="2"/>
        <w:keepNext w:val="0"/>
        <w:keepLines w:val="0"/>
        <w:pageBreakBefore w:val="0"/>
        <w:widowControl/>
        <w:kinsoku w:val="0"/>
        <w:wordWrap/>
        <w:overflowPunct/>
        <w:topLinePunct w:val="0"/>
        <w:autoSpaceDE w:val="0"/>
        <w:autoSpaceDN w:val="0"/>
        <w:bidi w:val="0"/>
        <w:adjustRightInd w:val="0"/>
        <w:snapToGrid w:val="0"/>
        <w:spacing w:before="24"/>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专用合同条件及《发包人要求》等附件；</w:t>
      </w:r>
    </w:p>
    <w:p w14:paraId="72E8B12F">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 通用合同条件；</w:t>
      </w:r>
    </w:p>
    <w:p w14:paraId="07070611">
      <w:pPr>
        <w:pStyle w:val="2"/>
        <w:keepNext w:val="0"/>
        <w:keepLines w:val="0"/>
        <w:pageBreakBefore w:val="0"/>
        <w:widowControl/>
        <w:kinsoku w:val="0"/>
        <w:wordWrap/>
        <w:overflowPunct/>
        <w:topLinePunct w:val="0"/>
        <w:autoSpaceDE w:val="0"/>
        <w:autoSpaceDN w:val="0"/>
        <w:bidi w:val="0"/>
        <w:adjustRightInd w:val="0"/>
        <w:snapToGrid w:val="0"/>
        <w:spacing w:before="23"/>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承包人建议书；</w:t>
      </w:r>
    </w:p>
    <w:p w14:paraId="01BD5EEF">
      <w:pPr>
        <w:pStyle w:val="2"/>
        <w:keepNext w:val="0"/>
        <w:keepLines w:val="0"/>
        <w:pageBreakBefore w:val="0"/>
        <w:widowControl/>
        <w:kinsoku w:val="0"/>
        <w:wordWrap/>
        <w:overflowPunct/>
        <w:topLinePunct w:val="0"/>
        <w:autoSpaceDE w:val="0"/>
        <w:autoSpaceDN w:val="0"/>
        <w:bidi w:val="0"/>
        <w:adjustRightInd w:val="0"/>
        <w:snapToGrid w:val="0"/>
        <w:spacing w:before="1" w:line="218"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 价格清单；</w:t>
      </w:r>
    </w:p>
    <w:p w14:paraId="11EE12B4">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7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 双方约定的其他合同文件。</w:t>
      </w:r>
    </w:p>
    <w:p w14:paraId="39C3BF75">
      <w:pPr>
        <w:pStyle w:val="2"/>
        <w:keepNext w:val="0"/>
        <w:keepLines w:val="0"/>
        <w:pageBreakBefore w:val="0"/>
        <w:widowControl/>
        <w:kinsoku w:val="0"/>
        <w:wordWrap/>
        <w:overflowPunct/>
        <w:topLinePunct w:val="0"/>
        <w:autoSpaceDE w:val="0"/>
        <w:autoSpaceDN w:val="0"/>
        <w:bidi w:val="0"/>
        <w:adjustRightInd w:val="0"/>
        <w:snapToGrid w:val="0"/>
        <w:spacing w:before="19" w:line="230" w:lineRule="auto"/>
        <w:ind w:left="102"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上述各项合同文件包括双方就该项合同文件所</w:t>
      </w:r>
      <w:r>
        <w:rPr>
          <w:rFonts w:hint="eastAsia" w:ascii="仿宋" w:hAnsi="仿宋" w:eastAsia="仿宋" w:cs="仿宋"/>
          <w:color w:val="auto"/>
          <w:spacing w:val="-1"/>
          <w:sz w:val="24"/>
          <w:szCs w:val="24"/>
          <w:highlight w:val="none"/>
        </w:rPr>
        <w:t xml:space="preserve">作出的补充和修改，属于同一类内  </w:t>
      </w:r>
      <w:r>
        <w:rPr>
          <w:rFonts w:hint="eastAsia" w:ascii="仿宋" w:hAnsi="仿宋" w:eastAsia="仿宋" w:cs="仿宋"/>
          <w:color w:val="auto"/>
          <w:spacing w:val="-2"/>
          <w:sz w:val="24"/>
          <w:szCs w:val="24"/>
          <w:highlight w:val="none"/>
        </w:rPr>
        <w:t>容的合同文件应以最新签署的为准。专用合</w:t>
      </w:r>
      <w:r>
        <w:rPr>
          <w:rFonts w:hint="eastAsia" w:ascii="仿宋" w:hAnsi="仿宋" w:eastAsia="仿宋" w:cs="仿宋"/>
          <w:color w:val="auto"/>
          <w:spacing w:val="-3"/>
          <w:sz w:val="24"/>
          <w:szCs w:val="24"/>
          <w:highlight w:val="none"/>
        </w:rPr>
        <w:t>同条件及其附件须经合同当事人签字或盖章。</w:t>
      </w:r>
    </w:p>
    <w:p w14:paraId="355377AD">
      <w:pPr>
        <w:pStyle w:val="2"/>
        <w:keepNext w:val="0"/>
        <w:keepLines w:val="0"/>
        <w:pageBreakBefore w:val="0"/>
        <w:widowControl/>
        <w:kinsoku w:val="0"/>
        <w:wordWrap/>
        <w:overflowPunct/>
        <w:topLinePunct w:val="0"/>
        <w:autoSpaceDE w:val="0"/>
        <w:autoSpaceDN w:val="0"/>
        <w:bidi w:val="0"/>
        <w:adjustRightInd w:val="0"/>
        <w:snapToGrid w:val="0"/>
        <w:spacing w:before="145" w:line="220" w:lineRule="auto"/>
        <w:ind w:left="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七、承诺</w:t>
      </w:r>
    </w:p>
    <w:p w14:paraId="2F0A0268">
      <w:pPr>
        <w:pStyle w:val="2"/>
        <w:keepNext w:val="0"/>
        <w:keepLines w:val="0"/>
        <w:pageBreakBefore w:val="0"/>
        <w:widowControl/>
        <w:kinsoku w:val="0"/>
        <w:wordWrap/>
        <w:overflowPunct/>
        <w:topLinePunct w:val="0"/>
        <w:autoSpaceDE w:val="0"/>
        <w:autoSpaceDN w:val="0"/>
        <w:bidi w:val="0"/>
        <w:adjustRightInd w:val="0"/>
        <w:snapToGrid w:val="0"/>
        <w:spacing w:before="23" w:line="229" w:lineRule="auto"/>
        <w:ind w:left="105" w:right="188"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 发包人承诺按照法律规定履行项目审批手续、筹集工程建设资金并按照合同约</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定的期限和方式支付合同价款。</w:t>
      </w:r>
    </w:p>
    <w:p w14:paraId="5948F094">
      <w:pPr>
        <w:pStyle w:val="2"/>
        <w:keepNext w:val="0"/>
        <w:keepLines w:val="0"/>
        <w:pageBreakBefore w:val="0"/>
        <w:widowControl/>
        <w:kinsoku w:val="0"/>
        <w:wordWrap/>
        <w:overflowPunct/>
        <w:topLinePunct w:val="0"/>
        <w:autoSpaceDE w:val="0"/>
        <w:autoSpaceDN w:val="0"/>
        <w:bidi w:val="0"/>
        <w:adjustRightInd w:val="0"/>
        <w:snapToGrid w:val="0"/>
        <w:spacing w:before="24" w:line="233" w:lineRule="auto"/>
        <w:ind w:left="100" w:right="19"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承包人承诺按照法律规定及合同约定组织完</w:t>
      </w:r>
      <w:r>
        <w:rPr>
          <w:rFonts w:hint="eastAsia" w:ascii="仿宋" w:hAnsi="仿宋" w:eastAsia="仿宋" w:cs="仿宋"/>
          <w:color w:val="auto"/>
          <w:spacing w:val="-5"/>
          <w:sz w:val="24"/>
          <w:szCs w:val="24"/>
          <w:highlight w:val="none"/>
        </w:rPr>
        <w:t>成工程的设计、采购和施工等工作，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确保工程质量和安全，不进行转包及违法分包，并在缺陷</w:t>
      </w:r>
      <w:r>
        <w:rPr>
          <w:rFonts w:hint="eastAsia" w:ascii="仿宋" w:hAnsi="仿宋" w:eastAsia="仿宋" w:cs="仿宋"/>
          <w:color w:val="auto"/>
          <w:spacing w:val="-3"/>
          <w:sz w:val="24"/>
          <w:szCs w:val="24"/>
          <w:highlight w:val="none"/>
        </w:rPr>
        <w:t xml:space="preserve">责任期及保修期内承担相应的  </w:t>
      </w:r>
      <w:r>
        <w:rPr>
          <w:rFonts w:hint="eastAsia" w:ascii="仿宋" w:hAnsi="仿宋" w:eastAsia="仿宋" w:cs="仿宋"/>
          <w:color w:val="auto"/>
          <w:spacing w:val="-2"/>
          <w:sz w:val="24"/>
          <w:szCs w:val="24"/>
          <w:highlight w:val="none"/>
        </w:rPr>
        <w:t>工程维修责任。</w:t>
      </w:r>
    </w:p>
    <w:p w14:paraId="472D0F26">
      <w:pPr>
        <w:pStyle w:val="2"/>
        <w:keepNext w:val="0"/>
        <w:keepLines w:val="0"/>
        <w:pageBreakBefore w:val="0"/>
        <w:widowControl/>
        <w:kinsoku w:val="0"/>
        <w:wordWrap/>
        <w:overflowPunct/>
        <w:topLinePunct w:val="0"/>
        <w:autoSpaceDE w:val="0"/>
        <w:autoSpaceDN w:val="0"/>
        <w:bidi w:val="0"/>
        <w:adjustRightInd w:val="0"/>
        <w:snapToGrid w:val="0"/>
        <w:spacing w:before="145" w:line="221" w:lineRule="auto"/>
        <w:ind w:left="1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八、订立时间</w:t>
      </w:r>
    </w:p>
    <w:p w14:paraId="20336FB9">
      <w:pPr>
        <w:pStyle w:val="2"/>
        <w:keepNext w:val="0"/>
        <w:keepLines w:val="0"/>
        <w:pageBreakBefore w:val="0"/>
        <w:widowControl/>
        <w:kinsoku w:val="0"/>
        <w:wordWrap/>
        <w:overflowPunct/>
        <w:topLinePunct w:val="0"/>
        <w:autoSpaceDE w:val="0"/>
        <w:autoSpaceDN w:val="0"/>
        <w:bidi w:val="0"/>
        <w:adjustRightInd w:val="0"/>
        <w:snapToGrid w:val="0"/>
        <w:spacing w:before="21"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本合同于</w:t>
      </w:r>
      <w:r>
        <w:rPr>
          <w:rFonts w:hint="eastAsia" w:ascii="仿宋" w:hAnsi="仿宋" w:eastAsia="仿宋" w:cs="仿宋"/>
          <w:color w:val="auto"/>
          <w:spacing w:val="17"/>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6"/>
          <w:sz w:val="24"/>
          <w:szCs w:val="24"/>
          <w:highlight w:val="none"/>
        </w:rPr>
        <w:t>日订立。</w:t>
      </w:r>
    </w:p>
    <w:p w14:paraId="13A74BEB">
      <w:pPr>
        <w:pStyle w:val="2"/>
        <w:keepNext w:val="0"/>
        <w:keepLines w:val="0"/>
        <w:pageBreakBefore w:val="0"/>
        <w:widowControl/>
        <w:kinsoku w:val="0"/>
        <w:wordWrap/>
        <w:overflowPunct/>
        <w:topLinePunct w:val="0"/>
        <w:autoSpaceDE w:val="0"/>
        <w:autoSpaceDN w:val="0"/>
        <w:bidi w:val="0"/>
        <w:adjustRightInd w:val="0"/>
        <w:snapToGrid w:val="0"/>
        <w:spacing w:before="144" w:line="223" w:lineRule="auto"/>
        <w:ind w:left="1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九、订立地点</w:t>
      </w:r>
    </w:p>
    <w:p w14:paraId="0983CC7C">
      <w:pPr>
        <w:pStyle w:val="2"/>
        <w:keepNext w:val="0"/>
        <w:keepLines w:val="0"/>
        <w:pageBreakBefore w:val="0"/>
        <w:widowControl/>
        <w:kinsoku w:val="0"/>
        <w:wordWrap/>
        <w:overflowPunct/>
        <w:topLinePunct w:val="0"/>
        <w:autoSpaceDE w:val="0"/>
        <w:autoSpaceDN w:val="0"/>
        <w:bidi w:val="0"/>
        <w:adjustRightInd w:val="0"/>
        <w:snapToGrid w:val="0"/>
        <w:spacing w:before="20"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本合同在</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
          <w:sz w:val="24"/>
          <w:szCs w:val="24"/>
          <w:highlight w:val="none"/>
        </w:rPr>
        <w:t>订立。</w:t>
      </w:r>
    </w:p>
    <w:p w14:paraId="6F676696">
      <w:pPr>
        <w:pStyle w:val="2"/>
        <w:keepNext w:val="0"/>
        <w:keepLines w:val="0"/>
        <w:pageBreakBefore w:val="0"/>
        <w:widowControl/>
        <w:kinsoku w:val="0"/>
        <w:wordWrap/>
        <w:overflowPunct/>
        <w:topLinePunct w:val="0"/>
        <w:autoSpaceDE w:val="0"/>
        <w:autoSpaceDN w:val="0"/>
        <w:bidi w:val="0"/>
        <w:adjustRightInd w:val="0"/>
        <w:snapToGrid w:val="0"/>
        <w:spacing w:before="144" w:line="221"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十、合同生效</w:t>
      </w:r>
    </w:p>
    <w:p w14:paraId="077A1D67">
      <w:pPr>
        <w:pStyle w:val="2"/>
        <w:keepNext w:val="0"/>
        <w:keepLines w:val="0"/>
        <w:pageBreakBefore w:val="0"/>
        <w:widowControl/>
        <w:kinsoku w:val="0"/>
        <w:wordWrap/>
        <w:overflowPunct/>
        <w:topLinePunct w:val="0"/>
        <w:autoSpaceDE w:val="0"/>
        <w:autoSpaceDN w:val="0"/>
        <w:bidi w:val="0"/>
        <w:adjustRightInd w:val="0"/>
        <w:snapToGrid w:val="0"/>
        <w:spacing w:before="23"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本合同经双方签字或盖章后成立，并自</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生效。</w:t>
      </w:r>
    </w:p>
    <w:p w14:paraId="21FFDCA6">
      <w:pPr>
        <w:pStyle w:val="2"/>
        <w:keepNext w:val="0"/>
        <w:keepLines w:val="0"/>
        <w:pageBreakBefore w:val="0"/>
        <w:widowControl/>
        <w:kinsoku w:val="0"/>
        <w:wordWrap/>
        <w:overflowPunct/>
        <w:topLinePunct w:val="0"/>
        <w:autoSpaceDE w:val="0"/>
        <w:autoSpaceDN w:val="0"/>
        <w:bidi w:val="0"/>
        <w:adjustRightInd w:val="0"/>
        <w:snapToGrid w:val="0"/>
        <w:spacing w:before="144" w:line="220"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十一、合同份数</w:t>
      </w:r>
    </w:p>
    <w:p w14:paraId="7B899828">
      <w:pPr>
        <w:pStyle w:val="2"/>
        <w:keepNext w:val="0"/>
        <w:keepLines w:val="0"/>
        <w:pageBreakBefore w:val="0"/>
        <w:widowControl/>
        <w:kinsoku w:val="0"/>
        <w:wordWrap/>
        <w:overflowPunct/>
        <w:topLinePunct w:val="0"/>
        <w:autoSpaceDE w:val="0"/>
        <w:autoSpaceDN w:val="0"/>
        <w:bidi w:val="0"/>
        <w:adjustRightInd w:val="0"/>
        <w:snapToGrid w:val="0"/>
        <w:spacing w:before="24"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份，均具有同等法律效力，发包人执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份，承包人执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w:t>
      </w:r>
    </w:p>
    <w:p w14:paraId="23E3BDDB">
      <w:pPr>
        <w:pStyle w:val="2"/>
        <w:keepNext w:val="0"/>
        <w:keepLines w:val="0"/>
        <w:pageBreakBefore w:val="0"/>
        <w:widowControl/>
        <w:kinsoku w:val="0"/>
        <w:wordWrap/>
        <w:overflowPunct/>
        <w:topLinePunct w:val="0"/>
        <w:autoSpaceDE w:val="0"/>
        <w:autoSpaceDN w:val="0"/>
        <w:bidi w:val="0"/>
        <w:adjustRightInd w:val="0"/>
        <w:snapToGrid w:val="0"/>
        <w:spacing w:before="99" w:line="21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发包人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p>
    <w:p w14:paraId="788920E2">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CBE54FB">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452B21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30" w:type="default"/>
          <w:pgSz w:w="11906" w:h="16839"/>
          <w:pgMar w:top="1427" w:right="1611" w:bottom="1171" w:left="1708" w:header="0" w:footer="992" w:gutter="0"/>
          <w:pgNumType w:fmt="decimal"/>
          <w:cols w:equalWidth="0" w:num="1">
            <w:col w:w="8587"/>
          </w:cols>
        </w:sectPr>
      </w:pPr>
    </w:p>
    <w:p w14:paraId="120C4572">
      <w:pPr>
        <w:pStyle w:val="2"/>
        <w:keepNext w:val="0"/>
        <w:keepLines w:val="0"/>
        <w:pageBreakBefore w:val="0"/>
        <w:widowControl/>
        <w:kinsoku w:val="0"/>
        <w:wordWrap/>
        <w:overflowPunct/>
        <w:topLinePunct w:val="0"/>
        <w:autoSpaceDE w:val="0"/>
        <w:autoSpaceDN w:val="0"/>
        <w:bidi w:val="0"/>
        <w:adjustRightInd w:val="0"/>
        <w:snapToGrid w:val="0"/>
        <w:spacing w:before="44"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15D6210A">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49197249">
      <w:pPr>
        <w:pStyle w:val="2"/>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3F0669F">
      <w:pPr>
        <w:pStyle w:val="2"/>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66142F46">
      <w:pPr>
        <w:pStyle w:val="2"/>
        <w:keepNext w:val="0"/>
        <w:keepLines w:val="0"/>
        <w:pageBreakBefore w:val="0"/>
        <w:widowControl/>
        <w:kinsoku w:val="0"/>
        <w:wordWrap/>
        <w:overflowPunct/>
        <w:topLinePunct w:val="0"/>
        <w:autoSpaceDE w:val="0"/>
        <w:autoSpaceDN w:val="0"/>
        <w:bidi w:val="0"/>
        <w:adjustRightInd w:val="0"/>
        <w:snapToGrid w:val="0"/>
        <w:spacing w:before="1" w:line="225" w:lineRule="auto"/>
        <w:ind w:left="1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z w:val="24"/>
          <w:szCs w:val="24"/>
          <w:highlight w:val="none"/>
          <w:u w:val="single" w:color="auto"/>
        </w:rPr>
        <w:t xml:space="preserve">                      </w:t>
      </w:r>
    </w:p>
    <w:p w14:paraId="04692B2B">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55615AE0">
      <w:pPr>
        <w:pStyle w:val="2"/>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8A3F2E7">
      <w:pPr>
        <w:pStyle w:val="2"/>
        <w:keepNext w:val="0"/>
        <w:keepLines w:val="0"/>
        <w:pageBreakBefore w:val="0"/>
        <w:widowControl/>
        <w:kinsoku w:val="0"/>
        <w:wordWrap/>
        <w:overflowPunct/>
        <w:topLinePunct w:val="0"/>
        <w:autoSpaceDE w:val="0"/>
        <w:autoSpaceDN w:val="0"/>
        <w:bidi w:val="0"/>
        <w:adjustRightInd w:val="0"/>
        <w:snapToGrid w:val="0"/>
        <w:spacing w:before="1"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419F621B">
      <w:pPr>
        <w:pStyle w:val="2"/>
        <w:keepNext w:val="0"/>
        <w:keepLines w:val="0"/>
        <w:pageBreakBefore w:val="0"/>
        <w:widowControl/>
        <w:kinsoku w:val="0"/>
        <w:wordWrap/>
        <w:overflowPunct/>
        <w:topLinePunct w:val="0"/>
        <w:autoSpaceDE w:val="0"/>
        <w:autoSpaceDN w:val="0"/>
        <w:bidi w:val="0"/>
        <w:adjustRightInd w:val="0"/>
        <w:snapToGrid w:val="0"/>
        <w:spacing w:before="6"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传真： </w:t>
      </w:r>
      <w:r>
        <w:rPr>
          <w:rFonts w:hint="eastAsia" w:ascii="仿宋" w:hAnsi="仿宋" w:eastAsia="仿宋" w:cs="仿宋"/>
          <w:color w:val="auto"/>
          <w:sz w:val="24"/>
          <w:szCs w:val="24"/>
          <w:highlight w:val="none"/>
          <w:u w:val="single" w:color="auto"/>
        </w:rPr>
        <w:t xml:space="preserve">                      </w:t>
      </w:r>
    </w:p>
    <w:p w14:paraId="4744CECF">
      <w:pPr>
        <w:pStyle w:val="2"/>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25116092">
      <w:pPr>
        <w:pStyle w:val="2"/>
        <w:keepNext w:val="0"/>
        <w:keepLines w:val="0"/>
        <w:pageBreakBefore w:val="0"/>
        <w:widowControl/>
        <w:kinsoku w:val="0"/>
        <w:wordWrap/>
        <w:overflowPunct/>
        <w:topLinePunct w:val="0"/>
        <w:autoSpaceDE w:val="0"/>
        <w:autoSpaceDN w:val="0"/>
        <w:bidi w:val="0"/>
        <w:adjustRightInd w:val="0"/>
        <w:snapToGrid w:val="0"/>
        <w:spacing w:before="9"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78856A49">
      <w:pPr>
        <w:pStyle w:val="2"/>
        <w:keepNext w:val="0"/>
        <w:keepLines w:val="0"/>
        <w:pageBreakBefore w:val="0"/>
        <w:widowControl/>
        <w:kinsoku w:val="0"/>
        <w:wordWrap/>
        <w:overflowPunct/>
        <w:topLinePunct w:val="0"/>
        <w:autoSpaceDE w:val="0"/>
        <w:autoSpaceDN w:val="0"/>
        <w:bidi w:val="0"/>
        <w:adjustRightInd w:val="0"/>
        <w:snapToGrid w:val="0"/>
        <w:spacing w:before="5" w:line="185"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444FBA73">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098BFCAD">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4844D1FE">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52C719DB">
      <w:pPr>
        <w:pStyle w:val="2"/>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A63AA34">
      <w:pPr>
        <w:pStyle w:val="2"/>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0D0E3AD9">
      <w:pPr>
        <w:pStyle w:val="2"/>
        <w:keepNext w:val="0"/>
        <w:keepLines w:val="0"/>
        <w:pageBreakBefore w:val="0"/>
        <w:widowControl/>
        <w:kinsoku w:val="0"/>
        <w:wordWrap/>
        <w:overflowPunct/>
        <w:topLinePunct w:val="0"/>
        <w:autoSpaceDE w:val="0"/>
        <w:autoSpaceDN w:val="0"/>
        <w:bidi w:val="0"/>
        <w:adjustRightInd w:val="0"/>
        <w:snapToGrid w:val="0"/>
        <w:spacing w:before="2" w:line="222" w:lineRule="auto"/>
        <w:ind w:left="2" w:right="567"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17B0E028">
      <w:pPr>
        <w:pStyle w:val="2"/>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DE51357">
      <w:pPr>
        <w:pStyle w:val="2"/>
        <w:keepNext w:val="0"/>
        <w:keepLines w:val="0"/>
        <w:pageBreakBefore w:val="0"/>
        <w:widowControl/>
        <w:kinsoku w:val="0"/>
        <w:wordWrap/>
        <w:overflowPunct/>
        <w:topLinePunct w:val="0"/>
        <w:autoSpaceDE w:val="0"/>
        <w:autoSpaceDN w:val="0"/>
        <w:bidi w:val="0"/>
        <w:adjustRightInd w:val="0"/>
        <w:snapToGrid w:val="0"/>
        <w:spacing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21A9F98E">
      <w:pPr>
        <w:pStyle w:val="2"/>
        <w:keepNext w:val="0"/>
        <w:keepLines w:val="0"/>
        <w:pageBreakBefore w:val="0"/>
        <w:widowControl/>
        <w:kinsoku w:val="0"/>
        <w:wordWrap/>
        <w:overflowPunct/>
        <w:topLinePunct w:val="0"/>
        <w:autoSpaceDE w:val="0"/>
        <w:autoSpaceDN w:val="0"/>
        <w:bidi w:val="0"/>
        <w:adjustRightInd w:val="0"/>
        <w:snapToGrid w:val="0"/>
        <w:spacing w:before="7"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传真：</w:t>
      </w:r>
      <w:r>
        <w:rPr>
          <w:rFonts w:hint="eastAsia" w:ascii="仿宋" w:hAnsi="仿宋" w:eastAsia="仿宋" w:cs="仿宋"/>
          <w:color w:val="auto"/>
          <w:sz w:val="24"/>
          <w:szCs w:val="24"/>
          <w:highlight w:val="none"/>
          <w:u w:val="single" w:color="auto"/>
        </w:rPr>
        <w:t xml:space="preserve">                       </w:t>
      </w:r>
    </w:p>
    <w:p w14:paraId="132EF8BF">
      <w:pPr>
        <w:pStyle w:val="2"/>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0D49916D">
      <w:pPr>
        <w:pStyle w:val="2"/>
        <w:keepNext w:val="0"/>
        <w:keepLines w:val="0"/>
        <w:pageBreakBefore w:val="0"/>
        <w:widowControl/>
        <w:kinsoku w:val="0"/>
        <w:wordWrap/>
        <w:overflowPunct/>
        <w:topLinePunct w:val="0"/>
        <w:autoSpaceDE w:val="0"/>
        <w:autoSpaceDN w:val="0"/>
        <w:bidi w:val="0"/>
        <w:adjustRightInd w:val="0"/>
        <w:snapToGrid w:val="0"/>
        <w:spacing w:before="8"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077F34DB">
      <w:pPr>
        <w:pStyle w:val="2"/>
        <w:keepNext w:val="0"/>
        <w:keepLines w:val="0"/>
        <w:pageBreakBefore w:val="0"/>
        <w:widowControl/>
        <w:kinsoku w:val="0"/>
        <w:wordWrap/>
        <w:overflowPunct/>
        <w:topLinePunct w:val="0"/>
        <w:autoSpaceDE w:val="0"/>
        <w:autoSpaceDN w:val="0"/>
        <w:bidi w:val="0"/>
        <w:adjustRightInd w:val="0"/>
        <w:snapToGrid w:val="0"/>
        <w:spacing w:before="6" w:line="185"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585F7EE7">
      <w:pPr>
        <w:keepNext w:val="0"/>
        <w:keepLines w:val="0"/>
        <w:pageBreakBefore w:val="0"/>
        <w:widowControl/>
        <w:kinsoku w:val="0"/>
        <w:wordWrap/>
        <w:overflowPunct/>
        <w:topLinePunct w:val="0"/>
        <w:autoSpaceDE w:val="0"/>
        <w:autoSpaceDN w:val="0"/>
        <w:bidi w:val="0"/>
        <w:adjustRightInd w:val="0"/>
        <w:snapToGrid w:val="0"/>
        <w:spacing w:line="185" w:lineRule="auto"/>
        <w:textAlignment w:val="baseline"/>
        <w:outlineLvl w:val="9"/>
        <w:rPr>
          <w:rFonts w:hint="eastAsia" w:ascii="仿宋" w:hAnsi="仿宋" w:eastAsia="仿宋" w:cs="仿宋"/>
          <w:color w:val="auto"/>
          <w:sz w:val="24"/>
          <w:szCs w:val="24"/>
          <w:highlight w:val="none"/>
        </w:rPr>
        <w:sectPr>
          <w:type w:val="continuous"/>
          <w:pgSz w:w="11906" w:h="16839"/>
          <w:pgMar w:top="1427" w:right="1611" w:bottom="1171" w:left="1708" w:header="0" w:footer="992" w:gutter="0"/>
          <w:pgNumType w:fmt="decimal"/>
          <w:cols w:equalWidth="0" w:num="2">
            <w:col w:w="4408" w:space="100"/>
            <w:col w:w="4080"/>
          </w:cols>
        </w:sectPr>
      </w:pPr>
    </w:p>
    <w:p w14:paraId="4471A823">
      <w:pPr>
        <w:pStyle w:val="2"/>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第二部分 通用合同条件</w:t>
      </w:r>
    </w:p>
    <w:p w14:paraId="72F168D7">
      <w:pPr>
        <w:keepNext w:val="0"/>
        <w:keepLines w:val="0"/>
        <w:pageBreakBefore w:val="0"/>
        <w:widowControl/>
        <w:kinsoku w:val="0"/>
        <w:wordWrap/>
        <w:overflowPunct/>
        <w:topLinePunct w:val="0"/>
        <w:autoSpaceDE w:val="0"/>
        <w:autoSpaceDN w:val="0"/>
        <w:bidi w:val="0"/>
        <w:adjustRightInd w:val="0"/>
        <w:snapToGrid w:val="0"/>
        <w:spacing w:line="184" w:lineRule="auto"/>
        <w:textAlignment w:val="baseline"/>
        <w:outlineLvl w:val="9"/>
        <w:rPr>
          <w:rFonts w:hint="eastAsia" w:ascii="仿宋" w:hAnsi="仿宋" w:eastAsia="仿宋" w:cs="仿宋"/>
          <w:color w:val="auto"/>
          <w:sz w:val="24"/>
          <w:szCs w:val="24"/>
          <w:highlight w:val="none"/>
        </w:rPr>
        <w:sectPr>
          <w:type w:val="continuous"/>
          <w:pgSz w:w="11906" w:h="16839"/>
          <w:pgMar w:top="1427" w:right="1611" w:bottom="1171" w:left="1708" w:header="0" w:footer="992" w:gutter="0"/>
          <w:pgNumType w:fmt="decimal"/>
          <w:cols w:equalWidth="0" w:num="1">
            <w:col w:w="8587"/>
          </w:cols>
        </w:sectPr>
      </w:pPr>
    </w:p>
    <w:p w14:paraId="2C7437A2">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第1条</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一般约定</w:t>
      </w:r>
    </w:p>
    <w:p w14:paraId="7858E26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4F998F0F">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合同协议书、通用合同条件、专用合同条件中的下列词语应具有本款所赋予的含义：</w:t>
      </w:r>
    </w:p>
    <w:p w14:paraId="175D06B0">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524858D7">
      <w:pPr>
        <w:pStyle w:val="2"/>
        <w:keepNext w:val="0"/>
        <w:keepLines w:val="0"/>
        <w:pageBreakBefore w:val="0"/>
        <w:widowControl/>
        <w:kinsoku w:val="0"/>
        <w:wordWrap/>
        <w:overflowPunct/>
        <w:topLinePunct w:val="0"/>
        <w:autoSpaceDE w:val="0"/>
        <w:autoSpaceDN w:val="0"/>
        <w:bidi w:val="0"/>
        <w:adjustRightInd w:val="0"/>
        <w:snapToGrid w:val="0"/>
        <w:spacing w:before="141"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合同：是指根据法律规定和合同当事人约定具有约束力的文件，构成合同的文件包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括合同协议书、中标通知书（如果有）、投标函及其附录（如果有）、专用合同条件及其附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件、通用合同条件、《发包人要求》、承包人建议书、价格清单以及双方约定的其他合同文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件。</w:t>
      </w:r>
    </w:p>
    <w:p w14:paraId="232C53A5">
      <w:pPr>
        <w:pStyle w:val="2"/>
        <w:keepNext w:val="0"/>
        <w:keepLines w:val="0"/>
        <w:pageBreakBefore w:val="0"/>
        <w:widowControl/>
        <w:kinsoku w:val="0"/>
        <w:wordWrap/>
        <w:overflowPunct/>
        <w:topLinePunct w:val="0"/>
        <w:autoSpaceDE w:val="0"/>
        <w:autoSpaceDN w:val="0"/>
        <w:bidi w:val="0"/>
        <w:adjustRightInd w:val="0"/>
        <w:snapToGrid w:val="0"/>
        <w:spacing w:before="144"/>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合同协议书：是指构成合同的由发包人和承包人</w:t>
      </w:r>
      <w:r>
        <w:rPr>
          <w:rFonts w:hint="eastAsia" w:ascii="仿宋" w:hAnsi="仿宋" w:eastAsia="仿宋" w:cs="仿宋"/>
          <w:color w:val="auto"/>
          <w:spacing w:val="5"/>
          <w:sz w:val="24"/>
          <w:szCs w:val="24"/>
          <w:highlight w:val="none"/>
        </w:rPr>
        <w:t>共同签署的称为“合同协议书</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书面文件。</w:t>
      </w:r>
    </w:p>
    <w:p w14:paraId="3746F556">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37"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中标通知书：是指构成合同的由发包人通知承包人中标的</w:t>
      </w:r>
      <w:r>
        <w:rPr>
          <w:rFonts w:hint="eastAsia" w:ascii="仿宋" w:hAnsi="仿宋" w:eastAsia="仿宋" w:cs="仿宋"/>
          <w:color w:val="auto"/>
          <w:spacing w:val="5"/>
          <w:sz w:val="24"/>
          <w:szCs w:val="24"/>
          <w:highlight w:val="none"/>
        </w:rPr>
        <w:t>书面文件。中标通知书随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附的澄清、说明、补正事项纪要等，是中标</w:t>
      </w:r>
      <w:r>
        <w:rPr>
          <w:rFonts w:hint="eastAsia" w:ascii="仿宋" w:hAnsi="仿宋" w:eastAsia="仿宋" w:cs="仿宋"/>
          <w:color w:val="auto"/>
          <w:spacing w:val="8"/>
          <w:sz w:val="24"/>
          <w:szCs w:val="24"/>
          <w:highlight w:val="none"/>
        </w:rPr>
        <w:t>通知书的组成部分。</w:t>
      </w:r>
    </w:p>
    <w:p w14:paraId="0208478B">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1.1.1.4</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投标函：是指构成合同的由承包人填写并签署的用于投标的称为“投标函”</w:t>
      </w:r>
      <w:r>
        <w:rPr>
          <w:rFonts w:hint="eastAsia" w:ascii="仿宋" w:hAnsi="仿宋" w:eastAsia="仿宋" w:cs="仿宋"/>
          <w:color w:val="auto"/>
          <w:spacing w:val="3"/>
          <w:sz w:val="24"/>
          <w:szCs w:val="24"/>
          <w:highlight w:val="none"/>
        </w:rPr>
        <w:t>的文件。</w:t>
      </w:r>
    </w:p>
    <w:p w14:paraId="43BD7B77">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1.1.1.5</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投标函附录：是指构成合同的附在投标函后的称为“投标函附录</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7"/>
          <w:sz w:val="24"/>
          <w:szCs w:val="24"/>
          <w:highlight w:val="none"/>
        </w:rPr>
        <w:t>”的文件。</w:t>
      </w:r>
    </w:p>
    <w:p w14:paraId="6B6B7707">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9" w:right="176"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1.1.1.6</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《发包人要求》： 指构成合同文件组成部分的名为《发包人要求》的文件，其中列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明工程的目的、范围、设计与其他技术标准和要求，以及合同双方当事人约定对其所作的修 </w:t>
      </w:r>
      <w:r>
        <w:rPr>
          <w:rFonts w:hint="eastAsia" w:ascii="仿宋" w:hAnsi="仿宋" w:eastAsia="仿宋" w:cs="仿宋"/>
          <w:color w:val="auto"/>
          <w:spacing w:val="4"/>
          <w:sz w:val="24"/>
          <w:szCs w:val="24"/>
          <w:highlight w:val="none"/>
        </w:rPr>
        <w:t>改或补充。</w:t>
      </w:r>
    </w:p>
    <w:p w14:paraId="57AE5558">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项目清单：是指发包人提供的载明工程总承包项目勘察费（如果有）、设计费、建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筑安装工程费、设备购置费、暂估价、暂列金额和双方约定的其他费用的名称和相应数量等</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内容的项目明细。</w:t>
      </w:r>
    </w:p>
    <w:p w14:paraId="3CE307A3">
      <w:pPr>
        <w:pStyle w:val="2"/>
        <w:keepNext w:val="0"/>
        <w:keepLines w:val="0"/>
        <w:pageBreakBefore w:val="0"/>
        <w:widowControl/>
        <w:kinsoku w:val="0"/>
        <w:wordWrap/>
        <w:overflowPunct/>
        <w:topLinePunct w:val="0"/>
        <w:autoSpaceDE w:val="0"/>
        <w:autoSpaceDN w:val="0"/>
        <w:bidi w:val="0"/>
        <w:adjustRightInd w:val="0"/>
        <w:snapToGrid w:val="0"/>
        <w:spacing w:before="148" w:line="238"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价格清单：指构成合同文件组成部分的由承包人按发包人提供的项目清单规定的格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式和要求填写并标明价格的清单。</w:t>
      </w:r>
    </w:p>
    <w:p w14:paraId="5C758DCB">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承包人建议书：指构成合同文件组成部分的名为承包人建议书的文件。承包人建议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书由承包人随投标函一起提交。</w:t>
      </w:r>
    </w:p>
    <w:p w14:paraId="14496163">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1.1.1.10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其他合同文件：是指经合同当事人约定的</w:t>
      </w:r>
      <w:r>
        <w:rPr>
          <w:rFonts w:hint="eastAsia" w:ascii="仿宋" w:hAnsi="仿宋" w:eastAsia="仿宋" w:cs="仿宋"/>
          <w:color w:val="auto"/>
          <w:spacing w:val="8"/>
          <w:sz w:val="24"/>
          <w:szCs w:val="24"/>
          <w:highlight w:val="none"/>
        </w:rPr>
        <w:t>与工程实施有关的具有合同约束力的文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件或书面协议。合同当事人可以在专用合同条件中进行约定。</w:t>
      </w:r>
    </w:p>
    <w:p w14:paraId="6BFF7B24">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1.1.2 合同当事人及其他相关方</w:t>
      </w:r>
    </w:p>
    <w:p w14:paraId="16D0C9FA">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1.1.2.1</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合同当事人：是指发包人和（或）承包人。</w:t>
      </w:r>
    </w:p>
    <w:p w14:paraId="2E891501">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发包人：是指与承包人订立合同协议书的当事人及</w:t>
      </w:r>
      <w:r>
        <w:rPr>
          <w:rFonts w:hint="eastAsia" w:ascii="仿宋" w:hAnsi="仿宋" w:eastAsia="仿宋" w:cs="仿宋"/>
          <w:color w:val="auto"/>
          <w:spacing w:val="5"/>
          <w:sz w:val="24"/>
          <w:szCs w:val="24"/>
          <w:highlight w:val="none"/>
        </w:rPr>
        <w:t>取得该当事人资格的合法继受人。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本合同中“</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因发包人原因</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”里的“发包人</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”包括发包人及</w:t>
      </w:r>
      <w:r>
        <w:rPr>
          <w:rFonts w:hint="eastAsia" w:ascii="仿宋" w:hAnsi="仿宋" w:eastAsia="仿宋" w:cs="仿宋"/>
          <w:color w:val="auto"/>
          <w:spacing w:val="6"/>
          <w:sz w:val="24"/>
          <w:szCs w:val="24"/>
          <w:highlight w:val="none"/>
        </w:rPr>
        <w:t>所有发包人人员。</w:t>
      </w:r>
    </w:p>
    <w:p w14:paraId="1166A932">
      <w:pPr>
        <w:pStyle w:val="2"/>
        <w:keepNext w:val="0"/>
        <w:keepLines w:val="0"/>
        <w:pageBreakBefore w:val="0"/>
        <w:widowControl/>
        <w:kinsoku w:val="0"/>
        <w:wordWrap/>
        <w:overflowPunct/>
        <w:topLinePunct w:val="0"/>
        <w:autoSpaceDE w:val="0"/>
        <w:autoSpaceDN w:val="0"/>
        <w:bidi w:val="0"/>
        <w:adjustRightInd w:val="0"/>
        <w:snapToGrid w:val="0"/>
        <w:spacing w:before="14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承包人：是指与发包人订立合同协议书的当事人及</w:t>
      </w:r>
      <w:r>
        <w:rPr>
          <w:rFonts w:hint="eastAsia" w:ascii="仿宋" w:hAnsi="仿宋" w:eastAsia="仿宋" w:cs="仿宋"/>
          <w:color w:val="auto"/>
          <w:spacing w:val="5"/>
          <w:sz w:val="24"/>
          <w:szCs w:val="24"/>
          <w:highlight w:val="none"/>
        </w:rPr>
        <w:t>取得该当事人资格的合法继受人。</w:t>
      </w:r>
    </w:p>
    <w:p w14:paraId="39292D6E">
      <w:pPr>
        <w:pStyle w:val="2"/>
        <w:keepNext w:val="0"/>
        <w:keepLines w:val="0"/>
        <w:pageBreakBefore w:val="0"/>
        <w:widowControl/>
        <w:kinsoku w:val="0"/>
        <w:wordWrap/>
        <w:overflowPunct/>
        <w:topLinePunct w:val="0"/>
        <w:autoSpaceDE w:val="0"/>
        <w:autoSpaceDN w:val="0"/>
        <w:bidi w:val="0"/>
        <w:adjustRightInd w:val="0"/>
        <w:snapToGrid w:val="0"/>
        <w:spacing w:before="145"/>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联合体：是指经发包人同意由两个或两个以上法人或者其他组织组成的，作为承包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人的临时机构。</w:t>
      </w:r>
    </w:p>
    <w:p w14:paraId="670B9E2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发包人代表：是指由发包人任命并派驻工作现场，在发包人授权范围内行使发包人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权利和履行发包人义务的人。</w:t>
      </w:r>
    </w:p>
    <w:p w14:paraId="7BDD8C20">
      <w:pPr>
        <w:pStyle w:val="2"/>
        <w:keepNext w:val="0"/>
        <w:keepLines w:val="0"/>
        <w:pageBreakBefore w:val="0"/>
        <w:widowControl/>
        <w:kinsoku w:val="0"/>
        <w:wordWrap/>
        <w:overflowPunct/>
        <w:topLinePunct w:val="0"/>
        <w:autoSpaceDE w:val="0"/>
        <w:autoSpaceDN w:val="0"/>
        <w:bidi w:val="0"/>
        <w:adjustRightInd w:val="0"/>
        <w:snapToGrid w:val="0"/>
        <w:spacing w:before="146"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工程师：是指在专用合同条件中指明的，受发包人委托按照法律规定和发包人的授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权进行合同履行管理、工程监督管理等工作的法人或其他组织；该法人或其他组织应雇用一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名具有相应执业资格和职业能力的自然人作为工程师代表，并授予其根据本合同代表工程师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行事的权利。</w:t>
      </w:r>
    </w:p>
    <w:p w14:paraId="1265790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7" w:right="17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工程总承包项目经理：是指由承包人任命的，在承包人授权范围内负责合同履行的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管理，且按照法律规定具有相应资格的项目</w:t>
      </w:r>
      <w:r>
        <w:rPr>
          <w:rFonts w:hint="eastAsia" w:ascii="仿宋" w:hAnsi="仿宋" w:eastAsia="仿宋" w:cs="仿宋"/>
          <w:color w:val="auto"/>
          <w:spacing w:val="8"/>
          <w:sz w:val="24"/>
          <w:szCs w:val="24"/>
          <w:highlight w:val="none"/>
        </w:rPr>
        <w:t>负责人。</w:t>
      </w:r>
    </w:p>
    <w:p w14:paraId="397E6730">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设计负责人：是指承包人指定负责组织、指导、协调设计工作并具有相应资格的人</w:t>
      </w:r>
      <w:r>
        <w:rPr>
          <w:rFonts w:hint="eastAsia" w:ascii="仿宋" w:hAnsi="仿宋" w:eastAsia="仿宋" w:cs="仿宋"/>
          <w:color w:val="auto"/>
          <w:spacing w:val="-4"/>
          <w:sz w:val="24"/>
          <w:szCs w:val="24"/>
          <w:highlight w:val="none"/>
        </w:rPr>
        <w:t>员。</w:t>
      </w:r>
    </w:p>
    <w:p w14:paraId="790378A4">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1.1.2.9</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采购负责人：是指承包人指定负责组织、指导、协调采购工作的人员。</w:t>
      </w:r>
    </w:p>
    <w:p w14:paraId="6C15E761">
      <w:pPr>
        <w:pStyle w:val="2"/>
        <w:keepNext w:val="0"/>
        <w:keepLines w:val="0"/>
        <w:pageBreakBefore w:val="0"/>
        <w:widowControl/>
        <w:kinsoku w:val="0"/>
        <w:wordWrap/>
        <w:overflowPunct/>
        <w:topLinePunct w:val="0"/>
        <w:autoSpaceDE w:val="0"/>
        <w:autoSpaceDN w:val="0"/>
        <w:bidi w:val="0"/>
        <w:adjustRightInd w:val="0"/>
        <w:snapToGrid w:val="0"/>
        <w:spacing w:before="144" w:line="241" w:lineRule="auto"/>
        <w:ind w:left="23" w:right="59"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施工负责人：是指承包人指定负责组织、</w:t>
      </w:r>
      <w:r>
        <w:rPr>
          <w:rFonts w:hint="eastAsia" w:ascii="仿宋" w:hAnsi="仿宋" w:eastAsia="仿宋" w:cs="仿宋"/>
          <w:color w:val="auto"/>
          <w:spacing w:val="8"/>
          <w:sz w:val="24"/>
          <w:szCs w:val="24"/>
          <w:highlight w:val="none"/>
        </w:rPr>
        <w:t>指导、协调施工工作并具有相应资格的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人员。</w:t>
      </w:r>
    </w:p>
    <w:p w14:paraId="2EE2F460">
      <w:pPr>
        <w:pStyle w:val="2"/>
        <w:keepNext w:val="0"/>
        <w:keepLines w:val="0"/>
        <w:pageBreakBefore w:val="0"/>
        <w:widowControl/>
        <w:kinsoku w:val="0"/>
        <w:wordWrap/>
        <w:overflowPunct/>
        <w:topLinePunct w:val="0"/>
        <w:autoSpaceDE w:val="0"/>
        <w:autoSpaceDN w:val="0"/>
        <w:bidi w:val="0"/>
        <w:adjustRightInd w:val="0"/>
        <w:snapToGrid w:val="0"/>
        <w:spacing w:before="143"/>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分包人：是指按照法律规定和合同约定，</w:t>
      </w:r>
      <w:r>
        <w:rPr>
          <w:rFonts w:hint="eastAsia" w:ascii="仿宋" w:hAnsi="仿宋" w:eastAsia="仿宋" w:cs="仿宋"/>
          <w:color w:val="auto"/>
          <w:spacing w:val="8"/>
          <w:sz w:val="24"/>
          <w:szCs w:val="24"/>
          <w:highlight w:val="none"/>
        </w:rPr>
        <w:t>分包部分工程或工作，并与承包人订立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分包合同的具有相应资质或资格的法人或其他组</w:t>
      </w:r>
      <w:r>
        <w:rPr>
          <w:rFonts w:hint="eastAsia" w:ascii="仿宋" w:hAnsi="仿宋" w:eastAsia="仿宋" w:cs="仿宋"/>
          <w:color w:val="auto"/>
          <w:spacing w:val="8"/>
          <w:sz w:val="24"/>
          <w:szCs w:val="24"/>
          <w:highlight w:val="none"/>
        </w:rPr>
        <w:t>织。</w:t>
      </w:r>
    </w:p>
    <w:p w14:paraId="2B97E9C0">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320E00F1">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工程：是指与合同协议书中工程承包范围对应的永久工程和（或）临时工程。</w:t>
      </w:r>
    </w:p>
    <w:p w14:paraId="09C38165">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工程实施：是指进行工程的设计、采购、施工和竣</w:t>
      </w:r>
      <w:r>
        <w:rPr>
          <w:rFonts w:hint="eastAsia" w:ascii="仿宋" w:hAnsi="仿宋" w:eastAsia="仿宋" w:cs="仿宋"/>
          <w:color w:val="auto"/>
          <w:spacing w:val="7"/>
          <w:sz w:val="24"/>
          <w:szCs w:val="24"/>
          <w:highlight w:val="none"/>
        </w:rPr>
        <w:t>工以及对工程任何缺陷的修复。</w:t>
      </w:r>
    </w:p>
    <w:p w14:paraId="6A9F0271">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1.1.3.3</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永久工程：是指按合同约定建造并移交给发包人的工程，包括工程设备。</w:t>
      </w:r>
    </w:p>
    <w:p w14:paraId="0652C7BA">
      <w:pPr>
        <w:pStyle w:val="2"/>
        <w:keepNext w:val="0"/>
        <w:keepLines w:val="0"/>
        <w:pageBreakBefore w:val="0"/>
        <w:widowControl/>
        <w:kinsoku w:val="0"/>
        <w:wordWrap/>
        <w:overflowPunct/>
        <w:topLinePunct w:val="0"/>
        <w:autoSpaceDE w:val="0"/>
        <w:autoSpaceDN w:val="0"/>
        <w:bidi w:val="0"/>
        <w:adjustRightInd w:val="0"/>
        <w:snapToGrid w:val="0"/>
        <w:spacing w:before="144"/>
        <w:ind w:left="25"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临时工程：是指为完成合同约定的永久工程所修建的各类临时性工程，不包括施工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设备。</w:t>
      </w:r>
    </w:p>
    <w:p w14:paraId="30A93D7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1.1.3.5</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单位/区段工程：是指在专用合同条件中指</w:t>
      </w:r>
      <w:r>
        <w:rPr>
          <w:rFonts w:hint="eastAsia" w:ascii="仿宋" w:hAnsi="仿宋" w:eastAsia="仿宋" w:cs="仿宋"/>
          <w:color w:val="auto"/>
          <w:spacing w:val="8"/>
          <w:sz w:val="24"/>
          <w:szCs w:val="24"/>
          <w:highlight w:val="none"/>
        </w:rPr>
        <w:t>明特定范围的，能单独接收并使用的永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久工程。</w:t>
      </w:r>
    </w:p>
    <w:p w14:paraId="68752E51">
      <w:pPr>
        <w:pStyle w:val="2"/>
        <w:keepNext w:val="0"/>
        <w:keepLines w:val="0"/>
        <w:pageBreakBefore w:val="0"/>
        <w:widowControl/>
        <w:kinsoku w:val="0"/>
        <w:wordWrap/>
        <w:overflowPunct/>
        <w:topLinePunct w:val="0"/>
        <w:autoSpaceDE w:val="0"/>
        <w:autoSpaceDN w:val="0"/>
        <w:bidi w:val="0"/>
        <w:adjustRightInd w:val="0"/>
        <w:snapToGrid w:val="0"/>
        <w:spacing w:before="146"/>
        <w:ind w:left="22" w:right="5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工程设备：指构成永久工程的机电设备、仪器装置、运载工具及其他类似的设备和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装置，包括其配件及备品、备件、易损易耗件等。</w:t>
      </w:r>
    </w:p>
    <w:p w14:paraId="0764A72F">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1" w:right="58"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施工设备：指为完成合同约定的各项工作所需的设备、器具和其他物品，不包括工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程设备、临时工程和材料。</w:t>
      </w:r>
    </w:p>
    <w:p w14:paraId="53F58DA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1.1.3.8</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临时设施：指为完成合同约定的各项工作所服务的临时性生产和生活设施。</w:t>
      </w:r>
    </w:p>
    <w:p w14:paraId="1634A12E">
      <w:pPr>
        <w:pStyle w:val="2"/>
        <w:keepNext w:val="0"/>
        <w:keepLines w:val="0"/>
        <w:pageBreakBefore w:val="0"/>
        <w:widowControl/>
        <w:kinsoku w:val="0"/>
        <w:wordWrap/>
        <w:overflowPunct/>
        <w:topLinePunct w:val="0"/>
        <w:autoSpaceDE w:val="0"/>
        <w:autoSpaceDN w:val="0"/>
        <w:bidi w:val="0"/>
        <w:adjustRightInd w:val="0"/>
        <w:snapToGrid w:val="0"/>
        <w:spacing w:before="145"/>
        <w:ind w:left="23" w:right="58"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施工现场：是指用于工程施工的场所，以及在专用合同条件中指明作为施工场所组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成部分的其他场所，包括永久占地和临时占地。</w:t>
      </w:r>
    </w:p>
    <w:p w14:paraId="7EAE0835">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永久占地：是指专用合同条件中指明为实施工程需永久占用的</w:t>
      </w:r>
      <w:r>
        <w:rPr>
          <w:rFonts w:hint="eastAsia" w:ascii="仿宋" w:hAnsi="仿宋" w:eastAsia="仿宋" w:cs="仿宋"/>
          <w:color w:val="auto"/>
          <w:spacing w:val="7"/>
          <w:sz w:val="24"/>
          <w:szCs w:val="24"/>
          <w:highlight w:val="none"/>
        </w:rPr>
        <w:t>土地。</w:t>
      </w:r>
    </w:p>
    <w:p w14:paraId="5091D8E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临时占地：是指专用合同条件中指明为实施工程需临时占用的</w:t>
      </w:r>
      <w:r>
        <w:rPr>
          <w:rFonts w:hint="eastAsia" w:ascii="仿宋" w:hAnsi="仿宋" w:eastAsia="仿宋" w:cs="仿宋"/>
          <w:color w:val="auto"/>
          <w:spacing w:val="7"/>
          <w:sz w:val="24"/>
          <w:szCs w:val="24"/>
          <w:highlight w:val="none"/>
        </w:rPr>
        <w:t>土地。</w:t>
      </w:r>
    </w:p>
    <w:p w14:paraId="51F2495E">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z w:val="24"/>
          <w:szCs w:val="24"/>
          <w:highlight w:val="none"/>
        </w:rPr>
        <w:t>日期和期限</w:t>
      </w:r>
    </w:p>
    <w:p w14:paraId="23B441DE">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开始工作通知：指工程师按第8.1.2项[开始工作通知]的约定通知承包人开始工作</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的函件。</w:t>
      </w:r>
    </w:p>
    <w:p w14:paraId="02FB44B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57" w:firstLine="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开始工作日期：包括计划开始工作日期和实际开始工作日期。计划开始工作日期是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指合同协议书约定的开始工作日期；实际开始工作日期是指工程师按照第8.1款[开始工作]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约定发出的符合法律规定的开始工作通知中载明的开始工作日期。</w:t>
      </w:r>
    </w:p>
    <w:p w14:paraId="369609CB">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开始现场施工日期：包括计划开始现场施工日期和实际开始现场施工日期。计划开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始现场施工日期是指合同协议书约定的开始现场施工日期；实际开始现场施工日期是指工程</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师发出的符合法律规定的开工通知中载明的开始现场施工日期。</w:t>
      </w:r>
    </w:p>
    <w:p w14:paraId="172C806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竣工日期：包括计划竣工日期和实际竣工日期。计划竣工日期是指合同协议书约定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的竣工日期；实际竣工日期按照第8.2款[竣工日期]的约定确定。</w:t>
      </w:r>
    </w:p>
    <w:p w14:paraId="36339238">
      <w:pPr>
        <w:pStyle w:val="2"/>
        <w:keepNext w:val="0"/>
        <w:keepLines w:val="0"/>
        <w:pageBreakBefore w:val="0"/>
        <w:widowControl/>
        <w:kinsoku w:val="0"/>
        <w:wordWrap/>
        <w:overflowPunct/>
        <w:topLinePunct w:val="0"/>
        <w:autoSpaceDE w:val="0"/>
        <w:autoSpaceDN w:val="0"/>
        <w:bidi w:val="0"/>
        <w:adjustRightInd w:val="0"/>
        <w:snapToGrid w:val="0"/>
        <w:spacing w:before="144"/>
        <w:ind w:left="27" w:right="58"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工期：是指在合同协议书约定的承包人完成合同工作所需的期限，包括按照合同约</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定所作的期限变更及按合同约定承包人有权取得的工期延长。</w:t>
      </w:r>
    </w:p>
    <w:p w14:paraId="6FC5BAF8">
      <w:pPr>
        <w:pStyle w:val="2"/>
        <w:keepNext w:val="0"/>
        <w:keepLines w:val="0"/>
        <w:pageBreakBefore w:val="0"/>
        <w:widowControl/>
        <w:kinsoku w:val="0"/>
        <w:wordWrap/>
        <w:overflowPunct/>
        <w:topLinePunct w:val="0"/>
        <w:autoSpaceDE w:val="0"/>
        <w:autoSpaceDN w:val="0"/>
        <w:bidi w:val="0"/>
        <w:adjustRightInd w:val="0"/>
        <w:snapToGrid w:val="0"/>
        <w:spacing w:before="145"/>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1.1.4.6</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缺陷责任期：是指发包人预留工程质量保证金以保证承包人履行第11.3款[缺陷调</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查]下质量缺陷责任的期限。</w:t>
      </w:r>
    </w:p>
    <w:p w14:paraId="7DD562B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保修期：是指承包人按照合同约定和法律规定对工程质量承担保修责任的期限，该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期限自缺陷责任期起算之日起计算。</w:t>
      </w:r>
    </w:p>
    <w:p w14:paraId="2354CEEB">
      <w:pPr>
        <w:keepNext w:val="0"/>
        <w:keepLines w:val="0"/>
        <w:pageBreakBefore w:val="0"/>
        <w:widowControl/>
        <w:kinsoku w:val="0"/>
        <w:wordWrap/>
        <w:overflowPunct/>
        <w:topLinePunct w:val="0"/>
        <w:autoSpaceDE w:val="0"/>
        <w:autoSpaceDN w:val="0"/>
        <w:bidi w:val="0"/>
        <w:adjustRightInd w:val="0"/>
        <w:snapToGrid w:val="0"/>
        <w:spacing w:line="239" w:lineRule="auto"/>
        <w:textAlignment w:val="baseline"/>
        <w:outlineLvl w:val="9"/>
        <w:rPr>
          <w:rFonts w:hint="eastAsia" w:ascii="仿宋" w:hAnsi="仿宋" w:eastAsia="仿宋" w:cs="仿宋"/>
          <w:color w:val="auto"/>
          <w:sz w:val="24"/>
          <w:szCs w:val="24"/>
          <w:highlight w:val="none"/>
        </w:rPr>
        <w:sectPr>
          <w:footerReference r:id="rId31" w:type="default"/>
          <w:pgSz w:w="11906" w:h="16839"/>
          <w:pgMar w:top="1428" w:right="1743" w:bottom="1171" w:left="1785" w:header="0" w:footer="992" w:gutter="0"/>
          <w:pgNumType w:fmt="decimal"/>
          <w:cols w:space="720" w:num="1"/>
        </w:sectPr>
      </w:pPr>
    </w:p>
    <w:p w14:paraId="0B9E748D">
      <w:pPr>
        <w:pStyle w:val="2"/>
        <w:keepNext w:val="0"/>
        <w:keepLines w:val="0"/>
        <w:pageBreakBefore w:val="0"/>
        <w:widowControl/>
        <w:kinsoku w:val="0"/>
        <w:wordWrap/>
        <w:overflowPunct/>
        <w:topLinePunct w:val="0"/>
        <w:autoSpaceDE w:val="0"/>
        <w:autoSpaceDN w:val="0"/>
        <w:bidi w:val="0"/>
        <w:adjustRightInd w:val="0"/>
        <w:snapToGrid w:val="0"/>
        <w:spacing w:before="42"/>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基准日期：招标发包的工程以投标截止日前28天的日期为基准日期，直接发包的工</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程以合同订立日前28天的日期为基准日期。</w:t>
      </w:r>
    </w:p>
    <w:p w14:paraId="1527A751">
      <w:pPr>
        <w:pStyle w:val="2"/>
        <w:keepNext w:val="0"/>
        <w:keepLines w:val="0"/>
        <w:pageBreakBefore w:val="0"/>
        <w:widowControl/>
        <w:kinsoku w:val="0"/>
        <w:wordWrap/>
        <w:overflowPunct/>
        <w:topLinePunct w:val="0"/>
        <w:autoSpaceDE w:val="0"/>
        <w:autoSpaceDN w:val="0"/>
        <w:bidi w:val="0"/>
        <w:adjustRightInd w:val="0"/>
        <w:snapToGrid w:val="0"/>
        <w:spacing w:before="143"/>
        <w:ind w:left="57" w:right="70" w:hanging="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天：除特别指明外，均指日历天。合同中按天计算时间的，开始当天不计入，从次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日开始计算。期限最后一天的截止时间为当天24:</w:t>
      </w:r>
      <w:r>
        <w:rPr>
          <w:rFonts w:hint="eastAsia" w:ascii="仿宋" w:hAnsi="仿宋" w:eastAsia="仿宋" w:cs="仿宋"/>
          <w:color w:val="auto"/>
          <w:spacing w:val="6"/>
          <w:sz w:val="24"/>
          <w:szCs w:val="24"/>
          <w:highlight w:val="none"/>
        </w:rPr>
        <w:t>00。</w:t>
      </w:r>
    </w:p>
    <w:p w14:paraId="325FA48D">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竣工试验：是指在工程竣工验收前，根据第9条[竣工试验]</w:t>
      </w:r>
      <w:r>
        <w:rPr>
          <w:rFonts w:hint="eastAsia" w:ascii="仿宋" w:hAnsi="仿宋" w:eastAsia="仿宋" w:cs="仿宋"/>
          <w:color w:val="auto"/>
          <w:spacing w:val="7"/>
          <w:sz w:val="24"/>
          <w:szCs w:val="24"/>
          <w:highlight w:val="none"/>
        </w:rPr>
        <w:t>要求进行的试验。</w:t>
      </w:r>
    </w:p>
    <w:p w14:paraId="73B8161E">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1.1.4.11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竣工验收：是指承包人完成了合同约定的</w:t>
      </w:r>
      <w:r>
        <w:rPr>
          <w:rFonts w:hint="eastAsia" w:ascii="仿宋" w:hAnsi="仿宋" w:eastAsia="仿宋" w:cs="仿宋"/>
          <w:color w:val="auto"/>
          <w:spacing w:val="8"/>
          <w:sz w:val="24"/>
          <w:szCs w:val="24"/>
          <w:highlight w:val="none"/>
        </w:rPr>
        <w:t>各项内容后，发包人按合同要求进行的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验收。</w:t>
      </w:r>
    </w:p>
    <w:p w14:paraId="292093EC">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1.1.4.12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竣工后试验：是指在工程竣工验收后，根据第12条[竣工后试验]约定进行的试验。</w:t>
      </w:r>
    </w:p>
    <w:p w14:paraId="63C381E5">
      <w:pPr>
        <w:pStyle w:val="2"/>
        <w:keepNext w:val="0"/>
        <w:keepLines w:val="0"/>
        <w:pageBreakBefore w:val="0"/>
        <w:widowControl/>
        <w:kinsoku w:val="0"/>
        <w:wordWrap/>
        <w:overflowPunct/>
        <w:topLinePunct w:val="0"/>
        <w:autoSpaceDE w:val="0"/>
        <w:autoSpaceDN w:val="0"/>
        <w:bidi w:val="0"/>
        <w:adjustRightInd w:val="0"/>
        <w:snapToGrid w:val="0"/>
        <w:spacing w:before="14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合同价格和费用</w:t>
      </w:r>
    </w:p>
    <w:p w14:paraId="36F2B7A9">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签约合同价：是指发包人和承包人在合同协议书中确定的总金额，包括暂估价及暂</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列金额等。</w:t>
      </w:r>
    </w:p>
    <w:p w14:paraId="12E19AB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合同价格：是指发包人用于支付承包人按照合同约定完成承包范围内全部工作的金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额，包括合同履行过程中按合同约定发生的价格变化。</w:t>
      </w:r>
    </w:p>
    <w:p w14:paraId="5D35329E">
      <w:pPr>
        <w:pStyle w:val="2"/>
        <w:keepNext w:val="0"/>
        <w:keepLines w:val="0"/>
        <w:pageBreakBefore w:val="0"/>
        <w:widowControl/>
        <w:kinsoku w:val="0"/>
        <w:wordWrap/>
        <w:overflowPunct/>
        <w:topLinePunct w:val="0"/>
        <w:autoSpaceDE w:val="0"/>
        <w:autoSpaceDN w:val="0"/>
        <w:bidi w:val="0"/>
        <w:adjustRightInd w:val="0"/>
        <w:snapToGrid w:val="0"/>
        <w:spacing w:before="147"/>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费用：是指为履行合同所发生的或将要发生的所有合理开支，包括管理费和应分摊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的其他费用，但不包括利润。</w:t>
      </w:r>
    </w:p>
    <w:p w14:paraId="547AB575">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1.1.5.4</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人工费：是指支付给直接从事建筑安装工程施工作业的建筑工人的各项费用。</w:t>
      </w:r>
    </w:p>
    <w:p w14:paraId="2E371474">
      <w:pPr>
        <w:pStyle w:val="2"/>
        <w:keepNext w:val="0"/>
        <w:keepLines w:val="0"/>
        <w:pageBreakBefore w:val="0"/>
        <w:widowControl/>
        <w:kinsoku w:val="0"/>
        <w:wordWrap/>
        <w:overflowPunct/>
        <w:topLinePunct w:val="0"/>
        <w:autoSpaceDE w:val="0"/>
        <w:autoSpaceDN w:val="0"/>
        <w:bidi w:val="0"/>
        <w:adjustRightInd w:val="0"/>
        <w:snapToGrid w:val="0"/>
        <w:spacing w:before="143" w:line="239" w:lineRule="auto"/>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暂估价：是指发包人在项目清单中给定的，用于支付必然发生但暂时不能确定价格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的专业服务、材料、设备、专业工程的金额。</w:t>
      </w:r>
    </w:p>
    <w:p w14:paraId="6FEBBACE">
      <w:pPr>
        <w:pStyle w:val="2"/>
        <w:keepNext w:val="0"/>
        <w:keepLines w:val="0"/>
        <w:pageBreakBefore w:val="0"/>
        <w:widowControl/>
        <w:kinsoku w:val="0"/>
        <w:wordWrap/>
        <w:overflowPunct/>
        <w:topLinePunct w:val="0"/>
        <w:autoSpaceDE w:val="0"/>
        <w:autoSpaceDN w:val="0"/>
        <w:bidi w:val="0"/>
        <w:adjustRightInd w:val="0"/>
        <w:snapToGrid w:val="0"/>
        <w:spacing w:before="147"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暂列金额：是指发包人在项目清单中给定的，用于在订立协议书时尚未确定或不可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预见变更的设计、施工及其所需材料、工程设备、服务等的金额，包括以计日工方式支付的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金额。</w:t>
      </w:r>
    </w:p>
    <w:p w14:paraId="0510E9E2">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计日工：是指合同履行过程中，承包人完成发包人提出的零星工作或需要采用计日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工计价的变更工作时，按合同中约定的单价计价的一种方式。</w:t>
      </w:r>
    </w:p>
    <w:p w14:paraId="317E09CD">
      <w:pPr>
        <w:pStyle w:val="2"/>
        <w:keepNext w:val="0"/>
        <w:keepLines w:val="0"/>
        <w:pageBreakBefore w:val="0"/>
        <w:widowControl/>
        <w:kinsoku w:val="0"/>
        <w:wordWrap/>
        <w:overflowPunct/>
        <w:topLinePunct w:val="0"/>
        <w:autoSpaceDE w:val="0"/>
        <w:autoSpaceDN w:val="0"/>
        <w:bidi w:val="0"/>
        <w:adjustRightInd w:val="0"/>
        <w:snapToGrid w:val="0"/>
        <w:spacing w:before="146"/>
        <w:ind w:left="25"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质量保证金：是指按第14.6款[质量保证金]约定承包人用于保证其在缺陷责</w:t>
      </w:r>
      <w:r>
        <w:rPr>
          <w:rFonts w:hint="eastAsia" w:ascii="仿宋" w:hAnsi="仿宋" w:eastAsia="仿宋" w:cs="仿宋"/>
          <w:color w:val="auto"/>
          <w:spacing w:val="5"/>
          <w:sz w:val="24"/>
          <w:szCs w:val="24"/>
          <w:highlight w:val="none"/>
        </w:rPr>
        <w:t>任期内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履行缺陷修复义务的担保。</w:t>
      </w:r>
    </w:p>
    <w:p w14:paraId="646EDB28">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1.1.6</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其他</w:t>
      </w:r>
    </w:p>
    <w:p w14:paraId="1435EB4D">
      <w:pPr>
        <w:pStyle w:val="2"/>
        <w:keepNext w:val="0"/>
        <w:keepLines w:val="0"/>
        <w:pageBreakBefore w:val="0"/>
        <w:widowControl/>
        <w:kinsoku w:val="0"/>
        <w:wordWrap/>
        <w:overflowPunct/>
        <w:topLinePunct w:val="0"/>
        <w:autoSpaceDE w:val="0"/>
        <w:autoSpaceDN w:val="0"/>
        <w:bidi w:val="0"/>
        <w:adjustRightInd w:val="0"/>
        <w:snapToGrid w:val="0"/>
        <w:spacing w:before="144"/>
        <w:ind w:left="45" w:right="73"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书面形式：指合同文件、信函、电报、传真、数据电文、电子邮件、会议纪要等可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以有形地表现所载内容的形式。</w:t>
      </w:r>
    </w:p>
    <w:p w14:paraId="75FC5780">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12"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1.1.6.2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承包人文件：指由承包人根据合同约定应提交的所</w:t>
      </w:r>
      <w:r>
        <w:rPr>
          <w:rFonts w:hint="eastAsia" w:ascii="仿宋" w:hAnsi="仿宋" w:eastAsia="仿宋" w:cs="仿宋"/>
          <w:color w:val="auto"/>
          <w:spacing w:val="7"/>
          <w:sz w:val="24"/>
          <w:szCs w:val="24"/>
          <w:highlight w:val="none"/>
        </w:rPr>
        <w:t>有图纸、手册、模型、计算书、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软件、函件、洽商性文件和其他技术性文件。</w:t>
      </w:r>
    </w:p>
    <w:p w14:paraId="1630BE0B">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变更：指根据第13条[变更与调整]的约定，经指示或批准对《发包人要求》或工程</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6"/>
          <w:sz w:val="24"/>
          <w:szCs w:val="24"/>
          <w:highlight w:val="none"/>
        </w:rPr>
        <w:t>所做的改变。</w:t>
      </w:r>
    </w:p>
    <w:p w14:paraId="404C5D81">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37D2E65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合同文件以中国的汉语简体语言文字编写、解释和说明。专用术语使用外文的，</w:t>
      </w:r>
      <w:r>
        <w:rPr>
          <w:rFonts w:hint="eastAsia" w:ascii="仿宋" w:hAnsi="仿宋" w:eastAsia="仿宋" w:cs="仿宋"/>
          <w:color w:val="auto"/>
          <w:spacing w:val="7"/>
          <w:sz w:val="24"/>
          <w:szCs w:val="24"/>
          <w:highlight w:val="none"/>
        </w:rPr>
        <w:t>应附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有中文注释。合同当事人在专用合同条件约定使用两种及以上语言时，汉语为优先解释和说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明合同的语言。</w:t>
      </w:r>
    </w:p>
    <w:p w14:paraId="3E0E2C3A">
      <w:pPr>
        <w:pStyle w:val="2"/>
        <w:keepNext w:val="0"/>
        <w:keepLines w:val="0"/>
        <w:pageBreakBefore w:val="0"/>
        <w:widowControl/>
        <w:kinsoku w:val="0"/>
        <w:wordWrap/>
        <w:overflowPunct/>
        <w:topLinePunct w:val="0"/>
        <w:autoSpaceDE w:val="0"/>
        <w:autoSpaceDN w:val="0"/>
        <w:bidi w:val="0"/>
        <w:adjustRightInd w:val="0"/>
        <w:snapToGrid w:val="0"/>
        <w:spacing w:before="24"/>
        <w:ind w:left="22"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与合同有关的联络应使用专用合同条件约定的语言。如没有约定，则应</w:t>
      </w:r>
      <w:r>
        <w:rPr>
          <w:rFonts w:hint="eastAsia" w:ascii="仿宋" w:hAnsi="仿宋" w:eastAsia="仿宋" w:cs="仿宋"/>
          <w:color w:val="auto"/>
          <w:spacing w:val="7"/>
          <w:sz w:val="24"/>
          <w:szCs w:val="24"/>
          <w:highlight w:val="none"/>
        </w:rPr>
        <w:t>使用中国的汉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语简体语言文字。</w:t>
      </w:r>
    </w:p>
    <w:p w14:paraId="1A11C30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4E701819">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合同所称法律是指中华人民共和国法律、行政法规、部门规章，以及工程所在地</w:t>
      </w:r>
      <w:r>
        <w:rPr>
          <w:rFonts w:hint="eastAsia" w:ascii="仿宋" w:hAnsi="仿宋" w:eastAsia="仿宋" w:cs="仿宋"/>
          <w:color w:val="auto"/>
          <w:spacing w:val="7"/>
          <w:sz w:val="24"/>
          <w:szCs w:val="24"/>
          <w:highlight w:val="none"/>
        </w:rPr>
        <w:t>的地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方法规、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自治条例、单行条例和地方政府规章等。</w:t>
      </w:r>
    </w:p>
    <w:p w14:paraId="5259FB76">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合同当事人可以在专用合同条件中约定合同适用的其他规范性文件。</w:t>
      </w:r>
    </w:p>
    <w:p w14:paraId="4071AFEB">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2" w:type="default"/>
          <w:pgSz w:w="11906" w:h="16839"/>
          <w:pgMar w:top="1428" w:right="1731" w:bottom="1169" w:left="1785" w:header="0" w:footer="992" w:gutter="0"/>
          <w:pgNumType w:fmt="decimal"/>
          <w:cols w:space="720" w:num="1"/>
        </w:sectPr>
      </w:pPr>
    </w:p>
    <w:p w14:paraId="0C912987">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74F8FC79">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15"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适用于工程的国家标准、行业标准</w:t>
      </w:r>
      <w:r>
        <w:rPr>
          <w:rFonts w:hint="eastAsia" w:ascii="仿宋" w:hAnsi="仿宋" w:eastAsia="仿宋" w:cs="仿宋"/>
          <w:color w:val="auto"/>
          <w:spacing w:val="6"/>
          <w:sz w:val="24"/>
          <w:szCs w:val="24"/>
          <w:highlight w:val="none"/>
        </w:rPr>
        <w:t>、工程所在地的地方性标准，以及相应的规范、规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程等，合同当事人有特别要求的，应在专用合同条件中约定。</w:t>
      </w:r>
    </w:p>
    <w:p w14:paraId="6E08F78F">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发包人要求使用国外标准、规范的</w:t>
      </w:r>
      <w:r>
        <w:rPr>
          <w:rFonts w:hint="eastAsia" w:ascii="仿宋" w:hAnsi="仿宋" w:eastAsia="仿宋" w:cs="仿宋"/>
          <w:color w:val="auto"/>
          <w:spacing w:val="6"/>
          <w:sz w:val="24"/>
          <w:szCs w:val="24"/>
          <w:highlight w:val="none"/>
        </w:rPr>
        <w:t>，发包人负责提供原文版本和中文译本，并在专用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合同条件中约定提供标准规范的名称、份数和时间。</w:t>
      </w:r>
    </w:p>
    <w:p w14:paraId="33028118">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3" w:right="15"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1.4.3 没有相应成文规定的标准、规范时</w:t>
      </w:r>
      <w:r>
        <w:rPr>
          <w:rFonts w:hint="eastAsia" w:ascii="仿宋" w:hAnsi="仿宋" w:eastAsia="仿宋" w:cs="仿宋"/>
          <w:color w:val="auto"/>
          <w:spacing w:val="6"/>
          <w:sz w:val="24"/>
          <w:szCs w:val="24"/>
          <w:highlight w:val="none"/>
        </w:rPr>
        <w:t>，由发包人在专用合同条件中约定的时间向承包人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列明技术要求，承包人按约定的时间和技术要求提出实施方法，经发包人认可后执行。承包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人需要对实施方法进行研发试验的，或须对项目人员进行特殊培训及其有特殊要求的，除签</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约合同价已包含此项费用外，双方应另行订立协议作为合同附件，其费用由发包人承担。</w:t>
      </w:r>
    </w:p>
    <w:p w14:paraId="7C56ED4A">
      <w:pPr>
        <w:pStyle w:val="2"/>
        <w:keepNext w:val="0"/>
        <w:keepLines w:val="0"/>
        <w:pageBreakBefore w:val="0"/>
        <w:widowControl/>
        <w:kinsoku w:val="0"/>
        <w:wordWrap/>
        <w:overflowPunct/>
        <w:topLinePunct w:val="0"/>
        <w:autoSpaceDE w:val="0"/>
        <w:autoSpaceDN w:val="0"/>
        <w:bidi w:val="0"/>
        <w:adjustRightInd w:val="0"/>
        <w:snapToGrid w:val="0"/>
        <w:spacing w:before="149" w:line="242" w:lineRule="auto"/>
        <w:ind w:left="35" w:right="1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w:t>
      </w:r>
      <w:r>
        <w:rPr>
          <w:rFonts w:hint="eastAsia" w:ascii="仿宋" w:hAnsi="仿宋" w:eastAsia="仿宋" w:cs="仿宋"/>
          <w:color w:val="auto"/>
          <w:spacing w:val="6"/>
          <w:sz w:val="24"/>
          <w:szCs w:val="24"/>
          <w:highlight w:val="none"/>
        </w:rPr>
        <w:t>要求高于或严于现行国家、行业或地方标准的，应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当在《发包人要求》中予以明确。除专用合同条件另有约定外，应视为承包人在订立合同前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9"/>
          <w:sz w:val="24"/>
          <w:szCs w:val="24"/>
          <w:highlight w:val="none"/>
        </w:rPr>
        <w:t>已充分预见前述技术标准和功能要求的复杂程度，签约合同价中已包含由此产生的费用。</w:t>
      </w:r>
    </w:p>
    <w:p w14:paraId="13690A9C">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360CA89A">
      <w:pPr>
        <w:pStyle w:val="2"/>
        <w:keepNext w:val="0"/>
        <w:keepLines w:val="0"/>
        <w:pageBreakBefore w:val="0"/>
        <w:widowControl/>
        <w:kinsoku w:val="0"/>
        <w:wordWrap/>
        <w:overflowPunct/>
        <w:topLinePunct w:val="0"/>
        <w:autoSpaceDE w:val="0"/>
        <w:autoSpaceDN w:val="0"/>
        <w:bidi w:val="0"/>
        <w:adjustRightInd w:val="0"/>
        <w:snapToGrid w:val="0"/>
        <w:spacing w:before="144"/>
        <w:ind w:left="23"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组成合同的各项文件应互相解释，互为说明。除专用合同条件另有约定外，</w:t>
      </w:r>
      <w:r>
        <w:rPr>
          <w:rFonts w:hint="eastAsia" w:ascii="仿宋" w:hAnsi="仿宋" w:eastAsia="仿宋" w:cs="仿宋"/>
          <w:color w:val="auto"/>
          <w:spacing w:val="7"/>
          <w:sz w:val="24"/>
          <w:szCs w:val="24"/>
          <w:highlight w:val="none"/>
        </w:rPr>
        <w:t>解释合同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文件的优先顺序如下：</w:t>
      </w:r>
    </w:p>
    <w:p w14:paraId="40CE1CA6">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3"/>
          <w:sz w:val="24"/>
          <w:szCs w:val="24"/>
          <w:highlight w:val="none"/>
        </w:rPr>
        <w:t>合同协议书；</w:t>
      </w:r>
    </w:p>
    <w:p w14:paraId="6898318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3"/>
          <w:sz w:val="24"/>
          <w:szCs w:val="24"/>
          <w:highlight w:val="none"/>
        </w:rPr>
        <w:t>）；</w:t>
      </w:r>
    </w:p>
    <w:p w14:paraId="26A505B6">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投标函及投标函附录（如果有</w:t>
      </w:r>
      <w:r>
        <w:rPr>
          <w:rFonts w:hint="eastAsia" w:ascii="仿宋" w:hAnsi="仿宋" w:eastAsia="仿宋" w:cs="仿宋"/>
          <w:color w:val="auto"/>
          <w:spacing w:val="1"/>
          <w:sz w:val="24"/>
          <w:szCs w:val="24"/>
          <w:highlight w:val="none"/>
        </w:rPr>
        <w:t>）；</w:t>
      </w:r>
    </w:p>
    <w:p w14:paraId="785352CE">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专用合同条件及《发包人要求》等附件；</w:t>
      </w:r>
    </w:p>
    <w:p w14:paraId="4173C81E">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position w:val="4"/>
          <w:sz w:val="24"/>
          <w:szCs w:val="24"/>
          <w:highlight w:val="none"/>
        </w:rPr>
        <w:t>（5）</w:t>
      </w:r>
      <w:r>
        <w:rPr>
          <w:rFonts w:hint="eastAsia" w:ascii="仿宋" w:hAnsi="仿宋" w:eastAsia="仿宋" w:cs="仿宋"/>
          <w:color w:val="auto"/>
          <w:spacing w:val="27"/>
          <w:position w:val="4"/>
          <w:sz w:val="24"/>
          <w:szCs w:val="24"/>
          <w:highlight w:val="none"/>
        </w:rPr>
        <w:t xml:space="preserve"> </w:t>
      </w:r>
      <w:r>
        <w:rPr>
          <w:rFonts w:hint="eastAsia" w:ascii="仿宋" w:hAnsi="仿宋" w:eastAsia="仿宋" w:cs="仿宋"/>
          <w:color w:val="auto"/>
          <w:spacing w:val="4"/>
          <w:position w:val="4"/>
          <w:sz w:val="24"/>
          <w:szCs w:val="24"/>
          <w:highlight w:val="none"/>
        </w:rPr>
        <w:t>通用合同条件；</w:t>
      </w:r>
    </w:p>
    <w:p w14:paraId="0DFAACE9">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4"/>
          <w:sz w:val="24"/>
          <w:szCs w:val="24"/>
          <w:highlight w:val="none"/>
        </w:rPr>
        <w:t>承包人建议书；</w:t>
      </w:r>
    </w:p>
    <w:p w14:paraId="74E7236A">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价格清单；</w:t>
      </w:r>
    </w:p>
    <w:p w14:paraId="7566F837">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双方约定的其他合同文件。</w:t>
      </w:r>
    </w:p>
    <w:p w14:paraId="456861D3">
      <w:pPr>
        <w:pStyle w:val="2"/>
        <w:keepNext w:val="0"/>
        <w:keepLines w:val="0"/>
        <w:pageBreakBefore w:val="0"/>
        <w:widowControl/>
        <w:kinsoku w:val="0"/>
        <w:wordWrap/>
        <w:overflowPunct/>
        <w:topLinePunct w:val="0"/>
        <w:autoSpaceDE w:val="0"/>
        <w:autoSpaceDN w:val="0"/>
        <w:bidi w:val="0"/>
        <w:adjustRightInd w:val="0"/>
        <w:snapToGrid w:val="0"/>
        <w:spacing w:before="25"/>
        <w:ind w:left="47" w:right="15" w:firstLine="5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上述各项合同文件包括合同当事人就该项合同文件所作出的补充和修改，属于</w:t>
      </w:r>
      <w:r>
        <w:rPr>
          <w:rFonts w:hint="eastAsia" w:ascii="仿宋" w:hAnsi="仿宋" w:eastAsia="仿宋" w:cs="仿宋"/>
          <w:color w:val="auto"/>
          <w:spacing w:val="7"/>
          <w:sz w:val="24"/>
          <w:szCs w:val="24"/>
          <w:highlight w:val="none"/>
        </w:rPr>
        <w:t>同一类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内容的文件，应以最新签署的为准。</w:t>
      </w:r>
    </w:p>
    <w:p w14:paraId="38C0C962">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在合同订立及履行过程中形成的与合同有关的文件均构成合同文件组成部分，并根据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其性质确定优先解释顺序。</w:t>
      </w:r>
    </w:p>
    <w:p w14:paraId="2F2060BB">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BCE9BC2">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6BC9D96F">
      <w:pPr>
        <w:pStyle w:val="2"/>
        <w:keepNext w:val="0"/>
        <w:keepLines w:val="0"/>
        <w:pageBreakBefore w:val="0"/>
        <w:widowControl/>
        <w:kinsoku w:val="0"/>
        <w:wordWrap/>
        <w:overflowPunct/>
        <w:topLinePunct w:val="0"/>
        <w:autoSpaceDE w:val="0"/>
        <w:autoSpaceDN w:val="0"/>
        <w:bidi w:val="0"/>
        <w:adjustRightInd w:val="0"/>
        <w:snapToGrid w:val="0"/>
        <w:spacing w:before="145" w:line="246" w:lineRule="auto"/>
        <w:ind w:left="24" w:right="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发包人应按照专用合同条件约定的期限、数量和形式向承包人免费提供前</w:t>
      </w:r>
      <w:r>
        <w:rPr>
          <w:rFonts w:hint="eastAsia" w:ascii="仿宋" w:hAnsi="仿宋" w:eastAsia="仿宋" w:cs="仿宋"/>
          <w:color w:val="auto"/>
          <w:spacing w:val="7"/>
          <w:sz w:val="24"/>
          <w:szCs w:val="24"/>
          <w:highlight w:val="none"/>
        </w:rPr>
        <w:t>期工作相关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资料、环境保护、气象水文、地质条件进行工程设计、现场施工等工程实施所需的文件。因</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发包人未按合同约定提供文件造成工期延误的，按照第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8.7.1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项[因发包人原因导致工期延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误]约定办理。</w:t>
      </w:r>
    </w:p>
    <w:p w14:paraId="1025CCB3">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449532DC">
      <w:pPr>
        <w:pStyle w:val="2"/>
        <w:keepNext w:val="0"/>
        <w:keepLines w:val="0"/>
        <w:pageBreakBefore w:val="0"/>
        <w:widowControl/>
        <w:kinsoku w:val="0"/>
        <w:wordWrap/>
        <w:overflowPunct/>
        <w:topLinePunct w:val="0"/>
        <w:autoSpaceDE w:val="0"/>
        <w:autoSpaceDN w:val="0"/>
        <w:bidi w:val="0"/>
        <w:adjustRightInd w:val="0"/>
        <w:snapToGrid w:val="0"/>
        <w:spacing w:before="147"/>
        <w:ind w:left="27" w:right="1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除专用合同条件另有约定外，承包人文件应包含下列内容，并用第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1.2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款[语言文字]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约定的语言制作：</w:t>
      </w:r>
    </w:p>
    <w:p w14:paraId="50F59BD2">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《发包人要求》中规定的相关文件；</w:t>
      </w:r>
    </w:p>
    <w:p w14:paraId="599CB44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满足工程相关行政审批手续所必须的应由承</w:t>
      </w:r>
      <w:r>
        <w:rPr>
          <w:rFonts w:hint="eastAsia" w:ascii="仿宋" w:hAnsi="仿宋" w:eastAsia="仿宋" w:cs="仿宋"/>
          <w:color w:val="auto"/>
          <w:spacing w:val="8"/>
          <w:sz w:val="24"/>
          <w:szCs w:val="24"/>
          <w:highlight w:val="none"/>
        </w:rPr>
        <w:t>包人负责的相关文件；</w:t>
      </w:r>
    </w:p>
    <w:p w14:paraId="52E7D35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第</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款[竣工文件]与第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款[操作和维修手册]中要求的相关文件。</w:t>
      </w:r>
    </w:p>
    <w:p w14:paraId="7747F8AF">
      <w:pPr>
        <w:pStyle w:val="2"/>
        <w:keepNext w:val="0"/>
        <w:keepLines w:val="0"/>
        <w:pageBreakBefore w:val="0"/>
        <w:widowControl/>
        <w:kinsoku w:val="0"/>
        <w:wordWrap/>
        <w:overflowPunct/>
        <w:topLinePunct w:val="0"/>
        <w:autoSpaceDE w:val="0"/>
        <w:autoSpaceDN w:val="0"/>
        <w:bidi w:val="0"/>
        <w:adjustRightInd w:val="0"/>
        <w:snapToGrid w:val="0"/>
        <w:spacing w:before="27" w:line="247"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承包人应按照专用合同条件约定的期限、名称、数量和形式向工程师提供应当由</w:t>
      </w:r>
      <w:r>
        <w:rPr>
          <w:rFonts w:hint="eastAsia" w:ascii="仿宋" w:hAnsi="仿宋" w:eastAsia="仿宋" w:cs="仿宋"/>
          <w:color w:val="auto"/>
          <w:spacing w:val="7"/>
          <w:sz w:val="24"/>
          <w:szCs w:val="24"/>
          <w:highlight w:val="none"/>
        </w:rPr>
        <w:t>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人编制的与工程设计、现场施工等工程实施有关的承包人文件。工程师对承包人文件有异议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的，承包人应予以修改，并重新报送工程师。合同约定承包人文件应经审查的，工程师应在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合同约定的期限内审查完毕，但工程师的审查并不减轻或免除承包人根据合同约定应当承担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的责任。承包人文件的提供和审查还应遵守第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款[承包人文件审查]和第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款[竣工文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件]的约定。</w:t>
      </w:r>
    </w:p>
    <w:p w14:paraId="06D2270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 文件错误的通知</w:t>
      </w:r>
    </w:p>
    <w:p w14:paraId="79C7460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3" w:type="default"/>
          <w:pgSz w:w="11906" w:h="16839"/>
          <w:pgMar w:top="1428" w:right="1785" w:bottom="1171" w:left="1785" w:header="0" w:footer="992" w:gutter="0"/>
          <w:pgNumType w:fmt="decimal"/>
          <w:cols w:space="720" w:num="1"/>
        </w:sectPr>
      </w:pPr>
    </w:p>
    <w:p w14:paraId="3965BAAD">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任何一方发现文件中存在明显的错误或疏忽，应及时通知另一方。</w:t>
      </w:r>
    </w:p>
    <w:p w14:paraId="66AA27C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91EE10C">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7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除专用合同条件另有约定外，承包人应在现场保留一</w:t>
      </w:r>
      <w:r>
        <w:rPr>
          <w:rFonts w:hint="eastAsia" w:ascii="仿宋" w:hAnsi="仿宋" w:eastAsia="仿宋" w:cs="仿宋"/>
          <w:color w:val="auto"/>
          <w:spacing w:val="7"/>
          <w:sz w:val="24"/>
          <w:szCs w:val="24"/>
          <w:highlight w:val="none"/>
        </w:rPr>
        <w:t>份合同、《发包人要求》中列出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的所有文件、承包人文件、变更以及其他根据合同收发的往来信函。发包人和工程师有权在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任何合理的时间查阅和使用上述所有文件。</w:t>
      </w:r>
    </w:p>
    <w:p w14:paraId="38213572">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AD13096">
      <w:pPr>
        <w:pStyle w:val="2"/>
        <w:keepNext w:val="0"/>
        <w:keepLines w:val="0"/>
        <w:pageBreakBefore w:val="0"/>
        <w:widowControl/>
        <w:kinsoku w:val="0"/>
        <w:wordWrap/>
        <w:overflowPunct/>
        <w:topLinePunct w:val="0"/>
        <w:autoSpaceDE w:val="0"/>
        <w:autoSpaceDN w:val="0"/>
        <w:bidi w:val="0"/>
        <w:adjustRightInd w:val="0"/>
        <w:snapToGrid w:val="0"/>
        <w:spacing w:before="143" w:line="243" w:lineRule="auto"/>
        <w:ind w:left="22" w:right="10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1.7.1 与合同有关的通知、批准、证明、证书、指示、指令、要求、请求、同意、意见、确 </w:t>
      </w:r>
      <w:r>
        <w:rPr>
          <w:rFonts w:hint="eastAsia" w:ascii="仿宋" w:hAnsi="仿宋" w:eastAsia="仿宋" w:cs="仿宋"/>
          <w:color w:val="auto"/>
          <w:spacing w:val="9"/>
          <w:sz w:val="24"/>
          <w:szCs w:val="24"/>
          <w:highlight w:val="none"/>
        </w:rPr>
        <w:t>定和决定等，均应采用书面形式，并应在合同约定的期限内（如无约定，应在合理期限内）</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通过特快专递或专人、挂号信、传真或双方商定的电子传输方式送达收件地址。</w:t>
      </w:r>
    </w:p>
    <w:p w14:paraId="2B50FC9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5"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1.7.2 发包人和承包人应在专用合同条件</w:t>
      </w:r>
      <w:r>
        <w:rPr>
          <w:rFonts w:hint="eastAsia" w:ascii="仿宋" w:hAnsi="仿宋" w:eastAsia="仿宋" w:cs="仿宋"/>
          <w:color w:val="auto"/>
          <w:spacing w:val="6"/>
          <w:sz w:val="24"/>
          <w:szCs w:val="24"/>
          <w:highlight w:val="none"/>
        </w:rPr>
        <w:t>中约定各自的送达方式和收件地址。任何一方合同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当事人指定的送达方式或收件地址发生变动的，应提前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天以书面形式通知对方。</w:t>
      </w:r>
    </w:p>
    <w:p w14:paraId="7C8411EF">
      <w:pPr>
        <w:pStyle w:val="2"/>
        <w:keepNext w:val="0"/>
        <w:keepLines w:val="0"/>
        <w:pageBreakBefore w:val="0"/>
        <w:widowControl/>
        <w:kinsoku w:val="0"/>
        <w:wordWrap/>
        <w:overflowPunct/>
        <w:topLinePunct w:val="0"/>
        <w:autoSpaceDE w:val="0"/>
        <w:autoSpaceDN w:val="0"/>
        <w:bidi w:val="0"/>
        <w:adjustRightInd w:val="0"/>
        <w:snapToGrid w:val="0"/>
        <w:spacing w:before="146"/>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1.7.3 发包人和承包人应当及时签收另一方通过约定的送达方式送达至收件地址的来往文</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件。拒不签收的，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由此增加的费用和（或）延误的工期由拒绝接收一方承担。</w:t>
      </w:r>
    </w:p>
    <w:p w14:paraId="02CF4564">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1.7.4 对于工程师向承包人发出的任何通知，均应以书面形式由工程师或其代表签认后送交  </w:t>
      </w:r>
      <w:r>
        <w:rPr>
          <w:rFonts w:hint="eastAsia" w:ascii="仿宋" w:hAnsi="仿宋" w:eastAsia="仿宋" w:cs="仿宋"/>
          <w:color w:val="auto"/>
          <w:spacing w:val="7"/>
          <w:sz w:val="24"/>
          <w:szCs w:val="24"/>
          <w:highlight w:val="none"/>
        </w:rPr>
        <w:t>承包人实施，并抄送发包人；对于合同一方向另一方发出的任何通知，均应抄送工程师。</w:t>
      </w:r>
      <w:r>
        <w:rPr>
          <w:rFonts w:hint="eastAsia" w:ascii="仿宋" w:hAnsi="仿宋" w:eastAsia="仿宋" w:cs="仿宋"/>
          <w:color w:val="auto"/>
          <w:spacing w:val="6"/>
          <w:sz w:val="24"/>
          <w:szCs w:val="24"/>
          <w:highlight w:val="none"/>
        </w:rPr>
        <w:t xml:space="preserve">对  </w:t>
      </w:r>
      <w:r>
        <w:rPr>
          <w:rFonts w:hint="eastAsia" w:ascii="仿宋" w:hAnsi="仿宋" w:eastAsia="仿宋" w:cs="仿宋"/>
          <w:color w:val="auto"/>
          <w:spacing w:val="7"/>
          <w:sz w:val="24"/>
          <w:szCs w:val="24"/>
          <w:highlight w:val="none"/>
        </w:rPr>
        <w:t>于由工程师审查后报发包人批准的事项，应由工程师向承</w:t>
      </w:r>
      <w:r>
        <w:rPr>
          <w:rFonts w:hint="eastAsia" w:ascii="仿宋" w:hAnsi="仿宋" w:eastAsia="仿宋" w:cs="仿宋"/>
          <w:color w:val="auto"/>
          <w:spacing w:val="6"/>
          <w:sz w:val="24"/>
          <w:szCs w:val="24"/>
          <w:highlight w:val="none"/>
        </w:rPr>
        <w:t>包人出具经发包人签认的批准文件。</w:t>
      </w:r>
    </w:p>
    <w:p w14:paraId="51856C1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2"/>
          <w:sz w:val="24"/>
          <w:szCs w:val="24"/>
          <w:highlight w:val="none"/>
        </w:rPr>
        <w:t>严禁贿赂</w:t>
      </w:r>
    </w:p>
    <w:p w14:paraId="3F2021BA">
      <w:pPr>
        <w:pStyle w:val="2"/>
        <w:keepNext w:val="0"/>
        <w:keepLines w:val="0"/>
        <w:pageBreakBefore w:val="0"/>
        <w:widowControl/>
        <w:kinsoku w:val="0"/>
        <w:wordWrap/>
        <w:overflowPunct/>
        <w:topLinePunct w:val="0"/>
        <w:autoSpaceDE w:val="0"/>
        <w:autoSpaceDN w:val="0"/>
        <w:bidi w:val="0"/>
        <w:adjustRightInd w:val="0"/>
        <w:snapToGrid w:val="0"/>
        <w:spacing w:before="145"/>
        <w:ind w:left="42" w:right="176"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合同当事人不得以贿赂或变相贿赂的方式，谋取非法利益或损害对方权益。因一</w:t>
      </w:r>
      <w:r>
        <w:rPr>
          <w:rFonts w:hint="eastAsia" w:ascii="仿宋" w:hAnsi="仿宋" w:eastAsia="仿宋" w:cs="仿宋"/>
          <w:color w:val="auto"/>
          <w:spacing w:val="7"/>
          <w:sz w:val="24"/>
          <w:szCs w:val="24"/>
          <w:highlight w:val="none"/>
        </w:rPr>
        <w:t>方合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同当事人的贿赂造成对方损失的，应赔偿损失，并承</w:t>
      </w:r>
      <w:r>
        <w:rPr>
          <w:rFonts w:hint="eastAsia" w:ascii="仿宋" w:hAnsi="仿宋" w:eastAsia="仿宋" w:cs="仿宋"/>
          <w:color w:val="auto"/>
          <w:spacing w:val="8"/>
          <w:sz w:val="24"/>
          <w:szCs w:val="24"/>
          <w:highlight w:val="none"/>
        </w:rPr>
        <w:t>担相应的法律责任。</w:t>
      </w:r>
    </w:p>
    <w:p w14:paraId="7E47294A">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133"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承包人不得与工程师或发包人聘请的第三方串通损害发包人利益。未经发包人书面同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意，承包人不得为工程师提供合同约定以外的通讯设备、交通工具及其他任何形式的利益，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不得向工程师支付报酬。</w:t>
      </w:r>
    </w:p>
    <w:p w14:paraId="55F44D6E">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 化石、文物</w:t>
      </w:r>
    </w:p>
    <w:p w14:paraId="08A5A8BB">
      <w:pPr>
        <w:pStyle w:val="2"/>
        <w:keepNext w:val="0"/>
        <w:keepLines w:val="0"/>
        <w:pageBreakBefore w:val="0"/>
        <w:widowControl/>
        <w:kinsoku w:val="0"/>
        <w:wordWrap/>
        <w:overflowPunct/>
        <w:topLinePunct w:val="0"/>
        <w:autoSpaceDE w:val="0"/>
        <w:autoSpaceDN w:val="0"/>
        <w:bidi w:val="0"/>
        <w:adjustRightInd w:val="0"/>
        <w:snapToGrid w:val="0"/>
        <w:spacing w:before="144" w:line="243" w:lineRule="auto"/>
        <w:ind w:left="21"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在施工现场发掘的所有文物、古迹以及具有地质研究或考古价值的</w:t>
      </w:r>
      <w:r>
        <w:rPr>
          <w:rFonts w:hint="eastAsia" w:ascii="仿宋" w:hAnsi="仿宋" w:eastAsia="仿宋" w:cs="仿宋"/>
          <w:color w:val="auto"/>
          <w:spacing w:val="8"/>
          <w:sz w:val="24"/>
          <w:szCs w:val="24"/>
          <w:highlight w:val="none"/>
        </w:rPr>
        <w:t>其他遗迹、化石、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钱币或物品属于国家所有。一旦发现上述文物，承包人应采取合理有效的保护措施，防止任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何人员移动或损坏上述物品，并立即报告有关政府行政管理部门，同时通知工程师。</w:t>
      </w:r>
    </w:p>
    <w:p w14:paraId="31430710">
      <w:pPr>
        <w:pStyle w:val="2"/>
        <w:keepNext w:val="0"/>
        <w:keepLines w:val="0"/>
        <w:pageBreakBefore w:val="0"/>
        <w:widowControl/>
        <w:kinsoku w:val="0"/>
        <w:wordWrap/>
        <w:overflowPunct/>
        <w:topLinePunct w:val="0"/>
        <w:autoSpaceDE w:val="0"/>
        <w:autoSpaceDN w:val="0"/>
        <w:bidi w:val="0"/>
        <w:adjustRightInd w:val="0"/>
        <w:snapToGrid w:val="0"/>
        <w:spacing w:before="26"/>
        <w:ind w:left="23" w:right="176"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发包人、工程师和承包人应按有关政府行政管理部门要求采取妥善的保护</w:t>
      </w:r>
      <w:r>
        <w:rPr>
          <w:rFonts w:hint="eastAsia" w:ascii="仿宋" w:hAnsi="仿宋" w:eastAsia="仿宋" w:cs="仿宋"/>
          <w:color w:val="auto"/>
          <w:spacing w:val="7"/>
          <w:sz w:val="24"/>
          <w:szCs w:val="24"/>
          <w:highlight w:val="none"/>
        </w:rPr>
        <w:t>措施，由此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增加的费用和（或）延误的工期由发包人承</w:t>
      </w:r>
      <w:r>
        <w:rPr>
          <w:rFonts w:hint="eastAsia" w:ascii="仿宋" w:hAnsi="仿宋" w:eastAsia="仿宋" w:cs="仿宋"/>
          <w:color w:val="auto"/>
          <w:spacing w:val="8"/>
          <w:sz w:val="24"/>
          <w:szCs w:val="24"/>
          <w:highlight w:val="none"/>
        </w:rPr>
        <w:t>担。</w:t>
      </w:r>
    </w:p>
    <w:p w14:paraId="349A3DD3">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承包人发现文物后不及时报告或隐瞒不报，致使文物丢失或损坏的，应赔偿损失，并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承担相应的法律责任。</w:t>
      </w:r>
    </w:p>
    <w:p w14:paraId="24C2ED6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47D1CCA8">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3" w:right="10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1.10.1 除专用合同条件另有约定外，由发包人（或以发包人名义）编制的《发包人要求》 </w:t>
      </w:r>
      <w:r>
        <w:rPr>
          <w:rFonts w:hint="eastAsia" w:ascii="仿宋" w:hAnsi="仿宋" w:eastAsia="仿宋" w:cs="仿宋"/>
          <w:color w:val="auto"/>
          <w:spacing w:val="7"/>
          <w:sz w:val="24"/>
          <w:szCs w:val="24"/>
          <w:highlight w:val="none"/>
        </w:rPr>
        <w:t>和其他文件，就合同当事人之间而言，其著作权和其他知识产权应归发包人所有。承包人</w:t>
      </w:r>
      <w:r>
        <w:rPr>
          <w:rFonts w:hint="eastAsia" w:ascii="仿宋" w:hAnsi="仿宋" w:eastAsia="仿宋" w:cs="仿宋"/>
          <w:color w:val="auto"/>
          <w:spacing w:val="6"/>
          <w:sz w:val="24"/>
          <w:szCs w:val="24"/>
          <w:highlight w:val="none"/>
        </w:rPr>
        <w:t xml:space="preserve">可 </w:t>
      </w:r>
      <w:r>
        <w:rPr>
          <w:rFonts w:hint="eastAsia" w:ascii="仿宋" w:hAnsi="仿宋" w:eastAsia="仿宋" w:cs="仿宋"/>
          <w:color w:val="auto"/>
          <w:spacing w:val="7"/>
          <w:sz w:val="24"/>
          <w:szCs w:val="24"/>
          <w:highlight w:val="none"/>
        </w:rPr>
        <w:t>以为实现合同目的而复制、使用此类文件，但不能用于与合同无关的其他事项。未经发包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4"/>
          <w:sz w:val="24"/>
          <w:szCs w:val="24"/>
          <w:highlight w:val="none"/>
        </w:rPr>
        <w:t>书面同意，承包人不得为了合同以外的目的而复制、使用上述文件或将之提供给任何第三方。</w:t>
      </w:r>
    </w:p>
    <w:p w14:paraId="2C7D3EA2">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 除专用合同条件另有约定外，由承包人（或以承包人名义）为实</w:t>
      </w:r>
      <w:r>
        <w:rPr>
          <w:rFonts w:hint="eastAsia" w:ascii="仿宋" w:hAnsi="仿宋" w:eastAsia="仿宋" w:cs="仿宋"/>
          <w:color w:val="auto"/>
          <w:spacing w:val="8"/>
          <w:sz w:val="24"/>
          <w:szCs w:val="24"/>
          <w:highlight w:val="none"/>
        </w:rPr>
        <w:t>施工程所编制的文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件、承包人完成的设计工作成果和建造完成的建筑物，就合同当事人之间而言，其著作权和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其他知识产权应归承包人享有。发包人可因实施工程的运行、调试、维修、改造等目的而复</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制、使用此类文件，但不能用于与合同无关的其他事项。未经承包人书面同意，发包人不得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为了合同以外的目的而复制、使用上述文件或将之提供给任何第三方。</w:t>
      </w:r>
    </w:p>
    <w:p w14:paraId="0E79AA23">
      <w:pPr>
        <w:pStyle w:val="2"/>
        <w:keepNext w:val="0"/>
        <w:keepLines w:val="0"/>
        <w:pageBreakBefore w:val="0"/>
        <w:widowControl/>
        <w:kinsoku w:val="0"/>
        <w:wordWrap/>
        <w:overflowPunct/>
        <w:topLinePunct w:val="0"/>
        <w:autoSpaceDE w:val="0"/>
        <w:autoSpaceDN w:val="0"/>
        <w:bidi w:val="0"/>
        <w:adjustRightInd w:val="0"/>
        <w:snapToGrid w:val="0"/>
        <w:spacing w:before="145" w:line="246" w:lineRule="auto"/>
        <w:ind w:left="22" w:right="17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1.10.3 合同当事人保证在履行合同过程中不侵犯对方及第三方的知识产</w:t>
      </w:r>
      <w:r>
        <w:rPr>
          <w:rFonts w:hint="eastAsia" w:ascii="仿宋" w:hAnsi="仿宋" w:eastAsia="仿宋" w:cs="仿宋"/>
          <w:color w:val="auto"/>
          <w:spacing w:val="8"/>
          <w:sz w:val="24"/>
          <w:szCs w:val="24"/>
          <w:highlight w:val="none"/>
        </w:rPr>
        <w:t>权。承包人在工程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设计、使用材料、施工设备、工程设备或采用施工工艺时，因侵犯他人的专利权或其他知识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产权所引起的责任，由承包人承担；因发包人提供的材料、施工设备、工程设备或施工工艺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导致侵权的，</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由发包人承担责任。</w:t>
      </w:r>
    </w:p>
    <w:p w14:paraId="4A3EFB00">
      <w:pPr>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仿宋" w:hAnsi="仿宋" w:eastAsia="仿宋" w:cs="仿宋"/>
          <w:color w:val="auto"/>
          <w:sz w:val="24"/>
          <w:szCs w:val="24"/>
          <w:highlight w:val="none"/>
        </w:rPr>
        <w:sectPr>
          <w:footerReference r:id="rId34" w:type="default"/>
          <w:pgSz w:w="11906" w:h="16839"/>
          <w:pgMar w:top="1428" w:right="1625" w:bottom="1171" w:left="1785" w:header="0" w:footer="992" w:gutter="0"/>
          <w:pgNumType w:fmt="decimal"/>
          <w:cols w:space="720" w:num="1"/>
        </w:sectPr>
      </w:pPr>
    </w:p>
    <w:p w14:paraId="275A7EF2">
      <w:pPr>
        <w:pStyle w:val="2"/>
        <w:keepNext w:val="0"/>
        <w:keepLines w:val="0"/>
        <w:pageBreakBefore w:val="0"/>
        <w:widowControl/>
        <w:kinsoku w:val="0"/>
        <w:wordWrap/>
        <w:overflowPunct/>
        <w:topLinePunct w:val="0"/>
        <w:autoSpaceDE w:val="0"/>
        <w:autoSpaceDN w:val="0"/>
        <w:bidi w:val="0"/>
        <w:adjustRightInd w:val="0"/>
        <w:snapToGrid w:val="0"/>
        <w:spacing w:before="42" w:line="239"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1.10.4 除专用合同条件另有约定外，承包人在投标文件中采用的专利、</w:t>
      </w:r>
      <w:r>
        <w:rPr>
          <w:rFonts w:hint="eastAsia" w:ascii="仿宋" w:hAnsi="仿宋" w:eastAsia="仿宋" w:cs="仿宋"/>
          <w:color w:val="auto"/>
          <w:spacing w:val="8"/>
          <w:sz w:val="24"/>
          <w:szCs w:val="24"/>
          <w:highlight w:val="none"/>
        </w:rPr>
        <w:t>专有技术、商业软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件、技术秘密的使用费已包含在签约合同价中。</w:t>
      </w:r>
    </w:p>
    <w:p w14:paraId="6802CDA8">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4" w:right="157"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1.10.5 合同当事人可就本合同涉及的合同一方、或合同双方（含一方或</w:t>
      </w:r>
      <w:r>
        <w:rPr>
          <w:rFonts w:hint="eastAsia" w:ascii="仿宋" w:hAnsi="仿宋" w:eastAsia="仿宋" w:cs="仿宋"/>
          <w:color w:val="auto"/>
          <w:spacing w:val="8"/>
          <w:sz w:val="24"/>
          <w:szCs w:val="24"/>
          <w:highlight w:val="none"/>
        </w:rPr>
        <w:t>双方相关的专利商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或第三方设计单位)的技术专利、建筑设计方案、专有技术、设计文件著</w:t>
      </w:r>
      <w:r>
        <w:rPr>
          <w:rFonts w:hint="eastAsia" w:ascii="仿宋" w:hAnsi="仿宋" w:eastAsia="仿宋" w:cs="仿宋"/>
          <w:color w:val="auto"/>
          <w:spacing w:val="9"/>
          <w:sz w:val="24"/>
          <w:szCs w:val="24"/>
          <w:highlight w:val="none"/>
        </w:rPr>
        <w:t>作权等知识产权，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订立知识产权及保密协议，作为本合同的组成部</w:t>
      </w:r>
      <w:r>
        <w:rPr>
          <w:rFonts w:hint="eastAsia" w:ascii="仿宋" w:hAnsi="仿宋" w:eastAsia="仿宋" w:cs="仿宋"/>
          <w:color w:val="auto"/>
          <w:spacing w:val="8"/>
          <w:sz w:val="24"/>
          <w:szCs w:val="24"/>
          <w:highlight w:val="none"/>
        </w:rPr>
        <w:t>分。</w:t>
      </w:r>
    </w:p>
    <w:p w14:paraId="2457D2B7">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53BDBF2">
      <w:pPr>
        <w:pStyle w:val="2"/>
        <w:keepNext w:val="0"/>
        <w:keepLines w:val="0"/>
        <w:pageBreakBefore w:val="0"/>
        <w:widowControl/>
        <w:kinsoku w:val="0"/>
        <w:wordWrap/>
        <w:overflowPunct/>
        <w:topLinePunct w:val="0"/>
        <w:autoSpaceDE w:val="0"/>
        <w:autoSpaceDN w:val="0"/>
        <w:bidi w:val="0"/>
        <w:adjustRightInd w:val="0"/>
        <w:snapToGrid w:val="0"/>
        <w:spacing w:before="144"/>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合同当事人一方对在订立和履行合同过程中知悉的另一方的商业秘密、技术秘密</w:t>
      </w:r>
      <w:r>
        <w:rPr>
          <w:rFonts w:hint="eastAsia" w:ascii="仿宋" w:hAnsi="仿宋" w:eastAsia="仿宋" w:cs="仿宋"/>
          <w:color w:val="auto"/>
          <w:spacing w:val="7"/>
          <w:sz w:val="24"/>
          <w:szCs w:val="24"/>
          <w:highlight w:val="none"/>
        </w:rPr>
        <w:t>，以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及任何一方明确要求保密的其它信息，负有保密责任。</w:t>
      </w:r>
    </w:p>
    <w:p w14:paraId="492FC9B7">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157"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除法律规定或合同另有约定外，未经对方同意，任何</w:t>
      </w:r>
      <w:r>
        <w:rPr>
          <w:rFonts w:hint="eastAsia" w:ascii="仿宋" w:hAnsi="仿宋" w:eastAsia="仿宋" w:cs="仿宋"/>
          <w:color w:val="auto"/>
          <w:spacing w:val="7"/>
          <w:sz w:val="24"/>
          <w:szCs w:val="24"/>
          <w:highlight w:val="none"/>
        </w:rPr>
        <w:t>一方当事人不得将对方提供的文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件、技术秘密以及声明需要保密的资料信息等商业秘密泄露给第三方或者用于本合同以外的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目的。</w:t>
      </w:r>
    </w:p>
    <w:p w14:paraId="3BC42BC0">
      <w:pPr>
        <w:pStyle w:val="2"/>
        <w:keepNext w:val="0"/>
        <w:keepLines w:val="0"/>
        <w:pageBreakBefore w:val="0"/>
        <w:widowControl/>
        <w:kinsoku w:val="0"/>
        <w:wordWrap/>
        <w:overflowPunct/>
        <w:topLinePunct w:val="0"/>
        <w:autoSpaceDE w:val="0"/>
        <w:autoSpaceDN w:val="0"/>
        <w:bidi w:val="0"/>
        <w:adjustRightInd w:val="0"/>
        <w:snapToGrid w:val="0"/>
        <w:spacing w:before="22" w:line="243" w:lineRule="auto"/>
        <w:ind w:left="24"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一方泄露或者在本合同以外使用该商业秘密、技术秘密等保密信息给另一</w:t>
      </w:r>
      <w:r>
        <w:rPr>
          <w:rFonts w:hint="eastAsia" w:ascii="仿宋" w:hAnsi="仿宋" w:eastAsia="仿宋" w:cs="仿宋"/>
          <w:color w:val="auto"/>
          <w:spacing w:val="7"/>
          <w:sz w:val="24"/>
          <w:szCs w:val="24"/>
          <w:highlight w:val="none"/>
        </w:rPr>
        <w:t>方造成损失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的，应承担损害赔偿责任。当事人为履行合同所需要的信息，另一方应予以提供。当事人认</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为必要时，可订立保密协议，作为合同附件。</w:t>
      </w:r>
    </w:p>
    <w:p w14:paraId="1CD4D3D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1.12 《发包人要求》和基础资料中的错误</w:t>
      </w:r>
    </w:p>
    <w:p w14:paraId="152527C5">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2" w:right="8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承包人应尽早认真阅读、复核《发包人要求》</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9"/>
          <w:sz w:val="24"/>
          <w:szCs w:val="24"/>
          <w:highlight w:val="none"/>
        </w:rPr>
        <w:t>以及其提供的基</w:t>
      </w:r>
      <w:r>
        <w:rPr>
          <w:rFonts w:hint="eastAsia" w:ascii="仿宋" w:hAnsi="仿宋" w:eastAsia="仿宋" w:cs="仿宋"/>
          <w:color w:val="auto"/>
          <w:spacing w:val="8"/>
          <w:sz w:val="24"/>
          <w:szCs w:val="24"/>
          <w:highlight w:val="none"/>
        </w:rPr>
        <w:t>础资料，发现错误的，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应及时书面通知发包人补正。发包人作相应修改的，按照第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条[变更与调整]的约定处理。</w:t>
      </w:r>
    </w:p>
    <w:p w14:paraId="199C5C3B">
      <w:pPr>
        <w:pStyle w:val="2"/>
        <w:keepNext w:val="0"/>
        <w:keepLines w:val="0"/>
        <w:pageBreakBefore w:val="0"/>
        <w:widowControl/>
        <w:kinsoku w:val="0"/>
        <w:wordWrap/>
        <w:overflowPunct/>
        <w:topLinePunct w:val="0"/>
        <w:autoSpaceDE w:val="0"/>
        <w:autoSpaceDN w:val="0"/>
        <w:bidi w:val="0"/>
        <w:adjustRightInd w:val="0"/>
        <w:snapToGrid w:val="0"/>
        <w:spacing w:before="25"/>
        <w:ind w:left="39" w:right="15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《发包人要求》或其提供的基础资料中的错误导致承包人增加费用和</w:t>
      </w:r>
      <w:r>
        <w:rPr>
          <w:rFonts w:hint="eastAsia" w:ascii="仿宋" w:hAnsi="仿宋" w:eastAsia="仿宋" w:cs="仿宋"/>
          <w:color w:val="auto"/>
          <w:spacing w:val="7"/>
          <w:sz w:val="24"/>
          <w:szCs w:val="24"/>
          <w:highlight w:val="none"/>
        </w:rPr>
        <w:t>（或）工期延误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的，发包人应承担由此增加的费用和（或）工期延误，并向承包人支付合理利</w:t>
      </w:r>
      <w:r>
        <w:rPr>
          <w:rFonts w:hint="eastAsia" w:ascii="仿宋" w:hAnsi="仿宋" w:eastAsia="仿宋" w:cs="仿宋"/>
          <w:color w:val="auto"/>
          <w:spacing w:val="8"/>
          <w:sz w:val="24"/>
          <w:szCs w:val="24"/>
          <w:highlight w:val="none"/>
        </w:rPr>
        <w:t>润。</w:t>
      </w:r>
    </w:p>
    <w:p w14:paraId="4321C3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6D5A6A2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8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承包人对发包人的赔偿责任不应超过专用合</w:t>
      </w:r>
      <w:r>
        <w:rPr>
          <w:rFonts w:hint="eastAsia" w:ascii="仿宋" w:hAnsi="仿宋" w:eastAsia="仿宋" w:cs="仿宋"/>
          <w:color w:val="auto"/>
          <w:spacing w:val="7"/>
          <w:sz w:val="24"/>
          <w:szCs w:val="24"/>
          <w:highlight w:val="none"/>
        </w:rPr>
        <w:t>同条件约定的赔偿最高限额。若专用合同 条件未约定，则承包人对发包人的赔偿责任不应超过签约合同价。但对于因欺诈、犯罪</w:t>
      </w:r>
      <w:r>
        <w:rPr>
          <w:rFonts w:hint="eastAsia" w:ascii="仿宋" w:hAnsi="仿宋" w:eastAsia="仿宋" w:cs="仿宋"/>
          <w:color w:val="auto"/>
          <w:spacing w:val="6"/>
          <w:sz w:val="24"/>
          <w:szCs w:val="24"/>
          <w:highlight w:val="none"/>
        </w:rPr>
        <w:t xml:space="preserve">、故 </w:t>
      </w:r>
      <w:r>
        <w:rPr>
          <w:rFonts w:hint="eastAsia" w:ascii="仿宋" w:hAnsi="仿宋" w:eastAsia="仿宋" w:cs="仿宋"/>
          <w:color w:val="auto"/>
          <w:spacing w:val="4"/>
          <w:sz w:val="24"/>
          <w:szCs w:val="24"/>
          <w:highlight w:val="none"/>
        </w:rPr>
        <w:t>意、重大过失、人身伤害等不当行为造成的损失，赔偿的责任限度不受上述最高限额的限制。</w:t>
      </w:r>
    </w:p>
    <w:p w14:paraId="5A6EFF8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40B3E867">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57"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如果项目中拟采用建筑信息模型技术，合同双方应遵守国家现行相关标准</w:t>
      </w:r>
      <w:r>
        <w:rPr>
          <w:rFonts w:hint="eastAsia" w:ascii="仿宋" w:hAnsi="仿宋" w:eastAsia="仿宋" w:cs="仿宋"/>
          <w:color w:val="auto"/>
          <w:spacing w:val="7"/>
          <w:sz w:val="24"/>
          <w:szCs w:val="24"/>
          <w:highlight w:val="none"/>
        </w:rPr>
        <w:t>的规定，并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符合项目所在地的相关地方标准或指南。合同双方应在专用合同条件中就建筑信息模型的开</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发、使用、存储、传输、交付及费用等相关内容进行约定。除专用合同条件另有约定外，承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包人应负责与本项目中其他使用方协商。</w:t>
      </w:r>
    </w:p>
    <w:p w14:paraId="1CB9064C">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374A326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2.1 遵守法律</w:t>
      </w:r>
    </w:p>
    <w:p w14:paraId="3CB7DA4E">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发包人在履行合同过程中应遵守法律，并承担因发包人违反法律给承包人</w:t>
      </w:r>
      <w:r>
        <w:rPr>
          <w:rFonts w:hint="eastAsia" w:ascii="仿宋" w:hAnsi="仿宋" w:eastAsia="仿宋" w:cs="仿宋"/>
          <w:color w:val="auto"/>
          <w:spacing w:val="7"/>
          <w:sz w:val="24"/>
          <w:szCs w:val="24"/>
          <w:highlight w:val="none"/>
        </w:rPr>
        <w:t>造成的任何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费用和损失。发包人不得以任何理由，要求承包人在工程实施过程中违反法律、行政法规以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及建设工程质量、安全、环保标准，任意压缩合理工期或者降低工程质量。</w:t>
      </w:r>
    </w:p>
    <w:p w14:paraId="09D8A501">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019B1637">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1C28E6D0">
      <w:pPr>
        <w:pStyle w:val="2"/>
        <w:keepNext w:val="0"/>
        <w:keepLines w:val="0"/>
        <w:pageBreakBefore w:val="0"/>
        <w:widowControl/>
        <w:kinsoku w:val="0"/>
        <w:wordWrap/>
        <w:overflowPunct/>
        <w:topLinePunct w:val="0"/>
        <w:autoSpaceDE w:val="0"/>
        <w:autoSpaceDN w:val="0"/>
        <w:bidi w:val="0"/>
        <w:adjustRightInd w:val="0"/>
        <w:snapToGrid w:val="0"/>
        <w:spacing w:before="146" w:line="246" w:lineRule="auto"/>
        <w:ind w:left="23" w:right="15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发包人应按专用合同条件约定向承包人移交施工现场，给承包人进入和占</w:t>
      </w:r>
      <w:r>
        <w:rPr>
          <w:rFonts w:hint="eastAsia" w:ascii="仿宋" w:hAnsi="仿宋" w:eastAsia="仿宋" w:cs="仿宋"/>
          <w:color w:val="auto"/>
          <w:spacing w:val="7"/>
          <w:sz w:val="24"/>
          <w:szCs w:val="24"/>
          <w:highlight w:val="none"/>
        </w:rPr>
        <w:t>用施工现场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各部分的权利，并明确与承包人的交接界面，上述进入和占用权可不为承包人独享。如专用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合同条件没有约定移交时间的，则发包人应最迟于</w:t>
      </w:r>
      <w:r>
        <w:rPr>
          <w:rFonts w:hint="eastAsia" w:ascii="仿宋" w:hAnsi="仿宋" w:eastAsia="仿宋" w:cs="仿宋"/>
          <w:color w:val="auto"/>
          <w:spacing w:val="6"/>
          <w:sz w:val="24"/>
          <w:szCs w:val="24"/>
          <w:highlight w:val="none"/>
        </w:rPr>
        <w:t>计划开始现场施工日期</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天前向承包人移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交施工现场，但承包人未能按照第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款[履约担保]提供履约担保的除外。</w:t>
      </w:r>
    </w:p>
    <w:p w14:paraId="57A0725D">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12F7EC14">
      <w:pPr>
        <w:pStyle w:val="2"/>
        <w:keepNext w:val="0"/>
        <w:keepLines w:val="0"/>
        <w:pageBreakBefore w:val="0"/>
        <w:widowControl/>
        <w:kinsoku w:val="0"/>
        <w:wordWrap/>
        <w:overflowPunct/>
        <w:topLinePunct w:val="0"/>
        <w:autoSpaceDE w:val="0"/>
        <w:autoSpaceDN w:val="0"/>
        <w:bidi w:val="0"/>
        <w:adjustRightInd w:val="0"/>
        <w:snapToGrid w:val="0"/>
        <w:spacing w:before="145"/>
        <w:ind w:left="2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发包人应按专用合同条件约定向承包人提供工作</w:t>
      </w:r>
      <w:r>
        <w:rPr>
          <w:rFonts w:hint="eastAsia" w:ascii="仿宋" w:hAnsi="仿宋" w:eastAsia="仿宋" w:cs="仿宋"/>
          <w:color w:val="auto"/>
          <w:spacing w:val="6"/>
          <w:sz w:val="24"/>
          <w:szCs w:val="24"/>
          <w:highlight w:val="none"/>
        </w:rPr>
        <w:t>条件。专用合同条件对此没有约定的，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发包人应负责提供开展本合同相关工作所需要的条件，包括：</w:t>
      </w:r>
    </w:p>
    <w:p w14:paraId="3E09E096">
      <w:pPr>
        <w:pStyle w:val="2"/>
        <w:keepNext w:val="0"/>
        <w:keepLines w:val="0"/>
        <w:pageBreakBefore w:val="0"/>
        <w:widowControl/>
        <w:kinsoku w:val="0"/>
        <w:wordWrap/>
        <w:overflowPunct/>
        <w:topLinePunct w:val="0"/>
        <w:autoSpaceDE w:val="0"/>
        <w:autoSpaceDN w:val="0"/>
        <w:bidi w:val="0"/>
        <w:adjustRightInd w:val="0"/>
        <w:snapToGrid w:val="0"/>
        <w:spacing w:before="25"/>
        <w:ind w:left="632" w:right="9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将施工用水、</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电力、通讯线路等施工所必需的条件接至施工现场内；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（2） 保证向承包人提供正常施工所需要的进入</w:t>
      </w:r>
      <w:r>
        <w:rPr>
          <w:rFonts w:hint="eastAsia" w:ascii="仿宋" w:hAnsi="仿宋" w:eastAsia="仿宋" w:cs="仿宋"/>
          <w:color w:val="auto"/>
          <w:spacing w:val="8"/>
          <w:sz w:val="24"/>
          <w:szCs w:val="24"/>
          <w:highlight w:val="none"/>
        </w:rPr>
        <w:t>施工现场的交通条件；</w:t>
      </w:r>
    </w:p>
    <w:p w14:paraId="3CA173C9">
      <w:pPr>
        <w:pStyle w:val="2"/>
        <w:keepNext w:val="0"/>
        <w:keepLines w:val="0"/>
        <w:pageBreakBefore w:val="0"/>
        <w:widowControl/>
        <w:kinsoku w:val="0"/>
        <w:wordWrap/>
        <w:overflowPunct/>
        <w:topLinePunct w:val="0"/>
        <w:autoSpaceDE w:val="0"/>
        <w:autoSpaceDN w:val="0"/>
        <w:bidi w:val="0"/>
        <w:adjustRightInd w:val="0"/>
        <w:snapToGrid w:val="0"/>
        <w:spacing w:before="25"/>
        <w:ind w:left="23" w:right="15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协调处理施工现场周围地下管线和邻近建筑物、构筑物、古树名木、文物、化</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石及坟墓等的保护工作，并承担相关费用；</w:t>
      </w:r>
    </w:p>
    <w:p w14:paraId="75A04199">
      <w:pPr>
        <w:pStyle w:val="2"/>
        <w:keepNext w:val="0"/>
        <w:keepLines w:val="0"/>
        <w:pageBreakBefore w:val="0"/>
        <w:widowControl/>
        <w:kinsoku w:val="0"/>
        <w:wordWrap/>
        <w:overflowPunct/>
        <w:topLinePunct w:val="0"/>
        <w:autoSpaceDE w:val="0"/>
        <w:autoSpaceDN w:val="0"/>
        <w:bidi w:val="0"/>
        <w:adjustRightInd w:val="0"/>
        <w:snapToGrid w:val="0"/>
        <w:spacing w:before="42" w:line="243" w:lineRule="auto"/>
        <w:ind w:right="58" w:firstLine="762" w:firstLineChars="3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对工程现场临近发包人正在使用、运行、或由发包人用于生产的建筑物、构筑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0"/>
          <w:sz w:val="24"/>
          <w:szCs w:val="24"/>
          <w:highlight w:val="none"/>
        </w:rPr>
        <w:t>物、生产装置、设施、设备等，设置隔离设施，竖立禁止入内、禁止动火的明显</w:t>
      </w:r>
      <w:r>
        <w:rPr>
          <w:rFonts w:hint="eastAsia" w:ascii="仿宋" w:hAnsi="仿宋" w:eastAsia="仿宋" w:cs="仿宋"/>
          <w:color w:val="auto"/>
          <w:spacing w:val="9"/>
          <w:sz w:val="24"/>
          <w:szCs w:val="24"/>
          <w:highlight w:val="none"/>
        </w:rPr>
        <w:t>标志， 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以书面形式通知承包人须遵守的安全规定和位置范围；</w:t>
      </w:r>
    </w:p>
    <w:p w14:paraId="39F86D07">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按照专用合同条件约定应提供的其他设施和条件。</w:t>
      </w:r>
    </w:p>
    <w:p w14:paraId="6DB6A325">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2.2.3 逾期提供的责任</w:t>
      </w:r>
    </w:p>
    <w:p w14:paraId="189E50CC">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3" w:right="58"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因发包人原因未能按合同约定及时向承包人</w:t>
      </w:r>
      <w:r>
        <w:rPr>
          <w:rFonts w:hint="eastAsia" w:ascii="仿宋" w:hAnsi="仿宋" w:eastAsia="仿宋" w:cs="仿宋"/>
          <w:color w:val="auto"/>
          <w:spacing w:val="7"/>
          <w:sz w:val="24"/>
          <w:szCs w:val="24"/>
          <w:highlight w:val="none"/>
        </w:rPr>
        <w:t>提供施工现场和施工条件的，由发包人承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担由此增加的费用和（或）延误的工期。</w:t>
      </w:r>
    </w:p>
    <w:p w14:paraId="39AFC670">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8AAFB9">
      <w:pPr>
        <w:pStyle w:val="2"/>
        <w:keepNext w:val="0"/>
        <w:keepLines w:val="0"/>
        <w:pageBreakBefore w:val="0"/>
        <w:widowControl/>
        <w:kinsoku w:val="0"/>
        <w:wordWrap/>
        <w:overflowPunct/>
        <w:topLinePunct w:val="0"/>
        <w:autoSpaceDE w:val="0"/>
        <w:autoSpaceDN w:val="0"/>
        <w:bidi w:val="0"/>
        <w:adjustRightInd w:val="0"/>
        <w:snapToGrid w:val="0"/>
        <w:spacing w:before="145" w:line="248" w:lineRule="auto"/>
        <w:ind w:left="21" w:right="5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发包人应按专用合同条件和《发包人要求》中的约定向承包人提供施工现</w:t>
      </w:r>
      <w:r>
        <w:rPr>
          <w:rFonts w:hint="eastAsia" w:ascii="仿宋" w:hAnsi="仿宋" w:eastAsia="仿宋" w:cs="仿宋"/>
          <w:color w:val="auto"/>
          <w:spacing w:val="7"/>
          <w:sz w:val="24"/>
          <w:szCs w:val="24"/>
          <w:highlight w:val="none"/>
        </w:rPr>
        <w:t>场及工程实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施所必需的毗邻区域内的供水、排水、供电、供气、供热、通信、广播电视等地上、地下管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线和设施资料，气象和水文观测资料，地质勘察资料，相邻建筑物、构筑物和地下工程等有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关基础资料，并根据第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1.12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款[《发包人要求》</w:t>
      </w:r>
      <w:r>
        <w:rPr>
          <w:rFonts w:hint="eastAsia" w:ascii="仿宋" w:hAnsi="仿宋" w:eastAsia="仿宋" w:cs="仿宋"/>
          <w:color w:val="auto"/>
          <w:spacing w:val="8"/>
          <w:sz w:val="24"/>
          <w:szCs w:val="24"/>
          <w:highlight w:val="none"/>
        </w:rPr>
        <w:t>和基础资料中的错误]承担基础资料错误造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成的责任。按照法律规定确需在开工后方能提供的基础资料，发包人应尽其努力及时地在相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应工程实施前的合理期限内提供，合理期限应以不影响承包人的正常履约为限。因发包人原</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因未能在合理期限内提供相应基础资料的，由发包人承担由此增加的费用和延误的工期。</w:t>
      </w:r>
    </w:p>
    <w:p w14:paraId="3E456E6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 办理许可和批准</w:t>
      </w:r>
    </w:p>
    <w:p w14:paraId="008666EE">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1"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2.4.1 发包人在履行合同过程中应遵守法律，并办理法律规定或合同约定由其办理的许可、</w:t>
      </w:r>
      <w:r>
        <w:rPr>
          <w:rFonts w:hint="eastAsia" w:ascii="仿宋" w:hAnsi="仿宋" w:eastAsia="仿宋" w:cs="仿宋"/>
          <w:color w:val="auto"/>
          <w:spacing w:val="7"/>
          <w:sz w:val="24"/>
          <w:szCs w:val="24"/>
          <w:highlight w:val="none"/>
        </w:rPr>
        <w:t xml:space="preserve"> 批准或备案，包括但不限于建设用地规划许可证、建设工程规划许可证、建设工程施工许可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证等许可和批准。对于法律规定或合同约定由承包人负责的有关设计、施工证件、批件或备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案，发包人应给予必要的协助。</w:t>
      </w:r>
    </w:p>
    <w:p w14:paraId="1335F9B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2.4.2 因发包人原因未能及时办理完毕前述许可、批准或备案，由发包</w:t>
      </w:r>
      <w:r>
        <w:rPr>
          <w:rFonts w:hint="eastAsia" w:ascii="仿宋" w:hAnsi="仿宋" w:eastAsia="仿宋" w:cs="仿宋"/>
          <w:color w:val="auto"/>
          <w:spacing w:val="6"/>
          <w:sz w:val="24"/>
          <w:szCs w:val="24"/>
          <w:highlight w:val="none"/>
        </w:rPr>
        <w:t>人承担由此增加的费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用和（或）延误的工期，并支付承包人合理的利润。</w:t>
      </w:r>
    </w:p>
    <w:p w14:paraId="518310FC">
      <w:pPr>
        <w:pStyle w:val="2"/>
        <w:keepNext w:val="0"/>
        <w:keepLines w:val="0"/>
        <w:pageBreakBefore w:val="0"/>
        <w:widowControl/>
        <w:kinsoku w:val="0"/>
        <w:wordWrap/>
        <w:overflowPunct/>
        <w:topLinePunct w:val="0"/>
        <w:autoSpaceDE w:val="0"/>
        <w:autoSpaceDN w:val="0"/>
        <w:bidi w:val="0"/>
        <w:adjustRightInd w:val="0"/>
        <w:snapToGrid w:val="0"/>
        <w:spacing w:before="147"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32B173E7">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2.5.1 发包人应按合同约定向承包人及时支付合同价款。</w:t>
      </w:r>
    </w:p>
    <w:p w14:paraId="5758A0EA">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发包人应当制定资金安排计划，除专用合同条件另有约定外，如</w:t>
      </w:r>
      <w:r>
        <w:rPr>
          <w:rFonts w:hint="eastAsia" w:ascii="仿宋" w:hAnsi="仿宋" w:eastAsia="仿宋" w:cs="仿宋"/>
          <w:color w:val="auto"/>
          <w:spacing w:val="6"/>
          <w:sz w:val="24"/>
          <w:szCs w:val="24"/>
          <w:highlight w:val="none"/>
        </w:rPr>
        <w:t>发包人拟对资金安排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做任何重要变更，应将变更的详细情况通知承包人。如发生承包人收到价格大于签约合同价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10%的变更指示或累计变更的总价超过签约合同价</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30%；或承包人未能根据第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条[合</w:t>
      </w:r>
      <w:r>
        <w:rPr>
          <w:rFonts w:hint="eastAsia" w:ascii="仿宋" w:hAnsi="仿宋" w:eastAsia="仿宋" w:cs="仿宋"/>
          <w:color w:val="auto"/>
          <w:spacing w:val="8"/>
          <w:sz w:val="24"/>
          <w:szCs w:val="24"/>
          <w:highlight w:val="none"/>
        </w:rPr>
        <w:t>同价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格与支付]收到付款，或承包人得知发包人的资金安排发生重要变更但并未收</w:t>
      </w:r>
      <w:r>
        <w:rPr>
          <w:rFonts w:hint="eastAsia" w:ascii="仿宋" w:hAnsi="仿宋" w:eastAsia="仿宋" w:cs="仿宋"/>
          <w:color w:val="auto"/>
          <w:spacing w:val="9"/>
          <w:sz w:val="24"/>
          <w:szCs w:val="24"/>
          <w:highlight w:val="none"/>
        </w:rPr>
        <w:t>到发包人上述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重要变更通知的情况，则承包人可随时要求发包人在</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天内补充提供能够按照合同约定支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付合同价款的相应资金来源证明。</w:t>
      </w:r>
    </w:p>
    <w:p w14:paraId="008F045C">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5"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2.5.3 发包人应当向承包人提供支付担保。支付担保可以采用银行保函</w:t>
      </w:r>
      <w:r>
        <w:rPr>
          <w:rFonts w:hint="eastAsia" w:ascii="仿宋" w:hAnsi="仿宋" w:eastAsia="仿宋" w:cs="仿宋"/>
          <w:color w:val="auto"/>
          <w:spacing w:val="6"/>
          <w:sz w:val="24"/>
          <w:szCs w:val="24"/>
          <w:highlight w:val="none"/>
        </w:rPr>
        <w:t>或担保公司担保等形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式，具体由合同当事人在专用合同条件中约定。</w:t>
      </w:r>
    </w:p>
    <w:p w14:paraId="6DB2A9C0">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2.6 现场管理配合</w:t>
      </w:r>
    </w:p>
    <w:p w14:paraId="5770F3D1">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631" w:right="46"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发包人应负责保证在现场或现场附近的发包人人</w:t>
      </w:r>
      <w:r>
        <w:rPr>
          <w:rFonts w:hint="eastAsia" w:ascii="仿宋" w:hAnsi="仿宋" w:eastAsia="仿宋" w:cs="仿宋"/>
          <w:color w:val="auto"/>
          <w:spacing w:val="9"/>
          <w:sz w:val="24"/>
          <w:szCs w:val="24"/>
          <w:highlight w:val="none"/>
        </w:rPr>
        <w:t>员和发包人的其他承包人（如有</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（1） 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款[现场合作]的约定，与承包人进行合作；</w:t>
      </w:r>
    </w:p>
    <w:p w14:paraId="4D3691C9">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遵守第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款[现场劳动用工]、第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款[安全文明施工]、第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款[职业健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康]和第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款[环境保护]的相关约定。</w:t>
      </w:r>
    </w:p>
    <w:p w14:paraId="532E7908">
      <w:pPr>
        <w:pStyle w:val="2"/>
        <w:keepNext w:val="0"/>
        <w:keepLines w:val="0"/>
        <w:pageBreakBefore w:val="0"/>
        <w:widowControl/>
        <w:kinsoku w:val="0"/>
        <w:wordWrap/>
        <w:overflowPunct/>
        <w:topLinePunct w:val="0"/>
        <w:autoSpaceDE w:val="0"/>
        <w:autoSpaceDN w:val="0"/>
        <w:bidi w:val="0"/>
        <w:adjustRightInd w:val="0"/>
        <w:snapToGrid w:val="0"/>
        <w:spacing w:before="27"/>
        <w:ind w:left="23" w:right="61"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发包人应与承包人、由发包人直接发包的其他承包人（如有）订立施</w:t>
      </w:r>
      <w:r>
        <w:rPr>
          <w:rFonts w:hint="eastAsia" w:ascii="仿宋" w:hAnsi="仿宋" w:eastAsia="仿宋" w:cs="仿宋"/>
          <w:color w:val="auto"/>
          <w:spacing w:val="7"/>
          <w:sz w:val="24"/>
          <w:szCs w:val="24"/>
          <w:highlight w:val="none"/>
        </w:rPr>
        <w:t>工现场统一管理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协议，明确各方的权利义务。</w:t>
      </w:r>
    </w:p>
    <w:p w14:paraId="7D29ACE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6C35A09">
      <w:pPr>
        <w:pStyle w:val="2"/>
        <w:keepNext w:val="0"/>
        <w:keepLines w:val="0"/>
        <w:pageBreakBefore w:val="0"/>
        <w:widowControl/>
        <w:kinsoku w:val="0"/>
        <w:wordWrap/>
        <w:overflowPunct/>
        <w:topLinePunct w:val="0"/>
        <w:autoSpaceDE w:val="0"/>
        <w:autoSpaceDN w:val="0"/>
        <w:bidi w:val="0"/>
        <w:adjustRightInd w:val="0"/>
        <w:snapToGrid w:val="0"/>
        <w:spacing w:before="145"/>
        <w:ind w:left="24"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发包人应履行合同约定的其他义务，双方可在专用合同条件内对发包人应</w:t>
      </w:r>
      <w:r>
        <w:rPr>
          <w:rFonts w:hint="eastAsia" w:ascii="仿宋" w:hAnsi="仿宋" w:eastAsia="仿宋" w:cs="仿宋"/>
          <w:color w:val="auto"/>
          <w:spacing w:val="7"/>
          <w:sz w:val="24"/>
          <w:szCs w:val="24"/>
          <w:highlight w:val="none"/>
        </w:rPr>
        <w:t>履行的其他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义务进行补充约定。</w:t>
      </w:r>
    </w:p>
    <w:p w14:paraId="5B5C02F3">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A63311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210F69D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发包人应任命发包人代表，并在专用合同条件中明确发包人代表的姓名、</w:t>
      </w:r>
      <w:r>
        <w:rPr>
          <w:rFonts w:hint="eastAsia" w:ascii="仿宋" w:hAnsi="仿宋" w:eastAsia="仿宋" w:cs="仿宋"/>
          <w:color w:val="auto"/>
          <w:spacing w:val="7"/>
          <w:sz w:val="24"/>
          <w:szCs w:val="24"/>
          <w:highlight w:val="none"/>
        </w:rPr>
        <w:t>职务、联系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方式及授权范围等事项。发包人代表应在发包人的授权范围内，负责处理合同履行过程中与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发包人有关的具体事宜。发包人代表在授权范围内的行为由发包人承担法律责任。</w:t>
      </w:r>
    </w:p>
    <w:p w14:paraId="2F8103E6">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7" w:right="70"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除非发包人另行通知承包人，发包人代表应被授予并</w:t>
      </w:r>
      <w:r>
        <w:rPr>
          <w:rFonts w:hint="eastAsia" w:ascii="仿宋" w:hAnsi="仿宋" w:eastAsia="仿宋" w:cs="仿宋"/>
          <w:color w:val="auto"/>
          <w:spacing w:val="7"/>
          <w:sz w:val="24"/>
          <w:szCs w:val="24"/>
          <w:highlight w:val="none"/>
        </w:rPr>
        <w:t>且被认为具有发包人在授权范围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内享有的相应权利，涉及第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款[由发</w:t>
      </w:r>
      <w:r>
        <w:rPr>
          <w:rFonts w:hint="eastAsia" w:ascii="仿宋" w:hAnsi="仿宋" w:eastAsia="仿宋" w:cs="仿宋"/>
          <w:color w:val="auto"/>
          <w:spacing w:val="6"/>
          <w:sz w:val="24"/>
          <w:szCs w:val="24"/>
          <w:highlight w:val="none"/>
        </w:rPr>
        <w:t>包人解除合同]的权利除外。</w:t>
      </w:r>
    </w:p>
    <w:p w14:paraId="72C8B424">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31" w:right="898"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发包人代表（或者在其为法人的情况下，被任命代表其行事的自然人）应：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（1） 履行指派给其的职责，行使发包人托付给的权利；</w:t>
      </w:r>
    </w:p>
    <w:p w14:paraId="70CB0ABC">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具备履行这些职责、行使这些权利的能力；</w:t>
      </w:r>
    </w:p>
    <w:p w14:paraId="6FCED364">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作为熟练的专业人员行事。</w:t>
      </w:r>
    </w:p>
    <w:p w14:paraId="31388547">
      <w:pPr>
        <w:pStyle w:val="2"/>
        <w:keepNext w:val="0"/>
        <w:keepLines w:val="0"/>
        <w:pageBreakBefore w:val="0"/>
        <w:widowControl/>
        <w:kinsoku w:val="0"/>
        <w:wordWrap/>
        <w:overflowPunct/>
        <w:topLinePunct w:val="0"/>
        <w:autoSpaceDE w:val="0"/>
        <w:autoSpaceDN w:val="0"/>
        <w:bidi w:val="0"/>
        <w:adjustRightInd w:val="0"/>
        <w:snapToGrid w:val="0"/>
        <w:spacing w:before="25" w:line="246" w:lineRule="auto"/>
        <w:ind w:left="23" w:right="1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如果发包人代表为法人且在签订本合同时未能确定授权代表的，发包人代</w:t>
      </w:r>
      <w:r>
        <w:rPr>
          <w:rFonts w:hint="eastAsia" w:ascii="仿宋" w:hAnsi="仿宋" w:eastAsia="仿宋" w:cs="仿宋"/>
          <w:color w:val="auto"/>
          <w:spacing w:val="7"/>
          <w:sz w:val="24"/>
          <w:szCs w:val="24"/>
          <w:highlight w:val="none"/>
        </w:rPr>
        <w:t>表应在本合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同签订之日起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3 日内向双方发出书面通知，告知被任命和授权的自然人以及任何替代人</w:t>
      </w:r>
      <w:r>
        <w:rPr>
          <w:rFonts w:hint="eastAsia" w:ascii="仿宋" w:hAnsi="仿宋" w:eastAsia="仿宋" w:cs="仿宋"/>
          <w:color w:val="auto"/>
          <w:spacing w:val="6"/>
          <w:sz w:val="24"/>
          <w:szCs w:val="24"/>
          <w:highlight w:val="none"/>
        </w:rPr>
        <w:t>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此授权在双方收到本通知后生效。发包人代表撤销该授权或者变更授权代表时也应同样发出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该通知。</w:t>
      </w:r>
    </w:p>
    <w:p w14:paraId="5C79FEC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1"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发包人更换发包人代表的，应提前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天将更换人的姓名、地址、任务和权利、以及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任命的日期书面通知承包人。发包人不得将发包人代表更换为承包人根据本款发出通知提出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合理反对意见的人员，不论是法人还是自然人。</w:t>
      </w:r>
    </w:p>
    <w:p w14:paraId="7AF2ECEE">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2" w:right="5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发包人代表不能按照合同约定履行其职责及义务，并导致合同无法继续正常履行的，</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承包人可以要求发包人撤换发包人代表。</w:t>
      </w:r>
    </w:p>
    <w:p w14:paraId="02FE9F3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5A62DA14">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发包人人员包括发包人代表、工程师及其他由发包人派驻施工现场的人员，发包人可 以在专用合同条件中明确发包人人员的姓名、职务及职责等事项。发包人或发包人代表可</w:t>
      </w:r>
      <w:r>
        <w:rPr>
          <w:rFonts w:hint="eastAsia" w:ascii="仿宋" w:hAnsi="仿宋" w:eastAsia="仿宋" w:cs="仿宋"/>
          <w:color w:val="auto"/>
          <w:spacing w:val="6"/>
          <w:sz w:val="24"/>
          <w:szCs w:val="24"/>
          <w:highlight w:val="none"/>
        </w:rPr>
        <w:t xml:space="preserve">随 </w:t>
      </w:r>
      <w:r>
        <w:rPr>
          <w:rFonts w:hint="eastAsia" w:ascii="仿宋" w:hAnsi="仿宋" w:eastAsia="仿宋" w:cs="仿宋"/>
          <w:color w:val="auto"/>
          <w:spacing w:val="7"/>
          <w:sz w:val="24"/>
          <w:szCs w:val="24"/>
          <w:highlight w:val="none"/>
        </w:rPr>
        <w:t>时对一些助手指派和托付一定的任务和权利，也可撤销这些指派和托付。这些助手可包括</w:t>
      </w:r>
      <w:r>
        <w:rPr>
          <w:rFonts w:hint="eastAsia" w:ascii="仿宋" w:hAnsi="仿宋" w:eastAsia="仿宋" w:cs="仿宋"/>
          <w:color w:val="auto"/>
          <w:spacing w:val="6"/>
          <w:sz w:val="24"/>
          <w:szCs w:val="24"/>
          <w:highlight w:val="none"/>
        </w:rPr>
        <w:t xml:space="preserve">驻 </w:t>
      </w:r>
      <w:r>
        <w:rPr>
          <w:rFonts w:hint="eastAsia" w:ascii="仿宋" w:hAnsi="仿宋" w:eastAsia="仿宋" w:cs="仿宋"/>
          <w:color w:val="auto"/>
          <w:spacing w:val="4"/>
          <w:sz w:val="24"/>
          <w:szCs w:val="24"/>
          <w:highlight w:val="none"/>
        </w:rPr>
        <w:t>地工程师或担任检验、试验各项工程设备和材料的独立检查员。这些助手应具有适当的资质、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履行其任务和权利的能力。以上指派、托付或撤销，在承包人收到通知后生效。承包人对</w:t>
      </w:r>
      <w:r>
        <w:rPr>
          <w:rFonts w:hint="eastAsia" w:ascii="仿宋" w:hAnsi="仿宋" w:eastAsia="仿宋" w:cs="仿宋"/>
          <w:color w:val="auto"/>
          <w:spacing w:val="6"/>
          <w:sz w:val="24"/>
          <w:szCs w:val="24"/>
          <w:highlight w:val="none"/>
        </w:rPr>
        <w:t xml:space="preserve">于 </w:t>
      </w:r>
      <w:r>
        <w:rPr>
          <w:rFonts w:hint="eastAsia" w:ascii="仿宋" w:hAnsi="仿宋" w:eastAsia="仿宋" w:cs="仿宋"/>
          <w:color w:val="auto"/>
          <w:spacing w:val="9"/>
          <w:sz w:val="24"/>
          <w:szCs w:val="24"/>
          <w:highlight w:val="none"/>
        </w:rPr>
        <w:t>可能影响正常履约或工程安全质量的发包人人员保有随时提出沟通的权利。</w:t>
      </w:r>
    </w:p>
    <w:p w14:paraId="7CB82369">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发包人应要求在施工现场的发包人人员遵守法律及有关安全、质量、环境</w:t>
      </w:r>
      <w:r>
        <w:rPr>
          <w:rFonts w:hint="eastAsia" w:ascii="仿宋" w:hAnsi="仿宋" w:eastAsia="仿宋" w:cs="仿宋"/>
          <w:color w:val="auto"/>
          <w:spacing w:val="7"/>
          <w:sz w:val="24"/>
          <w:szCs w:val="24"/>
          <w:highlight w:val="none"/>
        </w:rPr>
        <w:t>保护、文明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施工等规定，因发包人人员未遵守上述要求给承包人造成的损失和责任由发包人承担。</w:t>
      </w:r>
    </w:p>
    <w:p w14:paraId="263C593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6704696A">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3.3.1 发包人需对承包人的设计、采购、施工、服务等工作过程或过程节点实施监督管理的，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有权委任工程师。工程师的名称、监督管理范围、内容和权限在专用合同条件中写明。根据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国家相关法律法规规定，如本合同工程属于强制监理项目的，由工程师履行法定的监理相关</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职责，但发包人另行授权第三方进行监理的除外。</w:t>
      </w:r>
    </w:p>
    <w:p w14:paraId="2CDAF696">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 工程师按发包人委托的范围、内容、职权和权限，代</w:t>
      </w:r>
      <w:r>
        <w:rPr>
          <w:rFonts w:hint="eastAsia" w:ascii="仿宋" w:hAnsi="仿宋" w:eastAsia="仿宋" w:cs="仿宋"/>
          <w:color w:val="auto"/>
          <w:spacing w:val="3"/>
          <w:sz w:val="24"/>
          <w:szCs w:val="24"/>
          <w:highlight w:val="none"/>
        </w:rPr>
        <w:t>表发包人对承包人实施监督管理。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若承包人认为工程师行使的职权不在发包人委托的授权范围之内的，则其有权拒绝执行工</w:t>
      </w:r>
      <w:r>
        <w:rPr>
          <w:rFonts w:hint="eastAsia" w:ascii="仿宋" w:hAnsi="仿宋" w:eastAsia="仿宋" w:cs="仿宋"/>
          <w:color w:val="auto"/>
          <w:spacing w:val="6"/>
          <w:sz w:val="24"/>
          <w:szCs w:val="24"/>
          <w:highlight w:val="none"/>
        </w:rPr>
        <w:t xml:space="preserve">程 </w:t>
      </w:r>
      <w:r>
        <w:rPr>
          <w:rFonts w:hint="eastAsia" w:ascii="仿宋" w:hAnsi="仿宋" w:eastAsia="仿宋" w:cs="仿宋"/>
          <w:color w:val="auto"/>
          <w:spacing w:val="7"/>
          <w:sz w:val="24"/>
          <w:szCs w:val="24"/>
          <w:highlight w:val="none"/>
        </w:rPr>
        <w:t>师的相关指示，同时应及时通知发包人，发包人书面确认工程师相关指示的，承包人应遵</w:t>
      </w:r>
      <w:r>
        <w:rPr>
          <w:rFonts w:hint="eastAsia" w:ascii="仿宋" w:hAnsi="仿宋" w:eastAsia="仿宋" w:cs="仿宋"/>
          <w:color w:val="auto"/>
          <w:spacing w:val="6"/>
          <w:sz w:val="24"/>
          <w:szCs w:val="24"/>
          <w:highlight w:val="none"/>
        </w:rPr>
        <w:t xml:space="preserve">照 </w:t>
      </w:r>
      <w:r>
        <w:rPr>
          <w:rFonts w:hint="eastAsia" w:ascii="仿宋" w:hAnsi="仿宋" w:eastAsia="仿宋" w:cs="仿宋"/>
          <w:color w:val="auto"/>
          <w:spacing w:val="3"/>
          <w:sz w:val="24"/>
          <w:szCs w:val="24"/>
          <w:highlight w:val="none"/>
        </w:rPr>
        <w:t>执行。</w:t>
      </w:r>
    </w:p>
    <w:p w14:paraId="21462A4E">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3.3.3 在发包人和承包人之间提供证明、行使决定权或处理权时，</w:t>
      </w:r>
      <w:r>
        <w:rPr>
          <w:rFonts w:hint="eastAsia" w:ascii="仿宋" w:hAnsi="仿宋" w:eastAsia="仿宋" w:cs="仿宋"/>
          <w:color w:val="auto"/>
          <w:spacing w:val="6"/>
          <w:sz w:val="24"/>
          <w:szCs w:val="24"/>
          <w:highlight w:val="none"/>
        </w:rPr>
        <w:t>工程师应作为独立专业的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第三方，根据自己的专业技能和判断进行工作。但工程师或其人员均无权修改合同，且无权</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减轻或免除合同当事人的任何责任与义务。</w:t>
      </w:r>
    </w:p>
    <w:p w14:paraId="3E049853">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3.3.4 通用合同条件中约定由工程师行使的职权如不在发包人对工</w:t>
      </w:r>
      <w:r>
        <w:rPr>
          <w:rFonts w:hint="eastAsia" w:ascii="仿宋" w:hAnsi="仿宋" w:eastAsia="仿宋" w:cs="仿宋"/>
          <w:color w:val="auto"/>
          <w:spacing w:val="6"/>
          <w:sz w:val="24"/>
          <w:szCs w:val="24"/>
          <w:highlight w:val="none"/>
        </w:rPr>
        <w:t>程师的授权范围内的，则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视为没有取得授权，该职权应由发包人或发包人指定的其他人员行使。若承包人认为工程师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的职权与发包人（包括其人员）的职权相重叠或不明确时，应及时通知发包人，由发包人予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以协调和明确并以书面形式通知承包人。</w:t>
      </w:r>
    </w:p>
    <w:p w14:paraId="04400709">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3.4 任命和授权</w:t>
      </w:r>
    </w:p>
    <w:p w14:paraId="665C227B">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3.4.1 发包人应在发出开始工作通知前将工程师的任命通知承包人</w:t>
      </w:r>
      <w:r>
        <w:rPr>
          <w:rFonts w:hint="eastAsia" w:ascii="仿宋" w:hAnsi="仿宋" w:eastAsia="仿宋" w:cs="仿宋"/>
          <w:color w:val="auto"/>
          <w:spacing w:val="6"/>
          <w:sz w:val="24"/>
          <w:szCs w:val="24"/>
          <w:highlight w:val="none"/>
        </w:rPr>
        <w:t>。更换工程师的，发包人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应提前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天以书面形式通知承包人，并在通知中写明</w:t>
      </w:r>
      <w:r>
        <w:rPr>
          <w:rFonts w:hint="eastAsia" w:ascii="仿宋" w:hAnsi="仿宋" w:eastAsia="仿宋" w:cs="仿宋"/>
          <w:color w:val="auto"/>
          <w:spacing w:val="6"/>
          <w:sz w:val="24"/>
          <w:szCs w:val="24"/>
          <w:highlight w:val="none"/>
        </w:rPr>
        <w:t>替换者的姓名、职务、职权、权限和任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命时间。工程师超过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天不能履行职责的，应委派代</w:t>
      </w:r>
      <w:r>
        <w:rPr>
          <w:rFonts w:hint="eastAsia" w:ascii="仿宋" w:hAnsi="仿宋" w:eastAsia="仿宋" w:cs="仿宋"/>
          <w:color w:val="auto"/>
          <w:spacing w:val="8"/>
          <w:sz w:val="24"/>
          <w:szCs w:val="24"/>
          <w:highlight w:val="none"/>
        </w:rPr>
        <w:t>表代行其职责，并通知承包人。</w:t>
      </w:r>
    </w:p>
    <w:p w14:paraId="2578AE61">
      <w:pPr>
        <w:pStyle w:val="2"/>
        <w:keepNext w:val="0"/>
        <w:keepLines w:val="0"/>
        <w:pageBreakBefore w:val="0"/>
        <w:widowControl/>
        <w:kinsoku w:val="0"/>
        <w:wordWrap/>
        <w:overflowPunct/>
        <w:topLinePunct w:val="0"/>
        <w:autoSpaceDE w:val="0"/>
        <w:autoSpaceDN w:val="0"/>
        <w:bidi w:val="0"/>
        <w:adjustRightInd w:val="0"/>
        <w:snapToGrid w:val="0"/>
        <w:spacing w:before="40" w:line="246" w:lineRule="auto"/>
        <w:ind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3.4.2 工程师可以授权其他人员负责执行其指派的一项或多项工作，但第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款[商定或确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定]下的权利除外。工程师应将被授权人员的姓名及其授权范围通知承包人。被</w:t>
      </w:r>
      <w:r>
        <w:rPr>
          <w:rFonts w:hint="eastAsia" w:ascii="仿宋" w:hAnsi="仿宋" w:eastAsia="仿宋" w:cs="仿宋"/>
          <w:color w:val="auto"/>
          <w:spacing w:val="9"/>
          <w:sz w:val="24"/>
          <w:szCs w:val="24"/>
          <w:highlight w:val="none"/>
        </w:rPr>
        <w:t>授权的人员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在授权范围内发出的指示视为已得到工程师的同意，与工程师发出的指示具有同等效力。工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程师撤销某项授权时，应将撤销授权的决定及时通知承包人。</w:t>
      </w:r>
    </w:p>
    <w:p w14:paraId="62D7A669">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指示</w:t>
      </w:r>
    </w:p>
    <w:p w14:paraId="5FAEFEA1">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3.5.1 工程师应按照发包人的授权发出指示。工程师的指示应采用</w:t>
      </w:r>
      <w:r>
        <w:rPr>
          <w:rFonts w:hint="eastAsia" w:ascii="仿宋" w:hAnsi="仿宋" w:eastAsia="仿宋" w:cs="仿宋"/>
          <w:color w:val="auto"/>
          <w:spacing w:val="6"/>
          <w:sz w:val="24"/>
          <w:szCs w:val="24"/>
          <w:highlight w:val="none"/>
        </w:rPr>
        <w:t>书面形式，盖有工程师授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权的项目管理机构章，并由工程师的授权人员签字。在紧急情况下，工程师的授权人员可以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口头形式发出指示或当场签发临时书面指示，承包人应遵照执行。工程师应在授权人员发出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口头指示或临时书面指示后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小时内发出书面确认函，在</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w:t>
      </w:r>
      <w:r>
        <w:rPr>
          <w:rFonts w:hint="eastAsia" w:ascii="仿宋" w:hAnsi="仿宋" w:eastAsia="仿宋" w:cs="仿宋"/>
          <w:color w:val="auto"/>
          <w:spacing w:val="6"/>
          <w:sz w:val="24"/>
          <w:szCs w:val="24"/>
          <w:highlight w:val="none"/>
        </w:rPr>
        <w:t>内未发出书面确认函的，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该口头指示或临时书面指示应被视为工程师的正式指示。</w:t>
      </w:r>
    </w:p>
    <w:p w14:paraId="5E33CA00">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3.5.2 承包人收到工程师作出的指示后应遵照执行。如果任何此类</w:t>
      </w:r>
      <w:r>
        <w:rPr>
          <w:rFonts w:hint="eastAsia" w:ascii="仿宋" w:hAnsi="仿宋" w:eastAsia="仿宋" w:cs="仿宋"/>
          <w:color w:val="auto"/>
          <w:spacing w:val="6"/>
          <w:sz w:val="24"/>
          <w:szCs w:val="24"/>
          <w:highlight w:val="none"/>
        </w:rPr>
        <w:t>指示构成一项变更时，应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按照第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条[变更与调整]的约定办理。</w:t>
      </w:r>
    </w:p>
    <w:p w14:paraId="7B2F671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17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由于工程师未能按合同约定发出指示、指示延误或指示错误而导致承包人费用增加和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（或）工期延误的，发包人应承担由此增加的费用和（或）工期延误，并向承包人支付合理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利润。</w:t>
      </w:r>
    </w:p>
    <w:p w14:paraId="0D7FF89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7830A705">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76"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3.6.1 合同约定工程师应按照本款对任何事项进行商定或确定时，</w:t>
      </w:r>
      <w:r>
        <w:rPr>
          <w:rFonts w:hint="eastAsia" w:ascii="仿宋" w:hAnsi="仿宋" w:eastAsia="仿宋" w:cs="仿宋"/>
          <w:color w:val="auto"/>
          <w:spacing w:val="6"/>
          <w:sz w:val="24"/>
          <w:szCs w:val="24"/>
          <w:highlight w:val="none"/>
        </w:rPr>
        <w:t>工程师应及时与合同当事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人协商，尽量达成一致。工程师应将商定的结果以书面形式通知发包人和承包人，并由双方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签署确认。</w:t>
      </w:r>
    </w:p>
    <w:p w14:paraId="319D39C6">
      <w:pPr>
        <w:pStyle w:val="2"/>
        <w:keepNext w:val="0"/>
        <w:keepLines w:val="0"/>
        <w:pageBreakBefore w:val="0"/>
        <w:widowControl/>
        <w:kinsoku w:val="0"/>
        <w:wordWrap/>
        <w:overflowPunct/>
        <w:topLinePunct w:val="0"/>
        <w:autoSpaceDE w:val="0"/>
        <w:autoSpaceDN w:val="0"/>
        <w:bidi w:val="0"/>
        <w:adjustRightInd w:val="0"/>
        <w:snapToGrid w:val="0"/>
        <w:spacing w:before="141"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3.6.2 除专用合同条件另有约定外，商定的期限应为工程师收到任</w:t>
      </w:r>
      <w:r>
        <w:rPr>
          <w:rFonts w:hint="eastAsia" w:ascii="仿宋" w:hAnsi="仿宋" w:eastAsia="仿宋" w:cs="仿宋"/>
          <w:color w:val="auto"/>
          <w:spacing w:val="6"/>
          <w:sz w:val="24"/>
          <w:szCs w:val="24"/>
          <w:highlight w:val="none"/>
        </w:rPr>
        <w:t>何一方就商定事由发出的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天内或工程师提出并经双方同意的其他期限。未能在该期限内达成一致的，由工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程师按照合同约定审慎做出公正的确定。确定的期限应为商定的期限届满后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师提出并经双方同意的其他期限。工程师应将确定的结果以书面形式通知发包人和承包人，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并附详细依据。</w:t>
      </w:r>
    </w:p>
    <w:p w14:paraId="5605F73F">
      <w:pPr>
        <w:pStyle w:val="2"/>
        <w:keepNext w:val="0"/>
        <w:keepLines w:val="0"/>
        <w:pageBreakBefore w:val="0"/>
        <w:widowControl/>
        <w:kinsoku w:val="0"/>
        <w:wordWrap/>
        <w:overflowPunct/>
        <w:topLinePunct w:val="0"/>
        <w:autoSpaceDE w:val="0"/>
        <w:autoSpaceDN w:val="0"/>
        <w:bidi w:val="0"/>
        <w:adjustRightInd w:val="0"/>
        <w:snapToGrid w:val="0"/>
        <w:spacing w:before="146"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3.6.3 任何一方对工程师的确定有异议的，应在收到确定的结果后</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天内向另一方发出书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面异议通知并抄送工程师。除第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19.2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款[承包</w:t>
      </w:r>
      <w:r>
        <w:rPr>
          <w:rFonts w:hint="eastAsia" w:ascii="仿宋" w:hAnsi="仿宋" w:eastAsia="仿宋" w:cs="仿宋"/>
          <w:color w:val="auto"/>
          <w:spacing w:val="8"/>
          <w:sz w:val="24"/>
          <w:szCs w:val="24"/>
          <w:highlight w:val="none"/>
        </w:rPr>
        <w:t>人索赔的处理程序]另有约定外，工程师未能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在确定的期限内发出确定的结果通知的，或者任何一方发出对确定的结果有异议的通知的，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则构成争议并应按照第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条[争议解决]的约定处理。如未在</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天</w:t>
      </w:r>
      <w:r>
        <w:rPr>
          <w:rFonts w:hint="eastAsia" w:ascii="仿宋" w:hAnsi="仿宋" w:eastAsia="仿宋" w:cs="仿宋"/>
          <w:color w:val="auto"/>
          <w:spacing w:val="5"/>
          <w:sz w:val="24"/>
          <w:szCs w:val="24"/>
          <w:highlight w:val="none"/>
        </w:rPr>
        <w:t>内发出上述通知的，工程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师的确定应被视为已被双方接受并对双方具有约束力，但专用合同条件另有约定的除外。</w:t>
      </w:r>
    </w:p>
    <w:p w14:paraId="3B8736F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4" w:right="17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3.6.4 在该争议解决前，双方应暂按工程师的确定执行。按照第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条[争议解决]的约定对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工程师的确定作出修改的，按修改后的结果执行，由此导致承包人增加的费用和延误的工期</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由责任方承担。</w:t>
      </w:r>
    </w:p>
    <w:p w14:paraId="4499C5C2">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61607383">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3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3.7.1 除专用合同条件另有约定外，任何一方可向另一方发出通知</w:t>
      </w:r>
      <w:r>
        <w:rPr>
          <w:rFonts w:hint="eastAsia" w:ascii="仿宋" w:hAnsi="仿宋" w:eastAsia="仿宋" w:cs="仿宋"/>
          <w:color w:val="auto"/>
          <w:spacing w:val="7"/>
          <w:sz w:val="24"/>
          <w:szCs w:val="24"/>
          <w:highlight w:val="none"/>
        </w:rPr>
        <w:t>，要求另一方出席会议，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讨论工程的实施安排或与本合同履行有关的其他事项。发包人的其他承包人、承包人的分包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人和其他第三方可应任何一方的请求出席任何此类会议。</w:t>
      </w:r>
    </w:p>
    <w:p w14:paraId="3C540964">
      <w:pPr>
        <w:pStyle w:val="2"/>
        <w:keepNext w:val="0"/>
        <w:keepLines w:val="0"/>
        <w:pageBreakBefore w:val="0"/>
        <w:widowControl/>
        <w:kinsoku w:val="0"/>
        <w:wordWrap/>
        <w:overflowPunct/>
        <w:topLinePunct w:val="0"/>
        <w:autoSpaceDE w:val="0"/>
        <w:autoSpaceDN w:val="0"/>
        <w:bidi w:val="0"/>
        <w:adjustRightInd w:val="0"/>
        <w:snapToGrid w:val="0"/>
        <w:spacing w:before="144"/>
        <w:ind w:left="2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3.7.2 除专用合同条件另有约定外，发包人应保存每次会议参加人签名的记录，并将会议纪  </w:t>
      </w:r>
      <w:r>
        <w:rPr>
          <w:rFonts w:hint="eastAsia" w:ascii="仿宋" w:hAnsi="仿宋" w:eastAsia="仿宋" w:cs="仿宋"/>
          <w:color w:val="auto"/>
          <w:spacing w:val="7"/>
          <w:sz w:val="24"/>
          <w:szCs w:val="24"/>
          <w:highlight w:val="none"/>
        </w:rPr>
        <w:t>要提供给出席会议的人员。任何根据此类会议以及会议</w:t>
      </w:r>
      <w:r>
        <w:rPr>
          <w:rFonts w:hint="eastAsia" w:ascii="仿宋" w:hAnsi="仿宋" w:eastAsia="仿宋" w:cs="仿宋"/>
          <w:color w:val="auto"/>
          <w:spacing w:val="6"/>
          <w:sz w:val="24"/>
          <w:szCs w:val="24"/>
          <w:highlight w:val="none"/>
        </w:rPr>
        <w:t>纪要采取的行动应符合本合同的约定。</w:t>
      </w:r>
    </w:p>
    <w:p w14:paraId="3DE2EEDB">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BCF574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47CF8BA5">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除专用合同条件另有约定外，承包人在履行合同过程</w:t>
      </w:r>
      <w:r>
        <w:rPr>
          <w:rFonts w:hint="eastAsia" w:ascii="仿宋" w:hAnsi="仿宋" w:eastAsia="仿宋" w:cs="仿宋"/>
          <w:color w:val="auto"/>
          <w:spacing w:val="7"/>
          <w:sz w:val="24"/>
          <w:szCs w:val="24"/>
          <w:highlight w:val="none"/>
        </w:rPr>
        <w:t>中应遵守法律和工程建设标准规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范，并履行以下义务：</w:t>
      </w:r>
    </w:p>
    <w:p w14:paraId="7DE5C7A6">
      <w:pPr>
        <w:pStyle w:val="2"/>
        <w:keepNext w:val="0"/>
        <w:keepLines w:val="0"/>
        <w:pageBreakBefore w:val="0"/>
        <w:widowControl/>
        <w:kinsoku w:val="0"/>
        <w:wordWrap/>
        <w:overflowPunct/>
        <w:topLinePunct w:val="0"/>
        <w:autoSpaceDE w:val="0"/>
        <w:autoSpaceDN w:val="0"/>
        <w:bidi w:val="0"/>
        <w:adjustRightInd w:val="0"/>
        <w:snapToGrid w:val="0"/>
        <w:spacing w:before="25"/>
        <w:ind w:left="22" w:right="17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办理法律规定和合同约定由承包人办理的许可和批准，将办理结果书面报送发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包人留存，并承担因承包人违反法律或合同约定给发包人造成的任何费用和损失；</w:t>
      </w:r>
    </w:p>
    <w:p w14:paraId="0CB670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35" w:type="default"/>
          <w:pgSz w:w="11906" w:h="16839"/>
          <w:pgMar w:top="1428" w:right="1625" w:bottom="1171" w:left="1785" w:header="0" w:footer="992" w:gutter="0"/>
          <w:pgNumType w:fmt="decimal"/>
          <w:cols w:space="720" w:num="1"/>
        </w:sectPr>
      </w:pPr>
    </w:p>
    <w:p w14:paraId="592D586C">
      <w:pPr>
        <w:pStyle w:val="2"/>
        <w:keepNext w:val="0"/>
        <w:keepLines w:val="0"/>
        <w:pageBreakBefore w:val="0"/>
        <w:widowControl/>
        <w:kinsoku w:val="0"/>
        <w:wordWrap/>
        <w:overflowPunct/>
        <w:topLinePunct w:val="0"/>
        <w:autoSpaceDE w:val="0"/>
        <w:autoSpaceDN w:val="0"/>
        <w:bidi w:val="0"/>
        <w:adjustRightInd w:val="0"/>
        <w:snapToGrid w:val="0"/>
        <w:spacing w:before="41"/>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按合同约定完成全部工作并在缺陷责任期和保修期</w:t>
      </w:r>
      <w:r>
        <w:rPr>
          <w:rFonts w:hint="eastAsia" w:ascii="仿宋" w:hAnsi="仿宋" w:eastAsia="仿宋" w:cs="仿宋"/>
          <w:color w:val="auto"/>
          <w:spacing w:val="8"/>
          <w:sz w:val="24"/>
          <w:szCs w:val="24"/>
          <w:highlight w:val="none"/>
        </w:rPr>
        <w:t>内承担缺陷保证责任和保修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义务，对工作中的任何缺陷进行整改、完善和修补，使其满足合同约定的目的；</w:t>
      </w:r>
    </w:p>
    <w:p w14:paraId="2E26C77E">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提供合同约定的工程设备和承包人文件，以及为完成合同工作所需的劳务、材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料、施工设备和其他物品，并按合同约定负责临时设施的设计、施工、运行、维护、管理和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拆除；</w:t>
      </w:r>
    </w:p>
    <w:p w14:paraId="3626FE3F">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按合同约定的工作内容和进度要求，编制设计、施工的组织和实施计划，保证</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项目进度计划的实现，并对所有设计、施工作业和施工方法，以及全部工程的完备性和安全</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可靠性负责；</w:t>
      </w:r>
    </w:p>
    <w:p w14:paraId="013ACEE8">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按法律规定和合同约定采取安全文明施工、职业健康和环境保护措施，办理员</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工工伤保险等相关保险，确保工程及人员、材料、设备和设施的安全，防止因工程实施造成</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的人身伤害和财产损失；</w:t>
      </w:r>
    </w:p>
    <w:p w14:paraId="26A225C6">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30" w:right="54"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将发包人按合同约定支付的各项价款专用于合同工程，且应及时支付其雇用人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员（包括建筑工人）工资，并及时向分包人支付合同</w:t>
      </w:r>
      <w:r>
        <w:rPr>
          <w:rFonts w:hint="eastAsia" w:ascii="仿宋" w:hAnsi="仿宋" w:eastAsia="仿宋" w:cs="仿宋"/>
          <w:color w:val="auto"/>
          <w:spacing w:val="8"/>
          <w:sz w:val="24"/>
          <w:szCs w:val="24"/>
          <w:highlight w:val="none"/>
        </w:rPr>
        <w:t>价款；</w:t>
      </w:r>
    </w:p>
    <w:p w14:paraId="17E37F63">
      <w:pPr>
        <w:pStyle w:val="2"/>
        <w:keepNext w:val="0"/>
        <w:keepLines w:val="0"/>
        <w:pageBreakBefore w:val="0"/>
        <w:widowControl/>
        <w:kinsoku w:val="0"/>
        <w:wordWrap/>
        <w:overflowPunct/>
        <w:topLinePunct w:val="0"/>
        <w:autoSpaceDE w:val="0"/>
        <w:autoSpaceDN w:val="0"/>
        <w:bidi w:val="0"/>
        <w:adjustRightInd w:val="0"/>
        <w:snapToGrid w:val="0"/>
        <w:spacing w:before="26"/>
        <w:ind w:left="27" w:right="24"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在进行合同约定的各项工作时，不得侵害发包人与他人使用公用道路、水源、</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市政管网等公共设施的权利，避免对邻近的公共设施产生干扰。</w:t>
      </w:r>
    </w:p>
    <w:p w14:paraId="49EEFD1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7A8AD24D">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54"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发包人需要承包人提供履约担保的，由合同当事人在专用合同条件中约定</w:t>
      </w:r>
      <w:r>
        <w:rPr>
          <w:rFonts w:hint="eastAsia" w:ascii="仿宋" w:hAnsi="仿宋" w:eastAsia="仿宋" w:cs="仿宋"/>
          <w:color w:val="auto"/>
          <w:spacing w:val="7"/>
          <w:sz w:val="24"/>
          <w:szCs w:val="24"/>
          <w:highlight w:val="none"/>
        </w:rPr>
        <w:t>履约担保的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方式、金额及提交的时间等，并应符合第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2.5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款[支付合同价款]的规定。履约担保可以采用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银行保函或担保公司担保等形式，承包人为联合体的，其履约担保由联合体各方或者联合体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中牵头人的名义代表联合体提交，具体由合同当事人在专用合同条件中约定。</w:t>
      </w:r>
    </w:p>
    <w:p w14:paraId="1B352E39">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承包人应保证其履约担保在发包人竣工验收前一直有效，发包人应在竣工验收合格后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天内将履约担保款项退还给承包人或者解除履约担保。</w:t>
      </w:r>
    </w:p>
    <w:p w14:paraId="6427D097">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54"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因承包人原因导致工期延长的，继续提供履</w:t>
      </w:r>
      <w:r>
        <w:rPr>
          <w:rFonts w:hint="eastAsia" w:ascii="仿宋" w:hAnsi="仿宋" w:eastAsia="仿宋" w:cs="仿宋"/>
          <w:color w:val="auto"/>
          <w:spacing w:val="7"/>
          <w:sz w:val="24"/>
          <w:szCs w:val="24"/>
          <w:highlight w:val="none"/>
        </w:rPr>
        <w:t>约担保所增加的费用由承包人承担；非因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承包人原因导致工期延长的，继续提供履约担保所增加的费用由发包人承担。</w:t>
      </w:r>
    </w:p>
    <w:p w14:paraId="5CFE087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2F913A0D">
      <w:pPr>
        <w:pStyle w:val="2"/>
        <w:keepNext w:val="0"/>
        <w:keepLines w:val="0"/>
        <w:pageBreakBefore w:val="0"/>
        <w:widowControl/>
        <w:kinsoku w:val="0"/>
        <w:wordWrap/>
        <w:overflowPunct/>
        <w:topLinePunct w:val="0"/>
        <w:autoSpaceDE w:val="0"/>
        <w:autoSpaceDN w:val="0"/>
        <w:bidi w:val="0"/>
        <w:adjustRightInd w:val="0"/>
        <w:snapToGrid w:val="0"/>
        <w:spacing w:before="145" w:line="24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4.3.1 工程总承包项目经理应为合同当事人所确认的人选，并在专用合同条件</w:t>
      </w:r>
      <w:r>
        <w:rPr>
          <w:rFonts w:hint="eastAsia" w:ascii="仿宋" w:hAnsi="仿宋" w:eastAsia="仿宋" w:cs="仿宋"/>
          <w:color w:val="auto"/>
          <w:spacing w:val="6"/>
          <w:sz w:val="24"/>
          <w:szCs w:val="24"/>
          <w:highlight w:val="none"/>
        </w:rPr>
        <w:t>中明确工程总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承包项目经理的姓名、注册执业资格或职称、联系方式及授权范围等事项。工程总承包项目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经理应具备履行其职责所需的资格、经验和能力，并为承包人正式聘用的员工，承包人应向</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发包人提交工程总承包项目经理与承包人之间的劳动合同，以及承包人为工程总承包项目经</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理缴纳社会保险的有效证明。承包人不提交上述文件的，工</w:t>
      </w:r>
      <w:r>
        <w:rPr>
          <w:rFonts w:hint="eastAsia" w:ascii="仿宋" w:hAnsi="仿宋" w:eastAsia="仿宋" w:cs="仿宋"/>
          <w:color w:val="auto"/>
          <w:spacing w:val="3"/>
          <w:sz w:val="24"/>
          <w:szCs w:val="24"/>
          <w:highlight w:val="none"/>
        </w:rPr>
        <w:t>程总承包项目经理无权履行职责，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发包人有权要求更换工程总承包项目经理，由此增加的费用和（或）延误的工期由承包人承</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担。同时，发包人有权根据专用合同条件约定要求承包人承担违约责任。</w:t>
      </w:r>
    </w:p>
    <w:p w14:paraId="3FF7E0DA">
      <w:pPr>
        <w:pStyle w:val="2"/>
        <w:keepNext w:val="0"/>
        <w:keepLines w:val="0"/>
        <w:pageBreakBefore w:val="0"/>
        <w:widowControl/>
        <w:kinsoku w:val="0"/>
        <w:wordWrap/>
        <w:overflowPunct/>
        <w:topLinePunct w:val="0"/>
        <w:autoSpaceDE w:val="0"/>
        <w:autoSpaceDN w:val="0"/>
        <w:bidi w:val="0"/>
        <w:adjustRightInd w:val="0"/>
        <w:snapToGrid w:val="0"/>
        <w:spacing w:before="150" w:line="248" w:lineRule="auto"/>
        <w:ind w:left="21"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承包人应按合同协议书的约定指派工程总承包项目经理，并在约定的期</w:t>
      </w:r>
      <w:r>
        <w:rPr>
          <w:rFonts w:hint="eastAsia" w:ascii="仿宋" w:hAnsi="仿宋" w:eastAsia="仿宋" w:cs="仿宋"/>
          <w:color w:val="auto"/>
          <w:spacing w:val="6"/>
          <w:sz w:val="24"/>
          <w:szCs w:val="24"/>
          <w:highlight w:val="none"/>
        </w:rPr>
        <w:t>限内到职。工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程总承包项目经理不得同时担任其他工程项目的工程总承包项</w:t>
      </w:r>
      <w:r>
        <w:rPr>
          <w:rFonts w:hint="eastAsia" w:ascii="仿宋" w:hAnsi="仿宋" w:eastAsia="仿宋" w:cs="仿宋"/>
          <w:color w:val="auto"/>
          <w:spacing w:val="12"/>
          <w:sz w:val="24"/>
          <w:szCs w:val="24"/>
          <w:highlight w:val="none"/>
        </w:rPr>
        <w:t>目经理或施工工程总承包项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目经理（含施工总承包工程、专业承包工程）。工程在现场实施的全部时间内，工程总承包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项目经理每月在施工现场时间不得少于专用合同条件约定的天数。工程总承包项目经理确需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离开施工现场时，应事先通知工程师，并取得发包人的书面同意。工程总承包项目经理未经</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批准擅自离开施工现场的，承包人应按照专用合同条件的约定承担违约责任。工程总承包项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目经理的通知中应当载明临时代行其职责的人员的注册执业资格、管理经验等资料，该人员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应具备履行相应职责的资格、经验和能力。</w:t>
      </w:r>
    </w:p>
    <w:p w14:paraId="465AB769">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0"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4.3.3 承包人应根据本合同的约定授予工程总承包项目经理代表承包</w:t>
      </w:r>
      <w:r>
        <w:rPr>
          <w:rFonts w:hint="eastAsia" w:ascii="仿宋" w:hAnsi="仿宋" w:eastAsia="仿宋" w:cs="仿宋"/>
          <w:color w:val="auto"/>
          <w:spacing w:val="11"/>
          <w:sz w:val="24"/>
          <w:szCs w:val="24"/>
          <w:highlight w:val="none"/>
        </w:rPr>
        <w:t>人履行合同所需的权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利，工程总承包项目经理权限以专用合同条件中约定的权限为准。经承包人授权后，工程总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承包项目经理应按合同约定以及工程师按第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款[指示]作出的指示，代表承包人负责组织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合同的实施。在紧急情况下，且无法与发包人和工程师取得联系时，工程总承包项目经理有</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权采取必要的措施保证人身、工程和财产的安全，但须在事后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小时内向工程师送交书面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报告。</w:t>
      </w:r>
    </w:p>
    <w:p w14:paraId="0612897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3"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4.3.4 承包人需要更换工程总承包项目经理的，应提前</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天书</w:t>
      </w:r>
      <w:r>
        <w:rPr>
          <w:rFonts w:hint="eastAsia" w:ascii="仿宋" w:hAnsi="仿宋" w:eastAsia="仿宋" w:cs="仿宋"/>
          <w:color w:val="auto"/>
          <w:spacing w:val="4"/>
          <w:sz w:val="24"/>
          <w:szCs w:val="24"/>
          <w:highlight w:val="none"/>
        </w:rPr>
        <w:t>面通知发包人并抄送工程师，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征得发包人书面同意。通知中应当载明继任工程总承包项目经理的注册执业资格、管理经验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等资料，继任工程总承包项目经理继续履行本合同约定的职责。未经发包人书面同意，承包</w:t>
      </w:r>
    </w:p>
    <w:p w14:paraId="468F3B82">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人不得擅自更换工程总承包项目经理，在发包人未予以书面回复期间内，工程总承包项目经</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理将继续履行其职责。工程总承包项目经理突发丧失履行职务能力的，承包人应当及时委派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一位具有相应资格能力的人员担任临时工程总承包项目经理，履行工程总承包项目经理的职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责，临时工程总承包项目经理将履行职责直至发包人同意新的工程总承包项目经理的任命之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日止。承包人擅自更换工程总承包项目经理的，应按照专用合同条件的</w:t>
      </w:r>
      <w:r>
        <w:rPr>
          <w:rFonts w:hint="eastAsia" w:ascii="仿宋" w:hAnsi="仿宋" w:eastAsia="仿宋" w:cs="仿宋"/>
          <w:color w:val="auto"/>
          <w:spacing w:val="8"/>
          <w:sz w:val="24"/>
          <w:szCs w:val="24"/>
          <w:highlight w:val="none"/>
        </w:rPr>
        <w:t>约定承担违约责任。</w:t>
      </w:r>
    </w:p>
    <w:p w14:paraId="3DCFBA26">
      <w:pPr>
        <w:pStyle w:val="2"/>
        <w:keepNext w:val="0"/>
        <w:keepLines w:val="0"/>
        <w:pageBreakBefore w:val="0"/>
        <w:widowControl/>
        <w:kinsoku w:val="0"/>
        <w:wordWrap/>
        <w:overflowPunct/>
        <w:topLinePunct w:val="0"/>
        <w:autoSpaceDE w:val="0"/>
        <w:autoSpaceDN w:val="0"/>
        <w:bidi w:val="0"/>
        <w:adjustRightInd w:val="0"/>
        <w:snapToGrid w:val="0"/>
        <w:spacing w:before="144" w:line="248" w:lineRule="auto"/>
        <w:ind w:left="20" w:right="1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发包人有权书面通知承包人要求更换</w:t>
      </w:r>
      <w:r>
        <w:rPr>
          <w:rFonts w:hint="eastAsia" w:ascii="仿宋" w:hAnsi="仿宋" w:eastAsia="仿宋" w:cs="仿宋"/>
          <w:color w:val="auto"/>
          <w:spacing w:val="6"/>
          <w:sz w:val="24"/>
          <w:szCs w:val="24"/>
          <w:highlight w:val="none"/>
        </w:rPr>
        <w:t xml:space="preserve">其认为不称职的工程总承包项目经理，通知中应 </w:t>
      </w:r>
      <w:r>
        <w:rPr>
          <w:rFonts w:hint="eastAsia" w:ascii="仿宋" w:hAnsi="仿宋" w:eastAsia="仿宋" w:cs="仿宋"/>
          <w:color w:val="auto"/>
          <w:spacing w:val="5"/>
          <w:sz w:val="24"/>
          <w:szCs w:val="24"/>
          <w:highlight w:val="none"/>
        </w:rPr>
        <w:t>当载明要求更换的理由。承包人应在接到更换通知后</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天内向发包人提出书面的改进报告。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如承包人没有提出改进报告，应在收到更换通知后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天内更换项</w:t>
      </w:r>
      <w:r>
        <w:rPr>
          <w:rFonts w:hint="eastAsia" w:ascii="仿宋" w:hAnsi="仿宋" w:eastAsia="仿宋" w:cs="仿宋"/>
          <w:color w:val="auto"/>
          <w:spacing w:val="8"/>
          <w:sz w:val="24"/>
          <w:szCs w:val="24"/>
          <w:highlight w:val="none"/>
        </w:rPr>
        <w:t xml:space="preserve">目经理。发包人收到改进 </w:t>
      </w:r>
      <w:r>
        <w:rPr>
          <w:rFonts w:hint="eastAsia" w:ascii="仿宋" w:hAnsi="仿宋" w:eastAsia="仿宋" w:cs="仿宋"/>
          <w:color w:val="auto"/>
          <w:spacing w:val="9"/>
          <w:sz w:val="24"/>
          <w:szCs w:val="24"/>
          <w:highlight w:val="none"/>
        </w:rPr>
        <w:t>报告后仍要求更换的，承包人应在接到第二次更换通知的</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w:t>
      </w:r>
      <w:r>
        <w:rPr>
          <w:rFonts w:hint="eastAsia" w:ascii="仿宋" w:hAnsi="仿宋" w:eastAsia="仿宋" w:cs="仿宋"/>
          <w:color w:val="auto"/>
          <w:spacing w:val="8"/>
          <w:sz w:val="24"/>
          <w:szCs w:val="24"/>
          <w:highlight w:val="none"/>
        </w:rPr>
        <w:t xml:space="preserve">进行更换，并将新任命的 </w:t>
      </w:r>
      <w:r>
        <w:rPr>
          <w:rFonts w:hint="eastAsia" w:ascii="仿宋" w:hAnsi="仿宋" w:eastAsia="仿宋" w:cs="仿宋"/>
          <w:color w:val="auto"/>
          <w:spacing w:val="7"/>
          <w:sz w:val="24"/>
          <w:szCs w:val="24"/>
          <w:highlight w:val="none"/>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仿宋" w:hAnsi="仿宋" w:eastAsia="仿宋" w:cs="仿宋"/>
          <w:color w:val="auto"/>
          <w:spacing w:val="9"/>
          <w:sz w:val="24"/>
          <w:szCs w:val="24"/>
          <w:highlight w:val="none"/>
        </w:rPr>
        <w:t>按照专用合同条件的约定承担违约责任。</w:t>
      </w:r>
    </w:p>
    <w:p w14:paraId="00D162BC">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1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4.3.6 工程总承包项目经理因特殊情况授权其下属人员履行其某项工作职责的</w:t>
      </w:r>
      <w:r>
        <w:rPr>
          <w:rFonts w:hint="eastAsia" w:ascii="仿宋" w:hAnsi="仿宋" w:eastAsia="仿宋" w:cs="仿宋"/>
          <w:color w:val="auto"/>
          <w:spacing w:val="6"/>
          <w:sz w:val="24"/>
          <w:szCs w:val="24"/>
          <w:highlight w:val="none"/>
        </w:rPr>
        <w:t>，该下属人员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应具备履行相应职责的能力，并应事先将上述人员的姓名、注册执业资格、管理经验等信息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和授权范围书面通知发包人并抄送工程师，征得发包人书面同意。</w:t>
      </w:r>
    </w:p>
    <w:p w14:paraId="2E0DCBB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3265B615">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22B60ABA">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承包人人员的资质、数量、配置和管理应能满足工程实施的需要。除专用合同条件另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有约定外，承包人应在接到开始工作通知之日起</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天内，向工程师提交承</w:t>
      </w:r>
      <w:r>
        <w:rPr>
          <w:rFonts w:hint="eastAsia" w:ascii="仿宋" w:hAnsi="仿宋" w:eastAsia="仿宋" w:cs="仿宋"/>
          <w:color w:val="auto"/>
          <w:spacing w:val="8"/>
          <w:sz w:val="24"/>
          <w:szCs w:val="24"/>
          <w:highlight w:val="none"/>
        </w:rPr>
        <w:t>包人的项目管理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机构以及人员安排的报告，其内容应包括管理机构的设置、各主要岗位的关键人员名单及注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册执业资格等证明其具备担任关键人员能力的相关文件，以及设计人员和各工种技术负责人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的安排状况。</w:t>
      </w:r>
    </w:p>
    <w:p w14:paraId="575DE74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4"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关键人员是发包人及承包人一致认为对工程建设起重</w:t>
      </w:r>
      <w:r>
        <w:rPr>
          <w:rFonts w:hint="eastAsia" w:ascii="仿宋" w:hAnsi="仿宋" w:eastAsia="仿宋" w:cs="仿宋"/>
          <w:color w:val="auto"/>
          <w:spacing w:val="13"/>
          <w:sz w:val="24"/>
          <w:szCs w:val="24"/>
          <w:highlight w:val="none"/>
        </w:rPr>
        <w:t>要作用的承包人主要管理人员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或技术人员。关键人员的具体范围由发包人及承包人在附件</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5[承包人主要管理</w:t>
      </w:r>
      <w:r>
        <w:rPr>
          <w:rFonts w:hint="eastAsia" w:ascii="仿宋" w:hAnsi="仿宋" w:eastAsia="仿宋" w:cs="仿宋"/>
          <w:color w:val="auto"/>
          <w:spacing w:val="7"/>
          <w:sz w:val="24"/>
          <w:szCs w:val="24"/>
          <w:highlight w:val="none"/>
        </w:rPr>
        <w:t>人员表]中另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行约定。</w:t>
      </w:r>
    </w:p>
    <w:p w14:paraId="44267DD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32A16FC6">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7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承包人派驻到施工现场的关键人员应相对稳定。承包人更换关键人员时，应提前</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天将继任关键人员信息及相关证明文件提交给工程师，并由工程师报发包人征求同意。在发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包人未予以书面回复期间内，关键人员将继续履行其职务。关键人员突发丧失履行职务能力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的，承包人应当及时委派一位具有相应资格能力的人员临时继任该关键人员职位，履行该关</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键人员职责，临时继任关键人员将履行职责直至发包人同意新的关键人员任命之日止。承包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人擅自更换关键人员，应按照专用合同条件约定承担违约责任。</w:t>
      </w:r>
    </w:p>
    <w:p w14:paraId="196E52EA">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31"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工程师对于承包人关键人员的资格或能力有异议的，承包人应提供资料证明</w:t>
      </w:r>
      <w:r>
        <w:rPr>
          <w:rFonts w:hint="eastAsia" w:ascii="仿宋" w:hAnsi="仿宋" w:eastAsia="仿宋" w:cs="仿宋"/>
          <w:color w:val="auto"/>
          <w:spacing w:val="7"/>
          <w:sz w:val="24"/>
          <w:szCs w:val="24"/>
          <w:highlight w:val="none"/>
        </w:rPr>
        <w:t>被质疑人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员有能力完成其岗位工作或不存在工程师所质疑的情形。工程师指示撤换不能按照合同约定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履行职责及义务的主要施工管理人员的，承包人应当撤换。承包人无正当理由拒绝撤换的，</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应按照专用合同条件的约定承担违约责任。</w:t>
      </w:r>
    </w:p>
    <w:p w14:paraId="117F5D3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45647DBB">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除专用合同条件另有约定外，承包人的现场管理关键人员离开施工现场每月累计不超  </w:t>
      </w:r>
      <w:r>
        <w:rPr>
          <w:rFonts w:hint="eastAsia" w:ascii="仿宋" w:hAnsi="仿宋" w:eastAsia="仿宋" w:cs="仿宋"/>
          <w:color w:val="auto"/>
          <w:spacing w:val="5"/>
          <w:sz w:val="24"/>
          <w:szCs w:val="24"/>
          <w:highlight w:val="none"/>
        </w:rPr>
        <w:t>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天的，应报工程师同意；离开施工现场每月累计超过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 xml:space="preserve">天的，应书面通知发包人并抄送  </w:t>
      </w:r>
      <w:r>
        <w:rPr>
          <w:rFonts w:hint="eastAsia" w:ascii="仿宋" w:hAnsi="仿宋" w:eastAsia="仿宋" w:cs="仿宋"/>
          <w:color w:val="auto"/>
          <w:spacing w:val="7"/>
          <w:sz w:val="24"/>
          <w:szCs w:val="24"/>
          <w:highlight w:val="none"/>
        </w:rPr>
        <w:t>工程师，征得发包人书面同意。现场管理关键人员因故离开施工现场的，可授权有</w:t>
      </w:r>
      <w:r>
        <w:rPr>
          <w:rFonts w:hint="eastAsia" w:ascii="仿宋" w:hAnsi="仿宋" w:eastAsia="仿宋" w:cs="仿宋"/>
          <w:color w:val="auto"/>
          <w:spacing w:val="6"/>
          <w:sz w:val="24"/>
          <w:szCs w:val="24"/>
          <w:highlight w:val="none"/>
        </w:rPr>
        <w:t xml:space="preserve">经验的人  </w:t>
      </w:r>
      <w:r>
        <w:rPr>
          <w:rFonts w:hint="eastAsia" w:ascii="仿宋" w:hAnsi="仿宋" w:eastAsia="仿宋" w:cs="仿宋"/>
          <w:color w:val="auto"/>
          <w:spacing w:val="7"/>
          <w:sz w:val="24"/>
          <w:szCs w:val="24"/>
          <w:highlight w:val="none"/>
        </w:rPr>
        <w:t>员临时代行其职责，但承包人应将被授权人员信息</w:t>
      </w:r>
      <w:r>
        <w:rPr>
          <w:rFonts w:hint="eastAsia" w:ascii="仿宋" w:hAnsi="仿宋" w:eastAsia="仿宋" w:cs="仿宋"/>
          <w:color w:val="auto"/>
          <w:spacing w:val="6"/>
          <w:sz w:val="24"/>
          <w:szCs w:val="24"/>
          <w:highlight w:val="none"/>
        </w:rPr>
        <w:t>及授权范围书面通知发包人并取得其同意。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现场管理关键人员未经工程师或发包人同意擅自离开施工现场的，应按照专用合同</w:t>
      </w:r>
      <w:r>
        <w:rPr>
          <w:rFonts w:hint="eastAsia" w:ascii="仿宋" w:hAnsi="仿宋" w:eastAsia="仿宋" w:cs="仿宋"/>
          <w:color w:val="auto"/>
          <w:spacing w:val="6"/>
          <w:sz w:val="24"/>
          <w:szCs w:val="24"/>
          <w:highlight w:val="none"/>
        </w:rPr>
        <w:t xml:space="preserve">条件约定  </w:t>
      </w:r>
      <w:r>
        <w:rPr>
          <w:rFonts w:hint="eastAsia" w:ascii="仿宋" w:hAnsi="仿宋" w:eastAsia="仿宋" w:cs="仿宋"/>
          <w:color w:val="auto"/>
          <w:spacing w:val="7"/>
          <w:sz w:val="24"/>
          <w:szCs w:val="24"/>
          <w:highlight w:val="none"/>
        </w:rPr>
        <w:t>承担违约责任。</w:t>
      </w:r>
    </w:p>
    <w:p w14:paraId="09F4AF4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65E1EBB3">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6E69C524">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承包人不得将其承包的全部工程转包给第三人，或将其承包的全部工程支解后以</w:t>
      </w:r>
      <w:r>
        <w:rPr>
          <w:rFonts w:hint="eastAsia" w:ascii="仿宋" w:hAnsi="仿宋" w:eastAsia="仿宋" w:cs="仿宋"/>
          <w:color w:val="auto"/>
          <w:spacing w:val="7"/>
          <w:sz w:val="24"/>
          <w:szCs w:val="24"/>
          <w:highlight w:val="none"/>
        </w:rPr>
        <w:t>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的名义转包给第三人。承包人不得将法律或专用合同条件中禁止分包的工作事项分包</w:t>
      </w:r>
      <w:r>
        <w:rPr>
          <w:rFonts w:hint="eastAsia" w:ascii="仿宋" w:hAnsi="仿宋" w:eastAsia="仿宋" w:cs="仿宋"/>
          <w:color w:val="auto"/>
          <w:spacing w:val="6"/>
          <w:sz w:val="24"/>
          <w:szCs w:val="24"/>
          <w:highlight w:val="none"/>
        </w:rPr>
        <w:t>给第三</w:t>
      </w:r>
      <w:r>
        <w:rPr>
          <w:rFonts w:hint="eastAsia" w:ascii="仿宋" w:hAnsi="仿宋" w:eastAsia="仿宋" w:cs="仿宋"/>
          <w:color w:val="auto"/>
          <w:spacing w:val="9"/>
          <w:sz w:val="24"/>
          <w:szCs w:val="24"/>
          <w:highlight w:val="none"/>
        </w:rPr>
        <w:t>人，不得以劳务分包的名义转包或违法分包工程。</w:t>
      </w:r>
    </w:p>
    <w:p w14:paraId="7AC594D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7170F169">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9" w:right="173" w:firstLine="582"/>
        <w:textAlignment w:val="baseline"/>
        <w:outlineLvl w:val="9"/>
        <w:rPr>
          <w:rFonts w:hint="eastAsia" w:ascii="仿宋" w:hAnsi="仿宋" w:eastAsia="仿宋" w:cs="仿宋"/>
          <w:color w:val="auto"/>
          <w:sz w:val="24"/>
          <w:szCs w:val="24"/>
          <w:highlight w:val="none"/>
        </w:rPr>
      </w:pPr>
    </w:p>
    <w:p w14:paraId="0F135F1B">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承包人应按照专用合同条件约定对工作事项进行分包，确定分包人。</w:t>
      </w:r>
    </w:p>
    <w:p w14:paraId="54376AD7">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专用合同条件未列出的分包事项，承包人可在工程实施阶段分批分期就分包事项</w:t>
      </w:r>
      <w:r>
        <w:rPr>
          <w:rFonts w:hint="eastAsia" w:ascii="仿宋" w:hAnsi="仿宋" w:eastAsia="仿宋" w:cs="仿宋"/>
          <w:color w:val="auto"/>
          <w:spacing w:val="7"/>
          <w:sz w:val="24"/>
          <w:szCs w:val="24"/>
          <w:highlight w:val="none"/>
        </w:rPr>
        <w:t>向发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包人提交申请，发包人在接到分包事项申请后的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天内，予以批准或提</w:t>
      </w:r>
      <w:r>
        <w:rPr>
          <w:rFonts w:hint="eastAsia" w:ascii="仿宋" w:hAnsi="仿宋" w:eastAsia="仿宋" w:cs="仿宋"/>
          <w:color w:val="auto"/>
          <w:spacing w:val="8"/>
          <w:sz w:val="24"/>
          <w:szCs w:val="24"/>
          <w:highlight w:val="none"/>
        </w:rPr>
        <w:t>出意见。未经发包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人同意，承包人不得将提出的拟分包事项对外分包。发包人未能在</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pacing w:val="8"/>
          <w:sz w:val="24"/>
          <w:szCs w:val="24"/>
          <w:highlight w:val="none"/>
        </w:rPr>
        <w:t>内批准亦未提出意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见的，承包人有权将提出的拟分包事项对外分包，但应在分包人确定后通知发包人。</w:t>
      </w:r>
    </w:p>
    <w:p w14:paraId="55E090C9">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4.5.3 分包人资质</w:t>
      </w:r>
    </w:p>
    <w:p w14:paraId="47CAE7FB">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分包人应符合国家法律规定的资质等级，否则不能作为分包人。承包人有义</w:t>
      </w:r>
      <w:r>
        <w:rPr>
          <w:rFonts w:hint="eastAsia" w:ascii="仿宋" w:hAnsi="仿宋" w:eastAsia="仿宋" w:cs="仿宋"/>
          <w:color w:val="auto"/>
          <w:spacing w:val="7"/>
          <w:sz w:val="24"/>
          <w:szCs w:val="24"/>
          <w:highlight w:val="none"/>
        </w:rPr>
        <w:t>务对分包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人的资质进行审查。</w:t>
      </w:r>
    </w:p>
    <w:p w14:paraId="43AB4058">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4.5.4 分包管理</w:t>
      </w:r>
    </w:p>
    <w:p w14:paraId="5CBE8D7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5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承包人应当对分包人的工作进行必要的协调与管理，确保分包人严格执行国家有</w:t>
      </w:r>
      <w:r>
        <w:rPr>
          <w:rFonts w:hint="eastAsia" w:ascii="仿宋" w:hAnsi="仿宋" w:eastAsia="仿宋" w:cs="仿宋"/>
          <w:color w:val="auto"/>
          <w:spacing w:val="7"/>
          <w:sz w:val="24"/>
          <w:szCs w:val="24"/>
          <w:highlight w:val="none"/>
        </w:rPr>
        <w:t>关分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包事项的管理规定。承包人应向工程师提交分包人的主要管理人员表，并对分包人的工作人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员进行实名制管理，包括但不限于进出场管理、登记造册以及各种证照的办理。</w:t>
      </w:r>
    </w:p>
    <w:p w14:paraId="34A4193F">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79EA5D46">
      <w:pPr>
        <w:pStyle w:val="2"/>
        <w:keepNext w:val="0"/>
        <w:keepLines w:val="0"/>
        <w:pageBreakBefore w:val="0"/>
        <w:widowControl/>
        <w:kinsoku w:val="0"/>
        <w:wordWrap/>
        <w:overflowPunct/>
        <w:topLinePunct w:val="0"/>
        <w:autoSpaceDE w:val="0"/>
        <w:autoSpaceDN w:val="0"/>
        <w:bidi w:val="0"/>
        <w:adjustRightInd w:val="0"/>
        <w:snapToGrid w:val="0"/>
        <w:spacing w:before="150" w:line="238" w:lineRule="auto"/>
        <w:ind w:left="22" w:right="59"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除本项第（2）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目约定的情况或专用合同条件另有约</w:t>
      </w:r>
      <w:r>
        <w:rPr>
          <w:rFonts w:hint="eastAsia" w:ascii="仿宋" w:hAnsi="仿宋" w:eastAsia="仿宋" w:cs="仿宋"/>
          <w:color w:val="auto"/>
          <w:spacing w:val="7"/>
          <w:sz w:val="24"/>
          <w:szCs w:val="24"/>
          <w:highlight w:val="none"/>
        </w:rPr>
        <w:t>定外，分包合同价款由承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包人与分包人结算，未经承包人同意，发包人不得向分包人支付分包合同价款；</w:t>
      </w:r>
    </w:p>
    <w:p w14:paraId="0E8BA741">
      <w:pPr>
        <w:pStyle w:val="2"/>
        <w:keepNext w:val="0"/>
        <w:keepLines w:val="0"/>
        <w:pageBreakBefore w:val="0"/>
        <w:widowControl/>
        <w:kinsoku w:val="0"/>
        <w:wordWrap/>
        <w:overflowPunct/>
        <w:topLinePunct w:val="0"/>
        <w:autoSpaceDE w:val="0"/>
        <w:autoSpaceDN w:val="0"/>
        <w:bidi w:val="0"/>
        <w:adjustRightInd w:val="0"/>
        <w:snapToGrid w:val="0"/>
        <w:spacing w:before="25"/>
        <w:ind w:left="22"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生效法律文书要求发包人向分包人支付分包合同价款的，发包人有权从应付承</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包人工程款中扣除该部分款项，将扣款直接支付给分包人，并书面通知承包人。</w:t>
      </w:r>
    </w:p>
    <w:p w14:paraId="2BB1748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4.5.6</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责任承担</w:t>
      </w:r>
    </w:p>
    <w:p w14:paraId="351B666E">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9" w:right="58"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承包人对分包人的行为向发包人负责，承包人和分包人就分包工作向发包人承担</w:t>
      </w:r>
      <w:r>
        <w:rPr>
          <w:rFonts w:hint="eastAsia" w:ascii="仿宋" w:hAnsi="仿宋" w:eastAsia="仿宋" w:cs="仿宋"/>
          <w:color w:val="auto"/>
          <w:spacing w:val="7"/>
          <w:sz w:val="24"/>
          <w:szCs w:val="24"/>
          <w:highlight w:val="none"/>
        </w:rPr>
        <w:t>连带</w:t>
      </w:r>
      <w:r>
        <w:rPr>
          <w:rFonts w:hint="eastAsia" w:ascii="仿宋" w:hAnsi="仿宋" w:eastAsia="仿宋" w:cs="仿宋"/>
          <w:color w:val="auto"/>
          <w:sz w:val="24"/>
          <w:szCs w:val="24"/>
          <w:highlight w:val="none"/>
        </w:rPr>
        <w:t xml:space="preserve"> 责任。</w:t>
      </w:r>
    </w:p>
    <w:p w14:paraId="5E11E7E6">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3C71E9DE">
      <w:pPr>
        <w:pStyle w:val="2"/>
        <w:keepNext w:val="0"/>
        <w:keepLines w:val="0"/>
        <w:pageBreakBefore w:val="0"/>
        <w:widowControl/>
        <w:kinsoku w:val="0"/>
        <w:wordWrap/>
        <w:overflowPunct/>
        <w:topLinePunct w:val="0"/>
        <w:autoSpaceDE w:val="0"/>
        <w:autoSpaceDN w:val="0"/>
        <w:bidi w:val="0"/>
        <w:adjustRightInd w:val="0"/>
        <w:snapToGrid w:val="0"/>
        <w:spacing w:before="143"/>
        <w:ind w:left="26" w:right="58"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4.6.1 经发包人同意，以联合体方式承包工程的，联合体各方应共同与发包人</w:t>
      </w:r>
      <w:r>
        <w:rPr>
          <w:rFonts w:hint="eastAsia" w:ascii="仿宋" w:hAnsi="仿宋" w:eastAsia="仿宋" w:cs="仿宋"/>
          <w:color w:val="auto"/>
          <w:spacing w:val="6"/>
          <w:sz w:val="24"/>
          <w:szCs w:val="24"/>
          <w:highlight w:val="none"/>
        </w:rPr>
        <w:t>订立合同协议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书。联合体各方应为履行合同向发包人承担连带责任。</w:t>
      </w:r>
    </w:p>
    <w:p w14:paraId="1F6892C4">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4.6.2 承包人应在专用合同条件中明确联合体各成员的分工、费用收取、发票开具等事项。</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联合体各成员分工承担的工作内容必须与适用法律规定的该成员的资质资格相适应，并应具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有相应的项目管理体系和项目管理能力，且不应根据其就承包工作的分工而减免对发包人的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任何合同责任。</w:t>
      </w:r>
    </w:p>
    <w:p w14:paraId="63E72A32">
      <w:pPr>
        <w:pStyle w:val="2"/>
        <w:keepNext w:val="0"/>
        <w:keepLines w:val="0"/>
        <w:pageBreakBefore w:val="0"/>
        <w:widowControl/>
        <w:kinsoku w:val="0"/>
        <w:wordWrap/>
        <w:overflowPunct/>
        <w:topLinePunct w:val="0"/>
        <w:autoSpaceDE w:val="0"/>
        <w:autoSpaceDN w:val="0"/>
        <w:bidi w:val="0"/>
        <w:adjustRightInd w:val="0"/>
        <w:snapToGrid w:val="0"/>
        <w:spacing w:before="144"/>
        <w:ind w:left="22"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4.6.3 联合体协议经发包人确认后作为合同附件。在履行合同过程中，未经发</w:t>
      </w:r>
      <w:r>
        <w:rPr>
          <w:rFonts w:hint="eastAsia" w:ascii="仿宋" w:hAnsi="仿宋" w:eastAsia="仿宋" w:cs="仿宋"/>
          <w:color w:val="auto"/>
          <w:spacing w:val="6"/>
          <w:sz w:val="24"/>
          <w:szCs w:val="24"/>
          <w:highlight w:val="none"/>
        </w:rPr>
        <w:t>包人同意，不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得变更联合体成员和其负责的工作范围，或者修改联合体协议中与本合同履</w:t>
      </w:r>
      <w:r>
        <w:rPr>
          <w:rFonts w:hint="eastAsia" w:ascii="仿宋" w:hAnsi="仿宋" w:eastAsia="仿宋" w:cs="仿宋"/>
          <w:color w:val="auto"/>
          <w:spacing w:val="8"/>
          <w:sz w:val="24"/>
          <w:szCs w:val="24"/>
          <w:highlight w:val="none"/>
        </w:rPr>
        <w:t>行相关的内容。</w:t>
      </w:r>
    </w:p>
    <w:p w14:paraId="3E48B48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5897FF66">
      <w:pPr>
        <w:pStyle w:val="2"/>
        <w:keepNext w:val="0"/>
        <w:keepLines w:val="0"/>
        <w:pageBreakBefore w:val="0"/>
        <w:widowControl/>
        <w:kinsoku w:val="0"/>
        <w:wordWrap/>
        <w:overflowPunct/>
        <w:topLinePunct w:val="0"/>
        <w:autoSpaceDE w:val="0"/>
        <w:autoSpaceDN w:val="0"/>
        <w:bidi w:val="0"/>
        <w:adjustRightInd w:val="0"/>
        <w:snapToGrid w:val="0"/>
        <w:spacing w:before="149" w:line="245"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除专用合同条件另有约定外，承包人应对基于发包人提交的基础资料所</w:t>
      </w:r>
      <w:r>
        <w:rPr>
          <w:rFonts w:hint="eastAsia" w:ascii="仿宋" w:hAnsi="仿宋" w:eastAsia="仿宋" w:cs="仿宋"/>
          <w:color w:val="auto"/>
          <w:spacing w:val="6"/>
          <w:sz w:val="24"/>
          <w:szCs w:val="24"/>
          <w:highlight w:val="none"/>
        </w:rPr>
        <w:t>做出的解释和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推断负责，因基础资料存在错误、遗漏导致承包人解释或推断失实的，按照第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项</w:t>
      </w:r>
      <w:r>
        <w:rPr>
          <w:rFonts w:hint="eastAsia" w:ascii="仿宋" w:hAnsi="仿宋" w:eastAsia="仿宋" w:cs="仿宋"/>
          <w:color w:val="auto"/>
          <w:spacing w:val="8"/>
          <w:sz w:val="24"/>
          <w:szCs w:val="24"/>
          <w:highlight w:val="none"/>
        </w:rPr>
        <w:t>[提供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基础资料]的规定承担责任。承包人发现基础资料中存在明显错误或疏忽的，</w:t>
      </w:r>
      <w:r>
        <w:rPr>
          <w:rFonts w:hint="eastAsia" w:ascii="仿宋" w:hAnsi="仿宋" w:eastAsia="仿宋" w:cs="仿宋"/>
          <w:color w:val="auto"/>
          <w:spacing w:val="9"/>
          <w:sz w:val="24"/>
          <w:szCs w:val="24"/>
          <w:highlight w:val="none"/>
        </w:rPr>
        <w:t>应及时书面通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知发包人。</w:t>
      </w:r>
    </w:p>
    <w:p w14:paraId="594835ED">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4.7.2 承包人应对现场和工程实施条件进行查勘，并充分了解工程所在地的气</w:t>
      </w:r>
      <w:r>
        <w:rPr>
          <w:rFonts w:hint="eastAsia" w:ascii="仿宋" w:hAnsi="仿宋" w:eastAsia="仿宋" w:cs="仿宋"/>
          <w:color w:val="auto"/>
          <w:spacing w:val="6"/>
          <w:sz w:val="24"/>
          <w:szCs w:val="24"/>
          <w:highlight w:val="none"/>
        </w:rPr>
        <w:t>象条件、交通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条件、风俗习惯以及其他与完成合同工作有关的其他资料。承包人提交投标文件，视为承包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人已对施工现场及周围环境进行了踏勘，并已充分了解评估施工现场及周围环境对工程可能</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产生的影响，自愿承担相应风险与责任。在全部合同工作中，视为承包人已充分估计了应承</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担的责任和风险，但属于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4.8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款[不可预见的困难]约定的情形除外。</w:t>
      </w:r>
    </w:p>
    <w:p w14:paraId="0F7D03E6">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5C20DE4">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不可预见的困难是指有经验的承包人在施工现场遇到的不可预见的自然物</w:t>
      </w:r>
      <w:r>
        <w:rPr>
          <w:rFonts w:hint="eastAsia" w:ascii="仿宋" w:hAnsi="仿宋" w:eastAsia="仿宋" w:cs="仿宋"/>
          <w:color w:val="auto"/>
          <w:spacing w:val="7"/>
          <w:sz w:val="24"/>
          <w:szCs w:val="24"/>
          <w:highlight w:val="none"/>
        </w:rPr>
        <w:t>质条件、非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自然的物质障碍和污染物，包括地表以下物质条件和水文条件以及专用合同条件约定的其他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情形，但不包括气候条件。</w:t>
      </w:r>
    </w:p>
    <w:p w14:paraId="26C2BE64">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76"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承包人遇到不可预见的困难时，应采取克服不可预见的困难的合理措施继续施工，并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及时通知工程师并抄送发包人。通知应载明不可预见的困难的内容、承包人认为不可预见的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理由以及承包人制定的处理方案。工程师应当及时发出指示，指示构成变更的，按第</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更与调整]约定执行。承包人因采取合理措施而增加的费用和（或）延误的工期</w:t>
      </w:r>
      <w:r>
        <w:rPr>
          <w:rFonts w:hint="eastAsia" w:ascii="仿宋" w:hAnsi="仿宋" w:eastAsia="仿宋" w:cs="仿宋"/>
          <w:color w:val="auto"/>
          <w:spacing w:val="9"/>
          <w:sz w:val="24"/>
          <w:szCs w:val="24"/>
          <w:highlight w:val="none"/>
        </w:rPr>
        <w:t>由发包人承</w:t>
      </w:r>
      <w:r>
        <w:rPr>
          <w:rFonts w:hint="eastAsia" w:ascii="仿宋" w:hAnsi="仿宋" w:eastAsia="仿宋" w:cs="仿宋"/>
          <w:color w:val="auto"/>
          <w:sz w:val="24"/>
          <w:szCs w:val="24"/>
          <w:highlight w:val="none"/>
        </w:rPr>
        <w:t xml:space="preserve"> 担。</w:t>
      </w:r>
    </w:p>
    <w:p w14:paraId="3AF7E8B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 工程质量管理</w:t>
      </w:r>
    </w:p>
    <w:p w14:paraId="45C6661E">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4.9.1 承包人应按合同约定的质量标准规范，建立有效的质量管理系统，确保设计、采购、</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加工制造、施工、竣工试验等各项工作的质量，并按照国家有关规定，通过质量保修责任书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的形式约定保修范围、保修期限和保修责任。</w:t>
      </w:r>
    </w:p>
    <w:p w14:paraId="381C1082">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4.9.2 承包人按照第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1"/>
          <w:sz w:val="24"/>
          <w:szCs w:val="24"/>
          <w:highlight w:val="none"/>
        </w:rPr>
        <w:t>款[项目进度计划]约定</w:t>
      </w:r>
      <w:r>
        <w:rPr>
          <w:rFonts w:hint="eastAsia" w:ascii="仿宋" w:hAnsi="仿宋" w:eastAsia="仿宋" w:cs="仿宋"/>
          <w:color w:val="auto"/>
          <w:spacing w:val="10"/>
          <w:sz w:val="24"/>
          <w:szCs w:val="24"/>
          <w:highlight w:val="none"/>
        </w:rPr>
        <w:t>向工程师提交工程质量保证体系及措施文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件，建立完善的质量检查制度，并提交相应的工程质量文件。对于发包人和工程师违反法律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规定和合同约定的错误指示，承包人有权拒绝实施。</w:t>
      </w:r>
    </w:p>
    <w:p w14:paraId="58AE182D">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176" w:hanging="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4.9.3 承包人应对其人员进行质量教育和技术培训，定期考核人员的劳动技能</w:t>
      </w:r>
      <w:r>
        <w:rPr>
          <w:rFonts w:hint="eastAsia" w:ascii="仿宋" w:hAnsi="仿宋" w:eastAsia="仿宋" w:cs="仿宋"/>
          <w:color w:val="auto"/>
          <w:spacing w:val="6"/>
          <w:sz w:val="24"/>
          <w:szCs w:val="24"/>
          <w:highlight w:val="none"/>
        </w:rPr>
        <w:t>，严格执行相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关规范和操作规程。</w:t>
      </w:r>
    </w:p>
    <w:p w14:paraId="1130B57F">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4.9.4 承包人应按照法律规定和合同约定，对设计、材料、工程设备以及</w:t>
      </w:r>
      <w:r>
        <w:rPr>
          <w:rFonts w:hint="eastAsia" w:ascii="仿宋" w:hAnsi="仿宋" w:eastAsia="仿宋" w:cs="仿宋"/>
          <w:color w:val="auto"/>
          <w:spacing w:val="6"/>
          <w:sz w:val="24"/>
          <w:szCs w:val="24"/>
          <w:highlight w:val="none"/>
        </w:rPr>
        <w:t>全部工程内容及其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施工工艺进行全过程的质量检查和检验，并作详细记录，编制工程质量报表，报送工程师审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查。此外，承包人还应按照法律规定和合同约定，进行施工现场取样试验、工程复核测量和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设备性能检测，提供试验样品、提交试验报告和测量成果以及其他工作。</w:t>
      </w:r>
    </w:p>
    <w:p w14:paraId="628ABDB0">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第5条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设计</w:t>
      </w:r>
    </w:p>
    <w:p w14:paraId="6FC1363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 承包人的设计义务</w:t>
      </w:r>
    </w:p>
    <w:p w14:paraId="0FE36FC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5.1.1 设计义务的一般要求</w:t>
      </w:r>
    </w:p>
    <w:p w14:paraId="249B9456">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6"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承包人应当按照法律规定，国家、行业和地方的规范和标准，以及《发包人要求》和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合同约定完成设计工作和设计相关的其他服务，并对工程的设计负责。承包人应根据工程实</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施的需要及时向发包人和工程师说明设计文件的意图，解释设计文件。</w:t>
      </w:r>
    </w:p>
    <w:p w14:paraId="2518AAFC">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5.1.2 对设计人员的要求</w:t>
      </w:r>
    </w:p>
    <w:p w14:paraId="65ED0709">
      <w:pPr>
        <w:pStyle w:val="2"/>
        <w:keepNext w:val="0"/>
        <w:keepLines w:val="0"/>
        <w:pageBreakBefore w:val="0"/>
        <w:widowControl/>
        <w:kinsoku w:val="0"/>
        <w:wordWrap/>
        <w:overflowPunct/>
        <w:topLinePunct w:val="0"/>
        <w:autoSpaceDE w:val="0"/>
        <w:autoSpaceDN w:val="0"/>
        <w:bidi w:val="0"/>
        <w:adjustRightInd w:val="0"/>
        <w:snapToGrid w:val="0"/>
        <w:spacing w:before="141" w:line="246" w:lineRule="auto"/>
        <w:ind w:left="23" w:right="17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承包人应保证其或其设计分包人的设计资质在合同有效期内满足法律法规、行业标准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或合同约定的相关要求，并指派符合法律法规、行业标准或合同约定的资质要求并具有从事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设计所必需的经验与能力的的设计人员完成设计工作。承包人应保证其设计人员（包括分包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人的设计人员）在合同期限内，都能按时参加发包人或工程师组织的工作会议。</w:t>
      </w:r>
    </w:p>
    <w:p w14:paraId="1C1EB21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5.1.3 法律和标准的变化</w:t>
      </w:r>
    </w:p>
    <w:p w14:paraId="539ACA10">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除合同另有约定外，承包人完成设计工作所应遵守的法律规定，以及国家、行业和地  </w:t>
      </w:r>
      <w:r>
        <w:rPr>
          <w:rFonts w:hint="eastAsia" w:ascii="仿宋" w:hAnsi="仿宋" w:eastAsia="仿宋" w:cs="仿宋"/>
          <w:color w:val="auto"/>
          <w:spacing w:val="5"/>
          <w:sz w:val="24"/>
          <w:szCs w:val="24"/>
          <w:highlight w:val="none"/>
        </w:rPr>
        <w:t>方的规范和标准，均应视为在基准日期适用的版本。基准日期之后，前述版本发生重大变化，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或者有新的法律，以及国家、行业和地方的规范和标准实施的，承包人应向工程师提出</w:t>
      </w:r>
      <w:r>
        <w:rPr>
          <w:rFonts w:hint="eastAsia" w:ascii="仿宋" w:hAnsi="仿宋" w:eastAsia="仿宋" w:cs="仿宋"/>
          <w:color w:val="auto"/>
          <w:spacing w:val="6"/>
          <w:sz w:val="24"/>
          <w:szCs w:val="24"/>
          <w:highlight w:val="none"/>
        </w:rPr>
        <w:t>遵守  新规定的建议。发包人或其委托的工程师应在收到建议后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天内发出</w:t>
      </w:r>
      <w:r>
        <w:rPr>
          <w:rFonts w:hint="eastAsia" w:ascii="仿宋" w:hAnsi="仿宋" w:eastAsia="仿宋" w:cs="仿宋"/>
          <w:color w:val="auto"/>
          <w:spacing w:val="5"/>
          <w:sz w:val="24"/>
          <w:szCs w:val="24"/>
          <w:highlight w:val="none"/>
        </w:rPr>
        <w:t>是否遵守新规定的指示。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如果该项建议构成变更的，按照第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款[承包人的合理化</w:t>
      </w:r>
      <w:r>
        <w:rPr>
          <w:rFonts w:hint="eastAsia" w:ascii="仿宋" w:hAnsi="仿宋" w:eastAsia="仿宋" w:cs="仿宋"/>
          <w:color w:val="auto"/>
          <w:spacing w:val="7"/>
          <w:sz w:val="24"/>
          <w:szCs w:val="24"/>
          <w:highlight w:val="none"/>
        </w:rPr>
        <w:t>建议]的约定执行。</w:t>
      </w:r>
    </w:p>
    <w:p w14:paraId="6B75FBC6">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176"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在基准日期之后，因国家颁布新的强制性规范、标准导致承包人的费用变化的，发包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人应合理调整合同价格；导致工期延误的，发包人应合理延长工期。</w:t>
      </w:r>
    </w:p>
    <w:p w14:paraId="24A40E04">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1285F68D">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8" w:right="176"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5.2.1 根据《发包人要求》应当通过工程师报发包人审查同意的承</w:t>
      </w:r>
      <w:r>
        <w:rPr>
          <w:rFonts w:hint="eastAsia" w:ascii="仿宋" w:hAnsi="仿宋" w:eastAsia="仿宋" w:cs="仿宋"/>
          <w:color w:val="auto"/>
          <w:spacing w:val="6"/>
          <w:sz w:val="24"/>
          <w:szCs w:val="24"/>
          <w:highlight w:val="none"/>
        </w:rPr>
        <w:t>包人文件，承包人应当按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照《发包人要求》约定的范围和内容及时报送审查。</w:t>
      </w:r>
    </w:p>
    <w:p w14:paraId="1404B55B">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2" w:right="17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除专用合同条件另有约定外，自工程师收到承包人文</w:t>
      </w:r>
      <w:r>
        <w:rPr>
          <w:rFonts w:hint="eastAsia" w:ascii="仿宋" w:hAnsi="仿宋" w:eastAsia="仿宋" w:cs="仿宋"/>
          <w:color w:val="auto"/>
          <w:spacing w:val="7"/>
          <w:sz w:val="24"/>
          <w:szCs w:val="24"/>
          <w:highlight w:val="none"/>
        </w:rPr>
        <w:t>件以及承包人的通知之日起，发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包人对承包人文件审查期不超过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天。承包人的设计文件对于合同约定有偏离的，应在通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知中说明。承包人需要修改已提交的承包人文件的，应立即通知工程师，并向工程师提交修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改后的承包人文件，审查期重新起算。</w:t>
      </w:r>
    </w:p>
    <w:p w14:paraId="491FC020">
      <w:pPr>
        <w:pStyle w:val="2"/>
        <w:keepNext w:val="0"/>
        <w:keepLines w:val="0"/>
        <w:pageBreakBefore w:val="0"/>
        <w:widowControl/>
        <w:kinsoku w:val="0"/>
        <w:wordWrap/>
        <w:overflowPunct/>
        <w:topLinePunct w:val="0"/>
        <w:autoSpaceDE w:val="0"/>
        <w:autoSpaceDN w:val="0"/>
        <w:bidi w:val="0"/>
        <w:adjustRightInd w:val="0"/>
        <w:snapToGrid w:val="0"/>
        <w:spacing w:before="24"/>
        <w:ind w:left="24"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发包人同意承包人文件的，应及时通知承包人，发包人不同意承包人文件</w:t>
      </w:r>
      <w:r>
        <w:rPr>
          <w:rFonts w:hint="eastAsia" w:ascii="仿宋" w:hAnsi="仿宋" w:eastAsia="仿宋" w:cs="仿宋"/>
          <w:color w:val="auto"/>
          <w:spacing w:val="7"/>
          <w:sz w:val="24"/>
          <w:szCs w:val="24"/>
          <w:highlight w:val="none"/>
        </w:rPr>
        <w:t>的，应在审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查期限内通过工程师以书面形式通知承包人，并说明不同意的具体内容和理由。</w:t>
      </w:r>
    </w:p>
    <w:p w14:paraId="3695E504">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承包人对发包人的意见按以下方式处理：</w:t>
      </w:r>
    </w:p>
    <w:p w14:paraId="3DACB1B9">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6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发包人的意见构成变更的，承包人应在</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天内通知发包人按照第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调整]中关于发包人指示变更的约定执行，双方对是否构成变更无法达成一致的，按照第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条[争议解决]的约定执行；</w:t>
      </w:r>
    </w:p>
    <w:p w14:paraId="62C7F9DB">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因承包人原因导致无法通过审查的，承包人应根据发包人的书面说明，对承包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人文件进行修改后重新报送发包人审查，审查期重新起算。因此引起的工期延长和必要的工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程费用增加，</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5"/>
          <w:sz w:val="24"/>
          <w:szCs w:val="24"/>
          <w:highlight w:val="none"/>
        </w:rPr>
        <w:t>由承包人负责。</w:t>
      </w:r>
    </w:p>
    <w:p w14:paraId="46236EB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5" w:right="70" w:firstLine="5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合同约定的审查期满，发包人没有做出审查结论也没有提出异议的，视为承包人</w:t>
      </w:r>
      <w:r>
        <w:rPr>
          <w:rFonts w:hint="eastAsia" w:ascii="仿宋" w:hAnsi="仿宋" w:eastAsia="仿宋" w:cs="仿宋"/>
          <w:color w:val="auto"/>
          <w:spacing w:val="7"/>
          <w:sz w:val="24"/>
          <w:szCs w:val="24"/>
          <w:highlight w:val="none"/>
        </w:rPr>
        <w:t>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已获发包人同意。</w:t>
      </w:r>
    </w:p>
    <w:p w14:paraId="638EAB2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7"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发包人对承包人文件的审查和同意不得被理解为对合同的修改或改变，也</w:t>
      </w:r>
      <w:r>
        <w:rPr>
          <w:rFonts w:hint="eastAsia" w:ascii="仿宋" w:hAnsi="仿宋" w:eastAsia="仿宋" w:cs="仿宋"/>
          <w:color w:val="auto"/>
          <w:spacing w:val="7"/>
          <w:sz w:val="24"/>
          <w:szCs w:val="24"/>
          <w:highlight w:val="none"/>
        </w:rPr>
        <w:t>并不减轻或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免除承包人任何的责任和义务。</w:t>
      </w:r>
    </w:p>
    <w:p w14:paraId="2036D479">
      <w:pPr>
        <w:pStyle w:val="2"/>
        <w:keepNext w:val="0"/>
        <w:keepLines w:val="0"/>
        <w:pageBreakBefore w:val="0"/>
        <w:widowControl/>
        <w:kinsoku w:val="0"/>
        <w:wordWrap/>
        <w:overflowPunct/>
        <w:topLinePunct w:val="0"/>
        <w:autoSpaceDE w:val="0"/>
        <w:autoSpaceDN w:val="0"/>
        <w:bidi w:val="0"/>
        <w:adjustRightInd w:val="0"/>
        <w:snapToGrid w:val="0"/>
        <w:spacing w:before="25"/>
        <w:ind w:left="38" w:right="71" w:hanging="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5.2.2 承包人文件不需要政府有关部门或专用合同条件约</w:t>
      </w:r>
      <w:r>
        <w:rPr>
          <w:rFonts w:hint="eastAsia" w:ascii="仿宋" w:hAnsi="仿宋" w:eastAsia="仿宋" w:cs="仿宋"/>
          <w:color w:val="auto"/>
          <w:spacing w:val="11"/>
          <w:sz w:val="24"/>
          <w:szCs w:val="24"/>
          <w:highlight w:val="none"/>
        </w:rPr>
        <w:t>定的第三方审查单位审查或批准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的，承包人应当严格按照经发包人审查同意的承包人文件设计</w:t>
      </w:r>
      <w:r>
        <w:rPr>
          <w:rFonts w:hint="eastAsia" w:ascii="仿宋" w:hAnsi="仿宋" w:eastAsia="仿宋" w:cs="仿宋"/>
          <w:color w:val="auto"/>
          <w:spacing w:val="8"/>
          <w:sz w:val="24"/>
          <w:szCs w:val="24"/>
          <w:highlight w:val="none"/>
        </w:rPr>
        <w:t>和实施工程。</w:t>
      </w:r>
    </w:p>
    <w:p w14:paraId="18C638CA">
      <w:pPr>
        <w:pStyle w:val="2"/>
        <w:keepNext w:val="0"/>
        <w:keepLines w:val="0"/>
        <w:pageBreakBefore w:val="0"/>
        <w:widowControl/>
        <w:tabs>
          <w:tab w:val="left" w:pos="625"/>
        </w:tabs>
        <w:kinsoku w:val="0"/>
        <w:wordWrap/>
        <w:overflowPunct/>
        <w:topLinePunct w:val="0"/>
        <w:autoSpaceDE w:val="0"/>
        <w:autoSpaceDN w:val="0"/>
        <w:bidi w:val="0"/>
        <w:adjustRightInd w:val="0"/>
        <w:snapToGrid w:val="0"/>
        <w:spacing w:before="142" w:line="248" w:lineRule="auto"/>
        <w:ind w:left="21"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发包人需要组织审查会议对承包人文件进行审查的，审查会议的审查形式、时间安排、</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费用承担，在专用合同条件中约定。发包人负责组织承包人文件审查会议，承包人有义务参 </w:t>
      </w:r>
      <w:r>
        <w:rPr>
          <w:rFonts w:hint="eastAsia" w:ascii="仿宋" w:hAnsi="仿宋" w:eastAsia="仿宋" w:cs="仿宋"/>
          <w:color w:val="auto"/>
          <w:spacing w:val="9"/>
          <w:sz w:val="24"/>
          <w:szCs w:val="24"/>
          <w:highlight w:val="none"/>
        </w:rPr>
        <w:t>加发包人组织的审查会议，向审查者介绍、解答、解释承包人文件，并提供有关补充资料。</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7"/>
          <w:sz w:val="24"/>
          <w:szCs w:val="24"/>
          <w:highlight w:val="none"/>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仿宋" w:hAnsi="仿宋" w:eastAsia="仿宋" w:cs="仿宋"/>
          <w:color w:val="auto"/>
          <w:spacing w:val="3"/>
          <w:sz w:val="24"/>
          <w:szCs w:val="24"/>
          <w:highlight w:val="none"/>
        </w:rPr>
        <w:t>完善。</w:t>
      </w:r>
    </w:p>
    <w:p w14:paraId="733B6FC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2" w:right="28"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5.2.3 承包人文件需政府有关部门或专用合同条件约定的第三方审</w:t>
      </w:r>
      <w:r>
        <w:rPr>
          <w:rFonts w:hint="eastAsia" w:ascii="仿宋" w:hAnsi="仿宋" w:eastAsia="仿宋" w:cs="仿宋"/>
          <w:color w:val="auto"/>
          <w:spacing w:val="6"/>
          <w:sz w:val="24"/>
          <w:szCs w:val="24"/>
          <w:highlight w:val="none"/>
        </w:rPr>
        <w:t>查单位审查或批准的，发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包人应在发包人审查同意承包人文件后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天内，向政府有</w:t>
      </w:r>
      <w:r>
        <w:rPr>
          <w:rFonts w:hint="eastAsia" w:ascii="仿宋" w:hAnsi="仿宋" w:eastAsia="仿宋" w:cs="仿宋"/>
          <w:color w:val="auto"/>
          <w:spacing w:val="7"/>
          <w:sz w:val="24"/>
          <w:szCs w:val="24"/>
          <w:highlight w:val="none"/>
        </w:rPr>
        <w:t>关部门或第三方报送承包人文件，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承包人应予以协助。</w:t>
      </w:r>
    </w:p>
    <w:p w14:paraId="00F73B5B">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对于政府有关部门或第三方审查单位的审查意见，不需要修改《发包人要求》的，承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包人需按该审查意见修改承包人的设计文件；需要</w:t>
      </w:r>
      <w:r>
        <w:rPr>
          <w:rFonts w:hint="eastAsia" w:ascii="仿宋" w:hAnsi="仿宋" w:eastAsia="仿宋" w:cs="仿宋"/>
          <w:color w:val="auto"/>
          <w:spacing w:val="11"/>
          <w:sz w:val="24"/>
          <w:szCs w:val="24"/>
          <w:highlight w:val="none"/>
        </w:rPr>
        <w:t>修改《发包人要求》</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1"/>
          <w:sz w:val="24"/>
          <w:szCs w:val="24"/>
          <w:highlight w:val="none"/>
        </w:rPr>
        <w:t>的，承包人应按第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13.2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款[承包人的合理化建议]的约定执行。上</w:t>
      </w:r>
      <w:r>
        <w:rPr>
          <w:rFonts w:hint="eastAsia" w:ascii="仿宋" w:hAnsi="仿宋" w:eastAsia="仿宋" w:cs="仿宋"/>
          <w:color w:val="auto"/>
          <w:spacing w:val="5"/>
          <w:sz w:val="24"/>
          <w:szCs w:val="24"/>
          <w:highlight w:val="none"/>
        </w:rPr>
        <w:t>述情形还应适用第</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5.1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5"/>
          <w:sz w:val="24"/>
          <w:szCs w:val="24"/>
          <w:highlight w:val="none"/>
        </w:rPr>
        <w:t>款[承包人的设计义务]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和第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条[变更与调整]的有关约定。</w:t>
      </w:r>
    </w:p>
    <w:p w14:paraId="4A1C7CF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政府有关部门或第三方审查单位审查批准后，承包人应当严格按照批准后的承包人文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件实施工程。政府有关部门或第三方审查单位批准时间较合同约定时间延长的，竣工日期相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应顺延。因此给双方带来的费用增加，由双方在负责的范围内各自承担。</w:t>
      </w:r>
    </w:p>
    <w:p w14:paraId="00E745D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497E0C32">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3"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承包人应按照《发包人要求》，对发包人的雇员或其它发包人指定的人员进行工</w:t>
      </w:r>
      <w:r>
        <w:rPr>
          <w:rFonts w:hint="eastAsia" w:ascii="仿宋" w:hAnsi="仿宋" w:eastAsia="仿宋" w:cs="仿宋"/>
          <w:color w:val="auto"/>
          <w:spacing w:val="7"/>
          <w:sz w:val="24"/>
          <w:szCs w:val="24"/>
          <w:highlight w:val="none"/>
        </w:rPr>
        <w:t>程操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作、维修或其它合同中约定的培训。合同约定接收之前进行培训的，应在第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收]约定的竣工验收前或试运行结束前完成培训。</w:t>
      </w:r>
    </w:p>
    <w:p w14:paraId="0809861A">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培训的时长应由双方在专用合同条件中约定，承包人应为培训提供有经验的人员</w:t>
      </w:r>
      <w:r>
        <w:rPr>
          <w:rFonts w:hint="eastAsia" w:ascii="仿宋" w:hAnsi="仿宋" w:eastAsia="仿宋" w:cs="仿宋"/>
          <w:color w:val="auto"/>
          <w:spacing w:val="7"/>
          <w:sz w:val="24"/>
          <w:szCs w:val="24"/>
          <w:highlight w:val="none"/>
        </w:rPr>
        <w:t>、设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施和其它必要条件。</w:t>
      </w:r>
    </w:p>
    <w:p w14:paraId="112D064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608A5F5">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0"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5.4.1 承包人应编制并及时更新反映工程实施结果的竣工记录，如</w:t>
      </w:r>
      <w:r>
        <w:rPr>
          <w:rFonts w:hint="eastAsia" w:ascii="仿宋" w:hAnsi="仿宋" w:eastAsia="仿宋" w:cs="仿宋"/>
          <w:color w:val="auto"/>
          <w:spacing w:val="6"/>
          <w:sz w:val="24"/>
          <w:szCs w:val="24"/>
          <w:highlight w:val="none"/>
        </w:rPr>
        <w:t>实记载竣工工程的确切位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置、尺寸和已实施工作的详细说明。竣工文件的形式、技术标准以及其它相关内容应按照相</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关法律法规、行业标准与《发包人要求》执行。竣工记录应保存在施工现场，并在竣工试验</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开始前，按照专用合同条件约定的份数提交给工程师。</w:t>
      </w:r>
    </w:p>
    <w:p w14:paraId="3E7656CC">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5.4.2 在颁发工程接收证书之前，承包人应按照《发包人要求</w:t>
      </w:r>
      <w:r>
        <w:rPr>
          <w:rFonts w:hint="eastAsia" w:ascii="仿宋" w:hAnsi="仿宋" w:eastAsia="仿宋" w:cs="仿宋"/>
          <w:color w:val="auto"/>
          <w:spacing w:val="6"/>
          <w:sz w:val="24"/>
          <w:szCs w:val="24"/>
          <w:highlight w:val="none"/>
        </w:rPr>
        <w:t>》的份数和形式向工程师提交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相应竣工图纸，并取得工程师对尺寸、参照系统及其他有关细</w:t>
      </w:r>
      <w:r>
        <w:rPr>
          <w:rFonts w:hint="eastAsia" w:ascii="仿宋" w:hAnsi="仿宋" w:eastAsia="仿宋" w:cs="仿宋"/>
          <w:color w:val="auto"/>
          <w:spacing w:val="12"/>
          <w:sz w:val="24"/>
          <w:szCs w:val="24"/>
          <w:highlight w:val="none"/>
        </w:rPr>
        <w:t>节的认可。工程师应按照第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5.2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款[承包人文件审查]的约定进行审查。</w:t>
      </w:r>
    </w:p>
    <w:p w14:paraId="58C8F9A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7" w:right="70" w:hanging="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5.4.3 除专用合同条件另有约定外，在工程师收到本款下的文件前</w:t>
      </w:r>
      <w:r>
        <w:rPr>
          <w:rFonts w:hint="eastAsia" w:ascii="仿宋" w:hAnsi="仿宋" w:eastAsia="仿宋" w:cs="仿宋"/>
          <w:color w:val="auto"/>
          <w:spacing w:val="6"/>
          <w:sz w:val="24"/>
          <w:szCs w:val="24"/>
          <w:highlight w:val="none"/>
        </w:rPr>
        <w:t>，不应认为工程已根据第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6"/>
          <w:sz w:val="24"/>
          <w:szCs w:val="24"/>
          <w:highlight w:val="none"/>
        </w:rPr>
        <w:t>款[竣工验收]和第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10.2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款[单位/区段工程的验收]的约定完成验收。</w:t>
      </w:r>
    </w:p>
    <w:p w14:paraId="48DE591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7BF331D">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5.5.1 在竣工试验开始前，承包人应向工程师提交暂行的操作和维修手册并负责及时更新，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该手册应足够详细，以便发包人能够对工程设备进行操作、维修、拆卸、重新安装、调整</w:t>
      </w:r>
      <w:r>
        <w:rPr>
          <w:rFonts w:hint="eastAsia" w:ascii="仿宋" w:hAnsi="仿宋" w:eastAsia="仿宋" w:cs="仿宋"/>
          <w:color w:val="auto"/>
          <w:spacing w:val="6"/>
          <w:sz w:val="24"/>
          <w:szCs w:val="24"/>
          <w:highlight w:val="none"/>
        </w:rPr>
        <w:t xml:space="preserve">及 </w:t>
      </w:r>
      <w:r>
        <w:rPr>
          <w:rFonts w:hint="eastAsia" w:ascii="仿宋" w:hAnsi="仿宋" w:eastAsia="仿宋" w:cs="仿宋"/>
          <w:color w:val="auto"/>
          <w:spacing w:val="4"/>
          <w:sz w:val="24"/>
          <w:szCs w:val="24"/>
          <w:highlight w:val="none"/>
        </w:rPr>
        <w:t>修理，以及实现《发包人要求》。同时，手册还应包含发包人未来可能需要的备品备件清单。</w:t>
      </w:r>
    </w:p>
    <w:p w14:paraId="505EE23C">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70"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5.5.2 工程师收到承包人提交的文件后，应依据第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款[承包人文件审查</w:t>
      </w:r>
      <w:r>
        <w:rPr>
          <w:rFonts w:hint="eastAsia" w:ascii="仿宋" w:hAnsi="仿宋" w:eastAsia="仿宋" w:cs="仿宋"/>
          <w:color w:val="auto"/>
          <w:spacing w:val="5"/>
          <w:sz w:val="24"/>
          <w:szCs w:val="24"/>
          <w:highlight w:val="none"/>
        </w:rPr>
        <w:t>]的约定对操作和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维修手册进行审查，竣工试验工程中，承包人应为任何因操作和维修手册错误或遗漏引起的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风险或损失承担责任。</w:t>
      </w:r>
    </w:p>
    <w:p w14:paraId="6DAB6129">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3" w:right="69"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5.5.3 除专用合同条件另有约定外，承包人应提交足够详细的最终</w:t>
      </w:r>
      <w:r>
        <w:rPr>
          <w:rFonts w:hint="eastAsia" w:ascii="仿宋" w:hAnsi="仿宋" w:eastAsia="仿宋" w:cs="仿宋"/>
          <w:color w:val="auto"/>
          <w:spacing w:val="6"/>
          <w:sz w:val="24"/>
          <w:szCs w:val="24"/>
          <w:highlight w:val="none"/>
        </w:rPr>
        <w:t>操作和维修手册，以及在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《发包人要求》中明确的相关操作和维修手册。除专用合同条件另有约定外，在工程师收到</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上述文件前，不应认为工程已根据第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10.1款[竣工验收]和第</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6"/>
          <w:sz w:val="24"/>
          <w:szCs w:val="24"/>
          <w:highlight w:val="none"/>
        </w:rPr>
        <w:t>10.2款[单位/区段工程的验收]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的约定完成验收。</w:t>
      </w:r>
    </w:p>
    <w:p w14:paraId="45E594C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5.6 承包人文件错误</w:t>
      </w:r>
    </w:p>
    <w:p w14:paraId="4CA4A3A4">
      <w:pPr>
        <w:pStyle w:val="2"/>
        <w:keepNext w:val="0"/>
        <w:keepLines w:val="0"/>
        <w:pageBreakBefore w:val="0"/>
        <w:widowControl/>
        <w:kinsoku w:val="0"/>
        <w:wordWrap/>
        <w:overflowPunct/>
        <w:topLinePunct w:val="0"/>
        <w:autoSpaceDE w:val="0"/>
        <w:autoSpaceDN w:val="0"/>
        <w:bidi w:val="0"/>
        <w:adjustRightInd w:val="0"/>
        <w:snapToGrid w:val="0"/>
        <w:spacing w:before="144" w:line="247"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承包人文件存在错误、遗漏、含混、矛盾、不充分之处或其他缺陷，无论承包人</w:t>
      </w:r>
      <w:r>
        <w:rPr>
          <w:rFonts w:hint="eastAsia" w:ascii="仿宋" w:hAnsi="仿宋" w:eastAsia="仿宋" w:cs="仿宋"/>
          <w:color w:val="auto"/>
          <w:spacing w:val="7"/>
          <w:sz w:val="24"/>
          <w:szCs w:val="24"/>
          <w:highlight w:val="none"/>
        </w:rPr>
        <w:t>是否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根据本款获得了同意，承包人均应自费对前述问题带来的缺陷和工程问题进行改正，并按照</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款[承包人文件审查]的要求，重新送工程师审查，审查日期从工程师收到文件开始重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新计算。因此款原因重新提交审查文件导致的工程延误和必要费用增加由承包人承担。《发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包人要求》的错误导致承包人文件错误、遗漏、含混、矛盾、不充分或其他缺陷的除外。</w:t>
      </w:r>
    </w:p>
    <w:p w14:paraId="6620E950">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1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第6条 材料、工程设备</w:t>
      </w:r>
    </w:p>
    <w:p w14:paraId="02686C1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11B9108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承包人应按以下方法进行材料的加工、工程设备的采购、制造和安装、以及工程的所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有其他实施作业：</w:t>
      </w:r>
    </w:p>
    <w:p w14:paraId="77569C4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按照法律规定和合同约定的方法；</w:t>
      </w:r>
    </w:p>
    <w:p w14:paraId="3649A54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按照公认的良好行业习惯，使用恰当、审慎、先进的方法；</w:t>
      </w:r>
    </w:p>
    <w:p w14:paraId="2799A51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除专用合同条件另有规定外，应使用适当配备的实施方法、设备、设施和无危</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险的材料。</w:t>
      </w:r>
    </w:p>
    <w:p w14:paraId="1E3B642B">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3F3217D0">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18D1FC79">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发包人自行供应材料、工程设备的，应在订立合同时在专用合同条件的附件《发包人 </w:t>
      </w:r>
      <w:r>
        <w:rPr>
          <w:rFonts w:hint="eastAsia" w:ascii="仿宋" w:hAnsi="仿宋" w:eastAsia="仿宋" w:cs="仿宋"/>
          <w:color w:val="auto"/>
          <w:spacing w:val="4"/>
          <w:sz w:val="24"/>
          <w:szCs w:val="24"/>
          <w:highlight w:val="none"/>
        </w:rPr>
        <w:t>供应材料设备一览表》中明确材料、工程设备的品种、规格、型号、主要参数、数量、单价、</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质量等级和交接地点等。</w:t>
      </w:r>
    </w:p>
    <w:p w14:paraId="248A3650">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承包人应根据项目进度计划的安排，提前</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天以书面形式通知工程师供</w:t>
      </w:r>
      <w:r>
        <w:rPr>
          <w:rFonts w:hint="eastAsia" w:ascii="仿宋" w:hAnsi="仿宋" w:eastAsia="仿宋" w:cs="仿宋"/>
          <w:color w:val="auto"/>
          <w:spacing w:val="9"/>
          <w:sz w:val="24"/>
          <w:szCs w:val="24"/>
          <w:highlight w:val="none"/>
        </w:rPr>
        <w:t>应材料与工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程设备的进场计划。承包人按照第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w:t>
      </w:r>
      <w:r>
        <w:rPr>
          <w:rFonts w:hint="eastAsia" w:ascii="仿宋" w:hAnsi="仿宋" w:eastAsia="仿宋" w:cs="仿宋"/>
          <w:color w:val="auto"/>
          <w:spacing w:val="6"/>
          <w:sz w:val="24"/>
          <w:szCs w:val="24"/>
          <w:highlight w:val="none"/>
        </w:rPr>
        <w:t>[项目进度计划]约定修订项目进度计划时，需同时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提交经修订后的发包人供应材料与工程设备的进场计划。发包人应按照上述进场计划，向承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包人提交材料和工程设备。</w:t>
      </w:r>
    </w:p>
    <w:p w14:paraId="46543DDF">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发包人应在材料和工程设备到货</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天前通知承包人，承包人应会同工程师在约定的时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间内，赴交货地点共同进行验收。除专用合同条件另有约定外，发包人提供的材料和工程设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备验收后，由承包人负责接收、运输和保管。</w:t>
      </w:r>
    </w:p>
    <w:p w14:paraId="23C941E1">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69"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发包人需要对进场计划进行变更的，承包人不得拒绝，应根据第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的规定执行，并由发包人承担承包人由此增加的费用，以及引起的工期延误。承包人需要对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进场计划进行变更的，应事先报请工程师批准，由此增加的费用和（或）工期延误由承包人</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承担。</w:t>
      </w:r>
    </w:p>
    <w:p w14:paraId="0CAC443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发包人提供的材料和工程设备的规格、数量或质量不符合合同要求，或由</w:t>
      </w:r>
      <w:r>
        <w:rPr>
          <w:rFonts w:hint="eastAsia" w:ascii="仿宋" w:hAnsi="仿宋" w:eastAsia="仿宋" w:cs="仿宋"/>
          <w:color w:val="auto"/>
          <w:spacing w:val="7"/>
          <w:sz w:val="24"/>
          <w:szCs w:val="24"/>
          <w:highlight w:val="none"/>
        </w:rPr>
        <w:t>于发包人原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因发生交货日期延误及交货地点变更等情况的，发包人应承担由此增加的费用和（或）工期</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延误，并向承包人支付合理利润。</w:t>
      </w:r>
    </w:p>
    <w:p w14:paraId="2A09F7AC">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08A4BE7A">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承包人应按照专用合同条件的约定，将各项材料和工程设备的供货人及品种、技术要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求、规格、数量和供货时间等报送工程师批准。承包人应向工程师提交其负责提供的材料和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工程设备的质量证明文件，并根据合同约定的质量标准，对材料、工程设备质量负责。</w:t>
      </w:r>
      <w:r>
        <w:rPr>
          <w:rFonts w:hint="eastAsia" w:ascii="仿宋" w:hAnsi="仿宋" w:eastAsia="仿宋" w:cs="仿宋"/>
          <w:color w:val="auto"/>
          <w:spacing w:val="7"/>
          <w:sz w:val="24"/>
          <w:szCs w:val="24"/>
          <w:highlight w:val="none"/>
        </w:rPr>
        <w:t>承包人应按照已被批准的第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款[项目进度计划]规定的数量要求及时间要求</w:t>
      </w:r>
      <w:r>
        <w:rPr>
          <w:rFonts w:hint="eastAsia" w:ascii="仿宋" w:hAnsi="仿宋" w:eastAsia="仿宋" w:cs="仿宋"/>
          <w:color w:val="auto"/>
          <w:spacing w:val="6"/>
          <w:sz w:val="24"/>
          <w:szCs w:val="24"/>
          <w:highlight w:val="none"/>
        </w:rPr>
        <w:t>，负责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组织材料和工程设备采购（包括备品备件、专用工具及厂商提供的技术文件</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负责运抵现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场。合同约定由承包人采购的材料、工程设备，除专用合同条件另有约定外，发包人不得指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定生产厂家或供应商，发包人违反本款约定指定生产厂家或供应商的，承包人有权拒绝，并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由发包人承担相应责任。</w:t>
      </w:r>
    </w:p>
    <w:p w14:paraId="7B5C94FE">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对承包人提供的材料和工程设备，承包人应会同工程师进行检验和交货验收，查验材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料合格证明和产品合格证书，并按合同约定和工程师指示，进行材料的抽样检验和工程设备</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的检验测试，检验和测试结果应提交工程师，所需费用由承包人承担。</w:t>
      </w:r>
    </w:p>
    <w:p w14:paraId="57B07F97">
      <w:pPr>
        <w:pStyle w:val="2"/>
        <w:keepNext w:val="0"/>
        <w:keepLines w:val="0"/>
        <w:pageBreakBefore w:val="0"/>
        <w:widowControl/>
        <w:kinsoku w:val="0"/>
        <w:wordWrap/>
        <w:overflowPunct/>
        <w:topLinePunct w:val="0"/>
        <w:autoSpaceDE w:val="0"/>
        <w:autoSpaceDN w:val="0"/>
        <w:bidi w:val="0"/>
        <w:adjustRightInd w:val="0"/>
        <w:snapToGrid w:val="0"/>
        <w:spacing w:before="22" w:line="247" w:lineRule="auto"/>
        <w:ind w:left="23" w:right="16"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因承包人提供的材料和工程设备不符合国家</w:t>
      </w:r>
      <w:r>
        <w:rPr>
          <w:rFonts w:hint="eastAsia" w:ascii="仿宋" w:hAnsi="仿宋" w:eastAsia="仿宋" w:cs="仿宋"/>
          <w:color w:val="auto"/>
          <w:spacing w:val="7"/>
          <w:sz w:val="24"/>
          <w:szCs w:val="24"/>
          <w:highlight w:val="none"/>
        </w:rPr>
        <w:t>强制性标准、规范的规定或合同约定的标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准、规范，所造成的质量缺陷，由承包人自费修复，竣</w:t>
      </w:r>
      <w:r>
        <w:rPr>
          <w:rFonts w:hint="eastAsia" w:ascii="仿宋" w:hAnsi="仿宋" w:eastAsia="仿宋" w:cs="仿宋"/>
          <w:color w:val="auto"/>
          <w:spacing w:val="3"/>
          <w:sz w:val="24"/>
          <w:szCs w:val="24"/>
          <w:highlight w:val="none"/>
        </w:rPr>
        <w:t>工日期不予延长。在履行合同过程中，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由于国家新颁布的强制性标准、规范，造成承包人负责提供的材料和工程设备，虽符合合同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约定的标准，但不符合新颁布的强制性标准时，由承包人负责修复或重新订货，相关费用支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出及导致的工期延长由发包人负责。</w:t>
      </w:r>
    </w:p>
    <w:p w14:paraId="259CB3C9">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0EDDA350">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发包人供应材料与工程设备的保管与使用</w:t>
      </w:r>
    </w:p>
    <w:p w14:paraId="27080E79">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发包人供应的材料和工程设备，承包人清点并接收后由承包人妥善保管，</w:t>
      </w:r>
      <w:r>
        <w:rPr>
          <w:rFonts w:hint="eastAsia" w:ascii="仿宋" w:hAnsi="仿宋" w:eastAsia="仿宋" w:cs="仿宋"/>
          <w:color w:val="auto"/>
          <w:spacing w:val="7"/>
          <w:sz w:val="24"/>
          <w:szCs w:val="24"/>
          <w:highlight w:val="none"/>
        </w:rPr>
        <w:t>保管费用由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承包人承担，但专用合同条件另有约定除外。因承包人原因发生丢失毁损的，由承包人负责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赔偿。</w:t>
      </w:r>
    </w:p>
    <w:p w14:paraId="3DDE73D5">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发包人供应的材料和工程设备使用前，由承包人负责必要的检验，检验费</w:t>
      </w:r>
      <w:r>
        <w:rPr>
          <w:rFonts w:hint="eastAsia" w:ascii="仿宋" w:hAnsi="仿宋" w:eastAsia="仿宋" w:cs="仿宋"/>
          <w:color w:val="auto"/>
          <w:spacing w:val="7"/>
          <w:sz w:val="24"/>
          <w:szCs w:val="24"/>
          <w:highlight w:val="none"/>
        </w:rPr>
        <w:t>用由发包人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承担，不合格的不得使用。</w:t>
      </w:r>
    </w:p>
    <w:p w14:paraId="472F19A0">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承包人采购材料与工程设备的保管与使用</w:t>
      </w:r>
    </w:p>
    <w:p w14:paraId="773E4A7D">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承包人采购的材料和工程设备由承包人妥善保管，保管费用由承包人承担。合同约定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或法律规定材料和工程设备使用前必须进行检验或试验的，承包人应按工程师的指示进行检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验或试验，检验或试验费用由承包人承担，不合格的不得使用。</w:t>
      </w:r>
    </w:p>
    <w:p w14:paraId="4734E538">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7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工程师发现承包人使用不符合设计或有关标准要求的材料和工程设备时，有</w:t>
      </w:r>
      <w:r>
        <w:rPr>
          <w:rFonts w:hint="eastAsia" w:ascii="仿宋" w:hAnsi="仿宋" w:eastAsia="仿宋" w:cs="仿宋"/>
          <w:color w:val="auto"/>
          <w:spacing w:val="7"/>
          <w:sz w:val="24"/>
          <w:szCs w:val="24"/>
          <w:highlight w:val="none"/>
        </w:rPr>
        <w:t>权要求承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包人进行修复、拆除或重新采购，由此增加的费用和（或）延误的工期，</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由承包人承担。</w:t>
      </w:r>
    </w:p>
    <w:p w14:paraId="2EBF5E0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6.2.4 材料和工程设备的所有权</w:t>
      </w:r>
    </w:p>
    <w:p w14:paraId="15A203F1">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除本合同另有约定外，承包人根据第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项[承包人提供的材料和工程设备]约定提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供的材料和工程设备后，材料及工程设备的价款应列入第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项第（2）目的进</w:t>
      </w:r>
      <w:r>
        <w:rPr>
          <w:rFonts w:hint="eastAsia" w:ascii="仿宋" w:hAnsi="仿宋" w:eastAsia="仿宋" w:cs="仿宋"/>
          <w:color w:val="auto"/>
          <w:spacing w:val="5"/>
          <w:sz w:val="24"/>
          <w:szCs w:val="24"/>
          <w:highlight w:val="none"/>
        </w:rPr>
        <w:t>度款金额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中，发包人支付当期进度款之后，其所有权转为发包人所有（周转性材料除外</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在发包人</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接收工程前，承包人有义务对材料和工程设备进行保管、维护和保养，未经发包人批准不得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运出现场。</w:t>
      </w:r>
    </w:p>
    <w:p w14:paraId="77DCBB98">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承包人按第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项提供的材料和工程设备，承包人应确保发包人取得</w:t>
      </w:r>
      <w:r>
        <w:rPr>
          <w:rFonts w:hint="eastAsia" w:ascii="仿宋" w:hAnsi="仿宋" w:eastAsia="仿宋" w:cs="仿宋"/>
          <w:color w:val="auto"/>
          <w:spacing w:val="6"/>
          <w:sz w:val="24"/>
          <w:szCs w:val="24"/>
          <w:highlight w:val="none"/>
        </w:rPr>
        <w:t>无权利负担的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材料及工程设备所有权，因承包人与第三人的物权争议导致的增加的费用和（或）延误的工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期，</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3"/>
          <w:sz w:val="24"/>
          <w:szCs w:val="24"/>
          <w:highlight w:val="none"/>
        </w:rPr>
        <w:t>由承包人承担。</w:t>
      </w:r>
    </w:p>
    <w:p w14:paraId="303EC64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20EA63DF">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28BF6C43">
      <w:pPr>
        <w:pStyle w:val="2"/>
        <w:keepNext w:val="0"/>
        <w:keepLines w:val="0"/>
        <w:pageBreakBefore w:val="0"/>
        <w:widowControl/>
        <w:kinsoku w:val="0"/>
        <w:wordWrap/>
        <w:overflowPunct/>
        <w:topLinePunct w:val="0"/>
        <w:autoSpaceDE w:val="0"/>
        <w:autoSpaceDN w:val="0"/>
        <w:bidi w:val="0"/>
        <w:adjustRightInd w:val="0"/>
        <w:snapToGrid w:val="0"/>
        <w:spacing w:before="147"/>
        <w:ind w:left="21" w:right="70"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需要承包人报送样品的材料或工程设备，样品的种类、</w:t>
      </w:r>
      <w:r>
        <w:rPr>
          <w:rFonts w:hint="eastAsia" w:ascii="仿宋" w:hAnsi="仿宋" w:eastAsia="仿宋" w:cs="仿宋"/>
          <w:color w:val="auto"/>
          <w:spacing w:val="7"/>
          <w:sz w:val="24"/>
          <w:szCs w:val="24"/>
          <w:highlight w:val="none"/>
        </w:rPr>
        <w:t>名称、规格、数量等要求均应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在专用合同条件中约定。样品的报送程序如下：</w:t>
      </w:r>
    </w:p>
    <w:p w14:paraId="20D24AFC">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承包人应在计划采购前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天向工程师报送样品。承包人报送</w:t>
      </w:r>
      <w:r>
        <w:rPr>
          <w:rFonts w:hint="eastAsia" w:ascii="仿宋" w:hAnsi="仿宋" w:eastAsia="仿宋" w:cs="仿宋"/>
          <w:color w:val="auto"/>
          <w:spacing w:val="8"/>
          <w:sz w:val="24"/>
          <w:szCs w:val="24"/>
          <w:highlight w:val="none"/>
        </w:rPr>
        <w:t xml:space="preserve">的样品均应来自 </w:t>
      </w:r>
      <w:r>
        <w:rPr>
          <w:rFonts w:hint="eastAsia" w:ascii="仿宋" w:hAnsi="仿宋" w:eastAsia="仿宋" w:cs="仿宋"/>
          <w:color w:val="auto"/>
          <w:spacing w:val="4"/>
          <w:sz w:val="24"/>
          <w:szCs w:val="24"/>
          <w:highlight w:val="none"/>
        </w:rPr>
        <w:t>供应材料的实际生产地，且提供的样品的规格、数量足以表明材料或工程设备的质量、型号、</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9"/>
          <w:sz w:val="24"/>
          <w:szCs w:val="24"/>
          <w:highlight w:val="none"/>
        </w:rPr>
        <w:t>颜色、表面处理、质地、误差和其他要求的特征。</w:t>
      </w:r>
    </w:p>
    <w:p w14:paraId="52D0A6B5">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承包人每次报送样品时应随附申报单，申报单应载明报送样品的相关数据和资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料，并标明每件样品对应的图纸号，预留工程师审批意见栏。工程师应在收到承包人报送的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样品后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天向承包人回复经发包人签认的样品审批</w:t>
      </w:r>
      <w:r>
        <w:rPr>
          <w:rFonts w:hint="eastAsia" w:ascii="仿宋" w:hAnsi="仿宋" w:eastAsia="仿宋" w:cs="仿宋"/>
          <w:color w:val="auto"/>
          <w:spacing w:val="7"/>
          <w:sz w:val="24"/>
          <w:szCs w:val="24"/>
          <w:highlight w:val="none"/>
        </w:rPr>
        <w:t>意见。</w:t>
      </w:r>
    </w:p>
    <w:p w14:paraId="17F9EB2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经工程师审批确认的样品应按约定的方法封样，封存的样品作为检验工程相关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部分的标准之一。承包人在施工过程中不得使用与样品不符的材料或工程设备。</w:t>
      </w:r>
    </w:p>
    <w:p w14:paraId="3BEBCEFF">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工程师对样品的审批确认仅为确认相关材料或工程设备的特征或用途，不得被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理解为对合同的修改或改变，也并不减轻或免除承包人任何的责任和义务。如果封存的样品</w:t>
      </w:r>
    </w:p>
    <w:p w14:paraId="6AF26603">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修改或改变了合同约定，合同当事人应当以书面协议予以确认。</w:t>
      </w:r>
    </w:p>
    <w:p w14:paraId="20BEFAA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6.3.2 样品的保管</w:t>
      </w:r>
    </w:p>
    <w:p w14:paraId="3FE3174F">
      <w:pPr>
        <w:pStyle w:val="2"/>
        <w:keepNext w:val="0"/>
        <w:keepLines w:val="0"/>
        <w:pageBreakBefore w:val="0"/>
        <w:widowControl/>
        <w:kinsoku w:val="0"/>
        <w:wordWrap/>
        <w:overflowPunct/>
        <w:topLinePunct w:val="0"/>
        <w:autoSpaceDE w:val="0"/>
        <w:autoSpaceDN w:val="0"/>
        <w:bidi w:val="0"/>
        <w:adjustRightInd w:val="0"/>
        <w:snapToGrid w:val="0"/>
        <w:spacing w:before="144"/>
        <w:ind w:left="27" w:right="75"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经批准的样品应由工程师负责封存于现场，承包人应在现场为保存样品提供适</w:t>
      </w:r>
      <w:r>
        <w:rPr>
          <w:rFonts w:hint="eastAsia" w:ascii="仿宋" w:hAnsi="仿宋" w:eastAsia="仿宋" w:cs="仿宋"/>
          <w:color w:val="auto"/>
          <w:spacing w:val="7"/>
          <w:sz w:val="24"/>
          <w:szCs w:val="24"/>
          <w:highlight w:val="none"/>
        </w:rPr>
        <w:t>当和固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定的场所并保持适当和良好的存储环境条件。</w:t>
      </w:r>
    </w:p>
    <w:p w14:paraId="5499A11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599AB238">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0C65DDE1">
      <w:pPr>
        <w:pStyle w:val="2"/>
        <w:keepNext w:val="0"/>
        <w:keepLines w:val="0"/>
        <w:pageBreakBefore w:val="0"/>
        <w:widowControl/>
        <w:kinsoku w:val="0"/>
        <w:wordWrap/>
        <w:overflowPunct/>
        <w:topLinePunct w:val="0"/>
        <w:autoSpaceDE w:val="0"/>
        <w:autoSpaceDN w:val="0"/>
        <w:bidi w:val="0"/>
        <w:adjustRightInd w:val="0"/>
        <w:snapToGrid w:val="0"/>
        <w:spacing w:before="144"/>
        <w:ind w:left="23" w:right="7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工程质量标准必须符合现行国家有关工程施工质量验收规范和标准的要求。</w:t>
      </w:r>
      <w:r>
        <w:rPr>
          <w:rFonts w:hint="eastAsia" w:ascii="仿宋" w:hAnsi="仿宋" w:eastAsia="仿宋" w:cs="仿宋"/>
          <w:color w:val="auto"/>
          <w:spacing w:val="7"/>
          <w:sz w:val="24"/>
          <w:szCs w:val="24"/>
          <w:highlight w:val="none"/>
        </w:rPr>
        <w:t>有关工程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质量的特殊标准或要求由合同当事人在专用合同条件中约定。</w:t>
      </w:r>
    </w:p>
    <w:p w14:paraId="40370971">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3"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因承包人原因造成工程质量未达到合同约定标准的，发包人有权要求承包人返工直至 </w:t>
      </w:r>
      <w:r>
        <w:rPr>
          <w:rFonts w:hint="eastAsia" w:ascii="仿宋" w:hAnsi="仿宋" w:eastAsia="仿宋" w:cs="仿宋"/>
          <w:color w:val="auto"/>
          <w:spacing w:val="9"/>
          <w:sz w:val="24"/>
          <w:szCs w:val="24"/>
          <w:highlight w:val="none"/>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仿宋" w:hAnsi="仿宋" w:eastAsia="仿宋" w:cs="仿宋"/>
          <w:color w:val="auto"/>
          <w:spacing w:val="8"/>
          <w:sz w:val="24"/>
          <w:szCs w:val="24"/>
          <w:highlight w:val="none"/>
        </w:rPr>
        <w:t>延误的工期，并支付承包人合理的利润。</w:t>
      </w:r>
    </w:p>
    <w:p w14:paraId="3C05EC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C565212">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6"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发包人有权通过工程师或自行对全部工程内容及其施工工艺、材料和工程</w:t>
      </w:r>
      <w:r>
        <w:rPr>
          <w:rFonts w:hint="eastAsia" w:ascii="仿宋" w:hAnsi="仿宋" w:eastAsia="仿宋" w:cs="仿宋"/>
          <w:color w:val="auto"/>
          <w:spacing w:val="7"/>
          <w:sz w:val="24"/>
          <w:szCs w:val="24"/>
          <w:highlight w:val="none"/>
        </w:rPr>
        <w:t>设备进行检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查和检验。承包人应为工程师或发包人的检查和检验提供方便，包括到施工现</w:t>
      </w:r>
      <w:r>
        <w:rPr>
          <w:rFonts w:hint="eastAsia" w:ascii="仿宋" w:hAnsi="仿宋" w:eastAsia="仿宋" w:cs="仿宋"/>
          <w:color w:val="auto"/>
          <w:spacing w:val="8"/>
          <w:sz w:val="24"/>
          <w:szCs w:val="24"/>
          <w:highlight w:val="none"/>
        </w:rPr>
        <w:t>场，或制造、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加工地点，或专用合同条件约定的其他地方进行察看和查阅施工原始记录。承包人还应按工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程师或发包人指示，进行施工现场的取样试验，工程复核测量和设备性能检测，提供试验样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品、提交试验报告和测量成果以及工程师或发包人指示进行的其他工作。工程师或发包人的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检查和检验，不免除承包人按合同约定应负的责任。</w:t>
      </w:r>
    </w:p>
    <w:p w14:paraId="39D50BA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1C1302DB">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7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除专用合同条件另有约定外，工程隐蔽部位经承包人</w:t>
      </w:r>
      <w:r>
        <w:rPr>
          <w:rFonts w:hint="eastAsia" w:ascii="仿宋" w:hAnsi="仿宋" w:eastAsia="仿宋" w:cs="仿宋"/>
          <w:color w:val="auto"/>
          <w:spacing w:val="7"/>
          <w:sz w:val="24"/>
          <w:szCs w:val="24"/>
          <w:highlight w:val="none"/>
        </w:rPr>
        <w:t>自检确认具备覆盖条件的，承包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人应书面通知工程师在约定的期限内检查，通知中应载明隐蔽检查的内容、时间和地点，并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应附有自检记录和必要的检查资料。</w:t>
      </w:r>
    </w:p>
    <w:p w14:paraId="43D0CC62">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7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工程师应按时到场并对隐蔽工程及其施工工艺、材料和工程设备进行检查。</w:t>
      </w:r>
      <w:r>
        <w:rPr>
          <w:rFonts w:hint="eastAsia" w:ascii="仿宋" w:hAnsi="仿宋" w:eastAsia="仿宋" w:cs="仿宋"/>
          <w:color w:val="auto"/>
          <w:spacing w:val="7"/>
          <w:sz w:val="24"/>
          <w:szCs w:val="24"/>
          <w:highlight w:val="none"/>
        </w:rPr>
        <w:t>经工程师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检查确认质量符合隐蔽要求，并在验收记录上签字后，承包人才能进行覆盖。经工程师检查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质量不合格的，承包人应在工程师指示的时间内完成修复，并由工程师重新检查，由此增加</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的费用和（或）延误的工期由承包人承担。</w:t>
      </w:r>
    </w:p>
    <w:p w14:paraId="5F1AE60F">
      <w:pPr>
        <w:pStyle w:val="2"/>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75"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除专用合同条件另有约定外，工程师不能按时进行检</w:t>
      </w:r>
      <w:r>
        <w:rPr>
          <w:rFonts w:hint="eastAsia" w:ascii="仿宋" w:hAnsi="仿宋" w:eastAsia="仿宋" w:cs="仿宋"/>
          <w:color w:val="auto"/>
          <w:spacing w:val="7"/>
          <w:sz w:val="24"/>
          <w:szCs w:val="24"/>
          <w:highlight w:val="none"/>
        </w:rPr>
        <w:t>查的，应提前向承包人提交书面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延期要求，顺延时间不得超过</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小时，由此导致工期延误的，工期应予以顺延，顺延</w:t>
      </w:r>
      <w:r>
        <w:rPr>
          <w:rFonts w:hint="eastAsia" w:ascii="仿宋" w:hAnsi="仿宋" w:eastAsia="仿宋" w:cs="仿宋"/>
          <w:color w:val="auto"/>
          <w:spacing w:val="8"/>
          <w:sz w:val="24"/>
          <w:szCs w:val="24"/>
          <w:highlight w:val="none"/>
        </w:rPr>
        <w:t>超过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小时的，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由此导致的工期延误及费用增加由发包人承</w:t>
      </w:r>
      <w:r>
        <w:rPr>
          <w:rFonts w:hint="eastAsia" w:ascii="仿宋" w:hAnsi="仿宋" w:eastAsia="仿宋" w:cs="仿宋"/>
          <w:color w:val="auto"/>
          <w:spacing w:val="9"/>
          <w:sz w:val="24"/>
          <w:szCs w:val="24"/>
          <w:highlight w:val="none"/>
        </w:rPr>
        <w:t>担。工程师未按时进行检查，也未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提出延期要求的，视为隐蔽工程检查合格，承包人可自行完成覆盖工作，并作相应记录报送</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工程师，工程师应签字确认。工程师事后对检查记录有疑问的，可按下列约定重新检查。</w:t>
      </w:r>
    </w:p>
    <w:p w14:paraId="0B646407">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0" w:right="75"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承包人覆盖工程隐蔽部位后，工程师对质量有疑问的，可要求承包人对已覆盖的</w:t>
      </w:r>
      <w:r>
        <w:rPr>
          <w:rFonts w:hint="eastAsia" w:ascii="仿宋" w:hAnsi="仿宋" w:eastAsia="仿宋" w:cs="仿宋"/>
          <w:color w:val="auto"/>
          <w:spacing w:val="7"/>
          <w:sz w:val="24"/>
          <w:szCs w:val="24"/>
          <w:highlight w:val="none"/>
        </w:rPr>
        <w:t>部位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进行钻孔探测或揭开重新检查，承包人应遵照执行，并在检查后重新覆盖恢复原状。经检查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证明工程质量符合合同要求的，由发包人承担由此增加的费用和（或）延误的工期，并支付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承包人合理的利润；经检查证明工程质量不符合合同要求的，由此增加的费用和（或）延误</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的工期由承包人承担。</w:t>
      </w:r>
    </w:p>
    <w:p w14:paraId="0DF56873">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承包人未通知工程师到场检查，私自将工程隐蔽部位覆盖的，工程师有权指示承</w:t>
      </w:r>
      <w:r>
        <w:rPr>
          <w:rFonts w:hint="eastAsia" w:ascii="仿宋" w:hAnsi="仿宋" w:eastAsia="仿宋" w:cs="仿宋"/>
          <w:color w:val="auto"/>
          <w:spacing w:val="7"/>
          <w:sz w:val="24"/>
          <w:szCs w:val="24"/>
          <w:highlight w:val="none"/>
        </w:rPr>
        <w:t>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钻孔探测或揭开检查，无论工程隐蔽部位质量是否合格，由此增加的费用和（或）延误的工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期均由承包人承担。</w:t>
      </w:r>
    </w:p>
    <w:p w14:paraId="7C0E5F0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685EE761">
      <w:pPr>
        <w:pStyle w:val="2"/>
        <w:keepNext w:val="0"/>
        <w:keepLines w:val="0"/>
        <w:pageBreakBefore w:val="0"/>
        <w:widowControl/>
        <w:kinsoku w:val="0"/>
        <w:wordWrap/>
        <w:overflowPunct/>
        <w:topLinePunct w:val="0"/>
        <w:autoSpaceDE w:val="0"/>
        <w:autoSpaceDN w:val="0"/>
        <w:bidi w:val="0"/>
        <w:adjustRightInd w:val="0"/>
        <w:snapToGrid w:val="0"/>
        <w:spacing w:before="147"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52016982">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75"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承包人根据合同约定或工程师指示进行的现场材料试验，应由承包人提供试验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场所、试验人员、试验设备以及其他必要的试验条件。工程师在必要时可以使用承包人提供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的试验场所、试验设备以及其他试验条件，进行以工程质量检查为目的的材料复核试验，承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包人应予以协助。</w:t>
      </w:r>
    </w:p>
    <w:p w14:paraId="75349281">
      <w:pPr>
        <w:pStyle w:val="2"/>
        <w:keepNext w:val="0"/>
        <w:keepLines w:val="0"/>
        <w:pageBreakBefore w:val="0"/>
        <w:widowControl/>
        <w:kinsoku w:val="0"/>
        <w:wordWrap/>
        <w:overflowPunct/>
        <w:topLinePunct w:val="0"/>
        <w:autoSpaceDE w:val="0"/>
        <w:autoSpaceDN w:val="0"/>
        <w:bidi w:val="0"/>
        <w:adjustRightInd w:val="0"/>
        <w:snapToGrid w:val="0"/>
        <w:spacing w:before="24"/>
        <w:ind w:left="20" w:right="7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承包人应按专用合同条件约定的试验内容、时间和地点提供试验设备、取样装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置、试验场所和试验条件，并向工程师提交相应进场计划表。</w:t>
      </w:r>
    </w:p>
    <w:p w14:paraId="543A3669">
      <w:pPr>
        <w:pStyle w:val="2"/>
        <w:keepNext w:val="0"/>
        <w:keepLines w:val="0"/>
        <w:pageBreakBefore w:val="0"/>
        <w:widowControl/>
        <w:kinsoku w:val="0"/>
        <w:wordWrap/>
        <w:overflowPunct/>
        <w:topLinePunct w:val="0"/>
        <w:autoSpaceDE w:val="0"/>
        <w:autoSpaceDN w:val="0"/>
        <w:bidi w:val="0"/>
        <w:adjustRightInd w:val="0"/>
        <w:snapToGrid w:val="0"/>
        <w:spacing w:before="41"/>
        <w:ind w:right="162"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承包人配置的试验设备要符合相应试验规程的要求并经过具有资质的检测单位检测，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且在正式使用该试验设备前，需要经过工程师与承包人共同校定。</w:t>
      </w:r>
    </w:p>
    <w:p w14:paraId="59EFDA5E">
      <w:pPr>
        <w:pStyle w:val="2"/>
        <w:keepNext w:val="0"/>
        <w:keepLines w:val="0"/>
        <w:pageBreakBefore w:val="0"/>
        <w:widowControl/>
        <w:kinsoku w:val="0"/>
        <w:wordWrap/>
        <w:overflowPunct/>
        <w:topLinePunct w:val="0"/>
        <w:autoSpaceDE w:val="0"/>
        <w:autoSpaceDN w:val="0"/>
        <w:bidi w:val="0"/>
        <w:adjustRightInd w:val="0"/>
        <w:snapToGrid w:val="0"/>
        <w:spacing w:before="24"/>
        <w:ind w:left="2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承包人应向工程师提交试验人员的名单及其岗位、资格等证明资料，试验人员  必须能够熟练进行相应的检测试验，承包人对试</w:t>
      </w:r>
      <w:r>
        <w:rPr>
          <w:rFonts w:hint="eastAsia" w:ascii="仿宋" w:hAnsi="仿宋" w:eastAsia="仿宋" w:cs="仿宋"/>
          <w:color w:val="auto"/>
          <w:spacing w:val="6"/>
          <w:sz w:val="24"/>
          <w:szCs w:val="24"/>
          <w:highlight w:val="none"/>
        </w:rPr>
        <w:t>验人员的试验程序和试验结果的正确性负责。</w:t>
      </w:r>
    </w:p>
    <w:p w14:paraId="6372B3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6.5.2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取样</w:t>
      </w:r>
    </w:p>
    <w:p w14:paraId="42D05ABA">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5" w:right="176"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试验属于自检性质的，承包人可以单独取样。试验属于工程师抽检性质的，可由工程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师取样，也可由承包人的试验人员在工程师的监督下取样。</w:t>
      </w:r>
    </w:p>
    <w:p w14:paraId="51014643">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6.5.3 材料、工程设备和工程的试验和检验</w:t>
      </w:r>
    </w:p>
    <w:p w14:paraId="5CB8F52E">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76"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承包人应按合同约定进行材料和工程设备的试验和检验，并为工程师对上述材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料、工程设备和工程的质量检查提供必要的试验资料和原始记录。按合同约定应由工程师与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承包人共同进行试验和检验的，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由承包人负责提供必要的试验资料和原始记录。</w:t>
      </w:r>
    </w:p>
    <w:p w14:paraId="6B5BB1D3">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2" w:right="121"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试验属于自检性质的，承包人可以单独进行试验。试验属于工程师抽检性质的，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工程师可以单独进行试验，也可由承包人与工程师共同进行。承包人对由工程师单独进行的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试验结果有异议的，可以申请重新共同进行试验。约定共同进行试验的，工程师未按照约定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参加试验的，承包人可自行试验，并将试验结果报送工程师，工程师应承认该试验结果。</w:t>
      </w:r>
    </w:p>
    <w:p w14:paraId="58102157">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4" w:right="176" w:firstLine="60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工程师对承包人的试验和检验结果有异议的，或为查清承包人试验和检验成果</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的可靠性要求承包人重新试验和检验的，可由工程师与承包人共同进行。重新试验和检验的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结果证明该项材料、工程设备或工程的质量不符合合同要求的，由此增加的费用和（或）延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误的工期由承包人承担；重新试验和检验结果证明该项材料、工程设备和工程符合合同要求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由此增加的费用和（或）延误的工期由发包人承担。</w:t>
      </w:r>
    </w:p>
    <w:p w14:paraId="305359A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6.5.4 现场工艺试验</w:t>
      </w:r>
    </w:p>
    <w:p w14:paraId="76070CFF">
      <w:pPr>
        <w:pStyle w:val="2"/>
        <w:keepNext w:val="0"/>
        <w:keepLines w:val="0"/>
        <w:pageBreakBefore w:val="0"/>
        <w:widowControl/>
        <w:kinsoku w:val="0"/>
        <w:wordWrap/>
        <w:overflowPunct/>
        <w:topLinePunct w:val="0"/>
        <w:autoSpaceDE w:val="0"/>
        <w:autoSpaceDN w:val="0"/>
        <w:bidi w:val="0"/>
        <w:adjustRightInd w:val="0"/>
        <w:snapToGrid w:val="0"/>
        <w:spacing w:before="144"/>
        <w:ind w:left="22" w:right="121"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承包人应按合同约定进行现场工艺试验。对大型的现场工艺试验，发包人认为必</w:t>
      </w:r>
      <w:r>
        <w:rPr>
          <w:rFonts w:hint="eastAsia" w:ascii="仿宋" w:hAnsi="仿宋" w:eastAsia="仿宋" w:cs="仿宋"/>
          <w:color w:val="auto"/>
          <w:spacing w:val="3"/>
          <w:sz w:val="24"/>
          <w:szCs w:val="24"/>
          <w:highlight w:val="none"/>
        </w:rPr>
        <w:t>要时，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承包人应根据发包人提出的工艺试验要求，编制工艺试验措施计划，报送发包人审查。</w:t>
      </w:r>
    </w:p>
    <w:p w14:paraId="2873E0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 缺陷和修补</w:t>
      </w:r>
    </w:p>
    <w:p w14:paraId="4CD0855A">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6.6.1 发包人可在颁发接收证书前随时指示承包</w:t>
      </w:r>
      <w:r>
        <w:rPr>
          <w:rFonts w:hint="eastAsia" w:ascii="仿宋" w:hAnsi="仿宋" w:eastAsia="仿宋" w:cs="仿宋"/>
          <w:color w:val="auto"/>
          <w:spacing w:val="7"/>
          <w:sz w:val="24"/>
          <w:szCs w:val="24"/>
          <w:highlight w:val="none"/>
        </w:rPr>
        <w:t>人：</w:t>
      </w:r>
    </w:p>
    <w:p w14:paraId="2FC2B2E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对不符合合同要求的任何工程设备或材料进行修补，或者将其移出现场并进行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更换；</w:t>
      </w:r>
    </w:p>
    <w:p w14:paraId="176A2B1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对不符合合同的其他工作进行修补，或者</w:t>
      </w:r>
      <w:r>
        <w:rPr>
          <w:rFonts w:hint="eastAsia" w:ascii="仿宋" w:hAnsi="仿宋" w:eastAsia="仿宋" w:cs="仿宋"/>
          <w:color w:val="auto"/>
          <w:spacing w:val="8"/>
          <w:sz w:val="24"/>
          <w:szCs w:val="24"/>
          <w:highlight w:val="none"/>
        </w:rPr>
        <w:t>将其去除并重新实施；</w:t>
      </w:r>
    </w:p>
    <w:p w14:paraId="57CF008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5" w:right="176"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实施因意外、不可预见的事件或其他原因引起的、为工程的安全迫切需要的任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何修补工作。</w:t>
      </w:r>
    </w:p>
    <w:p w14:paraId="071FABA8">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6.6.2 承包人应遵守第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6.6.1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项下指示，并在合理可行的情况下，根据上述指示</w:t>
      </w:r>
      <w:r>
        <w:rPr>
          <w:rFonts w:hint="eastAsia" w:ascii="仿宋" w:hAnsi="仿宋" w:eastAsia="仿宋" w:cs="仿宋"/>
          <w:color w:val="auto"/>
          <w:spacing w:val="5"/>
          <w:sz w:val="24"/>
          <w:szCs w:val="24"/>
          <w:highlight w:val="none"/>
        </w:rPr>
        <w:t>中规定的时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间完成修补工作。除因下列原因引起的第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7"/>
          <w:sz w:val="24"/>
          <w:szCs w:val="24"/>
          <w:highlight w:val="none"/>
        </w:rPr>
        <w:t>6.6.1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项第（3）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目下的情形外，承包人应承担所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有修补工作的费用：</w:t>
      </w:r>
    </w:p>
    <w:p w14:paraId="2F48949F">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因发包人或其人员的任何行为导致的情形，且在此情况下发包人应承担因此引</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起的工期延误和承包人费用损失，并向承包人支付合理的利润。</w:t>
      </w:r>
    </w:p>
    <w:p w14:paraId="42A21D4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17.4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款[不可抗力后果的承担]中适用的不可抗力事件的</w:t>
      </w:r>
      <w:r>
        <w:rPr>
          <w:rFonts w:hint="eastAsia" w:ascii="仿宋" w:hAnsi="仿宋" w:eastAsia="仿宋" w:cs="仿宋"/>
          <w:color w:val="auto"/>
          <w:spacing w:val="6"/>
          <w:sz w:val="24"/>
          <w:szCs w:val="24"/>
          <w:highlight w:val="none"/>
        </w:rPr>
        <w:t>情形。</w:t>
      </w:r>
    </w:p>
    <w:p w14:paraId="662614EB">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18"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6.6.3 如果承包人未能遵守发包人的指示，发包人可以自行决</w:t>
      </w:r>
      <w:r>
        <w:rPr>
          <w:rFonts w:hint="eastAsia" w:ascii="仿宋" w:hAnsi="仿宋" w:eastAsia="仿宋" w:cs="仿宋"/>
          <w:color w:val="auto"/>
          <w:spacing w:val="5"/>
          <w:sz w:val="24"/>
          <w:szCs w:val="24"/>
          <w:highlight w:val="none"/>
        </w:rPr>
        <w:t>定请第三方完成上述修补工作，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并有权要求承包人支付因未履行指示而产生的所有费用</w:t>
      </w:r>
      <w:r>
        <w:rPr>
          <w:rFonts w:hint="eastAsia" w:ascii="仿宋" w:hAnsi="仿宋" w:eastAsia="仿宋" w:cs="仿宋"/>
          <w:color w:val="auto"/>
          <w:spacing w:val="5"/>
          <w:sz w:val="24"/>
          <w:szCs w:val="24"/>
          <w:highlight w:val="none"/>
        </w:rPr>
        <w:t>，但承包人根据第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6.6.2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 xml:space="preserve">项有权就修  </w:t>
      </w:r>
      <w:r>
        <w:rPr>
          <w:rFonts w:hint="eastAsia" w:ascii="仿宋" w:hAnsi="仿宋" w:eastAsia="仿宋" w:cs="仿宋"/>
          <w:color w:val="auto"/>
          <w:spacing w:val="8"/>
          <w:sz w:val="24"/>
          <w:szCs w:val="24"/>
          <w:highlight w:val="none"/>
        </w:rPr>
        <w:t>补工作获得支付的情况除外。</w:t>
      </w:r>
    </w:p>
    <w:p w14:paraId="711BCC9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第7条</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施工</w:t>
      </w:r>
    </w:p>
    <w:p w14:paraId="4AB6B4A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27B034B0">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7E27A9CF">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3" w:right="176"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除专用合同条件另有约定外，发包人应根据工程实施</w:t>
      </w:r>
      <w:r>
        <w:rPr>
          <w:rFonts w:hint="eastAsia" w:ascii="仿宋" w:hAnsi="仿宋" w:eastAsia="仿宋" w:cs="仿宋"/>
          <w:color w:val="auto"/>
          <w:spacing w:val="7"/>
          <w:sz w:val="24"/>
          <w:szCs w:val="24"/>
          <w:highlight w:val="none"/>
        </w:rPr>
        <w:t>需要，负责取得出入施工现场所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需的批准手续和全部权利，以及取得因工程实施所需修建道路、桥梁以及其他基础设施的权</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利，并承担相关手续费用和建设费用。承包人应协助发包人办理修建场内外道路、桥梁以及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其他基础设施的手续。</w:t>
      </w:r>
    </w:p>
    <w:p w14:paraId="6D9812B0">
      <w:pPr>
        <w:rPr>
          <w:rFonts w:hint="eastAsia" w:ascii="仿宋" w:hAnsi="仿宋" w:eastAsia="仿宋" w:cs="仿宋"/>
          <w:sz w:val="24"/>
          <w:szCs w:val="24"/>
        </w:rPr>
      </w:pPr>
      <w:r>
        <w:rPr>
          <w:rFonts w:hint="eastAsia" w:ascii="仿宋" w:hAnsi="仿宋" w:eastAsia="仿宋" w:cs="仿宋"/>
          <w:color w:val="auto"/>
          <w:spacing w:val="5"/>
          <w:sz w:val="24"/>
          <w:szCs w:val="24"/>
          <w:highlight w:val="none"/>
        </w:rPr>
        <w:t>7.1.2 场外交通</w:t>
      </w:r>
    </w:p>
    <w:p w14:paraId="010F8F94">
      <w:pPr>
        <w:pStyle w:val="2"/>
        <w:keepNext w:val="0"/>
        <w:keepLines w:val="0"/>
        <w:pageBreakBefore w:val="0"/>
        <w:widowControl/>
        <w:kinsoku w:val="0"/>
        <w:wordWrap/>
        <w:overflowPunct/>
        <w:topLinePunct w:val="0"/>
        <w:autoSpaceDE w:val="0"/>
        <w:autoSpaceDN w:val="0"/>
        <w:bidi w:val="0"/>
        <w:adjustRightInd w:val="0"/>
        <w:snapToGrid w:val="0"/>
        <w:spacing w:before="40" w:line="247" w:lineRule="auto"/>
        <w:ind w:right="15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除专用合同条件另有约定外，发包人应提供场外交通</w:t>
      </w:r>
      <w:r>
        <w:rPr>
          <w:rFonts w:hint="eastAsia" w:ascii="仿宋" w:hAnsi="仿宋" w:eastAsia="仿宋" w:cs="仿宋"/>
          <w:color w:val="auto"/>
          <w:spacing w:val="7"/>
          <w:sz w:val="24"/>
          <w:szCs w:val="24"/>
          <w:highlight w:val="none"/>
        </w:rPr>
        <w:t>设施的技术参数和具体条件，场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外交通设施无法满足工程施工需要的，由发包人负责承担由此产生的相关费用。承包人应遵</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守有关交通法规，严格按照道路和桥梁的限制荷载行驶，执行有关道路限速、限行、禁止超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载的规定，并配合交通管理部门的监督和检查。承包人车辆外出行驶所需的场外公共道路的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通行费、养路费和税款等由承包人承担。</w:t>
      </w:r>
    </w:p>
    <w:p w14:paraId="07C3BFD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78A71C3F">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101"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除专用合同条件另有约定外，承包人应负责修建</w:t>
      </w:r>
      <w:r>
        <w:rPr>
          <w:rFonts w:hint="eastAsia" w:ascii="仿宋" w:hAnsi="仿宋" w:eastAsia="仿宋" w:cs="仿宋"/>
          <w:color w:val="auto"/>
          <w:spacing w:val="7"/>
          <w:sz w:val="24"/>
          <w:szCs w:val="24"/>
          <w:highlight w:val="none"/>
        </w:rPr>
        <w:t>、维修、养护和管理施工所需的临时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道路和交通设施，包括维修、养护和管理发包人提供的道路和交通设施，并承</w:t>
      </w:r>
      <w:r>
        <w:rPr>
          <w:rFonts w:hint="eastAsia" w:ascii="仿宋" w:hAnsi="仿宋" w:eastAsia="仿宋" w:cs="仿宋"/>
          <w:color w:val="auto"/>
          <w:spacing w:val="8"/>
          <w:sz w:val="24"/>
          <w:szCs w:val="24"/>
          <w:highlight w:val="none"/>
        </w:rPr>
        <w:t>担相应费用。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承包人修建的临时道路和交通设施应免费提供发包人和工程师为实现合同目的使用。场内交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通与场外交通的边界由合同当事人在专用合同条件中约定。</w:t>
      </w:r>
    </w:p>
    <w:p w14:paraId="57A2910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3C4DA64">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5" w:firstLine="62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由承包人负责运输的超大件或超重件，应由承包人负责向交通管理部门办理申请手续，</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6"/>
          <w:sz w:val="24"/>
          <w:szCs w:val="24"/>
          <w:highlight w:val="none"/>
        </w:rPr>
        <w:t>发包人给予协助。运输超大件或超重件所需的道路和桥梁临时加固改造费用和其他有关费用，</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由承包人承担，但专用合同条件另有约定的除</w:t>
      </w:r>
      <w:r>
        <w:rPr>
          <w:rFonts w:hint="eastAsia" w:ascii="仿宋" w:hAnsi="仿宋" w:eastAsia="仿宋" w:cs="仿宋"/>
          <w:color w:val="auto"/>
          <w:spacing w:val="8"/>
          <w:sz w:val="24"/>
          <w:szCs w:val="24"/>
          <w:highlight w:val="none"/>
        </w:rPr>
        <w:t>外。</w:t>
      </w:r>
    </w:p>
    <w:p w14:paraId="542FEFD6">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7.1.5 道路和桥梁的损坏责任</w:t>
      </w:r>
    </w:p>
    <w:p w14:paraId="220643A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60"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因承包人运输造成施工现场内外公共道路和</w:t>
      </w:r>
      <w:r>
        <w:rPr>
          <w:rFonts w:hint="eastAsia" w:ascii="仿宋" w:hAnsi="仿宋" w:eastAsia="仿宋" w:cs="仿宋"/>
          <w:color w:val="auto"/>
          <w:spacing w:val="7"/>
          <w:sz w:val="24"/>
          <w:szCs w:val="24"/>
          <w:highlight w:val="none"/>
        </w:rPr>
        <w:t>桥梁损坏的，由承包人承担修复损坏的全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部费用和可能引起的赔偿。</w:t>
      </w:r>
    </w:p>
    <w:p w14:paraId="604E512C">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7.1.6 水路和航空运输</w:t>
      </w:r>
    </w:p>
    <w:p w14:paraId="5F3C106C">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8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本条上述各款的内容适用于水路运输和航空运输</w:t>
      </w:r>
      <w:r>
        <w:rPr>
          <w:rFonts w:hint="eastAsia" w:ascii="仿宋" w:hAnsi="仿宋" w:eastAsia="仿宋" w:cs="仿宋"/>
          <w:color w:val="auto"/>
          <w:spacing w:val="3"/>
          <w:sz w:val="24"/>
          <w:szCs w:val="24"/>
          <w:highlight w:val="none"/>
        </w:rPr>
        <w:t>，其中“道路</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3"/>
          <w:sz w:val="24"/>
          <w:szCs w:val="24"/>
          <w:highlight w:val="none"/>
        </w:rPr>
        <w:t>”一词的涵义包括河道、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航线、船闸、机场、码头、堤防以及水路或航空运输中其他相似结构物；“车辆</w:t>
      </w:r>
      <w:r>
        <w:rPr>
          <w:rFonts w:hint="eastAsia" w:ascii="仿宋" w:hAnsi="仿宋" w:eastAsia="仿宋" w:cs="仿宋"/>
          <w:color w:val="auto"/>
          <w:spacing w:val="-61"/>
          <w:sz w:val="24"/>
          <w:szCs w:val="24"/>
          <w:highlight w:val="none"/>
        </w:rPr>
        <w:t xml:space="preserve"> </w:t>
      </w:r>
      <w:r>
        <w:rPr>
          <w:rFonts w:hint="eastAsia" w:ascii="仿宋" w:hAnsi="仿宋" w:eastAsia="仿宋" w:cs="仿宋"/>
          <w:color w:val="auto"/>
          <w:spacing w:val="6"/>
          <w:sz w:val="24"/>
          <w:szCs w:val="24"/>
          <w:highlight w:val="none"/>
        </w:rPr>
        <w:t xml:space="preserve">”一词的涵 </w:t>
      </w:r>
      <w:r>
        <w:rPr>
          <w:rFonts w:hint="eastAsia" w:ascii="仿宋" w:hAnsi="仿宋" w:eastAsia="仿宋" w:cs="仿宋"/>
          <w:color w:val="auto"/>
          <w:spacing w:val="8"/>
          <w:sz w:val="24"/>
          <w:szCs w:val="24"/>
          <w:highlight w:val="none"/>
        </w:rPr>
        <w:t>义包括船舶和飞机等。</w:t>
      </w:r>
    </w:p>
    <w:p w14:paraId="04BD71C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50A5E63">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3543BA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承包人应按项目进度计划的要求，及时配置施工设备和修建临时设施。进入施工现场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的承包人提供的施工设备需经工程师核查后才能投入使用。承包人更换合同约定由承包人提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供的施工设备的，应报工程师批准。</w:t>
      </w:r>
    </w:p>
    <w:p w14:paraId="1AB16F8F">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33"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除专用合同条件另有约定外，承包人应自行承担修建</w:t>
      </w:r>
      <w:r>
        <w:rPr>
          <w:rFonts w:hint="eastAsia" w:ascii="仿宋" w:hAnsi="仿宋" w:eastAsia="仿宋" w:cs="仿宋"/>
          <w:color w:val="auto"/>
          <w:spacing w:val="7"/>
          <w:sz w:val="24"/>
          <w:szCs w:val="24"/>
          <w:highlight w:val="none"/>
        </w:rPr>
        <w:t>临时设施的费用，需要临时占地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的，应由发包人办理申请手续并承担相应费用。承包人应在专用合同条件</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款约定的时间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内向发包人提交临时占地资料，因承包人未能按时提交资料，导致工期延误的，由此增加的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8"/>
          <w:sz w:val="24"/>
          <w:szCs w:val="24"/>
          <w:highlight w:val="none"/>
        </w:rPr>
        <w:t>费用和（或）竣工日期延误，由承包人负责。</w:t>
      </w:r>
    </w:p>
    <w:p w14:paraId="70CE8A08">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1437E8">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发包人提供的施工设备或临时设施在专用合同条件中约定。</w:t>
      </w:r>
    </w:p>
    <w:p w14:paraId="4D0A4F3D">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7.2.3 要求承包人增加或更换施工设备</w:t>
      </w:r>
    </w:p>
    <w:p w14:paraId="478A78B6">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承包人使用的施工设备不能满足项目进度计划和（或）质量要求时，工程师有权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承包人增加或更换施工设备，承包人应及时增加或更换，由此增加的费用和（或）延误的工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期由承包人承担。</w:t>
      </w:r>
    </w:p>
    <w:p w14:paraId="5957D05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7.2.4 施工设备和临时设施专用于合同工程</w:t>
      </w:r>
    </w:p>
    <w:p w14:paraId="0E44A761">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0" w:right="159"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承包人运入施工现场的施工设备以及在施工现场建设的临时设施必须专用于工程。未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经发包人批准，承包人不得运出施工现场或挪作他用；经发包人批准，承包人可以根据施工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进度计划撤走闲置的施工设备和其他物品。</w:t>
      </w:r>
    </w:p>
    <w:p w14:paraId="2843FE4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FD591FC">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01"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承包人应按合同约定或发包人的指示，与发包人人员、发包人的其他承包人等人</w:t>
      </w:r>
      <w:r>
        <w:rPr>
          <w:rFonts w:hint="eastAsia" w:ascii="仿宋" w:hAnsi="仿宋" w:eastAsia="仿宋" w:cs="仿宋"/>
          <w:color w:val="auto"/>
          <w:spacing w:val="7"/>
          <w:sz w:val="24"/>
          <w:szCs w:val="24"/>
          <w:highlight w:val="none"/>
        </w:rPr>
        <w:t>员就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在现场或附近实施与工程有关的各项工作进行合作并提供适当条件，包括使用</w:t>
      </w:r>
      <w:r>
        <w:rPr>
          <w:rFonts w:hint="eastAsia" w:ascii="仿宋" w:hAnsi="仿宋" w:eastAsia="仿宋" w:cs="仿宋"/>
          <w:color w:val="auto"/>
          <w:spacing w:val="8"/>
          <w:sz w:val="24"/>
          <w:szCs w:val="24"/>
          <w:highlight w:val="none"/>
        </w:rPr>
        <w:t>承包人设备、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临时工程或进入现场等。</w:t>
      </w:r>
    </w:p>
    <w:p w14:paraId="6BBCFBEC">
      <w:pPr>
        <w:pStyle w:val="2"/>
        <w:keepNext w:val="0"/>
        <w:keepLines w:val="0"/>
        <w:pageBreakBefore w:val="0"/>
        <w:widowControl/>
        <w:kinsoku w:val="0"/>
        <w:wordWrap/>
        <w:overflowPunct/>
        <w:topLinePunct w:val="0"/>
        <w:autoSpaceDE w:val="0"/>
        <w:autoSpaceDN w:val="0"/>
        <w:bidi w:val="0"/>
        <w:adjustRightInd w:val="0"/>
        <w:snapToGrid w:val="0"/>
        <w:spacing w:before="25"/>
        <w:ind w:left="23" w:right="146"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承包人应对其在现场的施工活动负责，并应尽合理努力按合同约定或发包人的指示，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协调自身与发包人人员、发包人的其他承包人等人员的活动。</w:t>
      </w:r>
    </w:p>
    <w:p w14:paraId="73755368">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ind w:right="173"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除专用合同条件另有约定外，如果承包人提供上述合</w:t>
      </w:r>
      <w:r>
        <w:rPr>
          <w:rFonts w:hint="eastAsia" w:ascii="仿宋" w:hAnsi="仿宋" w:eastAsia="仿宋" w:cs="仿宋"/>
          <w:color w:val="auto"/>
          <w:spacing w:val="7"/>
          <w:sz w:val="24"/>
          <w:szCs w:val="24"/>
          <w:highlight w:val="none"/>
        </w:rPr>
        <w:t>作、条件或协调在考虑到《发包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人要求》所列内容的情况下是不可预见的，则承包人有权就额外费用和合理利润从发包人处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获得支付，且因此延误的工期应相应顺延。</w:t>
      </w:r>
    </w:p>
    <w:p w14:paraId="186CA6E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341ECAFB">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7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7.4.1 除专用合同条件另有约定外，承包人应根据国家测绘基准</w:t>
      </w:r>
      <w:r>
        <w:rPr>
          <w:rFonts w:hint="eastAsia" w:ascii="仿宋" w:hAnsi="仿宋" w:eastAsia="仿宋" w:cs="仿宋"/>
          <w:color w:val="auto"/>
          <w:spacing w:val="6"/>
          <w:sz w:val="24"/>
          <w:szCs w:val="24"/>
          <w:highlight w:val="none"/>
        </w:rPr>
        <w:t>、测绘系统和工程测量技术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规范，按基准点（线）以及合同工程精度要求，测设施工控制网，并在专用合同条件约定的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期限内，将施工控制网资料报送工程师。</w:t>
      </w:r>
    </w:p>
    <w:p w14:paraId="74BCF91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7.4.2 承包人应负责管理施工控制网点。施工控制网点丢失或损坏的，承包人应及时修复。</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承包人应承担施工控制网点的管理与修复费用，并</w:t>
      </w:r>
      <w:r>
        <w:rPr>
          <w:rFonts w:hint="eastAsia" w:ascii="仿宋" w:hAnsi="仿宋" w:eastAsia="仿宋" w:cs="仿宋"/>
          <w:color w:val="auto"/>
          <w:spacing w:val="6"/>
          <w:sz w:val="24"/>
          <w:szCs w:val="24"/>
          <w:highlight w:val="none"/>
        </w:rPr>
        <w:t>在工程竣工后将施工控制网点移交发包人。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承包人负责对工程、单位/区段工程、施工部位放线，并对放线的准确性负责。</w:t>
      </w:r>
    </w:p>
    <w:p w14:paraId="6591E686">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7.4.3 承包人负责施工过程中的全部施工测量放线工作，并配置具</w:t>
      </w:r>
      <w:r>
        <w:rPr>
          <w:rFonts w:hint="eastAsia" w:ascii="仿宋" w:hAnsi="仿宋" w:eastAsia="仿宋" w:cs="仿宋"/>
          <w:color w:val="auto"/>
          <w:spacing w:val="6"/>
          <w:sz w:val="24"/>
          <w:szCs w:val="24"/>
          <w:highlight w:val="none"/>
        </w:rPr>
        <w:t>有相应资质的人员、合格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的仪器、设备和其他物品。承包人应矫正工程的位置、标高、尺寸或基准线中出现的任何差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错，并对工程各部分的定位负责。施工过程中对施工现场内水准点等测量标志物的保护工作</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由承包人负责。</w:t>
      </w:r>
    </w:p>
    <w:p w14:paraId="4FC03407">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0F2680F5">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7.5.1 承包人及其分包人招用建筑工人的，应当依法与所招用的建</w:t>
      </w:r>
      <w:r>
        <w:rPr>
          <w:rFonts w:hint="eastAsia" w:ascii="仿宋" w:hAnsi="仿宋" w:eastAsia="仿宋" w:cs="仿宋"/>
          <w:color w:val="auto"/>
          <w:spacing w:val="6"/>
          <w:sz w:val="24"/>
          <w:szCs w:val="24"/>
          <w:highlight w:val="none"/>
        </w:rPr>
        <w:t>筑工人订立劳动合同，实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行建筑工人劳动用工实名制管理，承包人应当按照有关规定开设建筑工人工资专用账户、存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储工资保证金，专项用于支付和保障该工程建设项目建筑工人工资。</w:t>
      </w:r>
    </w:p>
    <w:p w14:paraId="5FB56B22">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承包人应当在工程项目部配备劳资专管员，对分包单位劳</w:t>
      </w:r>
      <w:r>
        <w:rPr>
          <w:rFonts w:hint="eastAsia" w:ascii="仿宋" w:hAnsi="仿宋" w:eastAsia="仿宋" w:cs="仿宋"/>
          <w:color w:val="auto"/>
          <w:spacing w:val="6"/>
          <w:sz w:val="24"/>
          <w:szCs w:val="24"/>
          <w:highlight w:val="none"/>
        </w:rPr>
        <w:t>动用工及工资发放实施监督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管理。承包人拖欠建筑工人工资的,应当依法予以清偿。分包人拖欠建筑工人工资的,由承包</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0"/>
          <w:sz w:val="24"/>
          <w:szCs w:val="24"/>
          <w:highlight w:val="none"/>
        </w:rPr>
        <w:t>人先行清偿,再依法进行追偿。因发包人未按照合同约定及时拨付工程款导致建</w:t>
      </w:r>
      <w:r>
        <w:rPr>
          <w:rFonts w:hint="eastAsia" w:ascii="仿宋" w:hAnsi="仿宋" w:eastAsia="仿宋" w:cs="仿宋"/>
          <w:color w:val="auto"/>
          <w:spacing w:val="9"/>
          <w:sz w:val="24"/>
          <w:szCs w:val="24"/>
          <w:highlight w:val="none"/>
        </w:rPr>
        <w:t>筑工人工资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拖欠的，发包人应当以未结清的工程款为限先行垫付被拖欠的建筑工人工资。合同当事人可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在专用合同条件中约定具体的清偿事宜和违约责任。</w:t>
      </w:r>
    </w:p>
    <w:p w14:paraId="35BB25A7">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7.5.3 承包人应当按照相关法律法规的要求，进</w:t>
      </w:r>
      <w:r>
        <w:rPr>
          <w:rFonts w:hint="eastAsia" w:ascii="仿宋" w:hAnsi="仿宋" w:eastAsia="仿宋" w:cs="仿宋"/>
          <w:color w:val="auto"/>
          <w:spacing w:val="8"/>
          <w:sz w:val="24"/>
          <w:szCs w:val="24"/>
          <w:highlight w:val="none"/>
        </w:rPr>
        <w:t>行劳动用工管理和建筑工人工资支付。</w:t>
      </w:r>
    </w:p>
    <w:p w14:paraId="137B42C7">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2FCD6F5B">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4CE6E35">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73"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合同履行期间，合同当事人均应当遵守国家和工程所在地有关安全生产的要求，</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当事人有特别要求的，应在专用合同条件中明确安全生产标准化目标及相应事项。承包人有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权拒绝发包人及工程师强令承包人违章作业、冒险施工的任何指示。</w:t>
      </w:r>
    </w:p>
    <w:p w14:paraId="325106DD">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在工程实施过程中，如遇到突发的地质变动、事先未知的地下施工障碍等影响施工安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全的紧急情况，承包人应及时报告工程师和发包人，发包人应当及时下令停工并采取应急措</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施，按照相关法律法规的要求需上报政府有关行政管理部门的，应依法上报。</w:t>
      </w:r>
    </w:p>
    <w:p w14:paraId="6016F35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因安全生产需要暂停施工的，按照第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款[暂停工作]的约定执行。</w:t>
      </w:r>
    </w:p>
    <w:p w14:paraId="7687CCF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7.6.2 安全生产保证措施</w:t>
      </w:r>
    </w:p>
    <w:p w14:paraId="026C831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承包人应当按照法律、法规和工程建设强制性标准进行设计、在设计文件中注明</w:t>
      </w:r>
      <w:r>
        <w:rPr>
          <w:rFonts w:hint="eastAsia" w:ascii="仿宋" w:hAnsi="仿宋" w:eastAsia="仿宋" w:cs="仿宋"/>
          <w:color w:val="auto"/>
          <w:spacing w:val="7"/>
          <w:sz w:val="24"/>
          <w:szCs w:val="24"/>
          <w:highlight w:val="none"/>
        </w:rPr>
        <w:t>涉及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施工安全的重点部位和环节，提出保障施工作业人员和预防安全事故的措施建议，防止因设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计不合理导致生产安全事故的发生。</w:t>
      </w:r>
    </w:p>
    <w:p w14:paraId="2BE8BD28">
      <w:pPr>
        <w:pStyle w:val="2"/>
        <w:keepNext w:val="0"/>
        <w:keepLines w:val="0"/>
        <w:pageBreakBefore w:val="0"/>
        <w:widowControl/>
        <w:kinsoku w:val="0"/>
        <w:wordWrap/>
        <w:overflowPunct/>
        <w:topLinePunct w:val="0"/>
        <w:autoSpaceDE w:val="0"/>
        <w:autoSpaceDN w:val="0"/>
        <w:bidi w:val="0"/>
        <w:adjustRightInd w:val="0"/>
        <w:snapToGrid w:val="0"/>
        <w:spacing w:before="25" w:line="246"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承包人应当按照有关规定编制安全技术措施或者专项施工方案，建立安全生产责</w:t>
      </w:r>
      <w:r>
        <w:rPr>
          <w:rFonts w:hint="eastAsia" w:ascii="仿宋" w:hAnsi="仿宋" w:eastAsia="仿宋" w:cs="仿宋"/>
          <w:color w:val="auto"/>
          <w:spacing w:val="7"/>
          <w:sz w:val="24"/>
          <w:szCs w:val="24"/>
          <w:highlight w:val="none"/>
        </w:rPr>
        <w:t>任制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度、治安保卫制度及安全生产教育培训制度，并按安全生产法律规定及合同约定履行安全职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责，如实编制工程安全生产的有关记录，接受发包人、工程师及政府安全监督部门的检查与</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监督。</w:t>
      </w:r>
    </w:p>
    <w:p w14:paraId="233F9F1A">
      <w:pPr>
        <w:pStyle w:val="2"/>
        <w:keepNext w:val="0"/>
        <w:keepLines w:val="0"/>
        <w:pageBreakBefore w:val="0"/>
        <w:widowControl/>
        <w:kinsoku w:val="0"/>
        <w:wordWrap/>
        <w:overflowPunct/>
        <w:topLinePunct w:val="0"/>
        <w:autoSpaceDE w:val="0"/>
        <w:autoSpaceDN w:val="0"/>
        <w:bidi w:val="0"/>
        <w:adjustRightInd w:val="0"/>
        <w:snapToGrid w:val="0"/>
        <w:spacing w:before="24" w:line="247" w:lineRule="auto"/>
        <w:ind w:left="21" w:right="1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承包人应按照法律规定进行施工，开工前做好安全技术交底工作，施工过程中做好各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项安全防护措施。承包人为实施合同而雇用的特殊工种的人员应受过专门的培训并已取得政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府有关管理机构颁发的上岗证书。承包人应加强施工作业安全管理，特别应加</w:t>
      </w:r>
      <w:r>
        <w:rPr>
          <w:rFonts w:hint="eastAsia" w:ascii="仿宋" w:hAnsi="仿宋" w:eastAsia="仿宋" w:cs="仿宋"/>
          <w:color w:val="auto"/>
          <w:spacing w:val="8"/>
          <w:sz w:val="24"/>
          <w:szCs w:val="24"/>
          <w:highlight w:val="none"/>
        </w:rPr>
        <w:t>强对于易燃、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易爆材料、火工器材、有毒与腐蚀性材料和其他危险品的管理，以及对爆破作业和地下工程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施工等危险作业的管理。</w:t>
      </w:r>
    </w:p>
    <w:p w14:paraId="3B2E1863">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5E365E75">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承包人在工程施工期间，应当采取措施保持施工现场平整，物料堆放整齐。工程所在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地有关政府行政管理部门有特殊要求的，按照其要求执行。合同当事人对文明施工有其他要</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求的，可以在专用合同条件中明确。</w:t>
      </w:r>
    </w:p>
    <w:p w14:paraId="368B7F51">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在工程移交之前，承包人应当从施工现场清除承包人的全部工程设备、多余材料、垃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圾和各种临时工程，并保持施工现场清洁整齐。经发包人书面同意，承包人可在发包人指定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的地点保留承包人履行保修期内的各项义务所需要的材料、施工设备和临时工程。</w:t>
      </w:r>
    </w:p>
    <w:p w14:paraId="0404664E">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7.6.4 事故处理</w:t>
      </w:r>
    </w:p>
    <w:p w14:paraId="42EFE253">
      <w:pPr>
        <w:pStyle w:val="2"/>
        <w:keepNext w:val="0"/>
        <w:keepLines w:val="0"/>
        <w:pageBreakBefore w:val="0"/>
        <w:widowControl/>
        <w:kinsoku w:val="0"/>
        <w:wordWrap/>
        <w:overflowPunct/>
        <w:topLinePunct w:val="0"/>
        <w:autoSpaceDE w:val="0"/>
        <w:autoSpaceDN w:val="0"/>
        <w:bidi w:val="0"/>
        <w:adjustRightInd w:val="0"/>
        <w:snapToGrid w:val="0"/>
        <w:spacing w:before="143" w:line="245" w:lineRule="auto"/>
        <w:ind w:left="21"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仿宋" w:hAnsi="仿宋" w:eastAsia="仿宋" w:cs="仿宋"/>
          <w:color w:val="auto"/>
          <w:spacing w:val="4"/>
          <w:sz w:val="24"/>
          <w:szCs w:val="24"/>
          <w:highlight w:val="none"/>
        </w:rPr>
        <w:t>按国家有关规定，及时如实地向有关部门报告事故发生的情况，以及正在采取的紧急措施等。</w:t>
      </w:r>
    </w:p>
    <w:p w14:paraId="75B86323">
      <w:pPr>
        <w:pStyle w:val="2"/>
        <w:keepNext w:val="0"/>
        <w:keepLines w:val="0"/>
        <w:pageBreakBefore w:val="0"/>
        <w:widowControl/>
        <w:kinsoku w:val="0"/>
        <w:wordWrap/>
        <w:overflowPunct/>
        <w:topLinePunct w:val="0"/>
        <w:autoSpaceDE w:val="0"/>
        <w:autoSpaceDN w:val="0"/>
        <w:bidi w:val="0"/>
        <w:adjustRightInd w:val="0"/>
        <w:snapToGrid w:val="0"/>
        <w:spacing w:before="27" w:line="246" w:lineRule="auto"/>
        <w:ind w:left="23"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在工程实施期间或缺陷责任期内发生危及工程</w:t>
      </w:r>
      <w:r>
        <w:rPr>
          <w:rFonts w:hint="eastAsia" w:ascii="仿宋" w:hAnsi="仿宋" w:eastAsia="仿宋" w:cs="仿宋"/>
          <w:color w:val="auto"/>
          <w:spacing w:val="7"/>
          <w:sz w:val="24"/>
          <w:szCs w:val="24"/>
          <w:highlight w:val="none"/>
        </w:rPr>
        <w:t xml:space="preserve">安全的事件，工程师通知承包人进行抢 </w:t>
      </w:r>
      <w:r>
        <w:rPr>
          <w:rFonts w:hint="eastAsia" w:ascii="仿宋" w:hAnsi="仿宋" w:eastAsia="仿宋" w:cs="仿宋"/>
          <w:color w:val="auto"/>
          <w:spacing w:val="4"/>
          <w:sz w:val="24"/>
          <w:szCs w:val="24"/>
          <w:highlight w:val="none"/>
        </w:rPr>
        <w:t>救和抢修，承包人声明无能力或不愿立即执行的，发包人有权雇佣其他人员进行抢救和抢修。</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此类抢救和抢修按合同约定属于承包人义务的，由此增加的费用和（或）延误的工期由承</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人承担。</w:t>
      </w:r>
    </w:p>
    <w:p w14:paraId="45F893A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7.6.5 安全生产责任</w:t>
      </w:r>
    </w:p>
    <w:p w14:paraId="454F8DAF">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发包人应负责赔偿以下各种情况造成的损失：</w:t>
      </w:r>
    </w:p>
    <w:p w14:paraId="2489E94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工程或工程的任何部分对土地的占用所造</w:t>
      </w:r>
      <w:r>
        <w:rPr>
          <w:rFonts w:hint="eastAsia" w:ascii="仿宋" w:hAnsi="仿宋" w:eastAsia="仿宋" w:cs="仿宋"/>
          <w:color w:val="auto"/>
          <w:spacing w:val="8"/>
          <w:sz w:val="24"/>
          <w:szCs w:val="24"/>
          <w:highlight w:val="none"/>
        </w:rPr>
        <w:t>成的第三者财产损失；</w:t>
      </w:r>
    </w:p>
    <w:p w14:paraId="034F0B0A">
      <w:pPr>
        <w:pStyle w:val="2"/>
        <w:keepNext w:val="0"/>
        <w:keepLines w:val="0"/>
        <w:pageBreakBefore w:val="0"/>
        <w:widowControl/>
        <w:kinsoku w:val="0"/>
        <w:wordWrap/>
        <w:overflowPunct/>
        <w:topLinePunct w:val="0"/>
        <w:autoSpaceDE w:val="0"/>
        <w:autoSpaceDN w:val="0"/>
        <w:bidi w:val="0"/>
        <w:adjustRightInd w:val="0"/>
        <w:snapToGrid w:val="0"/>
        <w:spacing w:before="24"/>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由于发包人原因在施工现场及其毗邻地带、履行合同工作中造成的第三者人身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伤亡和财产损失；</w:t>
      </w:r>
    </w:p>
    <w:p w14:paraId="5A8F57D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right="17"/>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由于发包人原因对发包人自身、承包人、工程师造成的人身伤</w:t>
      </w:r>
      <w:r>
        <w:rPr>
          <w:rFonts w:hint="eastAsia" w:ascii="仿宋" w:hAnsi="仿宋" w:eastAsia="仿宋" w:cs="仿宋"/>
          <w:color w:val="auto"/>
          <w:spacing w:val="7"/>
          <w:sz w:val="24"/>
          <w:szCs w:val="24"/>
          <w:highlight w:val="none"/>
        </w:rPr>
        <w:t>害和财产损失。</w:t>
      </w:r>
    </w:p>
    <w:p w14:paraId="68AA551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承包人应负责赔偿由于承包人原因在施工现场及其毗邻地带、履行合同工作中造</w:t>
      </w:r>
      <w:r>
        <w:rPr>
          <w:rFonts w:hint="eastAsia" w:ascii="仿宋" w:hAnsi="仿宋" w:eastAsia="仿宋" w:cs="仿宋"/>
          <w:color w:val="auto"/>
          <w:spacing w:val="7"/>
          <w:sz w:val="24"/>
          <w:szCs w:val="24"/>
          <w:highlight w:val="none"/>
        </w:rPr>
        <w:t>成的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第三者人身伤亡和财产损失。</w:t>
      </w:r>
    </w:p>
    <w:p w14:paraId="5C4457A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如果上述损失是由于发包人和承包人共同原因导致的，则双方应根据过错</w:t>
      </w:r>
      <w:r>
        <w:rPr>
          <w:rFonts w:hint="eastAsia" w:ascii="仿宋" w:hAnsi="仿宋" w:eastAsia="仿宋" w:cs="仿宋"/>
          <w:color w:val="auto"/>
          <w:spacing w:val="7"/>
          <w:sz w:val="24"/>
          <w:szCs w:val="24"/>
          <w:highlight w:val="none"/>
        </w:rPr>
        <w:t>情况按比例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承担。</w:t>
      </w:r>
    </w:p>
    <w:p w14:paraId="49CBB39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7.7 职业健康</w:t>
      </w:r>
    </w:p>
    <w:p w14:paraId="1923D0AD">
      <w:pPr>
        <w:pStyle w:val="2"/>
        <w:keepNext w:val="0"/>
        <w:keepLines w:val="0"/>
        <w:pageBreakBefore w:val="0"/>
        <w:widowControl/>
        <w:kinsoku w:val="0"/>
        <w:wordWrap/>
        <w:overflowPunct/>
        <w:topLinePunct w:val="0"/>
        <w:autoSpaceDE w:val="0"/>
        <w:autoSpaceDN w:val="0"/>
        <w:bidi w:val="0"/>
        <w:adjustRightInd w:val="0"/>
        <w:snapToGrid w:val="0"/>
        <w:spacing w:before="14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承包人应遵守适用的职业健康的法律和合同约定（包括对雇用、职业健康、安全、福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利等方面的规定</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9"/>
          <w:sz w:val="24"/>
          <w:szCs w:val="24"/>
          <w:highlight w:val="none"/>
        </w:rPr>
        <w:t>负责现场实施过程中其人员的职业健</w:t>
      </w:r>
      <w:r>
        <w:rPr>
          <w:rFonts w:hint="eastAsia" w:ascii="仿宋" w:hAnsi="仿宋" w:eastAsia="仿宋" w:cs="仿宋"/>
          <w:color w:val="auto"/>
          <w:spacing w:val="8"/>
          <w:sz w:val="24"/>
          <w:szCs w:val="24"/>
          <w:highlight w:val="none"/>
        </w:rPr>
        <w:t>康和保护，包括：</w:t>
      </w:r>
    </w:p>
    <w:p w14:paraId="720702C7">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16"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承包人应遵守适用的劳动法规，保护承包人员工及承包人聘用的第三方人员的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合法休假权等合法权益，按照法律规定安排现场施工人员的劳动和休息时间，保障劳动者的</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休息时间，并支付合理的报酬和费用。因工程施工的特殊需要占</w:t>
      </w:r>
      <w:r>
        <w:rPr>
          <w:rFonts w:hint="eastAsia" w:ascii="仿宋" w:hAnsi="仿宋" w:eastAsia="仿宋" w:cs="仿宋"/>
          <w:color w:val="auto"/>
          <w:spacing w:val="3"/>
          <w:sz w:val="24"/>
          <w:szCs w:val="24"/>
          <w:highlight w:val="none"/>
        </w:rPr>
        <w:t>用休假日或延长工作时间的，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应不超过法律规定的限度，并按法律规定给予补休或酬劳。</w:t>
      </w:r>
    </w:p>
    <w:p w14:paraId="70D40AE7">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（2）承包人应依法为承包人员工及承包人聘用的第三方人员</w:t>
      </w:r>
      <w:r>
        <w:rPr>
          <w:rFonts w:hint="eastAsia" w:ascii="仿宋" w:hAnsi="仿宋" w:eastAsia="仿宋" w:cs="仿宋"/>
          <w:color w:val="auto"/>
          <w:spacing w:val="6"/>
          <w:sz w:val="24"/>
          <w:szCs w:val="24"/>
          <w:highlight w:val="none"/>
        </w:rPr>
        <w:t>办理必要的证件、许可、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保险和注册等，承包人应督促其分包人为分包人员工及分包人聘用的第三方人员办理必要</w:t>
      </w:r>
      <w:r>
        <w:rPr>
          <w:rFonts w:hint="eastAsia" w:ascii="仿宋" w:hAnsi="仿宋" w:eastAsia="仿宋" w:cs="仿宋"/>
          <w:color w:val="auto"/>
          <w:spacing w:val="6"/>
          <w:sz w:val="24"/>
          <w:szCs w:val="24"/>
          <w:highlight w:val="none"/>
        </w:rPr>
        <w:t xml:space="preserve">的 </w:t>
      </w:r>
      <w:r>
        <w:rPr>
          <w:rFonts w:hint="eastAsia" w:ascii="仿宋" w:hAnsi="仿宋" w:eastAsia="仿宋" w:cs="仿宋"/>
          <w:color w:val="auto"/>
          <w:spacing w:val="7"/>
          <w:sz w:val="24"/>
          <w:szCs w:val="24"/>
          <w:highlight w:val="none"/>
        </w:rPr>
        <w:t>证件、许可、保险和注册等。承包人应为其履行合同所雇用的人员提供必要的膳宿条件和</w:t>
      </w:r>
      <w:r>
        <w:rPr>
          <w:rFonts w:hint="eastAsia" w:ascii="仿宋" w:hAnsi="仿宋" w:eastAsia="仿宋" w:cs="仿宋"/>
          <w:color w:val="auto"/>
          <w:spacing w:val="6"/>
          <w:sz w:val="24"/>
          <w:szCs w:val="24"/>
          <w:highlight w:val="none"/>
        </w:rPr>
        <w:t xml:space="preserve">生 </w:t>
      </w:r>
      <w:r>
        <w:rPr>
          <w:rFonts w:hint="eastAsia" w:ascii="仿宋" w:hAnsi="仿宋" w:eastAsia="仿宋" w:cs="仿宋"/>
          <w:color w:val="auto"/>
          <w:spacing w:val="8"/>
          <w:sz w:val="24"/>
          <w:szCs w:val="24"/>
          <w:highlight w:val="none"/>
        </w:rPr>
        <w:t>活环境，必要的现场食宿条件。</w:t>
      </w:r>
    </w:p>
    <w:p w14:paraId="69773D0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承包人应对其施工人员进行相关作业的职业健康知识培训、危险及危害因素交</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底、安全操作规程交底、采取有效措施，按有关规定为其现场人员提供劳动保护用品、防护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器具、防暑降温用品和安全生产设施。采取有效的防止粉尘、降低噪声、控制有害气体和保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障高温、高寒、高空作业安全等劳动保护措施。</w:t>
      </w:r>
    </w:p>
    <w:p w14:paraId="5C773B0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承包人应在有毒有害作业区域设置警示标志和说明，对有毒有害岗位进行防治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检查，对不合格的防护设施、器具、搭设等及时整改，消除危害职业健康的隐患。发包人人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员和工程师人员未经承包人允许、未配备相关保护器具，进入该作业区域所造成的伤害，由</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发包人承担责任和费用。</w:t>
      </w:r>
    </w:p>
    <w:p w14:paraId="06EFFBD2">
      <w:pPr>
        <w:rPr>
          <w:rFonts w:hint="eastAsia" w:ascii="仿宋" w:hAnsi="仿宋" w:eastAsia="仿宋" w:cs="仿宋"/>
          <w:color w:val="auto"/>
          <w:spacing w:val="9"/>
          <w:sz w:val="24"/>
          <w:szCs w:val="24"/>
          <w:highlight w:val="none"/>
        </w:rPr>
      </w:pPr>
      <w:r>
        <w:rPr>
          <w:rFonts w:hint="eastAsia" w:ascii="仿宋" w:hAnsi="仿宋" w:eastAsia="仿宋" w:cs="仿宋"/>
          <w:color w:val="auto"/>
          <w:spacing w:val="7"/>
          <w:sz w:val="24"/>
          <w:szCs w:val="24"/>
          <w:highlight w:val="none"/>
        </w:rPr>
        <w:t>（5） 承包人应采取有效措施预防传染病，保持食堂的饮食卫生，保证施工人员的健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康，并定期对施工现场、施工人员生活基地和工程进行防疫和卫生的专业检查和处理, 在远</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离城镇的施工现场，还应配备必要的伤病防治和急救的医务人员与医疗设施。承包人雇佣人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员在施工中受到伤害的，承包人应立即采取有效措施进行抢救和治疗。</w:t>
      </w:r>
    </w:p>
    <w:p w14:paraId="526BD825">
      <w:pPr>
        <w:pStyle w:val="2"/>
        <w:rPr>
          <w:rFonts w:hint="eastAsia" w:ascii="仿宋" w:hAnsi="仿宋" w:eastAsia="仿宋" w:cs="仿宋"/>
          <w:color w:val="auto"/>
          <w:spacing w:val="9"/>
          <w:sz w:val="24"/>
          <w:szCs w:val="24"/>
          <w:highlight w:val="none"/>
        </w:rPr>
      </w:pPr>
    </w:p>
    <w:p w14:paraId="46F2145C">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7.8 环境保护</w:t>
      </w:r>
    </w:p>
    <w:p w14:paraId="02BD6BD5">
      <w:pPr>
        <w:pStyle w:val="2"/>
        <w:keepNext w:val="0"/>
        <w:keepLines w:val="0"/>
        <w:pageBreakBefore w:val="0"/>
        <w:widowControl/>
        <w:kinsoku w:val="0"/>
        <w:wordWrap/>
        <w:overflowPunct/>
        <w:topLinePunct w:val="0"/>
        <w:autoSpaceDE w:val="0"/>
        <w:autoSpaceDN w:val="0"/>
        <w:bidi w:val="0"/>
        <w:adjustRightInd w:val="0"/>
        <w:snapToGrid w:val="0"/>
        <w:spacing w:before="144" w:line="247" w:lineRule="auto"/>
        <w:ind w:left="2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7.8.1 承包人负责在现场施工过程中对现场周围的建筑物、构筑物、</w:t>
      </w:r>
      <w:r>
        <w:rPr>
          <w:rFonts w:hint="eastAsia" w:ascii="仿宋" w:hAnsi="仿宋" w:eastAsia="仿宋" w:cs="仿宋"/>
          <w:color w:val="auto"/>
          <w:spacing w:val="3"/>
          <w:sz w:val="24"/>
          <w:szCs w:val="24"/>
          <w:highlight w:val="none"/>
        </w:rPr>
        <w:t>文物建筑、古树、名木，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及地下管线、线缆、构筑物、文物、化石和坟墓等进行保护。因承包人未能通知发包人，并 </w:t>
      </w:r>
      <w:r>
        <w:rPr>
          <w:rFonts w:hint="eastAsia" w:ascii="仿宋" w:hAnsi="仿宋" w:eastAsia="仿宋" w:cs="仿宋"/>
          <w:color w:val="auto"/>
          <w:spacing w:val="9"/>
          <w:sz w:val="24"/>
          <w:szCs w:val="24"/>
          <w:highlight w:val="none"/>
        </w:rPr>
        <w:t>在未能得到发包人进一步指示的情况下，所造成的损害、损失、赔偿等费用增加，和（或）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竣工日期延误，由承包人负责。如承包人已及时通知发包人，发包人未能及时作出指示的，</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所造成的损害、损失、赔偿等费用增加，和（或）竣工日期延误，由发包人负责。</w:t>
      </w:r>
    </w:p>
    <w:p w14:paraId="2563176E">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4" w:right="7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7.8.2 承包人应采取措施，并负责控制和（或）处理现场的粉尘</w:t>
      </w:r>
      <w:r>
        <w:rPr>
          <w:rFonts w:hint="eastAsia" w:ascii="仿宋" w:hAnsi="仿宋" w:eastAsia="仿宋" w:cs="仿宋"/>
          <w:color w:val="auto"/>
          <w:spacing w:val="6"/>
          <w:sz w:val="24"/>
          <w:szCs w:val="24"/>
          <w:highlight w:val="none"/>
        </w:rPr>
        <w:t>、废气、废水、固体废物和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噪声对环境的污染和危害。因此发生的伤害、赔偿、罚款等费用增加，和（或）竣工日期延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
          <w:sz w:val="24"/>
          <w:szCs w:val="24"/>
          <w:highlight w:val="none"/>
        </w:rPr>
        <w:t>误，</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2"/>
          <w:sz w:val="24"/>
          <w:szCs w:val="24"/>
          <w:highlight w:val="none"/>
        </w:rPr>
        <w:t>由承包人负责。</w:t>
      </w:r>
    </w:p>
    <w:p w14:paraId="28AC0A1E">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3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7.8.3 承包人及时或定期将施工现场残留、废弃的垃圾分类后运</w:t>
      </w:r>
      <w:r>
        <w:rPr>
          <w:rFonts w:hint="eastAsia" w:ascii="仿宋" w:hAnsi="仿宋" w:eastAsia="仿宋" w:cs="仿宋"/>
          <w:color w:val="auto"/>
          <w:spacing w:val="6"/>
          <w:sz w:val="24"/>
          <w:szCs w:val="24"/>
          <w:highlight w:val="none"/>
        </w:rPr>
        <w:t>到发包人或当地有关行政部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门指定的地点，防止对周围环境的污染及对作业的影响。承包人应当承担因其原因引起的环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境污染侵权损害赔偿责任，因违反上述约定导致当地行政部门的罚款、赔偿等增加的费用，</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由承包人承担；因上述环境污染引起纠纷而导致暂停施工的，由此增加的费用和（或）延误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的工期由承包人承担。</w:t>
      </w:r>
    </w:p>
    <w:p w14:paraId="11D6DA5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247EB9EE">
      <w:pPr>
        <w:pStyle w:val="2"/>
        <w:keepNext w:val="0"/>
        <w:keepLines w:val="0"/>
        <w:pageBreakBefore w:val="0"/>
        <w:widowControl/>
        <w:kinsoku w:val="0"/>
        <w:wordWrap/>
        <w:overflowPunct/>
        <w:topLinePunct w:val="0"/>
        <w:autoSpaceDE w:val="0"/>
        <w:autoSpaceDN w:val="0"/>
        <w:bidi w:val="0"/>
        <w:adjustRightInd w:val="0"/>
        <w:snapToGrid w:val="0"/>
        <w:spacing w:before="14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7.9.1 提供临时用水、用电等和节点铺设</w:t>
      </w:r>
    </w:p>
    <w:p w14:paraId="21A5EE9C">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除专用合同条件另有约定外，发包人应在承包人进场</w:t>
      </w:r>
      <w:r>
        <w:rPr>
          <w:rFonts w:hint="eastAsia" w:ascii="仿宋" w:hAnsi="仿宋" w:eastAsia="仿宋" w:cs="仿宋"/>
          <w:color w:val="auto"/>
          <w:spacing w:val="7"/>
          <w:sz w:val="24"/>
          <w:szCs w:val="24"/>
          <w:highlight w:val="none"/>
        </w:rPr>
        <w:t>前将施工临时用水、用电等接至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约定的节点位置，并保证其需要。上述临时使用的水、电等的类别、取费单价在专用合同条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件中约定，发包人按实际计量结果收费。发包人无法提供的水</w:t>
      </w:r>
      <w:r>
        <w:rPr>
          <w:rFonts w:hint="eastAsia" w:ascii="仿宋" w:hAnsi="仿宋" w:eastAsia="仿宋" w:cs="仿宋"/>
          <w:color w:val="auto"/>
          <w:spacing w:val="3"/>
          <w:sz w:val="24"/>
          <w:szCs w:val="24"/>
          <w:highlight w:val="none"/>
        </w:rPr>
        <w:t>、电等在专用合同条件中约定，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相关费用由承包人纳入报价并承担相关责任。</w:t>
      </w:r>
    </w:p>
    <w:p w14:paraId="3DFBDFF6">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发包人未能按约定的类别和时间完成节点铺设，使开工时间延误，竣工日期相应顺延。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未能按约定的品质、数量和时间提供水、电等，给承包人造成的损失由发包人承担，导致工 </w:t>
      </w:r>
      <w:r>
        <w:rPr>
          <w:rFonts w:hint="eastAsia" w:ascii="仿宋" w:hAnsi="仿宋" w:eastAsia="仿宋" w:cs="仿宋"/>
          <w:color w:val="auto"/>
          <w:spacing w:val="8"/>
          <w:sz w:val="24"/>
          <w:szCs w:val="24"/>
          <w:highlight w:val="none"/>
        </w:rPr>
        <w:t>程关键路径延误的，竣工日期相应顺延。</w:t>
      </w:r>
    </w:p>
    <w:p w14:paraId="20218CF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7.9.2</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临时用水、用电等</w:t>
      </w:r>
    </w:p>
    <w:p w14:paraId="4EBD8B6E">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承包人应在计划开始现场施工日期</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天前或双方约定的其它时间，按专用合同条件 中约定的发包人能够提供的临时用水、用电等类别，向发包人提交施工（含工程物资保管）</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所需的临时用水、用电等的品质、正常用量、高峰用量、使用时间和节点位置等资料。承包 </w:t>
      </w:r>
      <w:r>
        <w:rPr>
          <w:rFonts w:hint="eastAsia" w:ascii="仿宋" w:hAnsi="仿宋" w:eastAsia="仿宋" w:cs="仿宋"/>
          <w:color w:val="auto"/>
          <w:spacing w:val="4"/>
          <w:sz w:val="24"/>
          <w:szCs w:val="24"/>
          <w:highlight w:val="none"/>
        </w:rPr>
        <w:t>人自费负责计量仪器的购买、安装和维护，并依据专用合同条件中约定的单价向发包人交费，</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合同当事人另有约定时除外。</w:t>
      </w:r>
    </w:p>
    <w:p w14:paraId="1BF0FB5C">
      <w:pPr>
        <w:pStyle w:val="2"/>
        <w:keepNext w:val="0"/>
        <w:keepLines w:val="0"/>
        <w:pageBreakBefore w:val="0"/>
        <w:widowControl/>
        <w:kinsoku w:val="0"/>
        <w:wordWrap/>
        <w:overflowPunct/>
        <w:topLinePunct w:val="0"/>
        <w:autoSpaceDE w:val="0"/>
        <w:autoSpaceDN w:val="0"/>
        <w:bidi w:val="0"/>
        <w:adjustRightInd w:val="0"/>
        <w:snapToGrid w:val="0"/>
        <w:spacing w:before="25"/>
        <w:ind w:left="22" w:right="75"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因承包人未能按合同约定提交上述资料，造</w:t>
      </w:r>
      <w:r>
        <w:rPr>
          <w:rFonts w:hint="eastAsia" w:ascii="仿宋" w:hAnsi="仿宋" w:eastAsia="仿宋" w:cs="仿宋"/>
          <w:color w:val="auto"/>
          <w:spacing w:val="7"/>
          <w:sz w:val="24"/>
          <w:szCs w:val="24"/>
          <w:highlight w:val="none"/>
        </w:rPr>
        <w:t>成发包人费用增加和竣工日期延误时，由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承包人负责。</w:t>
      </w:r>
    </w:p>
    <w:p w14:paraId="36AFB4E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058A662A">
      <w:pPr>
        <w:pStyle w:val="2"/>
        <w:keepNext w:val="0"/>
        <w:keepLines w:val="0"/>
        <w:pageBreakBefore w:val="0"/>
        <w:widowControl/>
        <w:kinsoku w:val="0"/>
        <w:wordWrap/>
        <w:overflowPunct/>
        <w:topLinePunct w:val="0"/>
        <w:autoSpaceDE w:val="0"/>
        <w:autoSpaceDN w:val="0"/>
        <w:bidi w:val="0"/>
        <w:adjustRightInd w:val="0"/>
        <w:snapToGrid w:val="0"/>
        <w:spacing w:before="147" w:line="246" w:lineRule="auto"/>
        <w:ind w:left="21" w:right="2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承包人承担自发包人向其移交施工现场、进入占有施工现</w:t>
      </w:r>
      <w:r>
        <w:rPr>
          <w:rFonts w:hint="eastAsia" w:ascii="仿宋" w:hAnsi="仿宋" w:eastAsia="仿宋" w:cs="仿宋"/>
          <w:color w:val="auto"/>
          <w:spacing w:val="10"/>
          <w:sz w:val="24"/>
          <w:szCs w:val="24"/>
          <w:highlight w:val="none"/>
        </w:rPr>
        <w:t>场至发包人接收单位/区段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工程或（和）工程之前的现场安保责任，并负责编制相关的安</w:t>
      </w:r>
      <w:r>
        <w:rPr>
          <w:rFonts w:hint="eastAsia" w:ascii="仿宋" w:hAnsi="仿宋" w:eastAsia="仿宋" w:cs="仿宋"/>
          <w:color w:val="auto"/>
          <w:spacing w:val="3"/>
          <w:sz w:val="24"/>
          <w:szCs w:val="24"/>
          <w:highlight w:val="none"/>
        </w:rPr>
        <w:t>保制度、责任制度和报告制度，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提交给发包人。除专用合同条件另有约定外，承包人的该等义务不因其与他人共同合法占有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施工现场而减免。承包人有权要求发包人负责协调他人就共同合法占有现场的安保事宜接受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承包人的管理。</w:t>
      </w:r>
    </w:p>
    <w:p w14:paraId="5C588DED">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承包人应将其作业限制在现场区域、合同约定的区域或为履行合同所需的区域内。承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包人应采取一切必要的预防措施，以保持承包人的设备和人员处于现场区域内，避免其进入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邻近地区。</w:t>
      </w:r>
    </w:p>
    <w:p w14:paraId="1994E13F">
      <w:pPr>
        <w:pStyle w:val="2"/>
        <w:keepNext w:val="0"/>
        <w:keepLines w:val="0"/>
        <w:pageBreakBefore w:val="0"/>
        <w:widowControl/>
        <w:kinsoku w:val="0"/>
        <w:wordWrap/>
        <w:overflowPunct/>
        <w:topLinePunct w:val="0"/>
        <w:autoSpaceDE w:val="0"/>
        <w:autoSpaceDN w:val="0"/>
        <w:bidi w:val="0"/>
        <w:adjustRightInd w:val="0"/>
        <w:snapToGrid w:val="0"/>
        <w:spacing w:before="23"/>
        <w:ind w:left="26" w:right="75" w:firstLine="59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承包人为履行合同义务而占用的其他场所（如预制加工场所</w:t>
      </w:r>
      <w:r>
        <w:rPr>
          <w:rFonts w:hint="eastAsia" w:ascii="仿宋" w:hAnsi="仿宋" w:eastAsia="仿宋" w:cs="仿宋"/>
          <w:color w:val="auto"/>
          <w:spacing w:val="9"/>
          <w:sz w:val="24"/>
          <w:szCs w:val="24"/>
          <w:highlight w:val="none"/>
        </w:rPr>
        <w:t>、办公及生活营区）</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安保适用本款前述关于现场安保的规定。</w:t>
      </w:r>
    </w:p>
    <w:p w14:paraId="0A36CAE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工程照管</w:t>
      </w:r>
    </w:p>
    <w:p w14:paraId="5535891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4" w:firstLine="63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自开始现场施工日期起至发包人应当接收工程之日止，承包人应承担工程现场、材料、</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设备及承包人文件的照管和维护工作。</w:t>
      </w:r>
    </w:p>
    <w:p w14:paraId="519DA0C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75"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如部分工程于竣工验收前提前交付发包人的，则自交付之日起，该部分工</w:t>
      </w:r>
      <w:r>
        <w:rPr>
          <w:rFonts w:hint="eastAsia" w:ascii="仿宋" w:hAnsi="仿宋" w:eastAsia="仿宋" w:cs="仿宋"/>
          <w:color w:val="auto"/>
          <w:spacing w:val="7"/>
          <w:sz w:val="24"/>
          <w:szCs w:val="24"/>
          <w:highlight w:val="none"/>
        </w:rPr>
        <w:t>程照管及维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护职责由发包人承担。</w:t>
      </w:r>
    </w:p>
    <w:p w14:paraId="7FB724E6">
      <w:pPr>
        <w:pStyle w:val="2"/>
        <w:keepNext w:val="0"/>
        <w:keepLines w:val="0"/>
        <w:pageBreakBefore w:val="0"/>
        <w:widowControl/>
        <w:kinsoku w:val="0"/>
        <w:wordWrap/>
        <w:overflowPunct/>
        <w:topLinePunct w:val="0"/>
        <w:autoSpaceDE w:val="0"/>
        <w:autoSpaceDN w:val="0"/>
        <w:bidi w:val="0"/>
        <w:adjustRightInd w:val="0"/>
        <w:snapToGrid w:val="0"/>
        <w:spacing w:before="41"/>
        <w:ind w:right="70"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如发包人及承包人进行竣工验收时尚有部分未竣工工程的，承包人应负责</w:t>
      </w:r>
      <w:r>
        <w:rPr>
          <w:rFonts w:hint="eastAsia" w:ascii="仿宋" w:hAnsi="仿宋" w:eastAsia="仿宋" w:cs="仿宋"/>
          <w:color w:val="auto"/>
          <w:spacing w:val="7"/>
          <w:sz w:val="24"/>
          <w:szCs w:val="24"/>
          <w:highlight w:val="none"/>
        </w:rPr>
        <w:t>该未竣工工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程的照管和维护工作，直至竣工后移交给发包人。</w:t>
      </w:r>
    </w:p>
    <w:p w14:paraId="2CAD0A9C">
      <w:pPr>
        <w:pStyle w:val="2"/>
        <w:keepNext w:val="0"/>
        <w:keepLines w:val="0"/>
        <w:pageBreakBefore w:val="0"/>
        <w:widowControl/>
        <w:kinsoku w:val="0"/>
        <w:wordWrap/>
        <w:overflowPunct/>
        <w:topLinePunct w:val="0"/>
        <w:autoSpaceDE w:val="0"/>
        <w:autoSpaceDN w:val="0"/>
        <w:bidi w:val="0"/>
        <w:adjustRightInd w:val="0"/>
        <w:snapToGrid w:val="0"/>
        <w:spacing w:before="24"/>
        <w:ind w:left="23" w:right="71"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如合同解除或终止的，承包人自合同解除或终止之日起不再对工程承担照</w:t>
      </w:r>
      <w:r>
        <w:rPr>
          <w:rFonts w:hint="eastAsia" w:ascii="仿宋" w:hAnsi="仿宋" w:eastAsia="仿宋" w:cs="仿宋"/>
          <w:color w:val="auto"/>
          <w:spacing w:val="7"/>
          <w:sz w:val="24"/>
          <w:szCs w:val="24"/>
          <w:highlight w:val="none"/>
        </w:rPr>
        <w:t>管和维护义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务。</w:t>
      </w:r>
    </w:p>
    <w:p w14:paraId="2A658CB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第8条 工期和进度</w:t>
      </w:r>
    </w:p>
    <w:p w14:paraId="520895B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3AFC1081">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开始工作准备</w:t>
      </w:r>
    </w:p>
    <w:p w14:paraId="011E638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合同当事人应按专用合同条件约定完成开始工作准备工作。</w:t>
      </w:r>
    </w:p>
    <w:p w14:paraId="73F6BA3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8.1.2 开始工作通知</w:t>
      </w:r>
    </w:p>
    <w:p w14:paraId="3A7ABC56">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经发包人同意后，工程师应提前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天向承包人发出经发包人签认的开始工作通知，工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期自开始工作通知中载明的开始工作日期起算。</w:t>
      </w:r>
    </w:p>
    <w:p w14:paraId="5E9BA79E">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除专用合同条件另有约定外，因发包人原因造成实际</w:t>
      </w:r>
      <w:r>
        <w:rPr>
          <w:rFonts w:hint="eastAsia" w:ascii="仿宋" w:hAnsi="仿宋" w:eastAsia="仿宋" w:cs="仿宋"/>
          <w:color w:val="auto"/>
          <w:spacing w:val="7"/>
          <w:sz w:val="24"/>
          <w:szCs w:val="24"/>
          <w:highlight w:val="none"/>
        </w:rPr>
        <w:t>开始现场施工日期迟于计划开始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现场施工日期后第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天的，承包人有权提出价格调整要求，或者解除合同。发包人应当承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担由此增加的费用和（或）延误的工期，并向承包人支付合理利润。</w:t>
      </w:r>
    </w:p>
    <w:p w14:paraId="12E06CD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59D4DD24">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承包人应在合同协议书约定的工期内完成合同工作。除专用合同条件另有约定外，工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程的竣工日期以第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10.1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条[竣工验收]的约定为准</w:t>
      </w:r>
      <w:r>
        <w:rPr>
          <w:rFonts w:hint="eastAsia" w:ascii="仿宋" w:hAnsi="仿宋" w:eastAsia="仿宋" w:cs="仿宋"/>
          <w:color w:val="auto"/>
          <w:spacing w:val="7"/>
          <w:sz w:val="24"/>
          <w:szCs w:val="24"/>
          <w:highlight w:val="none"/>
        </w:rPr>
        <w:t>，并在工程接收证书中写明。</w:t>
      </w:r>
    </w:p>
    <w:p w14:paraId="3CB4C46F">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0"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因发包人原因，在工程师收到承包人竣工验</w:t>
      </w:r>
      <w:r>
        <w:rPr>
          <w:rFonts w:hint="eastAsia" w:ascii="仿宋" w:hAnsi="仿宋" w:eastAsia="仿宋" w:cs="仿宋"/>
          <w:color w:val="auto"/>
          <w:spacing w:val="9"/>
          <w:sz w:val="24"/>
          <w:szCs w:val="24"/>
          <w:highlight w:val="none"/>
        </w:rPr>
        <w:t>收申请报告</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天后未进行验收的，视为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验收合格，实际竣工日期以提交竣工验收申请报告的日期为准，但发包人由于不可抗力不能</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进行验收的除外。</w:t>
      </w:r>
    </w:p>
    <w:p w14:paraId="0B863AB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77B7AE8A">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4071F515">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7"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项目实施计划是依据合同和经批准的项目管理计划进</w:t>
      </w:r>
      <w:r>
        <w:rPr>
          <w:rFonts w:hint="eastAsia" w:ascii="仿宋" w:hAnsi="仿宋" w:eastAsia="仿宋" w:cs="仿宋"/>
          <w:color w:val="auto"/>
          <w:spacing w:val="13"/>
          <w:sz w:val="24"/>
          <w:szCs w:val="24"/>
          <w:highlight w:val="none"/>
        </w:rPr>
        <w:t>行编制并用于对项目实施进行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管理和控制的文件，应包含概述、总体实施方案、项目实施要点、项目初步进度计划以及合</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同当事人在专用合同条件中约定的其他内容。</w:t>
      </w:r>
    </w:p>
    <w:p w14:paraId="3504074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3B47EB7A">
      <w:pPr>
        <w:pStyle w:val="2"/>
        <w:keepNext w:val="0"/>
        <w:keepLines w:val="0"/>
        <w:pageBreakBefore w:val="0"/>
        <w:widowControl/>
        <w:kinsoku w:val="0"/>
        <w:wordWrap/>
        <w:overflowPunct/>
        <w:topLinePunct w:val="0"/>
        <w:autoSpaceDE w:val="0"/>
        <w:autoSpaceDN w:val="0"/>
        <w:bidi w:val="0"/>
        <w:adjustRightInd w:val="0"/>
        <w:snapToGrid w:val="0"/>
        <w:spacing w:before="144" w:line="246" w:lineRule="auto"/>
        <w:ind w:left="21" w:right="1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除专用合同条件另有约定外，承包人应在合同订立后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天内，向工程师提交项目实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施计划，工程师应在收到项目实施计划后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天内确认或提出修改意见。对工程师提出的合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理意见和要求，承包人应自费修改完善。根据工程实施的实际</w:t>
      </w:r>
      <w:r>
        <w:rPr>
          <w:rFonts w:hint="eastAsia" w:ascii="仿宋" w:hAnsi="仿宋" w:eastAsia="仿宋" w:cs="仿宋"/>
          <w:color w:val="auto"/>
          <w:spacing w:val="3"/>
          <w:sz w:val="24"/>
          <w:szCs w:val="24"/>
          <w:highlight w:val="none"/>
        </w:rPr>
        <w:t>情况需要修改项目实施计划的，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承包人应向工程师提交修改后的项目实施计划。</w:t>
      </w:r>
    </w:p>
    <w:p w14:paraId="2FBFD1C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项目进度计划的编制和修改按照第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款[项</w:t>
      </w:r>
      <w:r>
        <w:rPr>
          <w:rFonts w:hint="eastAsia" w:ascii="仿宋" w:hAnsi="仿宋" w:eastAsia="仿宋" w:cs="仿宋"/>
          <w:color w:val="auto"/>
          <w:spacing w:val="7"/>
          <w:sz w:val="24"/>
          <w:szCs w:val="24"/>
          <w:highlight w:val="none"/>
        </w:rPr>
        <w:t>目进度计划]执行。</w:t>
      </w:r>
    </w:p>
    <w:p w14:paraId="3D22690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4EB31DAE">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项目进度计划的提交和修改</w:t>
      </w:r>
    </w:p>
    <w:p w14:paraId="19E90FE3">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3" w:right="57"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7"/>
          <w:sz w:val="24"/>
          <w:szCs w:val="24"/>
          <w:highlight w:val="none"/>
        </w:rPr>
        <w:t>8.3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款[项目实施计划]约定编制并向工程师提交项目初步进度计划，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经工程师批准后实施。除专用合同条件另有约定外，工程师应在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天内批复或提出修改意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见，否则该项目初步进度计划视为已得到批准。对工程师提出的合理意见和要求，承包人应</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自费修改完善。</w:t>
      </w:r>
    </w:p>
    <w:p w14:paraId="4BEF5F53">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57"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经工程师批准的项目初步进度计划称为项目进度计划，是控制合同工程进度的依据，</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工程师有权按照进度计划检查工程进度情况。承包人还应根据项目进度计划，编制更为详细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的分阶段或分项的进度计划，由工程师批准。</w:t>
      </w:r>
    </w:p>
    <w:p w14:paraId="6B182E5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8.4.2 项目进度计划的内容</w:t>
      </w:r>
    </w:p>
    <w:p w14:paraId="4A1FD167">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项目进度计划应当包括设计、承包人文件提交、采购、制造、检验、运达现场、施工、</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安装、试验的各个阶段的预期时间以及设计和施工组织方案说明等，其编制应当符合国家</w:t>
      </w:r>
      <w:r>
        <w:rPr>
          <w:rFonts w:hint="eastAsia" w:ascii="仿宋" w:hAnsi="仿宋" w:eastAsia="仿宋" w:cs="仿宋"/>
          <w:color w:val="auto"/>
          <w:spacing w:val="6"/>
          <w:sz w:val="24"/>
          <w:szCs w:val="24"/>
          <w:highlight w:val="none"/>
        </w:rPr>
        <w:t xml:space="preserve">法 </w:t>
      </w:r>
      <w:r>
        <w:rPr>
          <w:rFonts w:hint="eastAsia" w:ascii="仿宋" w:hAnsi="仿宋" w:eastAsia="仿宋" w:cs="仿宋"/>
          <w:color w:val="auto"/>
          <w:spacing w:val="7"/>
          <w:sz w:val="24"/>
          <w:szCs w:val="24"/>
          <w:highlight w:val="none"/>
        </w:rPr>
        <w:t>律规定和一般工程实践惯例。项目进度计划的具体要求、关键路径及关键路径变化的确定</w:t>
      </w:r>
      <w:r>
        <w:rPr>
          <w:rFonts w:hint="eastAsia" w:ascii="仿宋" w:hAnsi="仿宋" w:eastAsia="仿宋" w:cs="仿宋"/>
          <w:color w:val="auto"/>
          <w:spacing w:val="6"/>
          <w:sz w:val="24"/>
          <w:szCs w:val="24"/>
          <w:highlight w:val="none"/>
        </w:rPr>
        <w:t xml:space="preserve">原 </w:t>
      </w:r>
      <w:r>
        <w:rPr>
          <w:rFonts w:hint="eastAsia" w:ascii="仿宋" w:hAnsi="仿宋" w:eastAsia="仿宋" w:cs="仿宋"/>
          <w:color w:val="auto"/>
          <w:spacing w:val="9"/>
          <w:sz w:val="24"/>
          <w:szCs w:val="24"/>
          <w:highlight w:val="none"/>
        </w:rPr>
        <w:t>则、承包人提交的份数和时间等，在专用合同条件约定。</w:t>
      </w:r>
    </w:p>
    <w:p w14:paraId="249169B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8.4.3 项目进度计划的修订</w:t>
      </w:r>
    </w:p>
    <w:p w14:paraId="0FB67AF9">
      <w:pPr>
        <w:pStyle w:val="2"/>
        <w:keepNext w:val="0"/>
        <w:keepLines w:val="0"/>
        <w:pageBreakBefore w:val="0"/>
        <w:widowControl/>
        <w:kinsoku w:val="0"/>
        <w:wordWrap/>
        <w:overflowPunct/>
        <w:topLinePunct w:val="0"/>
        <w:autoSpaceDE w:val="0"/>
        <w:autoSpaceDN w:val="0"/>
        <w:bidi w:val="0"/>
        <w:adjustRightInd w:val="0"/>
        <w:snapToGrid w:val="0"/>
        <w:spacing w:before="40" w:line="246" w:lineRule="auto"/>
        <w:ind w:firstLine="50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项目进度计划不符合合同要求或与工程的实际进度不一致的，承包人应向工程师提交 修订的项目进度计划，并附具有关措施和相关资料。工程师也可以直接向承包人发出修订</w:t>
      </w:r>
      <w:r>
        <w:rPr>
          <w:rFonts w:hint="eastAsia" w:ascii="仿宋" w:hAnsi="仿宋" w:eastAsia="仿宋" w:cs="仿宋"/>
          <w:color w:val="auto"/>
          <w:spacing w:val="6"/>
          <w:sz w:val="24"/>
          <w:szCs w:val="24"/>
          <w:highlight w:val="none"/>
        </w:rPr>
        <w:t xml:space="preserve">项 </w:t>
      </w:r>
      <w:r>
        <w:rPr>
          <w:rFonts w:hint="eastAsia" w:ascii="仿宋" w:hAnsi="仿宋" w:eastAsia="仿宋" w:cs="仿宋"/>
          <w:color w:val="auto"/>
          <w:spacing w:val="7"/>
          <w:sz w:val="24"/>
          <w:szCs w:val="24"/>
          <w:highlight w:val="none"/>
        </w:rPr>
        <w:t>目进度计划的通知，承包人如接受，应按该通知修订项目进度计划，报工程师批准。承包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5"/>
          <w:sz w:val="24"/>
          <w:szCs w:val="24"/>
          <w:highlight w:val="none"/>
        </w:rPr>
        <w:t>如不接受，应当在</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天内答复，如未按时答复视作已接受修订项目进度计划通知中的内容。</w:t>
      </w:r>
    </w:p>
    <w:p w14:paraId="5061F3D7">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除专用合同条件另有约定外，工程师应在收到修订的项目进度计划后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批或提出修改意见，如未按时答复视作已批准承包人修订后的项目进度计划。工程师对承包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人提交的项目进度计划的确认，不能减轻或免除承包人根据法律规定和合同约定应承担的任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何责任或义务。</w:t>
      </w:r>
    </w:p>
    <w:p w14:paraId="1AAED4AD">
      <w:pPr>
        <w:pStyle w:val="2"/>
        <w:keepNext w:val="0"/>
        <w:keepLines w:val="0"/>
        <w:pageBreakBefore w:val="0"/>
        <w:widowControl/>
        <w:kinsoku w:val="0"/>
        <w:wordWrap/>
        <w:overflowPunct/>
        <w:topLinePunct w:val="0"/>
        <w:autoSpaceDE w:val="0"/>
        <w:autoSpaceDN w:val="0"/>
        <w:bidi w:val="0"/>
        <w:adjustRightInd w:val="0"/>
        <w:snapToGrid w:val="0"/>
        <w:spacing w:before="24"/>
        <w:ind w:left="54" w:right="70"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除合同当事人另有约定外，项目进度计划的修订并不能减轻或者免除</w:t>
      </w:r>
      <w:r>
        <w:rPr>
          <w:rFonts w:hint="eastAsia" w:ascii="仿宋" w:hAnsi="仿宋" w:eastAsia="仿宋" w:cs="仿宋"/>
          <w:color w:val="auto"/>
          <w:spacing w:val="6"/>
          <w:sz w:val="24"/>
          <w:szCs w:val="24"/>
          <w:highlight w:val="none"/>
        </w:rPr>
        <w:t>双方按第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[工期延误]、第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8.8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款[工期提前]、第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款[暂停工作]应承担的合同责任。</w:t>
      </w:r>
    </w:p>
    <w:p w14:paraId="06B3EA27">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1824193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7" w:right="16"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项目实施过程中，承包人应进行实际进度记录，并根据工程师的要求编制</w:t>
      </w:r>
      <w:r>
        <w:rPr>
          <w:rFonts w:hint="eastAsia" w:ascii="仿宋" w:hAnsi="仿宋" w:eastAsia="仿宋" w:cs="仿宋"/>
          <w:color w:val="auto"/>
          <w:spacing w:val="3"/>
          <w:sz w:val="24"/>
          <w:szCs w:val="24"/>
          <w:highlight w:val="none"/>
        </w:rPr>
        <w:t>月进度报告，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并提交给工程师。进度报告应包含以下主要内容：</w:t>
      </w:r>
    </w:p>
    <w:p w14:paraId="67086783">
      <w:pPr>
        <w:pStyle w:val="2"/>
        <w:keepNext w:val="0"/>
        <w:keepLines w:val="0"/>
        <w:pageBreakBefore w:val="0"/>
        <w:widowControl/>
        <w:kinsoku w:val="0"/>
        <w:wordWrap/>
        <w:overflowPunct/>
        <w:topLinePunct w:val="0"/>
        <w:autoSpaceDE w:val="0"/>
        <w:autoSpaceDN w:val="0"/>
        <w:bidi w:val="0"/>
        <w:adjustRightInd w:val="0"/>
        <w:snapToGrid w:val="0"/>
        <w:spacing w:before="27" w:line="273"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工程设计、采购、施工等各个工作内容的进展报告；</w:t>
      </w:r>
    </w:p>
    <w:p w14:paraId="4AD2DC1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工程施工方法的一般说明；</w:t>
      </w:r>
    </w:p>
    <w:p w14:paraId="287BE02B">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当月工程实施介入的项目人员、设备和</w:t>
      </w:r>
      <w:r>
        <w:rPr>
          <w:rFonts w:hint="eastAsia" w:ascii="仿宋" w:hAnsi="仿宋" w:eastAsia="仿宋" w:cs="仿宋"/>
          <w:color w:val="auto"/>
          <w:spacing w:val="7"/>
          <w:sz w:val="24"/>
          <w:szCs w:val="24"/>
          <w:highlight w:val="none"/>
        </w:rPr>
        <w:t>材料的预估明细报告；</w:t>
      </w:r>
    </w:p>
    <w:p w14:paraId="40DF376B">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42" w:right="57"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当月实际进度与进度计划对比分析，</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以及提出未来可能引起工期延误的情形，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同时提出应对措施；需要修订项目进度计划的，应对项目进度计划的修订部分进</w:t>
      </w:r>
      <w:r>
        <w:rPr>
          <w:rFonts w:hint="eastAsia" w:ascii="仿宋" w:hAnsi="仿宋" w:eastAsia="仿宋" w:cs="仿宋"/>
          <w:color w:val="auto"/>
          <w:spacing w:val="8"/>
          <w:sz w:val="24"/>
          <w:szCs w:val="24"/>
          <w:highlight w:val="none"/>
        </w:rPr>
        <w:t>行说明；</w:t>
      </w:r>
    </w:p>
    <w:p w14:paraId="23A26BC3">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承包人对于解决工期延误所提出的建议；</w:t>
      </w:r>
    </w:p>
    <w:p w14:paraId="4C4E2342">
      <w:pPr>
        <w:pStyle w:val="2"/>
        <w:keepNext w:val="0"/>
        <w:keepLines w:val="0"/>
        <w:pageBreakBefore w:val="0"/>
        <w:widowControl/>
        <w:kinsoku w:val="0"/>
        <w:wordWrap/>
        <w:overflowPunct/>
        <w:topLinePunct w:val="0"/>
        <w:autoSpaceDE w:val="0"/>
        <w:autoSpaceDN w:val="0"/>
        <w:bidi w:val="0"/>
        <w:adjustRightInd w:val="0"/>
        <w:snapToGrid w:val="0"/>
        <w:spacing w:before="1"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其他与工程有关的重大事项。</w:t>
      </w:r>
    </w:p>
    <w:p w14:paraId="13AA52BE">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进度报告的具体要求等，在专用合同条件约定。</w:t>
      </w:r>
    </w:p>
    <w:p w14:paraId="1180DC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8.6 提前预警</w:t>
      </w:r>
    </w:p>
    <w:p w14:paraId="07C0B491">
      <w:pPr>
        <w:pStyle w:val="2"/>
        <w:keepNext w:val="0"/>
        <w:keepLines w:val="0"/>
        <w:pageBreakBefore w:val="0"/>
        <w:widowControl/>
        <w:kinsoku w:val="0"/>
        <w:wordWrap/>
        <w:overflowPunct/>
        <w:topLinePunct w:val="0"/>
        <w:autoSpaceDE w:val="0"/>
        <w:autoSpaceDN w:val="0"/>
        <w:bidi w:val="0"/>
        <w:adjustRightInd w:val="0"/>
        <w:snapToGrid w:val="0"/>
        <w:spacing w:before="146"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任何一方应当在下列情形发生时尽快书面通知另一方：</w:t>
      </w:r>
    </w:p>
    <w:p w14:paraId="2CDDA454">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该情形可能对合同的履行或实现合同目的产生不利影响；</w:t>
      </w:r>
    </w:p>
    <w:p w14:paraId="2B773EF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该情形可能对工程完成后的使用产生不利影响；</w:t>
      </w:r>
    </w:p>
    <w:p w14:paraId="018D5FB6">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该情形可能导致合同价款增加；</w:t>
      </w:r>
    </w:p>
    <w:p w14:paraId="01729F7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该情形可能导致整个工程或单位/区段工程的工期延长。</w:t>
      </w:r>
    </w:p>
    <w:p w14:paraId="05D7F9B1">
      <w:pPr>
        <w:pStyle w:val="2"/>
        <w:keepNext w:val="0"/>
        <w:keepLines w:val="0"/>
        <w:pageBreakBefore w:val="0"/>
        <w:widowControl/>
        <w:kinsoku w:val="0"/>
        <w:wordWrap/>
        <w:overflowPunct/>
        <w:topLinePunct w:val="0"/>
        <w:autoSpaceDE w:val="0"/>
        <w:autoSpaceDN w:val="0"/>
        <w:bidi w:val="0"/>
        <w:adjustRightInd w:val="0"/>
        <w:snapToGrid w:val="0"/>
        <w:spacing w:before="27"/>
        <w:ind w:left="21" w:right="122"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发包人有权要求承包人根据第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款[承包人的合理化建议</w:t>
      </w:r>
      <w:r>
        <w:rPr>
          <w:rFonts w:hint="eastAsia" w:ascii="仿宋" w:hAnsi="仿宋" w:eastAsia="仿宋" w:cs="仿宋"/>
          <w:color w:val="auto"/>
          <w:spacing w:val="7"/>
          <w:sz w:val="24"/>
          <w:szCs w:val="24"/>
          <w:highlight w:val="none"/>
        </w:rPr>
        <w:t>]的约定提交变更建议，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采取措施尽量避免或最小化上述情形的发生或影响。</w:t>
      </w:r>
    </w:p>
    <w:p w14:paraId="262027B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68780C9F">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8.7.1 因发包人原因导致工期延误</w:t>
      </w:r>
    </w:p>
    <w:p w14:paraId="3817D009">
      <w:pPr>
        <w:pStyle w:val="2"/>
        <w:keepNext w:val="0"/>
        <w:keepLines w:val="0"/>
        <w:pageBreakBefore w:val="0"/>
        <w:widowControl/>
        <w:kinsoku w:val="0"/>
        <w:wordWrap/>
        <w:overflowPunct/>
        <w:topLinePunct w:val="0"/>
        <w:autoSpaceDE w:val="0"/>
        <w:autoSpaceDN w:val="0"/>
        <w:bidi w:val="0"/>
        <w:adjustRightInd w:val="0"/>
        <w:snapToGrid w:val="0"/>
        <w:spacing w:before="144"/>
        <w:ind w:left="2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在合同履行过程中，因下列情况导致工期延误和（或）费用增加的，由发包人承担由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此延误的工期和（或）增加的费用，且发包人应支付承包人合理的利润：</w:t>
      </w:r>
    </w:p>
    <w:p w14:paraId="0566412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根据第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条[变更与调整]的约定构成一项变更的；</w:t>
      </w:r>
    </w:p>
    <w:p w14:paraId="74C4AAEE">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发包人违反本合同约定，导致工期</w:t>
      </w:r>
      <w:r>
        <w:rPr>
          <w:rFonts w:hint="eastAsia" w:ascii="仿宋" w:hAnsi="仿宋" w:eastAsia="仿宋" w:cs="仿宋"/>
          <w:color w:val="auto"/>
          <w:spacing w:val="8"/>
          <w:sz w:val="24"/>
          <w:szCs w:val="24"/>
          <w:highlight w:val="none"/>
        </w:rPr>
        <w:t>延误和（或）费用增加的；</w:t>
      </w:r>
    </w:p>
    <w:p w14:paraId="257D802A">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发包人、发包人代表、工程师或发包人聘请的任意第三方造成或引起的任何延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误、妨碍和阻碍；</w:t>
      </w:r>
    </w:p>
    <w:p w14:paraId="2D9BD20E">
      <w:pPr>
        <w:pStyle w:val="2"/>
        <w:keepNext w:val="0"/>
        <w:keepLines w:val="0"/>
        <w:pageBreakBefore w:val="0"/>
        <w:widowControl/>
        <w:kinsoku w:val="0"/>
        <w:wordWrap/>
        <w:overflowPunct/>
        <w:topLinePunct w:val="0"/>
        <w:autoSpaceDE w:val="0"/>
        <w:autoSpaceDN w:val="0"/>
        <w:bidi w:val="0"/>
        <w:adjustRightInd w:val="0"/>
        <w:snapToGrid w:val="0"/>
        <w:spacing w:before="28"/>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发包人未能依据第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6.2.1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项[发包人提供的材料和工程设备]的约定提供材料和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工程设备导致工期延误和（或）费用增加的；</w:t>
      </w:r>
    </w:p>
    <w:p w14:paraId="031F55D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因发包人原因导致的暂停施工；</w:t>
      </w:r>
    </w:p>
    <w:p w14:paraId="12119BCA">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（6） 发包人未及时履行相关合同义务，</w:t>
      </w:r>
      <w:r>
        <w:rPr>
          <w:rFonts w:hint="eastAsia" w:ascii="仿宋" w:hAnsi="仿宋" w:eastAsia="仿宋" w:cs="仿宋"/>
          <w:color w:val="auto"/>
          <w:spacing w:val="8"/>
          <w:sz w:val="24"/>
          <w:szCs w:val="24"/>
          <w:highlight w:val="none"/>
        </w:rPr>
        <w:t>造成工期延误的其他原因。</w:t>
      </w:r>
    </w:p>
    <w:p w14:paraId="3CB5228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58FDFBAA">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0" w:firstLine="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由于承包人的原因，未能按项目进度计划完成工作，承包人应采取措施加快进度，并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承担加快进度所增加的费用。</w:t>
      </w:r>
    </w:p>
    <w:p w14:paraId="20047713">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3" w:right="28" w:firstLine="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由于承包人原因造成工期延误并导致逾期竣工的，承包人应支付逾期竣工违约金。逾</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期竣工违约金的计算方法和最高限额在专用合同条件中约定。承包人支付逾期竣工违约金，</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不免除承包人完成工作及修补缺陷的义务，且发包人有权从工程进度款、竣工结算款或约定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提交的履约担保中扣除相当于逾期竣工违约金的金额。</w:t>
      </w:r>
    </w:p>
    <w:p w14:paraId="0EA6E55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5CC01B2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6EE6F38F">
      <w:pPr>
        <w:pStyle w:val="2"/>
        <w:keepNext w:val="0"/>
        <w:keepLines w:val="0"/>
        <w:pageBreakBefore w:val="0"/>
        <w:widowControl/>
        <w:kinsoku w:val="0"/>
        <w:wordWrap/>
        <w:overflowPunct/>
        <w:topLinePunct w:val="0"/>
        <w:autoSpaceDE w:val="0"/>
        <w:autoSpaceDN w:val="0"/>
        <w:bidi w:val="0"/>
        <w:adjustRightInd w:val="0"/>
        <w:snapToGrid w:val="0"/>
        <w:spacing w:before="40" w:line="244" w:lineRule="auto"/>
        <w:ind w:left="42"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合同约定范围内的工作需国家有关部门审批的，发包人和（或）承包人应按照专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同条件约定的职责分工完成行政审批报送。因国家有关部门审批迟延造成工期</w:t>
      </w:r>
      <w:r>
        <w:rPr>
          <w:rFonts w:hint="eastAsia" w:ascii="仿宋" w:hAnsi="仿宋" w:eastAsia="仿宋" w:cs="仿宋"/>
          <w:color w:val="auto"/>
          <w:spacing w:val="6"/>
          <w:sz w:val="24"/>
          <w:szCs w:val="24"/>
          <w:highlight w:val="none"/>
        </w:rPr>
        <w:t>延误的，竣工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日期相应顺延。造成费用增加的，由双方在</w:t>
      </w:r>
      <w:r>
        <w:rPr>
          <w:rFonts w:hint="eastAsia" w:ascii="仿宋" w:hAnsi="仿宋" w:eastAsia="仿宋" w:cs="仿宋"/>
          <w:color w:val="auto"/>
          <w:spacing w:val="8"/>
          <w:sz w:val="24"/>
          <w:szCs w:val="24"/>
          <w:highlight w:val="none"/>
        </w:rPr>
        <w:t>负责的范围内各自承担。</w:t>
      </w:r>
    </w:p>
    <w:p w14:paraId="103C1E4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0098A3CF">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异常恶劣的气候条件是指在施工过程中遇到的，有经验的承包人在订立合同</w:t>
      </w:r>
      <w:r>
        <w:rPr>
          <w:rFonts w:hint="eastAsia" w:ascii="仿宋" w:hAnsi="仿宋" w:eastAsia="仿宋" w:cs="仿宋"/>
          <w:color w:val="auto"/>
          <w:spacing w:val="7"/>
          <w:sz w:val="24"/>
          <w:szCs w:val="24"/>
          <w:highlight w:val="none"/>
        </w:rPr>
        <w:t>时不可预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见的，对合同履行造成实质性影响的，但尚未构成不可抗力事件的恶劣气候条件。合同当事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人可以在专用合同条件中约定异常恶劣的气候条件的具体情形。</w:t>
      </w:r>
    </w:p>
    <w:p w14:paraId="7FCCD31D">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5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承包人应采取克服异常恶劣的气候条件的合理措施继续施工，并及时通知工程师。工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程师应当及时发出指示，指示构成变更的，按第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pacing w:val="8"/>
          <w:sz w:val="24"/>
          <w:szCs w:val="24"/>
          <w:highlight w:val="none"/>
        </w:rPr>
        <w:t>]约定办理。承包人因采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取合理措施而延误的工期由发包人承担。</w:t>
      </w:r>
    </w:p>
    <w:p w14:paraId="4FB2F8F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68BC47">
      <w:pPr>
        <w:pStyle w:val="2"/>
        <w:keepNext w:val="0"/>
        <w:keepLines w:val="0"/>
        <w:pageBreakBefore w:val="0"/>
        <w:widowControl/>
        <w:kinsoku w:val="0"/>
        <w:wordWrap/>
        <w:overflowPunct/>
        <w:topLinePunct w:val="0"/>
        <w:autoSpaceDE w:val="0"/>
        <w:autoSpaceDN w:val="0"/>
        <w:bidi w:val="0"/>
        <w:adjustRightInd w:val="0"/>
        <w:snapToGrid w:val="0"/>
        <w:spacing w:before="142" w:line="246" w:lineRule="auto"/>
        <w:ind w:left="21" w:right="15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8.8.1 发包人指示承包人提前竣工且被承包人接受的，应与承包人共同协商</w:t>
      </w:r>
      <w:r>
        <w:rPr>
          <w:rFonts w:hint="eastAsia" w:ascii="仿宋" w:hAnsi="仿宋" w:eastAsia="仿宋" w:cs="仿宋"/>
          <w:color w:val="auto"/>
          <w:spacing w:val="6"/>
          <w:sz w:val="24"/>
          <w:szCs w:val="24"/>
          <w:highlight w:val="none"/>
        </w:rPr>
        <w:t>采取加快工程进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度的措施和修订项目进度计划。发包人应承担承包人由此增加的费用，增加的费用按第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0"/>
          <w:sz w:val="24"/>
          <w:szCs w:val="24"/>
          <w:highlight w:val="none"/>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条[变更与调整]的约定执行；发包人不得以任何理由要求承包人超过合理限度压缩工期。承</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包人有权不接受提前竣工的指示，工期按照合同约定执行。</w:t>
      </w:r>
    </w:p>
    <w:p w14:paraId="73441ECC">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39" w:right="157" w:hanging="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8.8.2 承包人提出提前竣工的建议且发包人接受的，应与发包人共同协商采</w:t>
      </w:r>
      <w:r>
        <w:rPr>
          <w:rFonts w:hint="eastAsia" w:ascii="仿宋" w:hAnsi="仿宋" w:eastAsia="仿宋" w:cs="仿宋"/>
          <w:color w:val="auto"/>
          <w:spacing w:val="6"/>
          <w:sz w:val="24"/>
          <w:szCs w:val="24"/>
          <w:highlight w:val="none"/>
        </w:rPr>
        <w:t>取加快工程进度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[变更与调整]的约定执行，并向承包人支付专用</w:t>
      </w:r>
      <w:r>
        <w:rPr>
          <w:rFonts w:hint="eastAsia" w:ascii="仿宋" w:hAnsi="仿宋" w:eastAsia="仿宋" w:cs="仿宋"/>
          <w:color w:val="auto"/>
          <w:spacing w:val="8"/>
          <w:sz w:val="24"/>
          <w:szCs w:val="24"/>
          <w:highlight w:val="none"/>
        </w:rPr>
        <w:t>合同条件约定的相应奖励金。</w:t>
      </w:r>
    </w:p>
    <w:p w14:paraId="51D584CF">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暂停工作</w:t>
      </w:r>
    </w:p>
    <w:p w14:paraId="11D47E6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由发包人暂停工作</w:t>
      </w:r>
    </w:p>
    <w:p w14:paraId="7BAFF32A">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发包人认为必要时，可通过工程师向承包人发出经发包人签认的暂停工作</w:t>
      </w:r>
      <w:r>
        <w:rPr>
          <w:rFonts w:hint="eastAsia" w:ascii="仿宋" w:hAnsi="仿宋" w:eastAsia="仿宋" w:cs="仿宋"/>
          <w:color w:val="auto"/>
          <w:spacing w:val="7"/>
          <w:sz w:val="24"/>
          <w:szCs w:val="24"/>
          <w:highlight w:val="none"/>
        </w:rPr>
        <w:t>通知，应列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明暂停原因、暂停的日期及预计暂停的期限。承包人应</w:t>
      </w:r>
      <w:r>
        <w:rPr>
          <w:rFonts w:hint="eastAsia" w:ascii="仿宋" w:hAnsi="仿宋" w:eastAsia="仿宋" w:cs="仿宋"/>
          <w:color w:val="auto"/>
          <w:spacing w:val="8"/>
          <w:sz w:val="24"/>
          <w:szCs w:val="24"/>
          <w:highlight w:val="none"/>
        </w:rPr>
        <w:t>按该通知暂停工作。</w:t>
      </w:r>
    </w:p>
    <w:p w14:paraId="23119AD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承包人因执行暂停工作通知而造成费用的增加和（或）工期延误由发包人承担，并有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权要求发包人支付合理利润，但由于承包人原因造成发包人暂停工作的除外。</w:t>
      </w:r>
    </w:p>
    <w:p w14:paraId="528B3CA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由承包人暂停工作</w:t>
      </w:r>
    </w:p>
    <w:p w14:paraId="6B3CF77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因承包人原因所造成部分或全部工程的暂停，承包人应采取措施尽快复工并赶上进度，</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由此造成费用的增加或工期延误由承包人承担。因此造成逾期竣工的，承包人应按第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8.7.</w:t>
      </w:r>
      <w:r>
        <w:rPr>
          <w:rFonts w:hint="eastAsia" w:ascii="仿宋" w:hAnsi="仿宋" w:eastAsia="仿宋" w:cs="仿宋"/>
          <w:color w:val="auto"/>
          <w:spacing w:val="6"/>
          <w:sz w:val="24"/>
          <w:szCs w:val="24"/>
          <w:highlight w:val="none"/>
        </w:rPr>
        <w:t xml:space="preserve">2  </w:t>
      </w:r>
      <w:r>
        <w:rPr>
          <w:rFonts w:hint="eastAsia" w:ascii="仿宋" w:hAnsi="仿宋" w:eastAsia="仿宋" w:cs="仿宋"/>
          <w:color w:val="auto"/>
          <w:spacing w:val="8"/>
          <w:sz w:val="24"/>
          <w:szCs w:val="24"/>
          <w:highlight w:val="none"/>
        </w:rPr>
        <w:t>项[因承包人原因导致工期延误]承担逾期竣工违约责任。</w:t>
      </w:r>
    </w:p>
    <w:p w14:paraId="5160541A">
      <w:pPr>
        <w:pStyle w:val="2"/>
        <w:keepNext w:val="0"/>
        <w:keepLines w:val="0"/>
        <w:pageBreakBefore w:val="0"/>
        <w:widowControl/>
        <w:tabs>
          <w:tab w:val="left" w:pos="632"/>
        </w:tabs>
        <w:kinsoku w:val="0"/>
        <w:wordWrap/>
        <w:overflowPunct/>
        <w:topLinePunct w:val="0"/>
        <w:autoSpaceDE w:val="0"/>
        <w:autoSpaceDN w:val="0"/>
        <w:bidi w:val="0"/>
        <w:adjustRightInd w:val="0"/>
        <w:snapToGrid w:val="0"/>
        <w:spacing w:before="25" w:line="247" w:lineRule="auto"/>
        <w:ind w:left="22" w:right="11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合同履行过程中发生下列情形之一的，承包人可向发包人发出通知，要求发包人</w:t>
      </w:r>
      <w:r>
        <w:rPr>
          <w:rFonts w:hint="eastAsia" w:ascii="仿宋" w:hAnsi="仿宋" w:eastAsia="仿宋" w:cs="仿宋"/>
          <w:color w:val="auto"/>
          <w:spacing w:val="7"/>
          <w:sz w:val="24"/>
          <w:szCs w:val="24"/>
          <w:highlight w:val="none"/>
        </w:rPr>
        <w:t>采取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有效措施予以纠正。发包人收到承包人通知后的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天内仍不予以纠正，承包人有权暂停施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工，并通知工程师。承包人有权要求发包人延长工期和（或）增加费用，并支付合理利润：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8"/>
          <w:sz w:val="24"/>
          <w:szCs w:val="24"/>
          <w:highlight w:val="none"/>
        </w:rPr>
        <w:t>（1） 发包人拖延、拒绝批准付款申请和</w:t>
      </w:r>
      <w:r>
        <w:rPr>
          <w:rFonts w:hint="eastAsia" w:ascii="仿宋" w:hAnsi="仿宋" w:eastAsia="仿宋" w:cs="仿宋"/>
          <w:color w:val="auto"/>
          <w:spacing w:val="7"/>
          <w:sz w:val="24"/>
          <w:szCs w:val="24"/>
          <w:highlight w:val="none"/>
        </w:rPr>
        <w:t>支付证书，或未能按合同约定支付价款，导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致付款延误的；</w:t>
      </w:r>
    </w:p>
    <w:p w14:paraId="7D618E02">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发包人未按约定履行合同其他义务导致承包人无法继续履行合同的，或者发包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人明确表示暂停或实质上已暂停履行合同的。</w:t>
      </w:r>
    </w:p>
    <w:p w14:paraId="3C7B7C6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8.9.3 除上述原因以外的暂停工作，双方应遵守第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条[不可抗力]的相关约定。</w:t>
      </w:r>
    </w:p>
    <w:p w14:paraId="49B514C4">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8.9.4 暂停工作期间的工程照管</w:t>
      </w:r>
    </w:p>
    <w:p w14:paraId="659F016A">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不论由于何种原因引起暂停工作的，暂停工作期间，承包人应负责对工程</w:t>
      </w:r>
      <w:r>
        <w:rPr>
          <w:rFonts w:hint="eastAsia" w:ascii="仿宋" w:hAnsi="仿宋" w:eastAsia="仿宋" w:cs="仿宋"/>
          <w:color w:val="auto"/>
          <w:spacing w:val="7"/>
          <w:sz w:val="24"/>
          <w:szCs w:val="24"/>
          <w:highlight w:val="none"/>
        </w:rPr>
        <w:t>、工程物资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及文件等进行照管和保护，并提供安全保障，由此增加的费用按第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8.9</w:t>
      </w: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项[由发包人暂停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工作]和第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8.9.2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项[由承包人暂停工作]的约定承担。</w:t>
      </w:r>
    </w:p>
    <w:p w14:paraId="4A6C2613">
      <w:pPr>
        <w:pStyle w:val="2"/>
        <w:keepNext w:val="0"/>
        <w:keepLines w:val="0"/>
        <w:pageBreakBefore w:val="0"/>
        <w:widowControl/>
        <w:kinsoku w:val="0"/>
        <w:wordWrap/>
        <w:overflowPunct/>
        <w:topLinePunct w:val="0"/>
        <w:autoSpaceDE w:val="0"/>
        <w:autoSpaceDN w:val="0"/>
        <w:bidi w:val="0"/>
        <w:adjustRightInd w:val="0"/>
        <w:snapToGrid w:val="0"/>
        <w:spacing w:before="24"/>
        <w:ind w:left="58"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因承包人未能尽到照管、保护的责任造成损失的，使发包</w:t>
      </w:r>
      <w:r>
        <w:rPr>
          <w:rFonts w:hint="eastAsia" w:ascii="仿宋" w:hAnsi="仿宋" w:eastAsia="仿宋" w:cs="仿宋"/>
          <w:color w:val="auto"/>
          <w:spacing w:val="9"/>
          <w:sz w:val="24"/>
          <w:szCs w:val="24"/>
          <w:highlight w:val="none"/>
        </w:rPr>
        <w:t>人的费用增加</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9"/>
          <w:sz w:val="24"/>
          <w:szCs w:val="24"/>
          <w:highlight w:val="none"/>
        </w:rPr>
        <w:t>或）竣工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日期延误的，</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由承包人按本合同约定承担责任。</w:t>
      </w:r>
    </w:p>
    <w:p w14:paraId="459DE23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8.9.5 拖长的暂停</w:t>
      </w:r>
    </w:p>
    <w:p w14:paraId="495DE979">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4" w:right="157"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根据第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8.9.1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项[由发包人暂停工作]暂停工作持续超过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天的，承包人可向发包人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发出要求复工的通知。如果发包人没有在收到书面通知后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天内准许已暂停工作的全部或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部分继续工作，承包人有权根据第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条[变更与调整]的</w:t>
      </w:r>
      <w:r>
        <w:rPr>
          <w:rFonts w:hint="eastAsia" w:ascii="仿宋" w:hAnsi="仿宋" w:eastAsia="仿宋" w:cs="仿宋"/>
          <w:color w:val="auto"/>
          <w:spacing w:val="8"/>
          <w:sz w:val="24"/>
          <w:szCs w:val="24"/>
          <w:highlight w:val="none"/>
        </w:rPr>
        <w:t>约定，要求以变更方式调减受暂停</w:t>
      </w:r>
      <w:r>
        <w:rPr>
          <w:rFonts w:hint="eastAsia" w:ascii="仿宋" w:hAnsi="仿宋" w:eastAsia="仿宋" w:cs="仿宋"/>
          <w:color w:val="auto"/>
          <w:spacing w:val="3"/>
          <w:sz w:val="24"/>
          <w:szCs w:val="24"/>
          <w:highlight w:val="none"/>
        </w:rPr>
        <w:t>影响的部分工程。发包人的暂停超过</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56</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天且暂停影响到整个工程的，承包人有权根据第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16.2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款[由承包人解除合同]的约定，发出解除合同的通知。</w:t>
      </w:r>
    </w:p>
    <w:p w14:paraId="3D2AFEA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8.10</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2"/>
          <w:sz w:val="24"/>
          <w:szCs w:val="24"/>
          <w:highlight w:val="none"/>
        </w:rPr>
        <w:t>复工</w:t>
      </w:r>
    </w:p>
    <w:p w14:paraId="542ED769">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8.10.1 收到发包人的复工通知后，承包人应按通知时间复工；发包人通知的复工时间应当</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给予承包人必要的准备复工时间。</w:t>
      </w:r>
    </w:p>
    <w:p w14:paraId="6CC0B52E">
      <w:pPr>
        <w:pStyle w:val="2"/>
        <w:keepNext w:val="0"/>
        <w:keepLines w:val="0"/>
        <w:pageBreakBefore w:val="0"/>
        <w:widowControl/>
        <w:kinsoku w:val="0"/>
        <w:wordWrap/>
        <w:overflowPunct/>
        <w:topLinePunct w:val="0"/>
        <w:autoSpaceDE w:val="0"/>
        <w:autoSpaceDN w:val="0"/>
        <w:bidi w:val="0"/>
        <w:adjustRightInd w:val="0"/>
        <w:snapToGrid w:val="0"/>
        <w:spacing w:before="148" w:line="244"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8.10.2 不论由于何种原因引起暂停工作，双方均可要求对方一同对受暂停影响的工程、工</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程设备和工程物资进行检查，承包人应将检查结果及需要恢复、修复的内容和估算通知发包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人。</w:t>
      </w:r>
    </w:p>
    <w:p w14:paraId="6866B636">
      <w:pPr>
        <w:pStyle w:val="2"/>
        <w:keepNext w:val="0"/>
        <w:keepLines w:val="0"/>
        <w:pageBreakBefore w:val="0"/>
        <w:widowControl/>
        <w:kinsoku w:val="0"/>
        <w:wordWrap/>
        <w:overflowPunct/>
        <w:topLinePunct w:val="0"/>
        <w:autoSpaceDE w:val="0"/>
        <w:autoSpaceDN w:val="0"/>
        <w:bidi w:val="0"/>
        <w:adjustRightInd w:val="0"/>
        <w:snapToGrid w:val="0"/>
        <w:spacing w:before="142"/>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8.10.3 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17</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条[不可抗力]另有约定外，发生的恢复</w:t>
      </w:r>
      <w:r>
        <w:rPr>
          <w:rFonts w:hint="eastAsia" w:ascii="仿宋" w:hAnsi="仿宋" w:eastAsia="仿宋" w:cs="仿宋"/>
          <w:color w:val="auto"/>
          <w:spacing w:val="5"/>
          <w:sz w:val="24"/>
          <w:szCs w:val="24"/>
          <w:highlight w:val="none"/>
        </w:rPr>
        <w:t>、修复价款及工期延误的后果由责任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方承担。</w:t>
      </w:r>
    </w:p>
    <w:p w14:paraId="160D877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第9条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竣工试验</w:t>
      </w:r>
    </w:p>
    <w:p w14:paraId="3B7DA9F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7CB4976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9.1.1 承包人完成工程或区段工程进行竣工试验</w:t>
      </w:r>
      <w:r>
        <w:rPr>
          <w:rFonts w:hint="eastAsia" w:ascii="仿宋" w:hAnsi="仿宋" w:eastAsia="仿宋" w:cs="仿宋"/>
          <w:color w:val="auto"/>
          <w:spacing w:val="10"/>
          <w:sz w:val="24"/>
          <w:szCs w:val="24"/>
          <w:highlight w:val="none"/>
        </w:rPr>
        <w:t>所需的作业，并根据第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5.4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款[竣工文件]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7"/>
          <w:sz w:val="24"/>
          <w:szCs w:val="24"/>
          <w:highlight w:val="none"/>
        </w:rPr>
        <w:t>5.5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款[操作和维修手册]提交文件后，进行竣工试验。</w:t>
      </w:r>
    </w:p>
    <w:p w14:paraId="6F2BCE63">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9.1.2 承包人应在进行竣工试验之前，至少提前</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天向工程师提交详细的竣工试验计划，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该计划应载明竣工试验的内容、地点、拟开展时间和需要发包人提供的资源条件。工程师应</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在收到计划后的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天内进行审查，并就该计划不符合合同的部分提出意见，承</w:t>
      </w:r>
      <w:r>
        <w:rPr>
          <w:rFonts w:hint="eastAsia" w:ascii="仿宋" w:hAnsi="仿宋" w:eastAsia="仿宋" w:cs="仿宋"/>
          <w:color w:val="auto"/>
          <w:spacing w:val="8"/>
          <w:sz w:val="24"/>
          <w:szCs w:val="24"/>
          <w:highlight w:val="none"/>
        </w:rPr>
        <w:t>包人应在收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到意见后的</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天内自费对计划进行修正。工程师逾期未提出意见的，视为</w:t>
      </w:r>
      <w:r>
        <w:rPr>
          <w:rFonts w:hint="eastAsia" w:ascii="仿宋" w:hAnsi="仿宋" w:eastAsia="仿宋" w:cs="仿宋"/>
          <w:color w:val="auto"/>
          <w:spacing w:val="8"/>
          <w:sz w:val="24"/>
          <w:szCs w:val="24"/>
          <w:highlight w:val="none"/>
        </w:rPr>
        <w:t>竣工试验计划已</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得到确认。除提交竣工试验计划外，承包人还应提前</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天将可以开始进行各项竣工试验的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日期通知工程师，并在该日期后的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天内或工程师指示的日期进行竣工试验。</w:t>
      </w:r>
    </w:p>
    <w:p w14:paraId="07FD82B6">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9.1.3 承包人应根据经确认的竣工试验计划以及第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1"/>
          <w:sz w:val="24"/>
          <w:szCs w:val="24"/>
          <w:highlight w:val="none"/>
        </w:rPr>
        <w:t>6</w:t>
      </w:r>
      <w:r>
        <w:rPr>
          <w:rFonts w:hint="eastAsia" w:ascii="仿宋" w:hAnsi="仿宋" w:eastAsia="仿宋" w:cs="仿宋"/>
          <w:color w:val="auto"/>
          <w:spacing w:val="10"/>
          <w:sz w:val="24"/>
          <w:szCs w:val="24"/>
          <w:highlight w:val="none"/>
        </w:rPr>
        <w:t>.5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款[由承包人试验和检验]进行竣工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试验。除《发包人要求》中另有说明外，竣工试验应按以下顺序分阶段进行，即只有在工程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或区段工程已通过上一阶段试验的情况下，才可进行下一阶段试验：</w:t>
      </w:r>
    </w:p>
    <w:p w14:paraId="06EC5B15">
      <w:pPr>
        <w:pStyle w:val="2"/>
        <w:keepNext w:val="0"/>
        <w:keepLines w:val="0"/>
        <w:pageBreakBefore w:val="0"/>
        <w:widowControl/>
        <w:kinsoku w:val="0"/>
        <w:wordWrap/>
        <w:overflowPunct/>
        <w:topLinePunct w:val="0"/>
        <w:autoSpaceDE w:val="0"/>
        <w:autoSpaceDN w:val="0"/>
        <w:bidi w:val="0"/>
        <w:adjustRightInd w:val="0"/>
        <w:snapToGrid w:val="0"/>
        <w:spacing w:before="146"/>
        <w:ind w:left="21"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承包人进行启动前试验，包括适当的检查和功能性试验，以证明工程或区段工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程的每一部分均能够安全地承受下一阶段试验；</w:t>
      </w:r>
    </w:p>
    <w:p w14:paraId="7F045F98">
      <w:pPr>
        <w:pStyle w:val="2"/>
        <w:keepNext w:val="0"/>
        <w:keepLines w:val="0"/>
        <w:pageBreakBefore w:val="0"/>
        <w:widowControl/>
        <w:kinsoku w:val="0"/>
        <w:wordWrap/>
        <w:overflowPunct/>
        <w:topLinePunct w:val="0"/>
        <w:autoSpaceDE w:val="0"/>
        <w:autoSpaceDN w:val="0"/>
        <w:bidi w:val="0"/>
        <w:adjustRightInd w:val="0"/>
        <w:snapToGrid w:val="0"/>
        <w:spacing w:before="24" w:line="239" w:lineRule="auto"/>
        <w:ind w:left="26" w:right="16"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承包人进行启动试验，以证明工程或区段工程能够在所有可利用的操作条件下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安全运行，并按照专用合同条件和《发包人要求》中的规定操作；</w:t>
      </w:r>
    </w:p>
    <w:p w14:paraId="565E9D67">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5"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承包人进行试运行试验。当工程或区段工程能稳定安全运行时，承包人应通知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工程师，可以进行其他竣工试验，包括各种性能测试，以证明工程或区段工程符合《发包人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要求》中列明的性能保证指标。</w:t>
      </w:r>
    </w:p>
    <w:p w14:paraId="1F21B2B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进行上述试验不应构成第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10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条[验收和工程接收]规定的接收，但试验所产生的任何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产品或其他收益均应归属于发包人。</w:t>
      </w:r>
    </w:p>
    <w:p w14:paraId="60E020D2">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9.1.4 完成上述各阶段竣工试验后，承包人应向工程师提交试验结果报告，</w:t>
      </w:r>
      <w:r>
        <w:rPr>
          <w:rFonts w:hint="eastAsia" w:ascii="仿宋" w:hAnsi="仿宋" w:eastAsia="仿宋" w:cs="仿宋"/>
          <w:color w:val="auto"/>
          <w:spacing w:val="6"/>
          <w:sz w:val="24"/>
          <w:szCs w:val="24"/>
          <w:highlight w:val="none"/>
        </w:rPr>
        <w:t>试验结果须符合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约定的标准、规范和数据。工程师应在收到报告后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天内予以回复，逾期</w:t>
      </w:r>
      <w:r>
        <w:rPr>
          <w:rFonts w:hint="eastAsia" w:ascii="仿宋" w:hAnsi="仿宋" w:eastAsia="仿宋" w:cs="仿宋"/>
          <w:color w:val="auto"/>
          <w:spacing w:val="8"/>
          <w:sz w:val="24"/>
          <w:szCs w:val="24"/>
          <w:highlight w:val="none"/>
        </w:rPr>
        <w:t>未回复的，视为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认可竣工试验结果。但在考虑工程或区段工程是否通过竣工试验时，应适当考虑发包人对工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程或其任何部分的使用，对工程或区段工程的性能、特性和试验结果产生的影响。</w:t>
      </w:r>
    </w:p>
    <w:p w14:paraId="30A88A43">
      <w:pPr>
        <w:pStyle w:val="2"/>
        <w:keepNext w:val="0"/>
        <w:keepLines w:val="0"/>
        <w:pageBreakBefore w:val="0"/>
        <w:widowControl/>
        <w:kinsoku w:val="0"/>
        <w:wordWrap/>
        <w:overflowPunct/>
        <w:topLinePunct w:val="0"/>
        <w:autoSpaceDE w:val="0"/>
        <w:autoSpaceDN w:val="0"/>
        <w:bidi w:val="0"/>
        <w:adjustRightInd w:val="0"/>
        <w:snapToGrid w:val="0"/>
        <w:spacing w:before="145"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9.2 延误的试验</w:t>
      </w:r>
    </w:p>
    <w:p w14:paraId="434406FA">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9.2.1 如果承包人已根据第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1"/>
          <w:sz w:val="24"/>
          <w:szCs w:val="24"/>
          <w:highlight w:val="none"/>
        </w:rPr>
        <w:t>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款[竣工试验</w:t>
      </w:r>
      <w:r>
        <w:rPr>
          <w:rFonts w:hint="eastAsia" w:ascii="仿宋" w:hAnsi="仿宋" w:eastAsia="仿宋" w:cs="仿宋"/>
          <w:color w:val="auto"/>
          <w:spacing w:val="10"/>
          <w:sz w:val="24"/>
          <w:szCs w:val="24"/>
          <w:highlight w:val="none"/>
        </w:rPr>
        <w:t>的义务]就可以开始进行各项竣工试验的日期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通知工程师，但该等试验因发包人原因被延误</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天以上的，发包人应承担由此</w:t>
      </w:r>
      <w:r>
        <w:rPr>
          <w:rFonts w:hint="eastAsia" w:ascii="仿宋" w:hAnsi="仿宋" w:eastAsia="仿宋" w:cs="仿宋"/>
          <w:color w:val="auto"/>
          <w:spacing w:val="8"/>
          <w:sz w:val="24"/>
          <w:szCs w:val="24"/>
          <w:highlight w:val="none"/>
        </w:rPr>
        <w:t>增加的费用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和工期延误，并支付承包人合理利润。同时，承包人应在合理可行的情况下尽快进行竣工试</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验。</w:t>
      </w:r>
    </w:p>
    <w:p w14:paraId="05EF64B8">
      <w:pPr>
        <w:pStyle w:val="2"/>
        <w:keepNext w:val="0"/>
        <w:keepLines w:val="0"/>
        <w:pageBreakBefore w:val="0"/>
        <w:widowControl/>
        <w:kinsoku w:val="0"/>
        <w:wordWrap/>
        <w:overflowPunct/>
        <w:topLinePunct w:val="0"/>
        <w:autoSpaceDE w:val="0"/>
        <w:autoSpaceDN w:val="0"/>
        <w:bidi w:val="0"/>
        <w:adjustRightInd w:val="0"/>
        <w:snapToGrid w:val="0"/>
        <w:spacing w:before="140" w:line="244" w:lineRule="auto"/>
        <w:ind w:left="23" w:right="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9.2.2 承包人无正当理由延误进行竣工试验的，工程师可向其发出通知，要</w:t>
      </w:r>
      <w:r>
        <w:rPr>
          <w:rFonts w:hint="eastAsia" w:ascii="仿宋" w:hAnsi="仿宋" w:eastAsia="仿宋" w:cs="仿宋"/>
          <w:color w:val="auto"/>
          <w:spacing w:val="6"/>
          <w:sz w:val="24"/>
          <w:szCs w:val="24"/>
          <w:highlight w:val="none"/>
        </w:rPr>
        <w:t>求其在收到通知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后的</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天内进行该项竣工试验。承包人应在该</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天的期限内确定</w:t>
      </w:r>
      <w:r>
        <w:rPr>
          <w:rFonts w:hint="eastAsia" w:ascii="仿宋" w:hAnsi="仿宋" w:eastAsia="仿宋" w:cs="仿宋"/>
          <w:color w:val="auto"/>
          <w:spacing w:val="5"/>
          <w:sz w:val="24"/>
          <w:szCs w:val="24"/>
          <w:highlight w:val="none"/>
        </w:rPr>
        <w:t>进行试验的日期，并至少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天通知工程师。</w:t>
      </w:r>
    </w:p>
    <w:p w14:paraId="710D1B2C">
      <w:pPr>
        <w:pStyle w:val="2"/>
        <w:keepNext w:val="0"/>
        <w:keepLines w:val="0"/>
        <w:pageBreakBefore w:val="0"/>
        <w:widowControl/>
        <w:kinsoku w:val="0"/>
        <w:wordWrap/>
        <w:overflowPunct/>
        <w:topLinePunct w:val="0"/>
        <w:autoSpaceDE w:val="0"/>
        <w:autoSpaceDN w:val="0"/>
        <w:bidi w:val="0"/>
        <w:adjustRightInd w:val="0"/>
        <w:snapToGrid w:val="0"/>
        <w:spacing w:before="41"/>
        <w:ind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9.2.3 如果承包人未在该期限内进行竣工试验，则发包人有权自行组织该项</w:t>
      </w:r>
      <w:r>
        <w:rPr>
          <w:rFonts w:hint="eastAsia" w:ascii="仿宋" w:hAnsi="仿宋" w:eastAsia="仿宋" w:cs="仿宋"/>
          <w:color w:val="auto"/>
          <w:spacing w:val="6"/>
          <w:sz w:val="24"/>
          <w:szCs w:val="24"/>
          <w:highlight w:val="none"/>
        </w:rPr>
        <w:t>竣工试验，由此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产生的合理费用由承包人承担。发包人应在试验</w:t>
      </w:r>
      <w:r>
        <w:rPr>
          <w:rFonts w:hint="eastAsia" w:ascii="仿宋" w:hAnsi="仿宋" w:eastAsia="仿宋" w:cs="仿宋"/>
          <w:color w:val="auto"/>
          <w:spacing w:val="8"/>
          <w:sz w:val="24"/>
          <w:szCs w:val="24"/>
          <w:highlight w:val="none"/>
        </w:rPr>
        <w:t>完成后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天内向承包人发送试验结果。</w:t>
      </w:r>
    </w:p>
    <w:p w14:paraId="265E2C14">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9.3 重新试验</w:t>
      </w:r>
    </w:p>
    <w:p w14:paraId="48624C49">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5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如果工程或区段工程未能通过竣工试验，则承包人应根据第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6.6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款[缺</w:t>
      </w:r>
      <w:r>
        <w:rPr>
          <w:rFonts w:hint="eastAsia" w:ascii="仿宋" w:hAnsi="仿宋" w:eastAsia="仿宋" w:cs="仿宋"/>
          <w:color w:val="auto"/>
          <w:spacing w:val="6"/>
          <w:sz w:val="24"/>
          <w:szCs w:val="24"/>
          <w:highlight w:val="none"/>
        </w:rPr>
        <w:t>陷和修补]修补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缺陷。发包人或承包人可要求按相同的条件，重新进行未通过的试验以及相关工程或区段工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程的竣工试验。该等重新进行的试验仍应适用本条对于竣工试验的规定。</w:t>
      </w:r>
    </w:p>
    <w:p w14:paraId="03C8953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 未能通过竣工试验</w:t>
      </w:r>
    </w:p>
    <w:p w14:paraId="2F041079">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9.4.1 因发包人原因导致竣工试验未能通过的，承包人进行竣工试验的费</w:t>
      </w:r>
      <w:r>
        <w:rPr>
          <w:rFonts w:hint="eastAsia" w:ascii="仿宋" w:hAnsi="仿宋" w:eastAsia="仿宋" w:cs="仿宋"/>
          <w:color w:val="auto"/>
          <w:spacing w:val="7"/>
          <w:sz w:val="24"/>
          <w:szCs w:val="24"/>
          <w:highlight w:val="none"/>
        </w:rPr>
        <w:t>用由发包人承担，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竣工日期相应顺延。</w:t>
      </w:r>
    </w:p>
    <w:p w14:paraId="3411688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9.4.2 如果工程或区段工程未能通过根据第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款[重新试验]重新进行的竣工试</w:t>
      </w:r>
      <w:r>
        <w:rPr>
          <w:rFonts w:hint="eastAsia" w:ascii="仿宋" w:hAnsi="仿宋" w:eastAsia="仿宋" w:cs="仿宋"/>
          <w:color w:val="auto"/>
          <w:spacing w:val="6"/>
          <w:sz w:val="24"/>
          <w:szCs w:val="24"/>
          <w:highlight w:val="none"/>
        </w:rPr>
        <w:t>验的，则：</w:t>
      </w:r>
    </w:p>
    <w:p w14:paraId="38529C74">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发包人有权要求承包人根据第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款[缺陷和修补]继续进行修补和改正，并根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据第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款[重新试验]再次进行竣工试验；</w:t>
      </w:r>
    </w:p>
    <w:p w14:paraId="4F03DEBE">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未能通过竣工试验，对工程或区段工程的操作或使用未产生实质性影响的，发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包人有权要求承包人自费修复，承担因此增加的费用和误期损害赔偿责任，并赔偿发包人的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相应损失；无法修复时，发包人有权扣减该部分的相应付款，同时视为通过竣工验收；</w:t>
      </w:r>
    </w:p>
    <w:p w14:paraId="0F811DAF">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未能通过竣工试验，使工程或区段工程的任何主要部分丧失了生产、使用功能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时，发包人有权指令承包人更换相关部分，承包人应承担因此增加的费用和误期损害赔偿责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任，并赔偿发包人的相应损失；</w:t>
      </w:r>
    </w:p>
    <w:p w14:paraId="4E72CFBC">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未能通过竣工试验，使整个工程或区段工程丧失了生产、使用功能时，发包人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可拒收工程或区段工程，或指令承包人重新设计、重置相关部分，承包人应承担因此增加的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费用和误期损害赔偿责任，并赔偿发包人的相应损失。同时发包人有权根据第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款[由发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包人解除合同]的约定解除合同。</w:t>
      </w:r>
    </w:p>
    <w:p w14:paraId="628B1EE6">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第10条 验收和工程接收</w:t>
      </w:r>
    </w:p>
    <w:p w14:paraId="42F51E0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1931A85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10.1.1 竣工验收条件</w:t>
      </w:r>
    </w:p>
    <w:p w14:paraId="7DA1A14A">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工程具备以下条件的，承包人可以申请竣工验收：</w:t>
      </w:r>
    </w:p>
    <w:p w14:paraId="5E075CF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53"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除因第</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条[变更与调整]导致的工程量删减和第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8"/>
          <w:sz w:val="24"/>
          <w:szCs w:val="24"/>
          <w:highlight w:val="none"/>
        </w:rPr>
        <w:t>14.5.3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项[扫尾工作清单]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列入缺陷责任期内完成的扫尾工程和缺陷修补工作外，合同范围内的全部单</w:t>
      </w:r>
      <w:r>
        <w:rPr>
          <w:rFonts w:hint="eastAsia" w:ascii="仿宋" w:hAnsi="仿宋" w:eastAsia="仿宋" w:cs="仿宋"/>
          <w:color w:val="auto"/>
          <w:spacing w:val="9"/>
          <w:sz w:val="24"/>
          <w:szCs w:val="24"/>
          <w:highlight w:val="none"/>
        </w:rPr>
        <w:t>位/区段工程以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及有关工作，包括合同要求的试验和竣工试验均已完成，并符合合同要求；</w:t>
      </w:r>
    </w:p>
    <w:p w14:paraId="0AC6DBFC">
      <w:pPr>
        <w:pStyle w:val="2"/>
        <w:keepNext w:val="0"/>
        <w:keepLines w:val="0"/>
        <w:pageBreakBefore w:val="0"/>
        <w:widowControl/>
        <w:kinsoku w:val="0"/>
        <w:wordWrap/>
        <w:overflowPunct/>
        <w:topLinePunct w:val="0"/>
        <w:autoSpaceDE w:val="0"/>
        <w:autoSpaceDN w:val="0"/>
        <w:bidi w:val="0"/>
        <w:adjustRightInd w:val="0"/>
        <w:snapToGrid w:val="0"/>
        <w:spacing w:before="25"/>
        <w:ind w:left="632" w:right="6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已按合同约定编制了扫尾工作和缺陷修补工作清单以及相应实施计划；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（3）</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已按合同约定的内容和份数备齐竣工资料；</w:t>
      </w:r>
    </w:p>
    <w:p w14:paraId="09F8634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合同约定要求在竣工验收前应完成的其他工作。</w:t>
      </w:r>
    </w:p>
    <w:p w14:paraId="4479EC2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10.1.2 竣工验收程序</w:t>
      </w:r>
    </w:p>
    <w:p w14:paraId="7B292225">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除专用合同条件另有约定外，承包人申请竣工验收的，应当按照以下程序进行：</w:t>
      </w:r>
    </w:p>
    <w:p w14:paraId="44BEDABE">
      <w:pPr>
        <w:pStyle w:val="2"/>
        <w:keepNext w:val="0"/>
        <w:keepLines w:val="0"/>
        <w:pageBreakBefore w:val="0"/>
        <w:widowControl/>
        <w:kinsoku w:val="0"/>
        <w:wordWrap/>
        <w:overflowPunct/>
        <w:topLinePunct w:val="0"/>
        <w:autoSpaceDE w:val="0"/>
        <w:autoSpaceDN w:val="0"/>
        <w:bidi w:val="0"/>
        <w:adjustRightInd w:val="0"/>
        <w:snapToGrid w:val="0"/>
        <w:spacing w:before="27" w:line="247"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承包人向工程师报送竣工验收申请报告，工程师应在收到竣工验收申请报告后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1"/>
          <w:sz w:val="24"/>
          <w:szCs w:val="24"/>
          <w:highlight w:val="none"/>
        </w:rPr>
        <w:t>天内完成审查并报送发包人。工程师审查后认为尚不</w:t>
      </w:r>
      <w:r>
        <w:rPr>
          <w:rFonts w:hint="eastAsia" w:ascii="仿宋" w:hAnsi="仿宋" w:eastAsia="仿宋" w:cs="仿宋"/>
          <w:color w:val="auto"/>
          <w:spacing w:val="10"/>
          <w:sz w:val="24"/>
          <w:szCs w:val="24"/>
          <w:highlight w:val="none"/>
        </w:rPr>
        <w:t>具备竣工验收条件的，应在收到竣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工验收申请报告后的</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天内通知承包人，指出在颁发接收证书前</w:t>
      </w:r>
      <w:r>
        <w:rPr>
          <w:rFonts w:hint="eastAsia" w:ascii="仿宋" w:hAnsi="仿宋" w:eastAsia="仿宋" w:cs="仿宋"/>
          <w:color w:val="auto"/>
          <w:spacing w:val="8"/>
          <w:sz w:val="24"/>
          <w:szCs w:val="24"/>
          <w:highlight w:val="none"/>
        </w:rPr>
        <w:t>承包人还需进行的工作内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容。承包人完成工程师通知的全部工作内容后，应再次提交竣工验收申请报告，直至工程师</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同意为止。</w:t>
      </w:r>
    </w:p>
    <w:p w14:paraId="006D8A71">
      <w:pPr>
        <w:pStyle w:val="2"/>
        <w:keepNext w:val="0"/>
        <w:keepLines w:val="0"/>
        <w:pageBreakBefore w:val="0"/>
        <w:widowControl/>
        <w:kinsoku w:val="0"/>
        <w:wordWrap/>
        <w:overflowPunct/>
        <w:topLinePunct w:val="0"/>
        <w:autoSpaceDE w:val="0"/>
        <w:autoSpaceDN w:val="0"/>
        <w:bidi w:val="0"/>
        <w:adjustRightInd w:val="0"/>
        <w:snapToGrid w:val="0"/>
        <w:spacing w:before="20" w:line="247"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工程师同意承包人提交的竣工验收申请报告的，或工程师收到竣工验收申请报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天内不予答复的，视为发包人收到并同意承包人的竣工验收申请，发</w:t>
      </w:r>
      <w:r>
        <w:rPr>
          <w:rFonts w:hint="eastAsia" w:ascii="仿宋" w:hAnsi="仿宋" w:eastAsia="仿宋" w:cs="仿宋"/>
          <w:color w:val="auto"/>
          <w:spacing w:val="8"/>
          <w:sz w:val="24"/>
          <w:szCs w:val="24"/>
          <w:highlight w:val="none"/>
        </w:rPr>
        <w:t>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该竣工验收申请报告后的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天内进行竣工验收。工程经竣工验收合格的，以竣工验收合格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之日为实际竣工日期，并在工程接收证书中载明；完成竣工验收但发包人不予签发工程接收</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证书的，视为竣工验收合格，以完成竣工验收之日为实际竣工日期。</w:t>
      </w:r>
    </w:p>
    <w:p w14:paraId="27BBD439">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竣工验收不合格的，工程师应按照验收意见发出指示，要求承包人对不合格工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程返工、修复或采取其他补救措施，由此增加的费用和（或）延误的工期由承包人承担。承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包人在完成不合格工程的返工、修复或采取其他补救措施后，</w:t>
      </w:r>
      <w:r>
        <w:rPr>
          <w:rFonts w:hint="eastAsia" w:ascii="仿宋" w:hAnsi="仿宋" w:eastAsia="仿宋" w:cs="仿宋"/>
          <w:color w:val="auto"/>
          <w:spacing w:val="3"/>
          <w:sz w:val="24"/>
          <w:szCs w:val="24"/>
          <w:highlight w:val="none"/>
        </w:rPr>
        <w:t>应重新提交竣工验收申请报告</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8"/>
          <w:sz w:val="24"/>
          <w:szCs w:val="24"/>
          <w:highlight w:val="none"/>
        </w:rPr>
        <w:t>并按本项约定的程序重新进行验收。</w:t>
      </w:r>
    </w:p>
    <w:p w14:paraId="6FC9C09F">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7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因发包人原因，未在工程师收到承包人竣工验收申请报告之日起</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竣工验收的，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以承包人提交竣工验收申请报告之日作为工程实际竣工日期。</w:t>
      </w:r>
    </w:p>
    <w:p w14:paraId="3DBB8E83">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工程未经竣工验收，发包人擅自使用的，以转移占有工程之日为实</w:t>
      </w:r>
      <w:r>
        <w:rPr>
          <w:rFonts w:hint="eastAsia" w:ascii="仿宋" w:hAnsi="仿宋" w:eastAsia="仿宋" w:cs="仿宋"/>
          <w:color w:val="auto"/>
          <w:spacing w:val="4"/>
          <w:sz w:val="24"/>
          <w:szCs w:val="24"/>
          <w:highlight w:val="none"/>
        </w:rPr>
        <w:t>际竣工日期。</w:t>
      </w:r>
    </w:p>
    <w:p w14:paraId="712004D1">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除专用合同条件另有约定外，发包人不按照本项和第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10.4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款[接收</w:t>
      </w:r>
      <w:r>
        <w:rPr>
          <w:rFonts w:hint="eastAsia" w:ascii="仿宋" w:hAnsi="仿宋" w:eastAsia="仿宋" w:cs="仿宋"/>
          <w:color w:val="auto"/>
          <w:spacing w:val="8"/>
          <w:sz w:val="24"/>
          <w:szCs w:val="24"/>
          <w:highlight w:val="none"/>
        </w:rPr>
        <w:t>证书]约定组织竣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工验收、颁发工程接收证书的，每逾期一天，应以签约合同价为基数，按照贷款市场报价利</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）支付违约金。</w:t>
      </w:r>
    </w:p>
    <w:p w14:paraId="3A03033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 单位/区段工程的验收</w:t>
      </w:r>
    </w:p>
    <w:p w14:paraId="3FD162AE">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10.2.1 发包人根据项目进度计划安排，在全部工程竣工前需要使用已经竣工的单位/区段工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程时，或承包人提出经发包人同意时，可进行单位/区段工程验收。验收</w:t>
      </w:r>
      <w:r>
        <w:rPr>
          <w:rFonts w:hint="eastAsia" w:ascii="仿宋" w:hAnsi="仿宋" w:eastAsia="仿宋" w:cs="仿宋"/>
          <w:color w:val="auto"/>
          <w:spacing w:val="2"/>
          <w:sz w:val="24"/>
          <w:szCs w:val="24"/>
          <w:highlight w:val="none"/>
        </w:rPr>
        <w:t>的程序可参照第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10.1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款[竣工验收]的约定进行。验收合格后，由工程师向承包</w:t>
      </w:r>
      <w:r>
        <w:rPr>
          <w:rFonts w:hint="eastAsia" w:ascii="仿宋" w:hAnsi="仿宋" w:eastAsia="仿宋" w:cs="仿宋"/>
          <w:color w:val="auto"/>
          <w:spacing w:val="9"/>
          <w:sz w:val="24"/>
          <w:szCs w:val="24"/>
          <w:highlight w:val="none"/>
        </w:rPr>
        <w:t>人出具经发包人签认的单位/区段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工程验收证书。单位/区段工程的验收成果和结论作为全部工程竣工验收申请报告的附件。</w:t>
      </w:r>
    </w:p>
    <w:p w14:paraId="12F14687">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10.2.2 发包人在全部工程竣工前，使用已接收的单位/区段工程导致承包人费用增加的，发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包人应承担由此增加的费用和（或）工期延误，并支付承包人合理利润。</w:t>
      </w:r>
    </w:p>
    <w:p w14:paraId="5FE985F5">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10.3 工程的接收</w:t>
      </w:r>
    </w:p>
    <w:p w14:paraId="09320AF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42" w:right="70"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 根据工程项目的具体情况和特点，可按工程或单位/区段工程进行接收，并在专用合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同条件约定接收的先后顺序、时间安排和其他要求。</w:t>
      </w:r>
    </w:p>
    <w:p w14:paraId="705B4075">
      <w:pPr>
        <w:pStyle w:val="2"/>
        <w:keepNext w:val="0"/>
        <w:keepLines w:val="0"/>
        <w:pageBreakBefore w:val="0"/>
        <w:widowControl/>
        <w:kinsoku w:val="0"/>
        <w:wordWrap/>
        <w:overflowPunct/>
        <w:topLinePunct w:val="0"/>
        <w:autoSpaceDE w:val="0"/>
        <w:autoSpaceDN w:val="0"/>
        <w:bidi w:val="0"/>
        <w:adjustRightInd w:val="0"/>
        <w:snapToGrid w:val="0"/>
        <w:spacing w:before="145"/>
        <w:ind w:left="46" w:right="105"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10.3.2 除按本条约定已经提交的资料外，接收工程时承包人需提交竣工验收资料的类别、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内容、份数和提交时间，在专用合同条件中约</w:t>
      </w:r>
      <w:r>
        <w:rPr>
          <w:rFonts w:hint="eastAsia" w:ascii="仿宋" w:hAnsi="仿宋" w:eastAsia="仿宋" w:cs="仿宋"/>
          <w:color w:val="auto"/>
          <w:spacing w:val="7"/>
          <w:sz w:val="24"/>
          <w:szCs w:val="24"/>
          <w:highlight w:val="none"/>
        </w:rPr>
        <w:t>定。</w:t>
      </w:r>
    </w:p>
    <w:p w14:paraId="18941F8E">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10.3.3 发包人无正当理由不接收工程的，发包人自应当接收工程之日起</w:t>
      </w:r>
      <w:r>
        <w:rPr>
          <w:rFonts w:hint="eastAsia" w:ascii="仿宋" w:hAnsi="仿宋" w:eastAsia="仿宋" w:cs="仿宋"/>
          <w:color w:val="auto"/>
          <w:spacing w:val="8"/>
          <w:sz w:val="24"/>
          <w:szCs w:val="24"/>
          <w:highlight w:val="none"/>
        </w:rPr>
        <w:t>，承担工程照管、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成品保护、保管等与工程有关的各项费用，合同当事人可以在专用合同条件中另行约定发包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人逾期接收工程的违约责任。</w:t>
      </w:r>
    </w:p>
    <w:p w14:paraId="6DD3C3CE">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10.3.4 承包人无正当理由不移交工程的，承包人应承担工程照管、成品</w:t>
      </w:r>
      <w:r>
        <w:rPr>
          <w:rFonts w:hint="eastAsia" w:ascii="仿宋" w:hAnsi="仿宋" w:eastAsia="仿宋" w:cs="仿宋"/>
          <w:color w:val="auto"/>
          <w:spacing w:val="8"/>
          <w:sz w:val="24"/>
          <w:szCs w:val="24"/>
          <w:highlight w:val="none"/>
        </w:rPr>
        <w:t>保护、保管等与工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程有关的各项费用，合同当事人可以在专用合同条件中另行约定承包人无正当理由不移交工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程的违约责任。</w:t>
      </w:r>
    </w:p>
    <w:p w14:paraId="1165787E">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46AD7D38">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10.4.1 除专用合同条件另有约定外，承包人应在竣工验收合格后向发包人提交第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[质量保证金]约定的质量保证金，发包人应在竣</w:t>
      </w:r>
      <w:r>
        <w:rPr>
          <w:rFonts w:hint="eastAsia" w:ascii="仿宋" w:hAnsi="仿宋" w:eastAsia="仿宋" w:cs="仿宋"/>
          <w:color w:val="auto"/>
          <w:spacing w:val="8"/>
          <w:sz w:val="24"/>
          <w:szCs w:val="24"/>
          <w:highlight w:val="none"/>
        </w:rPr>
        <w:t>工验收合格且工程具备接收条件后的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内向承包人颁发工程接收证书，但承包人未提交质量保证金的，发包人有权拒绝颁发。发包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人拒绝颁发工程接收证书的，应向承包人发出通知，说明理由并指出在颁发接收证书前承包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人需要做的工作，需要修补的缺陷和承包人需要提供的文件。</w:t>
      </w:r>
    </w:p>
    <w:p w14:paraId="5894ECDE">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10.4.2 发包人向承包人颁发的接收证书，应注明工程或单位/区段工程经验收合格的实际竣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工日期，并列明不在接收范围内的，在收尾工作和缺陷修补完成之前对工程或单</w:t>
      </w:r>
      <w:r>
        <w:rPr>
          <w:rFonts w:hint="eastAsia" w:ascii="仿宋" w:hAnsi="仿宋" w:eastAsia="仿宋" w:cs="仿宋"/>
          <w:color w:val="auto"/>
          <w:spacing w:val="9"/>
          <w:sz w:val="24"/>
          <w:szCs w:val="24"/>
          <w:highlight w:val="none"/>
        </w:rPr>
        <w:t>位/区段工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程预期使用目的没有实质影响的少量收尾工作和缺陷。</w:t>
      </w:r>
    </w:p>
    <w:p w14:paraId="6D54BE3D">
      <w:pPr>
        <w:pStyle w:val="2"/>
        <w:keepNext w:val="0"/>
        <w:keepLines w:val="0"/>
        <w:pageBreakBefore w:val="0"/>
        <w:widowControl/>
        <w:kinsoku w:val="0"/>
        <w:wordWrap/>
        <w:overflowPunct/>
        <w:topLinePunct w:val="0"/>
        <w:autoSpaceDE w:val="0"/>
        <w:autoSpaceDN w:val="0"/>
        <w:bidi w:val="0"/>
        <w:adjustRightInd w:val="0"/>
        <w:snapToGrid w:val="0"/>
        <w:spacing w:before="144"/>
        <w:ind w:left="26" w:right="69"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10.4.3 竣工验收合格而发包人无正当理由逾期不颁发工程接收证书的，自验收合格</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天起视为已颁发工程接收证书。</w:t>
      </w:r>
    </w:p>
    <w:p w14:paraId="19864C6B">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10.4.4 工程未经验收或验收不合格，发包人擅自使用的，应在转移占有工程后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天内向承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包人颁发工程接收证书；发包人无正当理由逾期不颁发工程接收证书的，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自转移占有后第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天起视为已颁发工程接收证书。</w:t>
      </w:r>
    </w:p>
    <w:p w14:paraId="2B7D7640">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10.4.5 存在扫尾工作的，工程接收证书中应当将第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14.5.3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项[扫尾工作清单]中约定的扫尾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工作清单作为工程接收证书附件。</w:t>
      </w:r>
    </w:p>
    <w:p w14:paraId="6AB33EC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4BEBA490">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10.5.1 竣工退场</w:t>
      </w:r>
    </w:p>
    <w:p w14:paraId="79EBC827">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颁发工程接收证书后，承包人应对施工现场进行清理，并撤离相关人员，使得施</w:t>
      </w:r>
      <w:r>
        <w:rPr>
          <w:rFonts w:hint="eastAsia" w:ascii="仿宋" w:hAnsi="仿宋" w:eastAsia="仿宋" w:cs="仿宋"/>
          <w:color w:val="auto"/>
          <w:spacing w:val="7"/>
          <w:sz w:val="24"/>
          <w:szCs w:val="24"/>
          <w:highlight w:val="none"/>
        </w:rPr>
        <w:t>工现</w:t>
      </w:r>
      <w:r>
        <w:rPr>
          <w:rFonts w:hint="eastAsia" w:ascii="仿宋" w:hAnsi="仿宋" w:eastAsia="仿宋" w:cs="仿宋"/>
          <w:color w:val="auto"/>
          <w:spacing w:val="9"/>
          <w:sz w:val="24"/>
          <w:szCs w:val="24"/>
          <w:highlight w:val="none"/>
        </w:rPr>
        <w:t>场处于以下状态，直至工程师检验合格为止：</w:t>
      </w:r>
    </w:p>
    <w:p w14:paraId="6B811E6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施工现场内残留的垃圾已全部清除出场；</w:t>
      </w:r>
    </w:p>
    <w:p w14:paraId="13819D8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临时工程已拆除，场地已按合同约定进行</w:t>
      </w:r>
      <w:r>
        <w:rPr>
          <w:rFonts w:hint="eastAsia" w:ascii="仿宋" w:hAnsi="仿宋" w:eastAsia="仿宋" w:cs="仿宋"/>
          <w:color w:val="auto"/>
          <w:spacing w:val="7"/>
          <w:sz w:val="24"/>
          <w:szCs w:val="24"/>
          <w:highlight w:val="none"/>
        </w:rPr>
        <w:t>清理、平整或复原；</w:t>
      </w:r>
    </w:p>
    <w:p w14:paraId="66E8850E">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按合同约定应撤离的人员、承包人提供的施工设备和剩余的材料，包括废弃的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施工设备和材料，已按计划撤离施工现场；</w:t>
      </w:r>
    </w:p>
    <w:p w14:paraId="3CB9932E">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施工现场周边及其附近道路、河道的施工堆积物，已全部清理；</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（5） 施工现场其他竣工退场工作已全部完成。</w:t>
      </w:r>
    </w:p>
    <w:p w14:paraId="10D12589">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6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施工现场的竣工退场费用由承包人承担。承包人应在专用合同条件约定的期限内完成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竣工退场，逾期未完成的，发包人有权出售或另行处理承包人遗留的物品，由此支出的费用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由承包人承担，发包人出售承包人遗留物品所得款项在扣除必要费用后应返还承包人。</w:t>
      </w:r>
    </w:p>
    <w:p w14:paraId="0A90F8A8">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10.5.2 地表还原</w:t>
      </w:r>
    </w:p>
    <w:p w14:paraId="33D5E689">
      <w:pPr>
        <w:pStyle w:val="2"/>
        <w:keepNext w:val="0"/>
        <w:keepLines w:val="0"/>
        <w:pageBreakBefore w:val="0"/>
        <w:widowControl/>
        <w:kinsoku w:val="0"/>
        <w:wordWrap/>
        <w:overflowPunct/>
        <w:topLinePunct w:val="0"/>
        <w:autoSpaceDE w:val="0"/>
        <w:autoSpaceDN w:val="0"/>
        <w:bidi w:val="0"/>
        <w:adjustRightInd w:val="0"/>
        <w:snapToGrid w:val="0"/>
        <w:spacing w:before="143"/>
        <w:ind w:left="23" w:right="16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承包人应按合同约定和工程师的要求恢复临时占地及清理场地，否则发包人有权</w:t>
      </w:r>
      <w:r>
        <w:rPr>
          <w:rFonts w:hint="eastAsia" w:ascii="仿宋" w:hAnsi="仿宋" w:eastAsia="仿宋" w:cs="仿宋"/>
          <w:color w:val="auto"/>
          <w:spacing w:val="7"/>
          <w:sz w:val="24"/>
          <w:szCs w:val="24"/>
          <w:highlight w:val="none"/>
        </w:rPr>
        <w:t>委托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其他人恢复或清理，所发生的费用由承包人承担。</w:t>
      </w:r>
    </w:p>
    <w:p w14:paraId="08517F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10.5.3 人员撤离</w:t>
      </w:r>
    </w:p>
    <w:p w14:paraId="1E4FD8AE">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除了经工程师同意需在缺陷责任期内继续工作和使用的人员、施工设备和临时工程外，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承包人应按专用合同条件约定和工程师的要求将其余</w:t>
      </w:r>
      <w:r>
        <w:rPr>
          <w:rFonts w:hint="eastAsia" w:ascii="仿宋" w:hAnsi="仿宋" w:eastAsia="仿宋" w:cs="仿宋"/>
          <w:color w:val="auto"/>
          <w:spacing w:val="6"/>
          <w:sz w:val="24"/>
          <w:szCs w:val="24"/>
          <w:highlight w:val="none"/>
        </w:rPr>
        <w:t xml:space="preserve">的人员、施工设备和临时工程撤离施工  </w:t>
      </w:r>
      <w:r>
        <w:rPr>
          <w:rFonts w:hint="eastAsia" w:ascii="仿宋" w:hAnsi="仿宋" w:eastAsia="仿宋" w:cs="仿宋"/>
          <w:color w:val="auto"/>
          <w:spacing w:val="7"/>
          <w:sz w:val="24"/>
          <w:szCs w:val="24"/>
          <w:highlight w:val="none"/>
        </w:rPr>
        <w:t>现场或拆除。除专用合同条件另有约定外，缺陷责任</w:t>
      </w:r>
      <w:r>
        <w:rPr>
          <w:rFonts w:hint="eastAsia" w:ascii="仿宋" w:hAnsi="仿宋" w:eastAsia="仿宋" w:cs="仿宋"/>
          <w:color w:val="auto"/>
          <w:spacing w:val="6"/>
          <w:sz w:val="24"/>
          <w:szCs w:val="24"/>
          <w:highlight w:val="none"/>
        </w:rPr>
        <w:t xml:space="preserve">期满时，承包人的人员和施工设备应全  </w:t>
      </w:r>
      <w:r>
        <w:rPr>
          <w:rFonts w:hint="eastAsia" w:ascii="仿宋" w:hAnsi="仿宋" w:eastAsia="仿宋" w:cs="仿宋"/>
          <w:color w:val="auto"/>
          <w:spacing w:val="7"/>
          <w:sz w:val="24"/>
          <w:szCs w:val="24"/>
          <w:highlight w:val="none"/>
        </w:rPr>
        <w:t>部撤离施工现场。</w:t>
      </w:r>
    </w:p>
    <w:p w14:paraId="4601D649">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第11条 缺陷责任与保修</w:t>
      </w:r>
    </w:p>
    <w:p w14:paraId="5B82B02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11.1 工程保修的原则</w:t>
      </w:r>
    </w:p>
    <w:p w14:paraId="3A3FAA8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01"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在工程移交发包人后，因承包人原因产生的质量缺陷，承包人应承担质量缺陷责任和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保修义务。缺陷责任期届满，承包人仍应按合同约定的工程各部位保修年限</w:t>
      </w:r>
      <w:r>
        <w:rPr>
          <w:rFonts w:hint="eastAsia" w:ascii="仿宋" w:hAnsi="仿宋" w:eastAsia="仿宋" w:cs="仿宋"/>
          <w:color w:val="auto"/>
          <w:spacing w:val="8"/>
          <w:sz w:val="24"/>
          <w:szCs w:val="24"/>
          <w:highlight w:val="none"/>
        </w:rPr>
        <w:t>承担保修义务。</w:t>
      </w:r>
    </w:p>
    <w:p w14:paraId="3A0E923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428773A9">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60"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缺陷责任期原则上从工程竣工验收合格之日起计算，合同当事人应在专用合同条</w:t>
      </w:r>
      <w:r>
        <w:rPr>
          <w:rFonts w:hint="eastAsia" w:ascii="仿宋" w:hAnsi="仿宋" w:eastAsia="仿宋" w:cs="仿宋"/>
          <w:color w:val="auto"/>
          <w:spacing w:val="7"/>
          <w:sz w:val="24"/>
          <w:szCs w:val="24"/>
          <w:highlight w:val="none"/>
        </w:rPr>
        <w:t>件约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定缺陷责任期的具体期限，但该期限最长不超过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个月。</w:t>
      </w:r>
    </w:p>
    <w:p w14:paraId="5DF8524D">
      <w:pPr>
        <w:pStyle w:val="2"/>
        <w:keepNext w:val="0"/>
        <w:keepLines w:val="0"/>
        <w:pageBreakBefore w:val="0"/>
        <w:widowControl/>
        <w:kinsoku w:val="0"/>
        <w:wordWrap/>
        <w:overflowPunct/>
        <w:topLinePunct w:val="0"/>
        <w:autoSpaceDE w:val="0"/>
        <w:autoSpaceDN w:val="0"/>
        <w:bidi w:val="0"/>
        <w:adjustRightInd w:val="0"/>
        <w:snapToGrid w:val="0"/>
        <w:spacing w:before="23" w:line="247" w:lineRule="auto"/>
        <w:ind w:left="20" w:right="10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单位/区段工程先于全部工程进行验收，经验收合格并交付使</w:t>
      </w:r>
      <w:r>
        <w:rPr>
          <w:rFonts w:hint="eastAsia" w:ascii="仿宋" w:hAnsi="仿宋" w:eastAsia="仿宋" w:cs="仿宋"/>
          <w:color w:val="auto"/>
          <w:spacing w:val="7"/>
          <w:sz w:val="24"/>
          <w:szCs w:val="24"/>
          <w:highlight w:val="none"/>
        </w:rPr>
        <w:t>用的，该单位/区段工程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缺陷责任期自单位/区段工程验收合格之日起算。因发包人原因导致工程未在合同约定</w:t>
      </w:r>
      <w:r>
        <w:rPr>
          <w:rFonts w:hint="eastAsia" w:ascii="仿宋" w:hAnsi="仿宋" w:eastAsia="仿宋" w:cs="仿宋"/>
          <w:color w:val="auto"/>
          <w:spacing w:val="9"/>
          <w:sz w:val="24"/>
          <w:szCs w:val="24"/>
          <w:highlight w:val="none"/>
        </w:rPr>
        <w:t>期限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进行验收，但工程经验收合格的，以承包人提交竣工验收报告之日起算；因发包人原因导致</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5"/>
          <w:sz w:val="24"/>
          <w:szCs w:val="24"/>
          <w:highlight w:val="none"/>
        </w:rPr>
        <w:t>工程未能进行竣工验收的，在承包人提交竣工验收报告</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90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天后，工程自动进入缺陷责任期；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发包人未经竣工验收擅自使用工程的，缺陷责任期自工程转移占有之日起开始计算。</w:t>
      </w:r>
    </w:p>
    <w:p w14:paraId="41638A2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160" w:firstLine="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由于承包人原因造成某项缺陷或损坏使某项工程或工程设备不能按原定目标使用而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需要再次检查、检验和修复的，发包人有权要求承包人延长该项工程或工程设备的缺陷责任</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期，并应在原缺陷责任期届满前发出延长通知。但缺陷责任期最长不超过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24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个月。</w:t>
      </w:r>
    </w:p>
    <w:p w14:paraId="0AE1739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525680DE">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11.3.1 承包人缺陷调查</w:t>
      </w:r>
    </w:p>
    <w:p w14:paraId="6006DB98">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如果发包人指示承包人调查任何缺陷的原因，承包人应在</w:t>
      </w:r>
      <w:r>
        <w:rPr>
          <w:rFonts w:hint="eastAsia" w:ascii="仿宋" w:hAnsi="仿宋" w:eastAsia="仿宋" w:cs="仿宋"/>
          <w:color w:val="auto"/>
          <w:spacing w:val="8"/>
          <w:sz w:val="24"/>
          <w:szCs w:val="24"/>
          <w:highlight w:val="none"/>
        </w:rPr>
        <w:t>发包人的指导下进行调查。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承包人应在发包人指示中说明的日期或与发包人达成一致的其他日期开展调查。除非该缺陷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应由承包人负责自费进行修补，承包人有权就调查的成本和利润获得支付。</w:t>
      </w:r>
    </w:p>
    <w:p w14:paraId="61368C88">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6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如果承包人未能根据本款开展调查，该调查可由发包人开展。但应将上述</w:t>
      </w:r>
      <w:r>
        <w:rPr>
          <w:rFonts w:hint="eastAsia" w:ascii="仿宋" w:hAnsi="仿宋" w:eastAsia="仿宋" w:cs="仿宋"/>
          <w:color w:val="auto"/>
          <w:spacing w:val="7"/>
          <w:sz w:val="24"/>
          <w:szCs w:val="24"/>
          <w:highlight w:val="none"/>
        </w:rPr>
        <w:t>调查开展的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日期通知承包人，承包人可自费参加调查。如果该缺陷应由承包人自费进行修补，则发包人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有权要求承包人支付发包人因调查产生的合理费用。</w:t>
      </w:r>
    </w:p>
    <w:p w14:paraId="08ED33D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11.3.2 缺陷责任</w:t>
      </w:r>
    </w:p>
    <w:p w14:paraId="77EE88A5">
      <w:pPr>
        <w:pStyle w:val="2"/>
        <w:keepNext w:val="0"/>
        <w:keepLines w:val="0"/>
        <w:pageBreakBefore w:val="0"/>
        <w:widowControl/>
        <w:kinsoku w:val="0"/>
        <w:wordWrap/>
        <w:overflowPunct/>
        <w:topLinePunct w:val="0"/>
        <w:autoSpaceDE w:val="0"/>
        <w:autoSpaceDN w:val="0"/>
        <w:bidi w:val="0"/>
        <w:adjustRightInd w:val="0"/>
        <w:snapToGrid w:val="0"/>
        <w:spacing w:before="143" w:line="247" w:lineRule="auto"/>
        <w:ind w:left="22" w:right="117" w:firstLine="600"/>
        <w:jc w:val="both"/>
        <w:textAlignment w:val="baseline"/>
        <w:outlineLvl w:val="9"/>
        <w:rPr>
          <w:rFonts w:hint="eastAsia" w:ascii="仿宋" w:hAnsi="仿宋" w:eastAsia="仿宋" w:cs="仿宋"/>
          <w:color w:val="auto"/>
          <w:spacing w:val="9"/>
          <w:sz w:val="24"/>
          <w:szCs w:val="24"/>
          <w:highlight w:val="none"/>
        </w:rPr>
      </w:pPr>
      <w:r>
        <w:rPr>
          <w:rFonts w:hint="eastAsia" w:ascii="仿宋" w:hAnsi="仿宋" w:eastAsia="仿宋" w:cs="仿宋"/>
          <w:color w:val="auto"/>
          <w:spacing w:val="8"/>
          <w:sz w:val="24"/>
          <w:szCs w:val="24"/>
          <w:highlight w:val="none"/>
        </w:rPr>
        <w:t>缺陷责任期内，由承包人原因造成的缺陷，承包人应负责维修，并承担鉴定及维</w:t>
      </w:r>
      <w:r>
        <w:rPr>
          <w:rFonts w:hint="eastAsia" w:ascii="仿宋" w:hAnsi="仿宋" w:eastAsia="仿宋" w:cs="仿宋"/>
          <w:color w:val="auto"/>
          <w:spacing w:val="7"/>
          <w:sz w:val="24"/>
          <w:szCs w:val="24"/>
          <w:highlight w:val="none"/>
        </w:rPr>
        <w:t>修费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用。如承包人不维修也不承担费用，发包人可按合同约定从质量保证金中扣除，费用超出质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量保证金金额的，发包人可按合同约定向承包人进行索赔。承包人维修并承担相应费用后，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不免除对工程的损失赔偿责任。发包人在使用过程中，发现已修补的缺陷部位或部件还存在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质量缺陷的，承包人应负责修复，直至检验合格为止。</w:t>
      </w:r>
    </w:p>
    <w:p w14:paraId="31D18168">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11.3.3 修复费用</w:t>
      </w:r>
    </w:p>
    <w:p w14:paraId="72DCA938">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发包人和承包人应共同查清缺陷或损坏的原因。经查明属承包人原因造成</w:t>
      </w:r>
      <w:r>
        <w:rPr>
          <w:rFonts w:hint="eastAsia" w:ascii="仿宋" w:hAnsi="仿宋" w:eastAsia="仿宋" w:cs="仿宋"/>
          <w:color w:val="auto"/>
          <w:spacing w:val="7"/>
          <w:sz w:val="24"/>
          <w:szCs w:val="24"/>
          <w:highlight w:val="none"/>
        </w:rPr>
        <w:t>的，应由承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包人承担修复的费用。经查验非承包人原因造成的，发包人应承担修复的费用，并支付承包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人合理利润。</w:t>
      </w:r>
    </w:p>
    <w:p w14:paraId="2C5FB931">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61E6118D">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在缺陷责任期内，发包人在使用过程中，发现已接收的工程存在缺陷或损坏的，应书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面通知承包人予以修复，但情况紧急必须立即修复缺陷或损坏的，发包人可以口头通知承包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人并在口头通知后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小时内书面确认，承包人应在专用合同条件约定的合理期限内到达工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程现场并修复缺陷或损坏。</w:t>
      </w:r>
    </w:p>
    <w:p w14:paraId="16AB3BB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11.3.5 在现场外修复</w:t>
      </w:r>
    </w:p>
    <w:p w14:paraId="69CDF1D9">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28"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在缺陷责任期内，承包人认为设备中的缺陷或损害不能在现场得到迅速修复，承包人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应当向发包人发出通知，请求发包人同意把这些有缺陷或者损害的设备移出现场进行修复，</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通知应当注明有缺陷或者损害的设备及维修的相关内容，发包人可要求承包人按移出设备的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全部重置成本增加质量保证金的数额。</w:t>
      </w:r>
    </w:p>
    <w:p w14:paraId="5FBEE77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11.3.6 未能修复</w:t>
      </w:r>
    </w:p>
    <w:p w14:paraId="3F585160">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70" w:firstLine="6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因承包人原因造成工程的缺陷或损坏，承包</w:t>
      </w:r>
      <w:r>
        <w:rPr>
          <w:rFonts w:hint="eastAsia" w:ascii="仿宋" w:hAnsi="仿宋" w:eastAsia="仿宋" w:cs="仿宋"/>
          <w:color w:val="auto"/>
          <w:spacing w:val="7"/>
          <w:sz w:val="24"/>
          <w:szCs w:val="24"/>
          <w:highlight w:val="none"/>
        </w:rPr>
        <w:t>人拒绝维修或未能在合理期限内修复缺陷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或损坏，且经发包人书面催告后仍未修复的，发包人有权自行修复或委托第三方修复，所需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费用由承包人承担。但修复范围超出缺陷或损坏范围的，超出范围部分的修复费用由发包人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承担。</w:t>
      </w:r>
    </w:p>
    <w:p w14:paraId="5870825C">
      <w:pPr>
        <w:pStyle w:val="2"/>
        <w:keepNext w:val="0"/>
        <w:keepLines w:val="0"/>
        <w:pageBreakBefore w:val="0"/>
        <w:widowControl/>
        <w:kinsoku w:val="0"/>
        <w:wordWrap/>
        <w:overflowPunct/>
        <w:topLinePunct w:val="0"/>
        <w:autoSpaceDE w:val="0"/>
        <w:autoSpaceDN w:val="0"/>
        <w:bidi w:val="0"/>
        <w:adjustRightInd w:val="0"/>
        <w:snapToGrid w:val="0"/>
        <w:spacing w:before="25"/>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如果工程或工程设备的缺陷或损害使发包人实质上失去了工程的整体功能</w:t>
      </w:r>
      <w:r>
        <w:rPr>
          <w:rFonts w:hint="eastAsia" w:ascii="仿宋" w:hAnsi="仿宋" w:eastAsia="仿宋" w:cs="仿宋"/>
          <w:color w:val="auto"/>
          <w:spacing w:val="7"/>
          <w:sz w:val="24"/>
          <w:szCs w:val="24"/>
          <w:highlight w:val="none"/>
        </w:rPr>
        <w:t>，发包人有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权向承包人追回已支付的工程款项，并要求其赔偿发包人相应损失。</w:t>
      </w:r>
    </w:p>
    <w:p w14:paraId="60D74F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缺陷修复后的进一步试验</w:t>
      </w:r>
    </w:p>
    <w:p w14:paraId="0ABF794C">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任何一项缺陷修补后的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天内，承包人应向发包人发出通知</w:t>
      </w:r>
      <w:r>
        <w:rPr>
          <w:rFonts w:hint="eastAsia" w:ascii="仿宋" w:hAnsi="仿宋" w:eastAsia="仿宋" w:cs="仿宋"/>
          <w:color w:val="auto"/>
          <w:spacing w:val="6"/>
          <w:sz w:val="24"/>
          <w:szCs w:val="24"/>
          <w:highlight w:val="none"/>
        </w:rPr>
        <w:t xml:space="preserve">，告知已修补的情况。如 </w:t>
      </w:r>
      <w:r>
        <w:rPr>
          <w:rFonts w:hint="eastAsia" w:ascii="仿宋" w:hAnsi="仿宋" w:eastAsia="仿宋" w:cs="仿宋"/>
          <w:color w:val="auto"/>
          <w:spacing w:val="5"/>
          <w:sz w:val="24"/>
          <w:szCs w:val="24"/>
          <w:highlight w:val="none"/>
        </w:rPr>
        <w:t>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条[竣工试验]或第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条[竣工后试验]的规定适用</w:t>
      </w:r>
      <w:r>
        <w:rPr>
          <w:rFonts w:hint="eastAsia" w:ascii="仿宋" w:hAnsi="仿宋" w:eastAsia="仿宋" w:cs="仿宋"/>
          <w:color w:val="auto"/>
          <w:spacing w:val="4"/>
          <w:sz w:val="24"/>
          <w:szCs w:val="24"/>
          <w:highlight w:val="none"/>
        </w:rPr>
        <w:t>重新试验的，还应建议重新试验。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发包人应在收到重新试验的通知后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 xml:space="preserve">天内答复，逾期未进行答复的视为同意重新试验。承 </w:t>
      </w:r>
      <w:r>
        <w:rPr>
          <w:rFonts w:hint="eastAsia" w:ascii="仿宋" w:hAnsi="仿宋" w:eastAsia="仿宋" w:cs="仿宋"/>
          <w:color w:val="auto"/>
          <w:spacing w:val="7"/>
          <w:sz w:val="24"/>
          <w:szCs w:val="24"/>
          <w:highlight w:val="none"/>
        </w:rPr>
        <w:t>包人未建议重新试验的，发包人也可在缺陷修补后的</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天内指示进行必要的重新试验，</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 xml:space="preserve">以 </w:t>
      </w:r>
      <w:r>
        <w:rPr>
          <w:rFonts w:hint="eastAsia" w:ascii="仿宋" w:hAnsi="仿宋" w:eastAsia="仿宋" w:cs="仿宋"/>
          <w:color w:val="auto"/>
          <w:spacing w:val="8"/>
          <w:sz w:val="24"/>
          <w:szCs w:val="24"/>
          <w:highlight w:val="none"/>
        </w:rPr>
        <w:t>证明已修复的部分符合合同要求。</w:t>
      </w:r>
    </w:p>
    <w:p w14:paraId="00760D6D">
      <w:pPr>
        <w:pStyle w:val="2"/>
        <w:keepNext w:val="0"/>
        <w:keepLines w:val="0"/>
        <w:pageBreakBefore w:val="0"/>
        <w:widowControl/>
        <w:kinsoku w:val="0"/>
        <w:wordWrap/>
        <w:overflowPunct/>
        <w:topLinePunct w:val="0"/>
        <w:autoSpaceDE w:val="0"/>
        <w:autoSpaceDN w:val="0"/>
        <w:bidi w:val="0"/>
        <w:adjustRightInd w:val="0"/>
        <w:snapToGrid w:val="0"/>
        <w:spacing w:before="2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所有的重复试验应按照适用于先前试验的条款进行，但应由责任方承担修补工作</w:t>
      </w:r>
      <w:r>
        <w:rPr>
          <w:rFonts w:hint="eastAsia" w:ascii="仿宋" w:hAnsi="仿宋" w:eastAsia="仿宋" w:cs="仿宋"/>
          <w:color w:val="auto"/>
          <w:spacing w:val="7"/>
          <w:sz w:val="24"/>
          <w:szCs w:val="24"/>
          <w:highlight w:val="none"/>
        </w:rPr>
        <w:t>的成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本和重新试验的风险和费用。</w:t>
      </w:r>
    </w:p>
    <w:p w14:paraId="1C0F827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承包人出入权</w:t>
      </w:r>
    </w:p>
    <w:p w14:paraId="28E4A0F2">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在缺陷责任期内，为了修复缺陷或损坏，承包人有权出入工程现场，除情况紧急必须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立即修复缺陷或损坏外，承包人应提前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小时通知发包人进场修复的时间。承包人进入工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程现场前应获得发包人同意，且不应影响发包人正常的生产经营，并应遵守发包人有关安保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和保密等规定。</w:t>
      </w:r>
    </w:p>
    <w:p w14:paraId="09E9A897">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1A0F5C85">
      <w:pPr>
        <w:pStyle w:val="2"/>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除专用合同条件另有约定外，承包人应于缺陷责任期届满前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w:t>
      </w:r>
      <w:r>
        <w:rPr>
          <w:rFonts w:hint="eastAsia" w:ascii="仿宋" w:hAnsi="仿宋" w:eastAsia="仿宋" w:cs="仿宋"/>
          <w:color w:val="auto"/>
          <w:spacing w:val="6"/>
          <w:sz w:val="24"/>
          <w:szCs w:val="24"/>
          <w:highlight w:val="none"/>
        </w:rPr>
        <w:t>内向发包人发出缺陷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责任期即将届满通知，发包人应在收到通知后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天内核实承包人是否履行缺陷修复义务，承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包人未能履行缺陷修复义务的，发包人有权扣除相应金额的维修费用。发包人应在缺陷责任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期届满之日，向承包人颁发缺陷责任期终止证书，并按第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14.6.3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项[质量保证金的返还]返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还质量保证金。</w:t>
      </w:r>
    </w:p>
    <w:p w14:paraId="13A81C3D">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6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10.5.3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9"/>
          <w:sz w:val="24"/>
          <w:szCs w:val="24"/>
          <w:highlight w:val="none"/>
        </w:rPr>
        <w:t>项[人员撤离]承包人在施工现场还留</w:t>
      </w:r>
      <w:r>
        <w:rPr>
          <w:rFonts w:hint="eastAsia" w:ascii="仿宋" w:hAnsi="仿宋" w:eastAsia="仿宋" w:cs="仿宋"/>
          <w:color w:val="auto"/>
          <w:spacing w:val="8"/>
          <w:sz w:val="24"/>
          <w:szCs w:val="24"/>
          <w:highlight w:val="none"/>
        </w:rPr>
        <w:t>有人员、施工设备和临时工程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的，承包人应当在收到缺陷责任期终止证书后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天内，将上述人员、施工设备和临时工程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撤离施工现场。</w:t>
      </w:r>
    </w:p>
    <w:p w14:paraId="08A783A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42708E09">
      <w:pPr>
        <w:pStyle w:val="2"/>
        <w:keepNext w:val="0"/>
        <w:keepLines w:val="0"/>
        <w:pageBreakBefore w:val="0"/>
        <w:widowControl/>
        <w:kinsoku w:val="0"/>
        <w:wordWrap/>
        <w:overflowPunct/>
        <w:topLinePunct w:val="0"/>
        <w:autoSpaceDE w:val="0"/>
        <w:autoSpaceDN w:val="0"/>
        <w:bidi w:val="0"/>
        <w:adjustRightInd w:val="0"/>
        <w:snapToGrid w:val="0"/>
        <w:spacing w:before="144"/>
        <w:ind w:left="21"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因承包人原因导致的质量缺陷责任，由合同</w:t>
      </w:r>
      <w:r>
        <w:rPr>
          <w:rFonts w:hint="eastAsia" w:ascii="仿宋" w:hAnsi="仿宋" w:eastAsia="仿宋" w:cs="仿宋"/>
          <w:color w:val="auto"/>
          <w:spacing w:val="7"/>
          <w:sz w:val="24"/>
          <w:szCs w:val="24"/>
          <w:highlight w:val="none"/>
        </w:rPr>
        <w:t>当事人根据有关法律规定，在专用合同条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件和工程质量保修书中约定工程质量保修范围、期限和责任。</w:t>
      </w:r>
    </w:p>
    <w:p w14:paraId="7D120021">
      <w:pPr>
        <w:pStyle w:val="2"/>
        <w:keepNext w:val="0"/>
        <w:keepLines w:val="0"/>
        <w:pageBreakBefore w:val="0"/>
        <w:widowControl/>
        <w:numPr>
          <w:ilvl w:val="0"/>
          <w:numId w:val="9"/>
        </w:numPr>
        <w:kinsoku w:val="0"/>
        <w:wordWrap/>
        <w:overflowPunct/>
        <w:topLinePunct w:val="0"/>
        <w:autoSpaceDE w:val="0"/>
        <w:autoSpaceDN w:val="0"/>
        <w:bidi w:val="0"/>
        <w:adjustRightInd w:val="0"/>
        <w:snapToGrid w:val="0"/>
        <w:spacing w:before="145" w:line="228" w:lineRule="auto"/>
        <w:ind w:left="3281"/>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竣工后试验</w:t>
      </w:r>
    </w:p>
    <w:p w14:paraId="51CE81BE">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rPr>
      </w:pPr>
    </w:p>
    <w:p w14:paraId="781C909B">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本合同工程包含竣工后试验的，遵守本条约</w:t>
      </w:r>
      <w:r>
        <w:rPr>
          <w:rFonts w:hint="eastAsia" w:ascii="仿宋" w:hAnsi="仿宋" w:eastAsia="仿宋" w:cs="仿宋"/>
          <w:color w:val="auto"/>
          <w:spacing w:val="8"/>
          <w:sz w:val="24"/>
          <w:szCs w:val="24"/>
          <w:highlight w:val="none"/>
        </w:rPr>
        <w:t>定。</w:t>
      </w:r>
    </w:p>
    <w:p w14:paraId="67ADC660">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202CBD06">
      <w:pPr>
        <w:pStyle w:val="2"/>
        <w:keepNext w:val="0"/>
        <w:keepLines w:val="0"/>
        <w:pageBreakBefore w:val="0"/>
        <w:widowControl/>
        <w:kinsoku w:val="0"/>
        <w:wordWrap/>
        <w:overflowPunct/>
        <w:topLinePunct w:val="0"/>
        <w:autoSpaceDE w:val="0"/>
        <w:autoSpaceDN w:val="0"/>
        <w:bidi w:val="0"/>
        <w:adjustRightInd w:val="0"/>
        <w:snapToGrid w:val="0"/>
        <w:spacing w:before="145"/>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12.1.1 工程或区段工程被发包人接收后，在合理可行的情况下应根据合</w:t>
      </w:r>
      <w:r>
        <w:rPr>
          <w:rFonts w:hint="eastAsia" w:ascii="仿宋" w:hAnsi="仿宋" w:eastAsia="仿宋" w:cs="仿宋"/>
          <w:color w:val="auto"/>
          <w:spacing w:val="8"/>
          <w:sz w:val="24"/>
          <w:szCs w:val="24"/>
          <w:highlight w:val="none"/>
        </w:rPr>
        <w:t>同约定尽早进行竣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工后试验。</w:t>
      </w:r>
    </w:p>
    <w:p w14:paraId="4D8BE383">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7" w:right="1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12.1.2 除专用合同条件另有约定外，发包人应提供全部电力、水、污水</w:t>
      </w:r>
      <w:r>
        <w:rPr>
          <w:rFonts w:hint="eastAsia" w:ascii="仿宋" w:hAnsi="仿宋" w:eastAsia="仿宋" w:cs="仿宋"/>
          <w:color w:val="auto"/>
          <w:spacing w:val="8"/>
          <w:sz w:val="24"/>
          <w:szCs w:val="24"/>
          <w:highlight w:val="none"/>
        </w:rPr>
        <w:t>处理、燃料、消耗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品和材料，以及全部其他仪器、协助、文件或其</w:t>
      </w:r>
      <w:r>
        <w:rPr>
          <w:rFonts w:hint="eastAsia" w:ascii="仿宋" w:hAnsi="仿宋" w:eastAsia="仿宋" w:cs="仿宋"/>
          <w:color w:val="auto"/>
          <w:spacing w:val="3"/>
          <w:sz w:val="24"/>
          <w:szCs w:val="24"/>
          <w:highlight w:val="none"/>
        </w:rPr>
        <w:t>他信息、设备、工具、劳力，启动工程设备，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并组织安排有适当资质、经验和能力的工作人员实施竣工后试验。</w:t>
      </w:r>
    </w:p>
    <w:p w14:paraId="7021136E">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12.1.3 除《发包人要求》另有约定外，发包人应在合理可行的情况下尽</w:t>
      </w:r>
      <w:r>
        <w:rPr>
          <w:rFonts w:hint="eastAsia" w:ascii="仿宋" w:hAnsi="仿宋" w:eastAsia="仿宋" w:cs="仿宋"/>
          <w:color w:val="auto"/>
          <w:spacing w:val="8"/>
          <w:sz w:val="24"/>
          <w:szCs w:val="24"/>
          <w:highlight w:val="none"/>
        </w:rPr>
        <w:t>快进行每项竣工后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试验，并至少提前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天将该项竣工后试验的内容、地点和时间，</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以及显示其他竣工后试验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拟开展时间的竣工后试验计划通知承包人。</w:t>
      </w:r>
    </w:p>
    <w:p w14:paraId="19D5956F">
      <w:pPr>
        <w:pStyle w:val="2"/>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12.1.4 发包人应根据《发包人要求》、承</w:t>
      </w:r>
      <w:r>
        <w:rPr>
          <w:rFonts w:hint="eastAsia" w:ascii="仿宋" w:hAnsi="仿宋" w:eastAsia="仿宋" w:cs="仿宋"/>
          <w:color w:val="auto"/>
          <w:spacing w:val="4"/>
          <w:sz w:val="24"/>
          <w:szCs w:val="24"/>
          <w:highlight w:val="none"/>
        </w:rPr>
        <w:t>包人按照第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款[操作和维修手册]提交的文件，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以及承包人被要求提供的指导进行竣工后试验。如承包人未在发包人通知的时间和地点参加</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竣工后试验，发包人可自行进行，该试验应被视为是承包人在场的情况下进行的，且承包人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应视为认可试验数据。</w:t>
      </w:r>
    </w:p>
    <w:p w14:paraId="5EAF6039">
      <w:pPr>
        <w:pStyle w:val="2"/>
        <w:keepNext w:val="0"/>
        <w:keepLines w:val="0"/>
        <w:pageBreakBefore w:val="0"/>
        <w:widowControl/>
        <w:kinsoku w:val="0"/>
        <w:wordWrap/>
        <w:overflowPunct/>
        <w:topLinePunct w:val="0"/>
        <w:autoSpaceDE w:val="0"/>
        <w:autoSpaceDN w:val="0"/>
        <w:bidi w:val="0"/>
        <w:adjustRightInd w:val="0"/>
        <w:snapToGrid w:val="0"/>
        <w:spacing w:before="147"/>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12.1.5 竣工后试验的结果应由双方进行整理和评价，并应适当考虑发包</w:t>
      </w:r>
      <w:r>
        <w:rPr>
          <w:rFonts w:hint="eastAsia" w:ascii="仿宋" w:hAnsi="仿宋" w:eastAsia="仿宋" w:cs="仿宋"/>
          <w:color w:val="auto"/>
          <w:spacing w:val="8"/>
          <w:sz w:val="24"/>
          <w:szCs w:val="24"/>
          <w:highlight w:val="none"/>
        </w:rPr>
        <w:t>人对工程或其任何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部分的使用，对工程或区段工程的性能、特性和试验结果产生的影响。</w:t>
      </w:r>
    </w:p>
    <w:p w14:paraId="080FD393">
      <w:pPr>
        <w:pStyle w:val="2"/>
        <w:keepNext w:val="0"/>
        <w:keepLines w:val="0"/>
        <w:pageBreakBefore w:val="0"/>
        <w:widowControl/>
        <w:kinsoku w:val="0"/>
        <w:wordWrap/>
        <w:overflowPunct/>
        <w:topLinePunct w:val="0"/>
        <w:autoSpaceDE w:val="0"/>
        <w:autoSpaceDN w:val="0"/>
        <w:bidi w:val="0"/>
        <w:adjustRightInd w:val="0"/>
        <w:snapToGrid w:val="0"/>
        <w:spacing w:before="144"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12.2 延误的试验</w:t>
      </w:r>
    </w:p>
    <w:p w14:paraId="28D1A697">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12.2.1 如果竣工后试验因发包人原因被延误的，发包人应承担承包人由</w:t>
      </w:r>
      <w:r>
        <w:rPr>
          <w:rFonts w:hint="eastAsia" w:ascii="仿宋" w:hAnsi="仿宋" w:eastAsia="仿宋" w:cs="仿宋"/>
          <w:color w:val="auto"/>
          <w:spacing w:val="8"/>
          <w:sz w:val="24"/>
          <w:szCs w:val="24"/>
          <w:highlight w:val="none"/>
        </w:rPr>
        <w:t>此增加的费用并支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付承包人合理利润。</w:t>
      </w:r>
    </w:p>
    <w:p w14:paraId="1E500417">
      <w:pPr>
        <w:pStyle w:val="2"/>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12.2.2 如果因承包人以外的原因，导致竣工后试验未能在缺陷责任期或</w:t>
      </w:r>
      <w:r>
        <w:rPr>
          <w:rFonts w:hint="eastAsia" w:ascii="仿宋" w:hAnsi="仿宋" w:eastAsia="仿宋" w:cs="仿宋"/>
          <w:color w:val="auto"/>
          <w:spacing w:val="8"/>
          <w:sz w:val="24"/>
          <w:szCs w:val="24"/>
          <w:highlight w:val="none"/>
        </w:rPr>
        <w:t>双方另行同意的其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他期限内完成，则相关工程或区段工程应视为已通过该竣工后试验。</w:t>
      </w:r>
    </w:p>
    <w:p w14:paraId="2FDF23E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12.3 重新试验</w:t>
      </w:r>
    </w:p>
    <w:p w14:paraId="5B9ECE0D">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70"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如工程或区段工程未能通过竣工后试验，则承包人应根据第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款[缺陷调查]的规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定修补缺陷，</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7"/>
          <w:sz w:val="24"/>
          <w:szCs w:val="24"/>
          <w:highlight w:val="none"/>
        </w:rPr>
        <w:t>以达到合同约定的要求；并按照第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款[缺陷修复后的进一步试验]重新进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行竣工后试验以及承担风险和费用。如未通过试验和重新试验是承包人原因造成的，则承包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人还应承担发包人因此增加的费用。</w:t>
      </w:r>
    </w:p>
    <w:p w14:paraId="502534F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12.4 未能通过竣工后试验</w:t>
      </w:r>
    </w:p>
    <w:p w14:paraId="7C767727">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12.4.1 工程或区段工程未能通过竣工后试验，且合同中就该项未通过的</w:t>
      </w:r>
      <w:r>
        <w:rPr>
          <w:rFonts w:hint="eastAsia" w:ascii="仿宋" w:hAnsi="仿宋" w:eastAsia="仿宋" w:cs="仿宋"/>
          <w:color w:val="auto"/>
          <w:spacing w:val="8"/>
          <w:sz w:val="24"/>
          <w:szCs w:val="24"/>
          <w:highlight w:val="none"/>
        </w:rPr>
        <w:t>试验约定了性能损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害赔偿违约金及其计算方法的，或者就该项未通过的试验另行达成补充协议的，承包人在缺</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陷责任期内向发包人支付相应违约金或按补充协议履行后，视为通过竣工后试验。</w:t>
      </w:r>
    </w:p>
    <w:p w14:paraId="62C0943F">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12.4.2 对未能通过竣工后试验的工程</w:t>
      </w:r>
      <w:r>
        <w:rPr>
          <w:rFonts w:hint="eastAsia" w:ascii="仿宋" w:hAnsi="仿宋" w:eastAsia="仿宋" w:cs="仿宋"/>
          <w:color w:val="auto"/>
          <w:spacing w:val="7"/>
          <w:sz w:val="24"/>
          <w:szCs w:val="24"/>
          <w:highlight w:val="none"/>
        </w:rPr>
        <w:t>或区段工程，承包人可向发包人建议，</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由承包人对该 工程或区段工程进行调整或修补。发包人收到建议后，可向承包人发出通知，指示其在发</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人方便的合理时间进入工程或区段工程进行调查、调整或修补，并为承包人的进入提供方便。</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承包人提出建议，但未在缺陷责任期内收到上述发包人通知的，相关工程或区段工程应视</w:t>
      </w:r>
      <w:r>
        <w:rPr>
          <w:rFonts w:hint="eastAsia" w:ascii="仿宋" w:hAnsi="仿宋" w:eastAsia="仿宋" w:cs="仿宋"/>
          <w:color w:val="auto"/>
          <w:spacing w:val="6"/>
          <w:sz w:val="24"/>
          <w:szCs w:val="24"/>
          <w:highlight w:val="none"/>
        </w:rPr>
        <w:t xml:space="preserve">为 </w:t>
      </w:r>
      <w:r>
        <w:rPr>
          <w:rFonts w:hint="eastAsia" w:ascii="仿宋" w:hAnsi="仿宋" w:eastAsia="仿宋" w:cs="仿宋"/>
          <w:color w:val="auto"/>
          <w:spacing w:val="8"/>
          <w:sz w:val="24"/>
          <w:szCs w:val="24"/>
          <w:highlight w:val="none"/>
        </w:rPr>
        <w:t>已通过该竣工后试验。</w:t>
      </w:r>
    </w:p>
    <w:p w14:paraId="5291B9F8">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1"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12.4.3 发包人无故拖延给予承包人进行调查、调整或修补所需的进入工</w:t>
      </w:r>
      <w:r>
        <w:rPr>
          <w:rFonts w:hint="eastAsia" w:ascii="仿宋" w:hAnsi="仿宋" w:eastAsia="仿宋" w:cs="仿宋"/>
          <w:color w:val="auto"/>
          <w:spacing w:val="8"/>
          <w:sz w:val="24"/>
          <w:szCs w:val="24"/>
          <w:highlight w:val="none"/>
        </w:rPr>
        <w:t>程或区段工程的许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可，并造成承包人费用增加的，应承担由此增加的费用并支付承包人合理利润。</w:t>
      </w:r>
    </w:p>
    <w:p w14:paraId="4096FBF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第13条 变更与调整</w:t>
      </w:r>
    </w:p>
    <w:p w14:paraId="680035A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13.1 发包人变更权</w:t>
      </w:r>
    </w:p>
    <w:p w14:paraId="4AA62805">
      <w:pPr>
        <w:pStyle w:val="2"/>
        <w:keepNext w:val="0"/>
        <w:keepLines w:val="0"/>
        <w:pageBreakBefore w:val="0"/>
        <w:widowControl/>
        <w:kinsoku w:val="0"/>
        <w:wordWrap/>
        <w:overflowPunct/>
        <w:topLinePunct w:val="0"/>
        <w:autoSpaceDE w:val="0"/>
        <w:autoSpaceDN w:val="0"/>
        <w:bidi w:val="0"/>
        <w:adjustRightInd w:val="0"/>
        <w:snapToGrid w:val="0"/>
        <w:spacing w:before="143" w:line="247"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13.1.1 变更指示应经发包人同意，并由工程师发出</w:t>
      </w:r>
      <w:r>
        <w:rPr>
          <w:rFonts w:hint="eastAsia" w:ascii="仿宋" w:hAnsi="仿宋" w:eastAsia="仿宋" w:cs="仿宋"/>
          <w:color w:val="auto"/>
          <w:spacing w:val="6"/>
          <w:sz w:val="24"/>
          <w:szCs w:val="24"/>
          <w:highlight w:val="none"/>
        </w:rPr>
        <w:t>经发包人签认的变更指示。除第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11.3.6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项[未能修复]约定的情况外，变更不应包括准备将任何工作删减并交由他人或发包人自行实</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施的情况。承包人收到变更指示后，方可实施变更。未经许可，承包人不得擅自对工程的任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何部分进行变更。发包人与承包人对某项指示或批准是否构成变更产生争议的，按第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[争议解决]处理。</w:t>
      </w:r>
    </w:p>
    <w:p w14:paraId="34039C48">
      <w:pPr>
        <w:pStyle w:val="2"/>
        <w:keepNext w:val="0"/>
        <w:keepLines w:val="0"/>
        <w:pageBreakBefore w:val="0"/>
        <w:widowControl/>
        <w:kinsoku w:val="0"/>
        <w:wordWrap/>
        <w:overflowPunct/>
        <w:topLinePunct w:val="0"/>
        <w:autoSpaceDE w:val="0"/>
        <w:autoSpaceDN w:val="0"/>
        <w:bidi w:val="0"/>
        <w:adjustRightInd w:val="0"/>
        <w:snapToGrid w:val="0"/>
        <w:spacing w:before="38" w:line="248" w:lineRule="auto"/>
        <w:ind w:righ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13.1.2 承包人应按照变更指示执行，除非承包人及时向工程师发出通知</w:t>
      </w:r>
      <w:r>
        <w:rPr>
          <w:rFonts w:hint="eastAsia" w:ascii="仿宋" w:hAnsi="仿宋" w:eastAsia="仿宋" w:cs="仿宋"/>
          <w:color w:val="auto"/>
          <w:spacing w:val="8"/>
          <w:sz w:val="24"/>
          <w:szCs w:val="24"/>
          <w:highlight w:val="none"/>
        </w:rPr>
        <w:t>，说明该项变更指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示将降低工程的安全性、稳定性或适用性；涉及的工作内容和范围不可预见；所涉设备难以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采购；导致承包人无法执行第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10"/>
          <w:sz w:val="24"/>
          <w:szCs w:val="24"/>
          <w:highlight w:val="none"/>
        </w:rPr>
        <w:t>7.5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款[现场劳动用工]、第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7.6</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款[安全文明施工]、第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款[职业健康]或第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7.8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款[环境保护]内容；将造成工期延误；与第</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4.1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pacing w:val="7"/>
          <w:sz w:val="24"/>
          <w:szCs w:val="24"/>
          <w:highlight w:val="none"/>
        </w:rPr>
        <w:t>[承包人的一般义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务]相冲突等无法执行的理由。工程师接到承包人的通知后，应作出经发包人签认</w:t>
      </w:r>
      <w:r>
        <w:rPr>
          <w:rFonts w:hint="eastAsia" w:ascii="仿宋" w:hAnsi="仿宋" w:eastAsia="仿宋" w:cs="仿宋"/>
          <w:color w:val="auto"/>
          <w:spacing w:val="9"/>
          <w:sz w:val="24"/>
          <w:szCs w:val="24"/>
          <w:highlight w:val="none"/>
        </w:rPr>
        <w:t>的取消、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确认或改变原指示的书面回复。</w:t>
      </w:r>
    </w:p>
    <w:p w14:paraId="7C408E8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59B07B70">
      <w:pPr>
        <w:pStyle w:val="2"/>
        <w:keepNext w:val="0"/>
        <w:keepLines w:val="0"/>
        <w:pageBreakBefore w:val="0"/>
        <w:widowControl/>
        <w:kinsoku w:val="0"/>
        <w:wordWrap/>
        <w:overflowPunct/>
        <w:topLinePunct w:val="0"/>
        <w:autoSpaceDE w:val="0"/>
        <w:autoSpaceDN w:val="0"/>
        <w:bidi w:val="0"/>
        <w:adjustRightInd w:val="0"/>
        <w:snapToGrid w:val="0"/>
        <w:spacing w:before="147" w:line="238" w:lineRule="auto"/>
        <w:ind w:left="46" w:right="157"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13.2.1 承包人提出合理化建议的，应向工程师提交合理化建议说明，说</w:t>
      </w:r>
      <w:r>
        <w:rPr>
          <w:rFonts w:hint="eastAsia" w:ascii="仿宋" w:hAnsi="仿宋" w:eastAsia="仿宋" w:cs="仿宋"/>
          <w:color w:val="auto"/>
          <w:spacing w:val="8"/>
          <w:sz w:val="24"/>
          <w:szCs w:val="24"/>
          <w:highlight w:val="none"/>
        </w:rPr>
        <w:t>明建议的内容、理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由以及实施该建议对合同价格和工期的影响。</w:t>
      </w:r>
    </w:p>
    <w:p w14:paraId="02AC85BA">
      <w:pPr>
        <w:pStyle w:val="2"/>
        <w:keepNext w:val="0"/>
        <w:keepLines w:val="0"/>
        <w:pageBreakBefore w:val="0"/>
        <w:widowControl/>
        <w:kinsoku w:val="0"/>
        <w:wordWrap/>
        <w:overflowPunct/>
        <w:topLinePunct w:val="0"/>
        <w:autoSpaceDE w:val="0"/>
        <w:autoSpaceDN w:val="0"/>
        <w:bidi w:val="0"/>
        <w:adjustRightInd w:val="0"/>
        <w:snapToGrid w:val="0"/>
        <w:spacing w:before="149" w:line="246"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13.2.2 除专用合同条件另有约定外，工程师应在收到承包人提交的合理化建议后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查完毕并报送发包人，发现其中存在技术上的缺陷，应通知承包人修改。发包人应在收到工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程师报送的合理化建议后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天内审批完毕。合理化建</w:t>
      </w:r>
      <w:r>
        <w:rPr>
          <w:rFonts w:hint="eastAsia" w:ascii="仿宋" w:hAnsi="仿宋" w:eastAsia="仿宋" w:cs="仿宋"/>
          <w:color w:val="auto"/>
          <w:spacing w:val="6"/>
          <w:sz w:val="24"/>
          <w:szCs w:val="24"/>
          <w:highlight w:val="none"/>
        </w:rPr>
        <w:t>议经发包人批准的，工程师应及时发出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变更指示，</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7"/>
          <w:sz w:val="24"/>
          <w:szCs w:val="24"/>
          <w:highlight w:val="none"/>
        </w:rPr>
        <w:t>由此引起的合同价格调整按照第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7"/>
          <w:sz w:val="24"/>
          <w:szCs w:val="24"/>
          <w:highlight w:val="none"/>
        </w:rPr>
        <w:t>13.3.3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项[变更估价]约定执行。发包人不同意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变更的，工程师应书面通知承包人。</w:t>
      </w:r>
    </w:p>
    <w:p w14:paraId="13EA63C3">
      <w:pPr>
        <w:pStyle w:val="2"/>
        <w:keepNext w:val="0"/>
        <w:keepLines w:val="0"/>
        <w:pageBreakBefore w:val="0"/>
        <w:widowControl/>
        <w:kinsoku w:val="0"/>
        <w:wordWrap/>
        <w:overflowPunct/>
        <w:topLinePunct w:val="0"/>
        <w:autoSpaceDE w:val="0"/>
        <w:autoSpaceDN w:val="0"/>
        <w:bidi w:val="0"/>
        <w:adjustRightInd w:val="0"/>
        <w:snapToGrid w:val="0"/>
        <w:spacing w:before="148"/>
        <w:ind w:left="28" w:right="157"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13.2.3 合理化建议降低了合同价格、缩短了工期或者提高了工程经济效</w:t>
      </w:r>
      <w:r>
        <w:rPr>
          <w:rFonts w:hint="eastAsia" w:ascii="仿宋" w:hAnsi="仿宋" w:eastAsia="仿宋" w:cs="仿宋"/>
          <w:color w:val="auto"/>
          <w:spacing w:val="8"/>
          <w:sz w:val="24"/>
          <w:szCs w:val="24"/>
          <w:highlight w:val="none"/>
        </w:rPr>
        <w:t>益的，双方可以按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照专用合同条件的约定进行利益分享。</w:t>
      </w:r>
    </w:p>
    <w:p w14:paraId="12CAFFD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1790FE09">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13.3.1 发包人提出变更</w:t>
      </w:r>
    </w:p>
    <w:p w14:paraId="14E508E6">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发包人提出变更的，应通过工程师向承包人发出书面形式的变更指示，变</w:t>
      </w:r>
      <w:r>
        <w:rPr>
          <w:rFonts w:hint="eastAsia" w:ascii="仿宋" w:hAnsi="仿宋" w:eastAsia="仿宋" w:cs="仿宋"/>
          <w:color w:val="auto"/>
          <w:spacing w:val="7"/>
          <w:sz w:val="24"/>
          <w:szCs w:val="24"/>
          <w:highlight w:val="none"/>
        </w:rPr>
        <w:t>更指示应说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明计划变更的工程范围和变更的内容。</w:t>
      </w:r>
    </w:p>
    <w:p w14:paraId="17ED8C6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13.3.2 变更执行</w:t>
      </w:r>
    </w:p>
    <w:p w14:paraId="377A399F">
      <w:pPr>
        <w:pStyle w:val="2"/>
        <w:keepNext w:val="0"/>
        <w:keepLines w:val="0"/>
        <w:pageBreakBefore w:val="0"/>
        <w:widowControl/>
        <w:kinsoku w:val="0"/>
        <w:wordWrap/>
        <w:overflowPunct/>
        <w:topLinePunct w:val="0"/>
        <w:autoSpaceDE w:val="0"/>
        <w:autoSpaceDN w:val="0"/>
        <w:bidi w:val="0"/>
        <w:adjustRightInd w:val="0"/>
        <w:snapToGrid w:val="0"/>
        <w:spacing w:before="146" w:line="245" w:lineRule="auto"/>
        <w:ind w:left="22"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承包人收到工程师下达的变更指示后，认为不能执行，应在合理期限内提出不能</w:t>
      </w:r>
      <w:r>
        <w:rPr>
          <w:rFonts w:hint="eastAsia" w:ascii="仿宋" w:hAnsi="仿宋" w:eastAsia="仿宋" w:cs="仿宋"/>
          <w:color w:val="auto"/>
          <w:spacing w:val="7"/>
          <w:sz w:val="24"/>
          <w:szCs w:val="24"/>
          <w:highlight w:val="none"/>
        </w:rPr>
        <w:t>执行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该变更指示的理由。承包人认为可以执行变更的，应当书面说明实施该变更指示需要采取的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具体措施及对合同价格和工期的影响，且合同当事人应当按照第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13.3.3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项[变更估价]约定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确定变更估价。</w:t>
      </w:r>
    </w:p>
    <w:p w14:paraId="42718EC5">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8077D39">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1AF5CD0B">
      <w:pPr>
        <w:pStyle w:val="2"/>
        <w:keepNext w:val="0"/>
        <w:keepLines w:val="0"/>
        <w:pageBreakBefore w:val="0"/>
        <w:widowControl/>
        <w:kinsoku w:val="0"/>
        <w:wordWrap/>
        <w:overflowPunct/>
        <w:topLinePunct w:val="0"/>
        <w:autoSpaceDE w:val="0"/>
        <w:autoSpaceDN w:val="0"/>
        <w:bidi w:val="0"/>
        <w:adjustRightInd w:val="0"/>
        <w:snapToGrid w:val="0"/>
        <w:spacing w:before="149" w:line="226"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除专用合同条件另有约定外，变更估价按照</w:t>
      </w:r>
      <w:r>
        <w:rPr>
          <w:rFonts w:hint="eastAsia" w:ascii="仿宋" w:hAnsi="仿宋" w:eastAsia="仿宋" w:cs="仿宋"/>
          <w:color w:val="auto"/>
          <w:spacing w:val="8"/>
          <w:sz w:val="24"/>
          <w:szCs w:val="24"/>
          <w:highlight w:val="none"/>
        </w:rPr>
        <w:t>本款约定处理：</w:t>
      </w:r>
    </w:p>
    <w:p w14:paraId="1D2F011C">
      <w:pPr>
        <w:pStyle w:val="2"/>
        <w:keepNext w:val="0"/>
        <w:keepLines w:val="0"/>
        <w:pageBreakBefore w:val="0"/>
        <w:widowControl/>
        <w:kinsoku w:val="0"/>
        <w:wordWrap/>
        <w:overflowPunct/>
        <w:topLinePunct w:val="0"/>
        <w:autoSpaceDE w:val="0"/>
        <w:autoSpaceDN w:val="0"/>
        <w:bidi w:val="0"/>
        <w:adjustRightInd w:val="0"/>
        <w:snapToGrid w:val="0"/>
        <w:spacing w:before="29" w:line="238" w:lineRule="auto"/>
        <w:ind w:left="632" w:right="1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合同中未包含价格清单，合同价格应按照所执行的变更工程的成本加利润调整；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（2） 合同中包含价格清单，合同价格按照如下规则调整：</w:t>
      </w:r>
    </w:p>
    <w:p w14:paraId="2FA364A4">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价格清单中有适用于变更工程项目的，</w:t>
      </w:r>
      <w:r>
        <w:rPr>
          <w:rFonts w:hint="eastAsia" w:ascii="仿宋" w:hAnsi="仿宋" w:eastAsia="仿宋" w:cs="仿宋"/>
          <w:color w:val="auto"/>
          <w:spacing w:val="8"/>
          <w:sz w:val="24"/>
          <w:szCs w:val="24"/>
          <w:highlight w:val="none"/>
        </w:rPr>
        <w:t>应采用该项目的费率和价格；</w:t>
      </w:r>
    </w:p>
    <w:p w14:paraId="23213813">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157"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价格清单中没有适用但有类似于变更工程项目的，可</w:t>
      </w:r>
      <w:r>
        <w:rPr>
          <w:rFonts w:hint="eastAsia" w:ascii="仿宋" w:hAnsi="仿宋" w:eastAsia="仿宋" w:cs="仿宋"/>
          <w:color w:val="auto"/>
          <w:spacing w:val="7"/>
          <w:sz w:val="24"/>
          <w:szCs w:val="24"/>
          <w:highlight w:val="none"/>
        </w:rPr>
        <w:t>在合理范围内参照类似项目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的费率或价格；</w:t>
      </w:r>
    </w:p>
    <w:p w14:paraId="30B24295">
      <w:pPr>
        <w:pStyle w:val="2"/>
        <w:keepNext w:val="0"/>
        <w:keepLines w:val="0"/>
        <w:pageBreakBefore w:val="0"/>
        <w:widowControl/>
        <w:kinsoku w:val="0"/>
        <w:wordWrap/>
        <w:overflowPunct/>
        <w:topLinePunct w:val="0"/>
        <w:autoSpaceDE w:val="0"/>
        <w:autoSpaceDN w:val="0"/>
        <w:bidi w:val="0"/>
        <w:adjustRightInd w:val="0"/>
        <w:snapToGrid w:val="0"/>
        <w:spacing w:before="26" w:line="238" w:lineRule="auto"/>
        <w:ind w:left="27" w:right="15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价格清单中没有适用也没有类似于变更工程项目</w:t>
      </w:r>
      <w:r>
        <w:rPr>
          <w:rFonts w:hint="eastAsia" w:ascii="仿宋" w:hAnsi="仿宋" w:eastAsia="仿宋" w:cs="仿宋"/>
          <w:color w:val="auto"/>
          <w:spacing w:val="7"/>
          <w:sz w:val="24"/>
          <w:szCs w:val="24"/>
          <w:highlight w:val="none"/>
        </w:rPr>
        <w:t>的，该工程项目应按成本加利润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原则调整适用新的费率或价格。</w:t>
      </w:r>
    </w:p>
    <w:p w14:paraId="14066522">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变更估价程序</w:t>
      </w:r>
    </w:p>
    <w:p w14:paraId="734BCF2A">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承包人应在收到变更指示后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 xml:space="preserve">天内，向工程师提交变更估价申请。工程师应在收到  </w:t>
      </w:r>
      <w:r>
        <w:rPr>
          <w:rFonts w:hint="eastAsia" w:ascii="仿宋" w:hAnsi="仿宋" w:eastAsia="仿宋" w:cs="仿宋"/>
          <w:color w:val="auto"/>
          <w:spacing w:val="5"/>
          <w:sz w:val="24"/>
          <w:szCs w:val="24"/>
          <w:highlight w:val="none"/>
        </w:rPr>
        <w:t>承包人提交的变更估价申请后</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天内审查完毕并报送发包人，工程师对变更估价申请有异议，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通知承包人修改后重新提交。发包人应在承包人提交变更估价申请后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pacing w:val="7"/>
          <w:sz w:val="24"/>
          <w:szCs w:val="24"/>
          <w:highlight w:val="none"/>
        </w:rPr>
        <w:t xml:space="preserve">批完毕。发  </w:t>
      </w:r>
      <w:r>
        <w:rPr>
          <w:rFonts w:hint="eastAsia" w:ascii="仿宋" w:hAnsi="仿宋" w:eastAsia="仿宋" w:cs="仿宋"/>
          <w:color w:val="auto"/>
          <w:spacing w:val="9"/>
          <w:sz w:val="24"/>
          <w:szCs w:val="24"/>
          <w:highlight w:val="none"/>
        </w:rPr>
        <w:t>包人逾期未完成审批或未提出异议的，视为认可承包人提交的变更估价申请。</w:t>
      </w:r>
    </w:p>
    <w:p w14:paraId="53354C00">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因变更引起的价格调整应计入最近一期的进度款中支付。</w:t>
      </w:r>
    </w:p>
    <w:p w14:paraId="19DEC4E1">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13.3.4 变更引起的工期调整</w:t>
      </w:r>
    </w:p>
    <w:p w14:paraId="3331D148">
      <w:pPr>
        <w:pStyle w:val="2"/>
        <w:keepNext w:val="0"/>
        <w:keepLines w:val="0"/>
        <w:pageBreakBefore w:val="0"/>
        <w:widowControl/>
        <w:kinsoku w:val="0"/>
        <w:wordWrap/>
        <w:overflowPunct/>
        <w:topLinePunct w:val="0"/>
        <w:autoSpaceDE w:val="0"/>
        <w:autoSpaceDN w:val="0"/>
        <w:bidi w:val="0"/>
        <w:adjustRightInd w:val="0"/>
        <w:snapToGrid w:val="0"/>
        <w:spacing w:before="144"/>
        <w:ind w:left="26" w:right="15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因变更引起工期变化的，合同当事人均可要求调整合同工期，</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2"/>
          <w:sz w:val="24"/>
          <w:szCs w:val="24"/>
          <w:highlight w:val="none"/>
        </w:rPr>
        <w:t>由合同当事人按照第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款[商定或确定]并参考工程所在地的工期定额标准确定增减工期天数。</w:t>
      </w:r>
    </w:p>
    <w:p w14:paraId="4D1A5AB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2FECB9CA">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36" w:type="default"/>
          <w:pgSz w:w="11906" w:h="16839"/>
          <w:pgMar w:top="1428" w:right="1644" w:bottom="1171" w:left="1785" w:header="0" w:footer="992" w:gutter="0"/>
          <w:pgNumType w:fmt="decimal"/>
          <w:cols w:space="720" w:num="1"/>
        </w:sectPr>
      </w:pPr>
    </w:p>
    <w:p w14:paraId="6F152353">
      <w:pPr>
        <w:pStyle w:val="2"/>
        <w:keepNext w:val="0"/>
        <w:keepLines w:val="0"/>
        <w:pageBreakBefore w:val="0"/>
        <w:widowControl/>
        <w:kinsoku w:val="0"/>
        <w:wordWrap/>
        <w:overflowPunct/>
        <w:topLinePunct w:val="0"/>
        <w:autoSpaceDE w:val="0"/>
        <w:autoSpaceDN w:val="0"/>
        <w:bidi w:val="0"/>
        <w:adjustRightInd w:val="0"/>
        <w:snapToGrid w:val="0"/>
        <w:spacing w:before="41"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36778E61">
      <w:pPr>
        <w:pStyle w:val="2"/>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对于依法必须招标的暂估价项目，专用合同条件约定由承包人作为招标人的，招标文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件、评标方案、评标结果应报送发包人批准。与组织招标工作有关的费用应当被认为已经包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括在承包人的签约合同价中。</w:t>
      </w:r>
    </w:p>
    <w:p w14:paraId="5BA3CA52">
      <w:pPr>
        <w:pStyle w:val="2"/>
        <w:keepNext w:val="0"/>
        <w:keepLines w:val="0"/>
        <w:pageBreakBefore w:val="0"/>
        <w:widowControl/>
        <w:kinsoku w:val="0"/>
        <w:wordWrap/>
        <w:overflowPunct/>
        <w:topLinePunct w:val="0"/>
        <w:autoSpaceDE w:val="0"/>
        <w:autoSpaceDN w:val="0"/>
        <w:bidi w:val="0"/>
        <w:adjustRightInd w:val="0"/>
        <w:snapToGrid w:val="0"/>
        <w:spacing w:before="26"/>
        <w:ind w:left="23" w:right="160"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专用合同条件约定由发包人和承包人共同作为招标人的，与组织招标工作有关的费用在</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专用合同条件中约定。</w:t>
      </w:r>
    </w:p>
    <w:p w14:paraId="6D4BF466">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3" w:right="159"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具体的招标程序以及发包人和承包人权利义务关系可在专用合同条件中</w:t>
      </w:r>
      <w:r>
        <w:rPr>
          <w:rFonts w:hint="eastAsia" w:ascii="仿宋" w:hAnsi="仿宋" w:eastAsia="仿宋" w:cs="仿宋"/>
          <w:color w:val="auto"/>
          <w:spacing w:val="7"/>
          <w:sz w:val="24"/>
          <w:szCs w:val="24"/>
          <w:highlight w:val="none"/>
        </w:rPr>
        <w:t>约定。暂估价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项目的中标金额与价格清单中所列暂估价的金额差以及相</w:t>
      </w:r>
      <w:r>
        <w:rPr>
          <w:rFonts w:hint="eastAsia" w:ascii="仿宋" w:hAnsi="仿宋" w:eastAsia="仿宋" w:cs="仿宋"/>
          <w:color w:val="auto"/>
          <w:spacing w:val="12"/>
          <w:sz w:val="24"/>
          <w:szCs w:val="24"/>
          <w:highlight w:val="none"/>
        </w:rPr>
        <w:t>应的税金等其他费用应列入合同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价格。</w:t>
      </w:r>
    </w:p>
    <w:p w14:paraId="065A42DD">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53807BD2">
      <w:pPr>
        <w:pStyle w:val="2"/>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对于不属于依法必须招标的暂估价项目，承包人具备实施</w:t>
      </w:r>
      <w:r>
        <w:rPr>
          <w:rFonts w:hint="eastAsia" w:ascii="仿宋" w:hAnsi="仿宋" w:eastAsia="仿宋" w:cs="仿宋"/>
          <w:color w:val="auto"/>
          <w:spacing w:val="6"/>
          <w:sz w:val="24"/>
          <w:szCs w:val="24"/>
          <w:highlight w:val="none"/>
        </w:rPr>
        <w:t>暂估价项目的资格和条件的，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经发包人和承包人协商一致后，可由承包人自行</w:t>
      </w:r>
      <w:r>
        <w:rPr>
          <w:rFonts w:hint="eastAsia" w:ascii="仿宋" w:hAnsi="仿宋" w:eastAsia="仿宋" w:cs="仿宋"/>
          <w:color w:val="auto"/>
          <w:spacing w:val="6"/>
          <w:sz w:val="24"/>
          <w:szCs w:val="24"/>
          <w:highlight w:val="none"/>
        </w:rPr>
        <w:t xml:space="preserve">实施暂估价项目，具体的协商和估价程序以  </w:t>
      </w:r>
      <w:r>
        <w:rPr>
          <w:rFonts w:hint="eastAsia" w:ascii="仿宋" w:hAnsi="仿宋" w:eastAsia="仿宋" w:cs="仿宋"/>
          <w:color w:val="auto"/>
          <w:spacing w:val="7"/>
          <w:sz w:val="24"/>
          <w:szCs w:val="24"/>
          <w:highlight w:val="none"/>
        </w:rPr>
        <w:t>及发包人和承包人权利义务关系可在专用合同条</w:t>
      </w:r>
      <w:r>
        <w:rPr>
          <w:rFonts w:hint="eastAsia" w:ascii="仿宋" w:hAnsi="仿宋" w:eastAsia="仿宋" w:cs="仿宋"/>
          <w:color w:val="auto"/>
          <w:spacing w:val="6"/>
          <w:sz w:val="24"/>
          <w:szCs w:val="24"/>
          <w:highlight w:val="none"/>
        </w:rPr>
        <w:t xml:space="preserve">件中约定。确定后的暂估价项目金额与价格  </w:t>
      </w:r>
      <w:r>
        <w:rPr>
          <w:rFonts w:hint="eastAsia" w:ascii="仿宋" w:hAnsi="仿宋" w:eastAsia="仿宋" w:cs="仿宋"/>
          <w:color w:val="auto"/>
          <w:spacing w:val="9"/>
          <w:sz w:val="24"/>
          <w:szCs w:val="24"/>
          <w:highlight w:val="none"/>
        </w:rPr>
        <w:t>清单中所列暂估价的金额差以及相应的税金等其他费用应列入合同价格。</w:t>
      </w:r>
    </w:p>
    <w:p w14:paraId="4ABA4636">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4" w:right="159"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因发包人原因导致暂估价合同订立和履行迟</w:t>
      </w:r>
      <w:r>
        <w:rPr>
          <w:rFonts w:hint="eastAsia" w:ascii="仿宋" w:hAnsi="仿宋" w:eastAsia="仿宋" w:cs="仿宋"/>
          <w:color w:val="auto"/>
          <w:spacing w:val="7"/>
          <w:sz w:val="24"/>
          <w:szCs w:val="24"/>
          <w:highlight w:val="none"/>
        </w:rPr>
        <w:t>延的，由此增加的费用和（或）延误的工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期由发包人承担，并支付承包人合理的利润。因承包人原因导致暂估价合同订立和履行迟延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由此增加的费用和（或）延误的工期由承包人承担。</w:t>
      </w:r>
    </w:p>
    <w:p w14:paraId="6E6FC39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13.5</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暂列金额</w:t>
      </w:r>
    </w:p>
    <w:p w14:paraId="60692835">
      <w:pPr>
        <w:pStyle w:val="2"/>
        <w:keepNext w:val="0"/>
        <w:keepLines w:val="0"/>
        <w:pageBreakBefore w:val="0"/>
        <w:widowControl/>
        <w:kinsoku w:val="0"/>
        <w:wordWrap/>
        <w:overflowPunct/>
        <w:topLinePunct w:val="0"/>
        <w:autoSpaceDE w:val="0"/>
        <w:autoSpaceDN w:val="0"/>
        <w:bidi w:val="0"/>
        <w:adjustRightInd w:val="0"/>
        <w:snapToGrid w:val="0"/>
        <w:spacing w:before="147" w:line="243" w:lineRule="auto"/>
        <w:ind w:left="2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除专用合同条件另有约定外，每一笔暂列金额只能按照发包人的指示全部或部分使用，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并对合同价格进行相应调整。付给承包人的</w:t>
      </w:r>
      <w:r>
        <w:rPr>
          <w:rFonts w:hint="eastAsia" w:ascii="仿宋" w:hAnsi="仿宋" w:eastAsia="仿宋" w:cs="仿宋"/>
          <w:color w:val="auto"/>
          <w:spacing w:val="6"/>
          <w:sz w:val="24"/>
          <w:szCs w:val="24"/>
          <w:highlight w:val="none"/>
        </w:rPr>
        <w:t xml:space="preserve">总金额应仅包括发包人已指示的，与暂列金额相  </w:t>
      </w:r>
      <w:r>
        <w:rPr>
          <w:rFonts w:hint="eastAsia" w:ascii="仿宋" w:hAnsi="仿宋" w:eastAsia="仿宋" w:cs="仿宋"/>
          <w:color w:val="auto"/>
          <w:spacing w:val="8"/>
          <w:sz w:val="24"/>
          <w:szCs w:val="24"/>
          <w:highlight w:val="none"/>
        </w:rPr>
        <w:t>关的工作、货物或服务的应付款项。</w:t>
      </w:r>
    </w:p>
    <w:p w14:paraId="2A7FE5A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对于每笔暂列金额，发包人可以指示用于下列支付：</w:t>
      </w:r>
    </w:p>
    <w:p w14:paraId="4C9C1118">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发包人根据第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款[发包人变更权]</w:t>
      </w:r>
      <w:r>
        <w:rPr>
          <w:rFonts w:hint="eastAsia" w:ascii="仿宋" w:hAnsi="仿宋" w:eastAsia="仿宋" w:cs="仿宋"/>
          <w:color w:val="auto"/>
          <w:spacing w:val="8"/>
          <w:sz w:val="24"/>
          <w:szCs w:val="24"/>
          <w:highlight w:val="none"/>
        </w:rPr>
        <w:t>指示变更，决定对合同价格和付款计划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表（如有）进行调整的、由承包人实施的工作（包括要提供的</w:t>
      </w:r>
      <w:r>
        <w:rPr>
          <w:rFonts w:hint="eastAsia" w:ascii="仿宋" w:hAnsi="仿宋" w:eastAsia="仿宋" w:cs="仿宋"/>
          <w:color w:val="auto"/>
          <w:spacing w:val="9"/>
          <w:sz w:val="24"/>
          <w:szCs w:val="24"/>
          <w:highlight w:val="none"/>
        </w:rPr>
        <w:t>工程设备、材料和服务</w:t>
      </w:r>
      <w:r>
        <w:rPr>
          <w:rFonts w:hint="eastAsia" w:ascii="仿宋" w:hAnsi="仿宋" w:eastAsia="仿宋" w:cs="仿宋"/>
          <w:color w:val="auto"/>
          <w:sz w:val="24"/>
          <w:szCs w:val="24"/>
          <w:highlight w:val="none"/>
        </w:rPr>
        <w:t>）；</w:t>
      </w:r>
    </w:p>
    <w:p w14:paraId="09355216">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7" w:right="72"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承包人购买的工程设备、材料、工作或服务，应支付包括承包人已付（或应付）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的实际金额以及相应的管理费等费用和利润（管理费和利润应以实际金额为基数根据合同约</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定的费率（如有）或百分比计算）。</w:t>
      </w:r>
    </w:p>
    <w:p w14:paraId="6889553B">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59"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发包人根据上述(1)和（或）(2)指示支付暂列金额的，可以要求承包人提交其供应商</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提供的全部或部分要实施的工程或拟购买的工程设备、材料、工作或服务的项目报价单。发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包人可以发出通知指示承包人接受其中的一个报价或指示撤销支付，发包人在收到项目报价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单的</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天内未作回应的，承包人应有权自行接受其中任何一个报价。</w:t>
      </w:r>
    </w:p>
    <w:p w14:paraId="284FEC7A">
      <w:pPr>
        <w:pStyle w:val="2"/>
        <w:keepNext w:val="0"/>
        <w:keepLines w:val="0"/>
        <w:pageBreakBefore w:val="0"/>
        <w:widowControl/>
        <w:kinsoku w:val="0"/>
        <w:wordWrap/>
        <w:overflowPunct/>
        <w:topLinePunct w:val="0"/>
        <w:autoSpaceDE w:val="0"/>
        <w:autoSpaceDN w:val="0"/>
        <w:bidi w:val="0"/>
        <w:adjustRightInd w:val="0"/>
        <w:snapToGrid w:val="0"/>
        <w:spacing w:before="27"/>
        <w:ind w:left="24" w:right="159"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每份包含暂列金额的文件还应包括用以证明暂列金额的所有有效的发票、凭证和</w:t>
      </w:r>
      <w:r>
        <w:rPr>
          <w:rFonts w:hint="eastAsia" w:ascii="仿宋" w:hAnsi="仿宋" w:eastAsia="仿宋" w:cs="仿宋"/>
          <w:color w:val="auto"/>
          <w:spacing w:val="7"/>
          <w:sz w:val="24"/>
          <w:szCs w:val="24"/>
          <w:highlight w:val="none"/>
        </w:rPr>
        <w:t>账户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或收据。</w:t>
      </w:r>
    </w:p>
    <w:p w14:paraId="6E7B097C">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13.6</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计日工</w:t>
      </w:r>
    </w:p>
    <w:p w14:paraId="572F1552">
      <w:pPr>
        <w:pStyle w:val="2"/>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11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13.6.1 需要采用计日工方式的，经发包人同意后，</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由工程师通知承包人以</w:t>
      </w:r>
      <w:r>
        <w:rPr>
          <w:rFonts w:hint="eastAsia" w:ascii="仿宋" w:hAnsi="仿宋" w:eastAsia="仿宋" w:cs="仿宋"/>
          <w:color w:val="auto"/>
          <w:spacing w:val="7"/>
          <w:sz w:val="24"/>
          <w:szCs w:val="24"/>
          <w:highlight w:val="none"/>
        </w:rPr>
        <w:t>计日工计价方式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实施相应的工作，其价款按列入价格清单或预算书中的计日工计价项目及其单价进行计算；</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价格清单或预算书中无相应的计日工单价的，按照合理的成本与利润构成的原则，由工程师</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款[商定或确定]确定计日工的单价。</w:t>
      </w:r>
    </w:p>
    <w:p w14:paraId="705ECE2C">
      <w:pPr>
        <w:pStyle w:val="2"/>
        <w:keepNext w:val="0"/>
        <w:keepLines w:val="0"/>
        <w:pageBreakBefore w:val="0"/>
        <w:widowControl/>
        <w:kinsoku w:val="0"/>
        <w:wordWrap/>
        <w:overflowPunct/>
        <w:topLinePunct w:val="0"/>
        <w:autoSpaceDE w:val="0"/>
        <w:autoSpaceDN w:val="0"/>
        <w:bidi w:val="0"/>
        <w:adjustRightInd w:val="0"/>
        <w:snapToGrid w:val="0"/>
        <w:spacing w:before="149" w:line="239" w:lineRule="auto"/>
        <w:ind w:left="20" w:right="160" w:firstLine="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13.6.2 采用计日工计价的任何一项工作，承包人应在该项工作实施过程</w:t>
      </w:r>
      <w:r>
        <w:rPr>
          <w:rFonts w:hint="eastAsia" w:ascii="仿宋" w:hAnsi="仿宋" w:eastAsia="仿宋" w:cs="仿宋"/>
          <w:color w:val="auto"/>
          <w:spacing w:val="8"/>
          <w:sz w:val="24"/>
          <w:szCs w:val="24"/>
          <w:highlight w:val="none"/>
        </w:rPr>
        <w:t>中，每天提交以下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报表和有关凭证报送工程师审查：</w:t>
      </w:r>
    </w:p>
    <w:p w14:paraId="7406EC1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工作名称、内容和数量；</w:t>
      </w:r>
    </w:p>
    <w:p w14:paraId="061FF92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投入该工作的所有人员的姓名、专业、工种、级别和耗用工时；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（3） 投入该工作的材料类别和数量；</w:t>
      </w:r>
    </w:p>
    <w:p w14:paraId="72DCD762">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（4） 投入该工作的施工设备型号、台数和耗用台时；</w:t>
      </w:r>
    </w:p>
    <w:p w14:paraId="26380AD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其他有关资料和凭证。</w:t>
      </w:r>
    </w:p>
    <w:p w14:paraId="26991579">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9"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计日工由承包人汇总后，列入最近一期进度付款申请单，由工程师审查并经发包</w:t>
      </w:r>
      <w:r>
        <w:rPr>
          <w:rFonts w:hint="eastAsia" w:ascii="仿宋" w:hAnsi="仿宋" w:eastAsia="仿宋" w:cs="仿宋"/>
          <w:color w:val="auto"/>
          <w:spacing w:val="7"/>
          <w:sz w:val="24"/>
          <w:szCs w:val="24"/>
          <w:highlight w:val="none"/>
        </w:rPr>
        <w:t>人批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准后列入进度付款。</w:t>
      </w:r>
    </w:p>
    <w:p w14:paraId="67DB768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13.7 法律变化引起的调整</w:t>
      </w:r>
    </w:p>
    <w:p w14:paraId="0162443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7" w:type="default"/>
          <w:pgSz w:w="11906" w:h="16839"/>
          <w:pgMar w:top="1428" w:right="1641" w:bottom="1171" w:left="1785" w:header="0" w:footer="992" w:gutter="0"/>
          <w:pgNumType w:fmt="decimal"/>
          <w:cols w:space="720" w:num="1"/>
        </w:sectPr>
      </w:pPr>
    </w:p>
    <w:p w14:paraId="71573B57">
      <w:pPr>
        <w:pStyle w:val="2"/>
        <w:keepNext w:val="0"/>
        <w:keepLines w:val="0"/>
        <w:pageBreakBefore w:val="0"/>
        <w:widowControl/>
        <w:kinsoku w:val="0"/>
        <w:wordWrap/>
        <w:overflowPunct/>
        <w:topLinePunct w:val="0"/>
        <w:autoSpaceDE w:val="0"/>
        <w:autoSpaceDN w:val="0"/>
        <w:bidi w:val="0"/>
        <w:adjustRightInd w:val="0"/>
        <w:snapToGrid w:val="0"/>
        <w:spacing w:before="41" w:line="243" w:lineRule="auto"/>
        <w:ind w:left="22" w:right="2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13.7.1 基准日期后，法律变化导致承包人在合同履行过程中所需要的费用发生除第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1"/>
          <w:sz w:val="24"/>
          <w:szCs w:val="24"/>
          <w:highlight w:val="none"/>
        </w:rPr>
        <w:t>13.8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款[市场价格波动引起的调整]约定以外的增加时，由发包人承担由此增加的费用；减少时，</w:t>
      </w:r>
      <w:r>
        <w:rPr>
          <w:rFonts w:hint="eastAsia" w:ascii="仿宋" w:hAnsi="仿宋" w:eastAsia="仿宋" w:cs="仿宋"/>
          <w:color w:val="auto"/>
          <w:spacing w:val="9"/>
          <w:sz w:val="24"/>
          <w:szCs w:val="24"/>
          <w:highlight w:val="none"/>
        </w:rPr>
        <w:t xml:space="preserve"> 应从合同价格中予以扣减。基准日期后，因法律变化造成工期延误时，工期应予以顺延。</w:t>
      </w:r>
    </w:p>
    <w:p w14:paraId="063CA68D">
      <w:pPr>
        <w:pStyle w:val="2"/>
        <w:keepNext w:val="0"/>
        <w:keepLines w:val="0"/>
        <w:pageBreakBefore w:val="0"/>
        <w:widowControl/>
        <w:kinsoku w:val="0"/>
        <w:wordWrap/>
        <w:overflowPunct/>
        <w:topLinePunct w:val="0"/>
        <w:autoSpaceDE w:val="0"/>
        <w:autoSpaceDN w:val="0"/>
        <w:bidi w:val="0"/>
        <w:adjustRightInd w:val="0"/>
        <w:snapToGrid w:val="0"/>
        <w:spacing w:before="148"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13.7.2 因法律变化引起的合同价格和工期调整，合同当事人无法达成一</w:t>
      </w:r>
      <w:r>
        <w:rPr>
          <w:rFonts w:hint="eastAsia" w:ascii="仿宋" w:hAnsi="仿宋" w:eastAsia="仿宋" w:cs="仿宋"/>
          <w:color w:val="auto"/>
          <w:spacing w:val="8"/>
          <w:sz w:val="24"/>
          <w:szCs w:val="24"/>
          <w:highlight w:val="none"/>
        </w:rPr>
        <w:t>致的，由工程师按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款[商定或确定]的约定处理。</w:t>
      </w:r>
    </w:p>
    <w:p w14:paraId="065F2320">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32" w:right="7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13.7.3 因承包人原因造成工期延误，在工期延误期间出现法律变化的，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w:t>
      </w:r>
      <w:r>
        <w:rPr>
          <w:rFonts w:hint="eastAsia" w:ascii="仿宋" w:hAnsi="仿宋" w:eastAsia="仿宋" w:cs="仿宋"/>
          <w:color w:val="auto"/>
          <w:spacing w:val="7"/>
          <w:sz w:val="24"/>
          <w:szCs w:val="24"/>
          <w:highlight w:val="none"/>
        </w:rPr>
        <w:t>此增加的费用和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（或）延误的工期由承包人承担。</w:t>
      </w:r>
    </w:p>
    <w:p w14:paraId="4F1EAD88">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13.7.4 因法律变化而需要对工程的实施进行任何调整的，承包人应迅速</w:t>
      </w:r>
      <w:r>
        <w:rPr>
          <w:rFonts w:hint="eastAsia" w:ascii="仿宋" w:hAnsi="仿宋" w:eastAsia="仿宋" w:cs="仿宋"/>
          <w:color w:val="auto"/>
          <w:spacing w:val="8"/>
          <w:sz w:val="24"/>
          <w:szCs w:val="24"/>
          <w:highlight w:val="none"/>
        </w:rPr>
        <w:t>通知发包人，或者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发包人应迅速通知承包人，并附上详细的辅助资料。发包人接到通知后，应根据第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13.3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款[变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更程序]发出变更指示。</w:t>
      </w:r>
    </w:p>
    <w:p w14:paraId="15F7F0C3">
      <w:pPr>
        <w:pStyle w:val="2"/>
        <w:keepNext w:val="0"/>
        <w:keepLines w:val="0"/>
        <w:pageBreakBefore w:val="0"/>
        <w:widowControl/>
        <w:kinsoku w:val="0"/>
        <w:wordWrap/>
        <w:overflowPunct/>
        <w:topLinePunct w:val="0"/>
        <w:autoSpaceDE w:val="0"/>
        <w:autoSpaceDN w:val="0"/>
        <w:bidi w:val="0"/>
        <w:adjustRightInd w:val="0"/>
        <w:snapToGrid w:val="0"/>
        <w:spacing w:before="144"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38EF0D3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71"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13.8.1 主要工程材料、设备、人工价格与招标时基期价相比，波动幅度</w:t>
      </w:r>
      <w:r>
        <w:rPr>
          <w:rFonts w:hint="eastAsia" w:ascii="仿宋" w:hAnsi="仿宋" w:eastAsia="仿宋" w:cs="仿宋"/>
          <w:color w:val="auto"/>
          <w:spacing w:val="8"/>
          <w:sz w:val="24"/>
          <w:szCs w:val="24"/>
          <w:highlight w:val="none"/>
        </w:rPr>
        <w:t>超过合同约定幅度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的，双方按照合同约定的价格调整方式调整。</w:t>
      </w:r>
    </w:p>
    <w:p w14:paraId="1614C20D">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13.8.2 发包人与承包人在专用合同条件中约定采用《价格指</w:t>
      </w:r>
      <w:r>
        <w:rPr>
          <w:rFonts w:hint="eastAsia" w:ascii="仿宋" w:hAnsi="仿宋" w:eastAsia="仿宋" w:cs="仿宋"/>
          <w:color w:val="auto"/>
          <w:spacing w:val="5"/>
          <w:sz w:val="24"/>
          <w:szCs w:val="24"/>
          <w:highlight w:val="none"/>
        </w:rPr>
        <w:t>数权重表》的，适用本项约定。</w:t>
      </w:r>
    </w:p>
    <w:p w14:paraId="07E5266E">
      <w:pPr>
        <w:pStyle w:val="2"/>
        <w:keepNext w:val="0"/>
        <w:keepLines w:val="0"/>
        <w:pageBreakBefore w:val="0"/>
        <w:widowControl/>
        <w:kinsoku w:val="0"/>
        <w:wordWrap/>
        <w:overflowPunct/>
        <w:topLinePunct w:val="0"/>
        <w:autoSpaceDE w:val="0"/>
        <w:autoSpaceDN w:val="0"/>
        <w:bidi w:val="0"/>
        <w:adjustRightInd w:val="0"/>
        <w:snapToGrid w:val="0"/>
        <w:spacing w:before="149" w:line="243" w:lineRule="auto"/>
        <w:ind w:left="22" w:right="70" w:firstLine="1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13.8.2.1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双方当事人可以将部分主要工程材料、工</w:t>
      </w:r>
      <w:r>
        <w:rPr>
          <w:rFonts w:hint="eastAsia" w:ascii="仿宋" w:hAnsi="仿宋" w:eastAsia="仿宋" w:cs="仿宋"/>
          <w:color w:val="auto"/>
          <w:spacing w:val="8"/>
          <w:sz w:val="24"/>
          <w:szCs w:val="24"/>
          <w:highlight w:val="none"/>
        </w:rPr>
        <w:t>程设备、人工价格及其他双方认为应当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根据市场价格调整的费用列入附件6[价格指数权重表]</w:t>
      </w:r>
      <w:r>
        <w:rPr>
          <w:rFonts w:hint="eastAsia" w:ascii="仿宋" w:hAnsi="仿宋" w:eastAsia="仿宋" w:cs="仿宋"/>
          <w:color w:val="auto"/>
          <w:spacing w:val="9"/>
          <w:sz w:val="24"/>
          <w:szCs w:val="24"/>
          <w:highlight w:val="none"/>
        </w:rPr>
        <w:t>，并根据以下公式计算差额并调整合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同价格：</w:t>
      </w:r>
    </w:p>
    <w:p w14:paraId="3AB654C2">
      <w:pPr>
        <w:pStyle w:val="2"/>
        <w:keepNext w:val="0"/>
        <w:keepLines w:val="0"/>
        <w:pageBreakBefore w:val="0"/>
        <w:widowControl/>
        <w:kinsoku w:val="0"/>
        <w:wordWrap/>
        <w:overflowPunct/>
        <w:topLinePunct w:val="0"/>
        <w:autoSpaceDE w:val="0"/>
        <w:autoSpaceDN w:val="0"/>
        <w:bidi w:val="0"/>
        <w:adjustRightInd w:val="0"/>
        <w:snapToGrid w:val="0"/>
        <w:spacing w:before="146" w:line="225"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价格调整公式</w:t>
      </w:r>
    </w:p>
    <w:p w14:paraId="28206C78">
      <w:pPr>
        <w:keepNext w:val="0"/>
        <w:keepLines w:val="0"/>
        <w:pageBreakBefore w:val="0"/>
        <w:widowControl/>
        <w:kinsoku w:val="0"/>
        <w:wordWrap/>
        <w:overflowPunct/>
        <w:topLinePunct w:val="0"/>
        <w:autoSpaceDE w:val="0"/>
        <w:autoSpaceDN w:val="0"/>
        <w:bidi w:val="0"/>
        <w:adjustRightInd w:val="0"/>
        <w:snapToGrid w:val="0"/>
        <w:spacing w:line="1068" w:lineRule="exact"/>
        <w:ind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21"/>
          <w:sz w:val="24"/>
          <w:szCs w:val="24"/>
          <w:highlight w:val="none"/>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56"/>
                    <a:stretch>
                      <a:fillRect/>
                    </a:stretch>
                  </pic:blipFill>
                  <pic:spPr>
                    <a:xfrm>
                      <a:off x="0" y="0"/>
                      <a:ext cx="5148580" cy="678179"/>
                    </a:xfrm>
                    <a:prstGeom prst="rect">
                      <a:avLst/>
                    </a:prstGeom>
                  </pic:spPr>
                </pic:pic>
              </a:graphicData>
            </a:graphic>
          </wp:inline>
        </w:drawing>
      </w:r>
    </w:p>
    <w:p w14:paraId="72FD2C51">
      <w:pPr>
        <w:pStyle w:val="2"/>
        <w:keepNext w:val="0"/>
        <w:keepLines w:val="0"/>
        <w:pageBreakBefore w:val="0"/>
        <w:widowControl/>
        <w:kinsoku w:val="0"/>
        <w:wordWrap/>
        <w:overflowPunct/>
        <w:topLinePunct w:val="0"/>
        <w:autoSpaceDE w:val="0"/>
        <w:autoSpaceDN w:val="0"/>
        <w:bidi w:val="0"/>
        <w:adjustRightInd w:val="0"/>
        <w:snapToGrid w:val="0"/>
        <w:spacing w:before="42" w:line="226"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公式中：</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△P---需调整的价格差额；</w:t>
      </w:r>
    </w:p>
    <w:p w14:paraId="006200DE">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w:t>
      </w:r>
      <w:r>
        <w:rPr>
          <w:rFonts w:hint="eastAsia" w:ascii="仿宋" w:hAnsi="仿宋" w:eastAsia="仿宋" w:cs="仿宋"/>
          <w:color w:val="auto"/>
          <w:position w:val="-3"/>
          <w:sz w:val="24"/>
          <w:szCs w:val="24"/>
          <w:highlight w:val="none"/>
        </w:rPr>
        <w:t>O</w:t>
      </w:r>
      <w:r>
        <w:rPr>
          <w:rFonts w:hint="eastAsia" w:ascii="仿宋" w:hAnsi="仿宋" w:eastAsia="仿宋" w:cs="仿宋"/>
          <w:color w:val="auto"/>
          <w:spacing w:val="8"/>
          <w:sz w:val="24"/>
          <w:szCs w:val="24"/>
          <w:highlight w:val="none"/>
        </w:rPr>
        <w:t>---付款证书中承包人应得到的已完成工作量的金额。此项金额应不包括价格调整、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不计质量保证金的预留和支付、预付款的支付和扣回。第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条[变更与调整]约定的变更及 其他金额已按当期价格计价的，也不计在内；</w:t>
      </w:r>
    </w:p>
    <w:p w14:paraId="2A380B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A ---定值权重（即不调部分的权重</w:t>
      </w:r>
      <w:r>
        <w:rPr>
          <w:rFonts w:hint="eastAsia" w:ascii="仿宋" w:hAnsi="仿宋" w:eastAsia="仿宋" w:cs="仿宋"/>
          <w:color w:val="auto"/>
          <w:spacing w:val="3"/>
          <w:sz w:val="24"/>
          <w:szCs w:val="24"/>
          <w:highlight w:val="none"/>
        </w:rPr>
        <w:t>）；</w:t>
      </w:r>
    </w:p>
    <w:p w14:paraId="5C6EB7E2">
      <w:pPr>
        <w:pStyle w:val="2"/>
        <w:keepNext w:val="0"/>
        <w:keepLines w:val="0"/>
        <w:pageBreakBefore w:val="0"/>
        <w:widowControl/>
        <w:kinsoku w:val="0"/>
        <w:wordWrap/>
        <w:overflowPunct/>
        <w:topLinePunct w:val="0"/>
        <w:autoSpaceDE w:val="0"/>
        <w:autoSpaceDN w:val="0"/>
        <w:bidi w:val="0"/>
        <w:adjustRightInd w:val="0"/>
        <w:snapToGrid w:val="0"/>
        <w:spacing w:before="24" w:line="239" w:lineRule="auto"/>
        <w:ind w:left="24" w:right="71"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1</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2</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3</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3"/>
          <w:sz w:val="24"/>
          <w:szCs w:val="24"/>
          <w:highlight w:val="none"/>
        </w:rPr>
        <w:t>n</w:t>
      </w:r>
      <w:r>
        <w:rPr>
          <w:rFonts w:hint="eastAsia" w:ascii="仿宋" w:hAnsi="仿宋" w:eastAsia="仿宋" w:cs="仿宋"/>
          <w:color w:val="auto"/>
          <w:spacing w:val="7"/>
          <w:sz w:val="24"/>
          <w:szCs w:val="24"/>
          <w:highlight w:val="none"/>
        </w:rPr>
        <w:t>---各可调因子的变值权重（即可调部分的权重）为各可调因子在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投标函投标总报价中所占的比例，且</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A+B</w:t>
      </w:r>
      <w:r>
        <w:rPr>
          <w:rFonts w:hint="eastAsia" w:ascii="仿宋" w:hAnsi="仿宋" w:eastAsia="仿宋" w:cs="仿宋"/>
          <w:color w:val="auto"/>
          <w:spacing w:val="7"/>
          <w:position w:val="-2"/>
          <w:sz w:val="24"/>
          <w:szCs w:val="24"/>
          <w:highlight w:val="none"/>
        </w:rPr>
        <w:t>1</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2</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3</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2"/>
          <w:sz w:val="24"/>
          <w:szCs w:val="24"/>
          <w:highlight w:val="none"/>
        </w:rPr>
        <w:t>n</w:t>
      </w:r>
      <w:r>
        <w:rPr>
          <w:rFonts w:hint="eastAsia" w:ascii="仿宋" w:hAnsi="仿宋" w:eastAsia="仿宋" w:cs="仿宋"/>
          <w:color w:val="auto"/>
          <w:spacing w:val="7"/>
          <w:sz w:val="24"/>
          <w:szCs w:val="24"/>
          <w:highlight w:val="none"/>
        </w:rPr>
        <w:t>=1；</w:t>
      </w:r>
    </w:p>
    <w:p w14:paraId="350D85D7">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39" w:right="71"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1</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2</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3</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tn</w:t>
      </w:r>
      <w:r>
        <w:rPr>
          <w:rFonts w:hint="eastAsia" w:ascii="仿宋" w:hAnsi="仿宋" w:eastAsia="仿宋" w:cs="仿宋"/>
          <w:color w:val="auto"/>
          <w:spacing w:val="10"/>
          <w:sz w:val="24"/>
          <w:szCs w:val="24"/>
          <w:highlight w:val="none"/>
        </w:rPr>
        <w:t>---各可调因子的当期价格指数，指付款证书相</w:t>
      </w:r>
      <w:r>
        <w:rPr>
          <w:rFonts w:hint="eastAsia" w:ascii="仿宋" w:hAnsi="仿宋" w:eastAsia="仿宋" w:cs="仿宋"/>
          <w:color w:val="auto"/>
          <w:spacing w:val="9"/>
          <w:sz w:val="24"/>
          <w:szCs w:val="24"/>
          <w:highlight w:val="none"/>
        </w:rPr>
        <w:t>关周期最后一天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的前</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天的各可调因子的价格指数；</w:t>
      </w:r>
    </w:p>
    <w:p w14:paraId="797EDC32">
      <w:pPr>
        <w:pStyle w:val="2"/>
        <w:keepNext w:val="0"/>
        <w:keepLines w:val="0"/>
        <w:pageBreakBefore w:val="0"/>
        <w:widowControl/>
        <w:kinsoku w:val="0"/>
        <w:wordWrap/>
        <w:overflowPunct/>
        <w:topLinePunct w:val="0"/>
        <w:autoSpaceDE w:val="0"/>
        <w:autoSpaceDN w:val="0"/>
        <w:bidi w:val="0"/>
        <w:adjustRightInd w:val="0"/>
        <w:snapToGrid w:val="0"/>
        <w:spacing w:before="28"/>
        <w:ind w:left="22" w:right="71"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01</w:t>
      </w:r>
      <w:r>
        <w:rPr>
          <w:rFonts w:hint="eastAsia" w:ascii="仿宋" w:hAnsi="仿宋" w:eastAsia="仿宋" w:cs="仿宋"/>
          <w:color w:val="auto"/>
          <w:spacing w:val="-13"/>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02</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03</w:t>
      </w:r>
      <w:r>
        <w:rPr>
          <w:rFonts w:hint="eastAsia" w:ascii="仿宋" w:hAnsi="仿宋" w:eastAsia="仿宋" w:cs="仿宋"/>
          <w:color w:val="auto"/>
          <w:spacing w:val="-21"/>
          <w:position w:val="-3"/>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0n</w:t>
      </w:r>
      <w:r>
        <w:rPr>
          <w:rFonts w:hint="eastAsia" w:ascii="仿宋" w:hAnsi="仿宋" w:eastAsia="仿宋" w:cs="仿宋"/>
          <w:color w:val="auto"/>
          <w:spacing w:val="6"/>
          <w:sz w:val="24"/>
          <w:szCs w:val="24"/>
          <w:highlight w:val="none"/>
        </w:rPr>
        <w:t>---各可调因子的基本价格指数，指基准日期的各可调因子的价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格指数。</w:t>
      </w:r>
    </w:p>
    <w:p w14:paraId="7C1EEF73">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70" w:firstLine="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以上价格调整公式中的各可调因子、定值和变值权重，以及基本价格指数及其来源在</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投标函附录价格指数和权重表中约定。价格指数应首先采用投标函附录中载明的有关部门提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供的价格指数，缺乏上述价格指数时，可采用有关部门提供的价格代替。</w:t>
      </w:r>
    </w:p>
    <w:p w14:paraId="2D7BD74E">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暂时确定调整差额</w:t>
      </w:r>
    </w:p>
    <w:p w14:paraId="76560870">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22"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在计算调整差额时得不到当期价格指数的，可暂用上一次价格指数计算，并在以后的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付款中再按实际价格指数进行调整。</w:t>
      </w:r>
    </w:p>
    <w:p w14:paraId="6B7E2E9B">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4"/>
          <w:sz w:val="24"/>
          <w:szCs w:val="24"/>
          <w:highlight w:val="none"/>
        </w:rPr>
        <w:t>权重的调整</w:t>
      </w:r>
    </w:p>
    <w:p w14:paraId="58A44E0E">
      <w:pPr>
        <w:pStyle w:val="2"/>
        <w:keepNext w:val="0"/>
        <w:keepLines w:val="0"/>
        <w:pageBreakBefore w:val="0"/>
        <w:widowControl/>
        <w:kinsoku w:val="0"/>
        <w:wordWrap/>
        <w:overflowPunct/>
        <w:topLinePunct w:val="0"/>
        <w:autoSpaceDE w:val="0"/>
        <w:autoSpaceDN w:val="0"/>
        <w:bidi w:val="0"/>
        <w:adjustRightInd w:val="0"/>
        <w:snapToGrid w:val="0"/>
        <w:spacing w:before="25"/>
        <w:ind w:left="26" w:right="68"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8"/>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款[发包人变更权]约定的变更导致原定合同中的权重不合理的，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与承包人和发包人协商后进行调整。</w:t>
      </w:r>
    </w:p>
    <w:p w14:paraId="5F9617BB">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承包人原因工期延误后的价格调整</w:t>
      </w:r>
    </w:p>
    <w:p w14:paraId="5B656DA7">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70"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因承包人原因未在约定的工期内竣工的，则</w:t>
      </w:r>
      <w:r>
        <w:rPr>
          <w:rFonts w:hint="eastAsia" w:ascii="仿宋" w:hAnsi="仿宋" w:eastAsia="仿宋" w:cs="仿宋"/>
          <w:color w:val="auto"/>
          <w:spacing w:val="7"/>
          <w:sz w:val="24"/>
          <w:szCs w:val="24"/>
          <w:highlight w:val="none"/>
        </w:rPr>
        <w:t>对原约定竣工日期后继续施工的工程，在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使用本款第(1)项价格调整公式时，应采用原约定竣</w:t>
      </w:r>
      <w:r>
        <w:rPr>
          <w:rFonts w:hint="eastAsia" w:ascii="仿宋" w:hAnsi="仿宋" w:eastAsia="仿宋" w:cs="仿宋"/>
          <w:color w:val="auto"/>
          <w:spacing w:val="9"/>
          <w:sz w:val="24"/>
          <w:szCs w:val="24"/>
          <w:highlight w:val="none"/>
        </w:rPr>
        <w:t>工日期与实际竣工日期的两个价格指数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中较低的一个作为当期价格指数。</w:t>
      </w:r>
    </w:p>
    <w:p w14:paraId="3EEF6CED">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发包人引起的工期延误后的价格调整</w:t>
      </w:r>
    </w:p>
    <w:p w14:paraId="7CF0A79D">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pPr>
    </w:p>
    <w:p w14:paraId="11E65620">
      <w:pPr>
        <w:pStyle w:val="2"/>
        <w:keepNext w:val="0"/>
        <w:keepLines w:val="0"/>
        <w:pageBreakBefore w:val="0"/>
        <w:widowControl/>
        <w:kinsoku w:val="0"/>
        <w:wordWrap/>
        <w:overflowPunct/>
        <w:topLinePunct w:val="0"/>
        <w:autoSpaceDE w:val="0"/>
        <w:autoSpaceDN w:val="0"/>
        <w:bidi w:val="0"/>
        <w:adjustRightInd w:val="0"/>
        <w:snapToGrid w:val="0"/>
        <w:spacing w:before="41" w:line="243" w:lineRule="auto"/>
        <w:ind w:left="21" w:right="146" w:firstLine="62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由于发包人原因未在约定的工期内竣工的，则对原约定</w:t>
      </w:r>
      <w:r>
        <w:rPr>
          <w:rFonts w:hint="eastAsia" w:ascii="仿宋" w:hAnsi="仿宋" w:eastAsia="仿宋" w:cs="仿宋"/>
          <w:color w:val="auto"/>
          <w:spacing w:val="7"/>
          <w:sz w:val="24"/>
          <w:szCs w:val="24"/>
          <w:highlight w:val="none"/>
        </w:rPr>
        <w:t>竣工日期后继续施工的工程，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在使用本款第（1）</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目价格调整公式时，应采用原约定竣工日期与实际竣工日期的两个价格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指数中较高的一个作为当期价格指数。</w:t>
      </w:r>
    </w:p>
    <w:p w14:paraId="0511C010">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13.8.2.2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未列入《价格指数权重表</w:t>
      </w:r>
      <w:r>
        <w:rPr>
          <w:rFonts w:hint="eastAsia" w:ascii="仿宋" w:hAnsi="仿宋" w:eastAsia="仿宋" w:cs="仿宋"/>
          <w:color w:val="auto"/>
          <w:spacing w:val="7"/>
          <w:sz w:val="24"/>
          <w:szCs w:val="24"/>
          <w:highlight w:val="none"/>
        </w:rPr>
        <w:t>》的费用不因市场变化而调整。</w:t>
      </w:r>
    </w:p>
    <w:p w14:paraId="748FFAF9">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13.8.3 双方约定采用其他方式调整合同价款的，</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以专用合同条件约定为准。</w:t>
      </w:r>
    </w:p>
    <w:p w14:paraId="78EC7F47">
      <w:pPr>
        <w:pStyle w:val="2"/>
        <w:keepNext w:val="0"/>
        <w:keepLines w:val="0"/>
        <w:pageBreakBefore w:val="0"/>
        <w:widowControl/>
        <w:kinsoku w:val="0"/>
        <w:wordWrap/>
        <w:overflowPunct/>
        <w:topLinePunct w:val="0"/>
        <w:autoSpaceDE w:val="0"/>
        <w:autoSpaceDN w:val="0"/>
        <w:bidi w:val="0"/>
        <w:adjustRightInd w:val="0"/>
        <w:snapToGrid w:val="0"/>
        <w:spacing w:before="148" w:line="226"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第14条 合同价格与支付</w:t>
      </w:r>
    </w:p>
    <w:p w14:paraId="6F1AF500">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6ADCCD90">
      <w:pPr>
        <w:pStyle w:val="2"/>
        <w:keepNext w:val="0"/>
        <w:keepLines w:val="0"/>
        <w:pageBreakBefore w:val="0"/>
        <w:widowControl/>
        <w:kinsoku w:val="0"/>
        <w:wordWrap/>
        <w:overflowPunct/>
        <w:topLinePunct w:val="0"/>
        <w:autoSpaceDE w:val="0"/>
        <w:autoSpaceDN w:val="0"/>
        <w:bidi w:val="0"/>
        <w:adjustRightInd w:val="0"/>
        <w:snapToGrid w:val="0"/>
        <w:spacing w:before="149" w:line="238" w:lineRule="auto"/>
        <w:ind w:left="45" w:right="117"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除专用合同条件中另有约定外，本合同为总价合同，除根据第</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以及合同中其它相关增减金额的约定进行调整外，合同价格不做调整。</w:t>
      </w:r>
    </w:p>
    <w:p w14:paraId="6EC4B49A">
      <w:pPr>
        <w:pStyle w:val="2"/>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除专用合同条件另有约定外：</w:t>
      </w:r>
    </w:p>
    <w:p w14:paraId="3C63F5CC">
      <w:pPr>
        <w:pStyle w:val="2"/>
        <w:keepNext w:val="0"/>
        <w:keepLines w:val="0"/>
        <w:pageBreakBefore w:val="0"/>
        <w:widowControl/>
        <w:kinsoku w:val="0"/>
        <w:wordWrap/>
        <w:overflowPunct/>
        <w:topLinePunct w:val="0"/>
        <w:autoSpaceDE w:val="0"/>
        <w:autoSpaceDN w:val="0"/>
        <w:bidi w:val="0"/>
        <w:adjustRightInd w:val="0"/>
        <w:snapToGrid w:val="0"/>
        <w:spacing w:before="145"/>
        <w:ind w:left="23" w:right="15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工程款的支付应以合同协议书约定的签约合同价格为基础，按照合同约定进行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调整；</w:t>
      </w:r>
    </w:p>
    <w:p w14:paraId="159C6EB8">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54" w:right="159"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承包人应支付根据法律规定或合同约定应由其支付的各项税费，除</w:t>
      </w:r>
      <w:r>
        <w:rPr>
          <w:rFonts w:hint="eastAsia" w:ascii="仿宋" w:hAnsi="仿宋" w:eastAsia="仿宋" w:cs="仿宋"/>
          <w:color w:val="auto"/>
          <w:spacing w:val="8"/>
          <w:sz w:val="24"/>
          <w:szCs w:val="24"/>
          <w:highlight w:val="none"/>
        </w:rPr>
        <w:t>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13.7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[法律变化引起的调整]约定外，合同价格不应因任何这些税费进行调整；</w:t>
      </w:r>
    </w:p>
    <w:p w14:paraId="1966F00A">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16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价格清单列出的任何数量仅为估算的工作量，不得将其视为要求承包人实施的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工程的实际或准确的工作量。在价格清单中列出的任何工作量和价格数据应仅限用于变更和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支付的参考资料，而不能用于其他目的。</w:t>
      </w:r>
    </w:p>
    <w:p w14:paraId="035A24AA">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7" w:right="160"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14.1.3 合同约定工程的某部分按照实际完成的工程量进行支付的，应按</w:t>
      </w:r>
      <w:r>
        <w:rPr>
          <w:rFonts w:hint="eastAsia" w:ascii="仿宋" w:hAnsi="仿宋" w:eastAsia="仿宋" w:cs="仿宋"/>
          <w:color w:val="auto"/>
          <w:spacing w:val="8"/>
          <w:sz w:val="24"/>
          <w:szCs w:val="24"/>
          <w:highlight w:val="none"/>
        </w:rPr>
        <w:t>照专用合同条件的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约定进行计量和估价，并据此调整合同价格。</w:t>
      </w:r>
    </w:p>
    <w:p w14:paraId="3D470A14">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5B55CA41">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27AB2F94">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预付款的额度和支付按照专用合同条件约定执行。预付款应当专用于承包人为</w:t>
      </w:r>
      <w:r>
        <w:rPr>
          <w:rFonts w:hint="eastAsia" w:ascii="仿宋" w:hAnsi="仿宋" w:eastAsia="仿宋" w:cs="仿宋"/>
          <w:color w:val="auto"/>
          <w:spacing w:val="7"/>
          <w:sz w:val="24"/>
          <w:szCs w:val="24"/>
          <w:highlight w:val="none"/>
        </w:rPr>
        <w:t>合同工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程的设计和工程实施购置材料、工程设备、施工设备、修建临时设施以及组织施工队伍进场</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等合同工作。</w:t>
      </w:r>
    </w:p>
    <w:p w14:paraId="137142AF">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25"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除专用合同条件另有约定外，预付款在进度付款中同</w:t>
      </w:r>
      <w:r>
        <w:rPr>
          <w:rFonts w:hint="eastAsia" w:ascii="仿宋" w:hAnsi="仿宋" w:eastAsia="仿宋" w:cs="仿宋"/>
          <w:color w:val="auto"/>
          <w:spacing w:val="7"/>
          <w:sz w:val="24"/>
          <w:szCs w:val="24"/>
          <w:highlight w:val="none"/>
        </w:rPr>
        <w:t>比例扣回。在颁发工程接收证书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前，提前解除合同的，</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8"/>
          <w:sz w:val="24"/>
          <w:szCs w:val="24"/>
          <w:highlight w:val="none"/>
        </w:rPr>
        <w:t>尚未扣完的预付款应与合</w:t>
      </w:r>
      <w:r>
        <w:rPr>
          <w:rFonts w:hint="eastAsia" w:ascii="仿宋" w:hAnsi="仿宋" w:eastAsia="仿宋" w:cs="仿宋"/>
          <w:color w:val="auto"/>
          <w:spacing w:val="7"/>
          <w:sz w:val="24"/>
          <w:szCs w:val="24"/>
          <w:highlight w:val="none"/>
        </w:rPr>
        <w:t>同价款一并结算。</w:t>
      </w:r>
    </w:p>
    <w:p w14:paraId="5C57B045">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5"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发包人逾期支付预付款超过</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天的，承包人有权向发包人发出要求预付的催告通知，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发包人收到通知后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天内仍未支付的，承包人有权暂停施工，并按第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15.1.1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项[发包人违约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的情形]执行。</w:t>
      </w:r>
    </w:p>
    <w:p w14:paraId="45F9CB2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 预付款担保</w:t>
      </w:r>
    </w:p>
    <w:p w14:paraId="3B39E07F">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1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发包人指示承包人提供预付款担保的，承包人应在发包人支付预付款</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天前提供预付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款担保，专用合同条件另有约定除外。预付款担保可采用银行保函、担保公司担保等形式，</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具体由合同当事人在专用合同条件中约定。在预付款完全扣回之前，承包人应保证预付款担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保持续有效。</w:t>
      </w:r>
    </w:p>
    <w:p w14:paraId="16B7AA07">
      <w:pPr>
        <w:pStyle w:val="2"/>
        <w:keepNext w:val="0"/>
        <w:keepLines w:val="0"/>
        <w:pageBreakBefore w:val="0"/>
        <w:widowControl/>
        <w:kinsoku w:val="0"/>
        <w:wordWrap/>
        <w:overflowPunct/>
        <w:topLinePunct w:val="0"/>
        <w:autoSpaceDE w:val="0"/>
        <w:autoSpaceDN w:val="0"/>
        <w:bidi w:val="0"/>
        <w:adjustRightInd w:val="0"/>
        <w:snapToGrid w:val="0"/>
        <w:spacing w:before="25"/>
        <w:ind w:left="23"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发包人在工程款中逐期扣回预付款后，预付款担保额度应相应减少，但剩</w:t>
      </w:r>
      <w:r>
        <w:rPr>
          <w:rFonts w:hint="eastAsia" w:ascii="仿宋" w:hAnsi="仿宋" w:eastAsia="仿宋" w:cs="仿宋"/>
          <w:color w:val="auto"/>
          <w:spacing w:val="7"/>
          <w:sz w:val="24"/>
          <w:szCs w:val="24"/>
          <w:highlight w:val="none"/>
        </w:rPr>
        <w:t>余的预付款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担保金额不得低于未被扣回的预付款金额。</w:t>
      </w:r>
    </w:p>
    <w:p w14:paraId="4A95444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E1ECB3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48553358">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（1）人工费的申请</w:t>
      </w:r>
    </w:p>
    <w:p w14:paraId="2946E64E">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人工费应按月支付，工程师应在收到承包人人工费付款申请单以及相关资料后</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 xml:space="preserve">天内  </w:t>
      </w:r>
      <w:r>
        <w:rPr>
          <w:rFonts w:hint="eastAsia" w:ascii="仿宋" w:hAnsi="仿宋" w:eastAsia="仿宋" w:cs="仿宋"/>
          <w:color w:val="auto"/>
          <w:spacing w:val="5"/>
          <w:sz w:val="24"/>
          <w:szCs w:val="24"/>
          <w:highlight w:val="none"/>
        </w:rPr>
        <w:t>完成审查并报送发包人，发包人应在收到后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天内完成审批并向承包人签发人工费支付证书，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发包人应在人工费支付证书签发后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天内完成支付。已支付的人工费部分</w:t>
      </w:r>
      <w:r>
        <w:rPr>
          <w:rFonts w:hint="eastAsia" w:ascii="仿宋" w:hAnsi="仿宋" w:eastAsia="仿宋" w:cs="仿宋"/>
          <w:color w:val="auto"/>
          <w:spacing w:val="5"/>
          <w:sz w:val="24"/>
          <w:szCs w:val="24"/>
          <w:highlight w:val="none"/>
        </w:rPr>
        <w:t xml:space="preserve">，发包人支付进度  </w:t>
      </w:r>
      <w:r>
        <w:rPr>
          <w:rFonts w:hint="eastAsia" w:ascii="仿宋" w:hAnsi="仿宋" w:eastAsia="仿宋" w:cs="仿宋"/>
          <w:color w:val="auto"/>
          <w:spacing w:val="7"/>
          <w:sz w:val="24"/>
          <w:szCs w:val="24"/>
          <w:highlight w:val="none"/>
        </w:rPr>
        <w:t>款时予以相应扣除。</w:t>
      </w:r>
    </w:p>
    <w:p w14:paraId="37668302">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（2）除专用合同条件另有约定外，承包人应在每月月末向工程师提交进度付款申请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单，该进度付款申请单应包括下列内容：</w:t>
      </w:r>
    </w:p>
    <w:p w14:paraId="5405407A">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截至本次付款周期内已完成工作对应的金额；</w:t>
      </w:r>
    </w:p>
    <w:p w14:paraId="504AB626">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sectPr>
          <w:footerReference r:id="rId38" w:type="default"/>
          <w:pgSz w:w="11906" w:h="16839"/>
          <w:pgMar w:top="1428" w:right="1641" w:bottom="1171" w:left="1785" w:header="0" w:footer="992" w:gutter="0"/>
          <w:pgNumType w:fmt="decimal"/>
          <w:cols w:space="720" w:num="1"/>
        </w:sectPr>
      </w:pPr>
    </w:p>
    <w:p w14:paraId="793B6662">
      <w:pPr>
        <w:pStyle w:val="2"/>
        <w:keepNext w:val="0"/>
        <w:keepLines w:val="0"/>
        <w:pageBreakBefore w:val="0"/>
        <w:widowControl/>
        <w:kinsoku w:val="0"/>
        <w:wordWrap/>
        <w:overflowPunct/>
        <w:topLinePunct w:val="0"/>
        <w:autoSpaceDE w:val="0"/>
        <w:autoSpaceDN w:val="0"/>
        <w:bidi w:val="0"/>
        <w:adjustRightInd w:val="0"/>
        <w:snapToGrid w:val="0"/>
        <w:spacing w:before="41" w:line="274" w:lineRule="exact"/>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2） 扣除依据本款第（1）</w:t>
      </w:r>
      <w:r>
        <w:rPr>
          <w:rFonts w:hint="eastAsia" w:ascii="仿宋" w:hAnsi="仿宋" w:eastAsia="仿宋" w:cs="仿宋"/>
          <w:color w:val="auto"/>
          <w:spacing w:val="-31"/>
          <w:position w:val="4"/>
          <w:sz w:val="24"/>
          <w:szCs w:val="24"/>
          <w:highlight w:val="none"/>
        </w:rPr>
        <w:t xml:space="preserve"> </w:t>
      </w:r>
      <w:r>
        <w:rPr>
          <w:rFonts w:hint="eastAsia" w:ascii="仿宋" w:hAnsi="仿宋" w:eastAsia="仿宋" w:cs="仿宋"/>
          <w:color w:val="auto"/>
          <w:spacing w:val="6"/>
          <w:position w:val="4"/>
          <w:sz w:val="24"/>
          <w:szCs w:val="24"/>
          <w:highlight w:val="none"/>
        </w:rPr>
        <w:t>目约定中已扣除的人工费金额；</w:t>
      </w:r>
    </w:p>
    <w:p w14:paraId="51C02C50">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条[变更与调整]应增加和扣减</w:t>
      </w:r>
      <w:r>
        <w:rPr>
          <w:rFonts w:hint="eastAsia" w:ascii="仿宋" w:hAnsi="仿宋" w:eastAsia="仿宋" w:cs="仿宋"/>
          <w:color w:val="auto"/>
          <w:spacing w:val="6"/>
          <w:sz w:val="24"/>
          <w:szCs w:val="24"/>
          <w:highlight w:val="none"/>
        </w:rPr>
        <w:t>的变更金额；</w:t>
      </w:r>
    </w:p>
    <w:p w14:paraId="09AFCD4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14.2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款[预付款]约定应支付的预付款和扣减的返还预付款；</w:t>
      </w:r>
    </w:p>
    <w:p w14:paraId="70265767">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623" w:right="9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 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项[质量保证金的预留]约定应预留的</w:t>
      </w:r>
      <w:r>
        <w:rPr>
          <w:rFonts w:hint="eastAsia" w:ascii="仿宋" w:hAnsi="仿宋" w:eastAsia="仿宋" w:cs="仿宋"/>
          <w:color w:val="auto"/>
          <w:spacing w:val="5"/>
          <w:sz w:val="24"/>
          <w:szCs w:val="24"/>
          <w:highlight w:val="none"/>
        </w:rPr>
        <w:t>质量保证金金额；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6）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19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条[索赔]应增加和扣减的索赔金额；</w:t>
      </w:r>
    </w:p>
    <w:p w14:paraId="1A2E9260">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42"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对已签发的进度款支付证书中出现错误的修正</w:t>
      </w:r>
      <w:r>
        <w:rPr>
          <w:rFonts w:hint="eastAsia" w:ascii="仿宋" w:hAnsi="仿宋" w:eastAsia="仿宋" w:cs="仿宋"/>
          <w:color w:val="auto"/>
          <w:spacing w:val="7"/>
          <w:sz w:val="24"/>
          <w:szCs w:val="24"/>
          <w:highlight w:val="none"/>
        </w:rPr>
        <w:t>，应在本次进度付款中支付或扣除</w:t>
      </w:r>
      <w:r>
        <w:rPr>
          <w:rFonts w:hint="eastAsia" w:ascii="仿宋" w:hAnsi="仿宋" w:eastAsia="仿宋" w:cs="仿宋"/>
          <w:color w:val="auto"/>
          <w:sz w:val="24"/>
          <w:szCs w:val="24"/>
          <w:highlight w:val="none"/>
        </w:rPr>
        <w:t xml:space="preserve"> 的金额；</w:t>
      </w:r>
    </w:p>
    <w:p w14:paraId="30FD166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 根据合同约定应增加和扣减的其他金额。</w:t>
      </w:r>
    </w:p>
    <w:p w14:paraId="7130E4F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310E4623">
      <w:pPr>
        <w:pStyle w:val="2"/>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41"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除专用合同条件另有约定外，工程师应在收到承包人进度付款申请</w:t>
      </w:r>
      <w:r>
        <w:rPr>
          <w:rFonts w:hint="eastAsia" w:ascii="仿宋" w:hAnsi="仿宋" w:eastAsia="仿宋" w:cs="仿宋"/>
          <w:color w:val="auto"/>
          <w:spacing w:val="7"/>
          <w:sz w:val="24"/>
          <w:szCs w:val="24"/>
          <w:highlight w:val="none"/>
        </w:rPr>
        <w:t>单以及相关资料后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天内完成审查并报送发包人，发包人应在收到</w:t>
      </w:r>
      <w:r>
        <w:rPr>
          <w:rFonts w:hint="eastAsia" w:ascii="仿宋" w:hAnsi="仿宋" w:eastAsia="仿宋" w:cs="仿宋"/>
          <w:color w:val="auto"/>
          <w:spacing w:val="6"/>
          <w:sz w:val="24"/>
          <w:szCs w:val="24"/>
          <w:highlight w:val="none"/>
        </w:rPr>
        <w:t>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天内完成审批并向承包人签发进度款支付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证书。发包人逾期（包括因工程师原因延误报送的时间）未完成审批且未提出异议的，视为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已签发进度款支付证书。</w:t>
      </w:r>
    </w:p>
    <w:p w14:paraId="3A85F061">
      <w:pPr>
        <w:pStyle w:val="2"/>
        <w:keepNext w:val="0"/>
        <w:keepLines w:val="0"/>
        <w:pageBreakBefore w:val="0"/>
        <w:widowControl/>
        <w:kinsoku w:val="0"/>
        <w:wordWrap/>
        <w:overflowPunct/>
        <w:topLinePunct w:val="0"/>
        <w:autoSpaceDE w:val="0"/>
        <w:autoSpaceDN w:val="0"/>
        <w:bidi w:val="0"/>
        <w:adjustRightInd w:val="0"/>
        <w:snapToGrid w:val="0"/>
        <w:spacing w:before="23" w:line="247" w:lineRule="auto"/>
        <w:ind w:left="22" w:right="2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工程师对承包人的进度付款申请单有异议的，有权要求承包人修正和提供补充资料，</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承包人应提交修正后的进度付款申请单。工程师应在收到承包人修正后的进度付款申请单及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w:t>
      </w:r>
      <w:r>
        <w:rPr>
          <w:rFonts w:hint="eastAsia" w:ascii="仿宋" w:hAnsi="仿宋" w:eastAsia="仿宋" w:cs="仿宋"/>
          <w:color w:val="auto"/>
          <w:spacing w:val="6"/>
          <w:sz w:val="24"/>
          <w:szCs w:val="24"/>
          <w:highlight w:val="none"/>
        </w:rPr>
        <w:t>应在收到工程师报送的进度付款申请单及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天内，向承包人签发无异议部分的进度</w:t>
      </w:r>
      <w:r>
        <w:rPr>
          <w:rFonts w:hint="eastAsia" w:ascii="仿宋" w:hAnsi="仿宋" w:eastAsia="仿宋" w:cs="仿宋"/>
          <w:color w:val="auto"/>
          <w:spacing w:val="6"/>
          <w:sz w:val="24"/>
          <w:szCs w:val="24"/>
          <w:highlight w:val="none"/>
        </w:rPr>
        <w:t>款支付证书。存在争议的部分，按照第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377A24CF">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2"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除专用合同条件另有约定外，发包人应在进度款支付证书签发后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8"/>
          <w:sz w:val="24"/>
          <w:szCs w:val="24"/>
          <w:highlight w:val="none"/>
        </w:rPr>
        <w:t>）支付利息；逾期支付超</w:t>
      </w:r>
      <w:r>
        <w:rPr>
          <w:rFonts w:hint="eastAsia" w:ascii="仿宋" w:hAnsi="仿宋" w:eastAsia="仿宋" w:cs="仿宋"/>
          <w:color w:val="auto"/>
          <w:spacing w:val="7"/>
          <w:sz w:val="24"/>
          <w:szCs w:val="24"/>
          <w:highlight w:val="none"/>
        </w:rPr>
        <w:t>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699D41B8">
      <w:pPr>
        <w:pStyle w:val="2"/>
        <w:keepNext w:val="0"/>
        <w:keepLines w:val="0"/>
        <w:pageBreakBefore w:val="0"/>
        <w:widowControl/>
        <w:kinsoku w:val="0"/>
        <w:wordWrap/>
        <w:overflowPunct/>
        <w:topLinePunct w:val="0"/>
        <w:autoSpaceDE w:val="0"/>
        <w:autoSpaceDN w:val="0"/>
        <w:bidi w:val="0"/>
        <w:adjustRightInd w:val="0"/>
        <w:snapToGrid w:val="0"/>
        <w:spacing w:before="28"/>
        <w:ind w:left="24" w:right="42"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发包人签发进度款支付证书，不表明发包人已同意、批准或接受了承包人完成的相应部</w:t>
      </w:r>
      <w:r>
        <w:rPr>
          <w:rFonts w:hint="eastAsia" w:ascii="仿宋" w:hAnsi="仿宋" w:eastAsia="仿宋" w:cs="仿宋"/>
          <w:color w:val="auto"/>
          <w:spacing w:val="5"/>
          <w:sz w:val="24"/>
          <w:szCs w:val="24"/>
          <w:highlight w:val="none"/>
        </w:rPr>
        <w:t xml:space="preserve"> 分的工作。</w:t>
      </w:r>
    </w:p>
    <w:p w14:paraId="111E7E84">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14.3.3 进度付款的修正</w:t>
      </w:r>
    </w:p>
    <w:p w14:paraId="0199715A">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42"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在对已签发的进度款支付证书进行阶段汇总和复核中发现错误、遗漏或重复的，发包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人和承包人均有权提出修正申请。经发包人和承包人同意的修正，应在下期进度付款中支付</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或扣除。</w:t>
      </w:r>
    </w:p>
    <w:p w14:paraId="235691C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FBBA3EC">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p>
    <w:p w14:paraId="6017C466">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除专用合同条件另有约定外，付款计划表按</w:t>
      </w:r>
      <w:r>
        <w:rPr>
          <w:rFonts w:hint="eastAsia" w:ascii="仿宋" w:hAnsi="仿宋" w:eastAsia="仿宋" w:cs="仿宋"/>
          <w:color w:val="auto"/>
          <w:spacing w:val="8"/>
          <w:sz w:val="24"/>
          <w:szCs w:val="24"/>
          <w:highlight w:val="none"/>
        </w:rPr>
        <w:t>如下要求编制：</w:t>
      </w:r>
    </w:p>
    <w:p w14:paraId="660F71DA">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付款计划表中所列的每期付款金额，应为第</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14.3.1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项[工程进度付款申请]每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期进度款的估算金额；</w:t>
      </w:r>
    </w:p>
    <w:p w14:paraId="353FA3C4">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22" w:right="4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实际进度与项目进度计划不一致的，</w:t>
      </w:r>
      <w:r>
        <w:rPr>
          <w:rFonts w:hint="eastAsia" w:ascii="仿宋" w:hAnsi="仿宋" w:eastAsia="仿宋" w:cs="仿宋"/>
          <w:color w:val="auto"/>
          <w:spacing w:val="6"/>
          <w:sz w:val="24"/>
          <w:szCs w:val="24"/>
          <w:highlight w:val="none"/>
        </w:rPr>
        <w:t>合同当事人可按照第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款[商定或确定]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修改付款计划表；</w:t>
      </w:r>
    </w:p>
    <w:p w14:paraId="026B4093">
      <w:pPr>
        <w:pStyle w:val="2"/>
        <w:keepNext w:val="0"/>
        <w:keepLines w:val="0"/>
        <w:pageBreakBefore w:val="0"/>
        <w:widowControl/>
        <w:kinsoku w:val="0"/>
        <w:wordWrap/>
        <w:overflowPunct/>
        <w:topLinePunct w:val="0"/>
        <w:autoSpaceDE w:val="0"/>
        <w:autoSpaceDN w:val="0"/>
        <w:bidi w:val="0"/>
        <w:adjustRightInd w:val="0"/>
        <w:snapToGrid w:val="0"/>
        <w:spacing w:before="24"/>
        <w:ind w:left="21" w:right="4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不采用付款计划表的，承包人应向工程师提交按季度编制的支付估算付款计划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表，用于支付参考。</w:t>
      </w:r>
    </w:p>
    <w:p w14:paraId="723ACA7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362CEB1F">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42"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除专用合同条件另有约定外，承包人</w:t>
      </w:r>
      <w:r>
        <w:rPr>
          <w:rFonts w:hint="eastAsia" w:ascii="仿宋" w:hAnsi="仿宋" w:eastAsia="仿宋" w:cs="仿宋"/>
          <w:color w:val="auto"/>
          <w:spacing w:val="6"/>
          <w:sz w:val="24"/>
          <w:szCs w:val="24"/>
          <w:highlight w:val="none"/>
        </w:rPr>
        <w:t>应根据第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款[项目进度计划]约定的项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目进度计划、签约合同价和工程量等因素对总价合同进行分解，确定付款期数、计划每期达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到的主要形象进度和（或）完成的主要计划工程量（含设计、采购、施工、竣工试验和竣工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后试验等）等目标任务，编制付款计划表。其中人工费应按月确定付款期和付款计划。承包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人应当在收到工程师和发包人批准的项目进度计划后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天内，将付款计划表及编制付款计划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表的支持性资料报送工程师。</w:t>
      </w:r>
    </w:p>
    <w:p w14:paraId="598A195D">
      <w:pPr>
        <w:pStyle w:val="2"/>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42" w:firstLine="60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工程师应在收到付款计划表后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天内完成审核</w:t>
      </w:r>
      <w:r>
        <w:rPr>
          <w:rFonts w:hint="eastAsia" w:ascii="仿宋" w:hAnsi="仿宋" w:eastAsia="仿宋" w:cs="仿宋"/>
          <w:color w:val="auto"/>
          <w:spacing w:val="6"/>
          <w:sz w:val="24"/>
          <w:szCs w:val="24"/>
          <w:highlight w:val="none"/>
        </w:rPr>
        <w:t>并报送发包人。发包人应在收到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经工程师审核的付款计划表后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天内完成审批，</w:t>
      </w:r>
      <w:r>
        <w:rPr>
          <w:rFonts w:hint="eastAsia" w:ascii="仿宋" w:hAnsi="仿宋" w:eastAsia="仿宋" w:cs="仿宋"/>
          <w:color w:val="auto"/>
          <w:spacing w:val="6"/>
          <w:sz w:val="24"/>
          <w:szCs w:val="24"/>
          <w:highlight w:val="none"/>
        </w:rPr>
        <w:t>经发包人批准的付款计划表为有约束力的付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款计划表。</w:t>
      </w:r>
    </w:p>
    <w:p w14:paraId="513281EC">
      <w:pPr>
        <w:pStyle w:val="2"/>
        <w:keepNext w:val="0"/>
        <w:keepLines w:val="0"/>
        <w:pageBreakBefore w:val="0"/>
        <w:widowControl/>
        <w:kinsoku w:val="0"/>
        <w:wordWrap/>
        <w:overflowPunct/>
        <w:topLinePunct w:val="0"/>
        <w:autoSpaceDE w:val="0"/>
        <w:autoSpaceDN w:val="0"/>
        <w:bidi w:val="0"/>
        <w:adjustRightInd w:val="0"/>
        <w:snapToGrid w:val="0"/>
        <w:spacing w:before="23"/>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发包人逾期未完成付款计划表审批的，也未及时要求承包人进行修正和提供补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充资料的，则承包人提交的付款计划表视为已经获得发包人批准。</w:t>
      </w:r>
    </w:p>
    <w:p w14:paraId="580908B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05BEF6F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9" w:type="default"/>
          <w:pgSz w:w="11906" w:h="16839"/>
          <w:pgMar w:top="1428" w:right="1759" w:bottom="1171" w:left="1785" w:header="0" w:footer="992" w:gutter="0"/>
          <w:pgNumType w:fmt="decimal"/>
          <w:cols w:space="720" w:num="1"/>
        </w:sectPr>
      </w:pPr>
    </w:p>
    <w:p w14:paraId="2027059F">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5953144D">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除专用合同条件另有约定外，承包人应在工程竣工验</w:t>
      </w:r>
      <w:r>
        <w:rPr>
          <w:rFonts w:hint="eastAsia" w:ascii="仿宋" w:hAnsi="仿宋" w:eastAsia="仿宋" w:cs="仿宋"/>
          <w:color w:val="auto"/>
          <w:spacing w:val="9"/>
          <w:sz w:val="24"/>
          <w:szCs w:val="24"/>
          <w:highlight w:val="none"/>
        </w:rPr>
        <w:t>收合格后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竣工结算申请单，并提交完整的结算资料，有关竣工结算申请单的资料清单和份数等要求由</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合同当事人在专用合同条件中约定。</w:t>
      </w:r>
    </w:p>
    <w:p w14:paraId="1131A992">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除专用合同条件另有约定外，竣工结算申请单应包括</w:t>
      </w:r>
      <w:r>
        <w:rPr>
          <w:rFonts w:hint="eastAsia" w:ascii="仿宋" w:hAnsi="仿宋" w:eastAsia="仿宋" w:cs="仿宋"/>
          <w:color w:val="auto"/>
          <w:spacing w:val="8"/>
          <w:position w:val="4"/>
          <w:sz w:val="24"/>
          <w:szCs w:val="24"/>
          <w:highlight w:val="none"/>
        </w:rPr>
        <w:t>以下内容：</w:t>
      </w:r>
    </w:p>
    <w:p w14:paraId="4562343F">
      <w:pPr>
        <w:pStyle w:val="2"/>
        <w:keepNext w:val="0"/>
        <w:keepLines w:val="0"/>
        <w:pageBreakBefore w:val="0"/>
        <w:widowControl/>
        <w:kinsoku w:val="0"/>
        <w:wordWrap/>
        <w:overflowPunct/>
        <w:topLinePunct w:val="0"/>
        <w:autoSpaceDE w:val="0"/>
        <w:autoSpaceDN w:val="0"/>
        <w:bidi w:val="0"/>
        <w:adjustRightInd w:val="0"/>
        <w:snapToGrid w:val="0"/>
        <w:spacing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竣工结算合同价格；</w:t>
      </w:r>
    </w:p>
    <w:p w14:paraId="2C4F120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发包人已支付承包人的款项；</w:t>
      </w:r>
    </w:p>
    <w:p w14:paraId="3EF1D574">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采用第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项[承包人提供质量保证金的方式]第（2）</w:t>
      </w:r>
      <w:r>
        <w:rPr>
          <w:rFonts w:hint="eastAsia" w:ascii="仿宋" w:hAnsi="仿宋" w:eastAsia="仿宋" w:cs="仿宋"/>
          <w:color w:val="auto"/>
          <w:spacing w:val="5"/>
          <w:sz w:val="24"/>
          <w:szCs w:val="24"/>
          <w:highlight w:val="none"/>
        </w:rPr>
        <w:t>种方式提供质量保证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金的，应当列明应预留的质量保证金金额；采用第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
          <w:sz w:val="24"/>
          <w:szCs w:val="24"/>
          <w:highlight w:val="none"/>
        </w:rPr>
        <w:t>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项[承包人提供质量保证金的方式]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中其他方式提供质量保证金的，应当按第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款[质量保证金]提供</w:t>
      </w:r>
      <w:r>
        <w:rPr>
          <w:rFonts w:hint="eastAsia" w:ascii="仿宋" w:hAnsi="仿宋" w:eastAsia="仿宋" w:cs="仿宋"/>
          <w:color w:val="auto"/>
          <w:spacing w:val="7"/>
          <w:sz w:val="24"/>
          <w:szCs w:val="24"/>
          <w:highlight w:val="none"/>
        </w:rPr>
        <w:t>相关文件作为附件；</w:t>
      </w:r>
    </w:p>
    <w:p w14:paraId="496B247C">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发包人应支付承包人的合同价款。</w:t>
      </w:r>
    </w:p>
    <w:p w14:paraId="59FDA66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298BD626">
      <w:pPr>
        <w:pStyle w:val="2"/>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15" w:firstLine="60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除专用合同条件另有约定外，工程师应在收到竣工结算申请单后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核查并报送发包人。发包人应在收到工程师提交的经审核的竣工结算</w:t>
      </w:r>
      <w:r>
        <w:rPr>
          <w:rFonts w:hint="eastAsia" w:ascii="仿宋" w:hAnsi="仿宋" w:eastAsia="仿宋" w:cs="仿宋"/>
          <w:color w:val="auto"/>
          <w:spacing w:val="8"/>
          <w:sz w:val="24"/>
          <w:szCs w:val="24"/>
          <w:highlight w:val="none"/>
        </w:rPr>
        <w:t>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审批，并由工程师向承包人签发经发包人签认的竣工付款证书。工程师或发包人对竣工结算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申请单有异议的，有权要求承包人进行修正和提供补充资料，承包人应提交修正后的竣工结</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算申请单。</w:t>
      </w:r>
    </w:p>
    <w:p w14:paraId="60B03A29">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16"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发包人在收到承包人提交竣工结算申请书后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天内未完成审批</w:t>
      </w:r>
      <w:r>
        <w:rPr>
          <w:rFonts w:hint="eastAsia" w:ascii="仿宋" w:hAnsi="仿宋" w:eastAsia="仿宋" w:cs="仿宋"/>
          <w:color w:val="auto"/>
          <w:spacing w:val="9"/>
          <w:sz w:val="24"/>
          <w:szCs w:val="24"/>
          <w:highlight w:val="none"/>
        </w:rPr>
        <w:t>且未提出异议的，视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为发包人认可承包人提交的竣工结算申请单，并自发包人收到承包人提交的竣工结算申请单</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29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天起视为已签发竣工付款证书。</w:t>
      </w:r>
    </w:p>
    <w:p w14:paraId="4553A042">
      <w:pPr>
        <w:pStyle w:val="2"/>
        <w:keepNext w:val="0"/>
        <w:keepLines w:val="0"/>
        <w:pageBreakBefore w:val="0"/>
        <w:widowControl/>
        <w:kinsoku w:val="0"/>
        <w:wordWrap/>
        <w:overflowPunct/>
        <w:topLinePunct w:val="0"/>
        <w:autoSpaceDE w:val="0"/>
        <w:autoSpaceDN w:val="0"/>
        <w:bidi w:val="0"/>
        <w:adjustRightInd w:val="0"/>
        <w:snapToGrid w:val="0"/>
        <w:spacing w:before="28" w:line="243" w:lineRule="auto"/>
        <w:ind w:left="20" w:right="1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除专用合同条件另有约定外，发包人应在签发竣工付款证书后的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成对承包人的竣工付款。发包人逾期支付的，按照贷款市场报价利率（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10"/>
          <w:sz w:val="24"/>
          <w:szCs w:val="24"/>
          <w:highlight w:val="none"/>
        </w:rPr>
        <w:t>）支付违约金；</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逾期支付超过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的两倍支付违约金。</w:t>
      </w:r>
    </w:p>
    <w:p w14:paraId="647A7AF8">
      <w:pPr>
        <w:pStyle w:val="2"/>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承包人对发包人签认的竣工付款证书有异议的，对于有异议部分应在收到发包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人签认的竣工付款证书后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天内提出异议，并由合同</w:t>
      </w:r>
      <w:r>
        <w:rPr>
          <w:rFonts w:hint="eastAsia" w:ascii="仿宋" w:hAnsi="仿宋" w:eastAsia="仿宋" w:cs="仿宋"/>
          <w:color w:val="auto"/>
          <w:spacing w:val="6"/>
          <w:sz w:val="24"/>
          <w:szCs w:val="24"/>
          <w:highlight w:val="none"/>
        </w:rPr>
        <w:t>当事人按照专用合同条件约定的方式和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程序进行复核，或按照第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条[争议解决]约定处理。对于无异议部分，发包人应签发临时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竣工付款证书，并按本款第（2）项完成付款。承包人逾期未提出异议的，</w:t>
      </w:r>
      <w:r>
        <w:rPr>
          <w:rFonts w:hint="eastAsia" w:ascii="仿宋" w:hAnsi="仿宋" w:eastAsia="仿宋" w:cs="仿宋"/>
          <w:color w:val="auto"/>
          <w:spacing w:val="9"/>
          <w:sz w:val="24"/>
          <w:szCs w:val="24"/>
          <w:highlight w:val="none"/>
        </w:rPr>
        <w:t>视为认可发包人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的审批结果。</w:t>
      </w:r>
    </w:p>
    <w:p w14:paraId="77A7759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14.5.3 扫尾工作清单</w:t>
      </w:r>
    </w:p>
    <w:p w14:paraId="0533CED3">
      <w:pPr>
        <w:pStyle w:val="2"/>
        <w:keepNext w:val="0"/>
        <w:keepLines w:val="0"/>
        <w:pageBreakBefore w:val="0"/>
        <w:widowControl/>
        <w:kinsoku w:val="0"/>
        <w:wordWrap/>
        <w:overflowPunct/>
        <w:topLinePunct w:val="0"/>
        <w:autoSpaceDE w:val="0"/>
        <w:autoSpaceDN w:val="0"/>
        <w:bidi w:val="0"/>
        <w:adjustRightInd w:val="0"/>
        <w:snapToGrid w:val="0"/>
        <w:spacing w:before="144"/>
        <w:ind w:left="22" w:right="1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经双方协商，部分工作在工程竣工验收后进行的，承包人应当编制扫尾工作清</w:t>
      </w:r>
      <w:r>
        <w:rPr>
          <w:rFonts w:hint="eastAsia" w:ascii="仿宋" w:hAnsi="仿宋" w:eastAsia="仿宋" w:cs="仿宋"/>
          <w:color w:val="auto"/>
          <w:spacing w:val="7"/>
          <w:sz w:val="24"/>
          <w:szCs w:val="24"/>
          <w:highlight w:val="none"/>
        </w:rPr>
        <w:t>单，扫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尾工作清单中应当列明承包人应当完成的扫尾工作的内容及完成时间。</w:t>
      </w:r>
    </w:p>
    <w:p w14:paraId="1AABD91C">
      <w:pPr>
        <w:pStyle w:val="2"/>
        <w:keepNext w:val="0"/>
        <w:keepLines w:val="0"/>
        <w:pageBreakBefore w:val="0"/>
        <w:widowControl/>
        <w:kinsoku w:val="0"/>
        <w:wordWrap/>
        <w:overflowPunct/>
        <w:topLinePunct w:val="0"/>
        <w:autoSpaceDE w:val="0"/>
        <w:autoSpaceDN w:val="0"/>
        <w:bidi w:val="0"/>
        <w:adjustRightInd w:val="0"/>
        <w:snapToGrid w:val="0"/>
        <w:spacing w:before="25"/>
        <w:ind w:left="21" w:right="14"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承包人完成扫尾工作清单中的内容应取得的费用包含在第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项[竣工结算申请]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及第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项[竣工结算审核]中一并结算。</w:t>
      </w:r>
    </w:p>
    <w:p w14:paraId="18E2A7FA">
      <w:pPr>
        <w:pStyle w:val="2"/>
        <w:keepNext w:val="0"/>
        <w:keepLines w:val="0"/>
        <w:pageBreakBefore w:val="0"/>
        <w:widowControl/>
        <w:kinsoku w:val="0"/>
        <w:wordWrap/>
        <w:overflowPunct/>
        <w:topLinePunct w:val="0"/>
        <w:autoSpaceDE w:val="0"/>
        <w:autoSpaceDN w:val="0"/>
        <w:bidi w:val="0"/>
        <w:adjustRightInd w:val="0"/>
        <w:snapToGrid w:val="0"/>
        <w:spacing w:before="24" w:line="244" w:lineRule="auto"/>
        <w:ind w:left="22" w:right="13"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扫尾工作的缺陷责任期按第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条[缺陷责任与保修]处理。承包人未能按照扫尾工作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清单约定的完成时间完成扫尾工作的，视为承包人原因导致的工程质</w:t>
      </w:r>
      <w:r>
        <w:rPr>
          <w:rFonts w:hint="eastAsia" w:ascii="仿宋" w:hAnsi="仿宋" w:eastAsia="仿宋" w:cs="仿宋"/>
          <w:color w:val="auto"/>
          <w:spacing w:val="8"/>
          <w:sz w:val="24"/>
          <w:szCs w:val="24"/>
          <w:highlight w:val="none"/>
        </w:rPr>
        <w:t>量缺陷按照第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[缺陷调查]处理。</w:t>
      </w:r>
    </w:p>
    <w:p w14:paraId="498765E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073D946">
      <w:pPr>
        <w:pStyle w:val="2"/>
        <w:keepNext w:val="0"/>
        <w:keepLines w:val="0"/>
        <w:pageBreakBefore w:val="0"/>
        <w:widowControl/>
        <w:kinsoku w:val="0"/>
        <w:wordWrap/>
        <w:overflowPunct/>
        <w:topLinePunct w:val="0"/>
        <w:autoSpaceDE w:val="0"/>
        <w:autoSpaceDN w:val="0"/>
        <w:bidi w:val="0"/>
        <w:adjustRightInd w:val="0"/>
        <w:snapToGrid w:val="0"/>
        <w:spacing w:before="146"/>
        <w:ind w:left="62" w:right="15" w:firstLine="56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经合同当事人协商一致提供质量保证金的，应在专用合同条件中予以明确。在</w:t>
      </w:r>
      <w:r>
        <w:rPr>
          <w:rFonts w:hint="eastAsia" w:ascii="仿宋" w:hAnsi="仿宋" w:eastAsia="仿宋" w:cs="仿宋"/>
          <w:color w:val="auto"/>
          <w:spacing w:val="7"/>
          <w:sz w:val="24"/>
          <w:szCs w:val="24"/>
          <w:highlight w:val="none"/>
        </w:rPr>
        <w:t>工程项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目竣工前，承包人已经提供履约担保的，发包人不得同时要求承包人提供质量保证金。</w:t>
      </w:r>
    </w:p>
    <w:p w14:paraId="1FB6E484">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14.6.1 承包人提供质量保证金的方式</w:t>
      </w:r>
    </w:p>
    <w:p w14:paraId="75C98CC2">
      <w:pPr>
        <w:pStyle w:val="2"/>
        <w:keepNext w:val="0"/>
        <w:keepLines w:val="0"/>
        <w:pageBreakBefore w:val="0"/>
        <w:widowControl/>
        <w:kinsoku w:val="0"/>
        <w:wordWrap/>
        <w:overflowPunct/>
        <w:topLinePunct w:val="0"/>
        <w:autoSpaceDE w:val="0"/>
        <w:autoSpaceDN w:val="0"/>
        <w:bidi w:val="0"/>
        <w:adjustRightInd w:val="0"/>
        <w:snapToGrid w:val="0"/>
        <w:spacing w:before="145" w:line="274" w:lineRule="exact"/>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承包人提供质量保证金有以下三种方式：</w:t>
      </w:r>
    </w:p>
    <w:p w14:paraId="76B3C317">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提交工程质量保证担保；</w:t>
      </w:r>
    </w:p>
    <w:p w14:paraId="54DF1007">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预留相应比例的工程款；</w:t>
      </w:r>
    </w:p>
    <w:p w14:paraId="245EB486">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双方约定的其他方式。</w:t>
      </w:r>
    </w:p>
    <w:p w14:paraId="6A6C89D4">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1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除专用合同条件另有约定外，质量保证金原则上采用上述第（1）种方式，且承包人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应在工程竣工验收合格后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天内，向发包人提交工</w:t>
      </w:r>
      <w:r>
        <w:rPr>
          <w:rFonts w:hint="eastAsia" w:ascii="仿宋" w:hAnsi="仿宋" w:eastAsia="仿宋" w:cs="仿宋"/>
          <w:color w:val="auto"/>
          <w:spacing w:val="6"/>
          <w:sz w:val="24"/>
          <w:szCs w:val="24"/>
          <w:highlight w:val="none"/>
        </w:rPr>
        <w:t>程质量保证担保。承包人提交工程质量保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证担保时，发包人应同时返还预留的作为质量保证金的工程价款（如有）。但不论承包人以</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何种方式提供质量保证金，累计金额均不得高于工</w:t>
      </w:r>
      <w:r>
        <w:rPr>
          <w:rFonts w:hint="eastAsia" w:ascii="仿宋" w:hAnsi="仿宋" w:eastAsia="仿宋" w:cs="仿宋"/>
          <w:color w:val="auto"/>
          <w:spacing w:val="8"/>
          <w:sz w:val="24"/>
          <w:szCs w:val="24"/>
          <w:highlight w:val="none"/>
        </w:rPr>
        <w:t>程价款结算总额的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3%。</w:t>
      </w:r>
    </w:p>
    <w:p w14:paraId="4FE5AFB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sz w:val="24"/>
          <w:szCs w:val="24"/>
        </w:rPr>
      </w:pPr>
      <w:r>
        <w:rPr>
          <w:rFonts w:hint="eastAsia" w:ascii="仿宋" w:hAnsi="仿宋" w:eastAsia="仿宋" w:cs="仿宋"/>
          <w:color w:val="auto"/>
          <w:spacing w:val="5"/>
          <w:sz w:val="24"/>
          <w:szCs w:val="24"/>
          <w:highlight w:val="none"/>
        </w:rPr>
        <w:t>14.6.2 质量保证金的预留</w:t>
      </w:r>
    </w:p>
    <w:p w14:paraId="24063C9D">
      <w:pPr>
        <w:pStyle w:val="2"/>
        <w:keepNext w:val="0"/>
        <w:keepLines w:val="0"/>
        <w:pageBreakBefore w:val="0"/>
        <w:widowControl/>
        <w:kinsoku w:val="0"/>
        <w:wordWrap/>
        <w:overflowPunct/>
        <w:topLinePunct w:val="0"/>
        <w:autoSpaceDE w:val="0"/>
        <w:autoSpaceDN w:val="0"/>
        <w:bidi w:val="0"/>
        <w:adjustRightInd w:val="0"/>
        <w:snapToGrid w:val="0"/>
        <w:spacing w:before="42"/>
        <w:ind w:left="28" w:right="70"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双方约定采用预留相应比例的工程款方式提供质量保证金的，质量保证金的预留</w:t>
      </w:r>
      <w:r>
        <w:rPr>
          <w:rFonts w:hint="eastAsia" w:ascii="仿宋" w:hAnsi="仿宋" w:eastAsia="仿宋" w:cs="仿宋"/>
          <w:color w:val="auto"/>
          <w:spacing w:val="7"/>
          <w:sz w:val="24"/>
          <w:szCs w:val="24"/>
          <w:highlight w:val="none"/>
        </w:rPr>
        <w:t>有以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下三种方式：</w:t>
      </w:r>
    </w:p>
    <w:p w14:paraId="3EE6DF45">
      <w:pPr>
        <w:pStyle w:val="2"/>
        <w:keepNext w:val="0"/>
        <w:keepLines w:val="0"/>
        <w:pageBreakBefore w:val="0"/>
        <w:widowControl/>
        <w:kinsoku w:val="0"/>
        <w:wordWrap/>
        <w:overflowPunct/>
        <w:topLinePunct w:val="0"/>
        <w:autoSpaceDE w:val="0"/>
        <w:autoSpaceDN w:val="0"/>
        <w:bidi w:val="0"/>
        <w:adjustRightInd w:val="0"/>
        <w:snapToGrid w:val="0"/>
        <w:spacing w:before="23" w:line="243" w:lineRule="auto"/>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按专用合同条件的约定在支付工程进度款时逐次预留，直至预留的质量保证金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总额达到专用合同条件约定的金额或比例为止。在此情形下，质量保证金的计算基数不包括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预付款的支付、扣回以及价格调整的金额；</w:t>
      </w:r>
    </w:p>
    <w:p w14:paraId="4058ECF2">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工程竣工结算时一次性预留质量保证金；</w:t>
      </w:r>
    </w:p>
    <w:p w14:paraId="1E10B46C">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双方约定的其他预留方式。</w:t>
      </w:r>
    </w:p>
    <w:p w14:paraId="0C932C18">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70"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除专用合同条件另有约定外，质量保证金的预留原则上采用上述第（1）种方式。如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承包人在发包人签发竣工付款证书后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天内提交工程质量保证担保，发包人应同时返还预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留的作为质量保证金的工程价款。发包人在返还本条款项下的质量保证金的同时，按照中国</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人民银行同期同类存款基准利率支付利息。</w:t>
      </w:r>
    </w:p>
    <w:p w14:paraId="26EEAD6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14.6.3 质量保证金的返还</w:t>
      </w:r>
    </w:p>
    <w:p w14:paraId="771B7DA7">
      <w:pPr>
        <w:pStyle w:val="2"/>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缺陷责任期内，承包人认真履行合同约定的责任，</w:t>
      </w:r>
      <w:r>
        <w:rPr>
          <w:rFonts w:hint="eastAsia" w:ascii="仿宋" w:hAnsi="仿宋" w:eastAsia="仿宋" w:cs="仿宋"/>
          <w:color w:val="auto"/>
          <w:spacing w:val="5"/>
          <w:sz w:val="24"/>
          <w:szCs w:val="24"/>
          <w:highlight w:val="none"/>
        </w:rPr>
        <w:t>缺陷责任期满，发包人根据第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11.6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款[缺陷责任期终止证书]向承包人颁发缺陷责任期终止证书后，承包人可向发包人申请返还 </w:t>
      </w:r>
      <w:r>
        <w:rPr>
          <w:rFonts w:hint="eastAsia" w:ascii="仿宋" w:hAnsi="仿宋" w:eastAsia="仿宋" w:cs="仿宋"/>
          <w:color w:val="auto"/>
          <w:spacing w:val="6"/>
          <w:sz w:val="24"/>
          <w:szCs w:val="24"/>
          <w:highlight w:val="none"/>
        </w:rPr>
        <w:t>质量保证金。</w:t>
      </w:r>
    </w:p>
    <w:p w14:paraId="398F3507">
      <w:pPr>
        <w:pStyle w:val="2"/>
        <w:keepNext w:val="0"/>
        <w:keepLines w:val="0"/>
        <w:pageBreakBefore w:val="0"/>
        <w:widowControl/>
        <w:kinsoku w:val="0"/>
        <w:wordWrap/>
        <w:overflowPunct/>
        <w:topLinePunct w:val="0"/>
        <w:autoSpaceDE w:val="0"/>
        <w:autoSpaceDN w:val="0"/>
        <w:bidi w:val="0"/>
        <w:adjustRightInd w:val="0"/>
        <w:snapToGrid w:val="0"/>
        <w:spacing w:before="25" w:line="243" w:lineRule="auto"/>
        <w:ind w:left="20" w:right="57"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发包人在接到承包人返还质量保证金申请后，应于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天内将质量保证金返还承包人，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逾期未返还的，应承担违约责任。发包人在接到承包人</w:t>
      </w:r>
      <w:r>
        <w:rPr>
          <w:rFonts w:hint="eastAsia" w:ascii="仿宋" w:hAnsi="仿宋" w:eastAsia="仿宋" w:cs="仿宋"/>
          <w:color w:val="auto"/>
          <w:spacing w:val="6"/>
          <w:sz w:val="24"/>
          <w:szCs w:val="24"/>
          <w:highlight w:val="none"/>
        </w:rPr>
        <w:t>返还质量保证金申请后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天内不予答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复，视同认可承包人的返还质量保证金申请。</w:t>
      </w:r>
    </w:p>
    <w:p w14:paraId="64FFBBD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2" w:right="70" w:firstLine="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发包人和承包人对质量保证金预留、返还以及工程维修质量、费用有争议</w:t>
      </w:r>
      <w:r>
        <w:rPr>
          <w:rFonts w:hint="eastAsia" w:ascii="仿宋" w:hAnsi="仿宋" w:eastAsia="仿宋" w:cs="仿宋"/>
          <w:color w:val="auto"/>
          <w:spacing w:val="7"/>
          <w:sz w:val="24"/>
          <w:szCs w:val="24"/>
          <w:highlight w:val="none"/>
        </w:rPr>
        <w:t>的，按本合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条[争议解决]约定的争议和纠纷</w:t>
      </w:r>
      <w:r>
        <w:rPr>
          <w:rFonts w:hint="eastAsia" w:ascii="仿宋" w:hAnsi="仿宋" w:eastAsia="仿宋" w:cs="仿宋"/>
          <w:color w:val="auto"/>
          <w:spacing w:val="6"/>
          <w:sz w:val="24"/>
          <w:szCs w:val="24"/>
          <w:highlight w:val="none"/>
        </w:rPr>
        <w:t>解决程序处理。</w:t>
      </w:r>
    </w:p>
    <w:p w14:paraId="1CA03BF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0930074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7E326605">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6"/>
          <w:sz w:val="24"/>
          <w:szCs w:val="24"/>
          <w:highlight w:val="none"/>
        </w:rPr>
        <w:t>除专用合同条件另有约定外，承包人应在缺陷责任期终止证书颁发后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按专用合同条件约定的份数向发包人提交最终结清申请单，并提供相关证明材料。</w:t>
      </w:r>
    </w:p>
    <w:p w14:paraId="6FC0D5BD">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除专用合同条件另有约定外，最终结清申请单应列明</w:t>
      </w:r>
      <w:r>
        <w:rPr>
          <w:rFonts w:hint="eastAsia" w:ascii="仿宋" w:hAnsi="仿宋" w:eastAsia="仿宋" w:cs="仿宋"/>
          <w:color w:val="auto"/>
          <w:spacing w:val="7"/>
          <w:sz w:val="24"/>
          <w:szCs w:val="24"/>
          <w:highlight w:val="none"/>
        </w:rPr>
        <w:t>质量保证金、应扣除的质量保证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金、缺陷责任期内发生的增减费用。</w:t>
      </w:r>
    </w:p>
    <w:p w14:paraId="63B212FE">
      <w:pPr>
        <w:pStyle w:val="2"/>
        <w:keepNext w:val="0"/>
        <w:keepLines w:val="0"/>
        <w:pageBreakBefore w:val="0"/>
        <w:widowControl/>
        <w:kinsoku w:val="0"/>
        <w:wordWrap/>
        <w:overflowPunct/>
        <w:topLinePunct w:val="0"/>
        <w:autoSpaceDE w:val="0"/>
        <w:autoSpaceDN w:val="0"/>
        <w:bidi w:val="0"/>
        <w:adjustRightInd w:val="0"/>
        <w:snapToGrid w:val="0"/>
        <w:spacing w:before="25"/>
        <w:ind w:left="3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发包人对最终结清申请单内容有异议的，有权要求承包人进行修正和提供补充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资料，承包人应向发包人提交修正后的最终</w:t>
      </w:r>
      <w:r>
        <w:rPr>
          <w:rFonts w:hint="eastAsia" w:ascii="仿宋" w:hAnsi="仿宋" w:eastAsia="仿宋" w:cs="仿宋"/>
          <w:color w:val="auto"/>
          <w:spacing w:val="8"/>
          <w:sz w:val="24"/>
          <w:szCs w:val="24"/>
          <w:highlight w:val="none"/>
        </w:rPr>
        <w:t>结清申请单。</w:t>
      </w:r>
    </w:p>
    <w:p w14:paraId="3317D1AE">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8A7A447">
      <w:pPr>
        <w:pStyle w:val="2"/>
        <w:keepNext w:val="0"/>
        <w:keepLines w:val="0"/>
        <w:pageBreakBefore w:val="0"/>
        <w:widowControl/>
        <w:kinsoku w:val="0"/>
        <w:wordWrap/>
        <w:overflowPunct/>
        <w:topLinePunct w:val="0"/>
        <w:autoSpaceDE w:val="0"/>
        <w:autoSpaceDN w:val="0"/>
        <w:bidi w:val="0"/>
        <w:adjustRightInd w:val="0"/>
        <w:snapToGrid w:val="0"/>
        <w:spacing w:before="143" w:line="246" w:lineRule="auto"/>
        <w:ind w:left="22" w:right="70"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除专用合同条件另有约定外，发包人应在收到承包人提交的最终结清申请单后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天内完成审批并向承包人颁发最终结清证书。发包人逾期未</w:t>
      </w:r>
      <w:r>
        <w:rPr>
          <w:rFonts w:hint="eastAsia" w:ascii="仿宋" w:hAnsi="仿宋" w:eastAsia="仿宋" w:cs="仿宋"/>
          <w:color w:val="auto"/>
          <w:spacing w:val="10"/>
          <w:sz w:val="24"/>
          <w:szCs w:val="24"/>
          <w:highlight w:val="none"/>
        </w:rPr>
        <w:t>完成审批，又未提出修改意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见的，视为发包人同意承包人提交的最终结清申请单，且自发包人收到承包人提交的最终结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清申请单后</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天起视为已颁发最终结清证书。</w:t>
      </w:r>
    </w:p>
    <w:p w14:paraId="749384BF">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19"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5"/>
          <w:sz w:val="24"/>
          <w:szCs w:val="24"/>
          <w:highlight w:val="none"/>
        </w:rPr>
        <w:t>除专用合同条件另有约定外，发包人</w:t>
      </w:r>
      <w:r>
        <w:rPr>
          <w:rFonts w:hint="eastAsia" w:ascii="仿宋" w:hAnsi="仿宋" w:eastAsia="仿宋" w:cs="仿宋"/>
          <w:color w:val="auto"/>
          <w:spacing w:val="4"/>
          <w:sz w:val="24"/>
          <w:szCs w:val="24"/>
          <w:highlight w:val="none"/>
        </w:rPr>
        <w:t>应在颁发最终结清证书后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天内完成支付。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6"/>
          <w:sz w:val="24"/>
          <w:szCs w:val="24"/>
          <w:highlight w:val="none"/>
        </w:rPr>
        <w:t>）支付利息；逾期支付超过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 xml:space="preserve">天的，按照 </w:t>
      </w:r>
      <w:r>
        <w:rPr>
          <w:rFonts w:hint="eastAsia" w:ascii="仿宋" w:hAnsi="仿宋" w:eastAsia="仿宋" w:cs="仿宋"/>
          <w:color w:val="auto"/>
          <w:spacing w:val="9"/>
          <w:sz w:val="24"/>
          <w:szCs w:val="24"/>
          <w:highlight w:val="none"/>
        </w:rPr>
        <w:t>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22523E99">
      <w:pPr>
        <w:pStyle w:val="2"/>
        <w:keepNext w:val="0"/>
        <w:keepLines w:val="0"/>
        <w:pageBreakBefore w:val="0"/>
        <w:widowControl/>
        <w:kinsoku w:val="0"/>
        <w:wordWrap/>
        <w:overflowPunct/>
        <w:topLinePunct w:val="0"/>
        <w:autoSpaceDE w:val="0"/>
        <w:autoSpaceDN w:val="0"/>
        <w:bidi w:val="0"/>
        <w:adjustRightInd w:val="0"/>
        <w:snapToGrid w:val="0"/>
        <w:spacing w:before="26"/>
        <w:ind w:left="26" w:right="70"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承包人对发包人颁发的最终结清证书有异议的，按第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条[争议解决]的约定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办理。</w:t>
      </w:r>
    </w:p>
    <w:p w14:paraId="469C4BC2">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第15条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违约</w:t>
      </w:r>
    </w:p>
    <w:p w14:paraId="2F97864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14D070CC">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483B88E4">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63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除专用合同条件另有约定外，在合同履行过程中发生的下列情形，属于发包人违</w:t>
      </w:r>
      <w:r>
        <w:rPr>
          <w:rFonts w:hint="eastAsia" w:ascii="仿宋" w:hAnsi="仿宋" w:eastAsia="仿宋" w:cs="仿宋"/>
          <w:color w:val="auto"/>
          <w:spacing w:val="7"/>
          <w:sz w:val="24"/>
          <w:szCs w:val="24"/>
          <w:highlight w:val="none"/>
        </w:rPr>
        <w:t>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6"/>
          <w:sz w:val="24"/>
          <w:szCs w:val="24"/>
          <w:highlight w:val="none"/>
        </w:rPr>
        <w:t>因发包人原因导致开始工作日期延误的；</w:t>
      </w:r>
    </w:p>
    <w:p w14:paraId="23069228">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因发包人原因未能按合同约定支付合同价款的；</w:t>
      </w:r>
    </w:p>
    <w:p w14:paraId="1789D3AB">
      <w:pPr>
        <w:pStyle w:val="2"/>
        <w:keepNext w:val="0"/>
        <w:keepLines w:val="0"/>
        <w:pageBreakBefore w:val="0"/>
        <w:widowControl/>
        <w:kinsoku w:val="0"/>
        <w:wordWrap/>
        <w:overflowPunct/>
        <w:topLinePunct w:val="0"/>
        <w:autoSpaceDE w:val="0"/>
        <w:autoSpaceDN w:val="0"/>
        <w:bidi w:val="0"/>
        <w:adjustRightInd w:val="0"/>
        <w:snapToGrid w:val="0"/>
        <w:spacing w:before="27"/>
        <w:ind w:left="632" w:righ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 发包人违反第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13.1.1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项约定，</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自行实施被取消的工作</w:t>
      </w:r>
      <w:r>
        <w:rPr>
          <w:rFonts w:hint="eastAsia" w:ascii="仿宋" w:hAnsi="仿宋" w:eastAsia="仿宋" w:cs="仿宋"/>
          <w:color w:val="auto"/>
          <w:spacing w:val="4"/>
          <w:sz w:val="24"/>
          <w:szCs w:val="24"/>
          <w:highlight w:val="none"/>
        </w:rPr>
        <w:t>或转由他人实施的；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因发包人违反合同约定造成工程暂停施</w:t>
      </w:r>
      <w:r>
        <w:rPr>
          <w:rFonts w:hint="eastAsia" w:ascii="仿宋" w:hAnsi="仿宋" w:eastAsia="仿宋" w:cs="仿宋"/>
          <w:color w:val="auto"/>
          <w:spacing w:val="6"/>
          <w:sz w:val="24"/>
          <w:szCs w:val="24"/>
          <w:highlight w:val="none"/>
        </w:rPr>
        <w:t>工的；</w:t>
      </w:r>
    </w:p>
    <w:p w14:paraId="27E16D5F">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工程师无正当理由没有在约定期限内发出复工指示，导致承</w:t>
      </w:r>
      <w:r>
        <w:rPr>
          <w:rFonts w:hint="eastAsia" w:ascii="仿宋" w:hAnsi="仿宋" w:eastAsia="仿宋" w:cs="仿宋"/>
          <w:color w:val="auto"/>
          <w:spacing w:val="7"/>
          <w:sz w:val="24"/>
          <w:szCs w:val="24"/>
          <w:highlight w:val="none"/>
        </w:rPr>
        <w:t>包人无法复工的；</w:t>
      </w:r>
      <w:r>
        <w:rPr>
          <w:rFonts w:hint="eastAsia" w:ascii="仿宋" w:hAnsi="仿宋" w:eastAsia="仿宋" w:cs="仿宋"/>
          <w:color w:val="auto"/>
          <w:sz w:val="24"/>
          <w:szCs w:val="24"/>
          <w:highlight w:val="none"/>
        </w:rPr>
        <w:t xml:space="preserve"> </w:t>
      </w:r>
    </w:p>
    <w:p w14:paraId="542A3CC2">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（6）发包人明确表示或者以其行为表明不履行合同主要义务的；</w:t>
      </w:r>
    </w:p>
    <w:p w14:paraId="105546E2">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发包人未能按照合同约定履行其他义务的。</w:t>
      </w:r>
    </w:p>
    <w:p w14:paraId="455BB37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15.1.2 通知改正</w:t>
      </w:r>
    </w:p>
    <w:p w14:paraId="62710123">
      <w:pPr>
        <w:pStyle w:val="2"/>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发包人发生除第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15.1.1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项第(6)目以外的违约情况时，承包人可向发包人发出通知，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要求发包人采取有效措施纠正违约行为。发包人收到承包人通知后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天内仍不纠正违约行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为的，承包人有权暂停相应部位工程实施，并通知工程师。</w:t>
      </w:r>
    </w:p>
    <w:p w14:paraId="068C09A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139C0E71">
      <w:pPr>
        <w:pStyle w:val="2"/>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发包人应承担因其违约给承包人增加的费用和（或）延误的工期，并支付</w:t>
      </w:r>
      <w:r>
        <w:rPr>
          <w:rFonts w:hint="eastAsia" w:ascii="仿宋" w:hAnsi="仿宋" w:eastAsia="仿宋" w:cs="仿宋"/>
          <w:color w:val="auto"/>
          <w:spacing w:val="7"/>
          <w:sz w:val="24"/>
          <w:szCs w:val="24"/>
          <w:highlight w:val="none"/>
        </w:rPr>
        <w:t>承包人合理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的利润。此外，合同当事人可在专用合同条件中另行约定发包人违约责任的承担方式和计算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方法。</w:t>
      </w:r>
    </w:p>
    <w:p w14:paraId="1E080B3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1A80783E">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68702046">
      <w:pPr>
        <w:pStyle w:val="2"/>
        <w:keepNext w:val="0"/>
        <w:keepLines w:val="0"/>
        <w:pageBreakBefore w:val="0"/>
        <w:widowControl/>
        <w:kinsoku w:val="0"/>
        <w:wordWrap/>
        <w:overflowPunct/>
        <w:topLinePunct w:val="0"/>
        <w:autoSpaceDE w:val="0"/>
        <w:autoSpaceDN w:val="0"/>
        <w:bidi w:val="0"/>
        <w:adjustRightInd w:val="0"/>
        <w:snapToGrid w:val="0"/>
        <w:spacing w:before="144" w:line="243" w:lineRule="auto"/>
        <w:ind w:left="22" w:right="1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除专用合同条件另有约定外，在履行合同过程中发生</w:t>
      </w:r>
      <w:r>
        <w:rPr>
          <w:rFonts w:hint="eastAsia" w:ascii="仿宋" w:hAnsi="仿宋" w:eastAsia="仿宋" w:cs="仿宋"/>
          <w:color w:val="auto"/>
          <w:spacing w:val="7"/>
          <w:sz w:val="24"/>
          <w:szCs w:val="24"/>
          <w:highlight w:val="none"/>
        </w:rPr>
        <w:t>的下列情况之一的，属于承包人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违约：</w:t>
      </w:r>
    </w:p>
    <w:p w14:paraId="02771FB2">
      <w:pPr>
        <w:pStyle w:val="2"/>
        <w:keepNext w:val="0"/>
        <w:keepLines w:val="0"/>
        <w:pageBreakBefore w:val="0"/>
        <w:widowControl/>
        <w:kinsoku w:val="0"/>
        <w:wordWrap/>
        <w:overflowPunct/>
        <w:topLinePunct w:val="0"/>
        <w:autoSpaceDE w:val="0"/>
        <w:autoSpaceDN w:val="0"/>
        <w:bidi w:val="0"/>
        <w:adjustRightInd w:val="0"/>
        <w:snapToGrid w:val="0"/>
        <w:spacing w:before="19"/>
        <w:ind w:left="22"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承包人的原因导致的承包人文件、实施和竣工的工程不符合法律法规、工程质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量验收标准以及合同约定；</w:t>
      </w:r>
    </w:p>
    <w:p w14:paraId="20043F1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承包人违反合同约定进行转包或违法分包的；</w:t>
      </w:r>
    </w:p>
    <w:p w14:paraId="4E2D4B3A">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承包人违反约定采购和使用不合格材料或工程设备；</w:t>
      </w:r>
    </w:p>
    <w:p w14:paraId="0F84047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因承包人原因导致工程质量不符合合同要求的；</w:t>
      </w:r>
    </w:p>
    <w:p w14:paraId="2D3DC233">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5" w:right="1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承包人未经工程师批准，擅自将已按合同约定进入施工现场的施工设备、临时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设施或材料撤离施工现场；</w:t>
      </w:r>
    </w:p>
    <w:p w14:paraId="09FB3DFE">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632" w:righ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承包人未能按项目进度计划及时完</w:t>
      </w:r>
      <w:r>
        <w:rPr>
          <w:rFonts w:hint="eastAsia" w:ascii="仿宋" w:hAnsi="仿宋" w:eastAsia="仿宋" w:cs="仿宋"/>
          <w:color w:val="auto"/>
          <w:spacing w:val="7"/>
          <w:sz w:val="24"/>
          <w:szCs w:val="24"/>
          <w:highlight w:val="none"/>
        </w:rPr>
        <w:t>成合同约定的工作，造成工期延误；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7"/>
          <w:sz w:val="24"/>
          <w:szCs w:val="24"/>
          <w:highlight w:val="none"/>
        </w:rPr>
        <w:t>由于承包人原因未能通过竣工试验或竣工后</w:t>
      </w:r>
      <w:r>
        <w:rPr>
          <w:rFonts w:hint="eastAsia" w:ascii="仿宋" w:hAnsi="仿宋" w:eastAsia="仿宋" w:cs="仿宋"/>
          <w:color w:val="auto"/>
          <w:spacing w:val="6"/>
          <w:sz w:val="24"/>
          <w:szCs w:val="24"/>
          <w:highlight w:val="none"/>
        </w:rPr>
        <w:t>试验的；</w:t>
      </w:r>
    </w:p>
    <w:p w14:paraId="5EEE525C">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承包人在缺陷责任期及保修期内，未能在合理期限对工程缺陷进行修复，或拒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绝按发包人指示进行修复的；</w:t>
      </w:r>
    </w:p>
    <w:p w14:paraId="16C85291">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（9） 承包人明确表示或者以其行为表明不履行合同主要义务的；</w:t>
      </w:r>
    </w:p>
    <w:p w14:paraId="636EA79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 承包人未能按照合同约定履行其他义务的。</w:t>
      </w:r>
    </w:p>
    <w:p w14:paraId="5EB0FCF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76DA78E">
      <w:pPr>
        <w:pStyle w:val="2"/>
        <w:keepNext w:val="0"/>
        <w:keepLines w:val="0"/>
        <w:pageBreakBefore w:val="0"/>
        <w:widowControl/>
        <w:kinsoku w:val="0"/>
        <w:wordWrap/>
        <w:overflowPunct/>
        <w:topLinePunct w:val="0"/>
        <w:autoSpaceDE w:val="0"/>
        <w:autoSpaceDN w:val="0"/>
        <w:bidi w:val="0"/>
        <w:adjustRightInd w:val="0"/>
        <w:snapToGrid w:val="0"/>
        <w:spacing w:before="147"/>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承包人发生除第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8"/>
          <w:sz w:val="24"/>
          <w:szCs w:val="24"/>
          <w:highlight w:val="none"/>
        </w:rPr>
        <w:t>15.2.1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项第(7)目、第(9)目约定以外的其他违约情况时，工程师可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在专用合同条件约定的合理期限内向承包人发出整改通知，要求其在指定的期限内改正。</w:t>
      </w:r>
    </w:p>
    <w:p w14:paraId="54CDF63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7395E59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承包人应承担因其违约行为而增加的费用和（或）延误的工期。此外，合同当事人可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在专用合同条件中另行约定承包人违约责任的承担方式和计算方法。</w:t>
      </w:r>
    </w:p>
    <w:p w14:paraId="7214DF5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15.3 第三人造成的违约</w:t>
      </w:r>
    </w:p>
    <w:p w14:paraId="7057779B">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2" w:right="15"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在履行合同过程中，一方当事人因第三人的原因造成违约的，应当向对方当事人承担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违约责任。一方当事人和第三人之间的纠纷，依照法律规定或者按照约定解决。</w:t>
      </w:r>
    </w:p>
    <w:p w14:paraId="4DC07EB8">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第16条 合同解除</w:t>
      </w:r>
    </w:p>
    <w:p w14:paraId="0038B01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30BBE0D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5CF54B7A">
      <w:pPr>
        <w:pStyle w:val="2"/>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14"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除专用合同条件另有约定外，发包人有权基于下列原</w:t>
      </w:r>
      <w:r>
        <w:rPr>
          <w:rFonts w:hint="eastAsia" w:ascii="仿宋" w:hAnsi="仿宋" w:eastAsia="仿宋" w:cs="仿宋"/>
          <w:color w:val="auto"/>
          <w:spacing w:val="7"/>
          <w:sz w:val="24"/>
          <w:szCs w:val="24"/>
          <w:highlight w:val="none"/>
        </w:rPr>
        <w:t>因，以书面形式通知承包人解除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项发出的，发包人应在发出正式解除合同通知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天前告知承包人其解除合同意向，除非承包人在收到该解除合同意向通知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补救措施，否则发包人可向承包人发出正式解除合同通知立即解除合同。解除日期应为承包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下，发包人无须提前告知承包人其解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6F7CC47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承包人未能遵守第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款[履约</w:t>
      </w:r>
      <w:r>
        <w:rPr>
          <w:rFonts w:hint="eastAsia" w:ascii="仿宋" w:hAnsi="仿宋" w:eastAsia="仿宋" w:cs="仿宋"/>
          <w:color w:val="auto"/>
          <w:spacing w:val="6"/>
          <w:sz w:val="24"/>
          <w:szCs w:val="24"/>
          <w:highlight w:val="none"/>
        </w:rPr>
        <w:t>担保]的约定；</w:t>
      </w:r>
    </w:p>
    <w:p w14:paraId="49C8275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承包人未能遵守第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款[分包]有关分包和转包的约定；</w:t>
      </w:r>
    </w:p>
    <w:p w14:paraId="4C1483A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0" w:type="default"/>
          <w:pgSz w:w="11906" w:h="16839"/>
          <w:pgMar w:top="1428" w:right="1785" w:bottom="1171" w:left="1785" w:header="0" w:footer="992" w:gutter="0"/>
          <w:pgNumType w:fmt="decimal"/>
          <w:cols w:space="720" w:num="1"/>
        </w:sectPr>
      </w:pPr>
    </w:p>
    <w:p w14:paraId="1F331037">
      <w:pPr>
        <w:pStyle w:val="2"/>
        <w:keepNext w:val="0"/>
        <w:keepLines w:val="0"/>
        <w:pageBreakBefore w:val="0"/>
        <w:widowControl/>
        <w:kinsoku w:val="0"/>
        <w:wordWrap/>
        <w:overflowPunct/>
        <w:topLinePunct w:val="0"/>
        <w:autoSpaceDE w:val="0"/>
        <w:autoSpaceDN w:val="0"/>
        <w:bidi w:val="0"/>
        <w:adjustRightInd w:val="0"/>
        <w:snapToGrid w:val="0"/>
        <w:spacing w:before="42"/>
        <w:ind w:left="20" w:right="87"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承包人实际进度明显落后于进度计划，并且未按发包人的指令采取措施并修正</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进度计划；</w:t>
      </w:r>
    </w:p>
    <w:p w14:paraId="13342DD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工程质量有严重缺陷，承包人无正当理由使修复开始日期拖延达</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天以上；</w:t>
      </w:r>
    </w:p>
    <w:p w14:paraId="286765A3">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承包人破产、停业清理或进入清算程序，或情况表明承包人将进入破产和（或）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仿宋" w:hAnsi="仿宋" w:eastAsia="仿宋" w:cs="仿宋"/>
          <w:color w:val="auto"/>
          <w:spacing w:val="9"/>
          <w:sz w:val="24"/>
          <w:szCs w:val="24"/>
          <w:highlight w:val="none"/>
        </w:rPr>
        <w:t>用法律）具有与前述行动或事件相似的效果；</w:t>
      </w:r>
    </w:p>
    <w:p w14:paraId="457175B5">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承包人明确表示或以自己的行为表明不履行合同、或经发包人以书面形式通知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其履约后仍未能依约履行合同、或以不适当的方式履行合同；</w:t>
      </w:r>
    </w:p>
    <w:p w14:paraId="0506EF89">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未能通过的竣工试验、未能通过的竣工后试验，使工程的任何部分和（或）整</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个工程丧失了主要使用功能、生产功能；</w:t>
      </w:r>
    </w:p>
    <w:p w14:paraId="5518F165">
      <w:pPr>
        <w:pStyle w:val="2"/>
        <w:keepNext w:val="0"/>
        <w:keepLines w:val="0"/>
        <w:pageBreakBefore w:val="0"/>
        <w:widowControl/>
        <w:kinsoku w:val="0"/>
        <w:wordWrap/>
        <w:overflowPunct/>
        <w:topLinePunct w:val="0"/>
        <w:autoSpaceDE w:val="0"/>
        <w:autoSpaceDN w:val="0"/>
        <w:bidi w:val="0"/>
        <w:adjustRightInd w:val="0"/>
        <w:snapToGrid w:val="0"/>
        <w:spacing w:before="25"/>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因承包人的原因暂停工作超过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天且暂停影响到整个工程，或因承包人的原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因暂停工作超过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2"/>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天；</w:t>
      </w:r>
    </w:p>
    <w:p w14:paraId="4721E59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 承包人未能遵守第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款[竣工日期]规定，延误超过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w:t>
      </w:r>
    </w:p>
    <w:p w14:paraId="26CBD8AC">
      <w:pPr>
        <w:pStyle w:val="2"/>
        <w:keepNext w:val="0"/>
        <w:keepLines w:val="0"/>
        <w:pageBreakBefore w:val="0"/>
        <w:widowControl/>
        <w:kinsoku w:val="0"/>
        <w:wordWrap/>
        <w:overflowPunct/>
        <w:topLinePunct w:val="0"/>
        <w:autoSpaceDE w:val="0"/>
        <w:autoSpaceDN w:val="0"/>
        <w:bidi w:val="0"/>
        <w:adjustRightInd w:val="0"/>
        <w:snapToGrid w:val="0"/>
        <w:spacing w:before="27"/>
        <w:ind w:left="36" w:right="8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 工程师根据第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15.2.2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项[通知改正]发出整改通知后，承</w:t>
      </w:r>
      <w:r>
        <w:rPr>
          <w:rFonts w:hint="eastAsia" w:ascii="仿宋" w:hAnsi="仿宋" w:eastAsia="仿宋" w:cs="仿宋"/>
          <w:color w:val="auto"/>
          <w:spacing w:val="5"/>
          <w:sz w:val="24"/>
          <w:szCs w:val="24"/>
          <w:highlight w:val="none"/>
        </w:rPr>
        <w:t>包人在指定的合理期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限内仍不纠正违约行为并致使合同目的不能实现的。</w:t>
      </w:r>
    </w:p>
    <w:p w14:paraId="1D68BE6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16.1.2 因承包人违约解除合同后承包人的义务</w:t>
      </w:r>
    </w:p>
    <w:p w14:paraId="2E3CE49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649CF50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除了为保护生命、财产或工程安全、清理和必须执行的工作外，停止执行所有</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被通知解除的工作，并将相关人员撤离现场；</w:t>
      </w:r>
    </w:p>
    <w:p w14:paraId="3CEDFB3E">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经发包人批准，承包人应将与被解除合同相关的和正在执行的分包合同及相关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的责任和义务转让至发包人和（或）发包人指定方的名下，包括永久性工程及工程物资，以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及相关工作；</w:t>
      </w:r>
    </w:p>
    <w:p w14:paraId="4D2F5E6E">
      <w:pPr>
        <w:pStyle w:val="2"/>
        <w:keepNext w:val="0"/>
        <w:keepLines w:val="0"/>
        <w:pageBreakBefore w:val="0"/>
        <w:widowControl/>
        <w:kinsoku w:val="0"/>
        <w:wordWrap/>
        <w:overflowPunct/>
        <w:topLinePunct w:val="0"/>
        <w:autoSpaceDE w:val="0"/>
        <w:autoSpaceDN w:val="0"/>
        <w:bidi w:val="0"/>
        <w:adjustRightInd w:val="0"/>
        <w:snapToGrid w:val="0"/>
        <w:spacing w:before="24"/>
        <w:ind w:left="43" w:right="8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移交已完成的永久性工程及负责已运抵现场的工程物资。在移交前，妥善做好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己完工程和已运抵现场的工程物资的保管、维护和保养；</w:t>
      </w:r>
    </w:p>
    <w:p w14:paraId="7F1C50E9">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将发包人提供的所有信息及承包人为本工程编制的设计文件、技术资料及其它</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文件移交给发包人。在承包人留有的资料文件中，销毁与发包人提供的所有信息相关的数据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及资料的备份；</w:t>
      </w:r>
    </w:p>
    <w:p w14:paraId="29133B80">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移交相应实施阶段已经付款的并已完成的和尚待完成的设计文件、图纸</w:t>
      </w:r>
      <w:r>
        <w:rPr>
          <w:rFonts w:hint="eastAsia" w:ascii="仿宋" w:hAnsi="仿宋" w:eastAsia="仿宋" w:cs="仿宋"/>
          <w:color w:val="auto"/>
          <w:spacing w:val="4"/>
          <w:sz w:val="24"/>
          <w:szCs w:val="24"/>
          <w:highlight w:val="none"/>
        </w:rPr>
        <w:t>、资料、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操作维修手册、施工组织设计、质检资料、竣工资料等；</w:t>
      </w:r>
    </w:p>
    <w:p w14:paraId="4D7F832A">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16.1.3 因承包人违约解除合同后的估价、付款和结算</w:t>
      </w:r>
    </w:p>
    <w:p w14:paraId="550C4ECC">
      <w:pPr>
        <w:pStyle w:val="2"/>
        <w:keepNext w:val="0"/>
        <w:keepLines w:val="0"/>
        <w:pageBreakBefore w:val="0"/>
        <w:widowControl/>
        <w:kinsoku w:val="0"/>
        <w:wordWrap/>
        <w:overflowPunct/>
        <w:topLinePunct w:val="0"/>
        <w:autoSpaceDE w:val="0"/>
        <w:autoSpaceDN w:val="0"/>
        <w:bidi w:val="0"/>
        <w:adjustRightInd w:val="0"/>
        <w:snapToGrid w:val="0"/>
        <w:spacing w:before="147"/>
        <w:ind w:left="23" w:right="8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因承包人原因导致合同解除的，则合同当事人应在合同解除后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天内完成估价、付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款和清算，并按以下约定执行：</w:t>
      </w:r>
    </w:p>
    <w:p w14:paraId="2C4CA4B1">
      <w:pPr>
        <w:pStyle w:val="2"/>
        <w:keepNext w:val="0"/>
        <w:keepLines w:val="0"/>
        <w:pageBreakBefore w:val="0"/>
        <w:widowControl/>
        <w:kinsoku w:val="0"/>
        <w:wordWrap/>
        <w:overflowPunct/>
        <w:topLinePunct w:val="0"/>
        <w:autoSpaceDE w:val="0"/>
        <w:autoSpaceDN w:val="0"/>
        <w:bidi w:val="0"/>
        <w:adjustRightInd w:val="0"/>
        <w:snapToGrid w:val="0"/>
        <w:spacing w:before="25" w:line="238"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合同解除后，按第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款[商定或确定]商定或确定承包人实际完成工作对应的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合同价款，以及承包人已提供的材料、工程设备、施工设备和临时工程等的价值；</w:t>
      </w:r>
    </w:p>
    <w:p w14:paraId="2FE1E6A6">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合同解除后，承包人应支付的违约金；</w:t>
      </w:r>
    </w:p>
    <w:p w14:paraId="5888620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合同解除后，因解除合同给发包人造成的损失；</w:t>
      </w:r>
    </w:p>
    <w:p w14:paraId="59C8181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合同解除后，承包人应按照发包人的指示完</w:t>
      </w:r>
      <w:r>
        <w:rPr>
          <w:rFonts w:hint="eastAsia" w:ascii="仿宋" w:hAnsi="仿宋" w:eastAsia="仿宋" w:cs="仿宋"/>
          <w:color w:val="auto"/>
          <w:spacing w:val="8"/>
          <w:sz w:val="24"/>
          <w:szCs w:val="24"/>
          <w:highlight w:val="none"/>
        </w:rPr>
        <w:t>成现场的清理和撤离；</w:t>
      </w:r>
    </w:p>
    <w:p w14:paraId="6987953E">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发包人和承包人应在合同解除后进行清算，出具最终结清付款证书，结清全部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款项。</w:t>
      </w:r>
    </w:p>
    <w:p w14:paraId="76C794E2">
      <w:pPr>
        <w:pStyle w:val="2"/>
        <w:keepNext w:val="0"/>
        <w:keepLines w:val="0"/>
        <w:pageBreakBefore w:val="0"/>
        <w:widowControl/>
        <w:kinsoku w:val="0"/>
        <w:wordWrap/>
        <w:overflowPunct/>
        <w:topLinePunct w:val="0"/>
        <w:autoSpaceDE w:val="0"/>
        <w:autoSpaceDN w:val="0"/>
        <w:bidi w:val="0"/>
        <w:adjustRightInd w:val="0"/>
        <w:snapToGrid w:val="0"/>
        <w:spacing w:before="22" w:line="244" w:lineRule="auto"/>
        <w:ind w:left="25" w:right="8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因承包人违约解除合同的，发包人有权暂停</w:t>
      </w:r>
      <w:r>
        <w:rPr>
          <w:rFonts w:hint="eastAsia" w:ascii="仿宋" w:hAnsi="仿宋" w:eastAsia="仿宋" w:cs="仿宋"/>
          <w:color w:val="auto"/>
          <w:spacing w:val="7"/>
          <w:sz w:val="24"/>
          <w:szCs w:val="24"/>
          <w:highlight w:val="none"/>
        </w:rPr>
        <w:t>对承包人的付款，查清各项付款和已扣款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项，发包人和承包人未能就合同解除后的清算和款项支付达成一致的，按照第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条[争议解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决]的约定处理。</w:t>
      </w:r>
    </w:p>
    <w:p w14:paraId="2E12B51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16.1.4 因承包人违约解除合同的合同权益转让</w:t>
      </w:r>
    </w:p>
    <w:p w14:paraId="15BDA198">
      <w:pPr>
        <w:pStyle w:val="2"/>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44"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合同解除后，发包人可以继续完成工程，和（或）安排第三人完成。发包人有权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承包人将其为实施合同而订立的材料和设备的订货合同或任何服务合同利益转让给发包人，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并在承包人收到解除合同通知后的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天内，依法办理转让手续。发包人和（或</w:t>
      </w:r>
      <w:r>
        <w:rPr>
          <w:rFonts w:hint="eastAsia" w:ascii="仿宋" w:hAnsi="仿宋" w:eastAsia="仿宋" w:cs="仿宋"/>
          <w:color w:val="auto"/>
          <w:spacing w:val="8"/>
          <w:sz w:val="24"/>
          <w:szCs w:val="24"/>
          <w:highlight w:val="none"/>
        </w:rPr>
        <w:t>）第三人有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权使用承包人在施工现场的材料、设备、临时工程、承包人文件和由承包人或以其名义编制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的其他文件。</w:t>
      </w:r>
    </w:p>
    <w:p w14:paraId="13FBA3BD">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仿宋" w:hAnsi="仿宋" w:eastAsia="仿宋" w:cs="仿宋"/>
          <w:color w:val="auto"/>
          <w:sz w:val="24"/>
          <w:szCs w:val="24"/>
          <w:highlight w:val="none"/>
        </w:rPr>
        <w:sectPr>
          <w:footerReference r:id="rId41" w:type="default"/>
          <w:pgSz w:w="11906" w:h="16839"/>
          <w:pgMar w:top="1428" w:right="1714" w:bottom="1171" w:left="1785" w:header="0" w:footer="992" w:gutter="0"/>
          <w:pgNumType w:fmt="decimal"/>
          <w:cols w:space="720" w:num="1"/>
        </w:sectPr>
      </w:pPr>
    </w:p>
    <w:p w14:paraId="0096C09B">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609F314E">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2A5F34E8">
      <w:pPr>
        <w:pStyle w:val="2"/>
        <w:keepNext w:val="0"/>
        <w:keepLines w:val="0"/>
        <w:pageBreakBefore w:val="0"/>
        <w:widowControl/>
        <w:kinsoku w:val="0"/>
        <w:wordWrap/>
        <w:overflowPunct/>
        <w:topLinePunct w:val="0"/>
        <w:autoSpaceDE w:val="0"/>
        <w:autoSpaceDN w:val="0"/>
        <w:bidi w:val="0"/>
        <w:adjustRightInd w:val="0"/>
        <w:snapToGrid w:val="0"/>
        <w:spacing w:before="142" w:line="248" w:lineRule="auto"/>
        <w:ind w:left="22" w:right="8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除专用合同条件另有约定外，承包人有权基于下列原</w:t>
      </w:r>
      <w:r>
        <w:rPr>
          <w:rFonts w:hint="eastAsia" w:ascii="仿宋" w:hAnsi="仿宋" w:eastAsia="仿宋" w:cs="仿宋"/>
          <w:color w:val="auto"/>
          <w:spacing w:val="7"/>
          <w:sz w:val="24"/>
          <w:szCs w:val="24"/>
          <w:highlight w:val="none"/>
        </w:rPr>
        <w:t>因，以书面形式通知发包人解除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16.2.</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项发出的，承包人应在发出正式解除合同通知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天前告知发包人其解除合同意向，除非发包人在收到该解除合同意向通知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补救措施，否则承包人可向发包人发出正式解除合同通知立即解除合同。解除日期应为发包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下，承包人无须提前告知发包人其解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136D2BFC">
      <w:pPr>
        <w:pStyle w:val="2"/>
        <w:keepNext w:val="0"/>
        <w:keepLines w:val="0"/>
        <w:pageBreakBefore w:val="0"/>
        <w:widowControl/>
        <w:kinsoku w:val="0"/>
        <w:wordWrap/>
        <w:overflowPunct/>
        <w:topLinePunct w:val="0"/>
        <w:autoSpaceDE w:val="0"/>
        <w:autoSpaceDN w:val="0"/>
        <w:bidi w:val="0"/>
        <w:adjustRightInd w:val="0"/>
        <w:snapToGrid w:val="0"/>
        <w:spacing w:before="24"/>
        <w:ind w:left="47" w:right="87"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承包人就发包人未能遵守第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2.5.2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项关于发包人的资金安排发出通知后</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内，仍未收到合理的证明；</w:t>
      </w:r>
    </w:p>
    <w:p w14:paraId="31D912ED">
      <w:pPr>
        <w:pStyle w:val="2"/>
        <w:keepNext w:val="0"/>
        <w:keepLines w:val="0"/>
        <w:pageBreakBefore w:val="0"/>
        <w:widowControl/>
        <w:kinsoku w:val="0"/>
        <w:wordWrap/>
        <w:overflowPunct/>
        <w:topLinePunct w:val="0"/>
        <w:autoSpaceDE w:val="0"/>
        <w:autoSpaceDN w:val="0"/>
        <w:bidi w:val="0"/>
        <w:adjustRightInd w:val="0"/>
        <w:snapToGrid w:val="0"/>
        <w:spacing w:before="23" w:line="239" w:lineRule="auto"/>
        <w:ind w:left="632" w:right="7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 在第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条规定的付款时间到期后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天内，承包人仍未收到应付款项；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（3） 发包人实质上未能根据合同约定履行其义</w:t>
      </w:r>
      <w:r>
        <w:rPr>
          <w:rFonts w:hint="eastAsia" w:ascii="仿宋" w:hAnsi="仿宋" w:eastAsia="仿宋" w:cs="仿宋"/>
          <w:color w:val="auto"/>
          <w:spacing w:val="8"/>
          <w:sz w:val="24"/>
          <w:szCs w:val="24"/>
          <w:highlight w:val="none"/>
        </w:rPr>
        <w:t>务，构成根本性违约；</w:t>
      </w:r>
    </w:p>
    <w:p w14:paraId="0529C81A">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24" w:right="87"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 发承包双方订立本合同协议书后的</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天内，承包人未收到根据</w:t>
      </w: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8.1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款[开始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工作]的开始工作通知；</w:t>
      </w:r>
    </w:p>
    <w:p w14:paraId="3AB51538">
      <w:pPr>
        <w:pStyle w:val="2"/>
        <w:keepNext w:val="0"/>
        <w:keepLines w:val="0"/>
        <w:pageBreakBefore w:val="0"/>
        <w:widowControl/>
        <w:kinsoku w:val="0"/>
        <w:wordWrap/>
        <w:overflowPunct/>
        <w:topLinePunct w:val="0"/>
        <w:autoSpaceDE w:val="0"/>
        <w:autoSpaceDN w:val="0"/>
        <w:bidi w:val="0"/>
        <w:adjustRightInd w:val="0"/>
        <w:snapToGrid w:val="0"/>
        <w:spacing w:before="27" w:line="245"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 发包人破产、停业清理或进入清算程序，或情况表明发包人将进入破产和（或）</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仿宋" w:hAnsi="仿宋" w:eastAsia="仿宋" w:cs="仿宋"/>
          <w:color w:val="auto"/>
          <w:spacing w:val="9"/>
          <w:sz w:val="24"/>
          <w:szCs w:val="24"/>
          <w:highlight w:val="none"/>
        </w:rPr>
        <w:t>任何事件（根据有关适用法律）具有与前述行动或事件相似的效果；</w:t>
      </w:r>
    </w:p>
    <w:p w14:paraId="7B423DF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发包人未能遵守第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项的</w:t>
      </w:r>
      <w:r>
        <w:rPr>
          <w:rFonts w:hint="eastAsia" w:ascii="仿宋" w:hAnsi="仿宋" w:eastAsia="仿宋" w:cs="仿宋"/>
          <w:color w:val="auto"/>
          <w:spacing w:val="6"/>
          <w:sz w:val="24"/>
          <w:szCs w:val="24"/>
          <w:highlight w:val="none"/>
        </w:rPr>
        <w:t>约定提交支付担保；</w:t>
      </w:r>
    </w:p>
    <w:p w14:paraId="185AA5A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发包人未能执行第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15.1.2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项[通知改正]的约定，致使合同目的不能实现的；</w:t>
      </w:r>
    </w:p>
    <w:p w14:paraId="2D63ECBC">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因发包人的原因暂停工作超过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天且暂停影响到整个工程，或因发包人的原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因暂停工作超过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天的；</w:t>
      </w:r>
    </w:p>
    <w:p w14:paraId="6DD67A73">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6" w:right="8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 因发包人原因造成开始工作日期迟于承包人收到中标通知书（或在无中标通知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书的情况下，订立本合同之日）后第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天的。</w:t>
      </w:r>
    </w:p>
    <w:p w14:paraId="1DEBDD5B">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8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发包人接到承包人解除合同意向通知后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天内，发包人随后给予了付款，或同意复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工、或继续履行其义务、或提供了支付担保等，承包人应尽快安排并恢复正常工作；因此造</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成工期延误的，竣工日期顺延；承包人因此增加的费用，由发包人承担。</w:t>
      </w:r>
    </w:p>
    <w:p w14:paraId="41D8F38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16.2.2 因发包人违约解除合同后承包人的义务</w:t>
      </w:r>
    </w:p>
    <w:p w14:paraId="1D5C6FA1">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8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730DC484">
      <w:pPr>
        <w:pStyle w:val="2"/>
        <w:keepNext w:val="0"/>
        <w:keepLines w:val="0"/>
        <w:pageBreakBefore w:val="0"/>
        <w:widowControl/>
        <w:kinsoku w:val="0"/>
        <w:wordWrap/>
        <w:overflowPunct/>
        <w:topLinePunct w:val="0"/>
        <w:autoSpaceDE w:val="0"/>
        <w:autoSpaceDN w:val="0"/>
        <w:bidi w:val="0"/>
        <w:adjustRightInd w:val="0"/>
        <w:snapToGrid w:val="0"/>
        <w:spacing w:before="25"/>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除为保护生命、财产、工程安全的工作外，停止所有进一步的工作；承包人因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执行该保护工作而产生费用的，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由发包人承担；</w:t>
      </w:r>
    </w:p>
    <w:p w14:paraId="3AF18724">
      <w:pPr>
        <w:pStyle w:val="2"/>
        <w:keepNext w:val="0"/>
        <w:keepLines w:val="0"/>
        <w:pageBreakBefore w:val="0"/>
        <w:widowControl/>
        <w:kinsoku w:val="0"/>
        <w:wordWrap/>
        <w:overflowPunct/>
        <w:topLinePunct w:val="0"/>
        <w:autoSpaceDE w:val="0"/>
        <w:autoSpaceDN w:val="0"/>
        <w:bidi w:val="0"/>
        <w:adjustRightInd w:val="0"/>
        <w:snapToGrid w:val="0"/>
        <w:spacing w:before="24"/>
        <w:ind w:left="632" w:right="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7"/>
          <w:sz w:val="24"/>
          <w:szCs w:val="24"/>
          <w:highlight w:val="none"/>
        </w:rPr>
        <w:t>向发包人移交承包人已获得支付的承包人文件、生产设备、材料和其他工作；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 从现场运走除为了安全需要以外的所有属于承包人的其他货物，并撤离现场。</w:t>
      </w:r>
    </w:p>
    <w:p w14:paraId="508A89B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16.2.3 因发包人违约解除合同后的付款</w:t>
      </w:r>
    </w:p>
    <w:p w14:paraId="0B21D251">
      <w:pPr>
        <w:pStyle w:val="2"/>
        <w:keepNext w:val="0"/>
        <w:keepLines w:val="0"/>
        <w:pageBreakBefore w:val="0"/>
        <w:widowControl/>
        <w:kinsoku w:val="0"/>
        <w:wordWrap/>
        <w:overflowPunct/>
        <w:topLinePunct w:val="0"/>
        <w:autoSpaceDE w:val="0"/>
        <w:autoSpaceDN w:val="0"/>
        <w:bidi w:val="0"/>
        <w:adjustRightInd w:val="0"/>
        <w:snapToGrid w:val="0"/>
        <w:spacing w:before="146"/>
        <w:ind w:left="23" w:right="8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承包人按照本款约定解除合同的，发包人应在解除合同后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天内支付下</w:t>
      </w:r>
      <w:r>
        <w:rPr>
          <w:rFonts w:hint="eastAsia" w:ascii="仿宋" w:hAnsi="仿宋" w:eastAsia="仿宋" w:cs="仿宋"/>
          <w:color w:val="auto"/>
          <w:spacing w:val="9"/>
          <w:sz w:val="24"/>
          <w:szCs w:val="24"/>
          <w:highlight w:val="none"/>
        </w:rPr>
        <w:t>列款项，并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退还履约担保：</w:t>
      </w:r>
    </w:p>
    <w:p w14:paraId="5F37500A">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合同解除前所完成工作的价款；</w:t>
      </w:r>
    </w:p>
    <w:p w14:paraId="11F4320C">
      <w:pPr>
        <w:pStyle w:val="2"/>
        <w:keepNext w:val="0"/>
        <w:keepLines w:val="0"/>
        <w:pageBreakBefore w:val="0"/>
        <w:widowControl/>
        <w:kinsoku w:val="0"/>
        <w:wordWrap/>
        <w:overflowPunct/>
        <w:topLinePunct w:val="0"/>
        <w:autoSpaceDE w:val="0"/>
        <w:autoSpaceDN w:val="0"/>
        <w:bidi w:val="0"/>
        <w:adjustRightInd w:val="0"/>
        <w:snapToGrid w:val="0"/>
        <w:spacing w:before="28"/>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承包人为工程施工订购并已付款的材料、工程设备和其他物品的价款；发包人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付款后，该材料、工程设备和其他物品归发包人所有；</w:t>
      </w:r>
    </w:p>
    <w:p w14:paraId="2941F935">
      <w:pPr>
        <w:pStyle w:val="2"/>
        <w:keepNext w:val="0"/>
        <w:keepLines w:val="0"/>
        <w:pageBreakBefore w:val="0"/>
        <w:widowControl/>
        <w:kinsoku w:val="0"/>
        <w:wordWrap/>
        <w:overflowPunct/>
        <w:topLinePunct w:val="0"/>
        <w:autoSpaceDE w:val="0"/>
        <w:autoSpaceDN w:val="0"/>
        <w:bidi w:val="0"/>
        <w:adjustRightInd w:val="0"/>
        <w:snapToGrid w:val="0"/>
        <w:spacing w:before="25"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承包人为完成工程所发生的，而发包人未支付的金额；</w:t>
      </w:r>
    </w:p>
    <w:p w14:paraId="6E6C37D0">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承包人撤离施工现场以及遣散承包人人员的款项；</w:t>
      </w:r>
    </w:p>
    <w:p w14:paraId="180B7766">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按照合同约定在合同解除前应支付的违约金；</w:t>
      </w:r>
    </w:p>
    <w:p w14:paraId="6BBFC94F">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按照合同约定应当支付给承包人的其他款项；</w:t>
      </w:r>
    </w:p>
    <w:p w14:paraId="6D94F105">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（7） 按照合同约定应返还的质量保证金；</w:t>
      </w:r>
    </w:p>
    <w:p w14:paraId="4740231E">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因解除合同给承包人造成的损失。</w:t>
      </w:r>
    </w:p>
    <w:p w14:paraId="29630481">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7" w:right="73"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承包人应妥善做好已完工程和与工程有关的已购材料、工程设备的保护和移交工作，</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并将施工设备和人员撤出施工现场，发包人应为承包人撤出提供必要条件。</w:t>
      </w:r>
    </w:p>
    <w:p w14:paraId="4D08B76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16.3 合同解除后的事项</w:t>
      </w:r>
    </w:p>
    <w:p w14:paraId="04463647">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16.3.1 结算约定依然有效</w:t>
      </w:r>
    </w:p>
    <w:p w14:paraId="650AD9CE">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sectPr>
          <w:footerReference r:id="rId42" w:type="default"/>
          <w:pgSz w:w="11906" w:h="16839"/>
          <w:pgMar w:top="1428" w:right="1714" w:bottom="1171" w:left="1785" w:header="0" w:footer="992" w:gutter="0"/>
          <w:pgNumType w:fmt="decimal"/>
          <w:cols w:space="720" w:num="1"/>
        </w:sectPr>
      </w:pPr>
    </w:p>
    <w:p w14:paraId="65DCC6D0">
      <w:pPr>
        <w:pStyle w:val="2"/>
        <w:keepNext w:val="0"/>
        <w:keepLines w:val="0"/>
        <w:pageBreakBefore w:val="0"/>
        <w:widowControl/>
        <w:kinsoku w:val="0"/>
        <w:wordWrap/>
        <w:overflowPunct/>
        <w:topLinePunct w:val="0"/>
        <w:autoSpaceDE w:val="0"/>
        <w:autoSpaceDN w:val="0"/>
        <w:bidi w:val="0"/>
        <w:adjustRightInd w:val="0"/>
        <w:snapToGrid w:val="0"/>
        <w:spacing w:before="41"/>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合同解除后，由发包人或由承包人解除合同的结算及结算后的付款约定仍然有效</w:t>
      </w:r>
      <w:r>
        <w:rPr>
          <w:rFonts w:hint="eastAsia" w:ascii="仿宋" w:hAnsi="仿宋" w:eastAsia="仿宋" w:cs="仿宋"/>
          <w:color w:val="auto"/>
          <w:spacing w:val="7"/>
          <w:sz w:val="24"/>
          <w:szCs w:val="24"/>
          <w:highlight w:val="none"/>
        </w:rPr>
        <w:t>，直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至解除合同的结算工作结清。</w:t>
      </w:r>
    </w:p>
    <w:p w14:paraId="2C3FB5D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16.3.2 解除合同的争议</w:t>
      </w:r>
    </w:p>
    <w:p w14:paraId="08EED814">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双方对解除合同或解除合同后的结算有争议的，按照第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51F5C5F6">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第17条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不可抗力</w:t>
      </w:r>
    </w:p>
    <w:p w14:paraId="17C4665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675F311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不可抗力是指合同当事人在订立合同时不可预见，在合同履行过程中不可</w:t>
      </w:r>
      <w:r>
        <w:rPr>
          <w:rFonts w:hint="eastAsia" w:ascii="仿宋" w:hAnsi="仿宋" w:eastAsia="仿宋" w:cs="仿宋"/>
          <w:color w:val="auto"/>
          <w:spacing w:val="7"/>
          <w:sz w:val="24"/>
          <w:szCs w:val="24"/>
          <w:highlight w:val="none"/>
        </w:rPr>
        <w:t>避免、不能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克服且不能提前防备的自然灾害和社会性突发事件，如地震、海啸、瘟疫、骚乱、戒严、暴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动、战争和专用合同条件中约定的其他情形。</w:t>
      </w:r>
    </w:p>
    <w:p w14:paraId="52B4609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不可抗力的通知</w:t>
      </w:r>
    </w:p>
    <w:p w14:paraId="662434F5">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合同一方当事人觉察或发现不可抗力事件发生，使其履行合同义务受到阻碍时，</w:t>
      </w:r>
      <w:r>
        <w:rPr>
          <w:rFonts w:hint="eastAsia" w:ascii="仿宋" w:hAnsi="仿宋" w:eastAsia="仿宋" w:cs="仿宋"/>
          <w:color w:val="auto"/>
          <w:spacing w:val="7"/>
          <w:sz w:val="24"/>
          <w:szCs w:val="24"/>
          <w:highlight w:val="none"/>
        </w:rPr>
        <w:t>有义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务立即通知合同另一方当事人和工程师，书面说明不可抗力和受阻碍的详细情况，并提供必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要的证明。</w:t>
      </w:r>
    </w:p>
    <w:p w14:paraId="02C2FE47">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不可抗力持续发生的，合同一方当事人应每隔</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天向合同另一</w:t>
      </w:r>
      <w:r>
        <w:rPr>
          <w:rFonts w:hint="eastAsia" w:ascii="仿宋" w:hAnsi="仿宋" w:eastAsia="仿宋" w:cs="仿宋"/>
          <w:color w:val="auto"/>
          <w:spacing w:val="9"/>
          <w:sz w:val="24"/>
          <w:szCs w:val="24"/>
          <w:highlight w:val="none"/>
        </w:rPr>
        <w:t>方当事人和工程师提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交中间报告，说明不可抗力和履行合同受阻的情况，并于不可抗力事件结束后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最终报告及有关资料。</w:t>
      </w:r>
    </w:p>
    <w:p w14:paraId="3FD965C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17.3 将损失减至最小的义务</w:t>
      </w:r>
    </w:p>
    <w:p w14:paraId="6DA27AAB">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70"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不可抗力发生后，合同当事人均应采取措施尽量避免和减少损失的扩大，</w:t>
      </w:r>
      <w:r>
        <w:rPr>
          <w:rFonts w:hint="eastAsia" w:ascii="仿宋" w:hAnsi="仿宋" w:eastAsia="仿宋" w:cs="仿宋"/>
          <w:color w:val="auto"/>
          <w:spacing w:val="7"/>
          <w:sz w:val="24"/>
          <w:szCs w:val="24"/>
          <w:highlight w:val="none"/>
        </w:rPr>
        <w:t>使不可抗力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对履行合同造成的损失减至最小。另一方全力协助并采取措施，需暂停实施的工作，立即停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止。任何一方当事人没有采取有效措施导致损失扩大的，应对扩大的损失承担责任。</w:t>
      </w:r>
    </w:p>
    <w:p w14:paraId="5C0CBA6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17.4 不可抗力后果的承担</w:t>
      </w:r>
    </w:p>
    <w:p w14:paraId="47AB940D">
      <w:pPr>
        <w:pStyle w:val="2"/>
        <w:keepNext w:val="0"/>
        <w:keepLines w:val="0"/>
        <w:pageBreakBefore w:val="0"/>
        <w:widowControl/>
        <w:kinsoku w:val="0"/>
        <w:wordWrap/>
        <w:overflowPunct/>
        <w:topLinePunct w:val="0"/>
        <w:autoSpaceDE w:val="0"/>
        <w:autoSpaceDN w:val="0"/>
        <w:bidi w:val="0"/>
        <w:adjustRightInd w:val="0"/>
        <w:snapToGrid w:val="0"/>
        <w:spacing w:before="145"/>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不可抗力导致的人员伤亡、财产损失、费用增加和（或）工期延误等后果</w:t>
      </w:r>
      <w:r>
        <w:rPr>
          <w:rFonts w:hint="eastAsia" w:ascii="仿宋" w:hAnsi="仿宋" w:eastAsia="仿宋" w:cs="仿宋"/>
          <w:color w:val="auto"/>
          <w:spacing w:val="7"/>
          <w:sz w:val="24"/>
          <w:szCs w:val="24"/>
          <w:highlight w:val="none"/>
        </w:rPr>
        <w:t>，由合同当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事人按以下原则承担：</w:t>
      </w:r>
    </w:p>
    <w:p w14:paraId="454FCA8A">
      <w:pPr>
        <w:pStyle w:val="2"/>
        <w:keepNext w:val="0"/>
        <w:keepLines w:val="0"/>
        <w:pageBreakBefore w:val="0"/>
        <w:widowControl/>
        <w:kinsoku w:val="0"/>
        <w:wordWrap/>
        <w:overflowPunct/>
        <w:topLinePunct w:val="0"/>
        <w:autoSpaceDE w:val="0"/>
        <w:autoSpaceDN w:val="0"/>
        <w:bidi w:val="0"/>
        <w:adjustRightInd w:val="0"/>
        <w:snapToGrid w:val="0"/>
        <w:spacing w:before="25"/>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永久工程，包括已运至施工现场的材料和工程设备的损害，以及因工程损害造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成的第三人人员伤亡和财产损失由发包人承担；</w:t>
      </w:r>
    </w:p>
    <w:p w14:paraId="55B40EF4">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承包人提供的施工设备的损坏由承包人承担；</w:t>
      </w:r>
    </w:p>
    <w:p w14:paraId="28662BA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发包人和承包人各自承担其人员伤亡及其他财产损失；</w:t>
      </w:r>
    </w:p>
    <w:p w14:paraId="3F93EB82">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因不可抗力影响承包人履行合同约定的义务，已经引起或将引起工期延误的，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应当顺延工期，由此导致承包人停工的费用损失由发包人和承包人合理分担，停工期间必须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支付的现场必要的工人工资由发包人承担；</w:t>
      </w:r>
    </w:p>
    <w:p w14:paraId="041D3E31">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7" w:right="70"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因不可抗力引起或将引起工期延误，发包人指示赶工的，由此增加的赶工费用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由发包人承担；</w:t>
      </w:r>
    </w:p>
    <w:p w14:paraId="6C011CD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承包人在停工期间按照工程师或发包人要求照管、清理和修复工程的费用由发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包人承担。</w:t>
      </w:r>
    </w:p>
    <w:p w14:paraId="4445AE81">
      <w:pPr>
        <w:pStyle w:val="2"/>
        <w:keepNext w:val="0"/>
        <w:keepLines w:val="0"/>
        <w:pageBreakBefore w:val="0"/>
        <w:widowControl/>
        <w:kinsoku w:val="0"/>
        <w:wordWrap/>
        <w:overflowPunct/>
        <w:topLinePunct w:val="0"/>
        <w:autoSpaceDE w:val="0"/>
        <w:autoSpaceDN w:val="0"/>
        <w:bidi w:val="0"/>
        <w:adjustRightInd w:val="0"/>
        <w:snapToGrid w:val="0"/>
        <w:spacing w:before="24"/>
        <w:ind w:left="25" w:right="4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不可抗力引起的后果及造成的损失由合同当事人按照法律</w:t>
      </w:r>
      <w:r>
        <w:rPr>
          <w:rFonts w:hint="eastAsia" w:ascii="仿宋" w:hAnsi="仿宋" w:eastAsia="仿宋" w:cs="仿宋"/>
          <w:color w:val="auto"/>
          <w:spacing w:val="8"/>
          <w:sz w:val="24"/>
          <w:szCs w:val="24"/>
          <w:highlight w:val="none"/>
        </w:rPr>
        <w:t>规定及合同约定各自承担。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不可抗力发生前已完成的工程应当按照合同约定进行支付。</w:t>
      </w:r>
    </w:p>
    <w:p w14:paraId="1F2DE21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17.5 不可抗力影响分包人</w:t>
      </w:r>
    </w:p>
    <w:p w14:paraId="2AAB267A">
      <w:pPr>
        <w:pStyle w:val="2"/>
        <w:keepNext w:val="0"/>
        <w:keepLines w:val="0"/>
        <w:pageBreakBefore w:val="0"/>
        <w:widowControl/>
        <w:kinsoku w:val="0"/>
        <w:wordWrap/>
        <w:overflowPunct/>
        <w:topLinePunct w:val="0"/>
        <w:autoSpaceDE w:val="0"/>
        <w:autoSpaceDN w:val="0"/>
        <w:bidi w:val="0"/>
        <w:adjustRightInd w:val="0"/>
        <w:snapToGrid w:val="0"/>
        <w:spacing w:before="147"/>
        <w:ind w:left="22" w:right="57"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分包人根据分包合同的约定，有权获得更多或者更广的不可抗力而免除某些义务时，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承包人不得以分包合同中不可抗力约定向发包人抗辩免除其义务。</w:t>
      </w:r>
    </w:p>
    <w:p w14:paraId="7476517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649AFDF8">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因单次不可抗力导致合同无法履行连续超过</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天或累计超过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天的，发包人和承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包人均有权解除合同。合同解除后，承包人应按照</w:t>
      </w:r>
      <w:r>
        <w:rPr>
          <w:rFonts w:hint="eastAsia" w:ascii="仿宋" w:hAnsi="仿宋" w:eastAsia="仿宋" w:cs="仿宋"/>
          <w:color w:val="auto"/>
          <w:spacing w:val="7"/>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10.5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款[竣工退场]的规定进行。</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7"/>
          <w:sz w:val="24"/>
          <w:szCs w:val="24"/>
          <w:highlight w:val="none"/>
        </w:rPr>
        <w:t>由双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方当事人按照第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款[商定或确定]商定或确定发包人应支付的款项，该款项包括：</w:t>
      </w:r>
    </w:p>
    <w:p w14:paraId="116FD3F3">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合同解除前承包人已完成工作的价款；</w:t>
      </w:r>
    </w:p>
    <w:p w14:paraId="78563337">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承包人为工程订购的并已交付给承包人，或承包人有责任接受交付的材料、工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程设备和其他物品的价款；当发包人支付上述费用后，此项材料、工程设备与其他物品应成</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为发包人的财产，承包人应将其交由发包人处理；</w:t>
      </w:r>
    </w:p>
    <w:p w14:paraId="50C6BE38">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仿宋" w:hAnsi="仿宋" w:eastAsia="仿宋" w:cs="仿宋"/>
          <w:color w:val="auto"/>
          <w:sz w:val="24"/>
          <w:szCs w:val="24"/>
          <w:highlight w:val="none"/>
        </w:rPr>
      </w:pPr>
    </w:p>
    <w:p w14:paraId="50FD1D5B">
      <w:pPr>
        <w:pStyle w:val="2"/>
        <w:keepNext w:val="0"/>
        <w:keepLines w:val="0"/>
        <w:pageBreakBefore w:val="0"/>
        <w:widowControl/>
        <w:kinsoku w:val="0"/>
        <w:wordWrap/>
        <w:overflowPunct/>
        <w:topLinePunct w:val="0"/>
        <w:autoSpaceDE w:val="0"/>
        <w:autoSpaceDN w:val="0"/>
        <w:bidi w:val="0"/>
        <w:adjustRightInd w:val="0"/>
        <w:snapToGrid w:val="0"/>
        <w:spacing w:before="41"/>
        <w:ind w:left="42" w:right="58"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发包人指示承包人退货或解除订货合同而产生的费用，或因不能退货或解除合</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同而产生的损失；</w:t>
      </w:r>
    </w:p>
    <w:p w14:paraId="1C78729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承包人撤离施工现场以及遣散承包人人员的费用；</w:t>
      </w:r>
    </w:p>
    <w:p w14:paraId="6CE2CC3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按照合同约定在合同解除前应支付给承包人的其他款项；</w:t>
      </w:r>
    </w:p>
    <w:p w14:paraId="6460F2BD">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（6） 扣减承包人按照合同约定应向发包人支付的款项；</w:t>
      </w:r>
    </w:p>
    <w:p w14:paraId="21933F05">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双方商定或确定的其他款项。</w:t>
      </w:r>
    </w:p>
    <w:p w14:paraId="1265D0D7">
      <w:pPr>
        <w:pStyle w:val="2"/>
        <w:keepNext w:val="0"/>
        <w:keepLines w:val="0"/>
        <w:pageBreakBefore w:val="0"/>
        <w:widowControl/>
        <w:kinsoku w:val="0"/>
        <w:wordWrap/>
        <w:overflowPunct/>
        <w:topLinePunct w:val="0"/>
        <w:autoSpaceDE w:val="0"/>
        <w:autoSpaceDN w:val="0"/>
        <w:bidi w:val="0"/>
        <w:adjustRightInd w:val="0"/>
        <w:snapToGrid w:val="0"/>
        <w:spacing w:before="24"/>
        <w:ind w:left="26"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除专用合同条件另有约定外，合同解除后，发包人应当在商定或确定上述款项后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1"/>
          <w:sz w:val="24"/>
          <w:szCs w:val="24"/>
          <w:highlight w:val="none"/>
        </w:rPr>
        <w:t>28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天内完成上述款项的支付。</w:t>
      </w:r>
    </w:p>
    <w:p w14:paraId="69F201A7">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第18条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保险</w:t>
      </w:r>
    </w:p>
    <w:p w14:paraId="3397F41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78FE96AD">
      <w:pPr>
        <w:pStyle w:val="2"/>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18.1.1 双方应按照专用合同条件的约定向双方同意的保险人投保建设工</w:t>
      </w:r>
      <w:r>
        <w:rPr>
          <w:rFonts w:hint="eastAsia" w:ascii="仿宋" w:hAnsi="仿宋" w:eastAsia="仿宋" w:cs="仿宋"/>
          <w:color w:val="auto"/>
          <w:spacing w:val="8"/>
          <w:sz w:val="24"/>
          <w:szCs w:val="24"/>
          <w:highlight w:val="none"/>
        </w:rPr>
        <w:t>程设计责任险、建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筑安装工程一切险等保险。具体的投保险种、保险范围、保险金额、保险费率、保险期限等</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有关内容应当在专用合同条件中明确约定。</w:t>
      </w:r>
    </w:p>
    <w:p w14:paraId="6EE9F4FC">
      <w:pPr>
        <w:pStyle w:val="2"/>
        <w:keepNext w:val="0"/>
        <w:keepLines w:val="0"/>
        <w:pageBreakBefore w:val="0"/>
        <w:widowControl/>
        <w:kinsoku w:val="0"/>
        <w:wordWrap/>
        <w:overflowPunct/>
        <w:topLinePunct w:val="0"/>
        <w:autoSpaceDE w:val="0"/>
        <w:autoSpaceDN w:val="0"/>
        <w:bidi w:val="0"/>
        <w:adjustRightInd w:val="0"/>
        <w:snapToGrid w:val="0"/>
        <w:spacing w:before="144"/>
        <w:ind w:left="25"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18.1.2 双方应按照专用合同条件的约定投保第三者责任险，并在缺陷责</w:t>
      </w:r>
      <w:r>
        <w:rPr>
          <w:rFonts w:hint="eastAsia" w:ascii="仿宋" w:hAnsi="仿宋" w:eastAsia="仿宋" w:cs="仿宋"/>
          <w:color w:val="auto"/>
          <w:spacing w:val="8"/>
          <w:sz w:val="24"/>
          <w:szCs w:val="24"/>
          <w:highlight w:val="none"/>
        </w:rPr>
        <w:t>任期终止证书颁发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前维持其持续有效。第三者责任险最低投保额应在专用合同条件内约定。</w:t>
      </w:r>
    </w:p>
    <w:p w14:paraId="7A82E383">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41917453">
      <w:pPr>
        <w:pStyle w:val="2"/>
        <w:keepNext w:val="0"/>
        <w:keepLines w:val="0"/>
        <w:pageBreakBefore w:val="0"/>
        <w:widowControl/>
        <w:kinsoku w:val="0"/>
        <w:wordWrap/>
        <w:overflowPunct/>
        <w:topLinePunct w:val="0"/>
        <w:autoSpaceDE w:val="0"/>
        <w:autoSpaceDN w:val="0"/>
        <w:bidi w:val="0"/>
        <w:adjustRightInd w:val="0"/>
        <w:snapToGrid w:val="0"/>
        <w:spacing w:before="144" w:line="244" w:lineRule="auto"/>
        <w:ind w:left="27" w:right="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18.2.1 发包人应依照法律规定为其在施工现场的雇用人员办理工伤保险，缴纳工伤保险费；</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并要求工程师及由发包人为履行合同聘请的第三</w:t>
      </w:r>
      <w:r>
        <w:rPr>
          <w:rFonts w:hint="eastAsia" w:ascii="仿宋" w:hAnsi="仿宋" w:eastAsia="仿宋" w:cs="仿宋"/>
          <w:color w:val="auto"/>
          <w:spacing w:val="12"/>
          <w:sz w:val="24"/>
          <w:szCs w:val="24"/>
          <w:highlight w:val="none"/>
        </w:rPr>
        <w:t>方在施工现场的雇用人员依法办理工伤保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险。</w:t>
      </w:r>
    </w:p>
    <w:p w14:paraId="02CB75F1">
      <w:pPr>
        <w:pStyle w:val="2"/>
        <w:keepNext w:val="0"/>
        <w:keepLines w:val="0"/>
        <w:pageBreakBefore w:val="0"/>
        <w:widowControl/>
        <w:kinsoku w:val="0"/>
        <w:wordWrap/>
        <w:overflowPunct/>
        <w:topLinePunct w:val="0"/>
        <w:autoSpaceDE w:val="0"/>
        <w:autoSpaceDN w:val="0"/>
        <w:bidi w:val="0"/>
        <w:adjustRightInd w:val="0"/>
        <w:snapToGrid w:val="0"/>
        <w:spacing w:before="143"/>
        <w:ind w:left="3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18.2.2 承包人应依照法律规定为其履行合同雇用的全部人员办理工伤保</w:t>
      </w:r>
      <w:r>
        <w:rPr>
          <w:rFonts w:hint="eastAsia" w:ascii="仿宋" w:hAnsi="仿宋" w:eastAsia="仿宋" w:cs="仿宋"/>
          <w:color w:val="auto"/>
          <w:spacing w:val="8"/>
          <w:sz w:val="24"/>
          <w:szCs w:val="24"/>
          <w:highlight w:val="none"/>
        </w:rPr>
        <w:t>险，缴纳工伤保险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费，并要求分包人及由承包人为履行合同聘请的第</w:t>
      </w:r>
      <w:r>
        <w:rPr>
          <w:rFonts w:hint="eastAsia" w:ascii="仿宋" w:hAnsi="仿宋" w:eastAsia="仿宋" w:cs="仿宋"/>
          <w:color w:val="auto"/>
          <w:spacing w:val="8"/>
          <w:sz w:val="24"/>
          <w:szCs w:val="24"/>
          <w:highlight w:val="none"/>
        </w:rPr>
        <w:t>三方雇用的全部人员依法办理工伤保险。</w:t>
      </w:r>
    </w:p>
    <w:p w14:paraId="0328D645">
      <w:pPr>
        <w:pStyle w:val="2"/>
        <w:keepNext w:val="0"/>
        <w:keepLines w:val="0"/>
        <w:pageBreakBefore w:val="0"/>
        <w:widowControl/>
        <w:kinsoku w:val="0"/>
        <w:wordWrap/>
        <w:overflowPunct/>
        <w:topLinePunct w:val="0"/>
        <w:autoSpaceDE w:val="0"/>
        <w:autoSpaceDN w:val="0"/>
        <w:bidi w:val="0"/>
        <w:adjustRightInd w:val="0"/>
        <w:snapToGrid w:val="0"/>
        <w:spacing w:before="146"/>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18.2.3 发包人和承包人可以为其施工现场的全部人员办理意外伤害保险</w:t>
      </w:r>
      <w:r>
        <w:rPr>
          <w:rFonts w:hint="eastAsia" w:ascii="仿宋" w:hAnsi="仿宋" w:eastAsia="仿宋" w:cs="仿宋"/>
          <w:color w:val="auto"/>
          <w:spacing w:val="8"/>
          <w:sz w:val="24"/>
          <w:szCs w:val="24"/>
          <w:highlight w:val="none"/>
        </w:rPr>
        <w:t>并支付保险费，包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括其员工及为履行合同聘请的第三方的人员，具体事项由合同当事人在专用</w:t>
      </w:r>
      <w:r>
        <w:rPr>
          <w:rFonts w:hint="eastAsia" w:ascii="仿宋" w:hAnsi="仿宋" w:eastAsia="仿宋" w:cs="仿宋"/>
          <w:color w:val="auto"/>
          <w:spacing w:val="8"/>
          <w:sz w:val="24"/>
          <w:szCs w:val="24"/>
          <w:highlight w:val="none"/>
        </w:rPr>
        <w:t>合同条件约定。</w:t>
      </w:r>
    </w:p>
    <w:p w14:paraId="0D4C75E6">
      <w:pPr>
        <w:pStyle w:val="2"/>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235E8DE5">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承包人应按照专用合同条件的约定为运抵现场的施工设备、材料、工程设备和临时工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程等办理财产保险，保险期限自上述货物运抵现场至其不再为工程所需要为止。</w:t>
      </w:r>
    </w:p>
    <w:p w14:paraId="00A8DBF2">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7E40F89C">
      <w:pPr>
        <w:pStyle w:val="2"/>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发包人应按照工程总承包模式所适用的法律法规和专用合同条件约定，投</w:t>
      </w:r>
      <w:r>
        <w:rPr>
          <w:rFonts w:hint="eastAsia" w:ascii="仿宋" w:hAnsi="仿宋" w:eastAsia="仿宋" w:cs="仿宋"/>
          <w:color w:val="auto"/>
          <w:spacing w:val="7"/>
          <w:sz w:val="24"/>
          <w:szCs w:val="24"/>
          <w:highlight w:val="none"/>
        </w:rPr>
        <w:t>保其他保险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并保持保险有效，其投保费用发包人自行承担。承包人应按照工程总承包模式所适用法律法</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规和专用合同条件约定投保相应保险并保持保险有效，其投保费用包含在合同价格中，但在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3"/>
          <w:sz w:val="24"/>
          <w:szCs w:val="24"/>
          <w:highlight w:val="none"/>
        </w:rPr>
        <w:t>合同执行过程中，新颁布适用的法律法规规定由承包人投保</w:t>
      </w:r>
      <w:r>
        <w:rPr>
          <w:rFonts w:hint="eastAsia" w:ascii="仿宋" w:hAnsi="仿宋" w:eastAsia="仿宋" w:cs="仿宋"/>
          <w:color w:val="auto"/>
          <w:spacing w:val="12"/>
          <w:sz w:val="24"/>
          <w:szCs w:val="24"/>
          <w:highlight w:val="none"/>
        </w:rPr>
        <w:t>的强制保险，应根据本合同第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7"/>
          <w:sz w:val="24"/>
          <w:szCs w:val="24"/>
          <w:highlight w:val="none"/>
        </w:rPr>
        <w:t>条[变更与调整]的约定增加合同价款。</w:t>
      </w:r>
    </w:p>
    <w:p w14:paraId="1FCF7313">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DA94388">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18.5.1 持续保险</w:t>
      </w:r>
    </w:p>
    <w:p w14:paraId="357718B2">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8"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合同当事人应与保险人保持联系，使保险人能够随时了解工程实施中的变动，并</w:t>
      </w:r>
      <w:r>
        <w:rPr>
          <w:rFonts w:hint="eastAsia" w:ascii="仿宋" w:hAnsi="仿宋" w:eastAsia="仿宋" w:cs="仿宋"/>
          <w:color w:val="auto"/>
          <w:spacing w:val="7"/>
          <w:sz w:val="24"/>
          <w:szCs w:val="24"/>
          <w:highlight w:val="none"/>
        </w:rPr>
        <w:t>确保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按保险合同条款要求持续保险。</w:t>
      </w:r>
    </w:p>
    <w:p w14:paraId="50F1F01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36533C29">
      <w:pPr>
        <w:pStyle w:val="2"/>
        <w:keepNext w:val="0"/>
        <w:keepLines w:val="0"/>
        <w:pageBreakBefore w:val="0"/>
        <w:widowControl/>
        <w:kinsoku w:val="0"/>
        <w:wordWrap/>
        <w:overflowPunct/>
        <w:topLinePunct w:val="0"/>
        <w:autoSpaceDE w:val="0"/>
        <w:autoSpaceDN w:val="0"/>
        <w:bidi w:val="0"/>
        <w:adjustRightInd w:val="0"/>
        <w:snapToGrid w:val="0"/>
        <w:spacing w:before="147"/>
        <w:ind w:left="23" w:right="4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合同当事人应及时向另一方当事人提交其已投保的各项保险的凭证和保险单复印件，</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保险单必须与专用合同条件约定的条件保持一致。</w:t>
      </w:r>
    </w:p>
    <w:p w14:paraId="258E8C7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18.5.3 未按约定投保的补救</w:t>
      </w:r>
    </w:p>
    <w:p w14:paraId="224CBDEC">
      <w:pPr>
        <w:pStyle w:val="2"/>
        <w:keepNext w:val="0"/>
        <w:keepLines w:val="0"/>
        <w:pageBreakBefore w:val="0"/>
        <w:widowControl/>
        <w:kinsoku w:val="0"/>
        <w:wordWrap/>
        <w:overflowPunct/>
        <w:topLinePunct w:val="0"/>
        <w:autoSpaceDE w:val="0"/>
        <w:autoSpaceDN w:val="0"/>
        <w:bidi w:val="0"/>
        <w:adjustRightInd w:val="0"/>
        <w:snapToGrid w:val="0"/>
        <w:spacing w:before="145"/>
        <w:ind w:left="25" w:right="58"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负有投保义务的一方当事人未按合同约定办理保险，或未能使</w:t>
      </w:r>
      <w:r>
        <w:rPr>
          <w:rFonts w:hint="eastAsia" w:ascii="仿宋" w:hAnsi="仿宋" w:eastAsia="仿宋" w:cs="仿宋"/>
          <w:color w:val="auto"/>
          <w:spacing w:val="7"/>
          <w:sz w:val="24"/>
          <w:szCs w:val="24"/>
          <w:highlight w:val="none"/>
        </w:rPr>
        <w:t>保险持续有效的，则另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一方当事人可代为办理，所需费用由负有投保义务的一方当事人承担。</w:t>
      </w:r>
    </w:p>
    <w:p w14:paraId="498518EB">
      <w:pPr>
        <w:pStyle w:val="2"/>
        <w:keepNext w:val="0"/>
        <w:keepLines w:val="0"/>
        <w:pageBreakBefore w:val="0"/>
        <w:widowControl/>
        <w:kinsoku w:val="0"/>
        <w:wordWrap/>
        <w:overflowPunct/>
        <w:topLinePunct w:val="0"/>
        <w:autoSpaceDE w:val="0"/>
        <w:autoSpaceDN w:val="0"/>
        <w:bidi w:val="0"/>
        <w:adjustRightInd w:val="0"/>
        <w:snapToGrid w:val="0"/>
        <w:spacing w:before="25"/>
        <w:ind w:left="21"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负有投保义务的一方当事人未按合同约定办理某项保险，导致</w:t>
      </w:r>
      <w:r>
        <w:rPr>
          <w:rFonts w:hint="eastAsia" w:ascii="仿宋" w:hAnsi="仿宋" w:eastAsia="仿宋" w:cs="仿宋"/>
          <w:color w:val="auto"/>
          <w:spacing w:val="7"/>
          <w:sz w:val="24"/>
          <w:szCs w:val="24"/>
          <w:highlight w:val="none"/>
        </w:rPr>
        <w:t>受益人未能得到足额赔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偿的，由负有投保义务的一方当事人负责按照原应从该项保险得到的保险金数</w:t>
      </w:r>
      <w:r>
        <w:rPr>
          <w:rFonts w:hint="eastAsia" w:ascii="仿宋" w:hAnsi="仿宋" w:eastAsia="仿宋" w:cs="仿宋"/>
          <w:color w:val="auto"/>
          <w:spacing w:val="8"/>
          <w:sz w:val="24"/>
          <w:szCs w:val="24"/>
          <w:highlight w:val="none"/>
        </w:rPr>
        <w:t>额进行补足。</w:t>
      </w:r>
    </w:p>
    <w:p w14:paraId="3332C49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1A9C47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1DF129C4">
      <w:pPr>
        <w:pStyle w:val="2"/>
        <w:keepNext w:val="0"/>
        <w:keepLines w:val="0"/>
        <w:pageBreakBefore w:val="0"/>
        <w:widowControl/>
        <w:kinsoku w:val="0"/>
        <w:wordWrap/>
        <w:overflowPunct/>
        <w:topLinePunct w:val="0"/>
        <w:autoSpaceDE w:val="0"/>
        <w:autoSpaceDN w:val="0"/>
        <w:bidi w:val="0"/>
        <w:adjustRightInd w:val="0"/>
        <w:snapToGrid w:val="0"/>
        <w:spacing w:before="41"/>
        <w:ind w:left="22" w:right="54"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除专用合同条件另有约定外，任何一方当事人变更除</w:t>
      </w:r>
      <w:r>
        <w:rPr>
          <w:rFonts w:hint="eastAsia" w:ascii="仿宋" w:hAnsi="仿宋" w:eastAsia="仿宋" w:cs="仿宋"/>
          <w:color w:val="auto"/>
          <w:spacing w:val="7"/>
          <w:sz w:val="24"/>
          <w:szCs w:val="24"/>
          <w:highlight w:val="none"/>
        </w:rPr>
        <w:t>工伤保险之外的保险合同时，应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事先征得另一方当事人同意，并通知工程师。</w:t>
      </w:r>
    </w:p>
    <w:p w14:paraId="7D83A845">
      <w:pPr>
        <w:pStyle w:val="2"/>
        <w:keepNext w:val="0"/>
        <w:keepLines w:val="0"/>
        <w:pageBreakBefore w:val="0"/>
        <w:widowControl/>
        <w:kinsoku w:val="0"/>
        <w:wordWrap/>
        <w:overflowPunct/>
        <w:topLinePunct w:val="0"/>
        <w:autoSpaceDE w:val="0"/>
        <w:autoSpaceDN w:val="0"/>
        <w:bidi w:val="0"/>
        <w:adjustRightInd w:val="0"/>
        <w:snapToGrid w:val="0"/>
        <w:spacing w:before="24"/>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保险事故发生时，投保人应按照保险合同规定的条件和期限及时向保险人报告。</w:t>
      </w:r>
      <w:r>
        <w:rPr>
          <w:rFonts w:hint="eastAsia" w:ascii="仿宋" w:hAnsi="仿宋" w:eastAsia="仿宋" w:cs="仿宋"/>
          <w:color w:val="auto"/>
          <w:spacing w:val="7"/>
          <w:sz w:val="24"/>
          <w:szCs w:val="24"/>
          <w:highlight w:val="none"/>
        </w:rPr>
        <w:t>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人和承包人应当在知道保险事故发生后及时通知对方。</w:t>
      </w:r>
    </w:p>
    <w:p w14:paraId="52AA0982">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双方按本条规定投保不减少双方在合同下的其他义务。</w:t>
      </w:r>
    </w:p>
    <w:p w14:paraId="5502A709">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第19条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索赔</w:t>
      </w:r>
    </w:p>
    <w:p w14:paraId="0EC5E5B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19.1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索赔的提出</w:t>
      </w:r>
    </w:p>
    <w:p w14:paraId="0D5A740C">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根据合同约定，任意一方认为有权得到追加/减少付款</w:t>
      </w:r>
      <w:r>
        <w:rPr>
          <w:rFonts w:hint="eastAsia" w:ascii="仿宋" w:hAnsi="仿宋" w:eastAsia="仿宋" w:cs="仿宋"/>
          <w:color w:val="auto"/>
          <w:spacing w:val="10"/>
          <w:sz w:val="24"/>
          <w:szCs w:val="24"/>
          <w:highlight w:val="none"/>
        </w:rPr>
        <w:t>、延长缺陷责任期和（或）延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长工期的，应按以下程序向对方提出索赔：</w:t>
      </w:r>
    </w:p>
    <w:p w14:paraId="4DDA2AE2">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索赔方应在知道或应当知道索赔事件发生后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天内，向对方递交索赔意向通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知书，并说明发生索赔事件的事由；索赔方未在前述</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天内发出索赔意向通知书的，丧失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要求追加/减少付款、延长缺陷责任期和（或）延长工期的权利；</w:t>
      </w:r>
    </w:p>
    <w:p w14:paraId="383BC954">
      <w:pPr>
        <w:pStyle w:val="2"/>
        <w:keepNext w:val="0"/>
        <w:keepLines w:val="0"/>
        <w:pageBreakBefore w:val="0"/>
        <w:widowControl/>
        <w:kinsoku w:val="0"/>
        <w:wordWrap/>
        <w:overflowPunct/>
        <w:topLinePunct w:val="0"/>
        <w:autoSpaceDE w:val="0"/>
        <w:autoSpaceDN w:val="0"/>
        <w:bidi w:val="0"/>
        <w:adjustRightInd w:val="0"/>
        <w:snapToGrid w:val="0"/>
        <w:spacing w:before="27" w:line="243" w:lineRule="auto"/>
        <w:ind w:left="20" w:right="12"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索赔方应在发出索赔意向通知书后</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天内，向对方正式递交索赔报告；索赔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报告应详细说明索赔理由以及要求追加的付</w:t>
      </w:r>
      <w:r>
        <w:rPr>
          <w:rFonts w:hint="eastAsia" w:ascii="仿宋" w:hAnsi="仿宋" w:eastAsia="仿宋" w:cs="仿宋"/>
          <w:color w:val="auto"/>
          <w:spacing w:val="8"/>
          <w:sz w:val="24"/>
          <w:szCs w:val="24"/>
          <w:highlight w:val="none"/>
        </w:rPr>
        <w:t>款金额、延长缺陷责任期和（或）延长的工期，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并附必要的记录和证明材料；</w:t>
      </w:r>
    </w:p>
    <w:p w14:paraId="03EB9640">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索赔事件具有持续影响的，索赔方应每月递交延续索赔通知，说明持续影响的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实际情况和记录，列出累计的追加付款金额、延长缺陷责任期和（或）工期延长天数；</w:t>
      </w:r>
    </w:p>
    <w:p w14:paraId="79B26860">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在索赔事件影响结束后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天内，索赔方应向对方递交最终索赔报告，说明最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终要求索赔的追加付款金额、延长缺陷责任期和（或）延长的工期，并附必要的记录和证明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材料。</w:t>
      </w:r>
    </w:p>
    <w:p w14:paraId="3EE7BC54">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承包人作为索赔方时，其索赔意向通知书、索赔报告及相关索赔文件应向工程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师提出；发包人作为索赔方时，其索赔意向通知书、索赔报告及相关索赔文件可自行向承包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人提出或由工程师向承包人提出。</w:t>
      </w:r>
    </w:p>
    <w:p w14:paraId="7237C41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19.2 承包人索赔的处理程序</w:t>
      </w:r>
    </w:p>
    <w:p w14:paraId="0726D4CC">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工程师收到承包人提交的索赔报告后，应及时审查索赔报告的内容、查验承包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人的记录和证明材料，必要时工程师可要求承包人提交全部原始记录副本。</w:t>
      </w:r>
    </w:p>
    <w:p w14:paraId="7E5FE7BD">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4"/>
          <w:sz w:val="24"/>
          <w:szCs w:val="24"/>
          <w:highlight w:val="none"/>
        </w:rPr>
        <w:t>工程师应按第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款[商定或确定]</w:t>
      </w:r>
      <w:r>
        <w:rPr>
          <w:rFonts w:hint="eastAsia" w:ascii="仿宋" w:hAnsi="仿宋" w:eastAsia="仿宋" w:cs="仿宋"/>
          <w:color w:val="auto"/>
          <w:spacing w:val="3"/>
          <w:sz w:val="24"/>
          <w:szCs w:val="24"/>
          <w:highlight w:val="none"/>
        </w:rPr>
        <w:t>商定或确定追加的付款和（或）延长的工期，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并在收到上述索赔报告或有关索赔的进一步证</w:t>
      </w:r>
      <w:r>
        <w:rPr>
          <w:rFonts w:hint="eastAsia" w:ascii="仿宋" w:hAnsi="仿宋" w:eastAsia="仿宋" w:cs="仿宋"/>
          <w:color w:val="auto"/>
          <w:spacing w:val="5"/>
          <w:sz w:val="24"/>
          <w:szCs w:val="24"/>
          <w:highlight w:val="none"/>
        </w:rPr>
        <w:t>明材料后及时书面告知发包人，并在</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将发包人书面认可的索赔处理结果答复承包人。工程师在收到索赔报告或有关索赔的进一步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证明材料后的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天内不予答复的，视为认可索赔。</w:t>
      </w:r>
    </w:p>
    <w:p w14:paraId="041A6ACA">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承包人接受索赔处理结果的，发包人应在作出索赔处理结果答复后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成支付。承包人不接受索赔处理结果的，按照第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条[争议解决]约定处理。</w:t>
      </w:r>
    </w:p>
    <w:p w14:paraId="1117011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19.3 发包人索赔的处理程序</w:t>
      </w:r>
    </w:p>
    <w:p w14:paraId="7824E4CE">
      <w:pPr>
        <w:pStyle w:val="2"/>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承包人收到发包人提交的索赔报告后，应及时审查索赔报告的内容、查验发包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人证明材料；</w:t>
      </w:r>
    </w:p>
    <w:p w14:paraId="211FC28A">
      <w:pPr>
        <w:pStyle w:val="2"/>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承包人应在收到上述索赔报告或有关索赔的进一步证明材料后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天内，将索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赔处理结果答复发包人。承包人在收到索赔通知书或有关索赔的进一步证明材料后的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内不予答复的，视为认可索赔。</w:t>
      </w:r>
    </w:p>
    <w:p w14:paraId="511D7514">
      <w:pPr>
        <w:pStyle w:val="2"/>
        <w:keepNext w:val="0"/>
        <w:keepLines w:val="0"/>
        <w:pageBreakBefore w:val="0"/>
        <w:widowControl/>
        <w:kinsoku w:val="0"/>
        <w:wordWrap/>
        <w:overflowPunct/>
        <w:topLinePunct w:val="0"/>
        <w:autoSpaceDE w:val="0"/>
        <w:autoSpaceDN w:val="0"/>
        <w:bidi w:val="0"/>
        <w:adjustRightInd w:val="0"/>
        <w:snapToGrid w:val="0"/>
        <w:spacing w:before="28" w:line="246"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发包人接受索赔处理结果的，发包人可从应支付给承包人的合同价款中扣除赔</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付的金额或延长缺陷责任期；发包人不接受索赔处理结果的，按第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条[争议解决]约</w:t>
      </w:r>
      <w:r>
        <w:rPr>
          <w:rFonts w:hint="eastAsia" w:ascii="仿宋" w:hAnsi="仿宋" w:eastAsia="仿宋" w:cs="仿宋"/>
          <w:color w:val="auto"/>
          <w:spacing w:val="8"/>
          <w:sz w:val="24"/>
          <w:szCs w:val="24"/>
          <w:highlight w:val="none"/>
        </w:rPr>
        <w:t>定处</w:t>
      </w:r>
      <w:r>
        <w:rPr>
          <w:rFonts w:hint="eastAsia" w:ascii="仿宋" w:hAnsi="仿宋" w:eastAsia="仿宋" w:cs="仿宋"/>
          <w:color w:val="auto"/>
          <w:sz w:val="24"/>
          <w:szCs w:val="24"/>
          <w:highlight w:val="none"/>
        </w:rPr>
        <w:t xml:space="preserve"> 理。</w:t>
      </w:r>
    </w:p>
    <w:p w14:paraId="7090313B">
      <w:pPr>
        <w:pStyle w:val="2"/>
        <w:keepNext w:val="0"/>
        <w:keepLines w:val="0"/>
        <w:pageBreakBefore w:val="0"/>
        <w:widowControl/>
        <w:kinsoku w:val="0"/>
        <w:wordWrap/>
        <w:overflowPunct/>
        <w:topLinePunct w:val="0"/>
        <w:autoSpaceDE w:val="0"/>
        <w:autoSpaceDN w:val="0"/>
        <w:bidi w:val="0"/>
        <w:adjustRightInd w:val="0"/>
        <w:snapToGrid w:val="0"/>
        <w:spacing w:before="1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19.4 提出索赔的期限</w:t>
      </w:r>
    </w:p>
    <w:p w14:paraId="7AC3ED27">
      <w:pPr>
        <w:pStyle w:val="2"/>
        <w:keepNext w:val="0"/>
        <w:keepLines w:val="0"/>
        <w:pageBreakBefore w:val="0"/>
        <w:widowControl/>
        <w:kinsoku w:val="0"/>
        <w:wordWrap/>
        <w:overflowPunct/>
        <w:topLinePunct w:val="0"/>
        <w:autoSpaceDE w:val="0"/>
        <w:autoSpaceDN w:val="0"/>
        <w:bidi w:val="0"/>
        <w:adjustRightInd w:val="0"/>
        <w:snapToGrid w:val="0"/>
        <w:spacing w:before="144"/>
        <w:ind w:left="23" w:right="52"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款[竣工结算]约定接收竣工付</w:t>
      </w:r>
      <w:r>
        <w:rPr>
          <w:rFonts w:hint="eastAsia" w:ascii="仿宋" w:hAnsi="仿宋" w:eastAsia="仿宋" w:cs="仿宋"/>
          <w:color w:val="auto"/>
          <w:spacing w:val="8"/>
          <w:sz w:val="24"/>
          <w:szCs w:val="24"/>
          <w:highlight w:val="none"/>
        </w:rPr>
        <w:t>款证书后，应被认为已无权再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提出在合同工程接收证书颁发前所发生的任何索赔。</w:t>
      </w:r>
    </w:p>
    <w:p w14:paraId="378A8126">
      <w:pPr>
        <w:pStyle w:val="2"/>
        <w:keepNext w:val="0"/>
        <w:keepLines w:val="0"/>
        <w:pageBreakBefore w:val="0"/>
        <w:widowControl/>
        <w:kinsoku w:val="0"/>
        <w:wordWrap/>
        <w:overflowPunct/>
        <w:topLinePunct w:val="0"/>
        <w:autoSpaceDE w:val="0"/>
        <w:autoSpaceDN w:val="0"/>
        <w:bidi w:val="0"/>
        <w:adjustRightInd w:val="0"/>
        <w:snapToGrid w:val="0"/>
        <w:spacing w:before="25"/>
        <w:ind w:left="29" w:right="52"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款[最终结清]提交的最终结清</w:t>
      </w:r>
      <w:r>
        <w:rPr>
          <w:rFonts w:hint="eastAsia" w:ascii="仿宋" w:hAnsi="仿宋" w:eastAsia="仿宋" w:cs="仿宋"/>
          <w:color w:val="auto"/>
          <w:spacing w:val="8"/>
          <w:sz w:val="24"/>
          <w:szCs w:val="24"/>
          <w:highlight w:val="none"/>
        </w:rPr>
        <w:t>申请单中，只限于提出工程接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收证书颁发后发生的索赔。提出索赔的期限均自接受最终结清证书时终止。</w:t>
      </w:r>
    </w:p>
    <w:p w14:paraId="0C29AB61">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第20条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争议解决</w:t>
      </w:r>
    </w:p>
    <w:p w14:paraId="5AF83C6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3"/>
          <w:sz w:val="24"/>
          <w:szCs w:val="24"/>
          <w:highlight w:val="none"/>
        </w:rPr>
        <w:t>和解</w:t>
      </w:r>
    </w:p>
    <w:p w14:paraId="47EBCB1C">
      <w:pPr>
        <w:pStyle w:val="2"/>
        <w:keepNext w:val="0"/>
        <w:keepLines w:val="0"/>
        <w:pageBreakBefore w:val="0"/>
        <w:widowControl/>
        <w:kinsoku w:val="0"/>
        <w:wordWrap/>
        <w:overflowPunct/>
        <w:topLinePunct w:val="0"/>
        <w:autoSpaceDE w:val="0"/>
        <w:autoSpaceDN w:val="0"/>
        <w:bidi w:val="0"/>
        <w:adjustRightInd w:val="0"/>
        <w:snapToGrid w:val="0"/>
        <w:spacing w:before="41"/>
        <w:ind w:right="157"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合同当事人可以就争议自行和解，自行和解达成协议的经双方签字并盖章后作为</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补充文件，双方均应遵照执行。</w:t>
      </w:r>
    </w:p>
    <w:p w14:paraId="787FA0F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调解</w:t>
      </w:r>
    </w:p>
    <w:p w14:paraId="4D8BAA91">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合同当事人可以就争议请求建设行政主管部门、行业协会或其他第三方进行调解</w:t>
      </w:r>
      <w:r>
        <w:rPr>
          <w:rFonts w:hint="eastAsia" w:ascii="仿宋" w:hAnsi="仿宋" w:eastAsia="仿宋" w:cs="仿宋"/>
          <w:color w:val="auto"/>
          <w:spacing w:val="7"/>
          <w:sz w:val="24"/>
          <w:szCs w:val="24"/>
          <w:highlight w:val="none"/>
        </w:rPr>
        <w:t>，调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解达成协议的，经双方签字盖章后作为合同补充文件，双方均应遵照执行。</w:t>
      </w:r>
    </w:p>
    <w:p w14:paraId="6D2B7E3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28230CB9">
      <w:pPr>
        <w:pStyle w:val="2"/>
        <w:keepNext w:val="0"/>
        <w:keepLines w:val="0"/>
        <w:pageBreakBefore w:val="0"/>
        <w:widowControl/>
        <w:kinsoku w:val="0"/>
        <w:wordWrap/>
        <w:overflowPunct/>
        <w:topLinePunct w:val="0"/>
        <w:autoSpaceDE w:val="0"/>
        <w:autoSpaceDN w:val="0"/>
        <w:bidi w:val="0"/>
        <w:adjustRightInd w:val="0"/>
        <w:snapToGrid w:val="0"/>
        <w:spacing w:before="145"/>
        <w:ind w:left="27" w:right="15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合同当事人在专用合同条件中约定采取争议评审方式及评审规则解决争议的，按</w:t>
      </w:r>
      <w:r>
        <w:rPr>
          <w:rFonts w:hint="eastAsia" w:ascii="仿宋" w:hAnsi="仿宋" w:eastAsia="仿宋" w:cs="仿宋"/>
          <w:color w:val="auto"/>
          <w:spacing w:val="7"/>
          <w:sz w:val="24"/>
          <w:szCs w:val="24"/>
          <w:highlight w:val="none"/>
        </w:rPr>
        <w:t>下列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约定执行：</w:t>
      </w:r>
    </w:p>
    <w:p w14:paraId="06FCD00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75DD747D">
      <w:pPr>
        <w:pStyle w:val="2"/>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5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合同当事人可以共同选择一名或三名争议评审员，组成争议评审小组。如专用合</w:t>
      </w:r>
      <w:r>
        <w:rPr>
          <w:rFonts w:hint="eastAsia" w:ascii="仿宋" w:hAnsi="仿宋" w:eastAsia="仿宋" w:cs="仿宋"/>
          <w:color w:val="auto"/>
          <w:spacing w:val="7"/>
          <w:sz w:val="24"/>
          <w:szCs w:val="24"/>
          <w:highlight w:val="none"/>
        </w:rPr>
        <w:t>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件未对成员人数进行约定，则应由三名成员组成。除专用合同条件另有约定外，合同当事人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应当自合同订立后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天内，或者争议发生后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天内，选定争</w:t>
      </w:r>
      <w:r>
        <w:rPr>
          <w:rFonts w:hint="eastAsia" w:ascii="仿宋" w:hAnsi="仿宋" w:eastAsia="仿宋" w:cs="仿宋"/>
          <w:color w:val="auto"/>
          <w:spacing w:val="6"/>
          <w:sz w:val="24"/>
          <w:szCs w:val="24"/>
          <w:highlight w:val="none"/>
        </w:rPr>
        <w:t>议评审员。</w:t>
      </w:r>
    </w:p>
    <w:p w14:paraId="42C92FA5">
      <w:pPr>
        <w:pStyle w:val="2"/>
        <w:keepNext w:val="0"/>
        <w:keepLines w:val="0"/>
        <w:pageBreakBefore w:val="0"/>
        <w:widowControl/>
        <w:kinsoku w:val="0"/>
        <w:wordWrap/>
        <w:overflowPunct/>
        <w:topLinePunct w:val="0"/>
        <w:autoSpaceDE w:val="0"/>
        <w:autoSpaceDN w:val="0"/>
        <w:bidi w:val="0"/>
        <w:adjustRightInd w:val="0"/>
        <w:snapToGrid w:val="0"/>
        <w:spacing w:before="26"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选择一名争议评审员的，由合同当事人共同确定；选择三名争议评审员的，各自选定  </w:t>
      </w:r>
      <w:r>
        <w:rPr>
          <w:rFonts w:hint="eastAsia" w:ascii="仿宋" w:hAnsi="仿宋" w:eastAsia="仿宋" w:cs="仿宋"/>
          <w:color w:val="auto"/>
          <w:spacing w:val="6"/>
          <w:sz w:val="24"/>
          <w:szCs w:val="24"/>
          <w:highlight w:val="none"/>
        </w:rPr>
        <w:t xml:space="preserve">一名，第三名成员由合同当事人共同确定或由合同当事人委托已选定的争议评审员共同确定， </w:t>
      </w:r>
      <w:r>
        <w:rPr>
          <w:rFonts w:hint="eastAsia" w:ascii="仿宋" w:hAnsi="仿宋" w:eastAsia="仿宋" w:cs="仿宋"/>
          <w:color w:val="auto"/>
          <w:spacing w:val="7"/>
          <w:sz w:val="24"/>
          <w:szCs w:val="24"/>
          <w:highlight w:val="none"/>
        </w:rPr>
        <w:t>为首席争议评审员。争议评审员为一人且合同</w:t>
      </w:r>
      <w:r>
        <w:rPr>
          <w:rFonts w:hint="eastAsia" w:ascii="仿宋" w:hAnsi="仿宋" w:eastAsia="仿宋" w:cs="仿宋"/>
          <w:color w:val="auto"/>
          <w:spacing w:val="6"/>
          <w:sz w:val="24"/>
          <w:szCs w:val="24"/>
          <w:highlight w:val="none"/>
        </w:rPr>
        <w:t xml:space="preserve">当事人未能达成一致的，或争议评审员为三人  </w:t>
      </w:r>
      <w:r>
        <w:rPr>
          <w:rFonts w:hint="eastAsia" w:ascii="仿宋" w:hAnsi="仿宋" w:eastAsia="仿宋" w:cs="仿宋"/>
          <w:color w:val="auto"/>
          <w:spacing w:val="8"/>
          <w:sz w:val="24"/>
          <w:szCs w:val="24"/>
          <w:highlight w:val="none"/>
        </w:rPr>
        <w:t>且合同当事人就首席争议评审员未能达成一致的，</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由专用合同条件约定的评审机构指定。</w:t>
      </w:r>
    </w:p>
    <w:p w14:paraId="3F9C80E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除专用合同条件另有约定外，争议评审员报酬由发包人和承包人各承担一半。</w:t>
      </w:r>
    </w:p>
    <w:p w14:paraId="054C3D4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151EE7B7">
      <w:pPr>
        <w:pStyle w:val="2"/>
        <w:keepNext w:val="0"/>
        <w:keepLines w:val="0"/>
        <w:pageBreakBefore w:val="0"/>
        <w:widowControl/>
        <w:kinsoku w:val="0"/>
        <w:wordWrap/>
        <w:overflowPunct/>
        <w:topLinePunct w:val="0"/>
        <w:autoSpaceDE w:val="0"/>
        <w:autoSpaceDN w:val="0"/>
        <w:bidi w:val="0"/>
        <w:adjustRightInd w:val="0"/>
        <w:snapToGrid w:val="0"/>
        <w:spacing w:before="146" w:line="239" w:lineRule="auto"/>
        <w:ind w:left="26" w:right="157"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合同当事人协商一致，可以共同书面请求争议评审小组，就合同履行过程中可能</w:t>
      </w:r>
      <w:r>
        <w:rPr>
          <w:rFonts w:hint="eastAsia" w:ascii="仿宋" w:hAnsi="仿宋" w:eastAsia="仿宋" w:cs="仿宋"/>
          <w:color w:val="auto"/>
          <w:spacing w:val="7"/>
          <w:sz w:val="24"/>
          <w:szCs w:val="24"/>
          <w:highlight w:val="none"/>
        </w:rPr>
        <w:t>出现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争议的情况提供协助或进行非正式讨论，争议评审小组应给出公正的意见或建议。</w:t>
      </w:r>
    </w:p>
    <w:p w14:paraId="7AA91CFB">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42" w:right="157"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此类协助或非正式讨论可在任何会议、施工现场视察或其他场合进行，并且除专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同条件另有约定外，发包人和承包人均应出席。</w:t>
      </w:r>
    </w:p>
    <w:p w14:paraId="0CC93510">
      <w:pPr>
        <w:pStyle w:val="2"/>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43"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争议评审小组在此类非正式讨论上给出的任何意见或建议，无论是口头还是书面的， </w:t>
      </w:r>
      <w:r>
        <w:rPr>
          <w:rFonts w:hint="eastAsia" w:ascii="仿宋" w:hAnsi="仿宋" w:eastAsia="仿宋" w:cs="仿宋"/>
          <w:color w:val="auto"/>
          <w:spacing w:val="7"/>
          <w:sz w:val="24"/>
          <w:szCs w:val="24"/>
          <w:highlight w:val="none"/>
        </w:rPr>
        <w:t>对发包人和承包人不具有约束力，争议评审小组在之后的争议评审程序或决定中也不受此类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意见或建议的约束。</w:t>
      </w:r>
    </w:p>
    <w:p w14:paraId="51824F2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5A23FCF1">
      <w:pPr>
        <w:pStyle w:val="2"/>
        <w:keepNext w:val="0"/>
        <w:keepLines w:val="0"/>
        <w:pageBreakBefore w:val="0"/>
        <w:widowControl/>
        <w:kinsoku w:val="0"/>
        <w:wordWrap/>
        <w:overflowPunct/>
        <w:topLinePunct w:val="0"/>
        <w:autoSpaceDE w:val="0"/>
        <w:autoSpaceDN w:val="0"/>
        <w:bidi w:val="0"/>
        <w:adjustRightInd w:val="0"/>
        <w:snapToGrid w:val="0"/>
        <w:spacing w:before="146" w:line="247" w:lineRule="auto"/>
        <w:ind w:left="22" w:right="9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合同当事人可在任何时间将与合同有关的任何</w:t>
      </w:r>
      <w:r>
        <w:rPr>
          <w:rFonts w:hint="eastAsia" w:ascii="仿宋" w:hAnsi="仿宋" w:eastAsia="仿宋" w:cs="仿宋"/>
          <w:color w:val="auto"/>
          <w:spacing w:val="9"/>
          <w:sz w:val="24"/>
          <w:szCs w:val="24"/>
          <w:highlight w:val="none"/>
        </w:rPr>
        <w:t>争议共同提请争议评审小组进行评审。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争议评审小组应秉持客观、公正原则，充分听取合同当事人的意见，依据相</w:t>
      </w:r>
      <w:r>
        <w:rPr>
          <w:rFonts w:hint="eastAsia" w:ascii="仿宋" w:hAnsi="仿宋" w:eastAsia="仿宋" w:cs="仿宋"/>
          <w:color w:val="auto"/>
          <w:spacing w:val="8"/>
          <w:sz w:val="24"/>
          <w:szCs w:val="24"/>
          <w:highlight w:val="none"/>
        </w:rPr>
        <w:t>关法律、规范、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标准、案例经验及商业惯例等，</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自收到争议评审申请</w:t>
      </w:r>
      <w:r>
        <w:rPr>
          <w:rFonts w:hint="eastAsia" w:ascii="仿宋" w:hAnsi="仿宋" w:eastAsia="仿宋" w:cs="仿宋"/>
          <w:color w:val="auto"/>
          <w:spacing w:val="7"/>
          <w:sz w:val="24"/>
          <w:szCs w:val="24"/>
          <w:highlight w:val="none"/>
        </w:rPr>
        <w:t>报告后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天或争议评审小组建议并经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双方同意的其他期限内作出书面决定，并说明理由。合同当事人可以在专用合同条件中对本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项事项另行约定。</w:t>
      </w:r>
    </w:p>
    <w:p w14:paraId="6E09699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20.3.4 争议评审小组决定的效力</w:t>
      </w:r>
    </w:p>
    <w:p w14:paraId="53E0BB2A">
      <w:pPr>
        <w:pStyle w:val="2"/>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争议评审小组作出的书面决定经合同当事人签字确认后，对双方具有约</w:t>
      </w:r>
      <w:r>
        <w:rPr>
          <w:rFonts w:hint="eastAsia" w:ascii="仿宋" w:hAnsi="仿宋" w:eastAsia="仿宋" w:cs="仿宋"/>
          <w:color w:val="auto"/>
          <w:spacing w:val="7"/>
          <w:sz w:val="24"/>
          <w:szCs w:val="24"/>
          <w:highlight w:val="none"/>
        </w:rPr>
        <w:t>束力，双方应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遵照执行。</w:t>
      </w:r>
    </w:p>
    <w:p w14:paraId="413F887D">
      <w:pPr>
        <w:pStyle w:val="2"/>
        <w:keepNext w:val="0"/>
        <w:keepLines w:val="0"/>
        <w:pageBreakBefore w:val="0"/>
        <w:widowControl/>
        <w:kinsoku w:val="0"/>
        <w:wordWrap/>
        <w:overflowPunct/>
        <w:topLinePunct w:val="0"/>
        <w:autoSpaceDE w:val="0"/>
        <w:autoSpaceDN w:val="0"/>
        <w:bidi w:val="0"/>
        <w:adjustRightInd w:val="0"/>
        <w:snapToGrid w:val="0"/>
        <w:spacing w:before="24"/>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任何一方当事人不接受争议评审小组决定或不履行争议评审小组决定的，双方可选择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采用其他争议解决方式。</w:t>
      </w:r>
    </w:p>
    <w:p w14:paraId="3445E064">
      <w:pPr>
        <w:pStyle w:val="2"/>
        <w:keepNext w:val="0"/>
        <w:keepLines w:val="0"/>
        <w:pageBreakBefore w:val="0"/>
        <w:widowControl/>
        <w:kinsoku w:val="0"/>
        <w:wordWrap/>
        <w:overflowPunct/>
        <w:topLinePunct w:val="0"/>
        <w:autoSpaceDE w:val="0"/>
        <w:autoSpaceDN w:val="0"/>
        <w:bidi w:val="0"/>
        <w:adjustRightInd w:val="0"/>
        <w:snapToGrid w:val="0"/>
        <w:spacing w:before="25"/>
        <w:ind w:left="23"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任何一方当事人不接受争议评审小组的决定，并不影响暂</w:t>
      </w:r>
      <w:r>
        <w:rPr>
          <w:rFonts w:hint="eastAsia" w:ascii="仿宋" w:hAnsi="仿宋" w:eastAsia="仿宋" w:cs="仿宋"/>
          <w:color w:val="auto"/>
          <w:spacing w:val="6"/>
          <w:sz w:val="24"/>
          <w:szCs w:val="24"/>
          <w:highlight w:val="none"/>
        </w:rPr>
        <w:t>时执行争议评审小组的决定，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直到在后续的采用其他争议解决方式中对争议评审小组的决定进行了改变。</w:t>
      </w:r>
    </w:p>
    <w:p w14:paraId="4B7A0D8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1064B787">
      <w:pPr>
        <w:pStyle w:val="2"/>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5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因合同及合同有关事项产生的争议，合同当</w:t>
      </w:r>
      <w:r>
        <w:rPr>
          <w:rFonts w:hint="eastAsia" w:ascii="仿宋" w:hAnsi="仿宋" w:eastAsia="仿宋" w:cs="仿宋"/>
          <w:color w:val="auto"/>
          <w:spacing w:val="7"/>
          <w:sz w:val="24"/>
          <w:szCs w:val="24"/>
          <w:highlight w:val="none"/>
        </w:rPr>
        <w:t>事人可以在专用合同条件中约定以下一种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方式解决争议：</w:t>
      </w:r>
    </w:p>
    <w:p w14:paraId="6FE37B94">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（1）</w:t>
      </w:r>
      <w:r>
        <w:rPr>
          <w:rFonts w:hint="eastAsia" w:ascii="仿宋" w:hAnsi="仿宋" w:eastAsia="仿宋" w:cs="仿宋"/>
          <w:color w:val="auto"/>
          <w:spacing w:val="55"/>
          <w:position w:val="4"/>
          <w:sz w:val="24"/>
          <w:szCs w:val="24"/>
          <w:highlight w:val="none"/>
        </w:rPr>
        <w:t xml:space="preserve"> </w:t>
      </w:r>
      <w:r>
        <w:rPr>
          <w:rFonts w:hint="eastAsia" w:ascii="仿宋" w:hAnsi="仿宋" w:eastAsia="仿宋" w:cs="仿宋"/>
          <w:color w:val="auto"/>
          <w:spacing w:val="5"/>
          <w:position w:val="4"/>
          <w:sz w:val="24"/>
          <w:szCs w:val="24"/>
          <w:highlight w:val="none"/>
        </w:rPr>
        <w:t>向约定的仲裁委员会申请仲裁；</w:t>
      </w:r>
    </w:p>
    <w:p w14:paraId="06FD6CF2">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向有管辖权的人民法院起诉。</w:t>
      </w:r>
    </w:p>
    <w:p w14:paraId="603A150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20.5 争议解决条款效力</w:t>
      </w:r>
    </w:p>
    <w:p w14:paraId="15F8204B">
      <w:pPr>
        <w:pStyle w:val="2"/>
        <w:keepNext w:val="0"/>
        <w:keepLines w:val="0"/>
        <w:pageBreakBefore w:val="0"/>
        <w:widowControl/>
        <w:kinsoku w:val="0"/>
        <w:wordWrap/>
        <w:overflowPunct/>
        <w:topLinePunct w:val="0"/>
        <w:autoSpaceDE w:val="0"/>
        <w:autoSpaceDN w:val="0"/>
        <w:bidi w:val="0"/>
        <w:adjustRightInd w:val="0"/>
        <w:snapToGrid w:val="0"/>
        <w:spacing w:before="145"/>
        <w:ind w:left="32" w:right="157" w:firstLine="5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合同有关争议解决的条款独立存在，合同的不生效、无效、被撤销或者终止的，</w:t>
      </w:r>
      <w:r>
        <w:rPr>
          <w:rFonts w:hint="eastAsia" w:ascii="仿宋" w:hAnsi="仿宋" w:eastAsia="仿宋" w:cs="仿宋"/>
          <w:color w:val="auto"/>
          <w:spacing w:val="7"/>
          <w:sz w:val="24"/>
          <w:szCs w:val="24"/>
          <w:highlight w:val="none"/>
        </w:rPr>
        <w:t>不影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响合同中有关争议解决条款的效力。</w:t>
      </w:r>
    </w:p>
    <w:p w14:paraId="123CCC18">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firstLine="3569" w:firstLineChars="14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第三部分</w:t>
      </w:r>
      <w:r>
        <w:rPr>
          <w:rFonts w:hint="eastAsia" w:ascii="仿宋" w:hAnsi="仿宋" w:eastAsia="仿宋" w:cs="仿宋"/>
          <w:color w:val="auto"/>
          <w:spacing w:val="7"/>
          <w:sz w:val="24"/>
          <w:szCs w:val="24"/>
          <w:highlight w:val="none"/>
        </w:rPr>
        <w:t xml:space="preserve"> </w:t>
      </w:r>
      <w:r>
        <w:rPr>
          <w:rFonts w:hint="eastAsia" w:ascii="仿宋" w:hAnsi="仿宋" w:eastAsia="仿宋" w:cs="仿宋"/>
          <w:b/>
          <w:bCs/>
          <w:color w:val="auto"/>
          <w:spacing w:val="7"/>
          <w:sz w:val="24"/>
          <w:szCs w:val="24"/>
          <w:highlight w:val="none"/>
        </w:rPr>
        <w:t>专用合同条件</w:t>
      </w:r>
    </w:p>
    <w:p w14:paraId="1EE283C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一般约定</w:t>
      </w:r>
    </w:p>
    <w:p w14:paraId="0135179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596D078B">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42B3FA76">
      <w:pPr>
        <w:pStyle w:val="2"/>
        <w:keepNext w:val="0"/>
        <w:keepLines w:val="0"/>
        <w:pageBreakBefore w:val="0"/>
        <w:widowControl/>
        <w:kinsoku w:val="0"/>
        <w:wordWrap/>
        <w:overflowPunct/>
        <w:topLinePunct w:val="0"/>
        <w:autoSpaceDE w:val="0"/>
        <w:autoSpaceDN w:val="0"/>
        <w:bidi w:val="0"/>
        <w:adjustRightInd w:val="0"/>
        <w:snapToGrid w:val="0"/>
        <w:spacing w:before="2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1.1.1.10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其他合同文件：</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A56EE12">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631E5E0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1.1.3.5</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单位/区段工程的范围：</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9ADF42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1.1.3.9</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作为施工场所组成部分的其他场所包括</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3D18C7C">
      <w:pPr>
        <w:pStyle w:val="2"/>
        <w:keepNext w:val="0"/>
        <w:keepLines w:val="0"/>
        <w:pageBreakBefore w:val="0"/>
        <w:widowControl/>
        <w:kinsoku w:val="0"/>
        <w:wordWrap/>
        <w:overflowPunct/>
        <w:topLinePunct w:val="0"/>
        <w:autoSpaceDE w:val="0"/>
        <w:autoSpaceDN w:val="0"/>
        <w:bidi w:val="0"/>
        <w:adjustRightInd w:val="0"/>
        <w:snapToGrid w:val="0"/>
        <w:spacing w:before="24" w:line="229"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永久占地包括：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9F5184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临时占地包括：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48399B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6A0AFDF2">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本合同除使用汉语外，还使用</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6"/>
          <w:sz w:val="24"/>
          <w:szCs w:val="24"/>
          <w:highlight w:val="none"/>
        </w:rPr>
        <w:t>语言。</w:t>
      </w:r>
    </w:p>
    <w:p w14:paraId="2F0BCB3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177091F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适用于合同的其他规范性文件：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18119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13697452">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适用于本合同的标准、规范（名称）包括：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4F0921F">
      <w:pPr>
        <w:pStyle w:val="2"/>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40" w:firstLine="6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发包人提供的国外标准、规范的名称</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7"/>
          <w:sz w:val="24"/>
          <w:szCs w:val="24"/>
          <w:highlight w:val="none"/>
        </w:rPr>
        <w:t>发包人提供的</w:t>
      </w:r>
      <w:r>
        <w:rPr>
          <w:rFonts w:hint="eastAsia" w:ascii="仿宋" w:hAnsi="仿宋" w:eastAsia="仿宋" w:cs="仿宋"/>
          <w:color w:val="auto"/>
          <w:spacing w:val="6"/>
          <w:sz w:val="24"/>
          <w:szCs w:val="24"/>
          <w:highlight w:val="none"/>
        </w:rPr>
        <w:t>国外标准、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规范的份数</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7"/>
          <w:sz w:val="24"/>
          <w:szCs w:val="24"/>
          <w:highlight w:val="none"/>
        </w:rPr>
        <w:t>发包人提供的国外标准、规范的时间：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8928A8C">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 没有成文规范、标准规定的约定：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22A8322">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7BB57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02F1AF6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合同文件组成及优先顺序为：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AC4A4E9">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3790F2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08E59141">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发包人文件的提供期限、名称、数量和形式：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C9BE4E2">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5F3CF57A">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承包人文件的内容、提供期限、名称、数量和形式：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2335DC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E01044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关于现场文件准备的约定：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65F9784">
      <w:pPr>
        <w:pStyle w:val="2"/>
        <w:keepNext w:val="0"/>
        <w:keepLines w:val="0"/>
        <w:pageBreakBefore w:val="0"/>
        <w:widowControl/>
        <w:kinsoku w:val="0"/>
        <w:wordWrap/>
        <w:overflowPunct/>
        <w:topLinePunct w:val="0"/>
        <w:autoSpaceDE w:val="0"/>
        <w:autoSpaceDN w:val="0"/>
        <w:bidi w:val="0"/>
        <w:adjustRightInd w:val="0"/>
        <w:snapToGrid w:val="0"/>
        <w:spacing w:before="24"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EBFC251">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发包人指定的送达方式（包括电子传输方式</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79A8F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F3620DD">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承包人指定的送达方式（包括电子传输方式</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
          <w:sz w:val="24"/>
          <w:szCs w:val="24"/>
          <w:highlight w:val="none"/>
        </w:rPr>
        <w:t>。</w:t>
      </w:r>
    </w:p>
    <w:p w14:paraId="4924F78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03ADA1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2901CA1E">
      <w:pPr>
        <w:pStyle w:val="2"/>
        <w:keepNext w:val="0"/>
        <w:keepLines w:val="0"/>
        <w:pageBreakBefore w:val="0"/>
        <w:widowControl/>
        <w:kinsoku w:val="0"/>
        <w:wordWrap/>
        <w:overflowPunct/>
        <w:topLinePunct w:val="0"/>
        <w:autoSpaceDE w:val="0"/>
        <w:autoSpaceDN w:val="0"/>
        <w:bidi w:val="0"/>
        <w:adjustRightInd w:val="0"/>
        <w:snapToGrid w:val="0"/>
        <w:spacing w:before="26"/>
        <w:ind w:left="23" w:right="68"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由发包人（或以发包人名义）编制的《发包人要求》</w:t>
      </w:r>
      <w:r>
        <w:rPr>
          <w:rFonts w:hint="eastAsia" w:ascii="仿宋" w:hAnsi="仿宋" w:eastAsia="仿宋" w:cs="仿宋"/>
          <w:color w:val="auto"/>
          <w:spacing w:val="8"/>
          <w:sz w:val="24"/>
          <w:szCs w:val="24"/>
          <w:highlight w:val="none"/>
        </w:rPr>
        <w:t>和其他文件的著作权归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属：</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21D2B16">
      <w:pPr>
        <w:pStyle w:val="2"/>
        <w:keepNext w:val="0"/>
        <w:keepLines w:val="0"/>
        <w:pageBreakBefore w:val="0"/>
        <w:widowControl/>
        <w:kinsoku w:val="0"/>
        <w:wordWrap/>
        <w:overflowPunct/>
        <w:topLinePunct w:val="0"/>
        <w:autoSpaceDE w:val="0"/>
        <w:autoSpaceDN w:val="0"/>
        <w:bidi w:val="0"/>
        <w:adjustRightInd w:val="0"/>
        <w:snapToGrid w:val="0"/>
        <w:spacing w:before="24" w:line="246" w:lineRule="auto"/>
        <w:ind w:left="21" w:right="68"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由承包人（或以承包人名义）为实施工程所编制的文</w:t>
      </w:r>
      <w:r>
        <w:rPr>
          <w:rFonts w:hint="eastAsia" w:ascii="仿宋" w:hAnsi="仿宋" w:eastAsia="仿宋" w:cs="仿宋"/>
          <w:color w:val="auto"/>
          <w:spacing w:val="8"/>
          <w:sz w:val="24"/>
          <w:szCs w:val="24"/>
          <w:highlight w:val="none"/>
        </w:rPr>
        <w:t>件、承包人完成的设计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工  作  成  果  和  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
          <w:sz w:val="24"/>
          <w:szCs w:val="24"/>
          <w:highlight w:val="none"/>
        </w:rPr>
        <w:t>完</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成</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rPr>
        <w:t>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筑</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物</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知</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识</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产</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
          <w:sz w:val="24"/>
          <w:szCs w:val="24"/>
          <w:highlight w:val="none"/>
        </w:rPr>
        <w:t>权</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2"/>
          <w:sz w:val="24"/>
          <w:szCs w:val="24"/>
          <w:highlight w:val="none"/>
        </w:rPr>
        <w:t>归</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属</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position w:val="-2"/>
          <w:sz w:val="24"/>
          <w:szCs w:val="24"/>
          <w:highlight w:val="none"/>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57"/>
                    <a:stretch>
                      <a:fillRect/>
                    </a:stretch>
                  </pic:blipFill>
                  <pic:spPr>
                    <a:xfrm>
                      <a:off x="0" y="0"/>
                      <a:ext cx="1269" cy="6095"/>
                    </a:xfrm>
                    <a:prstGeom prst="rect">
                      <a:avLst/>
                    </a:prstGeom>
                  </pic:spPr>
                </pic:pic>
              </a:graphicData>
            </a:graphic>
          </wp:inline>
        </w:drawing>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4"/>
          <w:sz w:val="24"/>
          <w:szCs w:val="24"/>
          <w:highlight w:val="none"/>
        </w:rPr>
        <w:t>在 投 标 文 件 中 采 用 的 专 利 、 专</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4"/>
          <w:sz w:val="24"/>
          <w:szCs w:val="24"/>
          <w:highlight w:val="none"/>
        </w:rPr>
        <w:t>有</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4"/>
          <w:sz w:val="24"/>
          <w:szCs w:val="24"/>
          <w:highlight w:val="none"/>
        </w:rPr>
        <w:t>技</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4"/>
          <w:sz w:val="24"/>
          <w:szCs w:val="24"/>
          <w:highlight w:val="none"/>
        </w:rPr>
        <w:t>术 、</w:t>
      </w:r>
      <w:r>
        <w:rPr>
          <w:rFonts w:hint="eastAsia" w:ascii="仿宋" w:hAnsi="仿宋" w:eastAsia="仿宋" w:cs="仿宋"/>
          <w:color w:val="auto"/>
          <w:spacing w:val="-5"/>
          <w:sz w:val="24"/>
          <w:szCs w:val="24"/>
          <w:highlight w:val="none"/>
        </w:rPr>
        <w:t xml:space="preserve"> 技 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秘</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密 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使 用 费 的 承</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担</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方</w:t>
      </w:r>
      <w:r>
        <w:rPr>
          <w:rFonts w:hint="eastAsia" w:ascii="仿宋" w:hAnsi="仿宋" w:eastAsia="仿宋" w:cs="仿宋"/>
          <w:color w:val="auto"/>
          <w:sz w:val="24"/>
          <w:szCs w:val="24"/>
          <w:highlight w:val="none"/>
        </w:rPr>
        <w:t xml:space="preserve"> 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1E73541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179DAAD">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双方订立的商业保密协议（名称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875F65">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双方订立的技术保密协议（名称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B52BB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4FE105F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承包人对发包人赔偿责任的最高限额为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9B99C5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0B82956D">
      <w:pPr>
        <w:pStyle w:val="2"/>
        <w:keepNext w:val="0"/>
        <w:keepLines w:val="0"/>
        <w:pageBreakBefore w:val="0"/>
        <w:widowControl/>
        <w:kinsoku w:val="0"/>
        <w:wordWrap/>
        <w:overflowPunct/>
        <w:topLinePunct w:val="0"/>
        <w:autoSpaceDE w:val="0"/>
        <w:autoSpaceDN w:val="0"/>
        <w:bidi w:val="0"/>
        <w:adjustRightInd w:val="0"/>
        <w:snapToGrid w:val="0"/>
        <w:spacing w:before="26"/>
        <w:ind w:left="28" w:right="70"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关于建筑信息模型技术的开发</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3"/>
          <w:sz w:val="24"/>
          <w:szCs w:val="24"/>
          <w:highlight w:val="none"/>
        </w:rPr>
        <w:t>使用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3"/>
          <w:sz w:val="24"/>
          <w:szCs w:val="24"/>
          <w:highlight w:val="none"/>
        </w:rPr>
        <w:t>存储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2"/>
          <w:sz w:val="24"/>
          <w:szCs w:val="24"/>
          <w:highlight w:val="none"/>
        </w:rPr>
        <w:t>传输</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2"/>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2"/>
          <w:sz w:val="24"/>
          <w:szCs w:val="24"/>
          <w:highlight w:val="none"/>
        </w:rPr>
        <w:t>交付及费用约定如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下：</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0B872A87">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5AD7F9E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3" w:type="default"/>
          <w:pgSz w:w="11906" w:h="16839"/>
          <w:pgMar w:top="1428" w:right="1731" w:bottom="1171" w:left="1785" w:header="0" w:footer="992" w:gutter="0"/>
          <w:pgNumType w:fmt="decimal"/>
          <w:cols w:space="720" w:num="1"/>
        </w:sectPr>
      </w:pPr>
    </w:p>
    <w:p w14:paraId="21F9F44F">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6E6F1E62">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66B0DF22">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关于发包人提供施工现场的范围和期限：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E43CD7">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5320C54A">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关于发包人应负责提供的工作条件包括：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2E1535B">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7340E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关于发包人应提供的基础资料的范围和期限：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F33EC06">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46C22EAD">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发包人提供资金来源证明及资金安排的期限要求：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2B35EE">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2.5.3 发包人提供支付担保的形式、期限、金额（或比例</w:t>
      </w:r>
      <w:r>
        <w:rPr>
          <w:rFonts w:hint="eastAsia" w:ascii="仿宋" w:hAnsi="仿宋" w:eastAsia="仿宋" w:cs="仿宋"/>
          <w:color w:val="auto"/>
          <w:spacing w:val="-52"/>
          <w:w w:val="9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39C695A">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ABB3A6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A445B">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B7A08B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3F431E67">
      <w:pPr>
        <w:pStyle w:val="2"/>
        <w:keepNext w:val="0"/>
        <w:keepLines w:val="0"/>
        <w:pageBreakBefore w:val="0"/>
        <w:widowControl/>
        <w:kinsoku w:val="0"/>
        <w:wordWrap/>
        <w:overflowPunct/>
        <w:topLinePunct w:val="0"/>
        <w:autoSpaceDE w:val="0"/>
        <w:autoSpaceDN w:val="0"/>
        <w:bidi w:val="0"/>
        <w:adjustRightInd w:val="0"/>
        <w:snapToGrid w:val="0"/>
        <w:spacing w:before="26"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3AC2F6D">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发包人代表的身份证号</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465E08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3A330E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发包人代表的联系电话</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D89C80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发包人代表的电子邮箱</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C063E6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发包人代表的通信地址</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D3547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发包人对发包人代表的授权范围如下</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B0D9D6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发包人代表的职责：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F81F29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35E9CE70">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D1B4A2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F9032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发包人人员职责：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550619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2FD62065">
      <w:pPr>
        <w:pStyle w:val="2"/>
        <w:keepNext w:val="0"/>
        <w:keepLines w:val="0"/>
        <w:pageBreakBefore w:val="0"/>
        <w:widowControl/>
        <w:kinsoku w:val="0"/>
        <w:wordWrap/>
        <w:overflowPunct/>
        <w:topLinePunct w:val="0"/>
        <w:autoSpaceDE w:val="0"/>
        <w:autoSpaceDN w:val="0"/>
        <w:bidi w:val="0"/>
        <w:adjustRightInd w:val="0"/>
        <w:snapToGrid w:val="0"/>
        <w:spacing w:before="27"/>
        <w:ind w:left="24"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3.3.1 工程师名称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13"/>
          <w:sz w:val="24"/>
          <w:szCs w:val="24"/>
          <w:highlight w:val="none"/>
        </w:rPr>
        <w:t>工程师监督管理范围、</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3"/>
          <w:sz w:val="24"/>
          <w:szCs w:val="24"/>
          <w:highlight w:val="none"/>
        </w:rPr>
        <w:t>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6"/>
          <w:sz w:val="24"/>
          <w:szCs w:val="24"/>
          <w:highlight w:val="none"/>
        </w:rPr>
        <w:t>工程师权限：</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03E177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12BF0DE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3.6.2 关于商定时间限制的具体约定：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7C4A1E4">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3.6.3 关于商定或确定效力的具体约定</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9"/>
          <w:sz w:val="24"/>
          <w:szCs w:val="24"/>
          <w:highlight w:val="none"/>
        </w:rPr>
        <w:t>关于对工程</w:t>
      </w:r>
      <w:r>
        <w:rPr>
          <w:rFonts w:hint="eastAsia" w:ascii="仿宋" w:hAnsi="仿宋" w:eastAsia="仿宋" w:cs="仿宋"/>
          <w:color w:val="auto"/>
          <w:spacing w:val="8"/>
          <w:sz w:val="24"/>
          <w:szCs w:val="24"/>
          <w:highlight w:val="none"/>
        </w:rPr>
        <w:t>师的确定提</w:t>
      </w:r>
    </w:p>
    <w:p w14:paraId="79CCFF4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出异议的具体约定：</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614D99">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76974A14">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3.7.1 关于召开会议的具体约定：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A99C940">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3.7.2 关于保存和提供会议纪要的具体约定：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EEBFBB3">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D8B7A1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7BD052A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5AAC7C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3697F5AE">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承包人是否提供履约担保：</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2A6FBF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履约担保的方式、金额及期限:</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50699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78277FAA">
      <w:pPr>
        <w:pStyle w:val="2"/>
        <w:keepNext w:val="0"/>
        <w:keepLines w:val="0"/>
        <w:pageBreakBefore w:val="0"/>
        <w:widowControl/>
        <w:kinsoku w:val="0"/>
        <w:wordWrap/>
        <w:overflowPunct/>
        <w:topLinePunct w:val="0"/>
        <w:autoSpaceDE w:val="0"/>
        <w:autoSpaceDN w:val="0"/>
        <w:bidi w:val="0"/>
        <w:adjustRightInd w:val="0"/>
        <w:snapToGrid w:val="0"/>
        <w:spacing w:before="29" w:line="247" w:lineRule="auto"/>
        <w:ind w:left="621" w:right="226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4.3.1 工程总承包项目经理姓名</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执业资格或职称类型</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执业资格证或职称证号码</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联系电话</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电子邮箱</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
          <w:sz w:val="24"/>
          <w:szCs w:val="24"/>
          <w:highlight w:val="none"/>
        </w:rPr>
        <w:t xml:space="preserve"> 通信地址：</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265A1D6">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仿宋" w:hAnsi="仿宋" w:eastAsia="仿宋" w:cs="仿宋"/>
          <w:color w:val="auto"/>
          <w:sz w:val="24"/>
          <w:szCs w:val="24"/>
          <w:highlight w:val="none"/>
        </w:rPr>
        <w:sectPr>
          <w:footerReference r:id="rId44" w:type="default"/>
          <w:pgSz w:w="11906" w:h="16839"/>
          <w:pgMar w:top="1428" w:right="1731" w:bottom="1171" w:left="1785" w:header="0" w:footer="992" w:gutter="0"/>
          <w:pgNumType w:fmt="decimal"/>
          <w:cols w:space="720" w:num="1"/>
        </w:sectPr>
      </w:pPr>
    </w:p>
    <w:p w14:paraId="3E54F2FA">
      <w:pPr>
        <w:pStyle w:val="2"/>
        <w:keepNext w:val="0"/>
        <w:keepLines w:val="0"/>
        <w:pageBreakBefore w:val="0"/>
        <w:widowControl/>
        <w:kinsoku w:val="0"/>
        <w:wordWrap/>
        <w:overflowPunct/>
        <w:topLinePunct w:val="0"/>
        <w:autoSpaceDE w:val="0"/>
        <w:autoSpaceDN w:val="0"/>
        <w:bidi w:val="0"/>
        <w:adjustRightInd w:val="0"/>
        <w:snapToGrid w:val="0"/>
        <w:spacing w:before="41"/>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承包人未提交劳动合同，以及没有为工程总承包项目经理缴纳社会保险证明的违</w:t>
      </w:r>
      <w:r>
        <w:rPr>
          <w:rFonts w:hint="eastAsia" w:ascii="仿宋" w:hAnsi="仿宋" w:eastAsia="仿宋" w:cs="仿宋"/>
          <w:color w:val="auto"/>
          <w:spacing w:val="7"/>
          <w:sz w:val="24"/>
          <w:szCs w:val="24"/>
          <w:highlight w:val="none"/>
        </w:rPr>
        <w:t>约责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任：</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4"/>
          <w:sz w:val="24"/>
          <w:szCs w:val="24"/>
          <w:highlight w:val="none"/>
        </w:rPr>
        <w:t>。</w:t>
      </w:r>
    </w:p>
    <w:p w14:paraId="7B2F236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工程总承包项目经理每月在现场的时间要求：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61E90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工程总承包项目经理未经批准擅自离开施工现场的违约责任：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24E644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4.3.3 承包人对工程总承包项目经理的授权范围</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75180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4.3.4 承包人擅自更换工程总承包项目经理的违约责任：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32ECB8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承包人无正当理由拒绝更换工程总承包项目经理</w:t>
      </w:r>
      <w:r>
        <w:rPr>
          <w:rFonts w:hint="eastAsia" w:ascii="仿宋" w:hAnsi="仿宋" w:eastAsia="仿宋" w:cs="仿宋"/>
          <w:color w:val="auto"/>
          <w:spacing w:val="6"/>
          <w:sz w:val="24"/>
          <w:szCs w:val="24"/>
          <w:highlight w:val="none"/>
        </w:rPr>
        <w:t>的违约责任</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CD5A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01B9EC90">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0FC8FDE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承包人提交项目管理机构及施工现场人员安排的报告的期限：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57D2469">
      <w:pPr>
        <w:pStyle w:val="2"/>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承包人提交关键人员信息及注册执业资格等证明其具备担任</w:t>
      </w:r>
      <w:r>
        <w:rPr>
          <w:rFonts w:hint="eastAsia" w:ascii="仿宋" w:hAnsi="仿宋" w:eastAsia="仿宋" w:cs="仿宋"/>
          <w:color w:val="auto"/>
          <w:spacing w:val="13"/>
          <w:sz w:val="24"/>
          <w:szCs w:val="24"/>
          <w:highlight w:val="none"/>
        </w:rPr>
        <w:t>关键人员能力的相关文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件的期限：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7FB7D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744147A0">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承包人擅自更换关键人员的违约责任：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7A611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承包人无正当理由拒绝撤换关键人员的违约责任：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10FD7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60CA28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承包人现场管理关键人员离开施工现场的批准要求：</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7DCF9C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44EECE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0D61A9B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5712ED9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禁止分包的工程包括：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052D8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607DA93E">
      <w:pPr>
        <w:pStyle w:val="2"/>
        <w:keepNext w:val="0"/>
        <w:keepLines w:val="0"/>
        <w:pageBreakBefore w:val="0"/>
        <w:widowControl/>
        <w:kinsoku w:val="0"/>
        <w:wordWrap/>
        <w:overflowPunct/>
        <w:topLinePunct w:val="0"/>
        <w:autoSpaceDE w:val="0"/>
        <w:autoSpaceDN w:val="0"/>
        <w:bidi w:val="0"/>
        <w:adjustRightInd w:val="0"/>
        <w:snapToGrid w:val="0"/>
        <w:spacing w:before="27" w:line="25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允许分包的工程包括：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CAB2A1">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其他关于分包的约定：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ACA031">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215B1567">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关于分包合同价款支付的约定：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4559FC1">
      <w:pPr>
        <w:pStyle w:val="2"/>
        <w:keepNext w:val="0"/>
        <w:keepLines w:val="0"/>
        <w:pageBreakBefore w:val="0"/>
        <w:widowControl/>
        <w:kinsoku w:val="0"/>
        <w:wordWrap/>
        <w:overflowPunct/>
        <w:topLinePunct w:val="0"/>
        <w:autoSpaceDE w:val="0"/>
        <w:autoSpaceDN w:val="0"/>
        <w:bidi w:val="0"/>
        <w:adjustRightInd w:val="0"/>
        <w:snapToGrid w:val="0"/>
        <w:spacing w:before="26"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0A0F0A4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4.6.2 联合体各成员的分工、费用收取、发票开具等事项：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C72F6E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0C78C29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双方当事人对现场查勘的责任承担的约定：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EE7E1E2">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636D16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不可预见的困难包括：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D2531A">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设计</w:t>
      </w:r>
    </w:p>
    <w:p w14:paraId="76D324D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645E5B0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5.2.1 承包人文件审查的期限：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99EDCC9">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5.2.2 审查会议的审查形式和时间安排为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1"/>
          <w:sz w:val="24"/>
          <w:szCs w:val="24"/>
          <w:highlight w:val="none"/>
        </w:rPr>
        <w:t>审查会议的</w:t>
      </w:r>
      <w:r>
        <w:rPr>
          <w:rFonts w:hint="eastAsia" w:ascii="仿宋" w:hAnsi="仿宋" w:eastAsia="仿宋" w:cs="仿宋"/>
          <w:color w:val="auto"/>
          <w:spacing w:val="10"/>
          <w:sz w:val="24"/>
          <w:szCs w:val="24"/>
          <w:highlight w:val="none"/>
        </w:rPr>
        <w:t>相关费用由</w:t>
      </w:r>
    </w:p>
    <w:p w14:paraId="39D7CB5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承担。</w:t>
      </w:r>
    </w:p>
    <w:p w14:paraId="5E3F83B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5.2.3 关于第三方审查单位的约定：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425B7A0">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21CA18A0">
      <w:pPr>
        <w:pStyle w:val="2"/>
        <w:keepNext w:val="0"/>
        <w:keepLines w:val="0"/>
        <w:pageBreakBefore w:val="0"/>
        <w:widowControl/>
        <w:kinsoku w:val="0"/>
        <w:wordWrap/>
        <w:overflowPunct/>
        <w:topLinePunct w:val="0"/>
        <w:autoSpaceDE w:val="0"/>
        <w:autoSpaceDN w:val="0"/>
        <w:bidi w:val="0"/>
        <w:adjustRightInd w:val="0"/>
        <w:snapToGrid w:val="0"/>
        <w:spacing w:before="23"/>
        <w:ind w:left="24"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培训的时长为</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14"/>
          <w:sz w:val="24"/>
          <w:szCs w:val="24"/>
          <w:highlight w:val="none"/>
        </w:rPr>
        <w:t>，承包人应为培训提供的人员、设施和其它必要条件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3A7CA1C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4D016A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5.4.1 竣工文件的形式、提供的份数、技术标准以及</w:t>
      </w:r>
      <w:r>
        <w:rPr>
          <w:rFonts w:hint="eastAsia" w:ascii="仿宋" w:hAnsi="仿宋" w:eastAsia="仿宋" w:cs="仿宋"/>
          <w:color w:val="auto"/>
          <w:spacing w:val="5"/>
          <w:sz w:val="24"/>
          <w:szCs w:val="24"/>
          <w:highlight w:val="none"/>
        </w:rPr>
        <w:t>其它相关要求：</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8BD22FB">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5.4.3 关于竣工文件的其他约定：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5FEF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D27373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5.5.3 对最终操作和维修手册的约定：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59CF7E3">
      <w:pPr>
        <w:pStyle w:val="2"/>
        <w:keepNext w:val="0"/>
        <w:keepLines w:val="0"/>
        <w:pageBreakBefore w:val="0"/>
        <w:widowControl/>
        <w:kinsoku w:val="0"/>
        <w:wordWrap/>
        <w:overflowPunct/>
        <w:topLinePunct w:val="0"/>
        <w:autoSpaceDE w:val="0"/>
        <w:autoSpaceDN w:val="0"/>
        <w:bidi w:val="0"/>
        <w:adjustRightInd w:val="0"/>
        <w:snapToGrid w:val="0"/>
        <w:spacing w:before="145" w:line="227"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 材料、工程设备</w:t>
      </w:r>
    </w:p>
    <w:p w14:paraId="67B5CC4F">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00894C75">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双方当事人约定的实施方法、设备、设施和材料：</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39A3F59">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5848A354">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p>
    <w:p w14:paraId="467CFAFC">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3B9EA6CD">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发包人提供的材料和工程设备验收后，由</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负责接收、运输和保管。</w:t>
      </w:r>
    </w:p>
    <w:p w14:paraId="34F6928F">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3C499999">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材料和工程设备的类别、估算数量：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73305F">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竣工后试验的生产性材料的类别或（和）清单：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05851DC">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4BC29638">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发包人供应的材料和工程设备的保管费用由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承担。</w:t>
      </w:r>
    </w:p>
    <w:p w14:paraId="66F498DA">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承包人提交保管、维护方案的时间：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392DAB">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发包人提供的库房、堆场、设施和设备：</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A206A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5485E4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56F3315D">
      <w:pPr>
        <w:pStyle w:val="2"/>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3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需</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要</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承</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包</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人</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5"/>
          <w:sz w:val="24"/>
          <w:szCs w:val="24"/>
          <w:highlight w:val="none"/>
        </w:rPr>
        <w:t>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材</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料</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或</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工</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程</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设</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种</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类</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名</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称</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格</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1499DC12">
      <w:pPr>
        <w:pStyle w:val="2"/>
        <w:keepNext w:val="0"/>
        <w:keepLines w:val="0"/>
        <w:pageBreakBefore w:val="0"/>
        <w:widowControl/>
        <w:kinsoku w:val="0"/>
        <w:wordWrap/>
        <w:overflowPunct/>
        <w:topLinePunct w:val="0"/>
        <w:autoSpaceDE w:val="0"/>
        <w:autoSpaceDN w:val="0"/>
        <w:bidi w:val="0"/>
        <w:adjustRightInd w:val="0"/>
        <w:snapToGrid w:val="0"/>
        <w:spacing w:before="1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02EEAC9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647BA20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工程质量的特殊标准或要求：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EAD06D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6E6D828">
      <w:pPr>
        <w:pStyle w:val="2"/>
        <w:keepNext w:val="0"/>
        <w:keepLines w:val="0"/>
        <w:pageBreakBefore w:val="0"/>
        <w:widowControl/>
        <w:kinsoku w:val="0"/>
        <w:wordWrap/>
        <w:overflowPunct/>
        <w:topLinePunct w:val="0"/>
        <w:autoSpaceDE w:val="0"/>
        <w:autoSpaceDN w:val="0"/>
        <w:bidi w:val="0"/>
        <w:adjustRightInd w:val="0"/>
        <w:snapToGrid w:val="0"/>
        <w:spacing w:before="26" w:line="242" w:lineRule="auto"/>
        <w:ind w:left="32" w:right="3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除通用合同条件已列明的质量检查的地点外，发包人有权进行质量检查的其他地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z w:val="24"/>
          <w:szCs w:val="24"/>
          <w:highlight w:val="none"/>
        </w:rPr>
        <w:t>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618FBF81">
      <w:pPr>
        <w:pStyle w:val="2"/>
        <w:keepNext w:val="0"/>
        <w:keepLines w:val="0"/>
        <w:pageBreakBefore w:val="0"/>
        <w:widowControl/>
        <w:kinsoku w:val="0"/>
        <w:wordWrap/>
        <w:overflowPunct/>
        <w:topLinePunct w:val="0"/>
        <w:autoSpaceDE w:val="0"/>
        <w:autoSpaceDN w:val="0"/>
        <w:bidi w:val="0"/>
        <w:adjustRightInd w:val="0"/>
        <w:snapToGrid w:val="0"/>
        <w:spacing w:before="1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0BDDB15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关于隐蔽工程和中间验收的特别约定：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A44097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5BF73A1C">
      <w:pPr>
        <w:pStyle w:val="2"/>
        <w:keepNext w:val="0"/>
        <w:keepLines w:val="0"/>
        <w:pageBreakBefore w:val="0"/>
        <w:widowControl/>
        <w:kinsoku w:val="0"/>
        <w:wordWrap/>
        <w:overflowPunct/>
        <w:topLinePunct w:val="0"/>
        <w:autoSpaceDE w:val="0"/>
        <w:autoSpaceDN w:val="0"/>
        <w:bidi w:val="0"/>
        <w:adjustRightInd w:val="0"/>
        <w:snapToGrid w:val="0"/>
        <w:spacing w:before="27" w:line="229"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36EAE26D">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试验的内容、时间和地点：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76F582">
      <w:pPr>
        <w:pStyle w:val="2"/>
        <w:keepNext w:val="0"/>
        <w:keepLines w:val="0"/>
        <w:pageBreakBefore w:val="0"/>
        <w:widowControl/>
        <w:kinsoku w:val="0"/>
        <w:wordWrap/>
        <w:overflowPunct/>
        <w:topLinePunct w:val="0"/>
        <w:autoSpaceDE w:val="0"/>
        <w:autoSpaceDN w:val="0"/>
        <w:bidi w:val="0"/>
        <w:adjustRightInd w:val="0"/>
        <w:snapToGrid w:val="0"/>
        <w:spacing w:before="27" w:line="238" w:lineRule="auto"/>
        <w:ind w:left="622" w:right="6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试验所需要的试验设备、取样装置、试验场所和试验条件：</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6"/>
          <w:sz w:val="24"/>
          <w:szCs w:val="24"/>
          <w:highlight w:val="none"/>
        </w:rPr>
        <w:t xml:space="preserve"> 试验和检验费用的计价原则：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C83E152">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b/>
          <w:bCs/>
          <w:color w:val="auto"/>
          <w:spacing w:val="-2"/>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b/>
          <w:bCs/>
          <w:color w:val="auto"/>
          <w:spacing w:val="-2"/>
          <w:sz w:val="24"/>
          <w:szCs w:val="24"/>
          <w:highlight w:val="none"/>
        </w:rPr>
        <w:t>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b/>
          <w:bCs/>
          <w:color w:val="auto"/>
          <w:spacing w:val="-2"/>
          <w:sz w:val="24"/>
          <w:szCs w:val="24"/>
          <w:highlight w:val="none"/>
        </w:rPr>
        <w:t>施工</w:t>
      </w:r>
    </w:p>
    <w:p w14:paraId="2D1321F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3246B6C4">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3112710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关于出入现场的权利的约定：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A5A6E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7.1.2 场外交通</w:t>
      </w:r>
    </w:p>
    <w:p w14:paraId="2D8360F9">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关于场外交通的特别约定：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D260C2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05C9BF3C">
      <w:pPr>
        <w:pStyle w:val="2"/>
        <w:keepNext w:val="0"/>
        <w:keepLines w:val="0"/>
        <w:pageBreakBefore w:val="0"/>
        <w:widowControl/>
        <w:kinsoku w:val="0"/>
        <w:wordWrap/>
        <w:overflowPunct/>
        <w:topLinePunct w:val="0"/>
        <w:autoSpaceDE w:val="0"/>
        <w:autoSpaceDN w:val="0"/>
        <w:bidi w:val="0"/>
        <w:adjustRightInd w:val="0"/>
        <w:snapToGrid w:val="0"/>
        <w:spacing w:before="25" w:line="25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关于场内交通的特别约定：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22774A8">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关于场内交通与场外交通边界的约定：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333447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A5EFBAC">
      <w:pPr>
        <w:pStyle w:val="2"/>
        <w:keepNext w:val="0"/>
        <w:keepLines w:val="0"/>
        <w:pageBreakBefore w:val="0"/>
        <w:widowControl/>
        <w:kinsoku w:val="0"/>
        <w:wordWrap/>
        <w:overflowPunct/>
        <w:topLinePunct w:val="0"/>
        <w:autoSpaceDE w:val="0"/>
        <w:autoSpaceDN w:val="0"/>
        <w:bidi w:val="0"/>
        <w:adjustRightInd w:val="0"/>
        <w:snapToGrid w:val="0"/>
        <w:spacing w:before="25"/>
        <w:ind w:left="22"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运输超大件或超重件所需的道路和桥梁临时加固改造费用和其他有关费用由</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3"/>
          <w:sz w:val="24"/>
          <w:szCs w:val="24"/>
          <w:highlight w:val="none"/>
        </w:rPr>
        <w:t>承担。</w:t>
      </w:r>
    </w:p>
    <w:p w14:paraId="136FC11D">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B515C5A">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E35818F">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临时设施的费用和临时占地手续和费用承担的特别约定：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910C3D4">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950831">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发包人提供的施工设备或临时设施范围：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E73549D">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998DF1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关于现场合作费用的特别约定：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B905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7261E93B">
      <w:pPr>
        <w:pStyle w:val="2"/>
        <w:keepNext w:val="0"/>
        <w:keepLines w:val="0"/>
        <w:pageBreakBefore w:val="0"/>
        <w:widowControl/>
        <w:kinsoku w:val="0"/>
        <w:wordWrap/>
        <w:overflowPunct/>
        <w:topLinePunct w:val="0"/>
        <w:autoSpaceDE w:val="0"/>
        <w:autoSpaceDN w:val="0"/>
        <w:bidi w:val="0"/>
        <w:adjustRightInd w:val="0"/>
        <w:snapToGrid w:val="0"/>
        <w:spacing w:before="25"/>
        <w:ind w:left="26"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7.4.1 关于测量放线的特别约定的技术规范：</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。施工控制网资料的告</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知期限：</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07310AB">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339B042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合同当事人对建筑工人工资清偿事宜和违约责任的约定：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BE786BD">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5" w:type="default"/>
          <w:pgSz w:w="11906" w:h="16839"/>
          <w:pgMar w:top="1428" w:right="1771" w:bottom="1171" w:left="1785" w:header="0" w:footer="992" w:gutter="0"/>
          <w:pgNumType w:fmt="decimal"/>
          <w:cols w:space="720" w:num="1"/>
        </w:sectPr>
      </w:pPr>
    </w:p>
    <w:p w14:paraId="1E1ADB1A">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0833F0B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C36FB3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74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合同当事人对安全施工的要求：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F1D2A0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17A9B22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合同当事人对文明施工的要求：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30EE0A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789A6AA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关于临时性公用设施的特别约定：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004981">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12F41DF6">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承包人现场安保义务的特别约定：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1F28067">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4"/>
          <w:sz w:val="24"/>
          <w:szCs w:val="24"/>
          <w:highlight w:val="none"/>
        </w:rPr>
        <w:t>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工期和进度</w:t>
      </w:r>
    </w:p>
    <w:p w14:paraId="19F4A10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2E94386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开始准备工作：</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1113F9B">
      <w:pPr>
        <w:pStyle w:val="2"/>
        <w:keepNext w:val="0"/>
        <w:keepLines w:val="0"/>
        <w:pageBreakBefore w:val="0"/>
        <w:widowControl/>
        <w:kinsoku w:val="0"/>
        <w:wordWrap/>
        <w:overflowPunct/>
        <w:topLinePunct w:val="0"/>
        <w:autoSpaceDE w:val="0"/>
        <w:autoSpaceDN w:val="0"/>
        <w:bidi w:val="0"/>
        <w:adjustRightInd w:val="0"/>
        <w:snapToGrid w:val="0"/>
        <w:spacing w:before="26"/>
        <w:ind w:left="24"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8.1.2</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1"/>
          <w:sz w:val="24"/>
          <w:szCs w:val="24"/>
          <w:highlight w:val="none"/>
        </w:rPr>
        <w:t>发包</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人</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可</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11"/>
          <w:sz w:val="24"/>
          <w:szCs w:val="24"/>
          <w:highlight w:val="none"/>
        </w:rPr>
        <w:t>在计划开始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工</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作</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之</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11"/>
          <w:sz w:val="24"/>
          <w:szCs w:val="24"/>
          <w:highlight w:val="none"/>
        </w:rPr>
        <w:t>日起 84 日</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后</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1"/>
          <w:sz w:val="24"/>
          <w:szCs w:val="24"/>
          <w:highlight w:val="none"/>
        </w:rPr>
        <w:t>发</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1"/>
          <w:sz w:val="24"/>
          <w:szCs w:val="24"/>
          <w:highlight w:val="none"/>
        </w:rPr>
        <w:t>出</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开</w:t>
      </w:r>
      <w:r>
        <w:rPr>
          <w:rFonts w:hint="eastAsia" w:ascii="仿宋" w:hAnsi="仿宋" w:eastAsia="仿宋" w:cs="仿宋"/>
          <w:color w:val="auto"/>
          <w:spacing w:val="10"/>
          <w:sz w:val="24"/>
          <w:szCs w:val="24"/>
          <w:highlight w:val="none"/>
        </w:rPr>
        <w:t>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工作通</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0"/>
          <w:sz w:val="24"/>
          <w:szCs w:val="24"/>
          <w:highlight w:val="none"/>
        </w:rPr>
        <w:t>知</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0"/>
          <w:sz w:val="24"/>
          <w:szCs w:val="24"/>
          <w:highlight w:val="none"/>
        </w:rPr>
        <w:t>的特殊情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60746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372D8F4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竣工日期的约定：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2D814D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334F851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6F5641C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项目实施计划的内容：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F9BD30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6B281B7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项目实施计划的提交及修改期限：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982EC1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636C30C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工程师在收到进度计划后确认或提出修改意见的期限：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98AB7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622" w:right="2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8.4.2 进度计划的具体要求：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关键路径及关键路径变化的确定原则：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承包人提交项目进度计划的份数和时间：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3F61A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8.4.3 进度计划的修订</w:t>
      </w:r>
    </w:p>
    <w:p w14:paraId="56D502BC">
      <w:pPr>
        <w:pStyle w:val="2"/>
        <w:keepNext w:val="0"/>
        <w:keepLines w:val="0"/>
        <w:pageBreakBefore w:val="0"/>
        <w:widowControl/>
        <w:kinsoku w:val="0"/>
        <w:wordWrap/>
        <w:overflowPunct/>
        <w:topLinePunct w:val="0"/>
        <w:autoSpaceDE w:val="0"/>
        <w:autoSpaceDN w:val="0"/>
        <w:bidi w:val="0"/>
        <w:adjustRightInd w:val="0"/>
        <w:snapToGrid w:val="0"/>
        <w:spacing w:before="26"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46017A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发包人批复修订项目进度计划申请报告的期限：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CD34581">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承包人答复发包人提出修订合同计划的期限：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570ABF">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5657ACAE">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进度报告的具体要求：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3D6D33A">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33AC7238">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6D513DCC">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4" w:right="14"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因承包人原因使竣工日期延误，每延误</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1 日的误期赔偿金额为合同协议书的合同价格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2"/>
          <w:sz w:val="24"/>
          <w:szCs w:val="24"/>
          <w:highlight w:val="none"/>
        </w:rPr>
        <w:t>%或人民币金额为：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、累计最高赔偿金额为合同协议书的合同价格的：</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或人民币金额为：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DDEE1EC">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39B4877A">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行政审批报送的职责分工：</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FEAA32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14A04C4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双方约定视为异常恶劣的气候条件的情形：</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907DA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41087C">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8.8.2 承包人提前竣工的奖励：</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EF0B95">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 竣工试验</w:t>
      </w:r>
    </w:p>
    <w:p w14:paraId="36737C7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33CF2BED">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23" w:right="20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9.1.3 竣工试验的阶段、</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4"/>
          <w:sz w:val="24"/>
          <w:szCs w:val="24"/>
          <w:highlight w:val="none"/>
        </w:rPr>
        <w:t>内容和顺序：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竣工试验的操作要求：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5FF91BB">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验收和工程接收</w:t>
      </w:r>
    </w:p>
    <w:p w14:paraId="636D011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1B582717">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6" w:type="default"/>
          <w:pgSz w:w="11906" w:h="16839"/>
          <w:pgMar w:top="1428" w:right="1785" w:bottom="1171" w:left="1785" w:header="0" w:footer="992" w:gutter="0"/>
          <w:pgNumType w:fmt="decimal"/>
          <w:cols w:space="720" w:num="1"/>
        </w:sectPr>
      </w:pPr>
    </w:p>
    <w:p w14:paraId="637B8ED3">
      <w:pPr>
        <w:pStyle w:val="2"/>
        <w:keepNext w:val="0"/>
        <w:keepLines w:val="0"/>
        <w:pageBreakBefore w:val="0"/>
        <w:widowControl/>
        <w:kinsoku w:val="0"/>
        <w:wordWrap/>
        <w:overflowPunct/>
        <w:topLinePunct w:val="0"/>
        <w:autoSpaceDE w:val="0"/>
        <w:autoSpaceDN w:val="0"/>
        <w:bidi w:val="0"/>
        <w:adjustRightInd w:val="0"/>
        <w:snapToGrid w:val="0"/>
        <w:spacing w:before="4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10.1.2 关于竣工验收程序的约定：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1AADC10">
      <w:pPr>
        <w:pStyle w:val="2"/>
        <w:keepNext w:val="0"/>
        <w:keepLines w:val="0"/>
        <w:pageBreakBefore w:val="0"/>
        <w:widowControl/>
        <w:kinsoku w:val="0"/>
        <w:wordWrap/>
        <w:overflowPunct/>
        <w:topLinePunct w:val="0"/>
        <w:autoSpaceDE w:val="0"/>
        <w:autoSpaceDN w:val="0"/>
        <w:bidi w:val="0"/>
        <w:adjustRightInd w:val="0"/>
        <w:snapToGrid w:val="0"/>
        <w:spacing w:before="26"/>
        <w:ind w:left="26" w:right="119"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2"/>
          <w:sz w:val="24"/>
          <w:szCs w:val="24"/>
          <w:highlight w:val="none"/>
        </w:rPr>
        <w:t>发包人不按照合同约定组织竣工验收</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32"/>
          <w:sz w:val="24"/>
          <w:szCs w:val="24"/>
          <w:highlight w:val="none"/>
        </w:rPr>
        <w:t>、颁发</w:t>
      </w:r>
      <w:r>
        <w:rPr>
          <w:rFonts w:hint="eastAsia" w:ascii="仿宋" w:hAnsi="仿宋" w:eastAsia="仿宋" w:cs="仿宋"/>
          <w:color w:val="auto"/>
          <w:spacing w:val="31"/>
          <w:sz w:val="24"/>
          <w:szCs w:val="24"/>
          <w:highlight w:val="none"/>
        </w:rPr>
        <w:t>工程接受证书的违约金的计算方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53D8460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10.3</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工程的接收</w:t>
      </w:r>
    </w:p>
    <w:p w14:paraId="1DB22985">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工程接收的先后顺序、时间安排和其他要求：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F66B31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10.3.2 接受工程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7"/>
          <w:sz w:val="24"/>
          <w:szCs w:val="24"/>
          <w:highlight w:val="none"/>
        </w:rPr>
        <w:t>时承包人</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7"/>
          <w:sz w:val="24"/>
          <w:szCs w:val="24"/>
          <w:highlight w:val="none"/>
        </w:rPr>
        <w:t>需提交竣工验收</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7"/>
          <w:sz w:val="24"/>
          <w:szCs w:val="24"/>
          <w:highlight w:val="none"/>
        </w:rPr>
        <w:t>资料</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7"/>
          <w:sz w:val="24"/>
          <w:szCs w:val="24"/>
          <w:highlight w:val="none"/>
        </w:rPr>
        <w:t>的</w:t>
      </w:r>
      <w:r>
        <w:rPr>
          <w:rFonts w:hint="eastAsia" w:ascii="仿宋" w:hAnsi="仿宋" w:eastAsia="仿宋" w:cs="仿宋"/>
          <w:color w:val="auto"/>
          <w:spacing w:val="16"/>
          <w:sz w:val="24"/>
          <w:szCs w:val="24"/>
          <w:highlight w:val="none"/>
        </w:rPr>
        <w:t>类别</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6"/>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6"/>
          <w:sz w:val="24"/>
          <w:szCs w:val="24"/>
          <w:highlight w:val="none"/>
        </w:rPr>
        <w:t>内容</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6"/>
          <w:sz w:val="24"/>
          <w:szCs w:val="24"/>
          <w:highlight w:val="none"/>
        </w:rPr>
        <w:t>、份数和提交</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6"/>
          <w:sz w:val="24"/>
          <w:szCs w:val="24"/>
          <w:highlight w:val="none"/>
        </w:rPr>
        <w:t>时</w:t>
      </w:r>
    </w:p>
    <w:p w14:paraId="08B23BA1">
      <w:pPr>
        <w:pStyle w:val="2"/>
        <w:keepNext w:val="0"/>
        <w:keepLines w:val="0"/>
        <w:pageBreakBefore w:val="0"/>
        <w:widowControl/>
        <w:kinsoku w:val="0"/>
        <w:wordWrap/>
        <w:overflowPunct/>
        <w:topLinePunct w:val="0"/>
        <w:autoSpaceDE w:val="0"/>
        <w:autoSpaceDN w:val="0"/>
        <w:bidi w:val="0"/>
        <w:adjustRightInd w:val="0"/>
        <w:snapToGrid w:val="0"/>
        <w:spacing w:before="24" w:line="231" w:lineRule="auto"/>
        <w:ind w:left="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间：</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729FD32D">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10.3.3 发包人逾期接收工程的违约责任：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4AEEB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10.3.4 承包人无正当理由不移交工</w:t>
      </w:r>
      <w:r>
        <w:rPr>
          <w:rFonts w:hint="eastAsia" w:ascii="仿宋" w:hAnsi="仿宋" w:eastAsia="仿宋" w:cs="仿宋"/>
          <w:color w:val="auto"/>
          <w:spacing w:val="6"/>
          <w:sz w:val="24"/>
          <w:szCs w:val="24"/>
          <w:highlight w:val="none"/>
        </w:rPr>
        <w:t>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09BDB0D">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274738A6">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10.4.1 工程接收证书颁发时间：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D4715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2C26FAC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10.5.1 竣工退场的相关约定：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A81C892">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10.5.3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人员撤离</w:t>
      </w:r>
    </w:p>
    <w:p w14:paraId="7D9717C0">
      <w:pPr>
        <w:pStyle w:val="2"/>
        <w:keepNext w:val="0"/>
        <w:keepLines w:val="0"/>
        <w:pageBreakBefore w:val="0"/>
        <w:widowControl/>
        <w:kinsoku w:val="0"/>
        <w:wordWrap/>
        <w:overflowPunct/>
        <w:topLinePunct w:val="0"/>
        <w:autoSpaceDE w:val="0"/>
        <w:autoSpaceDN w:val="0"/>
        <w:bidi w:val="0"/>
        <w:adjustRightInd w:val="0"/>
        <w:snapToGrid w:val="0"/>
        <w:spacing w:before="27"/>
        <w:ind w:left="24"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工程师同意需在缺陷责任期内继续工作和使用的人员、施工设</w:t>
      </w:r>
      <w:r>
        <w:rPr>
          <w:rFonts w:hint="eastAsia" w:ascii="仿宋" w:hAnsi="仿宋" w:eastAsia="仿宋" w:cs="仿宋"/>
          <w:color w:val="auto"/>
          <w:spacing w:val="19"/>
          <w:sz w:val="24"/>
          <w:szCs w:val="24"/>
          <w:highlight w:val="none"/>
        </w:rPr>
        <w:t>备和临时工程的内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容：</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440EB129">
      <w:pPr>
        <w:pStyle w:val="2"/>
        <w:keepNext w:val="0"/>
        <w:keepLines w:val="0"/>
        <w:pageBreakBefore w:val="0"/>
        <w:widowControl/>
        <w:kinsoku w:val="0"/>
        <w:wordWrap/>
        <w:overflowPunct/>
        <w:topLinePunct w:val="0"/>
        <w:autoSpaceDE w:val="0"/>
        <w:autoSpaceDN w:val="0"/>
        <w:bidi w:val="0"/>
        <w:adjustRightInd w:val="0"/>
        <w:snapToGrid w:val="0"/>
        <w:spacing w:before="143"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缺陷责任与保修</w:t>
      </w:r>
    </w:p>
    <w:p w14:paraId="59D844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25421AE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253F77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3075067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5894D3BE">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承包人收到保修通知并到达工程现场的合理时间：</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8"/>
          <w:sz w:val="24"/>
          <w:szCs w:val="24"/>
          <w:highlight w:val="none"/>
        </w:rPr>
        <w:t>。</w:t>
      </w:r>
    </w:p>
    <w:p w14:paraId="460F1F2F">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4A4F5B65">
      <w:pPr>
        <w:pStyle w:val="2"/>
        <w:keepNext w:val="0"/>
        <w:keepLines w:val="0"/>
        <w:pageBreakBefore w:val="0"/>
        <w:widowControl/>
        <w:kinsoku w:val="0"/>
        <w:wordWrap/>
        <w:overflowPunct/>
        <w:topLinePunct w:val="0"/>
        <w:autoSpaceDE w:val="0"/>
        <w:autoSpaceDN w:val="0"/>
        <w:bidi w:val="0"/>
        <w:adjustRightInd w:val="0"/>
        <w:snapToGrid w:val="0"/>
        <w:spacing w:before="25" w:line="245" w:lineRule="auto"/>
        <w:ind w:left="21"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承包人应于缺陷责任期届满后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8"/>
          <w:sz w:val="24"/>
          <w:szCs w:val="24"/>
          <w:highlight w:val="none"/>
        </w:rPr>
        <w:t xml:space="preserve"> </w:t>
      </w:r>
      <w:r>
        <w:rPr>
          <w:rFonts w:hint="eastAsia" w:ascii="仿宋" w:hAnsi="仿宋" w:eastAsia="仿宋" w:cs="仿宋"/>
          <w:color w:val="auto"/>
          <w:spacing w:val="7"/>
          <w:sz w:val="24"/>
          <w:szCs w:val="24"/>
          <w:highlight w:val="none"/>
        </w:rPr>
        <w:t>天内向发包人发出缺陷责任期届满通知，发包人应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在收到缺陷责任期满通知后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7"/>
          <w:sz w:val="24"/>
          <w:szCs w:val="24"/>
          <w:highlight w:val="none"/>
        </w:rPr>
        <w:t>天内核实承包人是否履行缺陷修复义务，承包人</w:t>
      </w:r>
      <w:r>
        <w:rPr>
          <w:rFonts w:hint="eastAsia" w:ascii="仿宋" w:hAnsi="仿宋" w:eastAsia="仿宋" w:cs="仿宋"/>
          <w:color w:val="auto"/>
          <w:spacing w:val="6"/>
          <w:sz w:val="24"/>
          <w:szCs w:val="24"/>
          <w:highlight w:val="none"/>
        </w:rPr>
        <w:t>未能履行缺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陷修复义务的，发包人有权扣除相应金额的维修费用。发包人应在收到缺陷责任期届满通知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天内，向承包人颁发缺陷责任期终止证书。</w:t>
      </w:r>
    </w:p>
    <w:p w14:paraId="625B8BA1">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1BA459C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工程质量保修范围、期限和责任为：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7F6113">
      <w:pPr>
        <w:pStyle w:val="2"/>
        <w:keepNext w:val="0"/>
        <w:keepLines w:val="0"/>
        <w:pageBreakBefore w:val="0"/>
        <w:widowControl/>
        <w:kinsoku w:val="0"/>
        <w:wordWrap/>
        <w:overflowPunct/>
        <w:topLinePunct w:val="0"/>
        <w:autoSpaceDE w:val="0"/>
        <w:autoSpaceDN w:val="0"/>
        <w:bidi w:val="0"/>
        <w:adjustRightInd w:val="0"/>
        <w:snapToGrid w:val="0"/>
        <w:spacing w:before="145"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竣工后试验</w:t>
      </w:r>
    </w:p>
    <w:p w14:paraId="32AF3E2C">
      <w:pPr>
        <w:pStyle w:val="2"/>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本合同工程是否包含竣工后试验：</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8CFEFA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60D5C22B">
      <w:pPr>
        <w:pStyle w:val="2"/>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48"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12.1.2 竣工后试验全部电力、水、污水处理、燃料、消耗品和材料，</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 xml:space="preserve">以及全部其他 </w:t>
      </w:r>
      <w:r>
        <w:rPr>
          <w:rFonts w:hint="eastAsia" w:ascii="仿宋" w:hAnsi="仿宋" w:eastAsia="仿宋" w:cs="仿宋"/>
          <w:color w:val="auto"/>
          <w:spacing w:val="4"/>
          <w:sz w:val="24"/>
          <w:szCs w:val="24"/>
          <w:highlight w:val="none"/>
        </w:rPr>
        <w:t>仪器、协助、文件或其他信息、设备、工具、劳力，启动工程设备，并组织安排有适当资质、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经验和能力的工作人员等必要条件的提供方：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8ECE546">
      <w:pPr>
        <w:pStyle w:val="2"/>
        <w:keepNext w:val="0"/>
        <w:keepLines w:val="0"/>
        <w:pageBreakBefore w:val="0"/>
        <w:widowControl/>
        <w:kinsoku w:val="0"/>
        <w:wordWrap/>
        <w:overflowPunct/>
        <w:topLinePunct w:val="0"/>
        <w:autoSpaceDE w:val="0"/>
        <w:autoSpaceDN w:val="0"/>
        <w:bidi w:val="0"/>
        <w:adjustRightInd w:val="0"/>
        <w:snapToGrid w:val="0"/>
        <w:spacing w:before="147"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变更与调整</w:t>
      </w:r>
    </w:p>
    <w:p w14:paraId="43BF003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1DED6382">
      <w:pPr>
        <w:pStyle w:val="2"/>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13.2.2 工程师应在收到承包人提交的合理化建议后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6"/>
          <w:sz w:val="24"/>
          <w:szCs w:val="24"/>
          <w:highlight w:val="none"/>
        </w:rPr>
        <w:t>日内审查完毕并报送发包</w:t>
      </w:r>
      <w:r>
        <w:rPr>
          <w:rFonts w:hint="eastAsia" w:ascii="仿宋" w:hAnsi="仿宋" w:eastAsia="仿宋" w:cs="仿宋"/>
          <w:color w:val="auto"/>
          <w:spacing w:val="5"/>
          <w:sz w:val="24"/>
          <w:szCs w:val="24"/>
          <w:highlight w:val="none"/>
        </w:rPr>
        <w:t>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发现其中存在技术上的缺陷，应通知承包人修改。发包人应在收到工程师报送的合理化建议</w:t>
      </w:r>
      <w:r>
        <w:rPr>
          <w:rFonts w:hint="eastAsia" w:ascii="仿宋" w:hAnsi="仿宋" w:eastAsia="仿宋" w:cs="仿宋"/>
          <w:color w:val="auto"/>
          <w:spacing w:val="6"/>
          <w:sz w:val="24"/>
          <w:szCs w:val="24"/>
          <w:highlight w:val="none"/>
        </w:rPr>
        <w:t xml:space="preserve">  后</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日内审批完毕。合理化建议经发包人批准的，工程师应及时发出变更指示，</w:t>
      </w:r>
      <w:r>
        <w:rPr>
          <w:rFonts w:hint="eastAsia" w:ascii="仿宋" w:hAnsi="仿宋" w:eastAsia="仿宋" w:cs="仿宋"/>
          <w:color w:val="auto"/>
          <w:spacing w:val="5"/>
          <w:sz w:val="24"/>
          <w:szCs w:val="24"/>
          <w:highlight w:val="none"/>
        </w:rPr>
        <w:t>由此引起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的合同价格调整按照</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6"/>
          <w:sz w:val="24"/>
          <w:szCs w:val="24"/>
          <w:highlight w:val="none"/>
        </w:rPr>
        <w:t>执行。发包人不同意变更的，工程师应书面通知承包人</w:t>
      </w:r>
    </w:p>
    <w:p w14:paraId="7B227FEA">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13.2.3 承包人提出的合理化变更建议的利益分享约定：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E2E985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7BBF9DB5">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DFCBAD4">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216F1050">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关于变更估价原则的约定：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9FA926C">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6BD59C69">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47DCE8A6">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承包人可以参与投标的暂估价项目范围：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FE11FC7">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47" w:type="default"/>
          <w:pgSz w:w="11906" w:h="16839"/>
          <w:pgMar w:top="1428" w:right="1682" w:bottom="1171" w:left="1785" w:header="0" w:footer="992" w:gutter="0"/>
          <w:pgNumType w:fmt="decimal"/>
          <w:cols w:space="720" w:num="1"/>
        </w:sectPr>
      </w:pPr>
    </w:p>
    <w:p w14:paraId="7D31B728">
      <w:pPr>
        <w:pStyle w:val="2"/>
        <w:keepNext w:val="0"/>
        <w:keepLines w:val="0"/>
        <w:pageBreakBefore w:val="0"/>
        <w:widowControl/>
        <w:kinsoku w:val="0"/>
        <w:wordWrap/>
        <w:overflowPunct/>
        <w:topLinePunct w:val="0"/>
        <w:autoSpaceDE w:val="0"/>
        <w:autoSpaceDN w:val="0"/>
        <w:bidi w:val="0"/>
        <w:adjustRightInd w:val="0"/>
        <w:snapToGrid w:val="0"/>
        <w:spacing w:before="41"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承包人不得参与投标的暂估价项目范围：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F3FE49F">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招投标程序及其他约定：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AB81465">
      <w:pPr>
        <w:pStyle w:val="2"/>
        <w:keepNext w:val="0"/>
        <w:keepLines w:val="0"/>
        <w:pageBreakBefore w:val="0"/>
        <w:widowControl/>
        <w:kinsoku w:val="0"/>
        <w:wordWrap/>
        <w:overflowPunct/>
        <w:topLinePunct w:val="0"/>
        <w:autoSpaceDE w:val="0"/>
        <w:autoSpaceDN w:val="0"/>
        <w:bidi w:val="0"/>
        <w:adjustRightInd w:val="0"/>
        <w:snapToGrid w:val="0"/>
        <w:spacing w:before="24"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4191ABED">
      <w:pPr>
        <w:pStyle w:val="2"/>
        <w:keepNext w:val="0"/>
        <w:keepLines w:val="0"/>
        <w:pageBreakBefore w:val="0"/>
        <w:widowControl/>
        <w:kinsoku w:val="0"/>
        <w:wordWrap/>
        <w:overflowPunct/>
        <w:topLinePunct w:val="0"/>
        <w:autoSpaceDE w:val="0"/>
        <w:autoSpaceDN w:val="0"/>
        <w:bidi w:val="0"/>
        <w:adjustRightInd w:val="0"/>
        <w:snapToGrid w:val="0"/>
        <w:spacing w:before="28" w:line="239" w:lineRule="auto"/>
        <w:ind w:left="623" w:right="6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不属于依法必须招标的暂估价项目的协商及估价的约定：</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其他关于暂列金额使用的约定：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643159">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263EFF7F">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13.8.2 关于是否采用《价格指数权重表》的</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C43D90A">
      <w:pPr>
        <w:pStyle w:val="2"/>
        <w:keepNext w:val="0"/>
        <w:keepLines w:val="0"/>
        <w:pageBreakBefore w:val="0"/>
        <w:widowControl/>
        <w:kinsoku w:val="0"/>
        <w:wordWrap/>
        <w:overflowPunct/>
        <w:topLinePunct w:val="0"/>
        <w:autoSpaceDE w:val="0"/>
        <w:autoSpaceDN w:val="0"/>
        <w:bidi w:val="0"/>
        <w:adjustRightInd w:val="0"/>
        <w:snapToGrid w:val="0"/>
        <w:spacing w:before="28"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13.8.3 关于采用其他方式调整合同价款的约定：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227E98B">
      <w:pPr>
        <w:pStyle w:val="2"/>
        <w:keepNext w:val="0"/>
        <w:keepLines w:val="0"/>
        <w:pageBreakBefore w:val="0"/>
        <w:widowControl/>
        <w:kinsoku w:val="0"/>
        <w:wordWrap/>
        <w:overflowPunct/>
        <w:topLinePunct w:val="0"/>
        <w:autoSpaceDE w:val="0"/>
        <w:autoSpaceDN w:val="0"/>
        <w:bidi w:val="0"/>
        <w:adjustRightInd w:val="0"/>
        <w:snapToGrid w:val="0"/>
        <w:spacing w:before="146" w:line="226"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合同价格与支付</w:t>
      </w:r>
    </w:p>
    <w:p w14:paraId="2D892BC0">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47F42877">
      <w:pPr>
        <w:pStyle w:val="2"/>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关于合同价格形式的约定：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185D621">
      <w:pPr>
        <w:pStyle w:val="2"/>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关于合同价格调整的约定：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55A2AA6">
      <w:pPr>
        <w:pStyle w:val="2"/>
        <w:keepNext w:val="0"/>
        <w:keepLines w:val="0"/>
        <w:pageBreakBefore w:val="0"/>
        <w:widowControl/>
        <w:kinsoku w:val="0"/>
        <w:wordWrap/>
        <w:overflowPunct/>
        <w:topLinePunct w:val="0"/>
        <w:autoSpaceDE w:val="0"/>
        <w:autoSpaceDN w:val="0"/>
        <w:bidi w:val="0"/>
        <w:adjustRightInd w:val="0"/>
        <w:snapToGrid w:val="0"/>
        <w:spacing w:before="29"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14.1.3 按实际完成的工程量支付工程价款的计量方法、估价方法：</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7BA3D58">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7F6A165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61B44445">
      <w:pPr>
        <w:pStyle w:val="2"/>
        <w:keepNext w:val="0"/>
        <w:keepLines w:val="0"/>
        <w:pageBreakBefore w:val="0"/>
        <w:widowControl/>
        <w:kinsoku w:val="0"/>
        <w:wordWrap/>
        <w:overflowPunct/>
        <w:topLinePunct w:val="0"/>
        <w:autoSpaceDE w:val="0"/>
        <w:autoSpaceDN w:val="0"/>
        <w:bidi w:val="0"/>
        <w:adjustRightInd w:val="0"/>
        <w:snapToGrid w:val="0"/>
        <w:spacing w:before="27" w:line="250"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预付款的金额或比例为：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220C7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预付款支付期限：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7BC49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预付款扣回的方式：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2B2822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预付款担保</w:t>
      </w:r>
    </w:p>
    <w:p w14:paraId="1795F024">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提供预付款担保期限：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BEC6DD3">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预付款担保形式：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3AE795">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DFD1A8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26C4A43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工程进度付款申请方式：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985BE4E">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620" w:right="672"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承包人提交进度付款申请单的格式、</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内容、份数和时间：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进度付款申请单应包括的内容：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C05643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19F78AE8">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进度付款的审核方式和支付的约定：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514A167">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发包人应在进度款支付证书或临时进度款支付证书签发后的</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10"/>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包人逾期支付进度款的，应按照</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8"/>
          <w:sz w:val="24"/>
          <w:szCs w:val="24"/>
          <w:highlight w:val="none"/>
        </w:rPr>
        <w:t>支付违约金。</w:t>
      </w:r>
    </w:p>
    <w:p w14:paraId="6C086F7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2B3F4E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304390">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4B3CDB7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付款计划表的编制：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601069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0087416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0EEA39E3">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承包人提交竣工结算申请的时间：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6E7404B">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竣工结算申请的资料清单和份数：</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7328FF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竣工结算申请单的内容应包括：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58D91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0AE02915">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发包人审批竣工付款申请单的期限：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CB0FE45">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发包人完成竣工付款的期限：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D237517">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关于竣工付款证书异议部分复核的方式和程序：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593235">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50ACC5B">
      <w:pPr>
        <w:pStyle w:val="2"/>
        <w:keepNext w:val="0"/>
        <w:keepLines w:val="0"/>
        <w:pageBreakBefore w:val="0"/>
        <w:widowControl/>
        <w:kinsoku w:val="0"/>
        <w:wordWrap/>
        <w:overflowPunct/>
        <w:topLinePunct w:val="0"/>
        <w:autoSpaceDE w:val="0"/>
        <w:autoSpaceDN w:val="0"/>
        <w:bidi w:val="0"/>
        <w:adjustRightInd w:val="0"/>
        <w:snapToGrid w:val="0"/>
        <w:spacing w:before="23"/>
        <w:ind w:left="623" w:right="404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14.6.1 承包人提供质量保证金的方式   </w:t>
      </w:r>
      <w:r>
        <w:rPr>
          <w:rFonts w:hint="eastAsia" w:ascii="仿宋" w:hAnsi="仿宋" w:eastAsia="仿宋" w:cs="仿宋"/>
          <w:color w:val="auto"/>
          <w:spacing w:val="4"/>
          <w:sz w:val="24"/>
          <w:szCs w:val="24"/>
          <w:highlight w:val="none"/>
        </w:rPr>
        <w:t>质量保证金采用以下第</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4"/>
          <w:sz w:val="24"/>
          <w:szCs w:val="24"/>
          <w:highlight w:val="none"/>
        </w:rPr>
        <w:t>种方式：</w:t>
      </w:r>
    </w:p>
    <w:p w14:paraId="257D9C5D">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工程质量保证担保，保证金额为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C989F7">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(2)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4"/>
          <w:sz w:val="24"/>
          <w:szCs w:val="24"/>
          <w:highlight w:val="none"/>
        </w:rPr>
        <w:t xml:space="preserve"> </w:t>
      </w:r>
      <w:r>
        <w:rPr>
          <w:rFonts w:hint="eastAsia" w:ascii="仿宋" w:hAnsi="仿宋" w:eastAsia="仿宋" w:cs="仿宋"/>
          <w:color w:val="auto"/>
          <w:spacing w:val="1"/>
          <w:sz w:val="24"/>
          <w:szCs w:val="24"/>
          <w:highlight w:val="none"/>
        </w:rPr>
        <w:t>%的工程款；</w:t>
      </w:r>
    </w:p>
    <w:p w14:paraId="09E55CDD">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其他方式：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650B069B">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14.6.2 质量保证金的预留</w:t>
      </w:r>
    </w:p>
    <w:p w14:paraId="1803766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8" w:type="default"/>
          <w:pgSz w:w="11906" w:h="16839"/>
          <w:pgMar w:top="1428" w:right="1731" w:bottom="1171" w:left="1785" w:header="0" w:footer="992" w:gutter="0"/>
          <w:pgNumType w:fmt="decimal"/>
          <w:cols w:space="720" w:num="1"/>
        </w:sectPr>
      </w:pPr>
    </w:p>
    <w:p w14:paraId="099CA1B3">
      <w:pPr>
        <w:pStyle w:val="2"/>
        <w:keepNext w:val="0"/>
        <w:keepLines w:val="0"/>
        <w:pageBreakBefore w:val="0"/>
        <w:widowControl/>
        <w:kinsoku w:val="0"/>
        <w:wordWrap/>
        <w:overflowPunct/>
        <w:topLinePunct w:val="0"/>
        <w:autoSpaceDE w:val="0"/>
        <w:autoSpaceDN w:val="0"/>
        <w:bidi w:val="0"/>
        <w:adjustRightInd w:val="0"/>
        <w:snapToGrid w:val="0"/>
        <w:spacing w:before="4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质量保证金的预留采取以下第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3"/>
          <w:sz w:val="24"/>
          <w:szCs w:val="24"/>
          <w:highlight w:val="none"/>
        </w:rPr>
        <w:t xml:space="preserve"> </w:t>
      </w:r>
      <w:r>
        <w:rPr>
          <w:rFonts w:hint="eastAsia" w:ascii="仿宋" w:hAnsi="仿宋" w:eastAsia="仿宋" w:cs="仿宋"/>
          <w:color w:val="auto"/>
          <w:spacing w:val="7"/>
          <w:sz w:val="24"/>
          <w:szCs w:val="24"/>
          <w:highlight w:val="none"/>
        </w:rPr>
        <w:t>种方式：</w:t>
      </w:r>
    </w:p>
    <w:p w14:paraId="1D9C6215">
      <w:pPr>
        <w:pStyle w:val="2"/>
        <w:keepNext w:val="0"/>
        <w:keepLines w:val="0"/>
        <w:pageBreakBefore w:val="0"/>
        <w:widowControl/>
        <w:kinsoku w:val="0"/>
        <w:wordWrap/>
        <w:overflowPunct/>
        <w:topLinePunct w:val="0"/>
        <w:autoSpaceDE w:val="0"/>
        <w:autoSpaceDN w:val="0"/>
        <w:bidi w:val="0"/>
        <w:adjustRightInd w:val="0"/>
        <w:snapToGrid w:val="0"/>
        <w:spacing w:before="28" w:line="238" w:lineRule="auto"/>
        <w:ind w:left="23" w:firstLine="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在支付工程进度款时逐次预留的质量保证金的比例</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6"/>
          <w:sz w:val="24"/>
          <w:szCs w:val="24"/>
          <w:highlight w:val="none"/>
        </w:rPr>
        <w:t>在此情形下，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质量保证金的计算基数不包括预付款的支付、扣回以及价格调整的金额；</w:t>
      </w:r>
    </w:p>
    <w:p w14:paraId="63C429AF">
      <w:pPr>
        <w:pStyle w:val="2"/>
        <w:keepNext w:val="0"/>
        <w:keepLines w:val="0"/>
        <w:pageBreakBefore w:val="0"/>
        <w:widowControl/>
        <w:kinsoku w:val="0"/>
        <w:wordWrap/>
        <w:overflowPunct/>
        <w:topLinePunct w:val="0"/>
        <w:autoSpaceDE w:val="0"/>
        <w:autoSpaceDN w:val="0"/>
        <w:bidi w:val="0"/>
        <w:adjustRightInd w:val="0"/>
        <w:snapToGrid w:val="0"/>
        <w:spacing w:before="29" w:line="239" w:lineRule="auto"/>
        <w:ind w:left="37" w:right="54" w:firstLine="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 工程竣工结算时一次性预留专用合同条件第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10"/>
          <w:sz w:val="24"/>
          <w:szCs w:val="24"/>
          <w:highlight w:val="none"/>
        </w:rPr>
        <w:t>14.6.</w:t>
      </w:r>
      <w:r>
        <w:rPr>
          <w:rFonts w:hint="eastAsia" w:ascii="仿宋" w:hAnsi="仿宋" w:eastAsia="仿宋" w:cs="仿宋"/>
          <w:color w:val="auto"/>
          <w:spacing w:val="9"/>
          <w:sz w:val="24"/>
          <w:szCs w:val="24"/>
          <w:highlight w:val="none"/>
        </w:rPr>
        <w:t>1</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项第(2)目约定的工程款预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留比例的质量保证金；</w:t>
      </w:r>
    </w:p>
    <w:p w14:paraId="24138E7D">
      <w:pPr>
        <w:pStyle w:val="2"/>
        <w:keepNext w:val="0"/>
        <w:keepLines w:val="0"/>
        <w:pageBreakBefore w:val="0"/>
        <w:widowControl/>
        <w:kinsoku w:val="0"/>
        <w:wordWrap/>
        <w:overflowPunct/>
        <w:topLinePunct w:val="0"/>
        <w:autoSpaceDE w:val="0"/>
        <w:autoSpaceDN w:val="0"/>
        <w:bidi w:val="0"/>
        <w:adjustRightInd w:val="0"/>
        <w:snapToGrid w:val="0"/>
        <w:spacing w:before="26" w:line="250"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其他预留方式</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448DECE">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关于质量保证金的补充约定：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A16CAEB">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6EFA0630">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409B9C1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当事人双方关于最终结清申请的其他约定：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940A9C">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2A5156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当事人双方关于最终结清支付的其他约定：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2040B3">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1"/>
          <w:sz w:val="24"/>
          <w:szCs w:val="24"/>
          <w:highlight w:val="none"/>
        </w:rPr>
        <w:t>15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违约</w:t>
      </w:r>
    </w:p>
    <w:p w14:paraId="5407049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3C6CA6E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5F28717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发包人违约的其他情形</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68BC945">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2D45F0CA">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36CF2B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6B5EDDC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3977BCD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承包人违约的其他情形：</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A047A1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D92061C">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工程师通知承包人改正的合理期限是：</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9193DE">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46AAE69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306620">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16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 合同解除</w:t>
      </w:r>
    </w:p>
    <w:p w14:paraId="038659D0">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6608E4E5">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2174B0D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双方约定可由发包人解除合同的其他事由：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7E0002C">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4019B4F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4CDB51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双方约定可由承包人解除合同的其他事由：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5FD546">
      <w:pPr>
        <w:pStyle w:val="2"/>
        <w:keepNext w:val="0"/>
        <w:keepLines w:val="0"/>
        <w:pageBreakBefore w:val="0"/>
        <w:widowControl/>
        <w:kinsoku w:val="0"/>
        <w:wordWrap/>
        <w:overflowPunct/>
        <w:topLinePunct w:val="0"/>
        <w:autoSpaceDE w:val="0"/>
        <w:autoSpaceDN w:val="0"/>
        <w:bidi w:val="0"/>
        <w:adjustRightInd w:val="0"/>
        <w:snapToGrid w:val="0"/>
        <w:spacing w:before="146"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不可抗力</w:t>
      </w:r>
    </w:p>
    <w:p w14:paraId="19E5DD83">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57977B18">
      <w:pPr>
        <w:pStyle w:val="2"/>
        <w:keepNext w:val="0"/>
        <w:keepLines w:val="0"/>
        <w:pageBreakBefore w:val="0"/>
        <w:widowControl/>
        <w:kinsoku w:val="0"/>
        <w:wordWrap/>
        <w:overflowPunct/>
        <w:topLinePunct w:val="0"/>
        <w:autoSpaceDE w:val="0"/>
        <w:autoSpaceDN w:val="0"/>
        <w:bidi w:val="0"/>
        <w:adjustRightInd w:val="0"/>
        <w:snapToGrid w:val="0"/>
        <w:spacing w:before="25" w:line="241" w:lineRule="auto"/>
        <w:ind w:left="24"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除</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通</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合 同</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条</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约</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定 的</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事</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之</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外 ，</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视</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为</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其</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他</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2E73925E">
      <w:pPr>
        <w:pStyle w:val="2"/>
        <w:keepNext w:val="0"/>
        <w:keepLines w:val="0"/>
        <w:pageBreakBefore w:val="0"/>
        <w:widowControl/>
        <w:kinsoku w:val="0"/>
        <w:wordWrap/>
        <w:overflowPunct/>
        <w:topLinePunct w:val="0"/>
        <w:autoSpaceDE w:val="0"/>
        <w:autoSpaceDN w:val="0"/>
        <w:bidi w:val="0"/>
        <w:adjustRightInd w:val="0"/>
        <w:snapToGrid w:val="0"/>
        <w:spacing w:before="22"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3860F4AD">
      <w:pPr>
        <w:pStyle w:val="2"/>
        <w:keepNext w:val="0"/>
        <w:keepLines w:val="0"/>
        <w:pageBreakBefore w:val="0"/>
        <w:widowControl/>
        <w:kinsoku w:val="0"/>
        <w:wordWrap/>
        <w:overflowPunct/>
        <w:topLinePunct w:val="0"/>
        <w:autoSpaceDE w:val="0"/>
        <w:autoSpaceDN w:val="0"/>
        <w:bidi w:val="0"/>
        <w:adjustRightInd w:val="0"/>
        <w:snapToGrid w:val="0"/>
        <w:spacing w:before="27"/>
        <w:ind w:left="39" w:right="54"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合同解除后，发包人应当在商定或确定发包人应支付款项后的</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0"/>
          <w:sz w:val="24"/>
          <w:szCs w:val="24"/>
          <w:highlight w:val="none"/>
        </w:rPr>
        <w:t>天内完成款项</w:t>
      </w:r>
      <w:r>
        <w:rPr>
          <w:rFonts w:hint="eastAsia" w:ascii="仿宋" w:hAnsi="仿宋" w:eastAsia="仿宋" w:cs="仿宋"/>
          <w:color w:val="auto"/>
          <w:sz w:val="24"/>
          <w:szCs w:val="24"/>
          <w:highlight w:val="none"/>
        </w:rPr>
        <w:t xml:space="preserve"> 的支付。</w:t>
      </w:r>
    </w:p>
    <w:p w14:paraId="06A6CB86">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保险</w:t>
      </w:r>
    </w:p>
    <w:p w14:paraId="5AA3ED0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5A3DD2C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18.1.1 双方当事人关于设计和工程保险的特别约定：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3310E6">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18.1.2 双方当事人关于第三方责任</w:t>
      </w:r>
      <w:r>
        <w:rPr>
          <w:rFonts w:hint="eastAsia" w:ascii="仿宋" w:hAnsi="仿宋" w:eastAsia="仿宋" w:cs="仿宋"/>
          <w:color w:val="auto"/>
          <w:spacing w:val="6"/>
          <w:sz w:val="24"/>
          <w:szCs w:val="24"/>
          <w:highlight w:val="none"/>
        </w:rPr>
        <w:t>险的特别约定：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9A1B37">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746386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18.2.3 关于工伤保险和意外伤害保险的特别</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5DEEB0">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5A9B3CE0">
      <w:pPr>
        <w:pStyle w:val="2"/>
        <w:keepNext w:val="0"/>
        <w:keepLines w:val="0"/>
        <w:pageBreakBefore w:val="0"/>
        <w:widowControl/>
        <w:kinsoku w:val="0"/>
        <w:wordWrap/>
        <w:overflowPunct/>
        <w:topLinePunct w:val="0"/>
        <w:autoSpaceDE w:val="0"/>
        <w:autoSpaceDN w:val="0"/>
        <w:bidi w:val="0"/>
        <w:adjustRightInd w:val="0"/>
        <w:snapToGrid w:val="0"/>
        <w:spacing w:before="26"/>
        <w:ind w:left="27" w:right="54"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关于承包人应为其施工设备、材料、工程设备和临时</w:t>
      </w:r>
      <w:r>
        <w:rPr>
          <w:rFonts w:hint="eastAsia" w:ascii="仿宋" w:hAnsi="仿宋" w:eastAsia="仿宋" w:cs="仿宋"/>
          <w:color w:val="auto"/>
          <w:spacing w:val="13"/>
          <w:sz w:val="24"/>
          <w:szCs w:val="24"/>
          <w:highlight w:val="none"/>
        </w:rPr>
        <w:t>工程等办理财产保险的特别约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1584FE7">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17A89F6A">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49" w:type="default"/>
          <w:pgSz w:w="11906" w:h="16839"/>
          <w:pgMar w:top="1428" w:right="1747" w:bottom="1171" w:left="1785" w:header="0" w:footer="992" w:gutter="0"/>
          <w:pgNumType w:fmt="decimal"/>
          <w:cols w:space="720" w:num="1"/>
        </w:sectPr>
      </w:pPr>
    </w:p>
    <w:p w14:paraId="0610D4F3">
      <w:pPr>
        <w:pStyle w:val="2"/>
        <w:keepNext w:val="0"/>
        <w:keepLines w:val="0"/>
        <w:pageBreakBefore w:val="0"/>
        <w:widowControl/>
        <w:kinsoku w:val="0"/>
        <w:wordWrap/>
        <w:overflowPunct/>
        <w:topLinePunct w:val="0"/>
        <w:autoSpaceDE w:val="0"/>
        <w:autoSpaceDN w:val="0"/>
        <w:bidi w:val="0"/>
        <w:adjustRightInd w:val="0"/>
        <w:snapToGrid w:val="0"/>
        <w:spacing w:before="42"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关于其他保险的约定：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4111E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50BF157">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263CC51E">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保险单的条件：</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D70BA4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07D7021">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关于变更保险合同时的通知义务的约定：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B5B68C4">
      <w:pPr>
        <w:pStyle w:val="2"/>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争议解决</w:t>
      </w:r>
    </w:p>
    <w:p w14:paraId="0F6E033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3111B22F">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合同当事人是否同意将工程争议提交争议评审小组决定</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9C117D">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13F58723">
      <w:pPr>
        <w:pStyle w:val="2"/>
        <w:keepNext w:val="0"/>
        <w:keepLines w:val="0"/>
        <w:pageBreakBefore w:val="0"/>
        <w:widowControl/>
        <w:kinsoku w:val="0"/>
        <w:wordWrap/>
        <w:overflowPunct/>
        <w:topLinePunct w:val="0"/>
        <w:autoSpaceDE w:val="0"/>
        <w:autoSpaceDN w:val="0"/>
        <w:bidi w:val="0"/>
        <w:adjustRightInd w:val="0"/>
        <w:snapToGrid w:val="0"/>
        <w:spacing w:before="25" w:line="250"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争议评审小组成员的人数：</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824789B">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争议评审小组成员的确定：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94D585F">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选定争议避免/评审组的期限：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22292C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评审机构：</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169F474">
      <w:pPr>
        <w:pStyle w:val="2"/>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其他事项的约定：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F0C77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争议评审员报酬的承担人：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649A067">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55A6862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发包人和承包人是否均出席争议避免的非正</w:t>
      </w:r>
      <w:r>
        <w:rPr>
          <w:rFonts w:hint="eastAsia" w:ascii="仿宋" w:hAnsi="仿宋" w:eastAsia="仿宋" w:cs="仿宋"/>
          <w:color w:val="auto"/>
          <w:spacing w:val="7"/>
          <w:sz w:val="24"/>
          <w:szCs w:val="24"/>
          <w:highlight w:val="none"/>
        </w:rPr>
        <w:t>式讨论：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30D9A6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34C7A054">
      <w:pPr>
        <w:pStyle w:val="2"/>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关于争议评审小组的决定的特别约定：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93FDF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7E7FD1F7">
      <w:pPr>
        <w:pStyle w:val="2"/>
        <w:keepNext w:val="0"/>
        <w:keepLines w:val="0"/>
        <w:pageBreakBefore w:val="0"/>
        <w:widowControl/>
        <w:kinsoku w:val="0"/>
        <w:wordWrap/>
        <w:overflowPunct/>
        <w:topLinePunct w:val="0"/>
        <w:autoSpaceDE w:val="0"/>
        <w:autoSpaceDN w:val="0"/>
        <w:bidi w:val="0"/>
        <w:adjustRightInd w:val="0"/>
        <w:snapToGrid w:val="0"/>
        <w:spacing w:before="24" w:line="253"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因合同及合同有关事项发生的争议，按下列第</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8"/>
          <w:sz w:val="24"/>
          <w:szCs w:val="24"/>
          <w:highlight w:val="none"/>
        </w:rPr>
        <w:t>种方式解决：</w:t>
      </w:r>
    </w:p>
    <w:p w14:paraId="6B2315C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（1）向</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rPr>
        <w:t>仲裁委员会申请仲裁；</w:t>
      </w:r>
    </w:p>
    <w:p w14:paraId="460E803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（2）向</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rPr>
        <w:t>人民法院起诉。</w:t>
      </w:r>
      <w:r>
        <w:rPr>
          <w:rFonts w:hint="eastAsia" w:ascii="仿宋" w:hAnsi="仿宋" w:eastAsia="仿宋" w:cs="仿宋"/>
          <w:b/>
          <w:bCs/>
          <w:color w:val="auto"/>
          <w:spacing w:val="7"/>
          <w:sz w:val="24"/>
          <w:szCs w:val="24"/>
          <w:highlight w:val="none"/>
        </w:rPr>
        <w:t>专用合同条件附件</w:t>
      </w:r>
    </w:p>
    <w:p w14:paraId="650263B5">
      <w:pPr>
        <w:keepNext w:val="0"/>
        <w:keepLines w:val="0"/>
        <w:pageBreakBefore w:val="0"/>
        <w:widowControl/>
        <w:kinsoku w:val="0"/>
        <w:wordWrap/>
        <w:overflowPunct/>
        <w:topLinePunct w:val="0"/>
        <w:autoSpaceDE w:val="0"/>
        <w:autoSpaceDN w:val="0"/>
        <w:bidi w:val="0"/>
        <w:adjustRightInd w:val="0"/>
        <w:snapToGrid w:val="0"/>
        <w:spacing w:line="282" w:lineRule="auto"/>
        <w:textAlignment w:val="baseline"/>
        <w:outlineLvl w:val="9"/>
        <w:rPr>
          <w:rFonts w:hint="eastAsia" w:ascii="仿宋" w:hAnsi="仿宋" w:eastAsia="仿宋" w:cs="仿宋"/>
          <w:color w:val="auto"/>
          <w:sz w:val="24"/>
          <w:szCs w:val="24"/>
          <w:highlight w:val="none"/>
        </w:rPr>
      </w:pPr>
    </w:p>
    <w:p w14:paraId="7F9FF237">
      <w:pPr>
        <w:pStyle w:val="2"/>
        <w:keepNext w:val="0"/>
        <w:keepLines w:val="0"/>
        <w:pageBreakBefore w:val="0"/>
        <w:widowControl/>
        <w:kinsoku w:val="0"/>
        <w:wordWrap/>
        <w:overflowPunct/>
        <w:topLinePunct w:val="0"/>
        <w:autoSpaceDE w:val="0"/>
        <w:autoSpaceDN w:val="0"/>
        <w:bidi w:val="0"/>
        <w:adjustRightInd w:val="0"/>
        <w:snapToGrid w:val="0"/>
        <w:spacing w:before="6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附件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1：发包人要求</w:t>
      </w:r>
    </w:p>
    <w:p w14:paraId="721B577C">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2：发包人供应材料设备一览表</w:t>
      </w:r>
    </w:p>
    <w:p w14:paraId="0014A2B5">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附件</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3：工程质量保修书</w:t>
      </w:r>
    </w:p>
    <w:p w14:paraId="54097DD3">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4：主要建设工程文件目录</w:t>
      </w:r>
    </w:p>
    <w:p w14:paraId="5512018D">
      <w:pPr>
        <w:pStyle w:val="2"/>
        <w:keepNext w:val="0"/>
        <w:keepLines w:val="0"/>
        <w:pageBreakBefore w:val="0"/>
        <w:widowControl/>
        <w:kinsoku w:val="0"/>
        <w:wordWrap/>
        <w:overflowPunct/>
        <w:topLinePunct w:val="0"/>
        <w:autoSpaceDE w:val="0"/>
        <w:autoSpaceDN w:val="0"/>
        <w:bidi w:val="0"/>
        <w:adjustRightInd w:val="0"/>
        <w:snapToGrid w:val="0"/>
        <w:spacing w:before="28"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5：承包人主要管理人员表</w:t>
      </w:r>
    </w:p>
    <w:p w14:paraId="028EB7FD">
      <w:pPr>
        <w:pStyle w:val="2"/>
        <w:keepNext w:val="0"/>
        <w:keepLines w:val="0"/>
        <w:pageBreakBefore w:val="0"/>
        <w:widowControl/>
        <w:kinsoku w:val="0"/>
        <w:wordWrap/>
        <w:overflowPunct/>
        <w:topLinePunct w:val="0"/>
        <w:autoSpaceDE w:val="0"/>
        <w:autoSpaceDN w:val="0"/>
        <w:bidi w:val="0"/>
        <w:adjustRightInd w:val="0"/>
        <w:snapToGrid w:val="0"/>
        <w:spacing w:before="25"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6：价格指数权重表</w:t>
      </w:r>
    </w:p>
    <w:p w14:paraId="53CEA4B5">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0D881B88">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236EBA36">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07019686">
      <w:pPr>
        <w:pStyle w:val="2"/>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附件</w:t>
      </w:r>
      <w:r>
        <w:rPr>
          <w:rFonts w:hint="eastAsia" w:ascii="仿宋" w:hAnsi="仿宋" w:eastAsia="仿宋" w:cs="仿宋"/>
          <w:color w:val="auto"/>
          <w:spacing w:val="-22"/>
          <w:sz w:val="24"/>
          <w:szCs w:val="24"/>
          <w:highlight w:val="none"/>
        </w:rPr>
        <w:t xml:space="preserve"> </w:t>
      </w:r>
      <w:r>
        <w:rPr>
          <w:rFonts w:hint="eastAsia" w:ascii="仿宋" w:hAnsi="仿宋" w:eastAsia="仿宋" w:cs="仿宋"/>
          <w:b/>
          <w:bCs/>
          <w:color w:val="auto"/>
          <w:spacing w:val="2"/>
          <w:sz w:val="24"/>
          <w:szCs w:val="24"/>
          <w:highlight w:val="none"/>
        </w:rPr>
        <w:t>1</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rPr>
        <w:t>《发包人要求》</w:t>
      </w:r>
    </w:p>
    <w:p w14:paraId="29D4B68E">
      <w:pPr>
        <w:pStyle w:val="2"/>
        <w:keepNext w:val="0"/>
        <w:keepLines w:val="0"/>
        <w:pageBreakBefore w:val="0"/>
        <w:widowControl/>
        <w:kinsoku w:val="0"/>
        <w:wordWrap/>
        <w:overflowPunct/>
        <w:topLinePunct w:val="0"/>
        <w:autoSpaceDE w:val="0"/>
        <w:autoSpaceDN w:val="0"/>
        <w:bidi w:val="0"/>
        <w:adjustRightInd w:val="0"/>
        <w:snapToGrid w:val="0"/>
        <w:spacing w:before="28" w:line="245" w:lineRule="auto"/>
        <w:ind w:left="25"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《发包人要求》应尽可能清晰准确，对于可以进行定量评估的工作，《发包人要求》</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不仅应明确规定其产能、功能、用途、质量、环境、安全，并且要规定偏离的范围和计算方</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法，以及检验、试验、试运行的具体要求。对于承包人负责提供的有关设备和服务，对发包</w:t>
      </w:r>
      <w:r>
        <w:rPr>
          <w:rFonts w:hint="eastAsia" w:ascii="仿宋" w:hAnsi="仿宋" w:eastAsia="仿宋" w:cs="仿宋"/>
          <w:color w:val="auto"/>
          <w:spacing w:val="9"/>
          <w:sz w:val="24"/>
          <w:szCs w:val="24"/>
          <w:highlight w:val="none"/>
        </w:rPr>
        <w:t xml:space="preserve"> 人人员进行培训和提供一些消耗品等，在《发包人要求》中应一并明确规定。</w:t>
      </w:r>
    </w:p>
    <w:p w14:paraId="4F0758C1">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《发包人要求》通常包括但不限于以下内容：</w:t>
      </w:r>
    </w:p>
    <w:p w14:paraId="72D11418">
      <w:pPr>
        <w:pStyle w:val="2"/>
        <w:keepNext w:val="0"/>
        <w:keepLines w:val="0"/>
        <w:pageBreakBefore w:val="0"/>
        <w:widowControl/>
        <w:kinsoku w:val="0"/>
        <w:wordWrap/>
        <w:overflowPunct/>
        <w:topLinePunct w:val="0"/>
        <w:autoSpaceDE w:val="0"/>
        <w:autoSpaceDN w:val="0"/>
        <w:bidi w:val="0"/>
        <w:adjustRightInd w:val="0"/>
        <w:snapToGrid w:val="0"/>
        <w:spacing w:before="25"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一、功能要求</w:t>
      </w:r>
    </w:p>
    <w:p w14:paraId="696644EC">
      <w:pPr>
        <w:pStyle w:val="2"/>
        <w:keepNext w:val="0"/>
        <w:keepLines w:val="0"/>
        <w:pageBreakBefore w:val="0"/>
        <w:widowControl/>
        <w:kinsoku w:val="0"/>
        <w:wordWrap/>
        <w:overflowPunct/>
        <w:topLinePunct w:val="0"/>
        <w:autoSpaceDE w:val="0"/>
        <w:autoSpaceDN w:val="0"/>
        <w:bidi w:val="0"/>
        <w:adjustRightInd w:val="0"/>
        <w:snapToGrid w:val="0"/>
        <w:spacing w:before="25"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（一）工程目的。</w:t>
      </w:r>
    </w:p>
    <w:p w14:paraId="1CDF78EA">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（二）工程规模。</w:t>
      </w:r>
    </w:p>
    <w:p w14:paraId="79CCDB54">
      <w:pPr>
        <w:pStyle w:val="2"/>
        <w:keepNext w:val="0"/>
        <w:keepLines w:val="0"/>
        <w:pageBreakBefore w:val="0"/>
        <w:widowControl/>
        <w:kinsoku w:val="0"/>
        <w:wordWrap/>
        <w:overflowPunct/>
        <w:topLinePunct w:val="0"/>
        <w:autoSpaceDE w:val="0"/>
        <w:autoSpaceDN w:val="0"/>
        <w:bidi w:val="0"/>
        <w:adjustRightInd w:val="0"/>
        <w:snapToGrid w:val="0"/>
        <w:spacing w:before="25" w:line="273"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（三）性能保证指标（性能保证表）。</w:t>
      </w:r>
    </w:p>
    <w:p w14:paraId="1E5565E0">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（四）产能保证指标。</w:t>
      </w:r>
    </w:p>
    <w:p w14:paraId="3BB9F5A9">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二、工程范围</w:t>
      </w:r>
    </w:p>
    <w:p w14:paraId="568F7A1F">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（一）概述</w:t>
      </w:r>
    </w:p>
    <w:p w14:paraId="359644A3">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（二）包括的工作</w:t>
      </w:r>
    </w:p>
    <w:p w14:paraId="23A88CDF">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1. 永久工程的设计、采购、施工范围。</w:t>
      </w:r>
    </w:p>
    <w:p w14:paraId="20BEFEF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临时工程的设计与施工范围。</w:t>
      </w:r>
    </w:p>
    <w:p w14:paraId="723E9ED0">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3. 竣工验收工作范围。</w:t>
      </w:r>
    </w:p>
    <w:p w14:paraId="69826EC4">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技术服务工作范围。</w:t>
      </w:r>
    </w:p>
    <w:p w14:paraId="302F934C">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 培训工作范围。</w:t>
      </w:r>
    </w:p>
    <w:p w14:paraId="702F321A">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6. 保修工作范围。</w:t>
      </w:r>
    </w:p>
    <w:p w14:paraId="16F74DD3">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（三）工作界区</w:t>
      </w:r>
    </w:p>
    <w:p w14:paraId="7B6D4FA0">
      <w:pPr>
        <w:pStyle w:val="2"/>
        <w:keepNext w:val="0"/>
        <w:keepLines w:val="0"/>
        <w:pageBreakBefore w:val="0"/>
        <w:widowControl/>
        <w:kinsoku w:val="0"/>
        <w:wordWrap/>
        <w:overflowPunct/>
        <w:topLinePunct w:val="0"/>
        <w:autoSpaceDE w:val="0"/>
        <w:autoSpaceDN w:val="0"/>
        <w:bidi w:val="0"/>
        <w:adjustRightInd w:val="0"/>
        <w:snapToGrid w:val="0"/>
        <w:spacing w:before="26"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（四）发包人提供的现场条件</w:t>
      </w:r>
    </w:p>
    <w:p w14:paraId="515790F8">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施工用电。</w:t>
      </w:r>
    </w:p>
    <w:p w14:paraId="5FA75369">
      <w:pPr>
        <w:pStyle w:val="2"/>
        <w:keepNext w:val="0"/>
        <w:keepLines w:val="0"/>
        <w:pageBreakBefore w:val="0"/>
        <w:widowControl/>
        <w:kinsoku w:val="0"/>
        <w:wordWrap/>
        <w:overflowPunct/>
        <w:topLinePunct w:val="0"/>
        <w:autoSpaceDE w:val="0"/>
        <w:autoSpaceDN w:val="0"/>
        <w:bidi w:val="0"/>
        <w:adjustRightInd w:val="0"/>
        <w:snapToGrid w:val="0"/>
        <w:spacing w:before="23" w:line="273"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2. 施工用水。</w:t>
      </w:r>
    </w:p>
    <w:p w14:paraId="53E3E6EB">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 施工排水。</w:t>
      </w:r>
    </w:p>
    <w:p w14:paraId="68EF0334">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 施工道路。</w:t>
      </w:r>
    </w:p>
    <w:p w14:paraId="0A579935">
      <w:pPr>
        <w:pStyle w:val="2"/>
        <w:keepNext w:val="0"/>
        <w:keepLines w:val="0"/>
        <w:pageBreakBefore w:val="0"/>
        <w:widowControl/>
        <w:kinsoku w:val="0"/>
        <w:wordWrap/>
        <w:overflowPunct/>
        <w:topLinePunct w:val="0"/>
        <w:autoSpaceDE w:val="0"/>
        <w:autoSpaceDN w:val="0"/>
        <w:bidi w:val="0"/>
        <w:adjustRightInd w:val="0"/>
        <w:snapToGrid w:val="0"/>
        <w:spacing w:before="27"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（五）发包人提供的技术文件</w:t>
      </w:r>
    </w:p>
    <w:p w14:paraId="4E1834D1">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3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除另有批准外，承包人的工作需要遵照发包人的下列</w:t>
      </w:r>
      <w:r>
        <w:rPr>
          <w:rFonts w:hint="eastAsia" w:ascii="仿宋" w:hAnsi="仿宋" w:eastAsia="仿宋" w:cs="仿宋"/>
          <w:color w:val="auto"/>
          <w:spacing w:val="8"/>
          <w:position w:val="4"/>
          <w:sz w:val="24"/>
          <w:szCs w:val="24"/>
          <w:highlight w:val="none"/>
        </w:rPr>
        <w:t>技术文件</w:t>
      </w:r>
      <w:r>
        <w:rPr>
          <w:rFonts w:hint="eastAsia" w:ascii="仿宋" w:hAnsi="仿宋" w:eastAsia="仿宋" w:cs="仿宋"/>
          <w:color w:val="auto"/>
          <w:spacing w:val="-58"/>
          <w:position w:val="4"/>
          <w:sz w:val="24"/>
          <w:szCs w:val="24"/>
          <w:highlight w:val="none"/>
        </w:rPr>
        <w:t xml:space="preserve"> </w:t>
      </w:r>
      <w:r>
        <w:rPr>
          <w:rFonts w:hint="eastAsia" w:ascii="仿宋" w:hAnsi="仿宋" w:eastAsia="仿宋" w:cs="仿宋"/>
          <w:color w:val="auto"/>
          <w:spacing w:val="8"/>
          <w:position w:val="4"/>
          <w:sz w:val="24"/>
          <w:szCs w:val="24"/>
          <w:highlight w:val="none"/>
        </w:rPr>
        <w:t>:</w:t>
      </w:r>
    </w:p>
    <w:p w14:paraId="1D4B123F">
      <w:pPr>
        <w:pStyle w:val="2"/>
        <w:keepNext w:val="0"/>
        <w:keepLines w:val="0"/>
        <w:pageBreakBefore w:val="0"/>
        <w:widowControl/>
        <w:kinsoku w:val="0"/>
        <w:wordWrap/>
        <w:overflowPunct/>
        <w:topLinePunct w:val="0"/>
        <w:autoSpaceDE w:val="0"/>
        <w:autoSpaceDN w:val="0"/>
        <w:bidi w:val="0"/>
        <w:adjustRightInd w:val="0"/>
        <w:snapToGrid w:val="0"/>
        <w:spacing w:before="1"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发包人需求任务书。</w:t>
      </w:r>
    </w:p>
    <w:p w14:paraId="6AF3AAE7">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发包人已完成的设计文件。</w:t>
      </w:r>
    </w:p>
    <w:p w14:paraId="695F4898">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三、工艺安排或要求（如有）</w:t>
      </w:r>
    </w:p>
    <w:p w14:paraId="329EB3B7">
      <w:pPr>
        <w:pStyle w:val="2"/>
        <w:keepNext w:val="0"/>
        <w:keepLines w:val="0"/>
        <w:pageBreakBefore w:val="0"/>
        <w:widowControl/>
        <w:kinsoku w:val="0"/>
        <w:wordWrap/>
        <w:overflowPunct/>
        <w:topLinePunct w:val="0"/>
        <w:autoSpaceDE w:val="0"/>
        <w:autoSpaceDN w:val="0"/>
        <w:bidi w:val="0"/>
        <w:adjustRightInd w:val="0"/>
        <w:snapToGrid w:val="0"/>
        <w:spacing w:before="24" w:line="229"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四、时间要求</w:t>
      </w:r>
    </w:p>
    <w:p w14:paraId="0EB9A898">
      <w:pPr>
        <w:pStyle w:val="2"/>
        <w:keepNext w:val="0"/>
        <w:keepLines w:val="0"/>
        <w:pageBreakBefore w:val="0"/>
        <w:widowControl/>
        <w:kinsoku w:val="0"/>
        <w:wordWrap/>
        <w:overflowPunct/>
        <w:topLinePunct w:val="0"/>
        <w:autoSpaceDE w:val="0"/>
        <w:autoSpaceDN w:val="0"/>
        <w:bidi w:val="0"/>
        <w:adjustRightInd w:val="0"/>
        <w:snapToGrid w:val="0"/>
        <w:spacing w:before="23"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（一）开始工作时间。</w:t>
      </w:r>
    </w:p>
    <w:p w14:paraId="1E53D3E5">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（二）设计完成时间。</w:t>
      </w:r>
    </w:p>
    <w:p w14:paraId="455917EE">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（三）进度计划。</w:t>
      </w:r>
    </w:p>
    <w:p w14:paraId="7E1927D0">
      <w:pPr>
        <w:pStyle w:val="2"/>
        <w:keepNext w:val="0"/>
        <w:keepLines w:val="0"/>
        <w:pageBreakBefore w:val="0"/>
        <w:widowControl/>
        <w:kinsoku w:val="0"/>
        <w:wordWrap/>
        <w:overflowPunct/>
        <w:topLinePunct w:val="0"/>
        <w:autoSpaceDE w:val="0"/>
        <w:autoSpaceDN w:val="0"/>
        <w:bidi w:val="0"/>
        <w:adjustRightInd w:val="0"/>
        <w:snapToGrid w:val="0"/>
        <w:spacing w:before="23"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（四）竣工时间。</w:t>
      </w:r>
    </w:p>
    <w:p w14:paraId="193F55D9">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（五）缺陷责任期。</w:t>
      </w:r>
    </w:p>
    <w:p w14:paraId="69BD63B7">
      <w:pPr>
        <w:pStyle w:val="2"/>
        <w:keepNext w:val="0"/>
        <w:keepLines w:val="0"/>
        <w:pageBreakBefore w:val="0"/>
        <w:widowControl/>
        <w:kinsoku w:val="0"/>
        <w:wordWrap/>
        <w:overflowPunct/>
        <w:topLinePunct w:val="0"/>
        <w:autoSpaceDE w:val="0"/>
        <w:autoSpaceDN w:val="0"/>
        <w:bidi w:val="0"/>
        <w:adjustRightInd w:val="0"/>
        <w:snapToGrid w:val="0"/>
        <w:spacing w:before="25" w:line="271"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（六）其他时间要求。</w:t>
      </w:r>
    </w:p>
    <w:p w14:paraId="4B452A30">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五、技术要求</w:t>
      </w:r>
    </w:p>
    <w:p w14:paraId="6B530C35">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（一）设计阶段和设计任务。</w:t>
      </w:r>
    </w:p>
    <w:p w14:paraId="691350E2">
      <w:pPr>
        <w:pStyle w:val="2"/>
        <w:keepNext w:val="0"/>
        <w:keepLines w:val="0"/>
        <w:pageBreakBefore w:val="0"/>
        <w:widowControl/>
        <w:kinsoku w:val="0"/>
        <w:wordWrap/>
        <w:overflowPunct/>
        <w:topLinePunct w:val="0"/>
        <w:autoSpaceDE w:val="0"/>
        <w:autoSpaceDN w:val="0"/>
        <w:bidi w:val="0"/>
        <w:adjustRightInd w:val="0"/>
        <w:snapToGrid w:val="0"/>
        <w:spacing w:before="41" w:line="274" w:lineRule="exact"/>
        <w:ind w:firstLine="1270" w:firstLineChars="5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（二）设计标准和规范。</w:t>
      </w:r>
    </w:p>
    <w:p w14:paraId="5DC541E1">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（三）技术标准和要求。</w:t>
      </w:r>
    </w:p>
    <w:p w14:paraId="53678E51">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（四）质量标准。</w:t>
      </w:r>
    </w:p>
    <w:p w14:paraId="35511057">
      <w:pPr>
        <w:pStyle w:val="2"/>
        <w:keepNext w:val="0"/>
        <w:keepLines w:val="0"/>
        <w:pageBreakBefore w:val="0"/>
        <w:widowControl/>
        <w:kinsoku w:val="0"/>
        <w:wordWrap/>
        <w:overflowPunct/>
        <w:topLinePunct w:val="0"/>
        <w:autoSpaceDE w:val="0"/>
        <w:autoSpaceDN w:val="0"/>
        <w:bidi w:val="0"/>
        <w:adjustRightInd w:val="0"/>
        <w:snapToGrid w:val="0"/>
        <w:spacing w:before="26"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（五）设计、施工和设备监造、试验（如有）。</w:t>
      </w:r>
    </w:p>
    <w:p w14:paraId="333C60E2">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（六）样品。</w:t>
      </w:r>
    </w:p>
    <w:p w14:paraId="4669EABB">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75" w:right="464"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（七）发包人提供的其他条件，如发包人或其委</w:t>
      </w:r>
      <w:r>
        <w:rPr>
          <w:rFonts w:hint="eastAsia" w:ascii="仿宋" w:hAnsi="仿宋" w:eastAsia="仿宋" w:cs="仿宋"/>
          <w:color w:val="auto"/>
          <w:spacing w:val="7"/>
          <w:sz w:val="24"/>
          <w:szCs w:val="24"/>
          <w:highlight w:val="none"/>
        </w:rPr>
        <w:t>托的第三人提供的设计、工艺包、用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于试验检验的工器具等，以及据此对承包人提出的予以配套的要求。</w:t>
      </w:r>
    </w:p>
    <w:p w14:paraId="4FB20739">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六、竣工试验</w:t>
      </w:r>
    </w:p>
    <w:p w14:paraId="204A627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（一）第一阶段，如对单车试验等的要求，包括试</w:t>
      </w:r>
      <w:r>
        <w:rPr>
          <w:rFonts w:hint="eastAsia" w:ascii="仿宋" w:hAnsi="仿宋" w:eastAsia="仿宋" w:cs="仿宋"/>
          <w:color w:val="auto"/>
          <w:spacing w:val="8"/>
          <w:sz w:val="24"/>
          <w:szCs w:val="24"/>
          <w:highlight w:val="none"/>
        </w:rPr>
        <w:t>验前准备。</w:t>
      </w:r>
    </w:p>
    <w:p w14:paraId="4A623902">
      <w:pPr>
        <w:pStyle w:val="2"/>
        <w:keepNext w:val="0"/>
        <w:keepLines w:val="0"/>
        <w:pageBreakBefore w:val="0"/>
        <w:widowControl/>
        <w:kinsoku w:val="0"/>
        <w:wordWrap/>
        <w:overflowPunct/>
        <w:topLinePunct w:val="0"/>
        <w:autoSpaceDE w:val="0"/>
        <w:autoSpaceDN w:val="0"/>
        <w:bidi w:val="0"/>
        <w:adjustRightInd w:val="0"/>
        <w:snapToGrid w:val="0"/>
        <w:spacing w:before="27" w:line="239" w:lineRule="auto"/>
        <w:ind w:left="496" w:right="393"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（二）第二阶段，如对联动试车、投料试车等的要求，包括人员、设备、材料、燃</w:t>
      </w:r>
      <w:r>
        <w:rPr>
          <w:rFonts w:hint="eastAsia" w:ascii="仿宋" w:hAnsi="仿宋" w:eastAsia="仿宋" w:cs="仿宋"/>
          <w:color w:val="auto"/>
          <w:spacing w:val="3"/>
          <w:sz w:val="24"/>
          <w:szCs w:val="24"/>
          <w:highlight w:val="none"/>
        </w:rPr>
        <w:t>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电力、消耗品、工具等必要条件。</w:t>
      </w:r>
    </w:p>
    <w:p w14:paraId="3EE63695">
      <w:pPr>
        <w:pStyle w:val="2"/>
        <w:keepNext w:val="0"/>
        <w:keepLines w:val="0"/>
        <w:pageBreakBefore w:val="0"/>
        <w:widowControl/>
        <w:kinsoku w:val="0"/>
        <w:wordWrap/>
        <w:overflowPunct/>
        <w:topLinePunct w:val="0"/>
        <w:autoSpaceDE w:val="0"/>
        <w:autoSpaceDN w:val="0"/>
        <w:bidi w:val="0"/>
        <w:adjustRightInd w:val="0"/>
        <w:snapToGrid w:val="0"/>
        <w:spacing w:before="25"/>
        <w:ind w:left="473" w:right="46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（三）第三阶段，如对性能测试及其他竣工试验</w:t>
      </w:r>
      <w:r>
        <w:rPr>
          <w:rFonts w:hint="eastAsia" w:ascii="仿宋" w:hAnsi="仿宋" w:eastAsia="仿宋" w:cs="仿宋"/>
          <w:color w:val="auto"/>
          <w:spacing w:val="7"/>
          <w:sz w:val="24"/>
          <w:szCs w:val="24"/>
          <w:highlight w:val="none"/>
        </w:rPr>
        <w:t>的要求，包括产能指标、产品质量标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准、运营指标、环保指标等。</w:t>
      </w:r>
    </w:p>
    <w:p w14:paraId="34F9FA82">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7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七、竣工验收</w:t>
      </w:r>
    </w:p>
    <w:p w14:paraId="3819F7F5">
      <w:pPr>
        <w:pStyle w:val="2"/>
        <w:keepNext w:val="0"/>
        <w:keepLines w:val="0"/>
        <w:pageBreakBefore w:val="0"/>
        <w:widowControl/>
        <w:kinsoku w:val="0"/>
        <w:wordWrap/>
        <w:overflowPunct/>
        <w:topLinePunct w:val="0"/>
        <w:autoSpaceDE w:val="0"/>
        <w:autoSpaceDN w:val="0"/>
        <w:bidi w:val="0"/>
        <w:adjustRightInd w:val="0"/>
        <w:snapToGrid w:val="0"/>
        <w:spacing w:before="27" w:line="274" w:lineRule="exact"/>
        <w:ind w:left="10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八、竣工后试验（如有）</w:t>
      </w:r>
    </w:p>
    <w:p w14:paraId="4F74D87C">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九、文件要求</w:t>
      </w:r>
    </w:p>
    <w:p w14:paraId="26ABE52D">
      <w:pPr>
        <w:pStyle w:val="2"/>
        <w:keepNext w:val="0"/>
        <w:keepLines w:val="0"/>
        <w:pageBreakBefore w:val="0"/>
        <w:widowControl/>
        <w:kinsoku w:val="0"/>
        <w:wordWrap/>
        <w:overflowPunct/>
        <w:topLinePunct w:val="0"/>
        <w:autoSpaceDE w:val="0"/>
        <w:autoSpaceDN w:val="0"/>
        <w:bidi w:val="0"/>
        <w:adjustRightInd w:val="0"/>
        <w:snapToGrid w:val="0"/>
        <w:spacing w:before="24"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（一）设计文件，及其相关审批、核准、备案要求。</w:t>
      </w:r>
    </w:p>
    <w:p w14:paraId="57D069AF">
      <w:pPr>
        <w:pStyle w:val="2"/>
        <w:keepNext w:val="0"/>
        <w:keepLines w:val="0"/>
        <w:pageBreakBefore w:val="0"/>
        <w:widowControl/>
        <w:kinsoku w:val="0"/>
        <w:wordWrap/>
        <w:overflowPunct/>
        <w:topLinePunct w:val="0"/>
        <w:autoSpaceDE w:val="0"/>
        <w:autoSpaceDN w:val="0"/>
        <w:bidi w:val="0"/>
        <w:adjustRightInd w:val="0"/>
        <w:snapToGrid w:val="0"/>
        <w:spacing w:before="1"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（二）沟通计划。</w:t>
      </w:r>
    </w:p>
    <w:p w14:paraId="0AF417B6">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（三）风险管理计划。</w:t>
      </w:r>
    </w:p>
    <w:p w14:paraId="2F749580">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（四）竣工文件和工程的其他记录。</w:t>
      </w:r>
    </w:p>
    <w:p w14:paraId="07040809">
      <w:pPr>
        <w:pStyle w:val="2"/>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（五）操作和维修手册。</w:t>
      </w:r>
    </w:p>
    <w:p w14:paraId="3E618E26">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（六）其他承包人文件。</w:t>
      </w:r>
    </w:p>
    <w:p w14:paraId="5BE05816">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十、工程项目管理规定</w:t>
      </w:r>
    </w:p>
    <w:p w14:paraId="474F391C">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（一）质量。</w:t>
      </w:r>
    </w:p>
    <w:p w14:paraId="0FEAC97A">
      <w:pPr>
        <w:pStyle w:val="2"/>
        <w:keepNext w:val="0"/>
        <w:keepLines w:val="0"/>
        <w:pageBreakBefore w:val="0"/>
        <w:widowControl/>
        <w:kinsoku w:val="0"/>
        <w:wordWrap/>
        <w:overflowPunct/>
        <w:topLinePunct w:val="0"/>
        <w:autoSpaceDE w:val="0"/>
        <w:autoSpaceDN w:val="0"/>
        <w:bidi w:val="0"/>
        <w:adjustRightInd w:val="0"/>
        <w:snapToGrid w:val="0"/>
        <w:spacing w:before="27"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（二）进度，包括里程碑进度计划（如果有）。</w:t>
      </w:r>
    </w:p>
    <w:p w14:paraId="6812688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（三）支付。</w:t>
      </w:r>
    </w:p>
    <w:p w14:paraId="37DCF2B5">
      <w:pPr>
        <w:pStyle w:val="2"/>
        <w:keepNext w:val="0"/>
        <w:keepLines w:val="0"/>
        <w:pageBreakBefore w:val="0"/>
        <w:widowControl/>
        <w:kinsoku w:val="0"/>
        <w:wordWrap/>
        <w:overflowPunct/>
        <w:topLinePunct w:val="0"/>
        <w:autoSpaceDE w:val="0"/>
        <w:autoSpaceDN w:val="0"/>
        <w:bidi w:val="0"/>
        <w:adjustRightInd w:val="0"/>
        <w:snapToGrid w:val="0"/>
        <w:spacing w:before="25"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w:t>
      </w:r>
      <w:r>
        <w:rPr>
          <w:rFonts w:hint="eastAsia" w:ascii="仿宋" w:hAnsi="仿宋" w:eastAsia="仿宋" w:cs="仿宋"/>
          <w:color w:val="auto"/>
          <w:position w:val="4"/>
          <w:sz w:val="24"/>
          <w:szCs w:val="24"/>
          <w:highlight w:val="none"/>
        </w:rPr>
        <w:t>HSE</w:t>
      </w:r>
      <w:r>
        <w:rPr>
          <w:rFonts w:hint="eastAsia" w:ascii="仿宋" w:hAnsi="仿宋" w:eastAsia="仿宋" w:cs="仿宋"/>
          <w:color w:val="auto"/>
          <w:spacing w:val="8"/>
          <w:position w:val="4"/>
          <w:sz w:val="24"/>
          <w:szCs w:val="24"/>
          <w:highlight w:val="none"/>
        </w:rPr>
        <w:t>（健康、安全与环境管理体系）。</w:t>
      </w:r>
    </w:p>
    <w:p w14:paraId="1E835381">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（五）沟通。</w:t>
      </w:r>
    </w:p>
    <w:p w14:paraId="50612897">
      <w:pPr>
        <w:pStyle w:val="2"/>
        <w:keepNext w:val="0"/>
        <w:keepLines w:val="0"/>
        <w:pageBreakBefore w:val="0"/>
        <w:widowControl/>
        <w:kinsoku w:val="0"/>
        <w:wordWrap/>
        <w:overflowPunct/>
        <w:topLinePunct w:val="0"/>
        <w:autoSpaceDE w:val="0"/>
        <w:autoSpaceDN w:val="0"/>
        <w:bidi w:val="0"/>
        <w:adjustRightInd w:val="0"/>
        <w:snapToGrid w:val="0"/>
        <w:spacing w:before="26" w:line="229"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（六）变更。</w:t>
      </w:r>
    </w:p>
    <w:p w14:paraId="1CC3439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十一、其他要求</w:t>
      </w:r>
    </w:p>
    <w:p w14:paraId="5FBD944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（一）对承包人的主要人员资格要求。</w:t>
      </w:r>
    </w:p>
    <w:p w14:paraId="29BCFAD5">
      <w:pPr>
        <w:pStyle w:val="2"/>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（二）相关审批、核准和备案手续的办理。</w:t>
      </w:r>
    </w:p>
    <w:p w14:paraId="324FE6A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（三）对项目业主人员的操作培训。</w:t>
      </w:r>
    </w:p>
    <w:p w14:paraId="34345514">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（四）分包。</w:t>
      </w:r>
    </w:p>
    <w:p w14:paraId="4177085A">
      <w:pPr>
        <w:pStyle w:val="2"/>
        <w:keepNext w:val="0"/>
        <w:keepLines w:val="0"/>
        <w:pageBreakBefore w:val="0"/>
        <w:widowControl/>
        <w:kinsoku w:val="0"/>
        <w:wordWrap/>
        <w:overflowPunct/>
        <w:topLinePunct w:val="0"/>
        <w:autoSpaceDE w:val="0"/>
        <w:autoSpaceDN w:val="0"/>
        <w:bidi w:val="0"/>
        <w:adjustRightInd w:val="0"/>
        <w:snapToGrid w:val="0"/>
        <w:spacing w:before="24"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（五）设备供应商。</w:t>
      </w:r>
    </w:p>
    <w:p w14:paraId="198760F8">
      <w:pPr>
        <w:pStyle w:val="2"/>
        <w:keepNext w:val="0"/>
        <w:keepLines w:val="0"/>
        <w:pageBreakBefore w:val="0"/>
        <w:widowControl/>
        <w:kinsoku w:val="0"/>
        <w:wordWrap/>
        <w:overflowPunct/>
        <w:topLinePunct w:val="0"/>
        <w:autoSpaceDE w:val="0"/>
        <w:autoSpaceDN w:val="0"/>
        <w:bidi w:val="0"/>
        <w:adjustRightInd w:val="0"/>
        <w:snapToGrid w:val="0"/>
        <w:spacing w:before="28"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（六）缺陷责任期的服务要求。</w:t>
      </w:r>
    </w:p>
    <w:p w14:paraId="181F6E5D">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5246146E">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150EC193">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2E9A7D47">
      <w:pPr>
        <w:pStyle w:val="2"/>
        <w:rPr>
          <w:rFonts w:hint="eastAsia" w:ascii="仿宋" w:hAnsi="仿宋" w:eastAsia="仿宋" w:cs="仿宋"/>
          <w:color w:val="auto"/>
          <w:sz w:val="24"/>
          <w:szCs w:val="24"/>
          <w:highlight w:val="none"/>
        </w:rPr>
      </w:pPr>
    </w:p>
    <w:p w14:paraId="76999CA7">
      <w:pPr>
        <w:rPr>
          <w:rFonts w:hint="eastAsia" w:ascii="仿宋" w:hAnsi="仿宋" w:eastAsia="仿宋" w:cs="仿宋"/>
          <w:color w:val="auto"/>
          <w:sz w:val="24"/>
          <w:szCs w:val="24"/>
          <w:highlight w:val="none"/>
        </w:rPr>
      </w:pPr>
    </w:p>
    <w:p w14:paraId="6B363B00">
      <w:pPr>
        <w:pStyle w:val="2"/>
        <w:rPr>
          <w:rFonts w:hint="eastAsia" w:ascii="仿宋" w:hAnsi="仿宋" w:eastAsia="仿宋" w:cs="仿宋"/>
          <w:color w:val="auto"/>
          <w:sz w:val="24"/>
          <w:szCs w:val="24"/>
          <w:highlight w:val="none"/>
        </w:rPr>
      </w:pPr>
    </w:p>
    <w:p w14:paraId="57CFB436">
      <w:pPr>
        <w:rPr>
          <w:rFonts w:hint="eastAsia" w:ascii="仿宋" w:hAnsi="仿宋" w:eastAsia="仿宋" w:cs="仿宋"/>
          <w:color w:val="auto"/>
          <w:sz w:val="24"/>
          <w:szCs w:val="24"/>
          <w:highlight w:val="none"/>
        </w:rPr>
      </w:pPr>
    </w:p>
    <w:p w14:paraId="49867A99">
      <w:pPr>
        <w:pStyle w:val="2"/>
        <w:rPr>
          <w:rFonts w:hint="eastAsia" w:ascii="仿宋" w:hAnsi="仿宋" w:eastAsia="仿宋" w:cs="仿宋"/>
          <w:color w:val="auto"/>
          <w:sz w:val="24"/>
          <w:szCs w:val="24"/>
          <w:highlight w:val="none"/>
        </w:rPr>
      </w:pPr>
    </w:p>
    <w:p w14:paraId="4A0DA9E0">
      <w:pPr>
        <w:rPr>
          <w:rFonts w:hint="eastAsia" w:ascii="仿宋" w:hAnsi="仿宋" w:eastAsia="仿宋" w:cs="仿宋"/>
          <w:color w:val="auto"/>
          <w:sz w:val="24"/>
          <w:szCs w:val="24"/>
          <w:highlight w:val="none"/>
        </w:rPr>
      </w:pPr>
    </w:p>
    <w:p w14:paraId="45C2256F">
      <w:pPr>
        <w:pStyle w:val="2"/>
        <w:rPr>
          <w:rFonts w:hint="eastAsia" w:ascii="仿宋" w:hAnsi="仿宋" w:eastAsia="仿宋" w:cs="仿宋"/>
          <w:color w:val="auto"/>
          <w:sz w:val="24"/>
          <w:szCs w:val="24"/>
          <w:highlight w:val="none"/>
        </w:rPr>
      </w:pPr>
    </w:p>
    <w:p w14:paraId="5CDACBD2">
      <w:pPr>
        <w:rPr>
          <w:rFonts w:hint="eastAsia" w:ascii="仿宋" w:hAnsi="仿宋" w:eastAsia="仿宋" w:cs="仿宋"/>
          <w:color w:val="auto"/>
          <w:sz w:val="24"/>
          <w:szCs w:val="24"/>
          <w:highlight w:val="none"/>
        </w:rPr>
      </w:pPr>
    </w:p>
    <w:p w14:paraId="472199BB">
      <w:pPr>
        <w:pStyle w:val="2"/>
        <w:rPr>
          <w:rFonts w:hint="eastAsia" w:ascii="仿宋" w:hAnsi="仿宋" w:eastAsia="仿宋" w:cs="仿宋"/>
          <w:color w:val="auto"/>
          <w:sz w:val="24"/>
          <w:szCs w:val="24"/>
          <w:highlight w:val="none"/>
        </w:rPr>
      </w:pPr>
    </w:p>
    <w:p w14:paraId="60C7F52B">
      <w:pPr>
        <w:rPr>
          <w:rFonts w:hint="eastAsia" w:ascii="仿宋" w:hAnsi="仿宋" w:eastAsia="仿宋" w:cs="仿宋"/>
          <w:color w:val="auto"/>
          <w:sz w:val="24"/>
          <w:szCs w:val="24"/>
          <w:highlight w:val="none"/>
        </w:rPr>
      </w:pPr>
    </w:p>
    <w:p w14:paraId="2E0B879F">
      <w:pPr>
        <w:pStyle w:val="2"/>
        <w:rPr>
          <w:rFonts w:hint="eastAsia" w:ascii="仿宋" w:hAnsi="仿宋" w:eastAsia="仿宋" w:cs="仿宋"/>
          <w:color w:val="auto"/>
          <w:sz w:val="24"/>
          <w:szCs w:val="24"/>
          <w:highlight w:val="none"/>
        </w:rPr>
      </w:pPr>
    </w:p>
    <w:p w14:paraId="69A5E038">
      <w:pPr>
        <w:rPr>
          <w:rFonts w:hint="eastAsia" w:ascii="仿宋" w:hAnsi="仿宋" w:eastAsia="仿宋" w:cs="仿宋"/>
          <w:color w:val="auto"/>
          <w:sz w:val="24"/>
          <w:szCs w:val="24"/>
          <w:highlight w:val="none"/>
        </w:rPr>
      </w:pPr>
    </w:p>
    <w:p w14:paraId="522AF793">
      <w:pPr>
        <w:pStyle w:val="2"/>
        <w:rPr>
          <w:rFonts w:hint="eastAsia" w:ascii="仿宋" w:hAnsi="仿宋" w:eastAsia="仿宋" w:cs="仿宋"/>
          <w:color w:val="auto"/>
          <w:sz w:val="24"/>
          <w:szCs w:val="24"/>
          <w:highlight w:val="none"/>
        </w:rPr>
      </w:pPr>
    </w:p>
    <w:p w14:paraId="6689A8CC">
      <w:pPr>
        <w:rPr>
          <w:rFonts w:hint="eastAsia" w:ascii="仿宋" w:hAnsi="仿宋" w:eastAsia="仿宋" w:cs="仿宋"/>
          <w:color w:val="auto"/>
          <w:sz w:val="24"/>
          <w:szCs w:val="24"/>
          <w:highlight w:val="none"/>
        </w:rPr>
      </w:pPr>
    </w:p>
    <w:p w14:paraId="4C96D5A3">
      <w:pPr>
        <w:pStyle w:val="2"/>
        <w:rPr>
          <w:rFonts w:hint="eastAsia" w:ascii="仿宋" w:hAnsi="仿宋" w:eastAsia="仿宋" w:cs="仿宋"/>
          <w:sz w:val="24"/>
          <w:szCs w:val="24"/>
        </w:rPr>
        <w:sectPr>
          <w:footerReference r:id="rId50" w:type="default"/>
          <w:pgSz w:w="11906" w:h="16839"/>
          <w:pgMar w:top="1431" w:right="1339" w:bottom="1171" w:left="1338" w:header="0" w:footer="992" w:gutter="0"/>
          <w:pgNumType w:fmt="decimal"/>
          <w:cols w:space="720" w:num="1"/>
        </w:sectPr>
      </w:pPr>
    </w:p>
    <w:p w14:paraId="2C65D88C">
      <w:pPr>
        <w:rPr>
          <w:rFonts w:hint="eastAsia" w:ascii="仿宋" w:hAnsi="仿宋" w:eastAsia="仿宋" w:cs="仿宋"/>
          <w:sz w:val="24"/>
          <w:szCs w:val="24"/>
        </w:rPr>
      </w:pPr>
    </w:p>
    <w:p w14:paraId="011A3343">
      <w:pPr>
        <w:pStyle w:val="2"/>
        <w:keepNext w:val="0"/>
        <w:keepLines w:val="0"/>
        <w:pageBreakBefore w:val="0"/>
        <w:widowControl/>
        <w:kinsoku w:val="0"/>
        <w:wordWrap/>
        <w:overflowPunct/>
        <w:topLinePunct w:val="0"/>
        <w:autoSpaceDE w:val="0"/>
        <w:autoSpaceDN w:val="0"/>
        <w:bidi w:val="0"/>
        <w:adjustRightInd w:val="0"/>
        <w:snapToGrid w:val="0"/>
        <w:spacing w:before="65" w:line="211" w:lineRule="auto"/>
        <w:ind w:left="30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附件2</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发包人供应材料设备一览表</w:t>
      </w:r>
    </w:p>
    <w:tbl>
      <w:tblPr>
        <w:tblStyle w:val="26"/>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6251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vAlign w:val="top"/>
          </w:tcPr>
          <w:p w14:paraId="40209381">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6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162" w:type="dxa"/>
            <w:tcBorders>
              <w:top w:val="single" w:color="000000" w:sz="10" w:space="0"/>
            </w:tcBorders>
            <w:vAlign w:val="top"/>
          </w:tcPr>
          <w:p w14:paraId="641A2F0A">
            <w:pPr>
              <w:pStyle w:val="28"/>
              <w:keepNext w:val="0"/>
              <w:keepLines w:val="0"/>
              <w:pageBreakBefore w:val="0"/>
              <w:widowControl/>
              <w:kinsoku w:val="0"/>
              <w:wordWrap/>
              <w:overflowPunct/>
              <w:topLinePunct w:val="0"/>
              <w:autoSpaceDE w:val="0"/>
              <w:autoSpaceDN w:val="0"/>
              <w:bidi w:val="0"/>
              <w:adjustRightInd w:val="0"/>
              <w:snapToGrid w:val="0"/>
              <w:spacing w:before="137" w:line="212" w:lineRule="auto"/>
              <w:ind w:left="380" w:right="63" w:hanging="3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材料、设备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品种</w:t>
            </w:r>
          </w:p>
        </w:tc>
        <w:tc>
          <w:tcPr>
            <w:tcW w:w="1123" w:type="dxa"/>
            <w:tcBorders>
              <w:top w:val="single" w:color="000000" w:sz="10" w:space="0"/>
            </w:tcBorders>
            <w:vAlign w:val="top"/>
          </w:tcPr>
          <w:p w14:paraId="4E8CB85B">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规格型号</w:t>
            </w:r>
          </w:p>
        </w:tc>
        <w:tc>
          <w:tcPr>
            <w:tcW w:w="565" w:type="dxa"/>
            <w:tcBorders>
              <w:top w:val="single" w:color="000000" w:sz="10" w:space="0"/>
            </w:tcBorders>
            <w:vAlign w:val="top"/>
          </w:tcPr>
          <w:p w14:paraId="3C39DC86">
            <w:pPr>
              <w:pStyle w:val="28"/>
              <w:keepNext w:val="0"/>
              <w:keepLines w:val="0"/>
              <w:pageBreakBefore w:val="0"/>
              <w:widowControl/>
              <w:kinsoku w:val="0"/>
              <w:wordWrap/>
              <w:overflowPunct/>
              <w:topLinePunct w:val="0"/>
              <w:autoSpaceDE w:val="0"/>
              <w:autoSpaceDN w:val="0"/>
              <w:bidi w:val="0"/>
              <w:adjustRightInd w:val="0"/>
              <w:snapToGrid w:val="0"/>
              <w:spacing w:before="258" w:line="228" w:lineRule="auto"/>
              <w:ind w:left="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单位</w:t>
            </w:r>
          </w:p>
        </w:tc>
        <w:tc>
          <w:tcPr>
            <w:tcW w:w="684" w:type="dxa"/>
            <w:tcBorders>
              <w:top w:val="single" w:color="000000" w:sz="10" w:space="0"/>
            </w:tcBorders>
            <w:vAlign w:val="top"/>
          </w:tcPr>
          <w:p w14:paraId="1FC0C8A3">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数量</w:t>
            </w:r>
          </w:p>
        </w:tc>
        <w:tc>
          <w:tcPr>
            <w:tcW w:w="989" w:type="dxa"/>
            <w:tcBorders>
              <w:top w:val="single" w:color="000000" w:sz="10" w:space="0"/>
            </w:tcBorders>
            <w:vAlign w:val="top"/>
          </w:tcPr>
          <w:p w14:paraId="61D943C1">
            <w:pPr>
              <w:pStyle w:val="28"/>
              <w:keepNext w:val="0"/>
              <w:keepLines w:val="0"/>
              <w:pageBreakBefore w:val="0"/>
              <w:widowControl/>
              <w:kinsoku w:val="0"/>
              <w:wordWrap/>
              <w:overflowPunct/>
              <w:topLinePunct w:val="0"/>
              <w:autoSpaceDE w:val="0"/>
              <w:autoSpaceDN w:val="0"/>
              <w:bidi w:val="0"/>
              <w:adjustRightInd w:val="0"/>
              <w:snapToGrid w:val="0"/>
              <w:spacing w:before="258"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单价（元）</w:t>
            </w:r>
          </w:p>
        </w:tc>
        <w:tc>
          <w:tcPr>
            <w:tcW w:w="1131" w:type="dxa"/>
            <w:tcBorders>
              <w:top w:val="single" w:color="000000" w:sz="10" w:space="0"/>
            </w:tcBorders>
            <w:vAlign w:val="top"/>
          </w:tcPr>
          <w:p w14:paraId="56A18D92">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质量等级</w:t>
            </w:r>
          </w:p>
        </w:tc>
        <w:tc>
          <w:tcPr>
            <w:tcW w:w="1131" w:type="dxa"/>
            <w:tcBorders>
              <w:top w:val="single" w:color="000000" w:sz="10" w:space="0"/>
            </w:tcBorders>
            <w:vAlign w:val="top"/>
          </w:tcPr>
          <w:p w14:paraId="6656F9BA">
            <w:pPr>
              <w:pStyle w:val="28"/>
              <w:keepNext w:val="0"/>
              <w:keepLines w:val="0"/>
              <w:pageBreakBefore w:val="0"/>
              <w:widowControl/>
              <w:kinsoku w:val="0"/>
              <w:wordWrap/>
              <w:overflowPunct/>
              <w:topLinePunct w:val="0"/>
              <w:autoSpaceDE w:val="0"/>
              <w:autoSpaceDN w:val="0"/>
              <w:bidi w:val="0"/>
              <w:adjustRightInd w:val="0"/>
              <w:snapToGrid w:val="0"/>
              <w:spacing w:before="257" w:line="227" w:lineRule="auto"/>
              <w:ind w:left="15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供应时间</w:t>
            </w:r>
          </w:p>
        </w:tc>
        <w:tc>
          <w:tcPr>
            <w:tcW w:w="1131" w:type="dxa"/>
            <w:tcBorders>
              <w:top w:val="single" w:color="000000" w:sz="10" w:space="0"/>
            </w:tcBorders>
            <w:vAlign w:val="top"/>
          </w:tcPr>
          <w:p w14:paraId="1D4C75BC">
            <w:pPr>
              <w:pStyle w:val="28"/>
              <w:keepNext w:val="0"/>
              <w:keepLines w:val="0"/>
              <w:pageBreakBefore w:val="0"/>
              <w:widowControl/>
              <w:kinsoku w:val="0"/>
              <w:wordWrap/>
              <w:overflowPunct/>
              <w:topLinePunct w:val="0"/>
              <w:autoSpaceDE w:val="0"/>
              <w:autoSpaceDN w:val="0"/>
              <w:bidi w:val="0"/>
              <w:adjustRightInd w:val="0"/>
              <w:snapToGrid w:val="0"/>
              <w:spacing w:before="258" w:line="232" w:lineRule="auto"/>
              <w:ind w:lef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送达地点</w:t>
            </w:r>
          </w:p>
        </w:tc>
        <w:tc>
          <w:tcPr>
            <w:tcW w:w="721" w:type="dxa"/>
            <w:tcBorders>
              <w:top w:val="single" w:color="000000" w:sz="10" w:space="0"/>
              <w:right w:val="single" w:color="000000" w:sz="10" w:space="0"/>
            </w:tcBorders>
            <w:vAlign w:val="top"/>
          </w:tcPr>
          <w:p w14:paraId="0935776C">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1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r>
      <w:tr w14:paraId="078B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vAlign w:val="top"/>
          </w:tcPr>
          <w:p w14:paraId="16FEAF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0400F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77D2E1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466E39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3DBC08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7DF256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223F8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732F3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CCDCE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16A03E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AE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2ED2F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66BDD2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5609A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27C43E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4F922DD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6BEEF4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F317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E73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D712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4C260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F9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6C9E0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73966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F17DF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1F96FD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65E1CA3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4CE1B36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E049E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6E9B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ED213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E43DF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100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vAlign w:val="top"/>
          </w:tcPr>
          <w:p w14:paraId="6CF50C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tcBorders>
              <w:bottom w:val="single" w:color="000000" w:sz="10" w:space="0"/>
            </w:tcBorders>
            <w:vAlign w:val="top"/>
          </w:tcPr>
          <w:p w14:paraId="6B1F79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tcBorders>
              <w:bottom w:val="single" w:color="000000" w:sz="10" w:space="0"/>
            </w:tcBorders>
            <w:vAlign w:val="top"/>
          </w:tcPr>
          <w:p w14:paraId="008867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tcBorders>
              <w:bottom w:val="single" w:color="000000" w:sz="10" w:space="0"/>
            </w:tcBorders>
            <w:vAlign w:val="top"/>
          </w:tcPr>
          <w:p w14:paraId="113EF8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tcBorders>
              <w:bottom w:val="single" w:color="000000" w:sz="10" w:space="0"/>
            </w:tcBorders>
            <w:vAlign w:val="top"/>
          </w:tcPr>
          <w:p w14:paraId="5FD961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tcBorders>
              <w:bottom w:val="single" w:color="000000" w:sz="10" w:space="0"/>
            </w:tcBorders>
            <w:vAlign w:val="top"/>
          </w:tcPr>
          <w:p w14:paraId="121FA2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483E17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591E83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24BC04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bottom w:val="single" w:color="000000" w:sz="10" w:space="0"/>
              <w:right w:val="single" w:color="000000" w:sz="10" w:space="0"/>
            </w:tcBorders>
            <w:vAlign w:val="top"/>
          </w:tcPr>
          <w:p w14:paraId="244127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7A6D95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51" w:type="default"/>
          <w:pgSz w:w="11906" w:h="16839"/>
          <w:pgMar w:top="1431" w:right="1339" w:bottom="1171" w:left="1338" w:header="0" w:footer="992" w:gutter="0"/>
          <w:pgNumType w:fmt="decimal"/>
          <w:cols w:space="720" w:num="1"/>
        </w:sectPr>
      </w:pPr>
    </w:p>
    <w:p w14:paraId="0E4EC15B">
      <w:pPr>
        <w:pStyle w:val="2"/>
        <w:keepNext w:val="0"/>
        <w:keepLines w:val="0"/>
        <w:pageBreakBefore w:val="0"/>
        <w:widowControl/>
        <w:kinsoku w:val="0"/>
        <w:wordWrap/>
        <w:overflowPunct/>
        <w:topLinePunct w:val="0"/>
        <w:autoSpaceDE w:val="0"/>
        <w:autoSpaceDN w:val="0"/>
        <w:bidi w:val="0"/>
        <w:adjustRightInd w:val="0"/>
        <w:snapToGrid w:val="0"/>
        <w:spacing w:before="7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附件3</w:t>
      </w:r>
      <w:r>
        <w:rPr>
          <w:rFonts w:hint="eastAsia" w:ascii="仿宋" w:hAnsi="仿宋" w:eastAsia="仿宋" w:cs="仿宋"/>
          <w:color w:val="auto"/>
          <w:spacing w:val="5"/>
          <w:sz w:val="24"/>
          <w:szCs w:val="24"/>
          <w:highlight w:val="none"/>
        </w:rPr>
        <w:t xml:space="preserve"> </w:t>
      </w:r>
      <w:r>
        <w:rPr>
          <w:rFonts w:hint="eastAsia" w:ascii="仿宋" w:hAnsi="仿宋" w:eastAsia="仿宋" w:cs="仿宋"/>
          <w:b/>
          <w:bCs/>
          <w:color w:val="auto"/>
          <w:spacing w:val="5"/>
          <w:sz w:val="24"/>
          <w:szCs w:val="24"/>
          <w:highlight w:val="none"/>
        </w:rPr>
        <w:t>工程质量保修书</w:t>
      </w:r>
    </w:p>
    <w:p w14:paraId="5FE27D84">
      <w:pPr>
        <w:pStyle w:val="2"/>
        <w:keepNext w:val="0"/>
        <w:keepLines w:val="0"/>
        <w:pageBreakBefore w:val="0"/>
        <w:widowControl/>
        <w:kinsoku w:val="0"/>
        <w:wordWrap/>
        <w:overflowPunct/>
        <w:topLinePunct w:val="0"/>
        <w:autoSpaceDE w:val="0"/>
        <w:autoSpaceDN w:val="0"/>
        <w:bidi w:val="0"/>
        <w:adjustRightInd w:val="0"/>
        <w:snapToGrid w:val="0"/>
        <w:spacing w:before="22" w:line="253"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发包人（全称</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p>
    <w:p w14:paraId="79F8432F">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承包人（全称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z w:val="24"/>
          <w:szCs w:val="24"/>
          <w:highlight w:val="none"/>
          <w:u w:val="single" w:color="auto"/>
        </w:rPr>
        <w:t xml:space="preserve">                                    </w:t>
      </w:r>
    </w:p>
    <w:p w14:paraId="2E2DC83A">
      <w:pPr>
        <w:pStyle w:val="2"/>
        <w:keepNext w:val="0"/>
        <w:keepLines w:val="0"/>
        <w:pageBreakBefore w:val="0"/>
        <w:widowControl/>
        <w:kinsoku w:val="0"/>
        <w:wordWrap/>
        <w:overflowPunct/>
        <w:topLinePunct w:val="0"/>
        <w:autoSpaceDE w:val="0"/>
        <w:autoSpaceDN w:val="0"/>
        <w:bidi w:val="0"/>
        <w:adjustRightInd w:val="0"/>
        <w:snapToGrid w:val="0"/>
        <w:spacing w:before="23"/>
        <w:ind w:left="28"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发包人和承包人根据《中华人民共和国建筑法》和《建设工程</w:t>
      </w:r>
      <w:r>
        <w:rPr>
          <w:rFonts w:hint="eastAsia" w:ascii="仿宋" w:hAnsi="仿宋" w:eastAsia="仿宋" w:cs="仿宋"/>
          <w:color w:val="auto"/>
          <w:spacing w:val="7"/>
          <w:sz w:val="24"/>
          <w:szCs w:val="24"/>
          <w:highlight w:val="none"/>
        </w:rPr>
        <w:t>质量管理条例》，经协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商一致就</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（工程全称）订立工程质量保修书。</w:t>
      </w:r>
    </w:p>
    <w:p w14:paraId="526D6279">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一、工程质量保修范围和内容</w:t>
      </w:r>
    </w:p>
    <w:p w14:paraId="1F8C2B20">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承包人在质量保修期内，按照有关法律规定和合同约定，承担工程质量保修责任。</w:t>
      </w:r>
    </w:p>
    <w:p w14:paraId="0EE4F8B1">
      <w:pPr>
        <w:pStyle w:val="2"/>
        <w:keepNext w:val="0"/>
        <w:keepLines w:val="0"/>
        <w:pageBreakBefore w:val="0"/>
        <w:widowControl/>
        <w:kinsoku w:val="0"/>
        <w:wordWrap/>
        <w:overflowPunct/>
        <w:topLinePunct w:val="0"/>
        <w:autoSpaceDE w:val="0"/>
        <w:autoSpaceDN w:val="0"/>
        <w:bidi w:val="0"/>
        <w:adjustRightInd w:val="0"/>
        <w:snapToGrid w:val="0"/>
        <w:spacing w:before="26" w:line="246" w:lineRule="auto"/>
        <w:ind w:left="23"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质量保修范围包括地基基础工程、主体结构工程，屋面防水工程、有</w:t>
      </w:r>
      <w:r>
        <w:rPr>
          <w:rFonts w:hint="eastAsia" w:ascii="仿宋" w:hAnsi="仿宋" w:eastAsia="仿宋" w:cs="仿宋"/>
          <w:color w:val="auto"/>
          <w:spacing w:val="7"/>
          <w:sz w:val="24"/>
          <w:szCs w:val="24"/>
          <w:highlight w:val="none"/>
        </w:rPr>
        <w:t>防水要求的卫生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间、房间和外墙面的防渗漏，供热与供冷系统，电气管线、给排水管道、设备安装和装修工</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程</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以 及 双 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项</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目</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具</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体</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保</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修</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下：</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25EA7B2">
      <w:pPr>
        <w:pStyle w:val="2"/>
        <w:keepNext w:val="0"/>
        <w:keepLines w:val="0"/>
        <w:pageBreakBefore w:val="0"/>
        <w:widowControl/>
        <w:kinsoku w:val="0"/>
        <w:wordWrap/>
        <w:overflowPunct/>
        <w:topLinePunct w:val="0"/>
        <w:autoSpaceDE w:val="0"/>
        <w:autoSpaceDN w:val="0"/>
        <w:bidi w:val="0"/>
        <w:adjustRightInd w:val="0"/>
        <w:snapToGrid w:val="0"/>
        <w:spacing w:before="22"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二、质量保修期</w:t>
      </w:r>
    </w:p>
    <w:p w14:paraId="220E051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根据《建设工程质量管理条例》及有关规定，工程的质量保修期如下：</w:t>
      </w:r>
    </w:p>
    <w:p w14:paraId="13CFA6B4">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1．地基基础工程和主体结构工程为设计文件规定</w:t>
      </w:r>
      <w:r>
        <w:rPr>
          <w:rFonts w:hint="eastAsia" w:ascii="仿宋" w:hAnsi="仿宋" w:eastAsia="仿宋" w:cs="仿宋"/>
          <w:color w:val="auto"/>
          <w:spacing w:val="8"/>
          <w:sz w:val="24"/>
          <w:szCs w:val="24"/>
          <w:highlight w:val="none"/>
        </w:rPr>
        <w:t>的工程合理使用年限；</w:t>
      </w:r>
    </w:p>
    <w:p w14:paraId="182C796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2．屋面防水工程、有防水要求的卫生间、房间和外</w:t>
      </w:r>
      <w:r>
        <w:rPr>
          <w:rFonts w:hint="eastAsia" w:ascii="仿宋" w:hAnsi="仿宋" w:eastAsia="仿宋" w:cs="仿宋"/>
          <w:color w:val="auto"/>
          <w:spacing w:val="8"/>
          <w:sz w:val="24"/>
          <w:szCs w:val="24"/>
          <w:highlight w:val="none"/>
        </w:rPr>
        <w:t>墙面的防渗为</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8"/>
          <w:sz w:val="24"/>
          <w:szCs w:val="24"/>
          <w:highlight w:val="none"/>
        </w:rPr>
        <w:t>年；</w:t>
      </w:r>
    </w:p>
    <w:p w14:paraId="41589FE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3．装修工程为</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5"/>
          <w:sz w:val="24"/>
          <w:szCs w:val="24"/>
          <w:highlight w:val="none"/>
        </w:rPr>
        <w:t>年；</w:t>
      </w:r>
    </w:p>
    <w:p w14:paraId="4080128F">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4．电气管线、给排水管道、设备安装工程为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7"/>
          <w:sz w:val="24"/>
          <w:szCs w:val="24"/>
          <w:highlight w:val="none"/>
        </w:rPr>
        <w:t>年；</w:t>
      </w:r>
    </w:p>
    <w:p w14:paraId="547CB4F8">
      <w:pPr>
        <w:pStyle w:val="2"/>
        <w:keepNext w:val="0"/>
        <w:keepLines w:val="0"/>
        <w:pageBreakBefore w:val="0"/>
        <w:widowControl/>
        <w:kinsoku w:val="0"/>
        <w:wordWrap/>
        <w:overflowPunct/>
        <w:topLinePunct w:val="0"/>
        <w:autoSpaceDE w:val="0"/>
        <w:autoSpaceDN w:val="0"/>
        <w:bidi w:val="0"/>
        <w:adjustRightInd w:val="0"/>
        <w:snapToGrid w:val="0"/>
        <w:spacing w:before="25"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5．供热与供冷系统为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7"/>
          <w:sz w:val="24"/>
          <w:szCs w:val="24"/>
          <w:highlight w:val="none"/>
        </w:rPr>
        <w:t>个采暖期、供冷期；</w:t>
      </w:r>
    </w:p>
    <w:p w14:paraId="442E582B">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6．住宅小区内的给排水设施、道路等配套工程为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7"/>
          <w:sz w:val="24"/>
          <w:szCs w:val="24"/>
          <w:highlight w:val="none"/>
        </w:rPr>
        <w:t>年；</w:t>
      </w:r>
    </w:p>
    <w:p w14:paraId="0DFB946B">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7．其他项目保修期限约定如下：</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8499BD">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质量保修期自工程竣工验收合格之日起计算。</w:t>
      </w:r>
    </w:p>
    <w:p w14:paraId="4F8B34B3">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三、缺陷责任期</w:t>
      </w:r>
    </w:p>
    <w:p w14:paraId="75F4EC82">
      <w:pPr>
        <w:pStyle w:val="2"/>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69"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工程缺陷责任期为</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10"/>
          <w:sz w:val="24"/>
          <w:szCs w:val="24"/>
          <w:highlight w:val="none"/>
        </w:rPr>
        <w:t>个月，缺陷责任期自工程通过竣工验收之日起计算。单位/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区段工程先于全部工程进行验收，单位/区段工程缺陷责任期自单位/区段工程验收合格之日</w:t>
      </w:r>
      <w:r>
        <w:rPr>
          <w:rFonts w:hint="eastAsia" w:ascii="仿宋" w:hAnsi="仿宋" w:eastAsia="仿宋" w:cs="仿宋"/>
          <w:color w:val="auto"/>
          <w:spacing w:val="2"/>
          <w:sz w:val="24"/>
          <w:szCs w:val="24"/>
          <w:highlight w:val="none"/>
        </w:rPr>
        <w:t xml:space="preserve"> 起算。</w:t>
      </w:r>
    </w:p>
    <w:p w14:paraId="6A605A68">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缺陷责任期终止后，发包人应返还剩余的质量保证金。</w:t>
      </w:r>
    </w:p>
    <w:p w14:paraId="64B29E78">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四、质量保修责任</w:t>
      </w:r>
    </w:p>
    <w:p w14:paraId="66A3093D">
      <w:pPr>
        <w:pStyle w:val="2"/>
        <w:keepNext w:val="0"/>
        <w:keepLines w:val="0"/>
        <w:pageBreakBefore w:val="0"/>
        <w:widowControl/>
        <w:kinsoku w:val="0"/>
        <w:wordWrap/>
        <w:overflowPunct/>
        <w:topLinePunct w:val="0"/>
        <w:autoSpaceDE w:val="0"/>
        <w:autoSpaceDN w:val="0"/>
        <w:bidi w:val="0"/>
        <w:adjustRightInd w:val="0"/>
        <w:snapToGrid w:val="0"/>
        <w:spacing w:before="25"/>
        <w:ind w:left="24"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1．属于保修范围、内容的项目，承包人应当在接到</w:t>
      </w:r>
      <w:r>
        <w:rPr>
          <w:rFonts w:hint="eastAsia" w:ascii="仿宋" w:hAnsi="仿宋" w:eastAsia="仿宋" w:cs="仿宋"/>
          <w:color w:val="auto"/>
          <w:spacing w:val="5"/>
          <w:sz w:val="24"/>
          <w:szCs w:val="24"/>
          <w:highlight w:val="none"/>
        </w:rPr>
        <w:t>保修通知之日起</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天内派人保修。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承包人不在约定期限内派人保修的，发包人可以委托他人修理。</w:t>
      </w:r>
    </w:p>
    <w:p w14:paraId="1A82888A">
      <w:pPr>
        <w:pStyle w:val="2"/>
        <w:keepNext w:val="0"/>
        <w:keepLines w:val="0"/>
        <w:pageBreakBefore w:val="0"/>
        <w:widowControl/>
        <w:kinsoku w:val="0"/>
        <w:wordWrap/>
        <w:overflowPunct/>
        <w:topLinePunct w:val="0"/>
        <w:autoSpaceDE w:val="0"/>
        <w:autoSpaceDN w:val="0"/>
        <w:bidi w:val="0"/>
        <w:adjustRightInd w:val="0"/>
        <w:snapToGrid w:val="0"/>
        <w:spacing w:before="2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2．发生紧急事故需抢修的，承包人在接到事故通知后，应当立即到</w:t>
      </w:r>
      <w:r>
        <w:rPr>
          <w:rFonts w:hint="eastAsia" w:ascii="仿宋" w:hAnsi="仿宋" w:eastAsia="仿宋" w:cs="仿宋"/>
          <w:color w:val="auto"/>
          <w:spacing w:val="6"/>
          <w:sz w:val="24"/>
          <w:szCs w:val="24"/>
          <w:highlight w:val="none"/>
        </w:rPr>
        <w:t>达事故现场抢修。</w:t>
      </w:r>
    </w:p>
    <w:p w14:paraId="35F8610D">
      <w:pPr>
        <w:pStyle w:val="2"/>
        <w:keepNext w:val="0"/>
        <w:keepLines w:val="0"/>
        <w:pageBreakBefore w:val="0"/>
        <w:widowControl/>
        <w:kinsoku w:val="0"/>
        <w:wordWrap/>
        <w:overflowPunct/>
        <w:topLinePunct w:val="0"/>
        <w:autoSpaceDE w:val="0"/>
        <w:autoSpaceDN w:val="0"/>
        <w:bidi w:val="0"/>
        <w:adjustRightInd w:val="0"/>
        <w:snapToGrid w:val="0"/>
        <w:spacing w:before="23" w:line="246" w:lineRule="auto"/>
        <w:ind w:left="24" w:right="16"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3．对于涉及结构安全的质量问题，应当按照《建设工程质量管理条例》的规定，立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即向当地建设行政主管部门和有关部门报告，采</w:t>
      </w:r>
      <w:r>
        <w:rPr>
          <w:rFonts w:hint="eastAsia" w:ascii="仿宋" w:hAnsi="仿宋" w:eastAsia="仿宋" w:cs="仿宋"/>
          <w:color w:val="auto"/>
          <w:spacing w:val="3"/>
          <w:sz w:val="24"/>
          <w:szCs w:val="24"/>
          <w:highlight w:val="none"/>
        </w:rPr>
        <w:t>取安全防范措施，并由承包人提出保修方案，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承包人将设计业务分包的，应由原设计分包人或具有相</w:t>
      </w:r>
      <w:r>
        <w:rPr>
          <w:rFonts w:hint="eastAsia" w:ascii="仿宋" w:hAnsi="仿宋" w:eastAsia="仿宋" w:cs="仿宋"/>
          <w:color w:val="auto"/>
          <w:spacing w:val="8"/>
          <w:sz w:val="24"/>
          <w:szCs w:val="24"/>
          <w:highlight w:val="none"/>
        </w:rPr>
        <w:t>应资质等级的设计人提出保修方案，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承包人实施保修。</w:t>
      </w:r>
    </w:p>
    <w:p w14:paraId="34D0A0E3">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4．质量保修完成后，由发包人组织验收。</w:t>
      </w:r>
    </w:p>
    <w:p w14:paraId="21232166">
      <w:pPr>
        <w:pStyle w:val="2"/>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五、保修费用</w:t>
      </w:r>
    </w:p>
    <w:p w14:paraId="2BCAA787">
      <w:pPr>
        <w:pStyle w:val="2"/>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保修费用由造成质量缺陷的责任方承担。</w:t>
      </w:r>
    </w:p>
    <w:p w14:paraId="19C41389">
      <w:pPr>
        <w:pStyle w:val="2"/>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六、双方约定的其他工程质量保修事项：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82368E6">
      <w:pPr>
        <w:pStyle w:val="2"/>
        <w:keepNext w:val="0"/>
        <w:keepLines w:val="0"/>
        <w:pageBreakBefore w:val="0"/>
        <w:widowControl/>
        <w:kinsoku w:val="0"/>
        <w:wordWrap/>
        <w:overflowPunct/>
        <w:topLinePunct w:val="0"/>
        <w:autoSpaceDE w:val="0"/>
        <w:autoSpaceDN w:val="0"/>
        <w:bidi w:val="0"/>
        <w:adjustRightInd w:val="0"/>
        <w:snapToGrid w:val="0"/>
        <w:spacing w:before="27" w:line="214"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工程质量保修书由发包人、承包人在工程竣工验收前共同签署，</w:t>
      </w:r>
      <w:r>
        <w:rPr>
          <w:rFonts w:hint="eastAsia" w:ascii="仿宋" w:hAnsi="仿宋" w:eastAsia="仿宋" w:cs="仿宋"/>
          <w:color w:val="auto"/>
          <w:spacing w:val="7"/>
          <w:sz w:val="24"/>
          <w:szCs w:val="24"/>
          <w:highlight w:val="none"/>
        </w:rPr>
        <w:t>作为工程总承包合同</w:t>
      </w:r>
    </w:p>
    <w:p w14:paraId="2A3515F5">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outlineLvl w:val="9"/>
        <w:rPr>
          <w:rFonts w:hint="eastAsia" w:ascii="仿宋" w:hAnsi="仿宋" w:eastAsia="仿宋" w:cs="仿宋"/>
          <w:color w:val="auto"/>
          <w:sz w:val="24"/>
          <w:szCs w:val="24"/>
          <w:highlight w:val="none"/>
        </w:rPr>
        <w:sectPr>
          <w:footerReference r:id="rId52" w:type="default"/>
          <w:pgSz w:w="11906" w:h="16839"/>
          <w:pgMar w:top="1431" w:right="1733" w:bottom="1171" w:left="1785" w:header="0" w:footer="992" w:gutter="0"/>
          <w:pgNumType w:fmt="decimal"/>
          <w:cols w:equalWidth="0" w:num="1">
            <w:col w:w="8387"/>
          </w:cols>
        </w:sectPr>
      </w:pPr>
    </w:p>
    <w:p w14:paraId="2D435792">
      <w:pPr>
        <w:pStyle w:val="2"/>
        <w:keepNext w:val="0"/>
        <w:keepLines w:val="0"/>
        <w:pageBreakBefore w:val="0"/>
        <w:widowControl/>
        <w:kinsoku w:val="0"/>
        <w:wordWrap/>
        <w:overflowPunct/>
        <w:topLinePunct w:val="0"/>
        <w:autoSpaceDE w:val="0"/>
        <w:autoSpaceDN w:val="0"/>
        <w:bidi w:val="0"/>
        <w:adjustRightInd w:val="0"/>
        <w:snapToGrid w:val="0"/>
        <w:spacing w:before="42" w:line="227"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附件，其有效期限至保修期满。</w:t>
      </w:r>
    </w:p>
    <w:p w14:paraId="32C74257">
      <w:pPr>
        <w:pStyle w:val="2"/>
        <w:keepNext w:val="0"/>
        <w:keepLines w:val="0"/>
        <w:pageBreakBefore w:val="0"/>
        <w:widowControl/>
        <w:kinsoku w:val="0"/>
        <w:wordWrap/>
        <w:overflowPunct/>
        <w:topLinePunct w:val="0"/>
        <w:autoSpaceDE w:val="0"/>
        <w:autoSpaceDN w:val="0"/>
        <w:bidi w:val="0"/>
        <w:adjustRightInd w:val="0"/>
        <w:snapToGrid w:val="0"/>
        <w:spacing w:before="25" w:line="272"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发包人(公章)：</w:t>
      </w:r>
    </w:p>
    <w:p w14:paraId="2BD370E5">
      <w:pPr>
        <w:pStyle w:val="2"/>
        <w:keepNext w:val="0"/>
        <w:keepLines w:val="0"/>
        <w:pageBreakBefore w:val="0"/>
        <w:widowControl/>
        <w:kinsoku w:val="0"/>
        <w:wordWrap/>
        <w:overflowPunct/>
        <w:topLinePunct w:val="0"/>
        <w:autoSpaceDE w:val="0"/>
        <w:autoSpaceDN w:val="0"/>
        <w:bidi w:val="0"/>
        <w:adjustRightInd w:val="0"/>
        <w:snapToGrid w:val="0"/>
        <w:spacing w:line="23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095F5E1D">
      <w:pPr>
        <w:pStyle w:val="2"/>
        <w:keepNext w:val="0"/>
        <w:keepLines w:val="0"/>
        <w:pageBreakBefore w:val="0"/>
        <w:widowControl/>
        <w:kinsoku w:val="0"/>
        <w:wordWrap/>
        <w:overflowPunct/>
        <w:topLinePunct w:val="0"/>
        <w:autoSpaceDE w:val="0"/>
        <w:autoSpaceDN w:val="0"/>
        <w:bidi w:val="0"/>
        <w:adjustRightInd w:val="0"/>
        <w:snapToGrid w:val="0"/>
        <w:spacing w:before="16" w:line="272"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D17257C">
      <w:pPr>
        <w:pStyle w:val="2"/>
        <w:keepNext w:val="0"/>
        <w:keepLines w:val="0"/>
        <w:pageBreakBefore w:val="0"/>
        <w:widowControl/>
        <w:kinsoku w:val="0"/>
        <w:wordWrap/>
        <w:overflowPunct/>
        <w:topLinePunct w:val="0"/>
        <w:autoSpaceDE w:val="0"/>
        <w:autoSpaceDN w:val="0"/>
        <w:bidi w:val="0"/>
        <w:adjustRightInd w:val="0"/>
        <w:snapToGrid w:val="0"/>
        <w:spacing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5ECC0E2E">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6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38E86378">
      <w:pPr>
        <w:pStyle w:val="2"/>
        <w:keepNext w:val="0"/>
        <w:keepLines w:val="0"/>
        <w:pageBreakBefore w:val="0"/>
        <w:widowControl/>
        <w:kinsoku w:val="0"/>
        <w:wordWrap/>
        <w:overflowPunct/>
        <w:topLinePunct w:val="0"/>
        <w:autoSpaceDE w:val="0"/>
        <w:autoSpaceDN w:val="0"/>
        <w:bidi w:val="0"/>
        <w:adjustRightInd w:val="0"/>
        <w:snapToGrid w:val="0"/>
        <w:spacing w:before="22"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1DB77BA0">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7C5C38BD">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133ECB11">
      <w:pPr>
        <w:pStyle w:val="2"/>
        <w:keepNext w:val="0"/>
        <w:keepLines w:val="0"/>
        <w:pageBreakBefore w:val="0"/>
        <w:widowControl/>
        <w:kinsoku w:val="0"/>
        <w:wordWrap/>
        <w:overflowPunct/>
        <w:topLinePunct w:val="0"/>
        <w:autoSpaceDE w:val="0"/>
        <w:autoSpaceDN w:val="0"/>
        <w:bidi w:val="0"/>
        <w:adjustRightInd w:val="0"/>
        <w:snapToGrid w:val="0"/>
        <w:spacing w:before="25" w:line="193"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0094AAD6">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5A94E4A1">
      <w:pPr>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仿宋" w:hAnsi="仿宋" w:eastAsia="仿宋" w:cs="仿宋"/>
          <w:color w:val="auto"/>
          <w:sz w:val="24"/>
          <w:szCs w:val="24"/>
          <w:highlight w:val="none"/>
        </w:rPr>
      </w:pPr>
    </w:p>
    <w:p w14:paraId="3C670957">
      <w:pPr>
        <w:pStyle w:val="2"/>
        <w:keepNext w:val="0"/>
        <w:keepLines w:val="0"/>
        <w:pageBreakBefore w:val="0"/>
        <w:widowControl/>
        <w:kinsoku w:val="0"/>
        <w:wordWrap/>
        <w:overflowPunct/>
        <w:topLinePunct w:val="0"/>
        <w:autoSpaceDE w:val="0"/>
        <w:autoSpaceDN w:val="0"/>
        <w:bidi w:val="0"/>
        <w:adjustRightInd w:val="0"/>
        <w:snapToGrid w:val="0"/>
        <w:spacing w:before="65" w:line="272" w:lineRule="exact"/>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承包人(公章)：</w:t>
      </w:r>
    </w:p>
    <w:p w14:paraId="10569BB2">
      <w:pPr>
        <w:pStyle w:val="2"/>
        <w:keepNext w:val="0"/>
        <w:keepLines w:val="0"/>
        <w:pageBreakBefore w:val="0"/>
        <w:widowControl/>
        <w:kinsoku w:val="0"/>
        <w:wordWrap/>
        <w:overflowPunct/>
        <w:topLinePunct w:val="0"/>
        <w:autoSpaceDE w:val="0"/>
        <w:autoSpaceDN w:val="0"/>
        <w:bidi w:val="0"/>
        <w:adjustRightInd w:val="0"/>
        <w:snapToGrid w:val="0"/>
        <w:spacing w:line="237"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68819DF7">
      <w:pPr>
        <w:pStyle w:val="2"/>
        <w:keepNext w:val="0"/>
        <w:keepLines w:val="0"/>
        <w:pageBreakBefore w:val="0"/>
        <w:widowControl/>
        <w:kinsoku w:val="0"/>
        <w:wordWrap/>
        <w:overflowPunct/>
        <w:topLinePunct w:val="0"/>
        <w:autoSpaceDE w:val="0"/>
        <w:autoSpaceDN w:val="0"/>
        <w:bidi w:val="0"/>
        <w:adjustRightInd w:val="0"/>
        <w:snapToGrid w:val="0"/>
        <w:spacing w:before="16" w:line="272"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00C7EDE">
      <w:pPr>
        <w:pStyle w:val="2"/>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2B292543">
      <w:pPr>
        <w:pStyle w:val="2"/>
        <w:keepNext w:val="0"/>
        <w:keepLines w:val="0"/>
        <w:pageBreakBefore w:val="0"/>
        <w:widowControl/>
        <w:kinsoku w:val="0"/>
        <w:wordWrap/>
        <w:overflowPunct/>
        <w:topLinePunct w:val="0"/>
        <w:autoSpaceDE w:val="0"/>
        <w:autoSpaceDN w:val="0"/>
        <w:bidi w:val="0"/>
        <w:adjustRightInd w:val="0"/>
        <w:snapToGrid w:val="0"/>
        <w:spacing w:before="27" w:line="23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6D8B116F">
      <w:pPr>
        <w:pStyle w:val="2"/>
        <w:keepNext w:val="0"/>
        <w:keepLines w:val="0"/>
        <w:pageBreakBefore w:val="0"/>
        <w:widowControl/>
        <w:kinsoku w:val="0"/>
        <w:wordWrap/>
        <w:overflowPunct/>
        <w:topLinePunct w:val="0"/>
        <w:autoSpaceDE w:val="0"/>
        <w:autoSpaceDN w:val="0"/>
        <w:bidi w:val="0"/>
        <w:adjustRightInd w:val="0"/>
        <w:snapToGrid w:val="0"/>
        <w:spacing w:before="22"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322F67A0">
      <w:pPr>
        <w:pStyle w:val="2"/>
        <w:keepNext w:val="0"/>
        <w:keepLines w:val="0"/>
        <w:pageBreakBefore w:val="0"/>
        <w:widowControl/>
        <w:kinsoku w:val="0"/>
        <w:wordWrap/>
        <w:overflowPunct/>
        <w:topLinePunct w:val="0"/>
        <w:autoSpaceDE w:val="0"/>
        <w:autoSpaceDN w:val="0"/>
        <w:bidi w:val="0"/>
        <w:adjustRightInd w:val="0"/>
        <w:snapToGrid w:val="0"/>
        <w:spacing w:before="28" w:line="271"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67569FBB">
      <w:pPr>
        <w:pStyle w:val="2"/>
        <w:keepNext w:val="0"/>
        <w:keepLines w:val="0"/>
        <w:pageBreakBefore w:val="0"/>
        <w:widowControl/>
        <w:kinsoku w:val="0"/>
        <w:wordWrap/>
        <w:overflowPunct/>
        <w:topLinePunct w:val="0"/>
        <w:autoSpaceDE w:val="0"/>
        <w:autoSpaceDN w:val="0"/>
        <w:bidi w:val="0"/>
        <w:adjustRightInd w:val="0"/>
        <w:snapToGrid w:val="0"/>
        <w:spacing w:line="22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7056C480">
      <w:pPr>
        <w:pStyle w:val="2"/>
        <w:keepNext w:val="0"/>
        <w:keepLines w:val="0"/>
        <w:pageBreakBefore w:val="0"/>
        <w:widowControl/>
        <w:kinsoku w:val="0"/>
        <w:wordWrap/>
        <w:overflowPunct/>
        <w:topLinePunct w:val="0"/>
        <w:autoSpaceDE w:val="0"/>
        <w:autoSpaceDN w:val="0"/>
        <w:bidi w:val="0"/>
        <w:adjustRightInd w:val="0"/>
        <w:snapToGrid w:val="0"/>
        <w:spacing w:before="25" w:line="193"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324BB6AD">
      <w:pPr>
        <w:keepNext w:val="0"/>
        <w:keepLines w:val="0"/>
        <w:pageBreakBefore w:val="0"/>
        <w:widowControl/>
        <w:kinsoku w:val="0"/>
        <w:wordWrap/>
        <w:overflowPunct/>
        <w:topLinePunct w:val="0"/>
        <w:autoSpaceDE w:val="0"/>
        <w:autoSpaceDN w:val="0"/>
        <w:bidi w:val="0"/>
        <w:adjustRightInd w:val="0"/>
        <w:snapToGrid w:val="0"/>
        <w:spacing w:line="193" w:lineRule="auto"/>
        <w:textAlignment w:val="baseline"/>
        <w:outlineLvl w:val="9"/>
        <w:rPr>
          <w:rFonts w:hint="eastAsia" w:ascii="仿宋" w:hAnsi="仿宋" w:eastAsia="仿宋" w:cs="仿宋"/>
          <w:color w:val="auto"/>
          <w:sz w:val="24"/>
          <w:szCs w:val="24"/>
          <w:highlight w:val="none"/>
        </w:rPr>
        <w:sectPr>
          <w:type w:val="continuous"/>
          <w:pgSz w:w="11906" w:h="16839"/>
          <w:pgMar w:top="1431" w:right="1733" w:bottom="1171" w:left="1785" w:header="0" w:footer="992" w:gutter="0"/>
          <w:pgNumType w:fmt="decimal"/>
          <w:cols w:equalWidth="0" w:num="2">
            <w:col w:w="3569" w:space="100"/>
            <w:col w:w="4719"/>
          </w:cols>
        </w:sectPr>
      </w:pPr>
    </w:p>
    <w:p w14:paraId="0856D469">
      <w:pPr>
        <w:pStyle w:val="2"/>
        <w:keepNext w:val="0"/>
        <w:keepLines w:val="0"/>
        <w:pageBreakBefore w:val="0"/>
        <w:widowControl/>
        <w:kinsoku w:val="0"/>
        <w:wordWrap/>
        <w:overflowPunct/>
        <w:topLinePunct w:val="0"/>
        <w:autoSpaceDE w:val="0"/>
        <w:autoSpaceDN w:val="0"/>
        <w:bidi w:val="0"/>
        <w:adjustRightInd w:val="0"/>
        <w:snapToGrid w:val="0"/>
        <w:spacing w:before="41" w:line="209" w:lineRule="auto"/>
        <w:ind w:left="32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66432;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仿宋" w:hAnsi="仿宋" w:eastAsia="仿宋" w:cs="仿宋"/>
          <w:b/>
          <w:bCs/>
          <w:color w:val="auto"/>
          <w:spacing w:val="6"/>
          <w:sz w:val="24"/>
          <w:szCs w:val="24"/>
          <w:highlight w:val="none"/>
        </w:rPr>
        <w:t>附件4</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主要建设工程文件目录</w:t>
      </w:r>
    </w:p>
    <w:tbl>
      <w:tblPr>
        <w:tblStyle w:val="2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072B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15976763">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文件名称</w:t>
            </w:r>
          </w:p>
        </w:tc>
        <w:tc>
          <w:tcPr>
            <w:tcW w:w="1272" w:type="dxa"/>
            <w:tcBorders>
              <w:top w:val="single" w:color="000000" w:sz="10" w:space="0"/>
              <w:left w:val="single" w:color="000000" w:sz="4" w:space="0"/>
              <w:right w:val="single" w:color="000000" w:sz="4" w:space="0"/>
            </w:tcBorders>
            <w:vAlign w:val="top"/>
          </w:tcPr>
          <w:p w14:paraId="653F8B77">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套数</w:t>
            </w:r>
          </w:p>
        </w:tc>
        <w:tc>
          <w:tcPr>
            <w:tcW w:w="1446" w:type="dxa"/>
            <w:tcBorders>
              <w:top w:val="single" w:color="000000" w:sz="10" w:space="0"/>
              <w:left w:val="single" w:color="000000" w:sz="4" w:space="0"/>
              <w:right w:val="single" w:color="000000" w:sz="4" w:space="0"/>
            </w:tcBorders>
            <w:vAlign w:val="top"/>
          </w:tcPr>
          <w:p w14:paraId="1DD2BF49">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2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费用（元）</w:t>
            </w:r>
          </w:p>
        </w:tc>
        <w:tc>
          <w:tcPr>
            <w:tcW w:w="1240" w:type="dxa"/>
            <w:tcBorders>
              <w:top w:val="single" w:color="000000" w:sz="10" w:space="0"/>
              <w:left w:val="single" w:color="000000" w:sz="4" w:space="0"/>
              <w:right w:val="single" w:color="000000" w:sz="4" w:space="0"/>
            </w:tcBorders>
            <w:vAlign w:val="top"/>
          </w:tcPr>
          <w:p w14:paraId="7DD48B99">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质量</w:t>
            </w:r>
          </w:p>
        </w:tc>
        <w:tc>
          <w:tcPr>
            <w:tcW w:w="1446" w:type="dxa"/>
            <w:tcBorders>
              <w:top w:val="single" w:color="000000" w:sz="10" w:space="0"/>
              <w:left w:val="single" w:color="000000" w:sz="4" w:space="0"/>
              <w:right w:val="single" w:color="000000" w:sz="4" w:space="0"/>
            </w:tcBorders>
            <w:vAlign w:val="top"/>
          </w:tcPr>
          <w:p w14:paraId="3B09F7B0">
            <w:pPr>
              <w:pStyle w:val="28"/>
              <w:keepNext w:val="0"/>
              <w:keepLines w:val="0"/>
              <w:pageBreakBefore w:val="0"/>
              <w:widowControl/>
              <w:kinsoku w:val="0"/>
              <w:wordWrap/>
              <w:overflowPunct/>
              <w:topLinePunct w:val="0"/>
              <w:autoSpaceDE w:val="0"/>
              <w:autoSpaceDN w:val="0"/>
              <w:bidi w:val="0"/>
              <w:adjustRightInd w:val="0"/>
              <w:snapToGrid w:val="0"/>
              <w:spacing w:before="17" w:line="229" w:lineRule="auto"/>
              <w:ind w:left="3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移交时间</w:t>
            </w:r>
          </w:p>
        </w:tc>
        <w:tc>
          <w:tcPr>
            <w:tcW w:w="1680" w:type="dxa"/>
            <w:tcBorders>
              <w:top w:val="single" w:color="000000" w:sz="10" w:space="0"/>
              <w:left w:val="single" w:color="000000" w:sz="4" w:space="0"/>
              <w:right w:val="single" w:color="000000" w:sz="10" w:space="0"/>
            </w:tcBorders>
            <w:vAlign w:val="top"/>
          </w:tcPr>
          <w:p w14:paraId="15EA535B">
            <w:pPr>
              <w:pStyle w:val="28"/>
              <w:keepNext w:val="0"/>
              <w:keepLines w:val="0"/>
              <w:pageBreakBefore w:val="0"/>
              <w:widowControl/>
              <w:kinsoku w:val="0"/>
              <w:wordWrap/>
              <w:overflowPunct/>
              <w:topLinePunct w:val="0"/>
              <w:autoSpaceDE w:val="0"/>
              <w:autoSpaceDN w:val="0"/>
              <w:bidi w:val="0"/>
              <w:adjustRightInd w:val="0"/>
              <w:snapToGrid w:val="0"/>
              <w:spacing w:before="16" w:line="228" w:lineRule="auto"/>
              <w:ind w:left="5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责任人</w:t>
            </w:r>
          </w:p>
        </w:tc>
      </w:tr>
      <w:tr w14:paraId="10D5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088BB3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2366A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2FC0B7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20A9D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53D7FE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6AE43B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2C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2D6A13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CF53DB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1E82B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4587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C3C4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079B6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28B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2CE453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2B2B90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6507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FFAD6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1B9C67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37546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46269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3CECEA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97914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1C646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D5BE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FD5CA2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95F3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0BC0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62E2E0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03222B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AE274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2797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786B5AD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E28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66A848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0D6093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608A3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A7D68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EE88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68780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05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35FE65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42524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F762F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6039FF1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5BA10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25682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5C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34C2D5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AB64C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AD27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1FC2E5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66167E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5A641A2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18D76045">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仿宋" w:hAnsi="仿宋" w:eastAsia="仿宋" w:cs="仿宋"/>
          <w:color w:val="auto"/>
          <w:sz w:val="24"/>
          <w:szCs w:val="24"/>
          <w:highlight w:val="none"/>
        </w:rPr>
      </w:pPr>
    </w:p>
    <w:p w14:paraId="31F93DC1">
      <w:pPr>
        <w:pStyle w:val="2"/>
        <w:keepNext w:val="0"/>
        <w:keepLines w:val="0"/>
        <w:pageBreakBefore w:val="0"/>
        <w:widowControl/>
        <w:kinsoku w:val="0"/>
        <w:wordWrap/>
        <w:overflowPunct/>
        <w:topLinePunct w:val="0"/>
        <w:autoSpaceDE w:val="0"/>
        <w:autoSpaceDN w:val="0"/>
        <w:bidi w:val="0"/>
        <w:adjustRightInd w:val="0"/>
        <w:snapToGrid w:val="0"/>
        <w:spacing w:before="65" w:line="209" w:lineRule="auto"/>
        <w:ind w:left="4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附件5</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承包人主要管理人员表</w:t>
      </w:r>
    </w:p>
    <w:tbl>
      <w:tblPr>
        <w:tblStyle w:val="26"/>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6141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vAlign w:val="top"/>
          </w:tcPr>
          <w:p w14:paraId="71F63F7F">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称</w:t>
            </w:r>
          </w:p>
        </w:tc>
        <w:tc>
          <w:tcPr>
            <w:tcW w:w="1414" w:type="dxa"/>
            <w:tcBorders>
              <w:top w:val="single" w:color="000000" w:sz="10" w:space="0"/>
            </w:tcBorders>
            <w:vAlign w:val="top"/>
          </w:tcPr>
          <w:p w14:paraId="6FA2D30F">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131" w:type="dxa"/>
            <w:tcBorders>
              <w:top w:val="single" w:color="000000" w:sz="10" w:space="0"/>
            </w:tcBorders>
            <w:vAlign w:val="top"/>
          </w:tcPr>
          <w:p w14:paraId="3E9365D1">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职务</w:t>
            </w:r>
          </w:p>
        </w:tc>
        <w:tc>
          <w:tcPr>
            <w:tcW w:w="1131" w:type="dxa"/>
            <w:tcBorders>
              <w:top w:val="single" w:color="000000" w:sz="10" w:space="0"/>
            </w:tcBorders>
            <w:vAlign w:val="top"/>
          </w:tcPr>
          <w:p w14:paraId="0EBF33D9">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5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3899" w:type="dxa"/>
            <w:tcBorders>
              <w:top w:val="single" w:color="000000" w:sz="10" w:space="0"/>
              <w:right w:val="single" w:color="000000" w:sz="10" w:space="0"/>
            </w:tcBorders>
            <w:vAlign w:val="top"/>
          </w:tcPr>
          <w:p w14:paraId="1174D88A">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5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主要资历、经验及承担过的项目</w:t>
            </w:r>
          </w:p>
        </w:tc>
      </w:tr>
      <w:tr w14:paraId="4ED1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3BD0FC93">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一、总部人员</w:t>
            </w:r>
          </w:p>
        </w:tc>
      </w:tr>
      <w:tr w14:paraId="1254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1028312">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项目主管</w:t>
            </w:r>
          </w:p>
        </w:tc>
        <w:tc>
          <w:tcPr>
            <w:tcW w:w="1414" w:type="dxa"/>
            <w:vAlign w:val="top"/>
          </w:tcPr>
          <w:p w14:paraId="6D3068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13B2D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BB784B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D8BFB1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E9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vAlign w:val="top"/>
          </w:tcPr>
          <w:p w14:paraId="67C5E518">
            <w:pPr>
              <w:keepNext w:val="0"/>
              <w:keepLines w:val="0"/>
              <w:pageBreakBefore w:val="0"/>
              <w:widowControl/>
              <w:kinsoku w:val="0"/>
              <w:wordWrap/>
              <w:overflowPunct/>
              <w:topLinePunct w:val="0"/>
              <w:autoSpaceDE w:val="0"/>
              <w:autoSpaceDN w:val="0"/>
              <w:bidi w:val="0"/>
              <w:adjustRightInd w:val="0"/>
              <w:snapToGrid w:val="0"/>
              <w:spacing w:line="443" w:lineRule="auto"/>
              <w:textAlignment w:val="baseline"/>
              <w:outlineLvl w:val="9"/>
              <w:rPr>
                <w:rFonts w:hint="eastAsia" w:ascii="仿宋" w:hAnsi="仿宋" w:eastAsia="仿宋" w:cs="仿宋"/>
                <w:color w:val="auto"/>
                <w:sz w:val="24"/>
                <w:szCs w:val="24"/>
                <w:highlight w:val="none"/>
              </w:rPr>
            </w:pPr>
          </w:p>
          <w:p w14:paraId="5A964E5F">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vAlign w:val="top"/>
          </w:tcPr>
          <w:p w14:paraId="47BE46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3F27E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32D5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5A624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5E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vAlign w:val="top"/>
          </w:tcPr>
          <w:p w14:paraId="25863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01F8CE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C0D48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F770C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1222C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CB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vAlign w:val="top"/>
          </w:tcPr>
          <w:p w14:paraId="5217E0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33821D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6D1D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0E4A89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6B51A8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8B0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vAlign w:val="top"/>
          </w:tcPr>
          <w:p w14:paraId="75C99AD3">
            <w:pPr>
              <w:pStyle w:val="28"/>
              <w:keepNext w:val="0"/>
              <w:keepLines w:val="0"/>
              <w:pageBreakBefore w:val="0"/>
              <w:widowControl/>
              <w:kinsoku w:val="0"/>
              <w:wordWrap/>
              <w:overflowPunct/>
              <w:topLinePunct w:val="0"/>
              <w:autoSpaceDE w:val="0"/>
              <w:autoSpaceDN w:val="0"/>
              <w:bidi w:val="0"/>
              <w:adjustRightInd w:val="0"/>
              <w:snapToGrid w:val="0"/>
              <w:spacing w:before="137" w:line="200"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二、现场人员</w:t>
            </w:r>
          </w:p>
        </w:tc>
      </w:tr>
      <w:tr w14:paraId="1193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vAlign w:val="top"/>
          </w:tcPr>
          <w:p w14:paraId="6294201A">
            <w:pPr>
              <w:pStyle w:val="28"/>
              <w:keepNext w:val="0"/>
              <w:keepLines w:val="0"/>
              <w:pageBreakBefore w:val="0"/>
              <w:widowControl/>
              <w:kinsoku w:val="0"/>
              <w:wordWrap/>
              <w:overflowPunct/>
              <w:topLinePunct w:val="0"/>
              <w:autoSpaceDE w:val="0"/>
              <w:autoSpaceDN w:val="0"/>
              <w:bidi w:val="0"/>
              <w:adjustRightInd w:val="0"/>
              <w:snapToGrid w:val="0"/>
              <w:spacing w:before="137" w:line="265" w:lineRule="auto"/>
              <w:ind w:left="331" w:right="231" w:hanging="1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工程总承包</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项目经理</w:t>
            </w:r>
          </w:p>
        </w:tc>
        <w:tc>
          <w:tcPr>
            <w:tcW w:w="1414" w:type="dxa"/>
            <w:vAlign w:val="top"/>
          </w:tcPr>
          <w:p w14:paraId="4470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86989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683B0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F4208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BA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vAlign w:val="top"/>
          </w:tcPr>
          <w:p w14:paraId="7517C9A2">
            <w:pPr>
              <w:pStyle w:val="28"/>
              <w:keepNext w:val="0"/>
              <w:keepLines w:val="0"/>
              <w:pageBreakBefore w:val="0"/>
              <w:widowControl/>
              <w:kinsoku w:val="0"/>
              <w:wordWrap/>
              <w:overflowPunct/>
              <w:topLinePunct w:val="0"/>
              <w:autoSpaceDE w:val="0"/>
              <w:autoSpaceDN w:val="0"/>
              <w:bidi w:val="0"/>
              <w:adjustRightInd w:val="0"/>
              <w:snapToGrid w:val="0"/>
              <w:spacing w:before="142"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项目副经理</w:t>
            </w:r>
          </w:p>
        </w:tc>
        <w:tc>
          <w:tcPr>
            <w:tcW w:w="1414" w:type="dxa"/>
            <w:vAlign w:val="top"/>
          </w:tcPr>
          <w:p w14:paraId="19FEAE3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D589B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90C09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26627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B1B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C9A395D">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设计负责人</w:t>
            </w:r>
          </w:p>
        </w:tc>
        <w:tc>
          <w:tcPr>
            <w:tcW w:w="1414" w:type="dxa"/>
            <w:vAlign w:val="top"/>
          </w:tcPr>
          <w:p w14:paraId="2E9C2D7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1A214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009D5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35B37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97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8C0FCB9">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采购负责人</w:t>
            </w:r>
          </w:p>
        </w:tc>
        <w:tc>
          <w:tcPr>
            <w:tcW w:w="1414" w:type="dxa"/>
            <w:vAlign w:val="top"/>
          </w:tcPr>
          <w:p w14:paraId="3CA354F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7984D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CCA41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8582F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4C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2929006">
            <w:pPr>
              <w:pStyle w:val="28"/>
              <w:keepNext w:val="0"/>
              <w:keepLines w:val="0"/>
              <w:pageBreakBefore w:val="0"/>
              <w:widowControl/>
              <w:kinsoku w:val="0"/>
              <w:wordWrap/>
              <w:overflowPunct/>
              <w:topLinePunct w:val="0"/>
              <w:autoSpaceDE w:val="0"/>
              <w:autoSpaceDN w:val="0"/>
              <w:bidi w:val="0"/>
              <w:adjustRightInd w:val="0"/>
              <w:snapToGrid w:val="0"/>
              <w:spacing w:before="144" w:line="193"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施工负责人</w:t>
            </w:r>
          </w:p>
        </w:tc>
        <w:tc>
          <w:tcPr>
            <w:tcW w:w="1414" w:type="dxa"/>
            <w:vAlign w:val="top"/>
          </w:tcPr>
          <w:p w14:paraId="6A4DC1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D2769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67904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4CC1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8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2F54477">
            <w:pPr>
              <w:pStyle w:val="28"/>
              <w:keepNext w:val="0"/>
              <w:keepLines w:val="0"/>
              <w:pageBreakBefore w:val="0"/>
              <w:widowControl/>
              <w:kinsoku w:val="0"/>
              <w:wordWrap/>
              <w:overflowPunct/>
              <w:topLinePunct w:val="0"/>
              <w:autoSpaceDE w:val="0"/>
              <w:autoSpaceDN w:val="0"/>
              <w:bidi w:val="0"/>
              <w:adjustRightInd w:val="0"/>
              <w:snapToGrid w:val="0"/>
              <w:spacing w:before="147" w:line="191" w:lineRule="auto"/>
              <w:ind w:left="2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1414" w:type="dxa"/>
            <w:vAlign w:val="top"/>
          </w:tcPr>
          <w:p w14:paraId="6EBA5E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77983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B8526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92F9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1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64BC23E">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造价管理</w:t>
            </w:r>
          </w:p>
        </w:tc>
        <w:tc>
          <w:tcPr>
            <w:tcW w:w="1414" w:type="dxa"/>
            <w:vAlign w:val="top"/>
          </w:tcPr>
          <w:p w14:paraId="51E847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ECC80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1075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8F3C5C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36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7DE5F7D">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质量管理</w:t>
            </w:r>
          </w:p>
        </w:tc>
        <w:tc>
          <w:tcPr>
            <w:tcW w:w="1414" w:type="dxa"/>
            <w:vAlign w:val="top"/>
          </w:tcPr>
          <w:p w14:paraId="61998F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17C44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5DB16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47406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D2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31AD6221">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计划管理</w:t>
            </w:r>
          </w:p>
        </w:tc>
        <w:tc>
          <w:tcPr>
            <w:tcW w:w="1414" w:type="dxa"/>
            <w:vAlign w:val="top"/>
          </w:tcPr>
          <w:p w14:paraId="781CAD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7C774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B4663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67FD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DD8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1773659">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安全管理</w:t>
            </w:r>
          </w:p>
        </w:tc>
        <w:tc>
          <w:tcPr>
            <w:tcW w:w="1414" w:type="dxa"/>
            <w:vAlign w:val="top"/>
          </w:tcPr>
          <w:p w14:paraId="3C80CA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DC2AB6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86CBE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60C2846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79D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92651A4">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环境管理</w:t>
            </w:r>
          </w:p>
        </w:tc>
        <w:tc>
          <w:tcPr>
            <w:tcW w:w="1414" w:type="dxa"/>
            <w:vAlign w:val="top"/>
          </w:tcPr>
          <w:p w14:paraId="450F39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8BF5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A3916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073A8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B7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vAlign w:val="top"/>
          </w:tcPr>
          <w:p w14:paraId="107EE7CA">
            <w:pPr>
              <w:keepNext w:val="0"/>
              <w:keepLines w:val="0"/>
              <w:pageBreakBefore w:val="0"/>
              <w:widowControl/>
              <w:kinsoku w:val="0"/>
              <w:wordWrap/>
              <w:overflowPunct/>
              <w:topLinePunct w:val="0"/>
              <w:autoSpaceDE w:val="0"/>
              <w:autoSpaceDN w:val="0"/>
              <w:bidi w:val="0"/>
              <w:adjustRightInd w:val="0"/>
              <w:snapToGrid w:val="0"/>
              <w:spacing w:line="273" w:lineRule="auto"/>
              <w:textAlignment w:val="baseline"/>
              <w:outlineLvl w:val="9"/>
              <w:rPr>
                <w:rFonts w:hint="eastAsia" w:ascii="仿宋" w:hAnsi="仿宋" w:eastAsia="仿宋" w:cs="仿宋"/>
                <w:color w:val="auto"/>
                <w:sz w:val="24"/>
                <w:szCs w:val="24"/>
                <w:highlight w:val="none"/>
              </w:rPr>
            </w:pPr>
          </w:p>
          <w:p w14:paraId="51F84439">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tcBorders>
              <w:bottom w:val="single" w:color="000000" w:sz="2" w:space="0"/>
            </w:tcBorders>
            <w:vAlign w:val="top"/>
          </w:tcPr>
          <w:p w14:paraId="77B9F8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4EDD49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047C2A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bottom w:val="single" w:color="000000" w:sz="2" w:space="0"/>
              <w:right w:val="single" w:color="000000" w:sz="10" w:space="0"/>
            </w:tcBorders>
            <w:vAlign w:val="top"/>
          </w:tcPr>
          <w:p w14:paraId="43D159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3FD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vAlign w:val="top"/>
          </w:tcPr>
          <w:p w14:paraId="13D17DD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tcBorders>
              <w:top w:val="single" w:color="000000" w:sz="2" w:space="0"/>
              <w:left w:val="single" w:color="000000" w:sz="2" w:space="0"/>
              <w:bottom w:val="single" w:color="000000" w:sz="2" w:space="0"/>
              <w:right w:val="single" w:color="000000" w:sz="2" w:space="0"/>
            </w:tcBorders>
            <w:vAlign w:val="top"/>
          </w:tcPr>
          <w:p w14:paraId="5FFB01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174DFB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7ACE9B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top w:val="single" w:color="000000" w:sz="2" w:space="0"/>
              <w:left w:val="single" w:color="000000" w:sz="2" w:space="0"/>
              <w:bottom w:val="single" w:color="000000" w:sz="2" w:space="0"/>
              <w:right w:val="single" w:color="000000" w:sz="2" w:space="0"/>
            </w:tcBorders>
            <w:vAlign w:val="top"/>
          </w:tcPr>
          <w:p w14:paraId="258BB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3C8429AC">
      <w:pPr>
        <w:pStyle w:val="2"/>
        <w:rPr>
          <w:rFonts w:hint="eastAsia" w:ascii="仿宋" w:hAnsi="仿宋" w:eastAsia="仿宋" w:cs="仿宋"/>
          <w:sz w:val="24"/>
          <w:szCs w:val="24"/>
        </w:rPr>
        <w:sectPr>
          <w:footerReference r:id="rId53" w:type="default"/>
          <w:pgSz w:w="11906" w:h="16839"/>
          <w:pgMar w:top="1428" w:right="1731" w:bottom="1171" w:left="1785" w:header="0" w:footer="992" w:gutter="0"/>
          <w:pgNumType w:fmt="decimal"/>
          <w:cols w:space="720" w:num="1"/>
        </w:sectPr>
      </w:pPr>
    </w:p>
    <w:p w14:paraId="0798E7D6">
      <w:pPr>
        <w:rPr>
          <w:rFonts w:hint="eastAsia" w:ascii="仿宋" w:hAnsi="仿宋" w:eastAsia="仿宋" w:cs="仿宋"/>
          <w:sz w:val="24"/>
          <w:szCs w:val="24"/>
        </w:rPr>
      </w:pPr>
    </w:p>
    <w:sectPr>
      <w:footerReference r:id="rId5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C3288399-0A58-4F9A-AC42-3FD43B82F305}"/>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5E96C77-A02C-4D9F-88D5-E2B8E78460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11D7">
    <w:pPr>
      <w:pStyle w:val="14"/>
    </w:pPr>
  </w:p>
  <w:p w14:paraId="79204DD2">
    <w:pPr>
      <w:pStyle w:val="14"/>
      <w:rPr>
        <w:rFonts w:hint="default" w:eastAsia="宋体"/>
        <w:lang w:val="en-US" w:eastAsia="zh-CN"/>
      </w:rPr>
    </w:pPr>
    <w:r>
      <w:rPr>
        <w:rFonts w:hint="eastAsia" w:eastAsia="宋体"/>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C3D2">
    <w:pPr>
      <w:pStyle w:val="1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D4F7">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AD4F7">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9D4D">
    <w:pPr>
      <w:pStyle w:val="1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4E02">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44E02">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5A19">
    <w:pPr>
      <w:pStyle w:val="1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390FD">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390FD">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50">
    <w:pPr>
      <w:pStyle w:val="1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A6FDB">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0A6FDB">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7327">
    <w:pPr>
      <w:pStyle w:val="1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436D0">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1436D0">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6F41">
    <w:pPr>
      <w:pStyle w:val="1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D2344">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DD2344">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2443">
    <w:pPr>
      <w:pStyle w:val="1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7F3A">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447F3A">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DE53">
    <w:pPr>
      <w:pStyle w:val="2"/>
      <w:spacing w:line="172" w:lineRule="auto"/>
      <w:ind w:left="408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EBBFE">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0EBBFE">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0E2F">
    <w:pPr>
      <w:pStyle w:val="2"/>
      <w:spacing w:line="172" w:lineRule="auto"/>
      <w:ind w:left="408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2A475">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F42A475">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163A">
    <w:pPr>
      <w:pStyle w:val="2"/>
      <w:spacing w:line="172" w:lineRule="auto"/>
      <w:ind w:left="4083"/>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61039">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A61039">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4"/>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4B24">
    <w:pPr>
      <w:pStyle w:val="2"/>
      <w:spacing w:line="172" w:lineRule="auto"/>
      <w:ind w:left="408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F5DD3">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BF5DD3">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1863">
    <w:pPr>
      <w:pStyle w:val="2"/>
      <w:spacing w:line="172" w:lineRule="auto"/>
      <w:ind w:left="4087"/>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7020">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467020">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5D2015E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EA6F">
    <w:pPr>
      <w:pStyle w:val="2"/>
      <w:spacing w:line="172" w:lineRule="auto"/>
      <w:ind w:left="4087"/>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849C">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46849C">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04E0">
    <w:pPr>
      <w:pStyle w:val="2"/>
      <w:spacing w:line="172" w:lineRule="auto"/>
      <w:ind w:left="4165"/>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7E009">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AB7E009">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A478">
    <w:pPr>
      <w:pStyle w:val="2"/>
      <w:spacing w:line="172" w:lineRule="auto"/>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B6AB">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E1EB6AB">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B305">
    <w:pPr>
      <w:pStyle w:val="2"/>
      <w:spacing w:line="171" w:lineRule="auto"/>
      <w:ind w:left="4087"/>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37BD4">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937BD4">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4CBE">
    <w:pPr>
      <w:pStyle w:val="2"/>
      <w:spacing w:line="172" w:lineRule="auto"/>
      <w:ind w:left="4087"/>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F3BAC">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AF3BAC">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9303">
    <w:pPr>
      <w:pStyle w:val="2"/>
      <w:spacing w:line="172" w:lineRule="auto"/>
      <w:ind w:left="4087"/>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4EAFE">
                          <w:pPr>
                            <w:pStyle w:val="1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94EAFE">
                    <w:pPr>
                      <w:pStyle w:val="1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63BC">
    <w:pPr>
      <w:pStyle w:val="2"/>
      <w:spacing w:line="172" w:lineRule="auto"/>
      <w:ind w:left="4085"/>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C928">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D42C928">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2E3E">
    <w:pPr>
      <w:pStyle w:val="2"/>
      <w:spacing w:line="172" w:lineRule="auto"/>
      <w:ind w:left="408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75042">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D75042">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B328">
    <w:pPr>
      <w:pStyle w:val="2"/>
      <w:spacing w:line="172" w:lineRule="auto"/>
      <w:ind w:left="4085"/>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88B3E">
                          <w:pPr>
                            <w:pStyle w:val="1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6488B3E">
                    <w:pPr>
                      <w:pStyle w:val="1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29FE">
    <w:pPr>
      <w:pStyle w:val="2"/>
      <w:spacing w:line="172" w:lineRule="auto"/>
      <w:ind w:left="4085"/>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6DFD3">
                          <w:pPr>
                            <w:pStyle w:val="1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9B6DFD3">
                    <w:pPr>
                      <w:pStyle w:val="1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8D3F">
    <w:pPr>
      <w:pStyle w:val="2"/>
      <w:spacing w:line="172" w:lineRule="auto"/>
      <w:ind w:left="4085"/>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9034">
                          <w:pPr>
                            <w:pStyle w:val="1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0EE9034">
                    <w:pPr>
                      <w:pStyle w:val="1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168B">
    <w:pPr>
      <w:pStyle w:val="2"/>
      <w:spacing w:line="172" w:lineRule="auto"/>
      <w:ind w:left="4085"/>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BA434">
                          <w:pPr>
                            <w:pStyle w:val="1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0EBA434">
                    <w:pPr>
                      <w:pStyle w:val="1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2B24">
    <w:pPr>
      <w:pStyle w:val="2"/>
      <w:spacing w:line="172" w:lineRule="auto"/>
      <w:ind w:left="4085"/>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7FA31">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947FA31">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7424">
    <w:pPr>
      <w:pStyle w:val="2"/>
      <w:spacing w:line="172" w:lineRule="auto"/>
      <w:ind w:left="4085"/>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5B85">
                          <w:pPr>
                            <w:pStyle w:val="1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AD75B85">
                    <w:pPr>
                      <w:pStyle w:val="1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EFAF">
    <w:pPr>
      <w:pStyle w:val="2"/>
      <w:spacing w:line="173" w:lineRule="auto"/>
      <w:ind w:left="4052"/>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5B856">
                          <w:pPr>
                            <w:pStyle w:val="14"/>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3D5B856">
                    <w:pPr>
                      <w:pStyle w:val="14"/>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373F">
    <w:pPr>
      <w:pStyle w:val="2"/>
      <w:spacing w:line="173" w:lineRule="auto"/>
      <w:ind w:left="4052"/>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B64FB">
                          <w:pPr>
                            <w:pStyle w:val="1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DDB64FB">
                    <w:pPr>
                      <w:pStyle w:val="14"/>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AC6C">
    <w:pPr>
      <w:pStyle w:val="2"/>
      <w:spacing w:line="173" w:lineRule="auto"/>
      <w:ind w:left="4052"/>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C0EB">
                          <w:pPr>
                            <w:pStyle w:val="14"/>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FACC0EB">
                    <w:pPr>
                      <w:pStyle w:val="14"/>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A55B">
    <w:pPr>
      <w:pStyle w:val="2"/>
      <w:spacing w:line="173" w:lineRule="auto"/>
      <w:ind w:left="4052"/>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5547">
                          <w:pPr>
                            <w:pStyle w:val="14"/>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D9E5547">
                    <w:pPr>
                      <w:pStyle w:val="14"/>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7A5">
    <w:pPr>
      <w:pStyle w:val="2"/>
      <w:spacing w:line="173" w:lineRule="auto"/>
      <w:ind w:left="4052"/>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EAE5">
                          <w:pPr>
                            <w:pStyle w:val="1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5D2EAE5">
                    <w:pPr>
                      <w:pStyle w:val="14"/>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D64E">
    <w:pPr>
      <w:pStyle w:val="2"/>
      <w:spacing w:line="173" w:lineRule="auto"/>
      <w:ind w:left="4052"/>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BF6D">
                          <w:pPr>
                            <w:pStyle w:val="1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70BF6D">
                    <w:pPr>
                      <w:pStyle w:val="1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C619">
    <w:pPr>
      <w:pStyle w:val="2"/>
      <w:spacing w:line="173" w:lineRule="auto"/>
      <w:ind w:left="4052"/>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EB26">
                          <w:pPr>
                            <w:pStyle w:val="14"/>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CD5EB26">
                    <w:pPr>
                      <w:pStyle w:val="14"/>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FA06">
    <w:pPr>
      <w:pStyle w:val="2"/>
      <w:spacing w:line="173" w:lineRule="auto"/>
      <w:ind w:left="4499"/>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A4976">
                          <w:pPr>
                            <w:pStyle w:val="1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4A4976">
                    <w:pPr>
                      <w:pStyle w:val="1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8D22">
    <w:pPr>
      <w:pStyle w:val="2"/>
      <w:spacing w:line="173" w:lineRule="auto"/>
      <w:ind w:left="4499"/>
      <w:rPr>
        <w:rFonts w:hint="default" w:eastAsia="宋体"/>
        <w:sz w:val="18"/>
        <w:szCs w:val="18"/>
        <w:lang w:val="en-US" w:eastAsia="zh-CN"/>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62FF">
                          <w:pPr>
                            <w:pStyle w:val="14"/>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34A62FF">
                    <w:pPr>
                      <w:pStyle w:val="14"/>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FC0D">
    <w:pPr>
      <w:pStyle w:val="2"/>
      <w:spacing w:line="173" w:lineRule="auto"/>
      <w:ind w:left="4052"/>
      <w:rPr>
        <w:rFonts w:hint="default" w:eastAsia="宋体"/>
        <w:sz w:val="18"/>
        <w:szCs w:val="18"/>
        <w:lang w:val="en-US" w:eastAsia="zh-CN"/>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104B4">
                          <w:pPr>
                            <w:pStyle w:val="14"/>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A9104B4">
                    <w:pPr>
                      <w:pStyle w:val="14"/>
                    </w:pPr>
                    <w:r>
                      <w:fldChar w:fldCharType="begin"/>
                    </w:r>
                    <w:r>
                      <w:instrText xml:space="preserve"> PAGE  \* MERGEFORMAT </w:instrText>
                    </w:r>
                    <w:r>
                      <w:fldChar w:fldCharType="separate"/>
                    </w:r>
                    <w:r>
                      <w:t>154</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7E7E2">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67456;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sviR1QAAAAcBAAAPAAAAAAAAAAEAIAAAACIAAABk&#10;cnMvZG93bnJldi54bWxQSwECFAAUAAAACACHTuJAKCcpZkICAAByBAAADgAAAAAAAAABACAAAAAk&#10;AQAAZHJzL2Uyb0RvYy54bWxQSwUGAAAAAAYABgBZAQAA2AUAAAAA&#10;">
              <v:fill on="f" focussize="0,0"/>
              <v:stroke on="f" weight="0.5pt"/>
              <v:imagedata o:title=""/>
              <o:lock v:ext="edit" aspectratio="f"/>
              <v:textbox inset="0mm,0mm,0mm,0mm">
                <w:txbxContent>
                  <w:p w14:paraId="5007E7E2">
                    <w:pPr>
                      <w:pStyle w:val="14"/>
                    </w:pP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5C69">
    <w:pPr>
      <w:pStyle w:val="2"/>
      <w:spacing w:line="173" w:lineRule="auto"/>
      <w:ind w:left="4052"/>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8B590">
                          <w:pPr>
                            <w:pStyle w:val="14"/>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38B590">
                    <w:pPr>
                      <w:pStyle w:val="14"/>
                    </w:pPr>
                    <w:r>
                      <w:fldChar w:fldCharType="begin"/>
                    </w:r>
                    <w:r>
                      <w:instrText xml:space="preserve"> PAGE  \* MERGEFORMAT </w:instrText>
                    </w:r>
                    <w:r>
                      <w:fldChar w:fldCharType="separate"/>
                    </w:r>
                    <w:r>
                      <w:t>156</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DC1F1">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8480;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tA582AAAAAkBAAAPAAAAAAAAAAEAIAAAACIAAABkcnMvZG93&#10;bnJldi54bWxQSwECFAAUAAAACACHTuJALR49rTkCAABjBAAADgAAAAAAAAABACAAAAAnAQAAZHJz&#10;L2Uyb0RvYy54bWxQSwUGAAAAAAYABgBZAQAA0gUAAAAA&#10;">
              <v:fill on="f" focussize="0,0"/>
              <v:stroke on="f" weight="0.5pt"/>
              <v:imagedata o:title=""/>
              <o:lock v:ext="edit" aspectratio="f"/>
              <v:textbox inset="0mm,0mm,0mm,0mm">
                <w:txbxContent>
                  <w:p w14:paraId="204DC1F1">
                    <w:pPr>
                      <w:pStyle w:val="14"/>
                    </w:pP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9A2D">
    <w:pPr>
      <w:pStyle w:val="2"/>
      <w:spacing w:line="173" w:lineRule="auto"/>
      <w:ind w:left="4147"/>
      <w:rPr>
        <w:spacing w:val="-7"/>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3816">
                          <w:pPr>
                            <w:pStyle w:val="14"/>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CD3816">
                    <w:pPr>
                      <w:pStyle w:val="14"/>
                    </w:pPr>
                    <w:r>
                      <w:fldChar w:fldCharType="begin"/>
                    </w:r>
                    <w:r>
                      <w:instrText xml:space="preserve"> PAGE  \* MERGEFORMAT </w:instrText>
                    </w:r>
                    <w:r>
                      <w:fldChar w:fldCharType="separate"/>
                    </w:r>
                    <w:r>
                      <w:t>158</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22593">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9504;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aN8TNgAAAAKAQAADwAAAAAAAAABACAAAAAiAAAAZHJzL2Rvd25y&#10;ZXYueG1sUEsBAhQAFAAAAAgAh07iQCnrhv03AgAAYwQAAA4AAAAAAAAAAQAgAAAAJwEAAGRycy9l&#10;Mm9Eb2MueG1sUEsFBgAAAAAGAAYAWQEAANAFAAAAAA==&#10;">
              <v:fill on="f" focussize="0,0"/>
              <v:stroke on="f" weight="0.5pt"/>
              <v:imagedata o:title=""/>
              <o:lock v:ext="edit" aspectratio="f"/>
              <v:textbox inset="0mm,0mm,0mm,0mm">
                <w:txbxContent>
                  <w:p w14:paraId="03522593">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2"/>
      <w:tabs>
        <w:tab w:val="left" w:pos="567"/>
      </w:tabs>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2"/>
      <w:tabs>
        <w:tab w:val="left" w:pos="567"/>
      </w:tabs>
      <w:spacing w:line="172" w:lineRule="auto"/>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2"/>
      <w:tabs>
        <w:tab w:val="left" w:pos="567"/>
      </w:tabs>
      <w:spacing w:line="172" w:lineRule="auto"/>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4"/>
      <w:rPr>
        <w:rFonts w:hint="eastAsia" w:eastAsia="宋体"/>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92402">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688">
    <w:pPr>
      <w:pStyle w:val="1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843C">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8843C">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4048">
    <w:pPr>
      <w:spacing w:before="16" w:line="219" w:lineRule="auto"/>
      <w:ind w:left="7595"/>
      <w:rPr>
        <w:rFonts w:ascii="宋体" w:hAnsi="宋体" w:eastAsia="宋体" w:cs="宋体"/>
        <w:sz w:val="18"/>
        <w:szCs w:val="18"/>
      </w:rPr>
    </w:pPr>
  </w:p>
  <w:p w14:paraId="0763544C">
    <w:pPr>
      <w:spacing w:before="16" w:line="219" w:lineRule="auto"/>
      <w:ind w:left="7595"/>
      <w:rPr>
        <w:rFonts w:ascii="宋体" w:hAnsi="宋体" w:eastAsia="宋体" w:cs="宋体"/>
        <w:sz w:val="18"/>
        <w:szCs w:val="18"/>
      </w:rPr>
    </w:pPr>
    <w:r>
      <mc:AlternateContent>
        <mc:Choice Requires="wps">
          <w:drawing>
            <wp:anchor distT="0" distB="0" distL="114300" distR="114300" simplePos="0" relativeHeight="251669504" behindDoc="0" locked="0" layoutInCell="0" allowOverlap="1">
              <wp:simplePos x="0" y="0"/>
              <wp:positionH relativeFrom="page">
                <wp:posOffset>1133475</wp:posOffset>
              </wp:positionH>
              <wp:positionV relativeFrom="page">
                <wp:posOffset>701040</wp:posOffset>
              </wp:positionV>
              <wp:extent cx="52939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93995" cy="9525"/>
                      </a:xfrm>
                      <a:custGeom>
                        <a:avLst/>
                        <a:gdLst/>
                        <a:ahLst/>
                        <a:cxnLst/>
                        <a:pathLst>
                          <a:path w="8337" h="15">
                            <a:moveTo>
                              <a:pt x="0" y="7"/>
                            </a:moveTo>
                            <a:lnTo>
                              <a:pt x="8336"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9.25pt;margin-top:55.2pt;height:0.75pt;width:416.85pt;mso-position-horizontal-relative:page;mso-position-vertical-relative:page;z-index:251669504;mso-width-relative:page;mso-height-relative:page;" filled="f" stroked="t" coordsize="8337,15" o:allowincell="f" o:gfxdata="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5h9x2QAAAAwBAAAPAAAAAAAAAAEAIAAAACIA&#10;AABkcnMvZG93bnJldi54bWxQSwECFAAUAAAACACHTuJANJSveEECAACkBAAADgAAAAAAAAABACAA&#10;AAAoAQAAZHJzL2Uyb0RvYy54bWxQSwUGAAAAAAYABgBZAQAA2wUAAAAA&#10;" path="m0,7l8336,7e">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61ED"/>
    <w:multiLevelType w:val="singleLevel"/>
    <w:tmpl w:val="995361ED"/>
    <w:lvl w:ilvl="0" w:tentative="0">
      <w:start w:val="12"/>
      <w:numFmt w:val="decimal"/>
      <w:suff w:val="space"/>
      <w:lvlText w:val="第%1条"/>
      <w:lvlJc w:val="left"/>
    </w:lvl>
  </w:abstractNum>
  <w:abstractNum w:abstractNumId="1">
    <w:nsid w:val="9CD8131A"/>
    <w:multiLevelType w:val="singleLevel"/>
    <w:tmpl w:val="9CD8131A"/>
    <w:lvl w:ilvl="0" w:tentative="0">
      <w:start w:val="5"/>
      <w:numFmt w:val="chineseCounting"/>
      <w:suff w:val="space"/>
      <w:lvlText w:val="第%1章"/>
      <w:lvlJc w:val="left"/>
      <w:rPr>
        <w:rFonts w:hint="eastAsia"/>
      </w:rPr>
    </w:lvl>
  </w:abstractNum>
  <w:abstractNum w:abstractNumId="2">
    <w:nsid w:val="ADA339F8"/>
    <w:multiLevelType w:val="singleLevel"/>
    <w:tmpl w:val="ADA339F8"/>
    <w:lvl w:ilvl="0" w:tentative="0">
      <w:start w:val="1"/>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1F6C311"/>
    <w:multiLevelType w:val="singleLevel"/>
    <w:tmpl w:val="01F6C311"/>
    <w:lvl w:ilvl="0" w:tentative="0">
      <w:start w:val="2"/>
      <w:numFmt w:val="chineseCounting"/>
      <w:suff w:val="nothing"/>
      <w:lvlText w:val="（%1）"/>
      <w:lvlJc w:val="left"/>
      <w:rPr>
        <w:rFonts w:hint="eastAsia"/>
      </w:rPr>
    </w:lvl>
  </w:abstractNum>
  <w:abstractNum w:abstractNumId="5">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656767E0"/>
    <w:multiLevelType w:val="singleLevel"/>
    <w:tmpl w:val="656767E0"/>
    <w:lvl w:ilvl="0" w:tentative="0">
      <w:start w:val="1"/>
      <w:numFmt w:val="decimal"/>
      <w:pStyle w:val="13"/>
      <w:lvlText w:val="%1."/>
      <w:lvlJc w:val="left"/>
      <w:pPr>
        <w:tabs>
          <w:tab w:val="left" w:pos="2040"/>
        </w:tabs>
        <w:ind w:left="2040" w:hanging="360"/>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5"/>
  </w:num>
  <w:num w:numId="2">
    <w:abstractNumId w:val="7"/>
  </w:num>
  <w:num w:numId="3">
    <w:abstractNumId w:val="6"/>
  </w:num>
  <w:num w:numId="4">
    <w:abstractNumId w:val="8"/>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07406984-b72e-426e-b2be-0c2dcde23ef7"/>
  </w:docVars>
  <w:rsids>
    <w:rsidRoot w:val="5B6272E2"/>
    <w:rsid w:val="00012EC2"/>
    <w:rsid w:val="001F1D2C"/>
    <w:rsid w:val="00215AA4"/>
    <w:rsid w:val="00233E4A"/>
    <w:rsid w:val="003D0404"/>
    <w:rsid w:val="004E43BF"/>
    <w:rsid w:val="00515C5E"/>
    <w:rsid w:val="00732078"/>
    <w:rsid w:val="00733E26"/>
    <w:rsid w:val="00767ED3"/>
    <w:rsid w:val="007F0A1D"/>
    <w:rsid w:val="009C512B"/>
    <w:rsid w:val="00A60F92"/>
    <w:rsid w:val="00A6244D"/>
    <w:rsid w:val="00A8768B"/>
    <w:rsid w:val="00BF52BD"/>
    <w:rsid w:val="00D03026"/>
    <w:rsid w:val="00F66F31"/>
    <w:rsid w:val="00FB62F5"/>
    <w:rsid w:val="013B2B96"/>
    <w:rsid w:val="013E4F9D"/>
    <w:rsid w:val="014632E9"/>
    <w:rsid w:val="01583748"/>
    <w:rsid w:val="0169049A"/>
    <w:rsid w:val="018A1427"/>
    <w:rsid w:val="01A85D51"/>
    <w:rsid w:val="01B0228B"/>
    <w:rsid w:val="01B97168"/>
    <w:rsid w:val="01DD59FB"/>
    <w:rsid w:val="01E50D53"/>
    <w:rsid w:val="01F1594A"/>
    <w:rsid w:val="02072A78"/>
    <w:rsid w:val="020C008E"/>
    <w:rsid w:val="021138F7"/>
    <w:rsid w:val="021E560A"/>
    <w:rsid w:val="022722ED"/>
    <w:rsid w:val="025C1016"/>
    <w:rsid w:val="0264611C"/>
    <w:rsid w:val="02775E4F"/>
    <w:rsid w:val="02785724"/>
    <w:rsid w:val="02873BB9"/>
    <w:rsid w:val="028B18FB"/>
    <w:rsid w:val="029D33DC"/>
    <w:rsid w:val="02C170CB"/>
    <w:rsid w:val="02CD3CC1"/>
    <w:rsid w:val="02E0780F"/>
    <w:rsid w:val="02F2197A"/>
    <w:rsid w:val="03035935"/>
    <w:rsid w:val="03091430"/>
    <w:rsid w:val="030E53FA"/>
    <w:rsid w:val="030E7E36"/>
    <w:rsid w:val="032D650E"/>
    <w:rsid w:val="033C2BF5"/>
    <w:rsid w:val="03404493"/>
    <w:rsid w:val="034D095E"/>
    <w:rsid w:val="036363D4"/>
    <w:rsid w:val="03724869"/>
    <w:rsid w:val="03802AE2"/>
    <w:rsid w:val="03A52548"/>
    <w:rsid w:val="03CC3F79"/>
    <w:rsid w:val="03D9444A"/>
    <w:rsid w:val="03DA2994"/>
    <w:rsid w:val="0405748B"/>
    <w:rsid w:val="04137DFA"/>
    <w:rsid w:val="041A2F36"/>
    <w:rsid w:val="042C2C6A"/>
    <w:rsid w:val="043B2EAD"/>
    <w:rsid w:val="043B4C5B"/>
    <w:rsid w:val="043F474B"/>
    <w:rsid w:val="04467A4A"/>
    <w:rsid w:val="04567CE7"/>
    <w:rsid w:val="047D5273"/>
    <w:rsid w:val="04A15406"/>
    <w:rsid w:val="04CB2483"/>
    <w:rsid w:val="04DE120A"/>
    <w:rsid w:val="04E43544"/>
    <w:rsid w:val="04F05A45"/>
    <w:rsid w:val="04F80D9E"/>
    <w:rsid w:val="05107E95"/>
    <w:rsid w:val="052D0A47"/>
    <w:rsid w:val="052E656D"/>
    <w:rsid w:val="053C3704"/>
    <w:rsid w:val="05542478"/>
    <w:rsid w:val="055C30DB"/>
    <w:rsid w:val="057C19CF"/>
    <w:rsid w:val="05810D93"/>
    <w:rsid w:val="05940AC6"/>
    <w:rsid w:val="05AA0B19"/>
    <w:rsid w:val="05B11678"/>
    <w:rsid w:val="05BE78F1"/>
    <w:rsid w:val="05C018BB"/>
    <w:rsid w:val="05E355AA"/>
    <w:rsid w:val="060379FA"/>
    <w:rsid w:val="06071298"/>
    <w:rsid w:val="0619721E"/>
    <w:rsid w:val="062C51A3"/>
    <w:rsid w:val="063858F6"/>
    <w:rsid w:val="06456265"/>
    <w:rsid w:val="0648365F"/>
    <w:rsid w:val="066606B5"/>
    <w:rsid w:val="066A4214"/>
    <w:rsid w:val="067258E5"/>
    <w:rsid w:val="06732DD2"/>
    <w:rsid w:val="067D155B"/>
    <w:rsid w:val="068E5516"/>
    <w:rsid w:val="06A25465"/>
    <w:rsid w:val="06A67949"/>
    <w:rsid w:val="06C36422"/>
    <w:rsid w:val="06CC603E"/>
    <w:rsid w:val="06DB482C"/>
    <w:rsid w:val="06DD024B"/>
    <w:rsid w:val="06E4782C"/>
    <w:rsid w:val="06EC048E"/>
    <w:rsid w:val="06EE4206"/>
    <w:rsid w:val="06F15AA5"/>
    <w:rsid w:val="07091040"/>
    <w:rsid w:val="071F6AB6"/>
    <w:rsid w:val="07293490"/>
    <w:rsid w:val="072B0FB7"/>
    <w:rsid w:val="073E1381"/>
    <w:rsid w:val="074402CA"/>
    <w:rsid w:val="07442078"/>
    <w:rsid w:val="075C73C2"/>
    <w:rsid w:val="07672E8A"/>
    <w:rsid w:val="076B5857"/>
    <w:rsid w:val="078F59E9"/>
    <w:rsid w:val="07911761"/>
    <w:rsid w:val="07A34FF1"/>
    <w:rsid w:val="07C80EFB"/>
    <w:rsid w:val="07D63618"/>
    <w:rsid w:val="07E8334B"/>
    <w:rsid w:val="07ED44BE"/>
    <w:rsid w:val="08071A24"/>
    <w:rsid w:val="0828199A"/>
    <w:rsid w:val="082F0F7A"/>
    <w:rsid w:val="08326375"/>
    <w:rsid w:val="084762C4"/>
    <w:rsid w:val="08501053"/>
    <w:rsid w:val="085D479F"/>
    <w:rsid w:val="086C7AD9"/>
    <w:rsid w:val="086E3851"/>
    <w:rsid w:val="08857D5A"/>
    <w:rsid w:val="089B6BE3"/>
    <w:rsid w:val="08B003FA"/>
    <w:rsid w:val="08BF5E5A"/>
    <w:rsid w:val="08DD4532"/>
    <w:rsid w:val="08EE6740"/>
    <w:rsid w:val="08F024B8"/>
    <w:rsid w:val="08F157BB"/>
    <w:rsid w:val="08F6648F"/>
    <w:rsid w:val="09136E47"/>
    <w:rsid w:val="0935436E"/>
    <w:rsid w:val="093700E7"/>
    <w:rsid w:val="094B5940"/>
    <w:rsid w:val="09532A47"/>
    <w:rsid w:val="09630EDC"/>
    <w:rsid w:val="097053A7"/>
    <w:rsid w:val="09734E97"/>
    <w:rsid w:val="09750C0F"/>
    <w:rsid w:val="09C3197A"/>
    <w:rsid w:val="09C55502"/>
    <w:rsid w:val="09E162A4"/>
    <w:rsid w:val="09F75AC8"/>
    <w:rsid w:val="09FA2E81"/>
    <w:rsid w:val="0A04260D"/>
    <w:rsid w:val="0A051F93"/>
    <w:rsid w:val="0A1246B0"/>
    <w:rsid w:val="0A1641A0"/>
    <w:rsid w:val="0A195A3E"/>
    <w:rsid w:val="0A256191"/>
    <w:rsid w:val="0A314B36"/>
    <w:rsid w:val="0A3B7763"/>
    <w:rsid w:val="0A3E7253"/>
    <w:rsid w:val="0A5151D8"/>
    <w:rsid w:val="0A7333A0"/>
    <w:rsid w:val="0A876E4C"/>
    <w:rsid w:val="0A9B46A5"/>
    <w:rsid w:val="0AAF1EFF"/>
    <w:rsid w:val="0AC27E84"/>
    <w:rsid w:val="0AD61B81"/>
    <w:rsid w:val="0AE0030A"/>
    <w:rsid w:val="0AE47DFA"/>
    <w:rsid w:val="0AE53B72"/>
    <w:rsid w:val="0AEB73DB"/>
    <w:rsid w:val="0B093D05"/>
    <w:rsid w:val="0B163D2C"/>
    <w:rsid w:val="0B1A381C"/>
    <w:rsid w:val="0B3643CE"/>
    <w:rsid w:val="0B420FC5"/>
    <w:rsid w:val="0B512FB6"/>
    <w:rsid w:val="0B534F80"/>
    <w:rsid w:val="0B5723C0"/>
    <w:rsid w:val="0B5A00BC"/>
    <w:rsid w:val="0B5F56D3"/>
    <w:rsid w:val="0B892750"/>
    <w:rsid w:val="0B974E6D"/>
    <w:rsid w:val="0B9A670B"/>
    <w:rsid w:val="0B9E269F"/>
    <w:rsid w:val="0BA92DA1"/>
    <w:rsid w:val="0BB04180"/>
    <w:rsid w:val="0BC67500"/>
    <w:rsid w:val="0BD47E6F"/>
    <w:rsid w:val="0BE40B36"/>
    <w:rsid w:val="0BEF4CA9"/>
    <w:rsid w:val="0BF7590B"/>
    <w:rsid w:val="0BFE4EEC"/>
    <w:rsid w:val="0C085D6A"/>
    <w:rsid w:val="0C300E1D"/>
    <w:rsid w:val="0C3628D7"/>
    <w:rsid w:val="0C450D6C"/>
    <w:rsid w:val="0C4843B9"/>
    <w:rsid w:val="0C4C174B"/>
    <w:rsid w:val="0C566AD6"/>
    <w:rsid w:val="0C5E1E2E"/>
    <w:rsid w:val="0C6F1945"/>
    <w:rsid w:val="0C793C86"/>
    <w:rsid w:val="0CB90E13"/>
    <w:rsid w:val="0CC021A1"/>
    <w:rsid w:val="0CDA75DD"/>
    <w:rsid w:val="0CF4009D"/>
    <w:rsid w:val="0CF87B8D"/>
    <w:rsid w:val="0CFF53BF"/>
    <w:rsid w:val="0D1F2997"/>
    <w:rsid w:val="0D366907"/>
    <w:rsid w:val="0D4032E2"/>
    <w:rsid w:val="0D4A6698"/>
    <w:rsid w:val="0D51729D"/>
    <w:rsid w:val="0D5C668E"/>
    <w:rsid w:val="0D5D3E94"/>
    <w:rsid w:val="0D682F64"/>
    <w:rsid w:val="0D755681"/>
    <w:rsid w:val="0D7A67F4"/>
    <w:rsid w:val="0D8238FA"/>
    <w:rsid w:val="0DB02216"/>
    <w:rsid w:val="0DB735A4"/>
    <w:rsid w:val="0DFD5ABA"/>
    <w:rsid w:val="0E083D1A"/>
    <w:rsid w:val="0E083E00"/>
    <w:rsid w:val="0E286250"/>
    <w:rsid w:val="0E2D6995"/>
    <w:rsid w:val="0E2D7D0A"/>
    <w:rsid w:val="0E303356"/>
    <w:rsid w:val="0E356BBF"/>
    <w:rsid w:val="0E3746E5"/>
    <w:rsid w:val="0E446505"/>
    <w:rsid w:val="0E5B4877"/>
    <w:rsid w:val="0E6A2D0C"/>
    <w:rsid w:val="0E6B1B78"/>
    <w:rsid w:val="0EAC0AFF"/>
    <w:rsid w:val="0EB10081"/>
    <w:rsid w:val="0EB45D35"/>
    <w:rsid w:val="0ECF2B6F"/>
    <w:rsid w:val="0EEA5BFB"/>
    <w:rsid w:val="0F1D38DB"/>
    <w:rsid w:val="0F212A6D"/>
    <w:rsid w:val="0F2A424A"/>
    <w:rsid w:val="0F2A5FF8"/>
    <w:rsid w:val="0F3222B1"/>
    <w:rsid w:val="0F3A0931"/>
    <w:rsid w:val="0F4277E5"/>
    <w:rsid w:val="0F4F5A5E"/>
    <w:rsid w:val="0F5762D8"/>
    <w:rsid w:val="0F7A0D2D"/>
    <w:rsid w:val="0F7A2ADB"/>
    <w:rsid w:val="0F7F00F1"/>
    <w:rsid w:val="0F8E47D8"/>
    <w:rsid w:val="0F917E25"/>
    <w:rsid w:val="0FA773BF"/>
    <w:rsid w:val="0FA917D5"/>
    <w:rsid w:val="0FBC30F4"/>
    <w:rsid w:val="0FCF37A9"/>
    <w:rsid w:val="0FEE5277"/>
    <w:rsid w:val="0FF02D9D"/>
    <w:rsid w:val="0FF84DDD"/>
    <w:rsid w:val="100B5E29"/>
    <w:rsid w:val="10141182"/>
    <w:rsid w:val="10437371"/>
    <w:rsid w:val="104F3F68"/>
    <w:rsid w:val="105477D0"/>
    <w:rsid w:val="107E484D"/>
    <w:rsid w:val="107E65FB"/>
    <w:rsid w:val="1081433D"/>
    <w:rsid w:val="108C6F6A"/>
    <w:rsid w:val="109E5710"/>
    <w:rsid w:val="10A342B4"/>
    <w:rsid w:val="10C83D1A"/>
    <w:rsid w:val="10D12BCF"/>
    <w:rsid w:val="10DE709A"/>
    <w:rsid w:val="10ED1603"/>
    <w:rsid w:val="11005262"/>
    <w:rsid w:val="11034D52"/>
    <w:rsid w:val="11036B00"/>
    <w:rsid w:val="11196324"/>
    <w:rsid w:val="11205904"/>
    <w:rsid w:val="113157AE"/>
    <w:rsid w:val="113849FC"/>
    <w:rsid w:val="113D2012"/>
    <w:rsid w:val="113D64B6"/>
    <w:rsid w:val="11472E91"/>
    <w:rsid w:val="11515ABE"/>
    <w:rsid w:val="116E2B13"/>
    <w:rsid w:val="118045F5"/>
    <w:rsid w:val="1187112C"/>
    <w:rsid w:val="11895257"/>
    <w:rsid w:val="119028A6"/>
    <w:rsid w:val="119105B0"/>
    <w:rsid w:val="11A025A1"/>
    <w:rsid w:val="11A77DD3"/>
    <w:rsid w:val="11AC53EA"/>
    <w:rsid w:val="11C23539"/>
    <w:rsid w:val="11FF19BD"/>
    <w:rsid w:val="120B18A7"/>
    <w:rsid w:val="12154D3D"/>
    <w:rsid w:val="12217B86"/>
    <w:rsid w:val="122E0A81"/>
    <w:rsid w:val="123E4EE6"/>
    <w:rsid w:val="124D44D7"/>
    <w:rsid w:val="12632C33"/>
    <w:rsid w:val="12806198"/>
    <w:rsid w:val="128123D2"/>
    <w:rsid w:val="128D3DF0"/>
    <w:rsid w:val="12902616"/>
    <w:rsid w:val="12995054"/>
    <w:rsid w:val="1299771C"/>
    <w:rsid w:val="12A14823"/>
    <w:rsid w:val="12AA7B7B"/>
    <w:rsid w:val="12BA6738"/>
    <w:rsid w:val="12CF313E"/>
    <w:rsid w:val="12D20E80"/>
    <w:rsid w:val="12D711EC"/>
    <w:rsid w:val="12D76496"/>
    <w:rsid w:val="12DC585B"/>
    <w:rsid w:val="12E01540"/>
    <w:rsid w:val="12E60488"/>
    <w:rsid w:val="13113D52"/>
    <w:rsid w:val="13187776"/>
    <w:rsid w:val="131E5E73"/>
    <w:rsid w:val="132F0080"/>
    <w:rsid w:val="13345697"/>
    <w:rsid w:val="133B6A25"/>
    <w:rsid w:val="134753CA"/>
    <w:rsid w:val="135A66EC"/>
    <w:rsid w:val="13631AD8"/>
    <w:rsid w:val="136E283F"/>
    <w:rsid w:val="137361BF"/>
    <w:rsid w:val="138C39AA"/>
    <w:rsid w:val="13A04ADA"/>
    <w:rsid w:val="13A9398F"/>
    <w:rsid w:val="13AF4D1D"/>
    <w:rsid w:val="13BE4A65"/>
    <w:rsid w:val="13C54541"/>
    <w:rsid w:val="13D1738A"/>
    <w:rsid w:val="13D73320"/>
    <w:rsid w:val="13DC1FB6"/>
    <w:rsid w:val="13DD7ADC"/>
    <w:rsid w:val="141334FE"/>
    <w:rsid w:val="1423579A"/>
    <w:rsid w:val="14293155"/>
    <w:rsid w:val="142C45C0"/>
    <w:rsid w:val="14380C8E"/>
    <w:rsid w:val="144B0EEA"/>
    <w:rsid w:val="145A112D"/>
    <w:rsid w:val="14665D24"/>
    <w:rsid w:val="14780A49"/>
    <w:rsid w:val="14795AC0"/>
    <w:rsid w:val="14885C9A"/>
    <w:rsid w:val="14887A48"/>
    <w:rsid w:val="148E0DD7"/>
    <w:rsid w:val="14A16D5C"/>
    <w:rsid w:val="14C111AC"/>
    <w:rsid w:val="14C11377"/>
    <w:rsid w:val="14D36D58"/>
    <w:rsid w:val="14F0383F"/>
    <w:rsid w:val="15015A4D"/>
    <w:rsid w:val="15086F25"/>
    <w:rsid w:val="15133C2B"/>
    <w:rsid w:val="1534197E"/>
    <w:rsid w:val="1537146E"/>
    <w:rsid w:val="15406575"/>
    <w:rsid w:val="155B6F0B"/>
    <w:rsid w:val="1568787A"/>
    <w:rsid w:val="15791A87"/>
    <w:rsid w:val="15904F15"/>
    <w:rsid w:val="15973CBB"/>
    <w:rsid w:val="15A46B04"/>
    <w:rsid w:val="15A9236C"/>
    <w:rsid w:val="15B12FCF"/>
    <w:rsid w:val="15C03212"/>
    <w:rsid w:val="15C076B6"/>
    <w:rsid w:val="15CC7E09"/>
    <w:rsid w:val="15CE307A"/>
    <w:rsid w:val="15CF16A7"/>
    <w:rsid w:val="15E05662"/>
    <w:rsid w:val="15E8626A"/>
    <w:rsid w:val="160E6673"/>
    <w:rsid w:val="161672D6"/>
    <w:rsid w:val="161768F2"/>
    <w:rsid w:val="16182053"/>
    <w:rsid w:val="162D0DBC"/>
    <w:rsid w:val="163634D4"/>
    <w:rsid w:val="16377978"/>
    <w:rsid w:val="164B51D1"/>
    <w:rsid w:val="165C118C"/>
    <w:rsid w:val="165F6ECF"/>
    <w:rsid w:val="166041CE"/>
    <w:rsid w:val="16816E45"/>
    <w:rsid w:val="168D7598"/>
    <w:rsid w:val="16AF39B2"/>
    <w:rsid w:val="16DE1BA1"/>
    <w:rsid w:val="16DE6045"/>
    <w:rsid w:val="16F07B27"/>
    <w:rsid w:val="17207642"/>
    <w:rsid w:val="17233A58"/>
    <w:rsid w:val="172D2B29"/>
    <w:rsid w:val="17312619"/>
    <w:rsid w:val="17321EED"/>
    <w:rsid w:val="173C03EC"/>
    <w:rsid w:val="1743234C"/>
    <w:rsid w:val="175E2CE2"/>
    <w:rsid w:val="1763479D"/>
    <w:rsid w:val="17795D6E"/>
    <w:rsid w:val="177B3894"/>
    <w:rsid w:val="17885FB1"/>
    <w:rsid w:val="179B7A92"/>
    <w:rsid w:val="17B41A7F"/>
    <w:rsid w:val="17B84AE8"/>
    <w:rsid w:val="17BB0135"/>
    <w:rsid w:val="17C50FB3"/>
    <w:rsid w:val="17CA481C"/>
    <w:rsid w:val="17D82A95"/>
    <w:rsid w:val="17D905BB"/>
    <w:rsid w:val="180513B0"/>
    <w:rsid w:val="181066D2"/>
    <w:rsid w:val="18221F62"/>
    <w:rsid w:val="182C2DE0"/>
    <w:rsid w:val="182E6B2B"/>
    <w:rsid w:val="18335F1D"/>
    <w:rsid w:val="18383533"/>
    <w:rsid w:val="184B770B"/>
    <w:rsid w:val="187327BD"/>
    <w:rsid w:val="18736C61"/>
    <w:rsid w:val="18AB01A9"/>
    <w:rsid w:val="18BD1C8B"/>
    <w:rsid w:val="18C03EC4"/>
    <w:rsid w:val="18C82B09"/>
    <w:rsid w:val="18CD0120"/>
    <w:rsid w:val="18CD6545"/>
    <w:rsid w:val="18D70B34"/>
    <w:rsid w:val="18DD2E6F"/>
    <w:rsid w:val="18E3280A"/>
    <w:rsid w:val="191915B7"/>
    <w:rsid w:val="19362169"/>
    <w:rsid w:val="19393A07"/>
    <w:rsid w:val="194B7296"/>
    <w:rsid w:val="194F4112"/>
    <w:rsid w:val="1954064E"/>
    <w:rsid w:val="195D2F8E"/>
    <w:rsid w:val="1969287C"/>
    <w:rsid w:val="197762DD"/>
    <w:rsid w:val="19792055"/>
    <w:rsid w:val="197B5DCD"/>
    <w:rsid w:val="19AF5A77"/>
    <w:rsid w:val="19D35C0A"/>
    <w:rsid w:val="19DB061A"/>
    <w:rsid w:val="19F13A9E"/>
    <w:rsid w:val="1A2A15A2"/>
    <w:rsid w:val="1A310B82"/>
    <w:rsid w:val="1A352420"/>
    <w:rsid w:val="1A3A7A37"/>
    <w:rsid w:val="1A3D12D5"/>
    <w:rsid w:val="1A5F56EF"/>
    <w:rsid w:val="1A6525DA"/>
    <w:rsid w:val="1A736AA5"/>
    <w:rsid w:val="1A7A6085"/>
    <w:rsid w:val="1A8011C2"/>
    <w:rsid w:val="1A9F3D3E"/>
    <w:rsid w:val="1AA03612"/>
    <w:rsid w:val="1AA80E44"/>
    <w:rsid w:val="1AB8095B"/>
    <w:rsid w:val="1AC27A2C"/>
    <w:rsid w:val="1AC6751C"/>
    <w:rsid w:val="1AC83294"/>
    <w:rsid w:val="1AC92B69"/>
    <w:rsid w:val="1ACE0CA9"/>
    <w:rsid w:val="1AE300CE"/>
    <w:rsid w:val="1AE96D67"/>
    <w:rsid w:val="1AEC6857"/>
    <w:rsid w:val="1B0167A6"/>
    <w:rsid w:val="1B216501"/>
    <w:rsid w:val="1B48218D"/>
    <w:rsid w:val="1B4B17D0"/>
    <w:rsid w:val="1B617245"/>
    <w:rsid w:val="1B66485B"/>
    <w:rsid w:val="1B7500EC"/>
    <w:rsid w:val="1B920ECD"/>
    <w:rsid w:val="1B944F25"/>
    <w:rsid w:val="1BA053DC"/>
    <w:rsid w:val="1BA17641"/>
    <w:rsid w:val="1BB9498B"/>
    <w:rsid w:val="1BBE6445"/>
    <w:rsid w:val="1BC65F68"/>
    <w:rsid w:val="1BD46F72"/>
    <w:rsid w:val="1BD619E1"/>
    <w:rsid w:val="1BE20386"/>
    <w:rsid w:val="1BEA2D97"/>
    <w:rsid w:val="1BF14125"/>
    <w:rsid w:val="1BFB4FA4"/>
    <w:rsid w:val="1C13053F"/>
    <w:rsid w:val="1C427076"/>
    <w:rsid w:val="1C542906"/>
    <w:rsid w:val="1C556DAA"/>
    <w:rsid w:val="1C744D56"/>
    <w:rsid w:val="1C782A98"/>
    <w:rsid w:val="1C915908"/>
    <w:rsid w:val="1CA13D9D"/>
    <w:rsid w:val="1CBD04AB"/>
    <w:rsid w:val="1CD87093"/>
    <w:rsid w:val="1CFA525B"/>
    <w:rsid w:val="1D0C4F8F"/>
    <w:rsid w:val="1D1A7519"/>
    <w:rsid w:val="1D1C3424"/>
    <w:rsid w:val="1D28001A"/>
    <w:rsid w:val="1D2B3667"/>
    <w:rsid w:val="1D41732E"/>
    <w:rsid w:val="1D4214A8"/>
    <w:rsid w:val="1D434E54"/>
    <w:rsid w:val="1D464944"/>
    <w:rsid w:val="1D4E2424"/>
    <w:rsid w:val="1D5E3A3C"/>
    <w:rsid w:val="1D6923E1"/>
    <w:rsid w:val="1D772D50"/>
    <w:rsid w:val="1D8E2134"/>
    <w:rsid w:val="1D992CC6"/>
    <w:rsid w:val="1D9E02DC"/>
    <w:rsid w:val="1DB63878"/>
    <w:rsid w:val="1DC55869"/>
    <w:rsid w:val="1DD0420E"/>
    <w:rsid w:val="1DD261D8"/>
    <w:rsid w:val="1DDB508D"/>
    <w:rsid w:val="1DE859FC"/>
    <w:rsid w:val="1E164317"/>
    <w:rsid w:val="1E236A34"/>
    <w:rsid w:val="1E24699A"/>
    <w:rsid w:val="1E25455A"/>
    <w:rsid w:val="1E285037"/>
    <w:rsid w:val="1E396257"/>
    <w:rsid w:val="1E4244E8"/>
    <w:rsid w:val="1E561CF7"/>
    <w:rsid w:val="1E590B98"/>
    <w:rsid w:val="1E6029D2"/>
    <w:rsid w:val="1E714FD8"/>
    <w:rsid w:val="1E9049CE"/>
    <w:rsid w:val="1E917E41"/>
    <w:rsid w:val="1E9516DF"/>
    <w:rsid w:val="1E990AA4"/>
    <w:rsid w:val="1EBD0C36"/>
    <w:rsid w:val="1ED63AA6"/>
    <w:rsid w:val="1EE241F9"/>
    <w:rsid w:val="1EEE7042"/>
    <w:rsid w:val="1F027736"/>
    <w:rsid w:val="1F0E3240"/>
    <w:rsid w:val="1F207780"/>
    <w:rsid w:val="1F2940B3"/>
    <w:rsid w:val="1F4D1FBA"/>
    <w:rsid w:val="1F5E5F75"/>
    <w:rsid w:val="1F672FA8"/>
    <w:rsid w:val="1F69491A"/>
    <w:rsid w:val="1F6A2B6C"/>
    <w:rsid w:val="1F7F413E"/>
    <w:rsid w:val="1F953961"/>
    <w:rsid w:val="1FA6791C"/>
    <w:rsid w:val="1FAD4807"/>
    <w:rsid w:val="1FB50D64"/>
    <w:rsid w:val="1FC33279"/>
    <w:rsid w:val="1FD224BF"/>
    <w:rsid w:val="1FF71F26"/>
    <w:rsid w:val="1FFC12EA"/>
    <w:rsid w:val="20012DA5"/>
    <w:rsid w:val="200603BB"/>
    <w:rsid w:val="20130B19"/>
    <w:rsid w:val="201E6662"/>
    <w:rsid w:val="201E74B3"/>
    <w:rsid w:val="20407429"/>
    <w:rsid w:val="206F7D0E"/>
    <w:rsid w:val="20AA51EA"/>
    <w:rsid w:val="20C067BC"/>
    <w:rsid w:val="20CF69FF"/>
    <w:rsid w:val="20D44015"/>
    <w:rsid w:val="20DA787E"/>
    <w:rsid w:val="20DD55C0"/>
    <w:rsid w:val="20F61619"/>
    <w:rsid w:val="20F841A8"/>
    <w:rsid w:val="2100305C"/>
    <w:rsid w:val="21022930"/>
    <w:rsid w:val="21093CBF"/>
    <w:rsid w:val="21244F9D"/>
    <w:rsid w:val="213571AA"/>
    <w:rsid w:val="21515666"/>
    <w:rsid w:val="21521B0A"/>
    <w:rsid w:val="21537630"/>
    <w:rsid w:val="21570ECE"/>
    <w:rsid w:val="21613AFB"/>
    <w:rsid w:val="21731A80"/>
    <w:rsid w:val="219A525F"/>
    <w:rsid w:val="219C2D85"/>
    <w:rsid w:val="21A25EC1"/>
    <w:rsid w:val="21CE6CB6"/>
    <w:rsid w:val="21D342CD"/>
    <w:rsid w:val="21D4251F"/>
    <w:rsid w:val="2217240B"/>
    <w:rsid w:val="2234573A"/>
    <w:rsid w:val="22350AE4"/>
    <w:rsid w:val="22370D00"/>
    <w:rsid w:val="223C6A67"/>
    <w:rsid w:val="224156DA"/>
    <w:rsid w:val="22623FCE"/>
    <w:rsid w:val="226A2E83"/>
    <w:rsid w:val="226D64CF"/>
    <w:rsid w:val="227930C6"/>
    <w:rsid w:val="22832569"/>
    <w:rsid w:val="22A7378F"/>
    <w:rsid w:val="22AA2306"/>
    <w:rsid w:val="22B8599C"/>
    <w:rsid w:val="22B91715"/>
    <w:rsid w:val="22C51B52"/>
    <w:rsid w:val="22D64075"/>
    <w:rsid w:val="22E5250A"/>
    <w:rsid w:val="230D2B83"/>
    <w:rsid w:val="23196061"/>
    <w:rsid w:val="232079C4"/>
    <w:rsid w:val="232748D0"/>
    <w:rsid w:val="233139A1"/>
    <w:rsid w:val="233C00FE"/>
    <w:rsid w:val="23812232"/>
    <w:rsid w:val="238168F0"/>
    <w:rsid w:val="239006C7"/>
    <w:rsid w:val="23953EC0"/>
    <w:rsid w:val="239F6B5C"/>
    <w:rsid w:val="23AE6D9F"/>
    <w:rsid w:val="23B26890"/>
    <w:rsid w:val="23B30198"/>
    <w:rsid w:val="23BC644E"/>
    <w:rsid w:val="23D762F6"/>
    <w:rsid w:val="23E46C65"/>
    <w:rsid w:val="24082954"/>
    <w:rsid w:val="242332EA"/>
    <w:rsid w:val="24305A06"/>
    <w:rsid w:val="2446347C"/>
    <w:rsid w:val="2446522A"/>
    <w:rsid w:val="24701892"/>
    <w:rsid w:val="24704055"/>
    <w:rsid w:val="24743B45"/>
    <w:rsid w:val="24816262"/>
    <w:rsid w:val="249266C1"/>
    <w:rsid w:val="24A81A41"/>
    <w:rsid w:val="24AD5D9C"/>
    <w:rsid w:val="24AD7057"/>
    <w:rsid w:val="24D32F62"/>
    <w:rsid w:val="24D46CDA"/>
    <w:rsid w:val="24DB5972"/>
    <w:rsid w:val="24E011DB"/>
    <w:rsid w:val="24E52C95"/>
    <w:rsid w:val="250A44A9"/>
    <w:rsid w:val="250B0DE8"/>
    <w:rsid w:val="250E5D48"/>
    <w:rsid w:val="2513335E"/>
    <w:rsid w:val="25137802"/>
    <w:rsid w:val="25247889"/>
    <w:rsid w:val="252A68FA"/>
    <w:rsid w:val="25407ECB"/>
    <w:rsid w:val="254D312A"/>
    <w:rsid w:val="256040C9"/>
    <w:rsid w:val="25657932"/>
    <w:rsid w:val="257638ED"/>
    <w:rsid w:val="2577703E"/>
    <w:rsid w:val="25803862"/>
    <w:rsid w:val="25A12702"/>
    <w:rsid w:val="25B14925"/>
    <w:rsid w:val="25D0124F"/>
    <w:rsid w:val="25EB42DB"/>
    <w:rsid w:val="2604539D"/>
    <w:rsid w:val="26105AEF"/>
    <w:rsid w:val="261255FF"/>
    <w:rsid w:val="26154C6D"/>
    <w:rsid w:val="2619519B"/>
    <w:rsid w:val="261E2616"/>
    <w:rsid w:val="26257DBF"/>
    <w:rsid w:val="264455B7"/>
    <w:rsid w:val="26532FB4"/>
    <w:rsid w:val="26651DD9"/>
    <w:rsid w:val="267F67D1"/>
    <w:rsid w:val="268362C1"/>
    <w:rsid w:val="268A3AF4"/>
    <w:rsid w:val="26997893"/>
    <w:rsid w:val="26F23E7B"/>
    <w:rsid w:val="26FB22FC"/>
    <w:rsid w:val="27084A19"/>
    <w:rsid w:val="270F4527"/>
    <w:rsid w:val="27165388"/>
    <w:rsid w:val="271B299E"/>
    <w:rsid w:val="27277595"/>
    <w:rsid w:val="2729330D"/>
    <w:rsid w:val="272A0E33"/>
    <w:rsid w:val="272E0923"/>
    <w:rsid w:val="273B094A"/>
    <w:rsid w:val="273D0B66"/>
    <w:rsid w:val="27473793"/>
    <w:rsid w:val="274C6FFB"/>
    <w:rsid w:val="27856069"/>
    <w:rsid w:val="27897907"/>
    <w:rsid w:val="27962024"/>
    <w:rsid w:val="27A56D9E"/>
    <w:rsid w:val="27A75FE0"/>
    <w:rsid w:val="27DA4607"/>
    <w:rsid w:val="27DD7C53"/>
    <w:rsid w:val="27EB411E"/>
    <w:rsid w:val="27FF5E1C"/>
    <w:rsid w:val="28011B94"/>
    <w:rsid w:val="28071641"/>
    <w:rsid w:val="281F201A"/>
    <w:rsid w:val="283006CB"/>
    <w:rsid w:val="28335AC5"/>
    <w:rsid w:val="283D06F2"/>
    <w:rsid w:val="2842145A"/>
    <w:rsid w:val="284D302B"/>
    <w:rsid w:val="2858552C"/>
    <w:rsid w:val="28683AFD"/>
    <w:rsid w:val="28731DF1"/>
    <w:rsid w:val="287A36F4"/>
    <w:rsid w:val="28CF1C92"/>
    <w:rsid w:val="290703C0"/>
    <w:rsid w:val="290A0F1C"/>
    <w:rsid w:val="290C6A42"/>
    <w:rsid w:val="29177195"/>
    <w:rsid w:val="291B6C85"/>
    <w:rsid w:val="291C47AB"/>
    <w:rsid w:val="29283150"/>
    <w:rsid w:val="29284336"/>
    <w:rsid w:val="293935AF"/>
    <w:rsid w:val="2944442E"/>
    <w:rsid w:val="295B3526"/>
    <w:rsid w:val="295E6B72"/>
    <w:rsid w:val="29695C42"/>
    <w:rsid w:val="297A7E50"/>
    <w:rsid w:val="297C7C3F"/>
    <w:rsid w:val="2996630C"/>
    <w:rsid w:val="29C037A2"/>
    <w:rsid w:val="29C410CB"/>
    <w:rsid w:val="29E31C2B"/>
    <w:rsid w:val="29E90B31"/>
    <w:rsid w:val="2A13795C"/>
    <w:rsid w:val="2A187669"/>
    <w:rsid w:val="2A2E4796"/>
    <w:rsid w:val="2A353D77"/>
    <w:rsid w:val="2A6B1546"/>
    <w:rsid w:val="2A6B7798"/>
    <w:rsid w:val="2AB4113F"/>
    <w:rsid w:val="2AB7478C"/>
    <w:rsid w:val="2AD01CF1"/>
    <w:rsid w:val="2AD03A9F"/>
    <w:rsid w:val="2AE01F34"/>
    <w:rsid w:val="2AEE096E"/>
    <w:rsid w:val="2AF21C68"/>
    <w:rsid w:val="2AF43C32"/>
    <w:rsid w:val="2B011EAB"/>
    <w:rsid w:val="2B0A5203"/>
    <w:rsid w:val="2B0A6FB1"/>
    <w:rsid w:val="2B0D4CF3"/>
    <w:rsid w:val="2B146082"/>
    <w:rsid w:val="2B1D67DB"/>
    <w:rsid w:val="2B1E2A5D"/>
    <w:rsid w:val="2B2A1401"/>
    <w:rsid w:val="2B2A31B0"/>
    <w:rsid w:val="2B345DDC"/>
    <w:rsid w:val="2B376C66"/>
    <w:rsid w:val="2B395AE8"/>
    <w:rsid w:val="2B4D6E9E"/>
    <w:rsid w:val="2B5E5172"/>
    <w:rsid w:val="2B764647"/>
    <w:rsid w:val="2B7B1C5D"/>
    <w:rsid w:val="2B936FA7"/>
    <w:rsid w:val="2B9B30E3"/>
    <w:rsid w:val="2BB85FF5"/>
    <w:rsid w:val="2BC2163A"/>
    <w:rsid w:val="2BDB094E"/>
    <w:rsid w:val="2BE90339"/>
    <w:rsid w:val="2BFD6B16"/>
    <w:rsid w:val="2C02237E"/>
    <w:rsid w:val="2C0B2FE1"/>
    <w:rsid w:val="2C1300E8"/>
    <w:rsid w:val="2C2C11A9"/>
    <w:rsid w:val="2C363032"/>
    <w:rsid w:val="2C424529"/>
    <w:rsid w:val="2C4E2ECE"/>
    <w:rsid w:val="2C5B55EB"/>
    <w:rsid w:val="2C8B068D"/>
    <w:rsid w:val="2C8E029E"/>
    <w:rsid w:val="2C8E73D1"/>
    <w:rsid w:val="2C9366C5"/>
    <w:rsid w:val="2C9E3E55"/>
    <w:rsid w:val="2C9F5E1F"/>
    <w:rsid w:val="2CA156F3"/>
    <w:rsid w:val="2CAD4098"/>
    <w:rsid w:val="2CAE1BBE"/>
    <w:rsid w:val="2CB745EA"/>
    <w:rsid w:val="2CBE62A5"/>
    <w:rsid w:val="2CC66F08"/>
    <w:rsid w:val="2CC82C80"/>
    <w:rsid w:val="2CC93B77"/>
    <w:rsid w:val="2CD07D87"/>
    <w:rsid w:val="2CE02F5B"/>
    <w:rsid w:val="2CE3364D"/>
    <w:rsid w:val="2CE33F5E"/>
    <w:rsid w:val="2CED0939"/>
    <w:rsid w:val="2CEE645F"/>
    <w:rsid w:val="2CFE2B46"/>
    <w:rsid w:val="2D0068BE"/>
    <w:rsid w:val="2D2F2CFF"/>
    <w:rsid w:val="2D3C71CA"/>
    <w:rsid w:val="2D542766"/>
    <w:rsid w:val="2D964E60"/>
    <w:rsid w:val="2DA134D1"/>
    <w:rsid w:val="2DA57465"/>
    <w:rsid w:val="2DAC25A2"/>
    <w:rsid w:val="2DAF1465"/>
    <w:rsid w:val="2DAF2092"/>
    <w:rsid w:val="2DC518B5"/>
    <w:rsid w:val="2DCF6290"/>
    <w:rsid w:val="2DDF515E"/>
    <w:rsid w:val="2DF31F7F"/>
    <w:rsid w:val="2DFE0923"/>
    <w:rsid w:val="2E0221C2"/>
    <w:rsid w:val="2E187C37"/>
    <w:rsid w:val="2E2959A0"/>
    <w:rsid w:val="2E385BE3"/>
    <w:rsid w:val="2E4B3B69"/>
    <w:rsid w:val="2E7F3812"/>
    <w:rsid w:val="2E84707B"/>
    <w:rsid w:val="2E8E614B"/>
    <w:rsid w:val="2E9B1989"/>
    <w:rsid w:val="2E9D638E"/>
    <w:rsid w:val="2EA43279"/>
    <w:rsid w:val="2EA636DF"/>
    <w:rsid w:val="2EB62CF8"/>
    <w:rsid w:val="2ECB2EFB"/>
    <w:rsid w:val="2ECB4CA9"/>
    <w:rsid w:val="2ED1340A"/>
    <w:rsid w:val="2EDE2C2F"/>
    <w:rsid w:val="2EE575D9"/>
    <w:rsid w:val="2EE6563F"/>
    <w:rsid w:val="2EEF63FC"/>
    <w:rsid w:val="2EF02962"/>
    <w:rsid w:val="2EF22236"/>
    <w:rsid w:val="2F0B154A"/>
    <w:rsid w:val="2F1026E2"/>
    <w:rsid w:val="2F113B56"/>
    <w:rsid w:val="2F191EB9"/>
    <w:rsid w:val="2F4800A8"/>
    <w:rsid w:val="2F4862FA"/>
    <w:rsid w:val="2F5B3A07"/>
    <w:rsid w:val="2F8C268B"/>
    <w:rsid w:val="2F922404"/>
    <w:rsid w:val="2FAD0853"/>
    <w:rsid w:val="2FB632B6"/>
    <w:rsid w:val="2FB861B4"/>
    <w:rsid w:val="2FBE480E"/>
    <w:rsid w:val="2FC82F97"/>
    <w:rsid w:val="2FCD67FF"/>
    <w:rsid w:val="2FD44032"/>
    <w:rsid w:val="2FFC242B"/>
    <w:rsid w:val="300264A9"/>
    <w:rsid w:val="30073ABF"/>
    <w:rsid w:val="300A7A53"/>
    <w:rsid w:val="30110DE2"/>
    <w:rsid w:val="30161F54"/>
    <w:rsid w:val="302679BB"/>
    <w:rsid w:val="302A3C52"/>
    <w:rsid w:val="30316D8E"/>
    <w:rsid w:val="3034687E"/>
    <w:rsid w:val="30354AD0"/>
    <w:rsid w:val="3038011D"/>
    <w:rsid w:val="304F36B8"/>
    <w:rsid w:val="30517430"/>
    <w:rsid w:val="305A4537"/>
    <w:rsid w:val="307153DD"/>
    <w:rsid w:val="307C3A1B"/>
    <w:rsid w:val="308C2216"/>
    <w:rsid w:val="30965A6E"/>
    <w:rsid w:val="30A04CA8"/>
    <w:rsid w:val="30A25EDE"/>
    <w:rsid w:val="30AA08EF"/>
    <w:rsid w:val="30B6207A"/>
    <w:rsid w:val="30CA6005"/>
    <w:rsid w:val="30D373DA"/>
    <w:rsid w:val="30D75B88"/>
    <w:rsid w:val="30DA11D4"/>
    <w:rsid w:val="30DC1887"/>
    <w:rsid w:val="30E97669"/>
    <w:rsid w:val="310E0E7D"/>
    <w:rsid w:val="31172428"/>
    <w:rsid w:val="31244B45"/>
    <w:rsid w:val="312D57A8"/>
    <w:rsid w:val="31395673"/>
    <w:rsid w:val="31692558"/>
    <w:rsid w:val="318178A1"/>
    <w:rsid w:val="31853836"/>
    <w:rsid w:val="3196159F"/>
    <w:rsid w:val="319B4E07"/>
    <w:rsid w:val="31B23EFF"/>
    <w:rsid w:val="31DC1B9E"/>
    <w:rsid w:val="31ED4F37"/>
    <w:rsid w:val="32002EBC"/>
    <w:rsid w:val="323F27B7"/>
    <w:rsid w:val="324D1679"/>
    <w:rsid w:val="325A081E"/>
    <w:rsid w:val="325B0FE6"/>
    <w:rsid w:val="325F5E35"/>
    <w:rsid w:val="32686C99"/>
    <w:rsid w:val="326F1DF0"/>
    <w:rsid w:val="329D695D"/>
    <w:rsid w:val="32A016AF"/>
    <w:rsid w:val="32A0644D"/>
    <w:rsid w:val="32BA750F"/>
    <w:rsid w:val="32BD5A35"/>
    <w:rsid w:val="32C97752"/>
    <w:rsid w:val="32DC7485"/>
    <w:rsid w:val="32DF0D23"/>
    <w:rsid w:val="32F64B55"/>
    <w:rsid w:val="32F92B85"/>
    <w:rsid w:val="32FD4A2E"/>
    <w:rsid w:val="33050C4E"/>
    <w:rsid w:val="33152997"/>
    <w:rsid w:val="3321133C"/>
    <w:rsid w:val="332C1A8F"/>
    <w:rsid w:val="333A23FE"/>
    <w:rsid w:val="333E1EEE"/>
    <w:rsid w:val="334868C9"/>
    <w:rsid w:val="335A2AA0"/>
    <w:rsid w:val="335D7E9A"/>
    <w:rsid w:val="337C6572"/>
    <w:rsid w:val="339A2E9C"/>
    <w:rsid w:val="33A1422B"/>
    <w:rsid w:val="33A2260A"/>
    <w:rsid w:val="33A61841"/>
    <w:rsid w:val="33A8380B"/>
    <w:rsid w:val="33B10912"/>
    <w:rsid w:val="33B43F5E"/>
    <w:rsid w:val="33D62126"/>
    <w:rsid w:val="33D95773"/>
    <w:rsid w:val="33E006B7"/>
    <w:rsid w:val="33FE342B"/>
    <w:rsid w:val="340622E0"/>
    <w:rsid w:val="340A1DD0"/>
    <w:rsid w:val="340B2B57"/>
    <w:rsid w:val="34126ED7"/>
    <w:rsid w:val="341449FD"/>
    <w:rsid w:val="34192013"/>
    <w:rsid w:val="344A48C2"/>
    <w:rsid w:val="344E43B3"/>
    <w:rsid w:val="344F1ED9"/>
    <w:rsid w:val="345117AD"/>
    <w:rsid w:val="34525525"/>
    <w:rsid w:val="346911EC"/>
    <w:rsid w:val="346E05B1"/>
    <w:rsid w:val="347B082D"/>
    <w:rsid w:val="34853B4C"/>
    <w:rsid w:val="34967B08"/>
    <w:rsid w:val="34A02734"/>
    <w:rsid w:val="34A246FE"/>
    <w:rsid w:val="34AC732B"/>
    <w:rsid w:val="34AE30A3"/>
    <w:rsid w:val="34B85CD0"/>
    <w:rsid w:val="34BA37F6"/>
    <w:rsid w:val="34C77CC1"/>
    <w:rsid w:val="34C93A39"/>
    <w:rsid w:val="34E268A9"/>
    <w:rsid w:val="34E4516C"/>
    <w:rsid w:val="34F82570"/>
    <w:rsid w:val="34FF38FF"/>
    <w:rsid w:val="353407B2"/>
    <w:rsid w:val="35492DCC"/>
    <w:rsid w:val="355A28E3"/>
    <w:rsid w:val="35610C1D"/>
    <w:rsid w:val="357F67EE"/>
    <w:rsid w:val="359009FB"/>
    <w:rsid w:val="35A10512"/>
    <w:rsid w:val="35A87AF3"/>
    <w:rsid w:val="35AF70D3"/>
    <w:rsid w:val="35BA7826"/>
    <w:rsid w:val="35C506A4"/>
    <w:rsid w:val="35C754D0"/>
    <w:rsid w:val="35E87EEF"/>
    <w:rsid w:val="362B4280"/>
    <w:rsid w:val="362F1FC2"/>
    <w:rsid w:val="363C648D"/>
    <w:rsid w:val="36401AD9"/>
    <w:rsid w:val="36483084"/>
    <w:rsid w:val="368045CB"/>
    <w:rsid w:val="36851BE2"/>
    <w:rsid w:val="369E4A52"/>
    <w:rsid w:val="36A06583"/>
    <w:rsid w:val="36A302BA"/>
    <w:rsid w:val="36A54032"/>
    <w:rsid w:val="36AF3103"/>
    <w:rsid w:val="36B10C29"/>
    <w:rsid w:val="36C26992"/>
    <w:rsid w:val="36D3294D"/>
    <w:rsid w:val="36DB5CA6"/>
    <w:rsid w:val="36DE12F2"/>
    <w:rsid w:val="36EA7C97"/>
    <w:rsid w:val="36EC3A0F"/>
    <w:rsid w:val="36EE59D9"/>
    <w:rsid w:val="36F34D9D"/>
    <w:rsid w:val="36F9612C"/>
    <w:rsid w:val="371346A3"/>
    <w:rsid w:val="371B42F4"/>
    <w:rsid w:val="3720190B"/>
    <w:rsid w:val="37212000"/>
    <w:rsid w:val="37227431"/>
    <w:rsid w:val="373830F8"/>
    <w:rsid w:val="37492047"/>
    <w:rsid w:val="378C557A"/>
    <w:rsid w:val="37906A90"/>
    <w:rsid w:val="379876F3"/>
    <w:rsid w:val="379A790F"/>
    <w:rsid w:val="37AE5168"/>
    <w:rsid w:val="37B22EAA"/>
    <w:rsid w:val="37C41066"/>
    <w:rsid w:val="37C4673A"/>
    <w:rsid w:val="37CB7AC8"/>
    <w:rsid w:val="37DA722C"/>
    <w:rsid w:val="37F06328"/>
    <w:rsid w:val="38033706"/>
    <w:rsid w:val="38082ACA"/>
    <w:rsid w:val="38174ABC"/>
    <w:rsid w:val="382B67B9"/>
    <w:rsid w:val="383218F5"/>
    <w:rsid w:val="383E029A"/>
    <w:rsid w:val="384A30E3"/>
    <w:rsid w:val="384C0292"/>
    <w:rsid w:val="385775AE"/>
    <w:rsid w:val="386121DB"/>
    <w:rsid w:val="38651CCB"/>
    <w:rsid w:val="386817BB"/>
    <w:rsid w:val="386C3059"/>
    <w:rsid w:val="387719FE"/>
    <w:rsid w:val="388A7983"/>
    <w:rsid w:val="388F6D48"/>
    <w:rsid w:val="38983E4E"/>
    <w:rsid w:val="389B749B"/>
    <w:rsid w:val="38A8605B"/>
    <w:rsid w:val="38BA4EF1"/>
    <w:rsid w:val="38C06F01"/>
    <w:rsid w:val="38DB1F8D"/>
    <w:rsid w:val="38E2156D"/>
    <w:rsid w:val="38E946AA"/>
    <w:rsid w:val="390C65EA"/>
    <w:rsid w:val="390F1A9A"/>
    <w:rsid w:val="39286278"/>
    <w:rsid w:val="393A4F06"/>
    <w:rsid w:val="393D67A4"/>
    <w:rsid w:val="39513FFD"/>
    <w:rsid w:val="39545FA7"/>
    <w:rsid w:val="395B4E7C"/>
    <w:rsid w:val="39643D30"/>
    <w:rsid w:val="397023F7"/>
    <w:rsid w:val="3971469F"/>
    <w:rsid w:val="397877DC"/>
    <w:rsid w:val="3991089E"/>
    <w:rsid w:val="39B301A7"/>
    <w:rsid w:val="39B609F3"/>
    <w:rsid w:val="39C25E7A"/>
    <w:rsid w:val="39CB0253"/>
    <w:rsid w:val="39D30EB6"/>
    <w:rsid w:val="39D32C64"/>
    <w:rsid w:val="39E76710"/>
    <w:rsid w:val="39FD5F33"/>
    <w:rsid w:val="39FF1ED5"/>
    <w:rsid w:val="3A0D43C8"/>
    <w:rsid w:val="3A184B1B"/>
    <w:rsid w:val="3A1E65D5"/>
    <w:rsid w:val="3A2160C5"/>
    <w:rsid w:val="3A3E0A25"/>
    <w:rsid w:val="3A461688"/>
    <w:rsid w:val="3A4B6C9E"/>
    <w:rsid w:val="3A5E4C24"/>
    <w:rsid w:val="3A8F74D3"/>
    <w:rsid w:val="3A98265A"/>
    <w:rsid w:val="3AA12D62"/>
    <w:rsid w:val="3AA54601"/>
    <w:rsid w:val="3AC74F4F"/>
    <w:rsid w:val="3ACC7DDF"/>
    <w:rsid w:val="3ACF5B21"/>
    <w:rsid w:val="3AD153F6"/>
    <w:rsid w:val="3AD95CCD"/>
    <w:rsid w:val="3AED7D56"/>
    <w:rsid w:val="3AEF3ACE"/>
    <w:rsid w:val="3AEF7F72"/>
    <w:rsid w:val="3AF410E4"/>
    <w:rsid w:val="3B082478"/>
    <w:rsid w:val="3B337E5E"/>
    <w:rsid w:val="3B366832"/>
    <w:rsid w:val="3B5878C5"/>
    <w:rsid w:val="3B5B73B5"/>
    <w:rsid w:val="3B5E27F9"/>
    <w:rsid w:val="3B660234"/>
    <w:rsid w:val="3B716BD9"/>
    <w:rsid w:val="3B787F67"/>
    <w:rsid w:val="3B7D732B"/>
    <w:rsid w:val="3B896C2D"/>
    <w:rsid w:val="3B8B1A48"/>
    <w:rsid w:val="3B9E22BD"/>
    <w:rsid w:val="3BA269FD"/>
    <w:rsid w:val="3BA743A8"/>
    <w:rsid w:val="3BAA45F3"/>
    <w:rsid w:val="3BB84807"/>
    <w:rsid w:val="3BBF5B96"/>
    <w:rsid w:val="3BCE04BC"/>
    <w:rsid w:val="3BD776F8"/>
    <w:rsid w:val="3BE60A52"/>
    <w:rsid w:val="3BF5780A"/>
    <w:rsid w:val="3BFA0A41"/>
    <w:rsid w:val="3C03025D"/>
    <w:rsid w:val="3C032881"/>
    <w:rsid w:val="3C1B0E77"/>
    <w:rsid w:val="3C320116"/>
    <w:rsid w:val="3C357C06"/>
    <w:rsid w:val="3C4816E7"/>
    <w:rsid w:val="3C6A3884"/>
    <w:rsid w:val="3C7921E9"/>
    <w:rsid w:val="3C876823"/>
    <w:rsid w:val="3C8841DA"/>
    <w:rsid w:val="3C89519A"/>
    <w:rsid w:val="3C8C1F1C"/>
    <w:rsid w:val="3C97441D"/>
    <w:rsid w:val="3CA37266"/>
    <w:rsid w:val="3CB44427"/>
    <w:rsid w:val="3CB7061B"/>
    <w:rsid w:val="3CC03974"/>
    <w:rsid w:val="3CC64D02"/>
    <w:rsid w:val="3CD1792F"/>
    <w:rsid w:val="3CF11D7F"/>
    <w:rsid w:val="3CF25AF7"/>
    <w:rsid w:val="3D0870C9"/>
    <w:rsid w:val="3D18555E"/>
    <w:rsid w:val="3D192B38"/>
    <w:rsid w:val="3D1B6DFC"/>
    <w:rsid w:val="3D200D67"/>
    <w:rsid w:val="3D285CC9"/>
    <w:rsid w:val="3D2D6B2F"/>
    <w:rsid w:val="3D33448E"/>
    <w:rsid w:val="3D3B749E"/>
    <w:rsid w:val="3D474095"/>
    <w:rsid w:val="3D540560"/>
    <w:rsid w:val="3D5642D8"/>
    <w:rsid w:val="3D7309E6"/>
    <w:rsid w:val="3D8C1AA8"/>
    <w:rsid w:val="3D9358A3"/>
    <w:rsid w:val="3DA432F9"/>
    <w:rsid w:val="3DAC3EFC"/>
    <w:rsid w:val="3DCD12AD"/>
    <w:rsid w:val="3DE11DF4"/>
    <w:rsid w:val="3E09759C"/>
    <w:rsid w:val="3E1201FF"/>
    <w:rsid w:val="3E295549"/>
    <w:rsid w:val="3E2D328B"/>
    <w:rsid w:val="3E344619"/>
    <w:rsid w:val="3E37331B"/>
    <w:rsid w:val="3E38578C"/>
    <w:rsid w:val="3E46434D"/>
    <w:rsid w:val="3E4D1237"/>
    <w:rsid w:val="3E530817"/>
    <w:rsid w:val="3E5500EC"/>
    <w:rsid w:val="3E646581"/>
    <w:rsid w:val="3E6D1D3E"/>
    <w:rsid w:val="3E6E11AD"/>
    <w:rsid w:val="3E75253C"/>
    <w:rsid w:val="3E894239"/>
    <w:rsid w:val="3E9B4698"/>
    <w:rsid w:val="3EAD1CD6"/>
    <w:rsid w:val="3EC00A31"/>
    <w:rsid w:val="3EDC080D"/>
    <w:rsid w:val="3EDF3E59"/>
    <w:rsid w:val="3EE871B2"/>
    <w:rsid w:val="3EF75647"/>
    <w:rsid w:val="3EF773F5"/>
    <w:rsid w:val="3F3970BD"/>
    <w:rsid w:val="3F3D5750"/>
    <w:rsid w:val="3F406FEE"/>
    <w:rsid w:val="3F4C7741"/>
    <w:rsid w:val="3F520ACF"/>
    <w:rsid w:val="3F530EB2"/>
    <w:rsid w:val="3F5B7984"/>
    <w:rsid w:val="3F6E5909"/>
    <w:rsid w:val="3F7438C7"/>
    <w:rsid w:val="3F79605C"/>
    <w:rsid w:val="3F8213B4"/>
    <w:rsid w:val="3F8844F1"/>
    <w:rsid w:val="3F88629F"/>
    <w:rsid w:val="3F8A0269"/>
    <w:rsid w:val="3F8F762D"/>
    <w:rsid w:val="3F9966FE"/>
    <w:rsid w:val="3F9D61EE"/>
    <w:rsid w:val="3FB3156E"/>
    <w:rsid w:val="3FB377C0"/>
    <w:rsid w:val="3FE058A8"/>
    <w:rsid w:val="3FE74F8D"/>
    <w:rsid w:val="400242A3"/>
    <w:rsid w:val="4004001B"/>
    <w:rsid w:val="400B13AA"/>
    <w:rsid w:val="400B75FC"/>
    <w:rsid w:val="401364B0"/>
    <w:rsid w:val="40185875"/>
    <w:rsid w:val="40251D40"/>
    <w:rsid w:val="402E32EA"/>
    <w:rsid w:val="405A5E8D"/>
    <w:rsid w:val="407C5E04"/>
    <w:rsid w:val="4095063D"/>
    <w:rsid w:val="409A44DC"/>
    <w:rsid w:val="40A67324"/>
    <w:rsid w:val="40A84E4B"/>
    <w:rsid w:val="40CB0B39"/>
    <w:rsid w:val="40E8793D"/>
    <w:rsid w:val="40EA7211"/>
    <w:rsid w:val="40F7192E"/>
    <w:rsid w:val="40F8389B"/>
    <w:rsid w:val="41036525"/>
    <w:rsid w:val="410D2F00"/>
    <w:rsid w:val="412F731A"/>
    <w:rsid w:val="413761CE"/>
    <w:rsid w:val="41401527"/>
    <w:rsid w:val="418036D2"/>
    <w:rsid w:val="41872CB2"/>
    <w:rsid w:val="4191768D"/>
    <w:rsid w:val="419B49AF"/>
    <w:rsid w:val="41A01252"/>
    <w:rsid w:val="41A01FC6"/>
    <w:rsid w:val="41A27AEC"/>
    <w:rsid w:val="41A970CC"/>
    <w:rsid w:val="41AE46E3"/>
    <w:rsid w:val="41B11ADD"/>
    <w:rsid w:val="41D35EF7"/>
    <w:rsid w:val="41E00614"/>
    <w:rsid w:val="41EF72C8"/>
    <w:rsid w:val="41F06AA9"/>
    <w:rsid w:val="41FD4D22"/>
    <w:rsid w:val="42075BA1"/>
    <w:rsid w:val="42366486"/>
    <w:rsid w:val="423C1CEE"/>
    <w:rsid w:val="423F358D"/>
    <w:rsid w:val="42510051"/>
    <w:rsid w:val="425E3790"/>
    <w:rsid w:val="42641245"/>
    <w:rsid w:val="42672AE3"/>
    <w:rsid w:val="42721D88"/>
    <w:rsid w:val="4273590C"/>
    <w:rsid w:val="42770F78"/>
    <w:rsid w:val="428E62C2"/>
    <w:rsid w:val="4294443A"/>
    <w:rsid w:val="429513FF"/>
    <w:rsid w:val="42A47894"/>
    <w:rsid w:val="42BE6BA7"/>
    <w:rsid w:val="42C65A5C"/>
    <w:rsid w:val="42CF2B62"/>
    <w:rsid w:val="42DC4294"/>
    <w:rsid w:val="42DF267A"/>
    <w:rsid w:val="42E0353C"/>
    <w:rsid w:val="42E63A08"/>
    <w:rsid w:val="430F22F3"/>
    <w:rsid w:val="43167FA6"/>
    <w:rsid w:val="431E31A2"/>
    <w:rsid w:val="432602A9"/>
    <w:rsid w:val="432B1D63"/>
    <w:rsid w:val="433B60C3"/>
    <w:rsid w:val="43455505"/>
    <w:rsid w:val="4359242C"/>
    <w:rsid w:val="436D074D"/>
    <w:rsid w:val="43792ACE"/>
    <w:rsid w:val="43884ABF"/>
    <w:rsid w:val="438F5E4E"/>
    <w:rsid w:val="43993170"/>
    <w:rsid w:val="43A37B4B"/>
    <w:rsid w:val="43AA4533"/>
    <w:rsid w:val="43B35F95"/>
    <w:rsid w:val="43B6162D"/>
    <w:rsid w:val="43B803A0"/>
    <w:rsid w:val="43BB30E7"/>
    <w:rsid w:val="43BC2914"/>
    <w:rsid w:val="43C51732"/>
    <w:rsid w:val="43CC70A2"/>
    <w:rsid w:val="43CD6976"/>
    <w:rsid w:val="43D877F5"/>
    <w:rsid w:val="43E837B0"/>
    <w:rsid w:val="43E91A02"/>
    <w:rsid w:val="443F7874"/>
    <w:rsid w:val="445350CD"/>
    <w:rsid w:val="445B7548"/>
    <w:rsid w:val="445D7CFA"/>
    <w:rsid w:val="4475773A"/>
    <w:rsid w:val="447F469A"/>
    <w:rsid w:val="448501F9"/>
    <w:rsid w:val="449B0822"/>
    <w:rsid w:val="44A818BD"/>
    <w:rsid w:val="44B26298"/>
    <w:rsid w:val="44B648CE"/>
    <w:rsid w:val="44D22496"/>
    <w:rsid w:val="44D501D8"/>
    <w:rsid w:val="44DC1567"/>
    <w:rsid w:val="44E64193"/>
    <w:rsid w:val="44E87F0C"/>
    <w:rsid w:val="44ED5210"/>
    <w:rsid w:val="44F32BB8"/>
    <w:rsid w:val="4517259F"/>
    <w:rsid w:val="451E392D"/>
    <w:rsid w:val="45221714"/>
    <w:rsid w:val="452D3B70"/>
    <w:rsid w:val="453E5D7D"/>
    <w:rsid w:val="45401AF6"/>
    <w:rsid w:val="456D0411"/>
    <w:rsid w:val="458D460F"/>
    <w:rsid w:val="45B47338"/>
    <w:rsid w:val="45B93656"/>
    <w:rsid w:val="45C06792"/>
    <w:rsid w:val="45CC3389"/>
    <w:rsid w:val="45DE30BD"/>
    <w:rsid w:val="45E5269D"/>
    <w:rsid w:val="45F8417E"/>
    <w:rsid w:val="46087A54"/>
    <w:rsid w:val="462431C5"/>
    <w:rsid w:val="462C1A65"/>
    <w:rsid w:val="4630260D"/>
    <w:rsid w:val="46380A1F"/>
    <w:rsid w:val="463D4287"/>
    <w:rsid w:val="46517D32"/>
    <w:rsid w:val="46592743"/>
    <w:rsid w:val="465F5FAB"/>
    <w:rsid w:val="46733805"/>
    <w:rsid w:val="467D0B27"/>
    <w:rsid w:val="468A6DA0"/>
    <w:rsid w:val="468C48C7"/>
    <w:rsid w:val="469D0882"/>
    <w:rsid w:val="469E3530"/>
    <w:rsid w:val="469F0A9E"/>
    <w:rsid w:val="46B61944"/>
    <w:rsid w:val="46E75FA1"/>
    <w:rsid w:val="46F51AD5"/>
    <w:rsid w:val="47240FA3"/>
    <w:rsid w:val="47376F28"/>
    <w:rsid w:val="473C453F"/>
    <w:rsid w:val="473C62ED"/>
    <w:rsid w:val="474A6558"/>
    <w:rsid w:val="474B6530"/>
    <w:rsid w:val="47590C4D"/>
    <w:rsid w:val="475F1FDB"/>
    <w:rsid w:val="476A2E5A"/>
    <w:rsid w:val="476B0980"/>
    <w:rsid w:val="477505C5"/>
    <w:rsid w:val="47794E4B"/>
    <w:rsid w:val="477D269F"/>
    <w:rsid w:val="477E0303"/>
    <w:rsid w:val="477F442B"/>
    <w:rsid w:val="478B4B7E"/>
    <w:rsid w:val="478F08C3"/>
    <w:rsid w:val="478F28C0"/>
    <w:rsid w:val="479779C7"/>
    <w:rsid w:val="479A3013"/>
    <w:rsid w:val="47A10846"/>
    <w:rsid w:val="47C167F2"/>
    <w:rsid w:val="47D46525"/>
    <w:rsid w:val="47D74267"/>
    <w:rsid w:val="47DE73A4"/>
    <w:rsid w:val="47E86474"/>
    <w:rsid w:val="47F15329"/>
    <w:rsid w:val="48084421"/>
    <w:rsid w:val="480A63EB"/>
    <w:rsid w:val="48164D90"/>
    <w:rsid w:val="4819662E"/>
    <w:rsid w:val="48284AC3"/>
    <w:rsid w:val="482C1B4D"/>
    <w:rsid w:val="482C6F4F"/>
    <w:rsid w:val="48360F8E"/>
    <w:rsid w:val="484511D1"/>
    <w:rsid w:val="485F2BB9"/>
    <w:rsid w:val="486024AF"/>
    <w:rsid w:val="486C2C02"/>
    <w:rsid w:val="48741AB6"/>
    <w:rsid w:val="4874505C"/>
    <w:rsid w:val="488A3088"/>
    <w:rsid w:val="488D7A30"/>
    <w:rsid w:val="48A56114"/>
    <w:rsid w:val="48D662CD"/>
    <w:rsid w:val="48DA400F"/>
    <w:rsid w:val="48F14EB5"/>
    <w:rsid w:val="49117305"/>
    <w:rsid w:val="491F1A22"/>
    <w:rsid w:val="492E6109"/>
    <w:rsid w:val="49495F6A"/>
    <w:rsid w:val="49530051"/>
    <w:rsid w:val="49584F34"/>
    <w:rsid w:val="495A373C"/>
    <w:rsid w:val="496B110B"/>
    <w:rsid w:val="496B4C67"/>
    <w:rsid w:val="497F295F"/>
    <w:rsid w:val="49926698"/>
    <w:rsid w:val="49A5744B"/>
    <w:rsid w:val="49C046F1"/>
    <w:rsid w:val="49C54BFC"/>
    <w:rsid w:val="49CF51F6"/>
    <w:rsid w:val="49D92519"/>
    <w:rsid w:val="49DB1F32"/>
    <w:rsid w:val="49E1317B"/>
    <w:rsid w:val="49F27137"/>
    <w:rsid w:val="4A05330E"/>
    <w:rsid w:val="4A096307"/>
    <w:rsid w:val="4A111CB3"/>
    <w:rsid w:val="4A1D0657"/>
    <w:rsid w:val="4A201EF6"/>
    <w:rsid w:val="4A547DF1"/>
    <w:rsid w:val="4A5C2802"/>
    <w:rsid w:val="4A6242BC"/>
    <w:rsid w:val="4A653DAC"/>
    <w:rsid w:val="4A673681"/>
    <w:rsid w:val="4A7162AD"/>
    <w:rsid w:val="4A84199A"/>
    <w:rsid w:val="4A8D338B"/>
    <w:rsid w:val="4A977FEF"/>
    <w:rsid w:val="4AA2290B"/>
    <w:rsid w:val="4ABC614A"/>
    <w:rsid w:val="4AC22FAD"/>
    <w:rsid w:val="4ADA02F6"/>
    <w:rsid w:val="4AE72A13"/>
    <w:rsid w:val="4AE86B80"/>
    <w:rsid w:val="4AF036F1"/>
    <w:rsid w:val="4AFC64BF"/>
    <w:rsid w:val="4B014DB7"/>
    <w:rsid w:val="4B0610EB"/>
    <w:rsid w:val="4B294DDA"/>
    <w:rsid w:val="4B411787"/>
    <w:rsid w:val="4B447E66"/>
    <w:rsid w:val="4B6422B6"/>
    <w:rsid w:val="4B644030"/>
    <w:rsid w:val="4B647BC0"/>
    <w:rsid w:val="4B9E1324"/>
    <w:rsid w:val="4BAD1567"/>
    <w:rsid w:val="4BAD77B9"/>
    <w:rsid w:val="4BC36FDC"/>
    <w:rsid w:val="4BC52D55"/>
    <w:rsid w:val="4BC6087B"/>
    <w:rsid w:val="4BCB5E91"/>
    <w:rsid w:val="4BD034A7"/>
    <w:rsid w:val="4BD50ABE"/>
    <w:rsid w:val="4BDA60D4"/>
    <w:rsid w:val="4BE60F1D"/>
    <w:rsid w:val="4BEA1026"/>
    <w:rsid w:val="4C172E84"/>
    <w:rsid w:val="4C2E4AAE"/>
    <w:rsid w:val="4C373527"/>
    <w:rsid w:val="4C3861B2"/>
    <w:rsid w:val="4C392DFB"/>
    <w:rsid w:val="4C3954F1"/>
    <w:rsid w:val="4C4A325A"/>
    <w:rsid w:val="4C51283A"/>
    <w:rsid w:val="4C5C2F8D"/>
    <w:rsid w:val="4C79769B"/>
    <w:rsid w:val="4C9D5A7F"/>
    <w:rsid w:val="4CA02E7A"/>
    <w:rsid w:val="4CB3199D"/>
    <w:rsid w:val="4CC254E6"/>
    <w:rsid w:val="4CD11285"/>
    <w:rsid w:val="4CD3324F"/>
    <w:rsid w:val="4CF51418"/>
    <w:rsid w:val="4CF5400E"/>
    <w:rsid w:val="4CF84A64"/>
    <w:rsid w:val="4D001B6A"/>
    <w:rsid w:val="4D007D19"/>
    <w:rsid w:val="4D245859"/>
    <w:rsid w:val="4D267823"/>
    <w:rsid w:val="4D396C29"/>
    <w:rsid w:val="4D3E601F"/>
    <w:rsid w:val="4D467EC5"/>
    <w:rsid w:val="4D587BF8"/>
    <w:rsid w:val="4D5A3970"/>
    <w:rsid w:val="4D655613"/>
    <w:rsid w:val="4D8077D2"/>
    <w:rsid w:val="4D83114A"/>
    <w:rsid w:val="4D8409ED"/>
    <w:rsid w:val="4D950505"/>
    <w:rsid w:val="4D986247"/>
    <w:rsid w:val="4D9C7AE5"/>
    <w:rsid w:val="4DA819E3"/>
    <w:rsid w:val="4DA92202"/>
    <w:rsid w:val="4DCB03CA"/>
    <w:rsid w:val="4DD3102D"/>
    <w:rsid w:val="4DDC25D7"/>
    <w:rsid w:val="4E0631B0"/>
    <w:rsid w:val="4E065CB6"/>
    <w:rsid w:val="4E1A4EAE"/>
    <w:rsid w:val="4E1C0C26"/>
    <w:rsid w:val="4E1C4782"/>
    <w:rsid w:val="4E1F4272"/>
    <w:rsid w:val="4E2B2C17"/>
    <w:rsid w:val="4E8F764A"/>
    <w:rsid w:val="4E910DA4"/>
    <w:rsid w:val="4E9B1B4B"/>
    <w:rsid w:val="4E9C3B15"/>
    <w:rsid w:val="4EA03605"/>
    <w:rsid w:val="4EB42C0C"/>
    <w:rsid w:val="4ED17C62"/>
    <w:rsid w:val="4EDB463D"/>
    <w:rsid w:val="4EE334F2"/>
    <w:rsid w:val="4EE473BA"/>
    <w:rsid w:val="4EF31987"/>
    <w:rsid w:val="4F0040A4"/>
    <w:rsid w:val="4F1D07B2"/>
    <w:rsid w:val="4F277882"/>
    <w:rsid w:val="4F363F2D"/>
    <w:rsid w:val="4F3B686F"/>
    <w:rsid w:val="4F3D70A6"/>
    <w:rsid w:val="4F42646A"/>
    <w:rsid w:val="4F552641"/>
    <w:rsid w:val="4F58517B"/>
    <w:rsid w:val="4F622668"/>
    <w:rsid w:val="4F6463E1"/>
    <w:rsid w:val="4F860A4D"/>
    <w:rsid w:val="4F894099"/>
    <w:rsid w:val="4F974A08"/>
    <w:rsid w:val="4F9C201E"/>
    <w:rsid w:val="4FBA6948"/>
    <w:rsid w:val="4FC9093A"/>
    <w:rsid w:val="4FD11648"/>
    <w:rsid w:val="4FE70DC0"/>
    <w:rsid w:val="50117696"/>
    <w:rsid w:val="50151DD1"/>
    <w:rsid w:val="501A73E7"/>
    <w:rsid w:val="50210776"/>
    <w:rsid w:val="50233F34"/>
    <w:rsid w:val="502D307F"/>
    <w:rsid w:val="503C2A84"/>
    <w:rsid w:val="503E1327"/>
    <w:rsid w:val="505E72D4"/>
    <w:rsid w:val="506F7733"/>
    <w:rsid w:val="50852AB2"/>
    <w:rsid w:val="5095081C"/>
    <w:rsid w:val="50AC3A48"/>
    <w:rsid w:val="50B74C36"/>
    <w:rsid w:val="50BD049E"/>
    <w:rsid w:val="50CA6717"/>
    <w:rsid w:val="50D61560"/>
    <w:rsid w:val="50DB26D2"/>
    <w:rsid w:val="50E27F05"/>
    <w:rsid w:val="50F32112"/>
    <w:rsid w:val="50FE2865"/>
    <w:rsid w:val="51025EB1"/>
    <w:rsid w:val="512E4EF8"/>
    <w:rsid w:val="51621046"/>
    <w:rsid w:val="5176689F"/>
    <w:rsid w:val="51976F41"/>
    <w:rsid w:val="51A624E0"/>
    <w:rsid w:val="51AC22C1"/>
    <w:rsid w:val="51C25640"/>
    <w:rsid w:val="51D90405"/>
    <w:rsid w:val="51DA0BDC"/>
    <w:rsid w:val="51E67581"/>
    <w:rsid w:val="51E97071"/>
    <w:rsid w:val="51EC090F"/>
    <w:rsid w:val="51F7178E"/>
    <w:rsid w:val="520B6FE7"/>
    <w:rsid w:val="52263E21"/>
    <w:rsid w:val="522C6173"/>
    <w:rsid w:val="5246001F"/>
    <w:rsid w:val="52584F80"/>
    <w:rsid w:val="526308B6"/>
    <w:rsid w:val="52734B8D"/>
    <w:rsid w:val="528079D5"/>
    <w:rsid w:val="528C4735"/>
    <w:rsid w:val="529813CF"/>
    <w:rsid w:val="52984C3B"/>
    <w:rsid w:val="529E42FF"/>
    <w:rsid w:val="52A80CDA"/>
    <w:rsid w:val="52A94012"/>
    <w:rsid w:val="52B21B59"/>
    <w:rsid w:val="52B256B5"/>
    <w:rsid w:val="52B61649"/>
    <w:rsid w:val="52CA0C50"/>
    <w:rsid w:val="52D84BFF"/>
    <w:rsid w:val="52E55A8A"/>
    <w:rsid w:val="52EB4176"/>
    <w:rsid w:val="52FB3500"/>
    <w:rsid w:val="53095C1D"/>
    <w:rsid w:val="53195734"/>
    <w:rsid w:val="532760A3"/>
    <w:rsid w:val="533E519B"/>
    <w:rsid w:val="534C7FF0"/>
    <w:rsid w:val="53986FA1"/>
    <w:rsid w:val="53A2397B"/>
    <w:rsid w:val="53B042EA"/>
    <w:rsid w:val="53B67427"/>
    <w:rsid w:val="53BA6F17"/>
    <w:rsid w:val="53BE28FB"/>
    <w:rsid w:val="53CE516A"/>
    <w:rsid w:val="53EE4E13"/>
    <w:rsid w:val="53F266B1"/>
    <w:rsid w:val="53FC752F"/>
    <w:rsid w:val="5402266C"/>
    <w:rsid w:val="542C0846"/>
    <w:rsid w:val="542D76E9"/>
    <w:rsid w:val="543F741C"/>
    <w:rsid w:val="54505185"/>
    <w:rsid w:val="54610592"/>
    <w:rsid w:val="546724CF"/>
    <w:rsid w:val="54817A35"/>
    <w:rsid w:val="549C03CB"/>
    <w:rsid w:val="54A86D6F"/>
    <w:rsid w:val="54AB4AB2"/>
    <w:rsid w:val="54AD082A"/>
    <w:rsid w:val="54C44F4A"/>
    <w:rsid w:val="54D73556"/>
    <w:rsid w:val="54E57FC4"/>
    <w:rsid w:val="54E64340"/>
    <w:rsid w:val="54F55D2D"/>
    <w:rsid w:val="5503044A"/>
    <w:rsid w:val="550B72FE"/>
    <w:rsid w:val="551E7032"/>
    <w:rsid w:val="554A7E27"/>
    <w:rsid w:val="55560EC1"/>
    <w:rsid w:val="55562C6F"/>
    <w:rsid w:val="55577435"/>
    <w:rsid w:val="556A04C9"/>
    <w:rsid w:val="556D1D67"/>
    <w:rsid w:val="558E065B"/>
    <w:rsid w:val="558E2409"/>
    <w:rsid w:val="55930555"/>
    <w:rsid w:val="559A7000"/>
    <w:rsid w:val="55A0038E"/>
    <w:rsid w:val="55C20305"/>
    <w:rsid w:val="55CA71B9"/>
    <w:rsid w:val="55CF47D0"/>
    <w:rsid w:val="55D5099A"/>
    <w:rsid w:val="55DB4F23"/>
    <w:rsid w:val="55E4027B"/>
    <w:rsid w:val="55EC5382"/>
    <w:rsid w:val="55F54424"/>
    <w:rsid w:val="562B7C58"/>
    <w:rsid w:val="56332FB1"/>
    <w:rsid w:val="563F1955"/>
    <w:rsid w:val="56682C5A"/>
    <w:rsid w:val="566B274A"/>
    <w:rsid w:val="567809C3"/>
    <w:rsid w:val="56933A4F"/>
    <w:rsid w:val="569C6DA8"/>
    <w:rsid w:val="56A31EE4"/>
    <w:rsid w:val="56A93273"/>
    <w:rsid w:val="56B85264"/>
    <w:rsid w:val="56C02A96"/>
    <w:rsid w:val="56DB78D0"/>
    <w:rsid w:val="56E637D2"/>
    <w:rsid w:val="57034731"/>
    <w:rsid w:val="571065D9"/>
    <w:rsid w:val="5711306A"/>
    <w:rsid w:val="57250B4B"/>
    <w:rsid w:val="572A4CB6"/>
    <w:rsid w:val="5730129E"/>
    <w:rsid w:val="57566F57"/>
    <w:rsid w:val="57650F48"/>
    <w:rsid w:val="577B69BD"/>
    <w:rsid w:val="578735B4"/>
    <w:rsid w:val="578810DA"/>
    <w:rsid w:val="579B0E0D"/>
    <w:rsid w:val="57B7551B"/>
    <w:rsid w:val="57BD3696"/>
    <w:rsid w:val="57C32649"/>
    <w:rsid w:val="57CD58B9"/>
    <w:rsid w:val="57E5652D"/>
    <w:rsid w:val="57E72C95"/>
    <w:rsid w:val="57FB18AC"/>
    <w:rsid w:val="580544D9"/>
    <w:rsid w:val="580F1C97"/>
    <w:rsid w:val="583059FA"/>
    <w:rsid w:val="58356EA3"/>
    <w:rsid w:val="583A0626"/>
    <w:rsid w:val="5849381E"/>
    <w:rsid w:val="584D65AC"/>
    <w:rsid w:val="585039A6"/>
    <w:rsid w:val="585A7C7F"/>
    <w:rsid w:val="585F008D"/>
    <w:rsid w:val="585F1E3B"/>
    <w:rsid w:val="58647451"/>
    <w:rsid w:val="586A0A05"/>
    <w:rsid w:val="586C6306"/>
    <w:rsid w:val="587214D2"/>
    <w:rsid w:val="58737694"/>
    <w:rsid w:val="58942478"/>
    <w:rsid w:val="58AB32D2"/>
    <w:rsid w:val="58AD704A"/>
    <w:rsid w:val="58C46142"/>
    <w:rsid w:val="58C63C68"/>
    <w:rsid w:val="58F24A5D"/>
    <w:rsid w:val="58FA2064"/>
    <w:rsid w:val="590B22B6"/>
    <w:rsid w:val="593908DE"/>
    <w:rsid w:val="593C2FD0"/>
    <w:rsid w:val="59513E7A"/>
    <w:rsid w:val="59684D1F"/>
    <w:rsid w:val="596A0A97"/>
    <w:rsid w:val="597B2CA5"/>
    <w:rsid w:val="59815DE1"/>
    <w:rsid w:val="599124C8"/>
    <w:rsid w:val="599455CC"/>
    <w:rsid w:val="59B30362"/>
    <w:rsid w:val="59B54439"/>
    <w:rsid w:val="59C83A10"/>
    <w:rsid w:val="59E048F6"/>
    <w:rsid w:val="59E56B11"/>
    <w:rsid w:val="59E7658C"/>
    <w:rsid w:val="59EA4856"/>
    <w:rsid w:val="5A04713E"/>
    <w:rsid w:val="5A0709DC"/>
    <w:rsid w:val="5A1629CD"/>
    <w:rsid w:val="5A1C1CB8"/>
    <w:rsid w:val="5A1F7AD4"/>
    <w:rsid w:val="5A2570B4"/>
    <w:rsid w:val="5A3A490E"/>
    <w:rsid w:val="5A427C66"/>
    <w:rsid w:val="5A47702B"/>
    <w:rsid w:val="5A643739"/>
    <w:rsid w:val="5A6574B1"/>
    <w:rsid w:val="5A6C6FE1"/>
    <w:rsid w:val="5A9164F8"/>
    <w:rsid w:val="5A9A1850"/>
    <w:rsid w:val="5AA004E9"/>
    <w:rsid w:val="5AA955EF"/>
    <w:rsid w:val="5AB80AB5"/>
    <w:rsid w:val="5ABA77FD"/>
    <w:rsid w:val="5AC42429"/>
    <w:rsid w:val="5B0867BA"/>
    <w:rsid w:val="5B0F5D9A"/>
    <w:rsid w:val="5B372BFB"/>
    <w:rsid w:val="5B4D0671"/>
    <w:rsid w:val="5B500161"/>
    <w:rsid w:val="5B5C4D58"/>
    <w:rsid w:val="5B6272E2"/>
    <w:rsid w:val="5B6E2B54"/>
    <w:rsid w:val="5B6F4A8B"/>
    <w:rsid w:val="5B8027F4"/>
    <w:rsid w:val="5B8D4F11"/>
    <w:rsid w:val="5B975D90"/>
    <w:rsid w:val="5BB4249E"/>
    <w:rsid w:val="5BB865F9"/>
    <w:rsid w:val="5BC3570F"/>
    <w:rsid w:val="5BD42B40"/>
    <w:rsid w:val="5BD4669C"/>
    <w:rsid w:val="5BDB3ECE"/>
    <w:rsid w:val="5BDB5C7C"/>
    <w:rsid w:val="5BFC33FA"/>
    <w:rsid w:val="5BFC5BF3"/>
    <w:rsid w:val="5BFE196B"/>
    <w:rsid w:val="5C186ED1"/>
    <w:rsid w:val="5C381321"/>
    <w:rsid w:val="5C3871D2"/>
    <w:rsid w:val="5C4708E2"/>
    <w:rsid w:val="5C5B6DBD"/>
    <w:rsid w:val="5C657C3C"/>
    <w:rsid w:val="5C693288"/>
    <w:rsid w:val="5C6E6AF1"/>
    <w:rsid w:val="5C82434A"/>
    <w:rsid w:val="5CA11446"/>
    <w:rsid w:val="5CA2679A"/>
    <w:rsid w:val="5CC2508E"/>
    <w:rsid w:val="5CC3512F"/>
    <w:rsid w:val="5CC901CB"/>
    <w:rsid w:val="5CE2303B"/>
    <w:rsid w:val="5CF214D0"/>
    <w:rsid w:val="5D177188"/>
    <w:rsid w:val="5D1A27D4"/>
    <w:rsid w:val="5D235B2D"/>
    <w:rsid w:val="5D2A318D"/>
    <w:rsid w:val="5D2D2508"/>
    <w:rsid w:val="5D3B1EF7"/>
    <w:rsid w:val="5D4635C9"/>
    <w:rsid w:val="5D561C40"/>
    <w:rsid w:val="5D6E48CE"/>
    <w:rsid w:val="5D7243BE"/>
    <w:rsid w:val="5D72616D"/>
    <w:rsid w:val="5D752101"/>
    <w:rsid w:val="5D7E07CE"/>
    <w:rsid w:val="5D84685A"/>
    <w:rsid w:val="5D897ECB"/>
    <w:rsid w:val="5D9A3915"/>
    <w:rsid w:val="5DA43C29"/>
    <w:rsid w:val="5DAD53F7"/>
    <w:rsid w:val="5DC565A7"/>
    <w:rsid w:val="5DCD5A99"/>
    <w:rsid w:val="5DD030CB"/>
    <w:rsid w:val="5E0A36B4"/>
    <w:rsid w:val="5E102B2D"/>
    <w:rsid w:val="5E1436C8"/>
    <w:rsid w:val="5E197FB4"/>
    <w:rsid w:val="5E227B93"/>
    <w:rsid w:val="5E317DD6"/>
    <w:rsid w:val="5E5C147A"/>
    <w:rsid w:val="5E671A49"/>
    <w:rsid w:val="5E6E102A"/>
    <w:rsid w:val="5E6F6B50"/>
    <w:rsid w:val="5E897C12"/>
    <w:rsid w:val="5E8B1BDC"/>
    <w:rsid w:val="5E8C325E"/>
    <w:rsid w:val="5E99597B"/>
    <w:rsid w:val="5EB36A3D"/>
    <w:rsid w:val="5EBB1C78"/>
    <w:rsid w:val="5EC23124"/>
    <w:rsid w:val="5EF07C91"/>
    <w:rsid w:val="5EFD5F0A"/>
    <w:rsid w:val="5F0B6879"/>
    <w:rsid w:val="5F294F51"/>
    <w:rsid w:val="5F3863B7"/>
    <w:rsid w:val="5F553F98"/>
    <w:rsid w:val="5F6146EB"/>
    <w:rsid w:val="5F645F89"/>
    <w:rsid w:val="5F683CCB"/>
    <w:rsid w:val="5F7A39FE"/>
    <w:rsid w:val="5F8108E9"/>
    <w:rsid w:val="5F8D1984"/>
    <w:rsid w:val="5F93061C"/>
    <w:rsid w:val="5F942D12"/>
    <w:rsid w:val="5F954394"/>
    <w:rsid w:val="5F9C3975"/>
    <w:rsid w:val="5F9F3465"/>
    <w:rsid w:val="5FA6034F"/>
    <w:rsid w:val="5FAD5B82"/>
    <w:rsid w:val="5FB07420"/>
    <w:rsid w:val="5FB71F65"/>
    <w:rsid w:val="5FBA204D"/>
    <w:rsid w:val="5FEB0458"/>
    <w:rsid w:val="5FF7504F"/>
    <w:rsid w:val="5FF94923"/>
    <w:rsid w:val="6008100A"/>
    <w:rsid w:val="600840CA"/>
    <w:rsid w:val="600F05EB"/>
    <w:rsid w:val="600F4147"/>
    <w:rsid w:val="60261490"/>
    <w:rsid w:val="602B2A31"/>
    <w:rsid w:val="603C0CB4"/>
    <w:rsid w:val="60430294"/>
    <w:rsid w:val="604E1113"/>
    <w:rsid w:val="60545FFD"/>
    <w:rsid w:val="60563B24"/>
    <w:rsid w:val="60575AEE"/>
    <w:rsid w:val="60701D9F"/>
    <w:rsid w:val="60732927"/>
    <w:rsid w:val="607466A0"/>
    <w:rsid w:val="607B17DC"/>
    <w:rsid w:val="60874625"/>
    <w:rsid w:val="609A4D89"/>
    <w:rsid w:val="609B59DA"/>
    <w:rsid w:val="609E54CA"/>
    <w:rsid w:val="60A30D33"/>
    <w:rsid w:val="60A353E7"/>
    <w:rsid w:val="60C72C73"/>
    <w:rsid w:val="60D777F7"/>
    <w:rsid w:val="60DA0BF8"/>
    <w:rsid w:val="60E5134B"/>
    <w:rsid w:val="60EC6236"/>
    <w:rsid w:val="60F029BD"/>
    <w:rsid w:val="60F33A68"/>
    <w:rsid w:val="6131633F"/>
    <w:rsid w:val="61430ACE"/>
    <w:rsid w:val="614C5017"/>
    <w:rsid w:val="615A3AE7"/>
    <w:rsid w:val="61730705"/>
    <w:rsid w:val="61776447"/>
    <w:rsid w:val="618446C0"/>
    <w:rsid w:val="619A3EE4"/>
    <w:rsid w:val="61A60ADB"/>
    <w:rsid w:val="61B56F70"/>
    <w:rsid w:val="61CB0541"/>
    <w:rsid w:val="61D513C0"/>
    <w:rsid w:val="61D7370C"/>
    <w:rsid w:val="61D92C5E"/>
    <w:rsid w:val="61DE2022"/>
    <w:rsid w:val="61E0223F"/>
    <w:rsid w:val="61E3588B"/>
    <w:rsid w:val="61EF2482"/>
    <w:rsid w:val="61F5736C"/>
    <w:rsid w:val="61FB0E26"/>
    <w:rsid w:val="62053A53"/>
    <w:rsid w:val="620D6DAC"/>
    <w:rsid w:val="621D3848"/>
    <w:rsid w:val="622F05D2"/>
    <w:rsid w:val="62465E1A"/>
    <w:rsid w:val="62487DE4"/>
    <w:rsid w:val="6252656D"/>
    <w:rsid w:val="626A0D58"/>
    <w:rsid w:val="62743F92"/>
    <w:rsid w:val="627C183B"/>
    <w:rsid w:val="62854B94"/>
    <w:rsid w:val="62AE40EB"/>
    <w:rsid w:val="62AE5E99"/>
    <w:rsid w:val="62B86D17"/>
    <w:rsid w:val="62BF00A6"/>
    <w:rsid w:val="62E55633"/>
    <w:rsid w:val="62F45876"/>
    <w:rsid w:val="62FF66F4"/>
    <w:rsid w:val="630930CF"/>
    <w:rsid w:val="63161C90"/>
    <w:rsid w:val="632717A7"/>
    <w:rsid w:val="6333639E"/>
    <w:rsid w:val="634B28AA"/>
    <w:rsid w:val="634E4F86"/>
    <w:rsid w:val="63620412"/>
    <w:rsid w:val="636522D0"/>
    <w:rsid w:val="638B442C"/>
    <w:rsid w:val="638B61DA"/>
    <w:rsid w:val="63991034"/>
    <w:rsid w:val="639D16DD"/>
    <w:rsid w:val="63A177AC"/>
    <w:rsid w:val="63A9020D"/>
    <w:rsid w:val="63A948B2"/>
    <w:rsid w:val="63AD43A2"/>
    <w:rsid w:val="63B35731"/>
    <w:rsid w:val="63B53257"/>
    <w:rsid w:val="63C67212"/>
    <w:rsid w:val="63C90AB0"/>
    <w:rsid w:val="63D11C53"/>
    <w:rsid w:val="63DE27AE"/>
    <w:rsid w:val="640A3BB9"/>
    <w:rsid w:val="641F4B74"/>
    <w:rsid w:val="64241E12"/>
    <w:rsid w:val="6438248B"/>
    <w:rsid w:val="64395C36"/>
    <w:rsid w:val="64462101"/>
    <w:rsid w:val="644A7E43"/>
    <w:rsid w:val="644F0FB6"/>
    <w:rsid w:val="6450005B"/>
    <w:rsid w:val="645C0C59"/>
    <w:rsid w:val="646031C3"/>
    <w:rsid w:val="646F78AA"/>
    <w:rsid w:val="6473752A"/>
    <w:rsid w:val="64963088"/>
    <w:rsid w:val="649C04A0"/>
    <w:rsid w:val="649C61C5"/>
    <w:rsid w:val="64B33C3A"/>
    <w:rsid w:val="64B74DAD"/>
    <w:rsid w:val="64BB664B"/>
    <w:rsid w:val="64F34037"/>
    <w:rsid w:val="64FB113D"/>
    <w:rsid w:val="650751C3"/>
    <w:rsid w:val="65091AAC"/>
    <w:rsid w:val="6529361A"/>
    <w:rsid w:val="65336B29"/>
    <w:rsid w:val="65401246"/>
    <w:rsid w:val="654C1999"/>
    <w:rsid w:val="65534AD5"/>
    <w:rsid w:val="65622F6B"/>
    <w:rsid w:val="6587477F"/>
    <w:rsid w:val="659155FE"/>
    <w:rsid w:val="659B022A"/>
    <w:rsid w:val="659C46CE"/>
    <w:rsid w:val="65A25A5D"/>
    <w:rsid w:val="65C77BFA"/>
    <w:rsid w:val="65D025CA"/>
    <w:rsid w:val="65D200F0"/>
    <w:rsid w:val="65F04A1A"/>
    <w:rsid w:val="660957E7"/>
    <w:rsid w:val="66124C93"/>
    <w:rsid w:val="661A55F3"/>
    <w:rsid w:val="66285F62"/>
    <w:rsid w:val="664803B2"/>
    <w:rsid w:val="665054B9"/>
    <w:rsid w:val="666D4361"/>
    <w:rsid w:val="667A3C6D"/>
    <w:rsid w:val="667A42E4"/>
    <w:rsid w:val="66805D9E"/>
    <w:rsid w:val="66846F11"/>
    <w:rsid w:val="66925AD1"/>
    <w:rsid w:val="66A55805"/>
    <w:rsid w:val="66AE6A0F"/>
    <w:rsid w:val="66B617C0"/>
    <w:rsid w:val="66C32DAD"/>
    <w:rsid w:val="66D25ECE"/>
    <w:rsid w:val="66D47E98"/>
    <w:rsid w:val="66DE4873"/>
    <w:rsid w:val="66F83B86"/>
    <w:rsid w:val="66FE4F15"/>
    <w:rsid w:val="670342D9"/>
    <w:rsid w:val="670963AD"/>
    <w:rsid w:val="670A6AA8"/>
    <w:rsid w:val="671169F6"/>
    <w:rsid w:val="6713648F"/>
    <w:rsid w:val="6716225F"/>
    <w:rsid w:val="67277FC8"/>
    <w:rsid w:val="67450B39"/>
    <w:rsid w:val="674768BC"/>
    <w:rsid w:val="674D332C"/>
    <w:rsid w:val="67542D87"/>
    <w:rsid w:val="67564D51"/>
    <w:rsid w:val="675D7E8D"/>
    <w:rsid w:val="676905E0"/>
    <w:rsid w:val="676C6322"/>
    <w:rsid w:val="677E1BB2"/>
    <w:rsid w:val="678E6299"/>
    <w:rsid w:val="679F04A6"/>
    <w:rsid w:val="67A27F96"/>
    <w:rsid w:val="67BA708E"/>
    <w:rsid w:val="67D53EC8"/>
    <w:rsid w:val="67D6069A"/>
    <w:rsid w:val="67DD2D7C"/>
    <w:rsid w:val="680254F4"/>
    <w:rsid w:val="681A7B2C"/>
    <w:rsid w:val="681C38A5"/>
    <w:rsid w:val="681F3395"/>
    <w:rsid w:val="682D5AB2"/>
    <w:rsid w:val="6841155D"/>
    <w:rsid w:val="68437083"/>
    <w:rsid w:val="686314D3"/>
    <w:rsid w:val="68755D6E"/>
    <w:rsid w:val="68824896"/>
    <w:rsid w:val="6885769C"/>
    <w:rsid w:val="689615CB"/>
    <w:rsid w:val="689773CF"/>
    <w:rsid w:val="68AF4719"/>
    <w:rsid w:val="68B65AA7"/>
    <w:rsid w:val="68B74C98"/>
    <w:rsid w:val="68BE495C"/>
    <w:rsid w:val="68C83A2C"/>
    <w:rsid w:val="68DC3034"/>
    <w:rsid w:val="68E27673"/>
    <w:rsid w:val="68E33569"/>
    <w:rsid w:val="690A7750"/>
    <w:rsid w:val="690E618F"/>
    <w:rsid w:val="691C49C1"/>
    <w:rsid w:val="692228F9"/>
    <w:rsid w:val="692D1EC0"/>
    <w:rsid w:val="693052F5"/>
    <w:rsid w:val="693A3851"/>
    <w:rsid w:val="69513A22"/>
    <w:rsid w:val="696A4AE4"/>
    <w:rsid w:val="69821E2D"/>
    <w:rsid w:val="69B1626F"/>
    <w:rsid w:val="69B95123"/>
    <w:rsid w:val="69C2047C"/>
    <w:rsid w:val="69CF4947"/>
    <w:rsid w:val="69D1246D"/>
    <w:rsid w:val="69D411E4"/>
    <w:rsid w:val="69F16334"/>
    <w:rsid w:val="6A0A597F"/>
    <w:rsid w:val="6A0C16F7"/>
    <w:rsid w:val="6A0C7949"/>
    <w:rsid w:val="6A172FA7"/>
    <w:rsid w:val="6A18009C"/>
    <w:rsid w:val="6A1F439D"/>
    <w:rsid w:val="6A294057"/>
    <w:rsid w:val="6A325601"/>
    <w:rsid w:val="6A6432E1"/>
    <w:rsid w:val="6A70612A"/>
    <w:rsid w:val="6A7E16CC"/>
    <w:rsid w:val="6A813E93"/>
    <w:rsid w:val="6A9736B6"/>
    <w:rsid w:val="6AA45DD3"/>
    <w:rsid w:val="6AA933EA"/>
    <w:rsid w:val="6AB778B5"/>
    <w:rsid w:val="6AC975E8"/>
    <w:rsid w:val="6AD246EE"/>
    <w:rsid w:val="6AD9782B"/>
    <w:rsid w:val="6AF01018"/>
    <w:rsid w:val="6B160A7F"/>
    <w:rsid w:val="6B1E7934"/>
    <w:rsid w:val="6B39651C"/>
    <w:rsid w:val="6B3E3B32"/>
    <w:rsid w:val="6B460C38"/>
    <w:rsid w:val="6B480E55"/>
    <w:rsid w:val="6B560E7C"/>
    <w:rsid w:val="6B785296"/>
    <w:rsid w:val="6B7A1A9B"/>
    <w:rsid w:val="6BAE515B"/>
    <w:rsid w:val="6BB40298"/>
    <w:rsid w:val="6BC009EB"/>
    <w:rsid w:val="6BF32B6E"/>
    <w:rsid w:val="6BF3491C"/>
    <w:rsid w:val="6BF80185"/>
    <w:rsid w:val="6BFF7765"/>
    <w:rsid w:val="6C007039"/>
    <w:rsid w:val="6C0528A2"/>
    <w:rsid w:val="6C150D37"/>
    <w:rsid w:val="6C24541E"/>
    <w:rsid w:val="6C305B70"/>
    <w:rsid w:val="6C3C45F5"/>
    <w:rsid w:val="6C8445A7"/>
    <w:rsid w:val="6C8859AD"/>
    <w:rsid w:val="6C8D4D71"/>
    <w:rsid w:val="6CBA7B30"/>
    <w:rsid w:val="6CC8224D"/>
    <w:rsid w:val="6CD02EB0"/>
    <w:rsid w:val="6CD52274"/>
    <w:rsid w:val="6CE10C19"/>
    <w:rsid w:val="6CE40709"/>
    <w:rsid w:val="6CED3A62"/>
    <w:rsid w:val="6D0D4104"/>
    <w:rsid w:val="6D203E37"/>
    <w:rsid w:val="6D21370B"/>
    <w:rsid w:val="6D2D0302"/>
    <w:rsid w:val="6D3671B7"/>
    <w:rsid w:val="6D590A0C"/>
    <w:rsid w:val="6D6655C2"/>
    <w:rsid w:val="6DA02882"/>
    <w:rsid w:val="6DA22A9E"/>
    <w:rsid w:val="6DBD1686"/>
    <w:rsid w:val="6DBE0F5A"/>
    <w:rsid w:val="6DBE53FE"/>
    <w:rsid w:val="6DCA132B"/>
    <w:rsid w:val="6DCF4F15"/>
    <w:rsid w:val="6DDB5FB0"/>
    <w:rsid w:val="6DEA1D4F"/>
    <w:rsid w:val="6DEC3D19"/>
    <w:rsid w:val="6DF90D44"/>
    <w:rsid w:val="6E054DDB"/>
    <w:rsid w:val="6E1119D2"/>
    <w:rsid w:val="6E2434B3"/>
    <w:rsid w:val="6E4057D9"/>
    <w:rsid w:val="6E470F4F"/>
    <w:rsid w:val="6E4B6C92"/>
    <w:rsid w:val="6E4D6A7E"/>
    <w:rsid w:val="6E535B46"/>
    <w:rsid w:val="6E647D53"/>
    <w:rsid w:val="6E7004A6"/>
    <w:rsid w:val="6E8B3532"/>
    <w:rsid w:val="6EAB75D3"/>
    <w:rsid w:val="6EB72579"/>
    <w:rsid w:val="6EBF31DC"/>
    <w:rsid w:val="6EC10D02"/>
    <w:rsid w:val="6EE113A4"/>
    <w:rsid w:val="6EEB5DB6"/>
    <w:rsid w:val="6EF8049C"/>
    <w:rsid w:val="6F2836B5"/>
    <w:rsid w:val="6F3C482C"/>
    <w:rsid w:val="6F484F7F"/>
    <w:rsid w:val="6F675D4D"/>
    <w:rsid w:val="6F6C607A"/>
    <w:rsid w:val="6F7915DC"/>
    <w:rsid w:val="6F9A3937"/>
    <w:rsid w:val="6FB2689C"/>
    <w:rsid w:val="6FB865A9"/>
    <w:rsid w:val="6FD33FBD"/>
    <w:rsid w:val="6FE54EC4"/>
    <w:rsid w:val="6FE608AD"/>
    <w:rsid w:val="6FF3138F"/>
    <w:rsid w:val="6FF46EB5"/>
    <w:rsid w:val="6FF96F24"/>
    <w:rsid w:val="6FFF7F5D"/>
    <w:rsid w:val="7000585A"/>
    <w:rsid w:val="704E0CBB"/>
    <w:rsid w:val="705F07D2"/>
    <w:rsid w:val="707A1AB0"/>
    <w:rsid w:val="709057D7"/>
    <w:rsid w:val="70932B72"/>
    <w:rsid w:val="70A42689"/>
    <w:rsid w:val="70B0102E"/>
    <w:rsid w:val="70BB16AE"/>
    <w:rsid w:val="70C35547"/>
    <w:rsid w:val="70D94A29"/>
    <w:rsid w:val="70F051AD"/>
    <w:rsid w:val="70F33611"/>
    <w:rsid w:val="70FC24C5"/>
    <w:rsid w:val="7101188A"/>
    <w:rsid w:val="71015D2D"/>
    <w:rsid w:val="710E3FA6"/>
    <w:rsid w:val="71233EF6"/>
    <w:rsid w:val="71241A1C"/>
    <w:rsid w:val="715C2AFE"/>
    <w:rsid w:val="717B788E"/>
    <w:rsid w:val="717C1858"/>
    <w:rsid w:val="718304F0"/>
    <w:rsid w:val="718D75C1"/>
    <w:rsid w:val="71940950"/>
    <w:rsid w:val="71A37E47"/>
    <w:rsid w:val="71B11502"/>
    <w:rsid w:val="71B7463E"/>
    <w:rsid w:val="71BC3A02"/>
    <w:rsid w:val="71C034F3"/>
    <w:rsid w:val="71D7083C"/>
    <w:rsid w:val="71E52F59"/>
    <w:rsid w:val="71EF3DD8"/>
    <w:rsid w:val="71F15DA2"/>
    <w:rsid w:val="720F447A"/>
    <w:rsid w:val="72165809"/>
    <w:rsid w:val="721675B7"/>
    <w:rsid w:val="722A54E3"/>
    <w:rsid w:val="72330169"/>
    <w:rsid w:val="72374BF5"/>
    <w:rsid w:val="72514479"/>
    <w:rsid w:val="72516841"/>
    <w:rsid w:val="725620A9"/>
    <w:rsid w:val="725C58D5"/>
    <w:rsid w:val="726E73F3"/>
    <w:rsid w:val="7270316B"/>
    <w:rsid w:val="7278201F"/>
    <w:rsid w:val="72842772"/>
    <w:rsid w:val="72897D89"/>
    <w:rsid w:val="728A58AF"/>
    <w:rsid w:val="728C5ACB"/>
    <w:rsid w:val="72952BD1"/>
    <w:rsid w:val="72987FCC"/>
    <w:rsid w:val="729C61E2"/>
    <w:rsid w:val="72A46970"/>
    <w:rsid w:val="72AA7CFF"/>
    <w:rsid w:val="72AF5315"/>
    <w:rsid w:val="72C2773E"/>
    <w:rsid w:val="72C74B35"/>
    <w:rsid w:val="72DF5BFA"/>
    <w:rsid w:val="730613D9"/>
    <w:rsid w:val="732B7092"/>
    <w:rsid w:val="73353A6C"/>
    <w:rsid w:val="733F6699"/>
    <w:rsid w:val="734B045B"/>
    <w:rsid w:val="73702CF6"/>
    <w:rsid w:val="73742238"/>
    <w:rsid w:val="73880040"/>
    <w:rsid w:val="73A34E7A"/>
    <w:rsid w:val="73C03C7E"/>
    <w:rsid w:val="73DE5EB2"/>
    <w:rsid w:val="73E57241"/>
    <w:rsid w:val="73EA2AA9"/>
    <w:rsid w:val="73FE0302"/>
    <w:rsid w:val="741C4C2C"/>
    <w:rsid w:val="74251D33"/>
    <w:rsid w:val="74281823"/>
    <w:rsid w:val="742C30C1"/>
    <w:rsid w:val="74390E75"/>
    <w:rsid w:val="74396CB5"/>
    <w:rsid w:val="7456013E"/>
    <w:rsid w:val="74894C41"/>
    <w:rsid w:val="74945351"/>
    <w:rsid w:val="749649DF"/>
    <w:rsid w:val="74A71788"/>
    <w:rsid w:val="74AA048A"/>
    <w:rsid w:val="74AA1ED0"/>
    <w:rsid w:val="74B64875"/>
    <w:rsid w:val="74BF5CE3"/>
    <w:rsid w:val="74D86DA5"/>
    <w:rsid w:val="74E474F8"/>
    <w:rsid w:val="75061904"/>
    <w:rsid w:val="75184D35"/>
    <w:rsid w:val="7535244A"/>
    <w:rsid w:val="753F0BD2"/>
    <w:rsid w:val="754B0089"/>
    <w:rsid w:val="754C32EF"/>
    <w:rsid w:val="757F1917"/>
    <w:rsid w:val="7581743D"/>
    <w:rsid w:val="758D7B90"/>
    <w:rsid w:val="75994786"/>
    <w:rsid w:val="759F78C3"/>
    <w:rsid w:val="75A07DA5"/>
    <w:rsid w:val="75B25848"/>
    <w:rsid w:val="75B3511C"/>
    <w:rsid w:val="75BC4848"/>
    <w:rsid w:val="75BF1D13"/>
    <w:rsid w:val="75E03EE1"/>
    <w:rsid w:val="75F47FF3"/>
    <w:rsid w:val="760A7432"/>
    <w:rsid w:val="760C25E7"/>
    <w:rsid w:val="76120095"/>
    <w:rsid w:val="76197675"/>
    <w:rsid w:val="761E2458"/>
    <w:rsid w:val="762D1373"/>
    <w:rsid w:val="763C5112"/>
    <w:rsid w:val="76452218"/>
    <w:rsid w:val="7682521B"/>
    <w:rsid w:val="76854D0B"/>
    <w:rsid w:val="76A71125"/>
    <w:rsid w:val="76B31878"/>
    <w:rsid w:val="76B455F0"/>
    <w:rsid w:val="76C21ABB"/>
    <w:rsid w:val="76C45833"/>
    <w:rsid w:val="76D417EE"/>
    <w:rsid w:val="76E063E5"/>
    <w:rsid w:val="76EC2057"/>
    <w:rsid w:val="770E6D4C"/>
    <w:rsid w:val="771A5453"/>
    <w:rsid w:val="772366E0"/>
    <w:rsid w:val="773A78A3"/>
    <w:rsid w:val="774D1C68"/>
    <w:rsid w:val="774E77F3"/>
    <w:rsid w:val="77560455"/>
    <w:rsid w:val="7762504C"/>
    <w:rsid w:val="77731007"/>
    <w:rsid w:val="778D20C9"/>
    <w:rsid w:val="779F3912"/>
    <w:rsid w:val="77B91110"/>
    <w:rsid w:val="77C33D3D"/>
    <w:rsid w:val="77D45F4A"/>
    <w:rsid w:val="77D53A70"/>
    <w:rsid w:val="77E65C7D"/>
    <w:rsid w:val="77F739E6"/>
    <w:rsid w:val="77FE6B23"/>
    <w:rsid w:val="78014865"/>
    <w:rsid w:val="78160310"/>
    <w:rsid w:val="7820319C"/>
    <w:rsid w:val="78211E79"/>
    <w:rsid w:val="78243BEA"/>
    <w:rsid w:val="782B1186"/>
    <w:rsid w:val="783E33C3"/>
    <w:rsid w:val="78436C2C"/>
    <w:rsid w:val="7856695F"/>
    <w:rsid w:val="78650950"/>
    <w:rsid w:val="787466AD"/>
    <w:rsid w:val="78782D79"/>
    <w:rsid w:val="78784A88"/>
    <w:rsid w:val="7879264D"/>
    <w:rsid w:val="787943FB"/>
    <w:rsid w:val="7899274E"/>
    <w:rsid w:val="78A23952"/>
    <w:rsid w:val="78A3591C"/>
    <w:rsid w:val="78AB77B5"/>
    <w:rsid w:val="78BC253A"/>
    <w:rsid w:val="78BE3EE4"/>
    <w:rsid w:val="78C57641"/>
    <w:rsid w:val="78DA3FCE"/>
    <w:rsid w:val="78DA7590"/>
    <w:rsid w:val="78E21FA1"/>
    <w:rsid w:val="78EC1071"/>
    <w:rsid w:val="78EC5FFC"/>
    <w:rsid w:val="78F9553C"/>
    <w:rsid w:val="78FD5F0A"/>
    <w:rsid w:val="790E7239"/>
    <w:rsid w:val="791B54B2"/>
    <w:rsid w:val="791F31F5"/>
    <w:rsid w:val="79222CE5"/>
    <w:rsid w:val="794E7636"/>
    <w:rsid w:val="79556C16"/>
    <w:rsid w:val="796E1A86"/>
    <w:rsid w:val="797A48CF"/>
    <w:rsid w:val="79856DD0"/>
    <w:rsid w:val="79986B03"/>
    <w:rsid w:val="79BA4CCB"/>
    <w:rsid w:val="79BC0A44"/>
    <w:rsid w:val="79C93160"/>
    <w:rsid w:val="79C97604"/>
    <w:rsid w:val="79D0464E"/>
    <w:rsid w:val="79D264B9"/>
    <w:rsid w:val="79EF26F4"/>
    <w:rsid w:val="79F006ED"/>
    <w:rsid w:val="79FA3070"/>
    <w:rsid w:val="7A13262E"/>
    <w:rsid w:val="7A15284A"/>
    <w:rsid w:val="7A39455B"/>
    <w:rsid w:val="7A44043F"/>
    <w:rsid w:val="7A472206"/>
    <w:rsid w:val="7A472AEE"/>
    <w:rsid w:val="7A546ECE"/>
    <w:rsid w:val="7A603AC5"/>
    <w:rsid w:val="7A633442"/>
    <w:rsid w:val="7A6F7A0B"/>
    <w:rsid w:val="7A7C7798"/>
    <w:rsid w:val="7A80583F"/>
    <w:rsid w:val="7A8263DF"/>
    <w:rsid w:val="7A8A28F0"/>
    <w:rsid w:val="7A8C2B0C"/>
    <w:rsid w:val="7A8D23E0"/>
    <w:rsid w:val="7AAA2F92"/>
    <w:rsid w:val="7AAC4F5C"/>
    <w:rsid w:val="7AAE1142"/>
    <w:rsid w:val="7AB12572"/>
    <w:rsid w:val="7ABE2599"/>
    <w:rsid w:val="7AC758F2"/>
    <w:rsid w:val="7AD9057B"/>
    <w:rsid w:val="7AD93877"/>
    <w:rsid w:val="7ADE49EA"/>
    <w:rsid w:val="7AE2272C"/>
    <w:rsid w:val="7AE446F6"/>
    <w:rsid w:val="7AF406B1"/>
    <w:rsid w:val="7B02692A"/>
    <w:rsid w:val="7B034450"/>
    <w:rsid w:val="7B160627"/>
    <w:rsid w:val="7B2C1BF9"/>
    <w:rsid w:val="7B586985"/>
    <w:rsid w:val="7B7B048A"/>
    <w:rsid w:val="7B845591"/>
    <w:rsid w:val="7B98728E"/>
    <w:rsid w:val="7BB340C8"/>
    <w:rsid w:val="7BBA0FB3"/>
    <w:rsid w:val="7BBD4F47"/>
    <w:rsid w:val="7BC40083"/>
    <w:rsid w:val="7BC41E31"/>
    <w:rsid w:val="7BC63DFB"/>
    <w:rsid w:val="7BD137C8"/>
    <w:rsid w:val="7BEB5610"/>
    <w:rsid w:val="7BF02C26"/>
    <w:rsid w:val="7C02295A"/>
    <w:rsid w:val="7C077F70"/>
    <w:rsid w:val="7C246D74"/>
    <w:rsid w:val="7C330D65"/>
    <w:rsid w:val="7C4371FA"/>
    <w:rsid w:val="7C4411C4"/>
    <w:rsid w:val="7C6A0C2B"/>
    <w:rsid w:val="7C7E0232"/>
    <w:rsid w:val="7C8B6DF3"/>
    <w:rsid w:val="7CAB2FF1"/>
    <w:rsid w:val="7CB926EE"/>
    <w:rsid w:val="7CC1045F"/>
    <w:rsid w:val="7CC52305"/>
    <w:rsid w:val="7CF76DFD"/>
    <w:rsid w:val="7D0050EB"/>
    <w:rsid w:val="7D0C1CE2"/>
    <w:rsid w:val="7D0D15B6"/>
    <w:rsid w:val="7D1666BD"/>
    <w:rsid w:val="7D225061"/>
    <w:rsid w:val="7D3905FD"/>
    <w:rsid w:val="7D3D633F"/>
    <w:rsid w:val="7D537911"/>
    <w:rsid w:val="7D7358BD"/>
    <w:rsid w:val="7D8F021D"/>
    <w:rsid w:val="7D9817C8"/>
    <w:rsid w:val="7DB1450A"/>
    <w:rsid w:val="7DB30F95"/>
    <w:rsid w:val="7DB55ED6"/>
    <w:rsid w:val="7DB639FC"/>
    <w:rsid w:val="7DBA173E"/>
    <w:rsid w:val="7DC41F1A"/>
    <w:rsid w:val="7DCE6F97"/>
    <w:rsid w:val="7DCF4ABD"/>
    <w:rsid w:val="7DE277CD"/>
    <w:rsid w:val="7DED1B13"/>
    <w:rsid w:val="7DEE3196"/>
    <w:rsid w:val="7DFA4230"/>
    <w:rsid w:val="7E022D25"/>
    <w:rsid w:val="7E176B90"/>
    <w:rsid w:val="7E357016"/>
    <w:rsid w:val="7E39512C"/>
    <w:rsid w:val="7E431733"/>
    <w:rsid w:val="7E4534BC"/>
    <w:rsid w:val="7E6E6AD4"/>
    <w:rsid w:val="7E8B30DA"/>
    <w:rsid w:val="7E8D0C00"/>
    <w:rsid w:val="7E957AB5"/>
    <w:rsid w:val="7EC16AFC"/>
    <w:rsid w:val="7ED95BF4"/>
    <w:rsid w:val="7EF02F3D"/>
    <w:rsid w:val="7F1B445E"/>
    <w:rsid w:val="7F1D01D6"/>
    <w:rsid w:val="7F3E639F"/>
    <w:rsid w:val="7F6F0306"/>
    <w:rsid w:val="7F737DF6"/>
    <w:rsid w:val="7F800765"/>
    <w:rsid w:val="7F853FCE"/>
    <w:rsid w:val="7F9935D5"/>
    <w:rsid w:val="7FC22B2C"/>
    <w:rsid w:val="7FD840FD"/>
    <w:rsid w:val="7FFB603E"/>
    <w:rsid w:val="7FFD3B64"/>
    <w:rsid w:val="FF3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numPr>
        <w:ilvl w:val="3"/>
        <w:numId w:val="1"/>
      </w:numPr>
      <w:ind w:firstLine="0" w:firstLineChars="0"/>
      <w:outlineLvl w:val="3"/>
    </w:pPr>
    <w:rPr>
      <w:b/>
      <w:bCs/>
      <w:szCs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eastAsia="宋体" w:cs="Times New Roman"/>
      <w:sz w:val="24"/>
      <w:szCs w:val="24"/>
    </w:rPr>
  </w:style>
  <w:style w:type="paragraph" w:styleId="9">
    <w:name w:val="Body Text Indent"/>
    <w:basedOn w:val="1"/>
    <w:next w:val="10"/>
    <w:qFormat/>
    <w:uiPriority w:val="0"/>
    <w:pPr>
      <w:ind w:firstLine="645"/>
    </w:pPr>
    <w:rPr>
      <w:rFonts w:ascii="楷体_GB2312" w:eastAsia="楷体_GB2312"/>
      <w:sz w:val="32"/>
      <w:szCs w:val="32"/>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footnote text"/>
    <w:basedOn w:val="1"/>
    <w:next w:val="2"/>
    <w:qFormat/>
    <w:uiPriority w:val="0"/>
    <w:pPr>
      <w:widowControl w:val="0"/>
      <w:adjustRightInd w:val="0"/>
      <w:spacing w:line="315" w:lineRule="atLeast"/>
      <w:jc w:val="both"/>
      <w:textAlignment w:val="baseline"/>
    </w:pPr>
    <w:rPr>
      <w:rFonts w:ascii="宋体" w:hAnsi="宋体"/>
      <w:sz w:val="18"/>
      <w:szCs w:val="18"/>
    </w:rPr>
  </w:style>
  <w:style w:type="paragraph" w:styleId="18">
    <w:name w:val="index 7"/>
    <w:basedOn w:val="1"/>
    <w:next w:val="1"/>
    <w:qFormat/>
    <w:uiPriority w:val="0"/>
    <w:pPr>
      <w:adjustRightInd w:val="0"/>
      <w:spacing w:beforeLines="0" w:afterLines="0" w:line="315" w:lineRule="atLeast"/>
      <w:ind w:left="2520"/>
      <w:jc w:val="left"/>
      <w:textAlignment w:val="baseline"/>
    </w:pPr>
    <w:rPr>
      <w:rFonts w:hint="eastAsia" w:ascii="宋体" w:hAnsi="Times New Roman" w:eastAsia="宋体" w:cs="Times New Roman"/>
      <w:kern w:val="0"/>
      <w:sz w:val="21"/>
    </w:rPr>
  </w:style>
  <w:style w:type="paragraph" w:styleId="19">
    <w:name w:val="toc 2"/>
    <w:basedOn w:val="1"/>
    <w:next w:val="1"/>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2"/>
    <w:next w:val="1"/>
    <w:unhideWhenUsed/>
    <w:qFormat/>
    <w:uiPriority w:val="99"/>
    <w:pPr>
      <w:tabs>
        <w:tab w:val="left" w:pos="567"/>
      </w:tabs>
      <w:ind w:firstLine="420" w:firstLineChars="100"/>
    </w:pPr>
  </w:style>
  <w:style w:type="paragraph" w:styleId="23">
    <w:name w:val="Body Text First Indent 2"/>
    <w:basedOn w:val="9"/>
    <w:next w:val="7"/>
    <w:qFormat/>
    <w:uiPriority w:val="0"/>
    <w:pPr>
      <w:spacing w:line="360" w:lineRule="auto"/>
      <w:ind w:firstLine="420" w:firstLineChars="200"/>
    </w:pPr>
    <w:rPr>
      <w:rFonts w:ascii="宋体" w:hAnsi="宋体" w:eastAsia="宋体"/>
      <w:sz w:val="21"/>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Default"/>
    <w:next w:val="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样式 样式 样式 左侧:  2 字符1 + 首行缩进:  2 字符1 + 首行缩进:  2 字符"/>
    <w:basedOn w:val="1"/>
    <w:qFormat/>
    <w:uiPriority w:val="0"/>
    <w:pPr>
      <w:widowControl/>
      <w:adjustRightInd w:val="0"/>
      <w:spacing w:before="60" w:beforeLines="0" w:after="120" w:afterLines="0" w:line="440" w:lineRule="atLeast"/>
      <w:ind w:firstLine="480"/>
      <w:textAlignment w:val="baseline"/>
    </w:pPr>
    <w:rPr>
      <w:sz w:val="24"/>
    </w:rPr>
  </w:style>
  <w:style w:type="paragraph" w:customStyle="1" w:styleId="31">
    <w:name w:val="列出段落1"/>
    <w:basedOn w:val="1"/>
    <w:qFormat/>
    <w:uiPriority w:val="99"/>
    <w:pPr>
      <w:ind w:firstLine="420" w:firstLineChars="200"/>
    </w:pPr>
  </w:style>
  <w:style w:type="paragraph" w:customStyle="1" w:styleId="32">
    <w:name w:val="图例"/>
    <w:basedOn w:val="1"/>
    <w:qFormat/>
    <w:uiPriority w:val="0"/>
    <w:pPr>
      <w:widowControl w:val="0"/>
      <w:spacing w:before="120" w:after="120"/>
      <w:jc w:val="center"/>
    </w:pPr>
    <w:rPr>
      <w:rFonts w:ascii="Times New Roman" w:hAnsi="Times New Roman" w:eastAsia="仿宋_GB2312" w:cs="Times New Roman"/>
      <w:b/>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header" Target="header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png"/><Relationship Id="rId56" Type="http://schemas.openxmlformats.org/officeDocument/2006/relationships/image" Target="media/image1.jpeg"/><Relationship Id="rId55" Type="http://schemas.openxmlformats.org/officeDocument/2006/relationships/theme" Target="theme/theme1.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header" Target="header3.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20984</Words>
  <Characters>22171</Characters>
  <Lines>1</Lines>
  <Paragraphs>1</Paragraphs>
  <TotalTime>41</TotalTime>
  <ScaleCrop>false</ScaleCrop>
  <LinksUpToDate>false</LinksUpToDate>
  <CharactersWithSpaces>24850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2024-04-15T17:44:00Z</dcterms:created>
  <dc:creator>Administrator</dc:creator>
  <cp:lastModifiedBy>Administrator</cp:lastModifiedBy>
  <cp:lastPrinted>2025-02-21T11:00:00Z</cp:lastPrinted>
  <dcterms:modified xsi:type="dcterms:W3CDTF">2025-07-04T03:27:49Z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11938DE6E77840498F072D8F7B68ECEE_13</vt:lpwstr>
  </property>
  <property fmtid="{D5CDD505-2E9C-101B-9397-08002B2CF9AE}" pid="4" name="KSOTemplateDocerSaveRecord">
    <vt:lpwstr>eyJoZGlkIjoiZDU3NDlhZWYxYzUxMjlkMDAwNmUxMDhiZDQxMzZmYjcifQ==</vt:lpwstr>
  </property>
</Properties>
</file>