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73C85">
      <w:pPr>
        <w:pStyle w:val="17"/>
        <w:jc w:val="center"/>
        <w:rPr>
          <w:rFonts w:hint="eastAsia" w:ascii="仿宋" w:hAnsi="仿宋" w:eastAsia="仿宋" w:cs="仿宋"/>
          <w:b/>
          <w:kern w:val="2"/>
          <w:sz w:val="48"/>
          <w:szCs w:val="48"/>
          <w:lang w:val="en-US" w:eastAsia="zh-CN" w:bidi="ar-SA"/>
        </w:rPr>
      </w:pPr>
    </w:p>
    <w:p w14:paraId="05D1B0E7">
      <w:pPr>
        <w:pStyle w:val="17"/>
        <w:jc w:val="center"/>
        <w:rPr>
          <w:rFonts w:hint="eastAsia" w:ascii="仿宋" w:hAnsi="仿宋" w:eastAsia="仿宋" w:cs="仿宋"/>
          <w:b/>
          <w:kern w:val="2"/>
          <w:sz w:val="48"/>
          <w:szCs w:val="48"/>
          <w:lang w:val="en-US" w:eastAsia="zh-CN" w:bidi="ar-SA"/>
        </w:rPr>
      </w:pPr>
      <w:r>
        <w:rPr>
          <w:rFonts w:hint="eastAsia" w:ascii="仿宋" w:hAnsi="仿宋" w:eastAsia="仿宋" w:cs="仿宋"/>
          <w:b/>
          <w:kern w:val="2"/>
          <w:sz w:val="48"/>
          <w:szCs w:val="48"/>
          <w:lang w:val="en-US" w:eastAsia="zh-CN" w:bidi="ar-SA"/>
        </w:rPr>
        <w:fldChar w:fldCharType="begin"/>
      </w:r>
      <w:r>
        <w:rPr>
          <w:rFonts w:hint="eastAsia" w:ascii="仿宋" w:hAnsi="仿宋" w:eastAsia="仿宋" w:cs="仿宋"/>
          <w:b/>
          <w:kern w:val="2"/>
          <w:sz w:val="48"/>
          <w:szCs w:val="48"/>
          <w:lang w:val="en-US" w:eastAsia="zh-CN" w:bidi="ar-SA"/>
        </w:rPr>
        <w:instrText xml:space="preserve"> HYPERLINK "https://pay.zcygov.cn/purchaseplan_front/" \l "/purchase/plan/details/846039" \t "https://pay.zcygov.cn/purchaseplan_front/" \l "/plan/list/_blank" </w:instrText>
      </w:r>
      <w:r>
        <w:rPr>
          <w:rFonts w:hint="eastAsia" w:ascii="仿宋" w:hAnsi="仿宋" w:eastAsia="仿宋" w:cs="仿宋"/>
          <w:b/>
          <w:kern w:val="2"/>
          <w:sz w:val="48"/>
          <w:szCs w:val="48"/>
          <w:lang w:val="en-US" w:eastAsia="zh-CN" w:bidi="ar-SA"/>
        </w:rPr>
        <w:fldChar w:fldCharType="separate"/>
      </w:r>
      <w:r>
        <w:rPr>
          <w:rFonts w:hint="eastAsia" w:ascii="仿宋" w:hAnsi="仿宋" w:eastAsia="仿宋" w:cs="仿宋"/>
          <w:b/>
          <w:kern w:val="2"/>
          <w:sz w:val="48"/>
          <w:szCs w:val="48"/>
          <w:lang w:val="en-US" w:eastAsia="zh-CN" w:bidi="ar-SA"/>
        </w:rPr>
        <w:t>伽师县市场监督管理局食品安全抽检</w:t>
      </w:r>
    </w:p>
    <w:p w14:paraId="57BF3D77">
      <w:pPr>
        <w:pStyle w:val="17"/>
        <w:jc w:val="center"/>
        <w:rPr>
          <w:rFonts w:hint="eastAsia" w:ascii="仿宋" w:hAnsi="仿宋" w:eastAsia="仿宋" w:cs="仿宋"/>
          <w:b/>
          <w:kern w:val="2"/>
          <w:sz w:val="48"/>
          <w:szCs w:val="48"/>
          <w:lang w:val="en-US" w:eastAsia="zh-CN" w:bidi="ar-SA"/>
        </w:rPr>
      </w:pPr>
      <w:r>
        <w:rPr>
          <w:rFonts w:hint="eastAsia" w:ascii="仿宋" w:hAnsi="仿宋" w:eastAsia="仿宋" w:cs="仿宋"/>
          <w:b/>
          <w:kern w:val="2"/>
          <w:sz w:val="48"/>
          <w:szCs w:val="48"/>
          <w:lang w:val="en-US" w:eastAsia="zh-CN" w:bidi="ar-SA"/>
        </w:rPr>
        <w:t>服务项目</w:t>
      </w:r>
      <w:r>
        <w:rPr>
          <w:rFonts w:hint="eastAsia" w:ascii="仿宋" w:hAnsi="仿宋" w:eastAsia="仿宋" w:cs="仿宋"/>
          <w:b/>
          <w:kern w:val="2"/>
          <w:sz w:val="48"/>
          <w:szCs w:val="48"/>
          <w:lang w:val="en-US" w:eastAsia="zh-CN" w:bidi="ar-SA"/>
        </w:rPr>
        <w:fldChar w:fldCharType="end"/>
      </w:r>
      <w:r>
        <w:rPr>
          <w:rFonts w:hint="eastAsia" w:ascii="仿宋" w:hAnsi="仿宋" w:eastAsia="仿宋" w:cs="仿宋"/>
          <w:b/>
          <w:kern w:val="2"/>
          <w:sz w:val="48"/>
          <w:szCs w:val="48"/>
          <w:lang w:val="en-US" w:eastAsia="zh-CN" w:bidi="ar-SA"/>
        </w:rPr>
        <w:t>竞争性磋商文件</w:t>
      </w:r>
    </w:p>
    <w:p w14:paraId="2640D7B9">
      <w:pPr>
        <w:pStyle w:val="17"/>
        <w:ind w:firstLine="1560" w:firstLineChars="300"/>
        <w:rPr>
          <w:rFonts w:hint="eastAsia" w:ascii="仿宋_GB2312" w:hAnsi="仿宋_GB2312" w:eastAsia="仿宋_GB2312" w:cs="仿宋_GB2312"/>
          <w:bCs/>
          <w:sz w:val="52"/>
          <w:szCs w:val="52"/>
        </w:rPr>
      </w:pPr>
    </w:p>
    <w:p w14:paraId="617310AA">
      <w:pPr>
        <w:pStyle w:val="17"/>
        <w:jc w:val="center"/>
        <w:rPr>
          <w:rFonts w:hint="eastAsia" w:ascii="仿宋" w:hAnsi="仿宋" w:eastAsia="仿宋" w:cs="仿宋"/>
          <w:b/>
          <w:kern w:val="2"/>
          <w:sz w:val="48"/>
          <w:szCs w:val="48"/>
          <w:lang w:val="en-US" w:eastAsia="zh-CN" w:bidi="ar-SA"/>
        </w:rPr>
      </w:pPr>
      <w:r>
        <w:rPr>
          <w:rFonts w:hint="eastAsia" w:ascii="仿宋" w:hAnsi="仿宋" w:eastAsia="仿宋" w:cs="仿宋"/>
          <w:b/>
          <w:kern w:val="2"/>
          <w:sz w:val="48"/>
          <w:szCs w:val="48"/>
          <w:lang w:val="en-US" w:eastAsia="zh-CN" w:bidi="ar-SA"/>
        </w:rPr>
        <w:t>(第一册)</w:t>
      </w:r>
    </w:p>
    <w:p w14:paraId="30041206">
      <w:pPr>
        <w:spacing w:line="240" w:lineRule="atLeast"/>
        <w:ind w:left="1079" w:leftChars="257" w:hanging="540"/>
        <w:jc w:val="center"/>
        <w:rPr>
          <w:rFonts w:hint="eastAsia" w:ascii="仿宋_GB2312" w:hAnsi="仿宋_GB2312" w:eastAsia="仿宋_GB2312" w:cs="仿宋_GB2312"/>
          <w:b/>
          <w:sz w:val="52"/>
        </w:rPr>
      </w:pPr>
    </w:p>
    <w:p w14:paraId="644BEB0C">
      <w:pPr>
        <w:spacing w:line="240" w:lineRule="atLeast"/>
        <w:rPr>
          <w:rFonts w:hint="eastAsia" w:ascii="仿宋_GB2312" w:hAnsi="仿宋_GB2312" w:eastAsia="仿宋_GB2312" w:cs="仿宋_GB2312"/>
          <w:b/>
          <w:sz w:val="52"/>
        </w:rPr>
      </w:pPr>
    </w:p>
    <w:p w14:paraId="1C7533C8">
      <w:pPr>
        <w:pStyle w:val="22"/>
        <w:rPr>
          <w:rFonts w:hint="eastAsia"/>
        </w:rPr>
      </w:pPr>
    </w:p>
    <w:p w14:paraId="11DF4EDA">
      <w:pPr>
        <w:rPr>
          <w:rFonts w:hint="eastAsia"/>
        </w:rPr>
      </w:pPr>
    </w:p>
    <w:p w14:paraId="12AFA366">
      <w:pPr>
        <w:pStyle w:val="8"/>
        <w:rPr>
          <w:rFonts w:hint="eastAsia"/>
        </w:rPr>
      </w:pPr>
    </w:p>
    <w:p w14:paraId="7BC36BB9">
      <w:pPr>
        <w:rPr>
          <w:rFonts w:hint="eastAsia"/>
        </w:rPr>
      </w:pPr>
    </w:p>
    <w:p w14:paraId="2B4B96ED">
      <w:pPr>
        <w:pStyle w:val="8"/>
        <w:rPr>
          <w:rFonts w:hint="eastAsia"/>
        </w:rPr>
      </w:pPr>
    </w:p>
    <w:p w14:paraId="040FC0F5">
      <w:pPr>
        <w:rPr>
          <w:rFonts w:hint="eastAsia"/>
        </w:rPr>
      </w:pPr>
    </w:p>
    <w:p w14:paraId="13DFEAE2">
      <w:pPr>
        <w:pStyle w:val="8"/>
        <w:rPr>
          <w:rFonts w:hint="eastAsia"/>
        </w:rPr>
      </w:pPr>
    </w:p>
    <w:p w14:paraId="41C0665A">
      <w:pPr>
        <w:rPr>
          <w:rFonts w:hint="eastAsia"/>
          <w:highlight w:val="yellow"/>
        </w:rPr>
      </w:pPr>
    </w:p>
    <w:p w14:paraId="497A80E2">
      <w:pPr>
        <w:keepNext w:val="0"/>
        <w:keepLines w:val="0"/>
        <w:pageBreakBefore w:val="0"/>
        <w:widowControl w:val="0"/>
        <w:tabs>
          <w:tab w:val="left" w:pos="0"/>
        </w:tabs>
        <w:kinsoku/>
        <w:wordWrap/>
        <w:overflowPunct/>
        <w:topLinePunct w:val="0"/>
        <w:autoSpaceDE/>
        <w:autoSpaceDN/>
        <w:bidi w:val="0"/>
        <w:adjustRightInd/>
        <w:snapToGrid/>
        <w:spacing w:line="240" w:lineRule="auto"/>
        <w:jc w:val="left"/>
        <w:textAlignment w:val="auto"/>
        <w:rPr>
          <w:rFonts w:hint="default"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项 目 编 号：KSJSX(CS)2025-24</w:t>
      </w:r>
    </w:p>
    <w:p w14:paraId="17644951">
      <w:pPr>
        <w:spacing w:line="360" w:lineRule="auto"/>
        <w:jc w:val="left"/>
        <w:rPr>
          <w:rFonts w:hint="default"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采 购 单 位：伽师县市场监督管理局</w:t>
      </w:r>
    </w:p>
    <w:p w14:paraId="4729D08B">
      <w:pPr>
        <w:keepNext w:val="0"/>
        <w:keepLines w:val="0"/>
        <w:pageBreakBefore w:val="0"/>
        <w:widowControl w:val="0"/>
        <w:tabs>
          <w:tab w:val="left" w:pos="0"/>
        </w:tabs>
        <w:kinsoku/>
        <w:wordWrap/>
        <w:overflowPunct/>
        <w:topLinePunct w:val="0"/>
        <w:autoSpaceDE/>
        <w:autoSpaceDN/>
        <w:bidi w:val="0"/>
        <w:adjustRightInd/>
        <w:snapToGrid/>
        <w:spacing w:line="360" w:lineRule="auto"/>
        <w:jc w:val="left"/>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采购代理机构：伽师县政府采购中心</w:t>
      </w:r>
    </w:p>
    <w:p w14:paraId="7829DB9F">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0" w:firstLineChars="0"/>
        <w:jc w:val="left"/>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发  出 日 期：2025年07月</w:t>
      </w:r>
    </w:p>
    <w:p w14:paraId="00DBF0E7">
      <w:pPr>
        <w:spacing w:line="500" w:lineRule="exact"/>
        <w:jc w:val="center"/>
        <w:rPr>
          <w:rFonts w:ascii="仿宋" w:hAnsi="仿宋" w:eastAsia="仿宋" w:cs="仿宋"/>
          <w:b/>
          <w:sz w:val="24"/>
          <w:highlight w:val="none"/>
        </w:rPr>
      </w:pPr>
      <w:r>
        <w:rPr>
          <w:rFonts w:hint="eastAsia" w:ascii="仿宋_GB2312" w:hAnsi="仿宋_GB2312" w:eastAsia="仿宋_GB2312" w:cs="仿宋_GB2312"/>
          <w:b/>
          <w:sz w:val="24"/>
        </w:rPr>
        <w:br w:type="page"/>
      </w:r>
      <w:bookmarkStart w:id="0" w:name="_Toc13671"/>
      <w:bookmarkStart w:id="1" w:name="_Toc22608"/>
      <w:bookmarkStart w:id="2" w:name="_Toc1652"/>
      <w:bookmarkStart w:id="3" w:name="_Toc21958"/>
      <w:bookmarkStart w:id="4" w:name="_Toc26404"/>
      <w:bookmarkStart w:id="5" w:name="_Toc27549"/>
      <w:bookmarkStart w:id="6" w:name="_Toc11180"/>
      <w:bookmarkStart w:id="7" w:name="_Toc515647816"/>
      <w:bookmarkStart w:id="8" w:name="_Toc21263"/>
      <w:bookmarkStart w:id="9" w:name="_Toc18674"/>
      <w:bookmarkStart w:id="10" w:name="_Toc26950"/>
      <w:bookmarkStart w:id="11" w:name="_Toc13611"/>
      <w:bookmarkStart w:id="12" w:name="_Toc30317"/>
      <w:bookmarkStart w:id="13" w:name="_Toc26028"/>
      <w:bookmarkStart w:id="14" w:name="_Toc168"/>
      <w:bookmarkStart w:id="15" w:name="_Toc2041"/>
      <w:bookmarkStart w:id="16" w:name="_Toc515647817"/>
      <w:bookmarkStart w:id="17" w:name="_Toc39671748"/>
      <w:bookmarkStart w:id="18" w:name="_Toc14915"/>
      <w:bookmarkStart w:id="19" w:name="_Toc11047"/>
      <w:bookmarkStart w:id="20" w:name="_Toc10388"/>
      <w:bookmarkStart w:id="21" w:name="_Toc515647818"/>
      <w:bookmarkStart w:id="22" w:name="_Toc1881"/>
      <w:bookmarkStart w:id="23" w:name="_Toc20897"/>
      <w:bookmarkStart w:id="24" w:name="_Toc28445"/>
      <w:bookmarkStart w:id="25" w:name="_Toc515647809"/>
      <w:bookmarkStart w:id="26" w:name="_Toc31238"/>
      <w:r>
        <w:rPr>
          <w:rFonts w:hint="eastAsia" w:ascii="仿宋" w:hAnsi="仿宋" w:eastAsia="仿宋" w:cs="仿宋"/>
          <w:b/>
          <w:sz w:val="24"/>
          <w:highlight w:val="none"/>
        </w:rPr>
        <w:t>目  录</w:t>
      </w:r>
    </w:p>
    <w:p w14:paraId="332BE9C9">
      <w:pPr>
        <w:spacing w:line="340" w:lineRule="exact"/>
        <w:ind w:left="1079" w:leftChars="257" w:hanging="540"/>
        <w:jc w:val="center"/>
        <w:rPr>
          <w:rFonts w:ascii="仿宋" w:hAnsi="仿宋" w:eastAsia="仿宋" w:cs="仿宋"/>
          <w:b/>
          <w:sz w:val="24"/>
          <w:highlight w:val="none"/>
        </w:rPr>
      </w:pPr>
    </w:p>
    <w:p w14:paraId="2BEA6BC4">
      <w:pPr>
        <w:pStyle w:val="19"/>
        <w:tabs>
          <w:tab w:val="right" w:leader="dot" w:pos="8426"/>
        </w:tabs>
      </w:pPr>
      <w:r>
        <w:rPr>
          <w:rFonts w:hint="eastAsia" w:ascii="仿宋" w:hAnsi="仿宋" w:eastAsia="仿宋" w:cs="仿宋"/>
          <w:kern w:val="0"/>
          <w:sz w:val="24"/>
          <w:highlight w:val="none"/>
        </w:rPr>
        <w:fldChar w:fldCharType="begin"/>
      </w:r>
      <w:r>
        <w:rPr>
          <w:rFonts w:hint="eastAsia" w:ascii="仿宋" w:hAnsi="仿宋" w:eastAsia="仿宋" w:cs="仿宋"/>
          <w:kern w:val="0"/>
          <w:sz w:val="24"/>
          <w:highlight w:val="none"/>
        </w:rPr>
        <w:instrText xml:space="preserve"> TOC \o "1-3" \h \z \u </w:instrText>
      </w:r>
      <w:r>
        <w:rPr>
          <w:rFonts w:hint="eastAsia" w:ascii="仿宋" w:hAnsi="仿宋" w:eastAsia="仿宋" w:cs="仿宋"/>
          <w:kern w:val="0"/>
          <w:sz w:val="24"/>
          <w:highlight w:val="none"/>
        </w:rPr>
        <w:fldChar w:fldCharType="separate"/>
      </w:r>
      <w:r>
        <w:rPr>
          <w:rFonts w:hint="eastAsia" w:ascii="仿宋" w:hAnsi="仿宋" w:eastAsia="仿宋" w:cs="仿宋"/>
          <w:kern w:val="0"/>
          <w:highlight w:val="none"/>
        </w:rPr>
        <w:fldChar w:fldCharType="begin"/>
      </w:r>
      <w:r>
        <w:rPr>
          <w:rFonts w:hint="eastAsia" w:ascii="仿宋" w:hAnsi="仿宋" w:eastAsia="仿宋" w:cs="仿宋"/>
          <w:kern w:val="0"/>
          <w:highlight w:val="none"/>
        </w:rPr>
        <w:instrText xml:space="preserve"> HYPERLINK \l _Toc27510 </w:instrText>
      </w:r>
      <w:r>
        <w:rPr>
          <w:rFonts w:hint="eastAsia" w:ascii="仿宋" w:hAnsi="仿宋" w:eastAsia="仿宋" w:cs="仿宋"/>
          <w:kern w:val="0"/>
          <w:highlight w:val="none"/>
        </w:rPr>
        <w:fldChar w:fldCharType="separate"/>
      </w:r>
      <w:r>
        <w:rPr>
          <w:rFonts w:hint="eastAsia" w:ascii="仿宋" w:hAnsi="仿宋" w:eastAsia="仿宋" w:cs="仿宋"/>
          <w:szCs w:val="24"/>
          <w:highlight w:val="none"/>
        </w:rPr>
        <w:t>一 总  则</w:t>
      </w:r>
      <w:r>
        <w:tab/>
      </w:r>
      <w:r>
        <w:fldChar w:fldCharType="begin"/>
      </w:r>
      <w:r>
        <w:instrText xml:space="preserve"> PAGEREF _Toc27510 \h </w:instrText>
      </w:r>
      <w:r>
        <w:fldChar w:fldCharType="separate"/>
      </w:r>
      <w:r>
        <w:t>4</w:t>
      </w:r>
      <w:r>
        <w:fldChar w:fldCharType="end"/>
      </w:r>
      <w:r>
        <w:rPr>
          <w:rFonts w:hint="eastAsia" w:ascii="仿宋" w:hAnsi="仿宋" w:eastAsia="仿宋" w:cs="仿宋"/>
          <w:kern w:val="0"/>
          <w:highlight w:val="none"/>
        </w:rPr>
        <w:fldChar w:fldCharType="end"/>
      </w:r>
    </w:p>
    <w:p w14:paraId="53172FC1">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_Toc20699 </w:instrText>
      </w:r>
      <w:r>
        <w:rPr>
          <w:rFonts w:hint="eastAsia" w:ascii="仿宋" w:hAnsi="仿宋" w:eastAsia="仿宋" w:cs="仿宋"/>
          <w:highlight w:val="none"/>
        </w:rPr>
        <w:fldChar w:fldCharType="separate"/>
      </w:r>
      <w:r>
        <w:rPr>
          <w:rFonts w:hint="eastAsia" w:ascii="仿宋" w:hAnsi="仿宋" w:eastAsia="仿宋" w:cs="仿宋"/>
          <w:szCs w:val="24"/>
          <w:highlight w:val="none"/>
        </w:rPr>
        <w:t>1.采购人、采购代理机构及供应商</w:t>
      </w:r>
      <w:r>
        <w:tab/>
      </w:r>
      <w:r>
        <w:fldChar w:fldCharType="begin"/>
      </w:r>
      <w:r>
        <w:instrText xml:space="preserve"> PAGEREF _Toc20699 \h </w:instrText>
      </w:r>
      <w:r>
        <w:fldChar w:fldCharType="separate"/>
      </w:r>
      <w:r>
        <w:t>4</w:t>
      </w:r>
      <w:r>
        <w:fldChar w:fldCharType="end"/>
      </w:r>
      <w:r>
        <w:rPr>
          <w:rFonts w:hint="eastAsia" w:ascii="仿宋" w:hAnsi="仿宋" w:eastAsia="仿宋" w:cs="仿宋"/>
          <w:highlight w:val="none"/>
        </w:rPr>
        <w:fldChar w:fldCharType="end"/>
      </w:r>
    </w:p>
    <w:p w14:paraId="4E1EAE41">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_Toc7165 </w:instrText>
      </w:r>
      <w:r>
        <w:rPr>
          <w:rFonts w:hint="eastAsia" w:ascii="仿宋" w:hAnsi="仿宋" w:eastAsia="仿宋" w:cs="仿宋"/>
          <w:highlight w:val="none"/>
        </w:rPr>
        <w:fldChar w:fldCharType="separate"/>
      </w:r>
      <w:r>
        <w:rPr>
          <w:rFonts w:hint="eastAsia" w:ascii="仿宋" w:hAnsi="仿宋" w:eastAsia="仿宋" w:cs="仿宋"/>
          <w:szCs w:val="24"/>
          <w:highlight w:val="none"/>
        </w:rPr>
        <w:t>2.资金来源</w:t>
      </w:r>
      <w:r>
        <w:tab/>
      </w:r>
      <w:r>
        <w:fldChar w:fldCharType="begin"/>
      </w:r>
      <w:r>
        <w:instrText xml:space="preserve"> PAGEREF _Toc7165 \h </w:instrText>
      </w:r>
      <w:r>
        <w:fldChar w:fldCharType="separate"/>
      </w:r>
      <w:r>
        <w:t>5</w:t>
      </w:r>
      <w:r>
        <w:fldChar w:fldCharType="end"/>
      </w:r>
      <w:r>
        <w:rPr>
          <w:rFonts w:hint="eastAsia" w:ascii="仿宋" w:hAnsi="仿宋" w:eastAsia="仿宋" w:cs="仿宋"/>
          <w:highlight w:val="none"/>
        </w:rPr>
        <w:fldChar w:fldCharType="end"/>
      </w:r>
    </w:p>
    <w:p w14:paraId="0882CAA1">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_Toc3545 </w:instrText>
      </w:r>
      <w:r>
        <w:rPr>
          <w:rFonts w:hint="eastAsia" w:ascii="仿宋" w:hAnsi="仿宋" w:eastAsia="仿宋" w:cs="仿宋"/>
          <w:highlight w:val="none"/>
        </w:rPr>
        <w:fldChar w:fldCharType="separate"/>
      </w:r>
      <w:r>
        <w:rPr>
          <w:rFonts w:hint="eastAsia" w:ascii="仿宋" w:hAnsi="仿宋" w:eastAsia="仿宋" w:cs="仿宋"/>
          <w:szCs w:val="24"/>
          <w:highlight w:val="none"/>
        </w:rPr>
        <w:t>3.投标费用</w:t>
      </w:r>
      <w:r>
        <w:tab/>
      </w:r>
      <w:r>
        <w:fldChar w:fldCharType="begin"/>
      </w:r>
      <w:r>
        <w:instrText xml:space="preserve"> PAGEREF _Toc3545 \h </w:instrText>
      </w:r>
      <w:r>
        <w:fldChar w:fldCharType="separate"/>
      </w:r>
      <w:r>
        <w:t>5</w:t>
      </w:r>
      <w:r>
        <w:fldChar w:fldCharType="end"/>
      </w:r>
      <w:r>
        <w:rPr>
          <w:rFonts w:hint="eastAsia" w:ascii="仿宋" w:hAnsi="仿宋" w:eastAsia="仿宋" w:cs="仿宋"/>
          <w:highlight w:val="none"/>
        </w:rPr>
        <w:fldChar w:fldCharType="end"/>
      </w:r>
    </w:p>
    <w:p w14:paraId="50E96065">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_Toc12017 </w:instrText>
      </w:r>
      <w:r>
        <w:rPr>
          <w:rFonts w:hint="eastAsia" w:ascii="仿宋" w:hAnsi="仿宋" w:eastAsia="仿宋" w:cs="仿宋"/>
          <w:highlight w:val="none"/>
        </w:rPr>
        <w:fldChar w:fldCharType="separate"/>
      </w:r>
      <w:r>
        <w:rPr>
          <w:rFonts w:hint="eastAsia" w:ascii="仿宋" w:hAnsi="仿宋" w:eastAsia="仿宋" w:cs="仿宋"/>
          <w:szCs w:val="24"/>
          <w:highlight w:val="none"/>
        </w:rPr>
        <w:t>4.适用法律</w:t>
      </w:r>
      <w:r>
        <w:tab/>
      </w:r>
      <w:r>
        <w:fldChar w:fldCharType="begin"/>
      </w:r>
      <w:r>
        <w:instrText xml:space="preserve"> PAGEREF _Toc12017 \h </w:instrText>
      </w:r>
      <w:r>
        <w:fldChar w:fldCharType="separate"/>
      </w:r>
      <w:r>
        <w:t>5</w:t>
      </w:r>
      <w:r>
        <w:fldChar w:fldCharType="end"/>
      </w:r>
      <w:r>
        <w:rPr>
          <w:rFonts w:hint="eastAsia" w:ascii="仿宋" w:hAnsi="仿宋" w:eastAsia="仿宋" w:cs="仿宋"/>
          <w:highlight w:val="none"/>
        </w:rPr>
        <w:fldChar w:fldCharType="end"/>
      </w:r>
    </w:p>
    <w:p w14:paraId="6B5153ED">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_Toc22101 </w:instrText>
      </w:r>
      <w:r>
        <w:rPr>
          <w:rFonts w:hint="eastAsia" w:ascii="仿宋" w:hAnsi="仿宋" w:eastAsia="仿宋" w:cs="仿宋"/>
          <w:highlight w:val="none"/>
        </w:rPr>
        <w:fldChar w:fldCharType="separate"/>
      </w:r>
      <w:r>
        <w:rPr>
          <w:rFonts w:hint="eastAsia" w:ascii="仿宋" w:hAnsi="仿宋" w:eastAsia="仿宋" w:cs="仿宋"/>
          <w:szCs w:val="24"/>
          <w:highlight w:val="none"/>
        </w:rPr>
        <w:t>二   磋商文件</w:t>
      </w:r>
      <w:r>
        <w:tab/>
      </w:r>
      <w:r>
        <w:fldChar w:fldCharType="begin"/>
      </w:r>
      <w:r>
        <w:instrText xml:space="preserve"> PAGEREF _Toc22101 \h </w:instrText>
      </w:r>
      <w:r>
        <w:fldChar w:fldCharType="separate"/>
      </w:r>
      <w:r>
        <w:t>5</w:t>
      </w:r>
      <w:r>
        <w:fldChar w:fldCharType="end"/>
      </w:r>
      <w:r>
        <w:rPr>
          <w:rFonts w:hint="eastAsia" w:ascii="仿宋" w:hAnsi="仿宋" w:eastAsia="仿宋" w:cs="仿宋"/>
          <w:highlight w:val="none"/>
        </w:rPr>
        <w:fldChar w:fldCharType="end"/>
      </w:r>
    </w:p>
    <w:p w14:paraId="6B4F02A4">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_Toc13331 </w:instrText>
      </w:r>
      <w:r>
        <w:rPr>
          <w:rFonts w:hint="eastAsia" w:ascii="仿宋" w:hAnsi="仿宋" w:eastAsia="仿宋" w:cs="仿宋"/>
          <w:highlight w:val="none"/>
        </w:rPr>
        <w:fldChar w:fldCharType="separate"/>
      </w:r>
      <w:r>
        <w:rPr>
          <w:rFonts w:hint="eastAsia" w:ascii="仿宋" w:hAnsi="仿宋" w:eastAsia="仿宋" w:cs="仿宋"/>
          <w:szCs w:val="24"/>
          <w:highlight w:val="none"/>
        </w:rPr>
        <w:t>5.磋商文件构成</w:t>
      </w:r>
      <w:r>
        <w:tab/>
      </w:r>
      <w:r>
        <w:fldChar w:fldCharType="begin"/>
      </w:r>
      <w:r>
        <w:instrText xml:space="preserve"> PAGEREF _Toc13331 \h </w:instrText>
      </w:r>
      <w:r>
        <w:fldChar w:fldCharType="separate"/>
      </w:r>
      <w:r>
        <w:t>5</w:t>
      </w:r>
      <w:r>
        <w:fldChar w:fldCharType="end"/>
      </w:r>
      <w:r>
        <w:rPr>
          <w:rFonts w:hint="eastAsia" w:ascii="仿宋" w:hAnsi="仿宋" w:eastAsia="仿宋" w:cs="仿宋"/>
          <w:highlight w:val="none"/>
        </w:rPr>
        <w:fldChar w:fldCharType="end"/>
      </w:r>
    </w:p>
    <w:p w14:paraId="207E1818">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_Toc840 </w:instrText>
      </w:r>
      <w:r>
        <w:rPr>
          <w:rFonts w:hint="eastAsia" w:ascii="仿宋" w:hAnsi="仿宋" w:eastAsia="仿宋" w:cs="仿宋"/>
          <w:highlight w:val="none"/>
        </w:rPr>
        <w:fldChar w:fldCharType="separate"/>
      </w:r>
      <w:r>
        <w:rPr>
          <w:rFonts w:hint="eastAsia" w:ascii="仿宋" w:hAnsi="仿宋" w:eastAsia="仿宋" w:cs="仿宋"/>
          <w:szCs w:val="24"/>
          <w:highlight w:val="none"/>
        </w:rPr>
        <w:t>6.磋商文件的澄清与修改</w:t>
      </w:r>
      <w:r>
        <w:tab/>
      </w:r>
      <w:r>
        <w:fldChar w:fldCharType="begin"/>
      </w:r>
      <w:r>
        <w:instrText xml:space="preserve"> PAGEREF _Toc840 \h </w:instrText>
      </w:r>
      <w:r>
        <w:fldChar w:fldCharType="separate"/>
      </w:r>
      <w:r>
        <w:t>5</w:t>
      </w:r>
      <w:r>
        <w:fldChar w:fldCharType="end"/>
      </w:r>
      <w:r>
        <w:rPr>
          <w:rFonts w:hint="eastAsia" w:ascii="仿宋" w:hAnsi="仿宋" w:eastAsia="仿宋" w:cs="仿宋"/>
          <w:highlight w:val="none"/>
        </w:rPr>
        <w:fldChar w:fldCharType="end"/>
      </w:r>
    </w:p>
    <w:p w14:paraId="64561259">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_Toc28622 </w:instrText>
      </w:r>
      <w:r>
        <w:rPr>
          <w:rFonts w:hint="eastAsia" w:ascii="仿宋" w:hAnsi="仿宋" w:eastAsia="仿宋" w:cs="仿宋"/>
          <w:highlight w:val="none"/>
        </w:rPr>
        <w:fldChar w:fldCharType="separate"/>
      </w:r>
      <w:r>
        <w:rPr>
          <w:rFonts w:hint="eastAsia" w:ascii="仿宋" w:hAnsi="仿宋" w:eastAsia="仿宋" w:cs="仿宋"/>
          <w:szCs w:val="24"/>
          <w:highlight w:val="none"/>
        </w:rPr>
        <w:t>7.投标截止时间的顺延</w:t>
      </w:r>
      <w:r>
        <w:tab/>
      </w:r>
      <w:r>
        <w:fldChar w:fldCharType="begin"/>
      </w:r>
      <w:r>
        <w:instrText xml:space="preserve"> PAGEREF _Toc28622 \h </w:instrText>
      </w:r>
      <w:r>
        <w:fldChar w:fldCharType="separate"/>
      </w:r>
      <w:r>
        <w:t>6</w:t>
      </w:r>
      <w:r>
        <w:fldChar w:fldCharType="end"/>
      </w:r>
      <w:r>
        <w:rPr>
          <w:rFonts w:hint="eastAsia" w:ascii="仿宋" w:hAnsi="仿宋" w:eastAsia="仿宋" w:cs="仿宋"/>
          <w:highlight w:val="none"/>
        </w:rPr>
        <w:fldChar w:fldCharType="end"/>
      </w:r>
    </w:p>
    <w:p w14:paraId="77B61566">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_Toc8570 </w:instrText>
      </w:r>
      <w:r>
        <w:rPr>
          <w:rFonts w:hint="eastAsia" w:ascii="仿宋" w:hAnsi="仿宋" w:eastAsia="仿宋" w:cs="仿宋"/>
          <w:highlight w:val="none"/>
        </w:rPr>
        <w:fldChar w:fldCharType="separate"/>
      </w:r>
      <w:r>
        <w:rPr>
          <w:rFonts w:hint="eastAsia" w:ascii="仿宋" w:hAnsi="仿宋" w:eastAsia="仿宋" w:cs="仿宋"/>
          <w:szCs w:val="24"/>
          <w:highlight w:val="none"/>
        </w:rPr>
        <w:t>三   响应文件的编制</w:t>
      </w:r>
      <w:r>
        <w:tab/>
      </w:r>
      <w:r>
        <w:fldChar w:fldCharType="begin"/>
      </w:r>
      <w:r>
        <w:instrText xml:space="preserve"> PAGEREF _Toc8570 \h </w:instrText>
      </w:r>
      <w:r>
        <w:fldChar w:fldCharType="separate"/>
      </w:r>
      <w:r>
        <w:t>6</w:t>
      </w:r>
      <w:r>
        <w:fldChar w:fldCharType="end"/>
      </w:r>
      <w:r>
        <w:rPr>
          <w:rFonts w:hint="eastAsia" w:ascii="仿宋" w:hAnsi="仿宋" w:eastAsia="仿宋" w:cs="仿宋"/>
          <w:highlight w:val="none"/>
        </w:rPr>
        <w:fldChar w:fldCharType="end"/>
      </w:r>
    </w:p>
    <w:p w14:paraId="798F7E42">
      <w:pPr>
        <w:pStyle w:val="11"/>
        <w:tabs>
          <w:tab w:val="right" w:pos="3200"/>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_Toc21930 </w:instrText>
      </w:r>
      <w:r>
        <w:rPr>
          <w:rFonts w:hint="eastAsia" w:ascii="仿宋" w:hAnsi="仿宋" w:eastAsia="仿宋" w:cs="仿宋"/>
          <w:highlight w:val="none"/>
        </w:rPr>
        <w:fldChar w:fldCharType="separate"/>
      </w:r>
      <w:r>
        <w:rPr>
          <w:rFonts w:hint="eastAsia" w:ascii="仿宋" w:hAnsi="仿宋" w:eastAsia="仿宋" w:cs="仿宋"/>
          <w:szCs w:val="24"/>
          <w:highlight w:val="none"/>
        </w:rPr>
        <w:t>8.</w:t>
      </w:r>
      <w:r>
        <w:rPr>
          <w:rFonts w:hint="eastAsia" w:ascii="仿宋" w:hAnsi="仿宋" w:eastAsia="仿宋" w:cs="仿宋"/>
          <w:szCs w:val="24"/>
          <w:highlight w:val="none"/>
        </w:rPr>
        <w:tab/>
      </w:r>
      <w:r>
        <w:rPr>
          <w:rFonts w:hint="eastAsia" w:ascii="仿宋" w:hAnsi="仿宋" w:eastAsia="仿宋" w:cs="仿宋"/>
          <w:szCs w:val="24"/>
          <w:highlight w:val="none"/>
        </w:rPr>
        <w:t>投标范围及响应文件中标准和计量单位的使用</w:t>
      </w:r>
      <w:r>
        <w:tab/>
      </w:r>
      <w:r>
        <w:fldChar w:fldCharType="begin"/>
      </w:r>
      <w:r>
        <w:instrText xml:space="preserve"> PAGEREF _Toc21930 \h </w:instrText>
      </w:r>
      <w:r>
        <w:fldChar w:fldCharType="separate"/>
      </w:r>
      <w:r>
        <w:t>6</w:t>
      </w:r>
      <w:r>
        <w:fldChar w:fldCharType="end"/>
      </w:r>
      <w:r>
        <w:rPr>
          <w:rFonts w:hint="eastAsia" w:ascii="仿宋" w:hAnsi="仿宋" w:eastAsia="仿宋" w:cs="仿宋"/>
          <w:highlight w:val="none"/>
        </w:rPr>
        <w:fldChar w:fldCharType="end"/>
      </w:r>
    </w:p>
    <w:p w14:paraId="11271A21">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_Toc4273 </w:instrText>
      </w:r>
      <w:r>
        <w:rPr>
          <w:rFonts w:hint="eastAsia" w:ascii="仿宋" w:hAnsi="仿宋" w:eastAsia="仿宋" w:cs="仿宋"/>
          <w:highlight w:val="none"/>
        </w:rPr>
        <w:fldChar w:fldCharType="separate"/>
      </w:r>
      <w:r>
        <w:rPr>
          <w:rFonts w:hint="eastAsia" w:ascii="仿宋" w:hAnsi="仿宋" w:eastAsia="仿宋" w:cs="仿宋"/>
          <w:szCs w:val="24"/>
          <w:highlight w:val="none"/>
        </w:rPr>
        <w:t>9.响应文件构成</w:t>
      </w:r>
      <w:r>
        <w:tab/>
      </w:r>
      <w:r>
        <w:fldChar w:fldCharType="begin"/>
      </w:r>
      <w:r>
        <w:instrText xml:space="preserve"> PAGEREF _Toc4273 \h </w:instrText>
      </w:r>
      <w:r>
        <w:fldChar w:fldCharType="separate"/>
      </w:r>
      <w:r>
        <w:t>6</w:t>
      </w:r>
      <w:r>
        <w:fldChar w:fldCharType="end"/>
      </w:r>
      <w:r>
        <w:rPr>
          <w:rFonts w:hint="eastAsia" w:ascii="仿宋" w:hAnsi="仿宋" w:eastAsia="仿宋" w:cs="仿宋"/>
          <w:highlight w:val="none"/>
        </w:rPr>
        <w:fldChar w:fldCharType="end"/>
      </w:r>
    </w:p>
    <w:p w14:paraId="477D6902">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_Toc32583 </w:instrText>
      </w:r>
      <w:r>
        <w:rPr>
          <w:rFonts w:hint="eastAsia" w:ascii="仿宋" w:hAnsi="仿宋" w:eastAsia="仿宋" w:cs="仿宋"/>
          <w:highlight w:val="none"/>
        </w:rPr>
        <w:fldChar w:fldCharType="separate"/>
      </w:r>
      <w:r>
        <w:rPr>
          <w:rFonts w:hint="eastAsia" w:ascii="仿宋" w:hAnsi="仿宋" w:eastAsia="仿宋" w:cs="仿宋"/>
          <w:szCs w:val="24"/>
          <w:highlight w:val="none"/>
        </w:rPr>
        <w:t>11.磋商报价</w:t>
      </w:r>
      <w:r>
        <w:tab/>
      </w:r>
      <w:r>
        <w:fldChar w:fldCharType="begin"/>
      </w:r>
      <w:r>
        <w:instrText xml:space="preserve"> PAGEREF _Toc32583 \h </w:instrText>
      </w:r>
      <w:r>
        <w:fldChar w:fldCharType="separate"/>
      </w:r>
      <w:r>
        <w:t>6</w:t>
      </w:r>
      <w:r>
        <w:fldChar w:fldCharType="end"/>
      </w:r>
      <w:r>
        <w:rPr>
          <w:rFonts w:hint="eastAsia" w:ascii="仿宋" w:hAnsi="仿宋" w:eastAsia="仿宋" w:cs="仿宋"/>
          <w:highlight w:val="none"/>
        </w:rPr>
        <w:fldChar w:fldCharType="end"/>
      </w:r>
    </w:p>
    <w:p w14:paraId="154DFD18">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_Toc8499 </w:instrText>
      </w:r>
      <w:r>
        <w:rPr>
          <w:rFonts w:hint="eastAsia" w:ascii="仿宋" w:hAnsi="仿宋" w:eastAsia="仿宋" w:cs="仿宋"/>
          <w:highlight w:val="none"/>
        </w:rPr>
        <w:fldChar w:fldCharType="separate"/>
      </w:r>
      <w:r>
        <w:rPr>
          <w:rFonts w:hint="eastAsia" w:ascii="仿宋" w:hAnsi="仿宋" w:eastAsia="仿宋" w:cs="仿宋"/>
          <w:szCs w:val="24"/>
          <w:highlight w:val="none"/>
        </w:rPr>
        <w:t>12.磋商保证金</w:t>
      </w:r>
      <w:r>
        <w:tab/>
      </w:r>
      <w:r>
        <w:fldChar w:fldCharType="begin"/>
      </w:r>
      <w:r>
        <w:instrText xml:space="preserve"> PAGEREF _Toc8499 \h </w:instrText>
      </w:r>
      <w:r>
        <w:fldChar w:fldCharType="separate"/>
      </w:r>
      <w:r>
        <w:t>7</w:t>
      </w:r>
      <w:r>
        <w:fldChar w:fldCharType="end"/>
      </w:r>
      <w:r>
        <w:rPr>
          <w:rFonts w:hint="eastAsia" w:ascii="仿宋" w:hAnsi="仿宋" w:eastAsia="仿宋" w:cs="仿宋"/>
          <w:highlight w:val="none"/>
        </w:rPr>
        <w:fldChar w:fldCharType="end"/>
      </w:r>
    </w:p>
    <w:p w14:paraId="1EB1BBC3">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_Toc19541 </w:instrText>
      </w:r>
      <w:r>
        <w:rPr>
          <w:rFonts w:hint="eastAsia" w:ascii="仿宋" w:hAnsi="仿宋" w:eastAsia="仿宋" w:cs="仿宋"/>
          <w:highlight w:val="none"/>
        </w:rPr>
        <w:fldChar w:fldCharType="separate"/>
      </w:r>
      <w:r>
        <w:rPr>
          <w:rFonts w:hint="eastAsia" w:ascii="仿宋" w:hAnsi="仿宋" w:eastAsia="仿宋" w:cs="仿宋"/>
          <w:szCs w:val="24"/>
          <w:highlight w:val="none"/>
        </w:rPr>
        <w:t>13.磋商有效期</w:t>
      </w:r>
      <w:r>
        <w:tab/>
      </w:r>
      <w:r>
        <w:fldChar w:fldCharType="begin"/>
      </w:r>
      <w:r>
        <w:instrText xml:space="preserve"> PAGEREF _Toc19541 \h </w:instrText>
      </w:r>
      <w:r>
        <w:fldChar w:fldCharType="separate"/>
      </w:r>
      <w:r>
        <w:t>8</w:t>
      </w:r>
      <w:r>
        <w:fldChar w:fldCharType="end"/>
      </w:r>
      <w:r>
        <w:rPr>
          <w:rFonts w:hint="eastAsia" w:ascii="仿宋" w:hAnsi="仿宋" w:eastAsia="仿宋" w:cs="仿宋"/>
          <w:highlight w:val="none"/>
        </w:rPr>
        <w:fldChar w:fldCharType="end"/>
      </w:r>
    </w:p>
    <w:p w14:paraId="51C236C4">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_Toc19053 </w:instrText>
      </w:r>
      <w:r>
        <w:rPr>
          <w:rFonts w:hint="eastAsia" w:ascii="仿宋" w:hAnsi="仿宋" w:eastAsia="仿宋" w:cs="仿宋"/>
          <w:highlight w:val="none"/>
        </w:rPr>
        <w:fldChar w:fldCharType="separate"/>
      </w:r>
      <w:r>
        <w:rPr>
          <w:rFonts w:hint="eastAsia" w:ascii="仿宋" w:hAnsi="仿宋" w:eastAsia="仿宋" w:cs="仿宋"/>
          <w:szCs w:val="24"/>
          <w:highlight w:val="none"/>
        </w:rPr>
        <w:t>14.响应文件的签署及规定</w:t>
      </w:r>
      <w:r>
        <w:tab/>
      </w:r>
      <w:r>
        <w:fldChar w:fldCharType="begin"/>
      </w:r>
      <w:r>
        <w:instrText xml:space="preserve"> PAGEREF _Toc19053 \h </w:instrText>
      </w:r>
      <w:r>
        <w:fldChar w:fldCharType="separate"/>
      </w:r>
      <w:r>
        <w:t>8</w:t>
      </w:r>
      <w:r>
        <w:fldChar w:fldCharType="end"/>
      </w:r>
      <w:r>
        <w:rPr>
          <w:rFonts w:hint="eastAsia" w:ascii="仿宋" w:hAnsi="仿宋" w:eastAsia="仿宋" w:cs="仿宋"/>
          <w:highlight w:val="none"/>
        </w:rPr>
        <w:fldChar w:fldCharType="end"/>
      </w:r>
    </w:p>
    <w:p w14:paraId="568AECBA">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_Toc31521 </w:instrText>
      </w:r>
      <w:r>
        <w:rPr>
          <w:rFonts w:hint="eastAsia" w:ascii="仿宋" w:hAnsi="仿宋" w:eastAsia="仿宋" w:cs="仿宋"/>
          <w:highlight w:val="none"/>
        </w:rPr>
        <w:fldChar w:fldCharType="separate"/>
      </w:r>
      <w:r>
        <w:rPr>
          <w:rFonts w:hint="eastAsia" w:ascii="仿宋" w:hAnsi="仿宋" w:eastAsia="仿宋" w:cs="仿宋"/>
          <w:szCs w:val="24"/>
          <w:highlight w:val="none"/>
        </w:rPr>
        <w:t>四 响应文件的递交</w:t>
      </w:r>
      <w:r>
        <w:tab/>
      </w:r>
      <w:r>
        <w:fldChar w:fldCharType="begin"/>
      </w:r>
      <w:r>
        <w:instrText xml:space="preserve"> PAGEREF _Toc31521 \h </w:instrText>
      </w:r>
      <w:r>
        <w:fldChar w:fldCharType="separate"/>
      </w:r>
      <w:r>
        <w:t>8</w:t>
      </w:r>
      <w:r>
        <w:fldChar w:fldCharType="end"/>
      </w:r>
      <w:r>
        <w:rPr>
          <w:rFonts w:hint="eastAsia" w:ascii="仿宋" w:hAnsi="仿宋" w:eastAsia="仿宋" w:cs="仿宋"/>
          <w:highlight w:val="none"/>
        </w:rPr>
        <w:fldChar w:fldCharType="end"/>
      </w:r>
    </w:p>
    <w:p w14:paraId="086B1207">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_Toc11197 </w:instrText>
      </w:r>
      <w:r>
        <w:rPr>
          <w:rFonts w:hint="eastAsia" w:ascii="仿宋" w:hAnsi="仿宋" w:eastAsia="仿宋" w:cs="仿宋"/>
          <w:highlight w:val="none"/>
        </w:rPr>
        <w:fldChar w:fldCharType="separate"/>
      </w:r>
      <w:r>
        <w:rPr>
          <w:rFonts w:hint="eastAsia" w:ascii="仿宋" w:hAnsi="仿宋" w:eastAsia="仿宋" w:cs="仿宋"/>
          <w:szCs w:val="24"/>
          <w:highlight w:val="none"/>
        </w:rPr>
        <w:t>15.响应文件的密封和标记</w:t>
      </w:r>
      <w:r>
        <w:tab/>
      </w:r>
      <w:r>
        <w:fldChar w:fldCharType="begin"/>
      </w:r>
      <w:r>
        <w:instrText xml:space="preserve"> PAGEREF _Toc11197 \h </w:instrText>
      </w:r>
      <w:r>
        <w:fldChar w:fldCharType="separate"/>
      </w:r>
      <w:r>
        <w:t>8</w:t>
      </w:r>
      <w:r>
        <w:fldChar w:fldCharType="end"/>
      </w:r>
      <w:r>
        <w:rPr>
          <w:rFonts w:hint="eastAsia" w:ascii="仿宋" w:hAnsi="仿宋" w:eastAsia="仿宋" w:cs="仿宋"/>
          <w:highlight w:val="none"/>
        </w:rPr>
        <w:fldChar w:fldCharType="end"/>
      </w:r>
    </w:p>
    <w:p w14:paraId="43B920EE">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_Toc18094 </w:instrText>
      </w:r>
      <w:r>
        <w:rPr>
          <w:rFonts w:hint="eastAsia" w:ascii="仿宋" w:hAnsi="仿宋" w:eastAsia="仿宋" w:cs="仿宋"/>
          <w:highlight w:val="none"/>
        </w:rPr>
        <w:fldChar w:fldCharType="separate"/>
      </w:r>
      <w:r>
        <w:rPr>
          <w:rFonts w:hint="eastAsia" w:ascii="仿宋" w:hAnsi="仿宋" w:eastAsia="仿宋" w:cs="仿宋"/>
          <w:szCs w:val="24"/>
          <w:highlight w:val="none"/>
        </w:rPr>
        <w:t>16.磋商截止</w:t>
      </w:r>
      <w:r>
        <w:tab/>
      </w:r>
      <w:r>
        <w:fldChar w:fldCharType="begin"/>
      </w:r>
      <w:r>
        <w:instrText xml:space="preserve"> PAGEREF _Toc18094 \h </w:instrText>
      </w:r>
      <w:r>
        <w:fldChar w:fldCharType="separate"/>
      </w:r>
      <w:r>
        <w:t>8</w:t>
      </w:r>
      <w:r>
        <w:fldChar w:fldCharType="end"/>
      </w:r>
      <w:r>
        <w:rPr>
          <w:rFonts w:hint="eastAsia" w:ascii="仿宋" w:hAnsi="仿宋" w:eastAsia="仿宋" w:cs="仿宋"/>
          <w:highlight w:val="none"/>
        </w:rPr>
        <w:fldChar w:fldCharType="end"/>
      </w:r>
    </w:p>
    <w:p w14:paraId="41E23432">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_Toc20664 </w:instrText>
      </w:r>
      <w:r>
        <w:rPr>
          <w:rFonts w:hint="eastAsia" w:ascii="仿宋" w:hAnsi="仿宋" w:eastAsia="仿宋" w:cs="仿宋"/>
          <w:highlight w:val="none"/>
        </w:rPr>
        <w:fldChar w:fldCharType="separate"/>
      </w:r>
      <w:r>
        <w:rPr>
          <w:rFonts w:hint="eastAsia" w:ascii="仿宋" w:hAnsi="仿宋" w:eastAsia="仿宋" w:cs="仿宋"/>
          <w:szCs w:val="24"/>
          <w:highlight w:val="none"/>
        </w:rPr>
        <w:t>17.响应文件的接收、修改与撤回</w:t>
      </w:r>
      <w:r>
        <w:tab/>
      </w:r>
      <w:r>
        <w:fldChar w:fldCharType="begin"/>
      </w:r>
      <w:r>
        <w:instrText xml:space="preserve"> PAGEREF _Toc20664 \h </w:instrText>
      </w:r>
      <w:r>
        <w:fldChar w:fldCharType="separate"/>
      </w:r>
      <w:r>
        <w:t>9</w:t>
      </w:r>
      <w:r>
        <w:fldChar w:fldCharType="end"/>
      </w:r>
      <w:r>
        <w:rPr>
          <w:rFonts w:hint="eastAsia" w:ascii="仿宋" w:hAnsi="仿宋" w:eastAsia="仿宋" w:cs="仿宋"/>
          <w:highlight w:val="none"/>
        </w:rPr>
        <w:fldChar w:fldCharType="end"/>
      </w:r>
    </w:p>
    <w:p w14:paraId="652A5AA3">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_Toc15990 </w:instrText>
      </w:r>
      <w:r>
        <w:rPr>
          <w:rFonts w:hint="eastAsia" w:ascii="仿宋" w:hAnsi="仿宋" w:eastAsia="仿宋" w:cs="仿宋"/>
          <w:highlight w:val="none"/>
        </w:rPr>
        <w:fldChar w:fldCharType="separate"/>
      </w:r>
      <w:r>
        <w:rPr>
          <w:rFonts w:hint="eastAsia" w:ascii="仿宋" w:hAnsi="仿宋" w:eastAsia="仿宋" w:cs="仿宋"/>
          <w:szCs w:val="24"/>
          <w:highlight w:val="none"/>
        </w:rPr>
        <w:t>五 磋商开启及评审</w:t>
      </w:r>
      <w:r>
        <w:tab/>
      </w:r>
      <w:r>
        <w:fldChar w:fldCharType="begin"/>
      </w:r>
      <w:r>
        <w:instrText xml:space="preserve"> PAGEREF _Toc15990 \h </w:instrText>
      </w:r>
      <w:r>
        <w:fldChar w:fldCharType="separate"/>
      </w:r>
      <w:r>
        <w:t>9</w:t>
      </w:r>
      <w:r>
        <w:fldChar w:fldCharType="end"/>
      </w:r>
      <w:r>
        <w:rPr>
          <w:rFonts w:hint="eastAsia" w:ascii="仿宋" w:hAnsi="仿宋" w:eastAsia="仿宋" w:cs="仿宋"/>
          <w:highlight w:val="none"/>
        </w:rPr>
        <w:fldChar w:fldCharType="end"/>
      </w:r>
    </w:p>
    <w:p w14:paraId="43DE240A">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_Toc15450 </w:instrText>
      </w:r>
      <w:r>
        <w:rPr>
          <w:rFonts w:hint="eastAsia" w:ascii="仿宋" w:hAnsi="仿宋" w:eastAsia="仿宋" w:cs="仿宋"/>
          <w:highlight w:val="none"/>
        </w:rPr>
        <w:fldChar w:fldCharType="separate"/>
      </w:r>
      <w:r>
        <w:rPr>
          <w:rFonts w:hint="eastAsia" w:ascii="仿宋" w:hAnsi="仿宋" w:eastAsia="仿宋" w:cs="仿宋"/>
          <w:szCs w:val="24"/>
          <w:highlight w:val="none"/>
        </w:rPr>
        <w:t>18.磋商开启</w:t>
      </w:r>
      <w:r>
        <w:tab/>
      </w:r>
      <w:r>
        <w:fldChar w:fldCharType="begin"/>
      </w:r>
      <w:r>
        <w:instrText xml:space="preserve"> PAGEREF _Toc15450 \h </w:instrText>
      </w:r>
      <w:r>
        <w:fldChar w:fldCharType="separate"/>
      </w:r>
      <w:r>
        <w:t>9</w:t>
      </w:r>
      <w:r>
        <w:fldChar w:fldCharType="end"/>
      </w:r>
      <w:r>
        <w:rPr>
          <w:rFonts w:hint="eastAsia" w:ascii="仿宋" w:hAnsi="仿宋" w:eastAsia="仿宋" w:cs="仿宋"/>
          <w:highlight w:val="none"/>
        </w:rPr>
        <w:fldChar w:fldCharType="end"/>
      </w:r>
    </w:p>
    <w:p w14:paraId="6CAE338D">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_Toc27969 </w:instrText>
      </w:r>
      <w:r>
        <w:rPr>
          <w:rFonts w:hint="eastAsia" w:ascii="仿宋" w:hAnsi="仿宋" w:eastAsia="仿宋" w:cs="仿宋"/>
          <w:highlight w:val="none"/>
        </w:rPr>
        <w:fldChar w:fldCharType="separate"/>
      </w:r>
      <w:r>
        <w:rPr>
          <w:rFonts w:hint="eastAsia" w:ascii="仿宋" w:hAnsi="仿宋" w:eastAsia="仿宋" w:cs="仿宋"/>
          <w:szCs w:val="24"/>
          <w:highlight w:val="none"/>
        </w:rPr>
        <w:t>19.资格审查及组建评审委员会</w:t>
      </w:r>
      <w:r>
        <w:tab/>
      </w:r>
      <w:r>
        <w:fldChar w:fldCharType="begin"/>
      </w:r>
      <w:r>
        <w:instrText xml:space="preserve"> PAGEREF _Toc27969 \h </w:instrText>
      </w:r>
      <w:r>
        <w:fldChar w:fldCharType="separate"/>
      </w:r>
      <w:r>
        <w:t>9</w:t>
      </w:r>
      <w:r>
        <w:fldChar w:fldCharType="end"/>
      </w:r>
      <w:r>
        <w:rPr>
          <w:rFonts w:hint="eastAsia" w:ascii="仿宋" w:hAnsi="仿宋" w:eastAsia="仿宋" w:cs="仿宋"/>
          <w:highlight w:val="none"/>
        </w:rPr>
        <w:fldChar w:fldCharType="end"/>
      </w:r>
    </w:p>
    <w:p w14:paraId="4E1DD378">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_Toc6919 </w:instrText>
      </w:r>
      <w:r>
        <w:rPr>
          <w:rFonts w:hint="eastAsia" w:ascii="仿宋" w:hAnsi="仿宋" w:eastAsia="仿宋" w:cs="仿宋"/>
          <w:highlight w:val="none"/>
        </w:rPr>
        <w:fldChar w:fldCharType="separate"/>
      </w:r>
      <w:r>
        <w:rPr>
          <w:rFonts w:hint="eastAsia" w:ascii="仿宋" w:hAnsi="仿宋" w:eastAsia="仿宋" w:cs="仿宋"/>
          <w:szCs w:val="24"/>
          <w:highlight w:val="none"/>
        </w:rPr>
        <w:t>20.响应文件的符合性审查与澄清</w:t>
      </w:r>
      <w:r>
        <w:tab/>
      </w:r>
      <w:r>
        <w:fldChar w:fldCharType="begin"/>
      </w:r>
      <w:r>
        <w:instrText xml:space="preserve"> PAGEREF _Toc6919 \h </w:instrText>
      </w:r>
      <w:r>
        <w:fldChar w:fldCharType="separate"/>
      </w:r>
      <w:r>
        <w:t>10</w:t>
      </w:r>
      <w:r>
        <w:fldChar w:fldCharType="end"/>
      </w:r>
      <w:r>
        <w:rPr>
          <w:rFonts w:hint="eastAsia" w:ascii="仿宋" w:hAnsi="仿宋" w:eastAsia="仿宋" w:cs="仿宋"/>
          <w:highlight w:val="none"/>
        </w:rPr>
        <w:fldChar w:fldCharType="end"/>
      </w:r>
    </w:p>
    <w:p w14:paraId="2C1F671D">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_Toc20408 </w:instrText>
      </w:r>
      <w:r>
        <w:rPr>
          <w:rFonts w:hint="eastAsia" w:ascii="仿宋" w:hAnsi="仿宋" w:eastAsia="仿宋" w:cs="仿宋"/>
          <w:highlight w:val="none"/>
        </w:rPr>
        <w:fldChar w:fldCharType="separate"/>
      </w:r>
      <w:r>
        <w:rPr>
          <w:rFonts w:hint="eastAsia" w:ascii="仿宋" w:hAnsi="仿宋" w:eastAsia="仿宋" w:cs="仿宋"/>
          <w:szCs w:val="24"/>
          <w:highlight w:val="none"/>
        </w:rPr>
        <w:t>21.响应偏离</w:t>
      </w:r>
      <w:r>
        <w:tab/>
      </w:r>
      <w:r>
        <w:fldChar w:fldCharType="begin"/>
      </w:r>
      <w:r>
        <w:instrText xml:space="preserve"> PAGEREF _Toc20408 \h </w:instrText>
      </w:r>
      <w:r>
        <w:fldChar w:fldCharType="separate"/>
      </w:r>
      <w:r>
        <w:t>10</w:t>
      </w:r>
      <w:r>
        <w:fldChar w:fldCharType="end"/>
      </w:r>
      <w:r>
        <w:rPr>
          <w:rFonts w:hint="eastAsia" w:ascii="仿宋" w:hAnsi="仿宋" w:eastAsia="仿宋" w:cs="仿宋"/>
          <w:highlight w:val="none"/>
        </w:rPr>
        <w:fldChar w:fldCharType="end"/>
      </w:r>
    </w:p>
    <w:p w14:paraId="551E8BDF">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_Toc14663 </w:instrText>
      </w:r>
      <w:r>
        <w:rPr>
          <w:rFonts w:hint="eastAsia" w:ascii="仿宋" w:hAnsi="仿宋" w:eastAsia="仿宋" w:cs="仿宋"/>
          <w:highlight w:val="none"/>
        </w:rPr>
        <w:fldChar w:fldCharType="separate"/>
      </w:r>
      <w:r>
        <w:rPr>
          <w:rFonts w:hint="eastAsia" w:ascii="仿宋" w:hAnsi="仿宋" w:eastAsia="仿宋" w:cs="仿宋"/>
          <w:szCs w:val="24"/>
          <w:highlight w:val="none"/>
        </w:rPr>
        <w:t>22.响应无效</w:t>
      </w:r>
      <w:r>
        <w:tab/>
      </w:r>
      <w:r>
        <w:fldChar w:fldCharType="begin"/>
      </w:r>
      <w:r>
        <w:instrText xml:space="preserve"> PAGEREF _Toc14663 \h </w:instrText>
      </w:r>
      <w:r>
        <w:fldChar w:fldCharType="separate"/>
      </w:r>
      <w:r>
        <w:t>10</w:t>
      </w:r>
      <w:r>
        <w:fldChar w:fldCharType="end"/>
      </w:r>
      <w:r>
        <w:rPr>
          <w:rFonts w:hint="eastAsia" w:ascii="仿宋" w:hAnsi="仿宋" w:eastAsia="仿宋" w:cs="仿宋"/>
          <w:highlight w:val="none"/>
        </w:rPr>
        <w:fldChar w:fldCharType="end"/>
      </w:r>
    </w:p>
    <w:p w14:paraId="7E168A55">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_Toc24741 </w:instrText>
      </w:r>
      <w:r>
        <w:rPr>
          <w:rFonts w:hint="eastAsia" w:ascii="仿宋" w:hAnsi="仿宋" w:eastAsia="仿宋" w:cs="仿宋"/>
          <w:highlight w:val="none"/>
        </w:rPr>
        <w:fldChar w:fldCharType="separate"/>
      </w:r>
      <w:r>
        <w:rPr>
          <w:rFonts w:hint="eastAsia" w:ascii="仿宋" w:hAnsi="仿宋" w:eastAsia="仿宋" w:cs="仿宋"/>
          <w:szCs w:val="24"/>
          <w:highlight w:val="none"/>
        </w:rPr>
        <w:t>23.比较与评价</w:t>
      </w:r>
      <w:r>
        <w:tab/>
      </w:r>
      <w:r>
        <w:fldChar w:fldCharType="begin"/>
      </w:r>
      <w:r>
        <w:instrText xml:space="preserve"> PAGEREF _Toc24741 \h </w:instrText>
      </w:r>
      <w:r>
        <w:fldChar w:fldCharType="separate"/>
      </w:r>
      <w:r>
        <w:t>11</w:t>
      </w:r>
      <w:r>
        <w:fldChar w:fldCharType="end"/>
      </w:r>
      <w:r>
        <w:rPr>
          <w:rFonts w:hint="eastAsia" w:ascii="仿宋" w:hAnsi="仿宋" w:eastAsia="仿宋" w:cs="仿宋"/>
          <w:highlight w:val="none"/>
        </w:rPr>
        <w:fldChar w:fldCharType="end"/>
      </w:r>
    </w:p>
    <w:p w14:paraId="2C4ED4BA">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_Toc3484 </w:instrText>
      </w:r>
      <w:r>
        <w:rPr>
          <w:rFonts w:hint="eastAsia" w:ascii="仿宋" w:hAnsi="仿宋" w:eastAsia="仿宋" w:cs="仿宋"/>
          <w:highlight w:val="none"/>
        </w:rPr>
        <w:fldChar w:fldCharType="separate"/>
      </w:r>
      <w:r>
        <w:rPr>
          <w:rFonts w:hint="eastAsia" w:ascii="仿宋" w:hAnsi="仿宋" w:eastAsia="仿宋" w:cs="仿宋"/>
          <w:szCs w:val="24"/>
          <w:highlight w:val="none"/>
        </w:rPr>
        <w:t>24.废标</w:t>
      </w:r>
      <w:r>
        <w:tab/>
      </w:r>
      <w:r>
        <w:fldChar w:fldCharType="begin"/>
      </w:r>
      <w:r>
        <w:instrText xml:space="preserve"> PAGEREF _Toc3484 \h </w:instrText>
      </w:r>
      <w:r>
        <w:fldChar w:fldCharType="separate"/>
      </w:r>
      <w:r>
        <w:t>11</w:t>
      </w:r>
      <w:r>
        <w:fldChar w:fldCharType="end"/>
      </w:r>
      <w:r>
        <w:rPr>
          <w:rFonts w:hint="eastAsia" w:ascii="仿宋" w:hAnsi="仿宋" w:eastAsia="仿宋" w:cs="仿宋"/>
          <w:highlight w:val="none"/>
        </w:rPr>
        <w:fldChar w:fldCharType="end"/>
      </w:r>
    </w:p>
    <w:p w14:paraId="456FCA92">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_Toc28659 </w:instrText>
      </w:r>
      <w:r>
        <w:rPr>
          <w:rFonts w:hint="eastAsia" w:ascii="仿宋" w:hAnsi="仿宋" w:eastAsia="仿宋" w:cs="仿宋"/>
          <w:highlight w:val="none"/>
        </w:rPr>
        <w:fldChar w:fldCharType="separate"/>
      </w:r>
      <w:r>
        <w:rPr>
          <w:rFonts w:hint="eastAsia" w:ascii="仿宋" w:hAnsi="仿宋" w:eastAsia="仿宋" w:cs="仿宋"/>
          <w:szCs w:val="24"/>
          <w:highlight w:val="none"/>
        </w:rPr>
        <w:t>25.保密原则</w:t>
      </w:r>
      <w:r>
        <w:tab/>
      </w:r>
      <w:r>
        <w:fldChar w:fldCharType="begin"/>
      </w:r>
      <w:r>
        <w:instrText xml:space="preserve"> PAGEREF _Toc28659 \h </w:instrText>
      </w:r>
      <w:r>
        <w:fldChar w:fldCharType="separate"/>
      </w:r>
      <w:r>
        <w:t>12</w:t>
      </w:r>
      <w:r>
        <w:fldChar w:fldCharType="end"/>
      </w:r>
      <w:r>
        <w:rPr>
          <w:rFonts w:hint="eastAsia" w:ascii="仿宋" w:hAnsi="仿宋" w:eastAsia="仿宋" w:cs="仿宋"/>
          <w:highlight w:val="none"/>
        </w:rPr>
        <w:fldChar w:fldCharType="end"/>
      </w:r>
    </w:p>
    <w:p w14:paraId="402E9D8A">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_Toc21997 </w:instrText>
      </w:r>
      <w:r>
        <w:rPr>
          <w:rFonts w:hint="eastAsia" w:ascii="仿宋" w:hAnsi="仿宋" w:eastAsia="仿宋" w:cs="仿宋"/>
          <w:highlight w:val="none"/>
        </w:rPr>
        <w:fldChar w:fldCharType="separate"/>
      </w:r>
      <w:r>
        <w:rPr>
          <w:rFonts w:hint="eastAsia" w:ascii="仿宋" w:hAnsi="仿宋" w:eastAsia="仿宋" w:cs="仿宋"/>
          <w:szCs w:val="24"/>
          <w:highlight w:val="none"/>
        </w:rPr>
        <w:t>六   确定中标</w:t>
      </w:r>
      <w:r>
        <w:tab/>
      </w:r>
      <w:r>
        <w:fldChar w:fldCharType="begin"/>
      </w:r>
      <w:r>
        <w:instrText xml:space="preserve"> PAGEREF _Toc21997 \h </w:instrText>
      </w:r>
      <w:r>
        <w:fldChar w:fldCharType="separate"/>
      </w:r>
      <w:r>
        <w:t>12</w:t>
      </w:r>
      <w:r>
        <w:fldChar w:fldCharType="end"/>
      </w:r>
      <w:r>
        <w:rPr>
          <w:rFonts w:hint="eastAsia" w:ascii="仿宋" w:hAnsi="仿宋" w:eastAsia="仿宋" w:cs="仿宋"/>
          <w:highlight w:val="none"/>
        </w:rPr>
        <w:fldChar w:fldCharType="end"/>
      </w:r>
    </w:p>
    <w:p w14:paraId="5762387D">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_Toc25324 </w:instrText>
      </w:r>
      <w:r>
        <w:rPr>
          <w:rFonts w:hint="eastAsia" w:ascii="仿宋" w:hAnsi="仿宋" w:eastAsia="仿宋" w:cs="仿宋"/>
          <w:highlight w:val="none"/>
        </w:rPr>
        <w:fldChar w:fldCharType="separate"/>
      </w:r>
      <w:r>
        <w:rPr>
          <w:rFonts w:hint="eastAsia" w:ascii="仿宋" w:hAnsi="仿宋" w:eastAsia="仿宋" w:cs="仿宋"/>
          <w:szCs w:val="24"/>
          <w:highlight w:val="none"/>
        </w:rPr>
        <w:t>26.中标候选人的确定原则及标准</w:t>
      </w:r>
      <w:r>
        <w:tab/>
      </w:r>
      <w:r>
        <w:fldChar w:fldCharType="begin"/>
      </w:r>
      <w:r>
        <w:instrText xml:space="preserve"> PAGEREF _Toc25324 \h </w:instrText>
      </w:r>
      <w:r>
        <w:fldChar w:fldCharType="separate"/>
      </w:r>
      <w:r>
        <w:t>12</w:t>
      </w:r>
      <w:r>
        <w:fldChar w:fldCharType="end"/>
      </w:r>
      <w:r>
        <w:rPr>
          <w:rFonts w:hint="eastAsia" w:ascii="仿宋" w:hAnsi="仿宋" w:eastAsia="仿宋" w:cs="仿宋"/>
          <w:highlight w:val="none"/>
        </w:rPr>
        <w:fldChar w:fldCharType="end"/>
      </w:r>
    </w:p>
    <w:p w14:paraId="17361FAE">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_Toc3415 </w:instrText>
      </w:r>
      <w:r>
        <w:rPr>
          <w:rFonts w:hint="eastAsia" w:ascii="仿宋" w:hAnsi="仿宋" w:eastAsia="仿宋" w:cs="仿宋"/>
          <w:highlight w:val="none"/>
        </w:rPr>
        <w:fldChar w:fldCharType="separate"/>
      </w:r>
      <w:r>
        <w:rPr>
          <w:rFonts w:hint="eastAsia" w:ascii="仿宋" w:hAnsi="仿宋" w:eastAsia="仿宋" w:cs="仿宋"/>
          <w:szCs w:val="24"/>
          <w:highlight w:val="none"/>
        </w:rPr>
        <w:t>27.确定中标候选人和中标人</w:t>
      </w:r>
      <w:r>
        <w:tab/>
      </w:r>
      <w:r>
        <w:fldChar w:fldCharType="begin"/>
      </w:r>
      <w:r>
        <w:instrText xml:space="preserve"> PAGEREF _Toc3415 \h </w:instrText>
      </w:r>
      <w:r>
        <w:fldChar w:fldCharType="separate"/>
      </w:r>
      <w:r>
        <w:t>12</w:t>
      </w:r>
      <w:r>
        <w:fldChar w:fldCharType="end"/>
      </w:r>
      <w:r>
        <w:rPr>
          <w:rFonts w:hint="eastAsia" w:ascii="仿宋" w:hAnsi="仿宋" w:eastAsia="仿宋" w:cs="仿宋"/>
          <w:highlight w:val="none"/>
        </w:rPr>
        <w:fldChar w:fldCharType="end"/>
      </w:r>
    </w:p>
    <w:p w14:paraId="678F275B">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_Toc12114 </w:instrText>
      </w:r>
      <w:r>
        <w:rPr>
          <w:rFonts w:hint="eastAsia" w:ascii="仿宋" w:hAnsi="仿宋" w:eastAsia="仿宋" w:cs="仿宋"/>
          <w:highlight w:val="none"/>
        </w:rPr>
        <w:fldChar w:fldCharType="separate"/>
      </w:r>
      <w:r>
        <w:rPr>
          <w:rFonts w:hint="eastAsia" w:ascii="仿宋" w:hAnsi="仿宋" w:eastAsia="仿宋" w:cs="仿宋"/>
          <w:szCs w:val="24"/>
          <w:highlight w:val="none"/>
        </w:rPr>
        <w:t>28.采购任务取消</w:t>
      </w:r>
      <w:r>
        <w:tab/>
      </w:r>
      <w:r>
        <w:fldChar w:fldCharType="begin"/>
      </w:r>
      <w:r>
        <w:instrText xml:space="preserve"> PAGEREF _Toc12114 \h </w:instrText>
      </w:r>
      <w:r>
        <w:fldChar w:fldCharType="separate"/>
      </w:r>
      <w:r>
        <w:t>12</w:t>
      </w:r>
      <w:r>
        <w:fldChar w:fldCharType="end"/>
      </w:r>
      <w:r>
        <w:rPr>
          <w:rFonts w:hint="eastAsia" w:ascii="仿宋" w:hAnsi="仿宋" w:eastAsia="仿宋" w:cs="仿宋"/>
          <w:highlight w:val="none"/>
        </w:rPr>
        <w:fldChar w:fldCharType="end"/>
      </w:r>
    </w:p>
    <w:p w14:paraId="2F70CF10">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_Toc25947 </w:instrText>
      </w:r>
      <w:r>
        <w:rPr>
          <w:rFonts w:hint="eastAsia" w:ascii="仿宋" w:hAnsi="仿宋" w:eastAsia="仿宋" w:cs="仿宋"/>
          <w:highlight w:val="none"/>
        </w:rPr>
        <w:fldChar w:fldCharType="separate"/>
      </w:r>
      <w:r>
        <w:rPr>
          <w:rFonts w:hint="eastAsia" w:ascii="仿宋" w:hAnsi="仿宋" w:eastAsia="仿宋" w:cs="仿宋"/>
          <w:szCs w:val="24"/>
          <w:highlight w:val="none"/>
        </w:rPr>
        <w:t>29.中标通知书和招标结果通知书</w:t>
      </w:r>
      <w:r>
        <w:tab/>
      </w:r>
      <w:r>
        <w:fldChar w:fldCharType="begin"/>
      </w:r>
      <w:r>
        <w:instrText xml:space="preserve"> PAGEREF _Toc25947 \h </w:instrText>
      </w:r>
      <w:r>
        <w:fldChar w:fldCharType="separate"/>
      </w:r>
      <w:r>
        <w:t>12</w:t>
      </w:r>
      <w:r>
        <w:fldChar w:fldCharType="end"/>
      </w:r>
      <w:r>
        <w:rPr>
          <w:rFonts w:hint="eastAsia" w:ascii="仿宋" w:hAnsi="仿宋" w:eastAsia="仿宋" w:cs="仿宋"/>
          <w:highlight w:val="none"/>
        </w:rPr>
        <w:fldChar w:fldCharType="end"/>
      </w:r>
    </w:p>
    <w:p w14:paraId="7F6D2B24">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_Toc12350 </w:instrText>
      </w:r>
      <w:r>
        <w:rPr>
          <w:rFonts w:hint="eastAsia" w:ascii="仿宋" w:hAnsi="仿宋" w:eastAsia="仿宋" w:cs="仿宋"/>
          <w:highlight w:val="none"/>
        </w:rPr>
        <w:fldChar w:fldCharType="separate"/>
      </w:r>
      <w:r>
        <w:rPr>
          <w:rFonts w:hint="eastAsia" w:ascii="仿宋" w:hAnsi="仿宋" w:eastAsia="仿宋" w:cs="仿宋"/>
          <w:szCs w:val="24"/>
          <w:highlight w:val="none"/>
        </w:rPr>
        <w:t>30.签订合同</w:t>
      </w:r>
      <w:r>
        <w:tab/>
      </w:r>
      <w:r>
        <w:fldChar w:fldCharType="begin"/>
      </w:r>
      <w:r>
        <w:instrText xml:space="preserve"> PAGEREF _Toc12350 \h </w:instrText>
      </w:r>
      <w:r>
        <w:fldChar w:fldCharType="separate"/>
      </w:r>
      <w:r>
        <w:t>12</w:t>
      </w:r>
      <w:r>
        <w:fldChar w:fldCharType="end"/>
      </w:r>
      <w:r>
        <w:rPr>
          <w:rFonts w:hint="eastAsia" w:ascii="仿宋" w:hAnsi="仿宋" w:eastAsia="仿宋" w:cs="仿宋"/>
          <w:highlight w:val="none"/>
        </w:rPr>
        <w:fldChar w:fldCharType="end"/>
      </w:r>
    </w:p>
    <w:p w14:paraId="75E1612F">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_Toc1487 </w:instrText>
      </w:r>
      <w:r>
        <w:rPr>
          <w:rFonts w:hint="eastAsia" w:ascii="仿宋" w:hAnsi="仿宋" w:eastAsia="仿宋" w:cs="仿宋"/>
          <w:highlight w:val="none"/>
        </w:rPr>
        <w:fldChar w:fldCharType="separate"/>
      </w:r>
      <w:r>
        <w:rPr>
          <w:rFonts w:hint="eastAsia" w:ascii="仿宋" w:hAnsi="仿宋" w:eastAsia="仿宋" w:cs="仿宋"/>
          <w:szCs w:val="24"/>
          <w:highlight w:val="none"/>
        </w:rPr>
        <w:t>31.履约保证金</w:t>
      </w:r>
      <w:r>
        <w:tab/>
      </w:r>
      <w:r>
        <w:fldChar w:fldCharType="begin"/>
      </w:r>
      <w:r>
        <w:instrText xml:space="preserve"> PAGEREF _Toc1487 \h </w:instrText>
      </w:r>
      <w:r>
        <w:fldChar w:fldCharType="separate"/>
      </w:r>
      <w:r>
        <w:t>13</w:t>
      </w:r>
      <w:r>
        <w:fldChar w:fldCharType="end"/>
      </w:r>
      <w:r>
        <w:rPr>
          <w:rFonts w:hint="eastAsia" w:ascii="仿宋" w:hAnsi="仿宋" w:eastAsia="仿宋" w:cs="仿宋"/>
          <w:highlight w:val="none"/>
        </w:rPr>
        <w:fldChar w:fldCharType="end"/>
      </w:r>
    </w:p>
    <w:p w14:paraId="19D5CE7D">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_Toc10981 </w:instrText>
      </w:r>
      <w:r>
        <w:rPr>
          <w:rFonts w:hint="eastAsia" w:ascii="仿宋" w:hAnsi="仿宋" w:eastAsia="仿宋" w:cs="仿宋"/>
          <w:highlight w:val="none"/>
        </w:rPr>
        <w:fldChar w:fldCharType="separate"/>
      </w:r>
      <w:r>
        <w:rPr>
          <w:rFonts w:hint="eastAsia" w:ascii="仿宋" w:hAnsi="仿宋" w:eastAsia="仿宋" w:cs="仿宋"/>
          <w:szCs w:val="24"/>
          <w:highlight w:val="none"/>
        </w:rPr>
        <w:t>33.政府采购信用担保</w:t>
      </w:r>
      <w:r>
        <w:tab/>
      </w:r>
      <w:r>
        <w:fldChar w:fldCharType="begin"/>
      </w:r>
      <w:r>
        <w:instrText xml:space="preserve"> PAGEREF _Toc10981 \h </w:instrText>
      </w:r>
      <w:r>
        <w:fldChar w:fldCharType="separate"/>
      </w:r>
      <w:r>
        <w:t>13</w:t>
      </w:r>
      <w:r>
        <w:fldChar w:fldCharType="end"/>
      </w:r>
      <w:r>
        <w:rPr>
          <w:rFonts w:hint="eastAsia" w:ascii="仿宋" w:hAnsi="仿宋" w:eastAsia="仿宋" w:cs="仿宋"/>
          <w:highlight w:val="none"/>
        </w:rPr>
        <w:fldChar w:fldCharType="end"/>
      </w:r>
    </w:p>
    <w:p w14:paraId="28872CA1">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_Toc12532 </w:instrText>
      </w:r>
      <w:r>
        <w:rPr>
          <w:rFonts w:hint="eastAsia" w:ascii="仿宋" w:hAnsi="仿宋" w:eastAsia="仿宋" w:cs="仿宋"/>
          <w:highlight w:val="none"/>
        </w:rPr>
        <w:fldChar w:fldCharType="separate"/>
      </w:r>
      <w:r>
        <w:rPr>
          <w:rFonts w:hint="eastAsia" w:ascii="仿宋" w:hAnsi="仿宋" w:eastAsia="仿宋" w:cs="仿宋"/>
          <w:szCs w:val="24"/>
          <w:highlight w:val="none"/>
        </w:rPr>
        <w:t>34.廉洁自律规定</w:t>
      </w:r>
      <w:r>
        <w:tab/>
      </w:r>
      <w:r>
        <w:fldChar w:fldCharType="begin"/>
      </w:r>
      <w:r>
        <w:instrText xml:space="preserve"> PAGEREF _Toc12532 \h </w:instrText>
      </w:r>
      <w:r>
        <w:fldChar w:fldCharType="separate"/>
      </w:r>
      <w:r>
        <w:t>13</w:t>
      </w:r>
      <w:r>
        <w:fldChar w:fldCharType="end"/>
      </w:r>
      <w:r>
        <w:rPr>
          <w:rFonts w:hint="eastAsia" w:ascii="仿宋" w:hAnsi="仿宋" w:eastAsia="仿宋" w:cs="仿宋"/>
          <w:highlight w:val="none"/>
        </w:rPr>
        <w:fldChar w:fldCharType="end"/>
      </w:r>
    </w:p>
    <w:p w14:paraId="667A0B98">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_Toc19136 </w:instrText>
      </w:r>
      <w:r>
        <w:rPr>
          <w:rFonts w:hint="eastAsia" w:ascii="仿宋" w:hAnsi="仿宋" w:eastAsia="仿宋" w:cs="仿宋"/>
          <w:highlight w:val="none"/>
        </w:rPr>
        <w:fldChar w:fldCharType="separate"/>
      </w:r>
      <w:r>
        <w:rPr>
          <w:rFonts w:hint="eastAsia" w:ascii="仿宋" w:hAnsi="仿宋" w:eastAsia="仿宋" w:cs="仿宋"/>
          <w:szCs w:val="24"/>
          <w:highlight w:val="none"/>
        </w:rPr>
        <w:t>35.人员回避</w:t>
      </w:r>
      <w:r>
        <w:tab/>
      </w:r>
      <w:r>
        <w:fldChar w:fldCharType="begin"/>
      </w:r>
      <w:r>
        <w:instrText xml:space="preserve"> PAGEREF _Toc19136 \h </w:instrText>
      </w:r>
      <w:r>
        <w:fldChar w:fldCharType="separate"/>
      </w:r>
      <w:r>
        <w:t>13</w:t>
      </w:r>
      <w:r>
        <w:fldChar w:fldCharType="end"/>
      </w:r>
      <w:r>
        <w:rPr>
          <w:rFonts w:hint="eastAsia" w:ascii="仿宋" w:hAnsi="仿宋" w:eastAsia="仿宋" w:cs="仿宋"/>
          <w:highlight w:val="none"/>
        </w:rPr>
        <w:fldChar w:fldCharType="end"/>
      </w:r>
    </w:p>
    <w:p w14:paraId="0056926A">
      <w:pPr>
        <w:pStyle w:val="11"/>
        <w:tabs>
          <w:tab w:val="right" w:leader="dot" w:pos="8426"/>
          <w:tab w:val="clear" w:pos="1260"/>
          <w:tab w:val="clear" w:pos="8630"/>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_Toc5537 </w:instrText>
      </w:r>
      <w:r>
        <w:rPr>
          <w:rFonts w:hint="eastAsia" w:ascii="仿宋" w:hAnsi="仿宋" w:eastAsia="仿宋" w:cs="仿宋"/>
          <w:highlight w:val="none"/>
        </w:rPr>
        <w:fldChar w:fldCharType="separate"/>
      </w:r>
      <w:r>
        <w:rPr>
          <w:rFonts w:hint="eastAsia" w:ascii="仿宋" w:hAnsi="仿宋" w:eastAsia="仿宋" w:cs="仿宋"/>
          <w:szCs w:val="24"/>
          <w:highlight w:val="none"/>
        </w:rPr>
        <w:t>36.质疑与接收</w:t>
      </w:r>
      <w:r>
        <w:tab/>
      </w:r>
      <w:r>
        <w:fldChar w:fldCharType="begin"/>
      </w:r>
      <w:r>
        <w:instrText xml:space="preserve"> PAGEREF _Toc5537 \h </w:instrText>
      </w:r>
      <w:r>
        <w:fldChar w:fldCharType="separate"/>
      </w:r>
      <w:r>
        <w:t>13</w:t>
      </w:r>
      <w:r>
        <w:fldChar w:fldCharType="end"/>
      </w:r>
      <w:r>
        <w:rPr>
          <w:rFonts w:hint="eastAsia" w:ascii="仿宋" w:hAnsi="仿宋" w:eastAsia="仿宋" w:cs="仿宋"/>
          <w:highlight w:val="none"/>
        </w:rPr>
        <w:fldChar w:fldCharType="end"/>
      </w:r>
    </w:p>
    <w:p w14:paraId="60C3A716">
      <w:pPr>
        <w:pStyle w:val="15"/>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_Toc22433 </w:instrText>
      </w:r>
      <w:r>
        <w:rPr>
          <w:rFonts w:hint="eastAsia" w:ascii="仿宋" w:hAnsi="仿宋" w:eastAsia="仿宋" w:cs="仿宋"/>
          <w:highlight w:val="none"/>
        </w:rPr>
        <w:fldChar w:fldCharType="separate"/>
      </w:r>
      <w:r>
        <w:rPr>
          <w:rFonts w:hint="eastAsia" w:ascii="仿宋" w:hAnsi="仿宋" w:eastAsia="仿宋" w:cs="仿宋"/>
          <w:kern w:val="0"/>
          <w:szCs w:val="44"/>
          <w:highlight w:val="none"/>
        </w:rPr>
        <w:t>第二章</w:t>
      </w:r>
      <w:r>
        <w:rPr>
          <w:rFonts w:hint="eastAsia" w:ascii="仿宋" w:hAnsi="仿宋" w:eastAsia="仿宋" w:cs="仿宋"/>
          <w:szCs w:val="44"/>
          <w:highlight w:val="none"/>
        </w:rPr>
        <w:t xml:space="preserve">  响应文件格式</w:t>
      </w:r>
      <w:r>
        <w:tab/>
      </w:r>
      <w:r>
        <w:fldChar w:fldCharType="begin"/>
      </w:r>
      <w:r>
        <w:instrText xml:space="preserve"> PAGEREF _Toc22433 \h </w:instrText>
      </w:r>
      <w:r>
        <w:fldChar w:fldCharType="separate"/>
      </w:r>
      <w:r>
        <w:t>20</w:t>
      </w:r>
      <w:r>
        <w:fldChar w:fldCharType="end"/>
      </w:r>
      <w:r>
        <w:rPr>
          <w:rFonts w:hint="eastAsia" w:ascii="仿宋" w:hAnsi="仿宋" w:eastAsia="仿宋" w:cs="仿宋"/>
          <w:highlight w:val="none"/>
        </w:rPr>
        <w:fldChar w:fldCharType="end"/>
      </w:r>
    </w:p>
    <w:p w14:paraId="271D9FB2">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_Toc10085 </w:instrText>
      </w:r>
      <w:r>
        <w:rPr>
          <w:rFonts w:hint="eastAsia" w:ascii="仿宋" w:hAnsi="仿宋" w:eastAsia="仿宋" w:cs="仿宋"/>
          <w:highlight w:val="none"/>
        </w:rPr>
        <w:fldChar w:fldCharType="separate"/>
      </w:r>
      <w:r>
        <w:rPr>
          <w:rFonts w:hint="eastAsia" w:ascii="仿宋" w:hAnsi="仿宋" w:eastAsia="仿宋" w:cs="仿宋"/>
          <w:highlight w:val="none"/>
        </w:rPr>
        <w:t>第一部分 开标一览表及资格证明文件</w:t>
      </w:r>
      <w:r>
        <w:tab/>
      </w:r>
      <w:r>
        <w:fldChar w:fldCharType="begin"/>
      </w:r>
      <w:r>
        <w:instrText xml:space="preserve"> PAGEREF _Toc10085 \h </w:instrText>
      </w:r>
      <w:r>
        <w:fldChar w:fldCharType="separate"/>
      </w:r>
      <w:r>
        <w:t>20</w:t>
      </w:r>
      <w:r>
        <w:fldChar w:fldCharType="end"/>
      </w:r>
      <w:r>
        <w:rPr>
          <w:rFonts w:hint="eastAsia" w:ascii="仿宋" w:hAnsi="仿宋" w:eastAsia="仿宋" w:cs="仿宋"/>
          <w:highlight w:val="none"/>
        </w:rPr>
        <w:fldChar w:fldCharType="end"/>
      </w:r>
    </w:p>
    <w:p w14:paraId="0BAE851A">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_Toc15802 </w:instrText>
      </w:r>
      <w:r>
        <w:rPr>
          <w:rFonts w:hint="eastAsia" w:ascii="仿宋" w:hAnsi="仿宋" w:eastAsia="仿宋" w:cs="仿宋"/>
          <w:highlight w:val="none"/>
        </w:rPr>
        <w:fldChar w:fldCharType="separate"/>
      </w:r>
      <w:r>
        <w:rPr>
          <w:rFonts w:hint="eastAsia" w:ascii="仿宋" w:hAnsi="仿宋" w:eastAsia="仿宋" w:cs="仿宋"/>
          <w:highlight w:val="none"/>
        </w:rPr>
        <w:t>1  开标一览表</w:t>
      </w:r>
      <w:r>
        <w:tab/>
      </w:r>
      <w:r>
        <w:fldChar w:fldCharType="begin"/>
      </w:r>
      <w:r>
        <w:instrText xml:space="preserve"> PAGEREF _Toc15802 \h </w:instrText>
      </w:r>
      <w:r>
        <w:fldChar w:fldCharType="separate"/>
      </w:r>
      <w:r>
        <w:t>21</w:t>
      </w:r>
      <w:r>
        <w:fldChar w:fldCharType="end"/>
      </w:r>
      <w:r>
        <w:rPr>
          <w:rFonts w:hint="eastAsia" w:ascii="仿宋" w:hAnsi="仿宋" w:eastAsia="仿宋" w:cs="仿宋"/>
          <w:highlight w:val="none"/>
        </w:rPr>
        <w:fldChar w:fldCharType="end"/>
      </w:r>
    </w:p>
    <w:p w14:paraId="2DFE994E">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_Toc21768 </w:instrText>
      </w:r>
      <w:r>
        <w:rPr>
          <w:rFonts w:hint="eastAsia" w:ascii="仿宋" w:hAnsi="仿宋" w:eastAsia="仿宋" w:cs="仿宋"/>
          <w:highlight w:val="none"/>
        </w:rPr>
        <w:fldChar w:fldCharType="separate"/>
      </w:r>
      <w:r>
        <w:rPr>
          <w:rFonts w:hint="eastAsia" w:ascii="仿宋" w:hAnsi="仿宋" w:eastAsia="仿宋" w:cs="仿宋"/>
          <w:highlight w:val="none"/>
        </w:rPr>
        <w:t>2  法人或者非法人组织的营业执照等证明文件</w:t>
      </w:r>
      <w:r>
        <w:tab/>
      </w:r>
      <w:r>
        <w:fldChar w:fldCharType="begin"/>
      </w:r>
      <w:r>
        <w:instrText xml:space="preserve"> PAGEREF _Toc21768 \h </w:instrText>
      </w:r>
      <w:r>
        <w:fldChar w:fldCharType="separate"/>
      </w:r>
      <w:r>
        <w:t>22</w:t>
      </w:r>
      <w:r>
        <w:fldChar w:fldCharType="end"/>
      </w:r>
      <w:r>
        <w:rPr>
          <w:rFonts w:hint="eastAsia" w:ascii="仿宋" w:hAnsi="仿宋" w:eastAsia="仿宋" w:cs="仿宋"/>
          <w:highlight w:val="none"/>
        </w:rPr>
        <w:fldChar w:fldCharType="end"/>
      </w:r>
    </w:p>
    <w:p w14:paraId="7A7D2CB1">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_Toc32425 </w:instrText>
      </w:r>
      <w:r>
        <w:rPr>
          <w:rFonts w:hint="eastAsia" w:ascii="仿宋" w:hAnsi="仿宋" w:eastAsia="仿宋" w:cs="仿宋"/>
          <w:highlight w:val="none"/>
        </w:rPr>
        <w:fldChar w:fldCharType="separate"/>
      </w:r>
      <w:r>
        <w:rPr>
          <w:rFonts w:hint="eastAsia" w:ascii="仿宋" w:hAnsi="仿宋" w:eastAsia="仿宋" w:cs="仿宋"/>
          <w:szCs w:val="24"/>
          <w:highlight w:val="none"/>
        </w:rPr>
        <w:t xml:space="preserve">3 </w:t>
      </w:r>
      <w:r>
        <w:rPr>
          <w:rFonts w:hint="eastAsia" w:ascii="仿宋" w:hAnsi="仿宋" w:eastAsia="仿宋" w:cs="仿宋"/>
          <w:highlight w:val="none"/>
        </w:rPr>
        <w:t>法定代表人身份证明</w:t>
      </w:r>
      <w:r>
        <w:tab/>
      </w:r>
      <w:r>
        <w:fldChar w:fldCharType="begin"/>
      </w:r>
      <w:r>
        <w:instrText xml:space="preserve"> PAGEREF _Toc32425 \h </w:instrText>
      </w:r>
      <w:r>
        <w:fldChar w:fldCharType="separate"/>
      </w:r>
      <w:r>
        <w:t>23</w:t>
      </w:r>
      <w:r>
        <w:fldChar w:fldCharType="end"/>
      </w:r>
      <w:r>
        <w:rPr>
          <w:rFonts w:hint="eastAsia" w:ascii="仿宋" w:hAnsi="仿宋" w:eastAsia="仿宋" w:cs="仿宋"/>
          <w:highlight w:val="none"/>
        </w:rPr>
        <w:fldChar w:fldCharType="end"/>
      </w:r>
    </w:p>
    <w:p w14:paraId="74D233B1">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_Toc30683 </w:instrText>
      </w:r>
      <w:r>
        <w:rPr>
          <w:rFonts w:hint="eastAsia" w:ascii="仿宋" w:hAnsi="仿宋" w:eastAsia="仿宋" w:cs="仿宋"/>
          <w:highlight w:val="none"/>
        </w:rPr>
        <w:fldChar w:fldCharType="separate"/>
      </w:r>
      <w:r>
        <w:rPr>
          <w:rFonts w:hint="eastAsia" w:ascii="仿宋" w:hAnsi="仿宋" w:eastAsia="仿宋" w:cs="仿宋"/>
          <w:szCs w:val="24"/>
          <w:highlight w:val="none"/>
        </w:rPr>
        <w:t>4  法定代表人授权委托书</w:t>
      </w:r>
      <w:r>
        <w:tab/>
      </w:r>
      <w:r>
        <w:fldChar w:fldCharType="begin"/>
      </w:r>
      <w:r>
        <w:instrText xml:space="preserve"> PAGEREF _Toc30683 \h </w:instrText>
      </w:r>
      <w:r>
        <w:fldChar w:fldCharType="separate"/>
      </w:r>
      <w:r>
        <w:t>24</w:t>
      </w:r>
      <w:r>
        <w:fldChar w:fldCharType="end"/>
      </w:r>
      <w:r>
        <w:rPr>
          <w:rFonts w:hint="eastAsia" w:ascii="仿宋" w:hAnsi="仿宋" w:eastAsia="仿宋" w:cs="仿宋"/>
          <w:highlight w:val="none"/>
        </w:rPr>
        <w:fldChar w:fldCharType="end"/>
      </w:r>
    </w:p>
    <w:p w14:paraId="7E30DBAE">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_Toc27310 </w:instrText>
      </w:r>
      <w:r>
        <w:rPr>
          <w:rFonts w:hint="eastAsia" w:ascii="仿宋" w:hAnsi="仿宋" w:eastAsia="仿宋" w:cs="仿宋"/>
          <w:highlight w:val="none"/>
        </w:rPr>
        <w:fldChar w:fldCharType="separate"/>
      </w:r>
      <w:r>
        <w:rPr>
          <w:rFonts w:hint="eastAsia" w:ascii="仿宋" w:hAnsi="仿宋" w:eastAsia="仿宋" w:cs="仿宋"/>
          <w:highlight w:val="none"/>
        </w:rPr>
        <w:t>5  投标保证金缴纳凭证复印件或投标担保函</w:t>
      </w:r>
      <w:r>
        <w:tab/>
      </w:r>
      <w:r>
        <w:fldChar w:fldCharType="begin"/>
      </w:r>
      <w:r>
        <w:instrText xml:space="preserve"> PAGEREF _Toc27310 \h </w:instrText>
      </w:r>
      <w:r>
        <w:fldChar w:fldCharType="separate"/>
      </w:r>
      <w:r>
        <w:t>25</w:t>
      </w:r>
      <w:r>
        <w:fldChar w:fldCharType="end"/>
      </w:r>
      <w:r>
        <w:rPr>
          <w:rFonts w:hint="eastAsia" w:ascii="仿宋" w:hAnsi="仿宋" w:eastAsia="仿宋" w:cs="仿宋"/>
          <w:highlight w:val="none"/>
        </w:rPr>
        <w:fldChar w:fldCharType="end"/>
      </w:r>
    </w:p>
    <w:p w14:paraId="177AB6A2">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_Toc20172 </w:instrText>
      </w:r>
      <w:r>
        <w:rPr>
          <w:rFonts w:hint="eastAsia" w:ascii="仿宋" w:hAnsi="仿宋" w:eastAsia="仿宋" w:cs="仿宋"/>
          <w:highlight w:val="none"/>
        </w:rPr>
        <w:fldChar w:fldCharType="separate"/>
      </w:r>
      <w:r>
        <w:rPr>
          <w:rFonts w:hint="eastAsia" w:ascii="仿宋" w:hAnsi="仿宋" w:eastAsia="仿宋" w:cs="仿宋"/>
          <w:highlight w:val="none"/>
        </w:rPr>
        <w:t>6  社会保障资金的缴纳记录</w:t>
      </w:r>
      <w:r>
        <w:tab/>
      </w:r>
      <w:r>
        <w:fldChar w:fldCharType="begin"/>
      </w:r>
      <w:r>
        <w:instrText xml:space="preserve"> PAGEREF _Toc20172 \h </w:instrText>
      </w:r>
      <w:r>
        <w:fldChar w:fldCharType="separate"/>
      </w:r>
      <w:r>
        <w:t>27</w:t>
      </w:r>
      <w:r>
        <w:fldChar w:fldCharType="end"/>
      </w:r>
      <w:r>
        <w:rPr>
          <w:rFonts w:hint="eastAsia" w:ascii="仿宋" w:hAnsi="仿宋" w:eastAsia="仿宋" w:cs="仿宋"/>
          <w:highlight w:val="none"/>
        </w:rPr>
        <w:fldChar w:fldCharType="end"/>
      </w:r>
    </w:p>
    <w:p w14:paraId="0D9342AF">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_Toc28018 </w:instrText>
      </w:r>
      <w:r>
        <w:rPr>
          <w:rFonts w:hint="eastAsia" w:ascii="仿宋" w:hAnsi="仿宋" w:eastAsia="仿宋" w:cs="仿宋"/>
          <w:highlight w:val="none"/>
        </w:rPr>
        <w:fldChar w:fldCharType="separate"/>
      </w:r>
      <w:r>
        <w:rPr>
          <w:rFonts w:hint="eastAsia" w:ascii="仿宋" w:hAnsi="仿宋" w:eastAsia="仿宋" w:cs="仿宋"/>
          <w:highlight w:val="none"/>
        </w:rPr>
        <w:t>7 良好的商业信誉和健全的财务会计制度证明材料</w:t>
      </w:r>
      <w:r>
        <w:tab/>
      </w:r>
      <w:r>
        <w:fldChar w:fldCharType="begin"/>
      </w:r>
      <w:r>
        <w:instrText xml:space="preserve"> PAGEREF _Toc28018 \h </w:instrText>
      </w:r>
      <w:r>
        <w:fldChar w:fldCharType="separate"/>
      </w:r>
      <w:r>
        <w:t>27</w:t>
      </w:r>
      <w:r>
        <w:fldChar w:fldCharType="end"/>
      </w:r>
      <w:r>
        <w:rPr>
          <w:rFonts w:hint="eastAsia" w:ascii="仿宋" w:hAnsi="仿宋" w:eastAsia="仿宋" w:cs="仿宋"/>
          <w:highlight w:val="none"/>
        </w:rPr>
        <w:fldChar w:fldCharType="end"/>
      </w:r>
    </w:p>
    <w:p w14:paraId="56DB31CF">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_Toc15731 </w:instrText>
      </w:r>
      <w:r>
        <w:rPr>
          <w:rFonts w:hint="eastAsia" w:ascii="仿宋" w:hAnsi="仿宋" w:eastAsia="仿宋" w:cs="仿宋"/>
          <w:highlight w:val="none"/>
        </w:rPr>
        <w:fldChar w:fldCharType="separate"/>
      </w:r>
      <w:r>
        <w:rPr>
          <w:rFonts w:hint="eastAsia" w:ascii="仿宋" w:hAnsi="仿宋" w:eastAsia="仿宋" w:cs="仿宋"/>
          <w:highlight w:val="none"/>
        </w:rPr>
        <w:t>8 依法缴纳税收的证明</w:t>
      </w:r>
      <w:r>
        <w:tab/>
      </w:r>
      <w:r>
        <w:fldChar w:fldCharType="begin"/>
      </w:r>
      <w:r>
        <w:instrText xml:space="preserve"> PAGEREF _Toc15731 \h </w:instrText>
      </w:r>
      <w:r>
        <w:fldChar w:fldCharType="separate"/>
      </w:r>
      <w:r>
        <w:t>27</w:t>
      </w:r>
      <w:r>
        <w:fldChar w:fldCharType="end"/>
      </w:r>
      <w:r>
        <w:rPr>
          <w:rFonts w:hint="eastAsia" w:ascii="仿宋" w:hAnsi="仿宋" w:eastAsia="仿宋" w:cs="仿宋"/>
          <w:highlight w:val="none"/>
        </w:rPr>
        <w:fldChar w:fldCharType="end"/>
      </w:r>
    </w:p>
    <w:p w14:paraId="04FC0694">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_Toc25282 </w:instrText>
      </w:r>
      <w:r>
        <w:rPr>
          <w:rFonts w:hint="eastAsia" w:ascii="仿宋" w:hAnsi="仿宋" w:eastAsia="仿宋" w:cs="仿宋"/>
          <w:highlight w:val="none"/>
        </w:rPr>
        <w:fldChar w:fldCharType="separate"/>
      </w:r>
      <w:r>
        <w:rPr>
          <w:rFonts w:hint="eastAsia" w:ascii="仿宋" w:hAnsi="仿宋" w:eastAsia="仿宋" w:cs="仿宋"/>
          <w:highlight w:val="none"/>
        </w:rPr>
        <w:t>10 参加政府采购活动前3年内在经营活动中没有重大违法记录的书面声明</w:t>
      </w:r>
      <w:r>
        <w:tab/>
      </w:r>
      <w:r>
        <w:fldChar w:fldCharType="begin"/>
      </w:r>
      <w:r>
        <w:instrText xml:space="preserve"> PAGEREF _Toc25282 \h </w:instrText>
      </w:r>
      <w:r>
        <w:fldChar w:fldCharType="separate"/>
      </w:r>
      <w:r>
        <w:t>28</w:t>
      </w:r>
      <w:r>
        <w:fldChar w:fldCharType="end"/>
      </w:r>
      <w:r>
        <w:rPr>
          <w:rFonts w:hint="eastAsia" w:ascii="仿宋" w:hAnsi="仿宋" w:eastAsia="仿宋" w:cs="仿宋"/>
          <w:highlight w:val="none"/>
        </w:rPr>
        <w:fldChar w:fldCharType="end"/>
      </w:r>
    </w:p>
    <w:p w14:paraId="2345B398">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_Toc10062 </w:instrText>
      </w:r>
      <w:r>
        <w:rPr>
          <w:rFonts w:hint="eastAsia" w:ascii="仿宋" w:hAnsi="仿宋" w:eastAsia="仿宋" w:cs="仿宋"/>
          <w:highlight w:val="none"/>
        </w:rPr>
        <w:fldChar w:fldCharType="separate"/>
      </w:r>
      <w:r>
        <w:rPr>
          <w:rFonts w:hint="eastAsia" w:ascii="仿宋" w:hAnsi="仿宋" w:eastAsia="仿宋" w:cs="仿宋"/>
          <w:highlight w:val="none"/>
        </w:rPr>
        <w:t>11 供应商须知资料表要求的其他资格证明文件</w:t>
      </w:r>
      <w:r>
        <w:tab/>
      </w:r>
      <w:r>
        <w:fldChar w:fldCharType="begin"/>
      </w:r>
      <w:r>
        <w:instrText xml:space="preserve"> PAGEREF _Toc10062 \h </w:instrText>
      </w:r>
      <w:r>
        <w:fldChar w:fldCharType="separate"/>
      </w:r>
      <w:r>
        <w:t>29</w:t>
      </w:r>
      <w:r>
        <w:fldChar w:fldCharType="end"/>
      </w:r>
      <w:r>
        <w:rPr>
          <w:rFonts w:hint="eastAsia" w:ascii="仿宋" w:hAnsi="仿宋" w:eastAsia="仿宋" w:cs="仿宋"/>
          <w:highlight w:val="none"/>
        </w:rPr>
        <w:fldChar w:fldCharType="end"/>
      </w:r>
    </w:p>
    <w:p w14:paraId="38C9E51E">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_Toc7920 </w:instrText>
      </w:r>
      <w:r>
        <w:rPr>
          <w:rFonts w:hint="eastAsia" w:ascii="仿宋" w:hAnsi="仿宋" w:eastAsia="仿宋" w:cs="仿宋"/>
          <w:highlight w:val="none"/>
        </w:rPr>
        <w:fldChar w:fldCharType="separate"/>
      </w:r>
      <w:r>
        <w:rPr>
          <w:rFonts w:hint="eastAsia" w:ascii="仿宋" w:hAnsi="仿宋" w:eastAsia="仿宋" w:cs="仿宋"/>
          <w:highlight w:val="none"/>
        </w:rPr>
        <w:t>第二部分</w:t>
      </w:r>
      <w:r>
        <w:rPr>
          <w:rFonts w:hint="eastAsia" w:ascii="仿宋" w:hAnsi="仿宋" w:eastAsia="仿宋" w:cs="仿宋"/>
          <w:szCs w:val="24"/>
          <w:highlight w:val="none"/>
        </w:rPr>
        <w:t xml:space="preserve"> 商务及技术文件</w:t>
      </w:r>
      <w:r>
        <w:tab/>
      </w:r>
      <w:r>
        <w:fldChar w:fldCharType="begin"/>
      </w:r>
      <w:r>
        <w:instrText xml:space="preserve"> PAGEREF _Toc7920 \h </w:instrText>
      </w:r>
      <w:r>
        <w:fldChar w:fldCharType="separate"/>
      </w:r>
      <w:r>
        <w:t>30</w:t>
      </w:r>
      <w:r>
        <w:fldChar w:fldCharType="end"/>
      </w:r>
      <w:r>
        <w:rPr>
          <w:rFonts w:hint="eastAsia" w:ascii="仿宋" w:hAnsi="仿宋" w:eastAsia="仿宋" w:cs="仿宋"/>
          <w:highlight w:val="none"/>
        </w:rPr>
        <w:fldChar w:fldCharType="end"/>
      </w:r>
    </w:p>
    <w:p w14:paraId="0F193A46">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_Toc31819 </w:instrText>
      </w:r>
      <w:r>
        <w:rPr>
          <w:rFonts w:hint="eastAsia" w:ascii="仿宋" w:hAnsi="仿宋" w:eastAsia="仿宋" w:cs="仿宋"/>
          <w:highlight w:val="none"/>
        </w:rPr>
        <w:fldChar w:fldCharType="separate"/>
      </w:r>
      <w:r>
        <w:rPr>
          <w:rFonts w:hint="eastAsia" w:ascii="仿宋" w:hAnsi="仿宋" w:eastAsia="仿宋" w:cs="仿宋"/>
          <w:bCs/>
          <w:kern w:val="2"/>
          <w:szCs w:val="24"/>
          <w:highlight w:val="none"/>
        </w:rPr>
        <w:t>1  投标书</w:t>
      </w:r>
      <w:r>
        <w:tab/>
      </w:r>
      <w:r>
        <w:fldChar w:fldCharType="begin"/>
      </w:r>
      <w:r>
        <w:instrText xml:space="preserve"> PAGEREF _Toc31819 \h </w:instrText>
      </w:r>
      <w:r>
        <w:fldChar w:fldCharType="separate"/>
      </w:r>
      <w:r>
        <w:t>31</w:t>
      </w:r>
      <w:r>
        <w:fldChar w:fldCharType="end"/>
      </w:r>
      <w:r>
        <w:rPr>
          <w:rFonts w:hint="eastAsia" w:ascii="仿宋" w:hAnsi="仿宋" w:eastAsia="仿宋" w:cs="仿宋"/>
          <w:highlight w:val="none"/>
        </w:rPr>
        <w:fldChar w:fldCharType="end"/>
      </w:r>
    </w:p>
    <w:p w14:paraId="70630484">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_Toc32747 </w:instrText>
      </w:r>
      <w:r>
        <w:rPr>
          <w:rFonts w:hint="eastAsia" w:ascii="仿宋" w:hAnsi="仿宋" w:eastAsia="仿宋" w:cs="仿宋"/>
          <w:highlight w:val="none"/>
        </w:rPr>
        <w:fldChar w:fldCharType="separate"/>
      </w:r>
      <w:r>
        <w:rPr>
          <w:rFonts w:hint="eastAsia" w:ascii="仿宋" w:hAnsi="仿宋" w:eastAsia="仿宋" w:cs="仿宋"/>
          <w:bCs/>
          <w:szCs w:val="24"/>
          <w:highlight w:val="none"/>
        </w:rPr>
        <w:t>2  服务需求偏离表</w:t>
      </w:r>
      <w:r>
        <w:tab/>
      </w:r>
      <w:r>
        <w:fldChar w:fldCharType="begin"/>
      </w:r>
      <w:r>
        <w:instrText xml:space="preserve"> PAGEREF _Toc32747 \h </w:instrText>
      </w:r>
      <w:r>
        <w:fldChar w:fldCharType="separate"/>
      </w:r>
      <w:r>
        <w:t>32</w:t>
      </w:r>
      <w:r>
        <w:fldChar w:fldCharType="end"/>
      </w:r>
      <w:r>
        <w:rPr>
          <w:rFonts w:hint="eastAsia" w:ascii="仿宋" w:hAnsi="仿宋" w:eastAsia="仿宋" w:cs="仿宋"/>
          <w:highlight w:val="none"/>
        </w:rPr>
        <w:fldChar w:fldCharType="end"/>
      </w:r>
    </w:p>
    <w:p w14:paraId="55D4B01E">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_Toc18099 </w:instrText>
      </w:r>
      <w:r>
        <w:rPr>
          <w:rFonts w:hint="eastAsia" w:ascii="仿宋" w:hAnsi="仿宋" w:eastAsia="仿宋" w:cs="仿宋"/>
          <w:highlight w:val="none"/>
        </w:rPr>
        <w:fldChar w:fldCharType="separate"/>
      </w:r>
      <w:r>
        <w:rPr>
          <w:rFonts w:hint="eastAsia" w:ascii="仿宋" w:hAnsi="仿宋" w:eastAsia="仿宋" w:cs="仿宋"/>
          <w:bCs/>
          <w:kern w:val="2"/>
          <w:szCs w:val="24"/>
          <w:highlight w:val="none"/>
        </w:rPr>
        <w:t>3  商务条款偏离表</w:t>
      </w:r>
      <w:r>
        <w:tab/>
      </w:r>
      <w:r>
        <w:fldChar w:fldCharType="begin"/>
      </w:r>
      <w:r>
        <w:instrText xml:space="preserve"> PAGEREF _Toc18099 \h </w:instrText>
      </w:r>
      <w:r>
        <w:fldChar w:fldCharType="separate"/>
      </w:r>
      <w:r>
        <w:t>33</w:t>
      </w:r>
      <w:r>
        <w:fldChar w:fldCharType="end"/>
      </w:r>
      <w:r>
        <w:rPr>
          <w:rFonts w:hint="eastAsia" w:ascii="仿宋" w:hAnsi="仿宋" w:eastAsia="仿宋" w:cs="仿宋"/>
          <w:highlight w:val="none"/>
        </w:rPr>
        <w:fldChar w:fldCharType="end"/>
      </w:r>
    </w:p>
    <w:p w14:paraId="0B0409CA">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_Toc4179 </w:instrText>
      </w:r>
      <w:r>
        <w:rPr>
          <w:rFonts w:hint="eastAsia" w:ascii="仿宋" w:hAnsi="仿宋" w:eastAsia="仿宋" w:cs="仿宋"/>
          <w:highlight w:val="none"/>
        </w:rPr>
        <w:fldChar w:fldCharType="separate"/>
      </w:r>
      <w:r>
        <w:rPr>
          <w:rFonts w:hint="eastAsia" w:ascii="仿宋" w:hAnsi="仿宋" w:eastAsia="仿宋" w:cs="仿宋"/>
          <w:bCs/>
          <w:kern w:val="2"/>
          <w:szCs w:val="24"/>
          <w:highlight w:val="none"/>
        </w:rPr>
        <w:t>4 项目负责人及实施团队人员名单简历表</w:t>
      </w:r>
      <w:r>
        <w:tab/>
      </w:r>
      <w:r>
        <w:fldChar w:fldCharType="begin"/>
      </w:r>
      <w:r>
        <w:instrText xml:space="preserve"> PAGEREF _Toc4179 \h </w:instrText>
      </w:r>
      <w:r>
        <w:fldChar w:fldCharType="separate"/>
      </w:r>
      <w:r>
        <w:t>34</w:t>
      </w:r>
      <w:r>
        <w:fldChar w:fldCharType="end"/>
      </w:r>
      <w:r>
        <w:rPr>
          <w:rFonts w:hint="eastAsia" w:ascii="仿宋" w:hAnsi="仿宋" w:eastAsia="仿宋" w:cs="仿宋"/>
          <w:highlight w:val="none"/>
        </w:rPr>
        <w:fldChar w:fldCharType="end"/>
      </w:r>
    </w:p>
    <w:p w14:paraId="62A49339">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_Toc24764 </w:instrText>
      </w:r>
      <w:r>
        <w:rPr>
          <w:rFonts w:hint="eastAsia" w:ascii="仿宋" w:hAnsi="仿宋" w:eastAsia="仿宋" w:cs="仿宋"/>
          <w:highlight w:val="none"/>
        </w:rPr>
        <w:fldChar w:fldCharType="separate"/>
      </w:r>
      <w:r>
        <w:rPr>
          <w:rFonts w:hint="eastAsia" w:ascii="仿宋" w:hAnsi="仿宋" w:eastAsia="仿宋" w:cs="仿宋"/>
          <w:bCs/>
          <w:kern w:val="2"/>
          <w:szCs w:val="24"/>
          <w:highlight w:val="none"/>
        </w:rPr>
        <w:t>5-3  残疾人福利性单位声明函</w:t>
      </w:r>
      <w:r>
        <w:tab/>
      </w:r>
      <w:r>
        <w:fldChar w:fldCharType="begin"/>
      </w:r>
      <w:r>
        <w:instrText xml:space="preserve"> PAGEREF _Toc24764 \h </w:instrText>
      </w:r>
      <w:r>
        <w:fldChar w:fldCharType="separate"/>
      </w:r>
      <w:r>
        <w:t>39</w:t>
      </w:r>
      <w:r>
        <w:fldChar w:fldCharType="end"/>
      </w:r>
      <w:r>
        <w:rPr>
          <w:rFonts w:hint="eastAsia" w:ascii="仿宋" w:hAnsi="仿宋" w:eastAsia="仿宋" w:cs="仿宋"/>
          <w:highlight w:val="none"/>
        </w:rPr>
        <w:fldChar w:fldCharType="end"/>
      </w:r>
    </w:p>
    <w:p w14:paraId="24B833B9">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_Toc4633 </w:instrText>
      </w:r>
      <w:r>
        <w:rPr>
          <w:rFonts w:hint="eastAsia" w:ascii="仿宋" w:hAnsi="仿宋" w:eastAsia="仿宋" w:cs="仿宋"/>
          <w:highlight w:val="none"/>
        </w:rPr>
        <w:fldChar w:fldCharType="separate"/>
      </w:r>
      <w:r>
        <w:rPr>
          <w:rFonts w:hint="eastAsia" w:ascii="仿宋" w:hAnsi="仿宋" w:eastAsia="仿宋" w:cs="仿宋"/>
          <w:bCs/>
          <w:kern w:val="2"/>
          <w:szCs w:val="24"/>
          <w:highlight w:val="none"/>
        </w:rPr>
        <w:t>6  响应文件还应包括第五章、综合评分表的所有技术文件</w:t>
      </w:r>
      <w:r>
        <w:tab/>
      </w:r>
      <w:r>
        <w:fldChar w:fldCharType="begin"/>
      </w:r>
      <w:r>
        <w:instrText xml:space="preserve"> PAGEREF _Toc4633 \h </w:instrText>
      </w:r>
      <w:r>
        <w:fldChar w:fldCharType="separate"/>
      </w:r>
      <w:r>
        <w:t>40</w:t>
      </w:r>
      <w:r>
        <w:fldChar w:fldCharType="end"/>
      </w:r>
      <w:r>
        <w:rPr>
          <w:rFonts w:hint="eastAsia" w:ascii="仿宋" w:hAnsi="仿宋" w:eastAsia="仿宋" w:cs="仿宋"/>
          <w:highlight w:val="none"/>
        </w:rPr>
        <w:fldChar w:fldCharType="end"/>
      </w:r>
    </w:p>
    <w:p w14:paraId="235BD6F0">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_Toc22248 </w:instrText>
      </w:r>
      <w:r>
        <w:rPr>
          <w:rFonts w:hint="eastAsia" w:ascii="仿宋" w:hAnsi="仿宋" w:eastAsia="仿宋" w:cs="仿宋"/>
          <w:highlight w:val="none"/>
        </w:rPr>
        <w:fldChar w:fldCharType="separate"/>
      </w:r>
      <w:r>
        <w:rPr>
          <w:rFonts w:hint="eastAsia" w:ascii="仿宋" w:hAnsi="仿宋" w:eastAsia="仿宋" w:cs="仿宋"/>
          <w:bCs/>
          <w:kern w:val="2"/>
          <w:szCs w:val="24"/>
          <w:highlight w:val="none"/>
        </w:rPr>
        <w:t>7 供应商关联单位的说明</w:t>
      </w:r>
      <w:r>
        <w:tab/>
      </w:r>
      <w:r>
        <w:fldChar w:fldCharType="begin"/>
      </w:r>
      <w:r>
        <w:instrText xml:space="preserve"> PAGEREF _Toc22248 \h </w:instrText>
      </w:r>
      <w:r>
        <w:fldChar w:fldCharType="separate"/>
      </w:r>
      <w:r>
        <w:t>40</w:t>
      </w:r>
      <w:r>
        <w:fldChar w:fldCharType="end"/>
      </w:r>
      <w:r>
        <w:rPr>
          <w:rFonts w:hint="eastAsia" w:ascii="仿宋" w:hAnsi="仿宋" w:eastAsia="仿宋" w:cs="仿宋"/>
          <w:highlight w:val="none"/>
        </w:rPr>
        <w:fldChar w:fldCharType="end"/>
      </w:r>
    </w:p>
    <w:p w14:paraId="70609C16">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_Toc31670 </w:instrText>
      </w:r>
      <w:r>
        <w:rPr>
          <w:rFonts w:hint="eastAsia" w:ascii="仿宋" w:hAnsi="仿宋" w:eastAsia="仿宋" w:cs="仿宋"/>
          <w:highlight w:val="none"/>
        </w:rPr>
        <w:fldChar w:fldCharType="separate"/>
      </w:r>
      <w:r>
        <w:rPr>
          <w:rFonts w:hint="eastAsia" w:ascii="仿宋" w:hAnsi="仿宋" w:eastAsia="仿宋" w:cs="仿宋"/>
          <w:bCs/>
          <w:kern w:val="2"/>
          <w:szCs w:val="24"/>
          <w:highlight w:val="none"/>
        </w:rPr>
        <w:t>8 其他有利于供应商的文件或证明材料</w:t>
      </w:r>
      <w:r>
        <w:tab/>
      </w:r>
      <w:r>
        <w:fldChar w:fldCharType="begin"/>
      </w:r>
      <w:r>
        <w:instrText xml:space="preserve"> PAGEREF _Toc31670 \h </w:instrText>
      </w:r>
      <w:r>
        <w:fldChar w:fldCharType="separate"/>
      </w:r>
      <w:r>
        <w:t>40</w:t>
      </w:r>
      <w:r>
        <w:fldChar w:fldCharType="end"/>
      </w:r>
      <w:r>
        <w:rPr>
          <w:rFonts w:hint="eastAsia" w:ascii="仿宋" w:hAnsi="仿宋" w:eastAsia="仿宋" w:cs="仿宋"/>
          <w:highlight w:val="none"/>
        </w:rPr>
        <w:fldChar w:fldCharType="end"/>
      </w:r>
    </w:p>
    <w:p w14:paraId="33E2115B">
      <w:pPr>
        <w:pStyle w:val="19"/>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_Toc31176 </w:instrText>
      </w:r>
      <w:r>
        <w:rPr>
          <w:rFonts w:hint="eastAsia" w:ascii="仿宋" w:hAnsi="仿宋" w:eastAsia="仿宋" w:cs="仿宋"/>
          <w:highlight w:val="none"/>
        </w:rPr>
        <w:fldChar w:fldCharType="separate"/>
      </w:r>
      <w:r>
        <w:rPr>
          <w:rFonts w:hint="eastAsia" w:ascii="仿宋" w:hAnsi="仿宋" w:eastAsia="仿宋" w:cs="仿宋"/>
          <w:bCs/>
          <w:kern w:val="2"/>
          <w:szCs w:val="24"/>
          <w:highlight w:val="none"/>
        </w:rPr>
        <w:t>9 对本项目响应文件（响应文件）中资料真实性的承诺</w:t>
      </w:r>
      <w:r>
        <w:tab/>
      </w:r>
      <w:r>
        <w:fldChar w:fldCharType="begin"/>
      </w:r>
      <w:r>
        <w:instrText xml:space="preserve"> PAGEREF _Toc31176 \h </w:instrText>
      </w:r>
      <w:r>
        <w:fldChar w:fldCharType="separate"/>
      </w:r>
      <w:r>
        <w:t>41</w:t>
      </w:r>
      <w:r>
        <w:fldChar w:fldCharType="end"/>
      </w:r>
      <w:r>
        <w:rPr>
          <w:rFonts w:hint="eastAsia" w:ascii="仿宋" w:hAnsi="仿宋" w:eastAsia="仿宋" w:cs="仿宋"/>
          <w:highlight w:val="none"/>
        </w:rPr>
        <w:fldChar w:fldCharType="end"/>
      </w:r>
    </w:p>
    <w:p w14:paraId="3C82B571">
      <w:pPr>
        <w:pStyle w:val="15"/>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_Toc10126 </w:instrText>
      </w:r>
      <w:r>
        <w:rPr>
          <w:rFonts w:hint="eastAsia" w:ascii="仿宋" w:hAnsi="仿宋" w:eastAsia="仿宋" w:cs="仿宋"/>
          <w:highlight w:val="none"/>
        </w:rPr>
        <w:fldChar w:fldCharType="separate"/>
      </w:r>
      <w:r>
        <w:rPr>
          <w:rFonts w:hint="eastAsia" w:ascii="仿宋" w:hAnsi="仿宋" w:eastAsia="仿宋" w:cs="仿宋"/>
          <w:bCs/>
          <w:kern w:val="2"/>
          <w:szCs w:val="36"/>
          <w:lang w:val="en-US" w:eastAsia="zh-CN" w:bidi="ar-SA"/>
        </w:rPr>
        <w:t>第三章 投标邀请</w:t>
      </w:r>
      <w:r>
        <w:tab/>
      </w:r>
      <w:r>
        <w:fldChar w:fldCharType="begin"/>
      </w:r>
      <w:r>
        <w:instrText xml:space="preserve"> PAGEREF _Toc10126 \h </w:instrText>
      </w:r>
      <w:r>
        <w:fldChar w:fldCharType="separate"/>
      </w:r>
      <w:r>
        <w:t>43</w:t>
      </w:r>
      <w:r>
        <w:fldChar w:fldCharType="end"/>
      </w:r>
      <w:r>
        <w:rPr>
          <w:rFonts w:hint="eastAsia" w:ascii="仿宋" w:hAnsi="仿宋" w:eastAsia="仿宋" w:cs="仿宋"/>
          <w:highlight w:val="none"/>
        </w:rPr>
        <w:fldChar w:fldCharType="end"/>
      </w:r>
    </w:p>
    <w:p w14:paraId="04B81F9C">
      <w:pPr>
        <w:pStyle w:val="15"/>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_Toc7678 </w:instrText>
      </w:r>
      <w:r>
        <w:rPr>
          <w:rFonts w:hint="eastAsia" w:ascii="仿宋" w:hAnsi="仿宋" w:eastAsia="仿宋" w:cs="仿宋"/>
          <w:highlight w:val="none"/>
        </w:rPr>
        <w:fldChar w:fldCharType="separate"/>
      </w:r>
      <w:r>
        <w:rPr>
          <w:rFonts w:hint="eastAsia" w:ascii="仿宋" w:hAnsi="仿宋" w:eastAsia="仿宋" w:cs="仿宋"/>
          <w:bCs/>
          <w:szCs w:val="44"/>
        </w:rPr>
        <w:t>第四章  投标人须知资料表</w:t>
      </w:r>
      <w:r>
        <w:tab/>
      </w:r>
      <w:r>
        <w:fldChar w:fldCharType="begin"/>
      </w:r>
      <w:r>
        <w:instrText xml:space="preserve"> PAGEREF _Toc7678 \h </w:instrText>
      </w:r>
      <w:r>
        <w:fldChar w:fldCharType="separate"/>
      </w:r>
      <w:r>
        <w:t>46</w:t>
      </w:r>
      <w:r>
        <w:fldChar w:fldCharType="end"/>
      </w:r>
      <w:r>
        <w:rPr>
          <w:rFonts w:hint="eastAsia" w:ascii="仿宋" w:hAnsi="仿宋" w:eastAsia="仿宋" w:cs="仿宋"/>
          <w:highlight w:val="none"/>
        </w:rPr>
        <w:fldChar w:fldCharType="end"/>
      </w:r>
    </w:p>
    <w:p w14:paraId="4654C591">
      <w:pPr>
        <w:pStyle w:val="15"/>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_Toc5208 </w:instrText>
      </w:r>
      <w:r>
        <w:rPr>
          <w:rFonts w:hint="eastAsia" w:ascii="仿宋" w:hAnsi="仿宋" w:eastAsia="仿宋" w:cs="仿宋"/>
          <w:highlight w:val="none"/>
        </w:rPr>
        <w:fldChar w:fldCharType="separate"/>
      </w:r>
      <w:r>
        <w:rPr>
          <w:rFonts w:hint="eastAsia" w:ascii="仿宋" w:hAnsi="仿宋" w:eastAsia="仿宋" w:cs="仿宋"/>
          <w:bCs/>
          <w:szCs w:val="44"/>
        </w:rPr>
        <w:t xml:space="preserve">第五章  </w:t>
      </w:r>
      <w:r>
        <w:rPr>
          <w:rFonts w:hint="eastAsia" w:ascii="仿宋" w:hAnsi="仿宋" w:eastAsia="仿宋" w:cs="仿宋"/>
          <w:bCs/>
          <w:szCs w:val="44"/>
          <w:lang w:eastAsia="zh-CN"/>
        </w:rPr>
        <w:t>服务</w:t>
      </w:r>
      <w:r>
        <w:rPr>
          <w:rFonts w:hint="eastAsia" w:ascii="仿宋" w:hAnsi="仿宋" w:eastAsia="仿宋" w:cs="仿宋"/>
          <w:bCs/>
          <w:szCs w:val="44"/>
        </w:rPr>
        <w:t>需求一览表及技术规格</w:t>
      </w:r>
      <w:r>
        <w:tab/>
      </w:r>
      <w:r>
        <w:fldChar w:fldCharType="begin"/>
      </w:r>
      <w:r>
        <w:instrText xml:space="preserve"> PAGEREF _Toc5208 \h </w:instrText>
      </w:r>
      <w:r>
        <w:fldChar w:fldCharType="separate"/>
      </w:r>
      <w:r>
        <w:t>49</w:t>
      </w:r>
      <w:r>
        <w:fldChar w:fldCharType="end"/>
      </w:r>
      <w:r>
        <w:rPr>
          <w:rFonts w:hint="eastAsia" w:ascii="仿宋" w:hAnsi="仿宋" w:eastAsia="仿宋" w:cs="仿宋"/>
          <w:highlight w:val="none"/>
        </w:rPr>
        <w:fldChar w:fldCharType="end"/>
      </w:r>
    </w:p>
    <w:p w14:paraId="2A77A083">
      <w:pPr>
        <w:pStyle w:val="15"/>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_Toc22903 </w:instrText>
      </w:r>
      <w:r>
        <w:rPr>
          <w:rFonts w:hint="eastAsia" w:ascii="仿宋" w:hAnsi="仿宋" w:eastAsia="仿宋" w:cs="仿宋"/>
          <w:highlight w:val="none"/>
        </w:rPr>
        <w:fldChar w:fldCharType="separate"/>
      </w:r>
      <w:r>
        <w:rPr>
          <w:rFonts w:hint="eastAsia" w:ascii="仿宋" w:hAnsi="仿宋" w:eastAsia="仿宋" w:cs="仿宋"/>
          <w:bCs/>
          <w:szCs w:val="44"/>
          <w:lang w:val="en-US" w:eastAsia="zh-CN"/>
        </w:rPr>
        <w:t>第六章  评标方法和标准</w:t>
      </w:r>
      <w:r>
        <w:tab/>
      </w:r>
      <w:r>
        <w:fldChar w:fldCharType="begin"/>
      </w:r>
      <w:r>
        <w:instrText xml:space="preserve"> PAGEREF _Toc22903 \h </w:instrText>
      </w:r>
      <w:r>
        <w:fldChar w:fldCharType="separate"/>
      </w:r>
      <w:r>
        <w:t>49</w:t>
      </w:r>
      <w:r>
        <w:fldChar w:fldCharType="end"/>
      </w:r>
      <w:r>
        <w:rPr>
          <w:rFonts w:hint="eastAsia" w:ascii="仿宋" w:hAnsi="仿宋" w:eastAsia="仿宋" w:cs="仿宋"/>
          <w:highlight w:val="none"/>
        </w:rPr>
        <w:fldChar w:fldCharType="end"/>
      </w:r>
    </w:p>
    <w:p w14:paraId="0D67442E">
      <w:pPr>
        <w:pStyle w:val="15"/>
        <w:tabs>
          <w:tab w:val="right" w:leader="dot" w:pos="8426"/>
        </w:tabs>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_Toc12802 </w:instrText>
      </w:r>
      <w:r>
        <w:rPr>
          <w:rFonts w:hint="eastAsia" w:ascii="仿宋" w:hAnsi="仿宋" w:eastAsia="仿宋" w:cs="仿宋"/>
          <w:highlight w:val="none"/>
        </w:rPr>
        <w:fldChar w:fldCharType="separate"/>
      </w:r>
      <w:r>
        <w:rPr>
          <w:rFonts w:hint="eastAsia" w:ascii="仿宋" w:hAnsi="仿宋" w:eastAsia="仿宋" w:cs="仿宋"/>
          <w:bCs/>
          <w:szCs w:val="44"/>
          <w:lang w:val="en-US" w:eastAsia="zh-CN"/>
        </w:rPr>
        <w:t>第七章  政府采购合同</w:t>
      </w:r>
      <w:r>
        <w:tab/>
      </w:r>
      <w:r>
        <w:fldChar w:fldCharType="begin"/>
      </w:r>
      <w:r>
        <w:instrText xml:space="preserve"> PAGEREF _Toc12802 \h </w:instrText>
      </w:r>
      <w:r>
        <w:fldChar w:fldCharType="separate"/>
      </w:r>
      <w:r>
        <w:t>62</w:t>
      </w:r>
      <w:r>
        <w:fldChar w:fldCharType="end"/>
      </w:r>
      <w:r>
        <w:rPr>
          <w:rFonts w:hint="eastAsia" w:ascii="仿宋" w:hAnsi="仿宋" w:eastAsia="仿宋" w:cs="仿宋"/>
          <w:highlight w:val="none"/>
        </w:rPr>
        <w:fldChar w:fldCharType="end"/>
      </w:r>
    </w:p>
    <w:p w14:paraId="3067C691">
      <w:pPr>
        <w:spacing w:line="340" w:lineRule="exact"/>
        <w:ind w:left="900" w:hanging="787" w:hangingChars="375"/>
        <w:rPr>
          <w:rFonts w:hint="eastAsia" w:ascii="仿宋" w:hAnsi="仿宋" w:eastAsia="仿宋" w:cs="仿宋"/>
          <w:highlight w:val="none"/>
        </w:rPr>
      </w:pPr>
      <w:r>
        <w:rPr>
          <w:rFonts w:hint="eastAsia" w:ascii="仿宋" w:hAnsi="仿宋" w:eastAsia="仿宋" w:cs="仿宋"/>
          <w:highlight w:val="none"/>
        </w:rPr>
        <w:fldChar w:fldCharType="end"/>
      </w:r>
      <w:bookmarkEnd w:id="0"/>
    </w:p>
    <w:p w14:paraId="139E171E">
      <w:pPr>
        <w:pStyle w:val="8"/>
        <w:rPr>
          <w:rFonts w:hint="eastAsia" w:ascii="仿宋" w:hAnsi="仿宋" w:eastAsia="仿宋" w:cs="仿宋"/>
          <w:highlight w:val="none"/>
        </w:rPr>
      </w:pPr>
    </w:p>
    <w:p w14:paraId="6EAEFEF3">
      <w:pPr>
        <w:rPr>
          <w:rFonts w:hint="eastAsia" w:ascii="仿宋" w:hAnsi="仿宋" w:eastAsia="仿宋" w:cs="仿宋"/>
          <w:highlight w:val="none"/>
        </w:rPr>
      </w:pPr>
    </w:p>
    <w:p w14:paraId="6DB1A41B">
      <w:pPr>
        <w:pStyle w:val="8"/>
        <w:rPr>
          <w:rFonts w:hint="eastAsia" w:ascii="仿宋" w:hAnsi="仿宋" w:eastAsia="仿宋" w:cs="仿宋"/>
          <w:highlight w:val="none"/>
        </w:rPr>
      </w:pPr>
    </w:p>
    <w:p w14:paraId="77BBD0D2">
      <w:pPr>
        <w:rPr>
          <w:rFonts w:hint="eastAsia" w:ascii="仿宋" w:hAnsi="仿宋" w:eastAsia="仿宋" w:cs="仿宋"/>
          <w:highlight w:val="none"/>
        </w:rPr>
      </w:pPr>
    </w:p>
    <w:p w14:paraId="23F12EDB">
      <w:pPr>
        <w:pStyle w:val="8"/>
        <w:rPr>
          <w:rFonts w:hint="eastAsia" w:ascii="仿宋" w:hAnsi="仿宋" w:eastAsia="仿宋" w:cs="仿宋"/>
          <w:highlight w:val="none"/>
        </w:rPr>
      </w:pPr>
    </w:p>
    <w:p w14:paraId="5163B3D9">
      <w:pPr>
        <w:rPr>
          <w:rFonts w:hint="eastAsia" w:ascii="仿宋" w:hAnsi="仿宋" w:eastAsia="仿宋" w:cs="仿宋"/>
          <w:highlight w:val="none"/>
        </w:rPr>
      </w:pPr>
    </w:p>
    <w:p w14:paraId="3C79C711">
      <w:pPr>
        <w:pStyle w:val="8"/>
        <w:rPr>
          <w:rFonts w:hint="eastAsia" w:ascii="仿宋" w:hAnsi="仿宋" w:eastAsia="仿宋" w:cs="仿宋"/>
          <w:highlight w:val="none"/>
        </w:rPr>
      </w:pPr>
    </w:p>
    <w:p w14:paraId="797E4E8B">
      <w:pPr>
        <w:rPr>
          <w:rFonts w:hint="eastAsia" w:ascii="仿宋" w:hAnsi="仿宋" w:eastAsia="仿宋" w:cs="仿宋"/>
          <w:highlight w:val="none"/>
        </w:rPr>
      </w:pPr>
    </w:p>
    <w:p w14:paraId="40A63CB5">
      <w:pPr>
        <w:pStyle w:val="8"/>
        <w:rPr>
          <w:rFonts w:hint="eastAsia" w:ascii="仿宋" w:hAnsi="仿宋" w:eastAsia="仿宋" w:cs="仿宋"/>
          <w:highlight w:val="none"/>
        </w:rPr>
      </w:pPr>
    </w:p>
    <w:p w14:paraId="6D9198A0">
      <w:pPr>
        <w:rPr>
          <w:rFonts w:hint="eastAsia" w:ascii="仿宋" w:hAnsi="仿宋" w:eastAsia="仿宋" w:cs="仿宋"/>
          <w:highlight w:val="none"/>
        </w:rPr>
      </w:pPr>
    </w:p>
    <w:p w14:paraId="092E7B7A">
      <w:pPr>
        <w:pStyle w:val="8"/>
        <w:rPr>
          <w:rFonts w:hint="eastAsia" w:ascii="仿宋" w:hAnsi="仿宋" w:eastAsia="仿宋" w:cs="仿宋"/>
          <w:highlight w:val="none"/>
        </w:rPr>
      </w:pPr>
    </w:p>
    <w:p w14:paraId="4012B804">
      <w:pPr>
        <w:rPr>
          <w:rFonts w:hint="eastAsia" w:ascii="仿宋" w:hAnsi="仿宋" w:eastAsia="仿宋" w:cs="仿宋"/>
          <w:highlight w:val="none"/>
        </w:rPr>
      </w:pPr>
    </w:p>
    <w:p w14:paraId="79FBCE23">
      <w:pPr>
        <w:pStyle w:val="8"/>
        <w:rPr>
          <w:rFonts w:hint="eastAsia" w:ascii="仿宋" w:hAnsi="仿宋" w:eastAsia="仿宋" w:cs="仿宋"/>
          <w:highlight w:val="none"/>
        </w:rPr>
      </w:pPr>
    </w:p>
    <w:p w14:paraId="6A428876">
      <w:pPr>
        <w:rPr>
          <w:rFonts w:hint="eastAsia" w:ascii="仿宋" w:hAnsi="仿宋" w:eastAsia="仿宋" w:cs="仿宋"/>
          <w:highlight w:val="none"/>
        </w:rPr>
      </w:pPr>
    </w:p>
    <w:p w14:paraId="39F92433">
      <w:pPr>
        <w:pStyle w:val="3"/>
        <w:spacing w:before="0" w:line="340" w:lineRule="exact"/>
        <w:ind w:left="1079" w:leftChars="257" w:hanging="540"/>
        <w:rPr>
          <w:rFonts w:ascii="仿宋" w:hAnsi="仿宋" w:eastAsia="仿宋" w:cs="仿宋"/>
          <w:b w:val="0"/>
          <w:bCs/>
          <w:sz w:val="24"/>
          <w:szCs w:val="24"/>
          <w:highlight w:val="none"/>
        </w:rPr>
      </w:pPr>
      <w:bookmarkStart w:id="27" w:name="_Toc27510"/>
      <w:r>
        <w:rPr>
          <w:rFonts w:hint="eastAsia" w:ascii="仿宋" w:hAnsi="仿宋" w:eastAsia="仿宋" w:cs="仿宋"/>
          <w:sz w:val="24"/>
          <w:szCs w:val="24"/>
          <w:highlight w:val="none"/>
        </w:rPr>
        <w:t>一 总  则</w:t>
      </w:r>
      <w:bookmarkEnd w:id="27"/>
    </w:p>
    <w:p w14:paraId="0636DB4B">
      <w:pPr>
        <w:pStyle w:val="6"/>
        <w:spacing w:line="340" w:lineRule="exact"/>
        <w:rPr>
          <w:rFonts w:ascii="仿宋" w:hAnsi="仿宋" w:eastAsia="仿宋" w:cs="仿宋"/>
          <w:szCs w:val="24"/>
          <w:highlight w:val="none"/>
        </w:rPr>
      </w:pPr>
    </w:p>
    <w:p w14:paraId="0FCE4B2E">
      <w:pPr>
        <w:pStyle w:val="4"/>
        <w:spacing w:before="0" w:after="0" w:line="340" w:lineRule="exact"/>
        <w:rPr>
          <w:rFonts w:ascii="仿宋" w:hAnsi="仿宋" w:eastAsia="仿宋" w:cs="仿宋"/>
          <w:szCs w:val="24"/>
          <w:highlight w:val="none"/>
        </w:rPr>
      </w:pPr>
      <w:bookmarkStart w:id="28" w:name="_Toc518923061"/>
      <w:bookmarkStart w:id="29" w:name="_Toc520356144"/>
      <w:bookmarkStart w:id="30" w:name="_Toc17361"/>
      <w:bookmarkStart w:id="31" w:name="_Toc20699"/>
      <w:r>
        <w:rPr>
          <w:rFonts w:hint="eastAsia" w:ascii="仿宋" w:hAnsi="仿宋" w:eastAsia="仿宋" w:cs="仿宋"/>
          <w:szCs w:val="24"/>
          <w:highlight w:val="none"/>
        </w:rPr>
        <w:t>1.采购人、采购代理机构及</w:t>
      </w:r>
      <w:bookmarkEnd w:id="28"/>
      <w:bookmarkEnd w:id="29"/>
      <w:r>
        <w:rPr>
          <w:rFonts w:hint="eastAsia" w:ascii="仿宋" w:hAnsi="仿宋" w:eastAsia="仿宋" w:cs="仿宋"/>
          <w:szCs w:val="24"/>
          <w:highlight w:val="none"/>
        </w:rPr>
        <w:t>供应商</w:t>
      </w:r>
      <w:bookmarkEnd w:id="30"/>
      <w:bookmarkEnd w:id="31"/>
    </w:p>
    <w:p w14:paraId="0E99D6F0">
      <w:pPr>
        <w:numPr>
          <w:ilvl w:val="1"/>
          <w:numId w:val="2"/>
        </w:numPr>
        <w:tabs>
          <w:tab w:val="left" w:pos="0"/>
          <w:tab w:val="clear" w:pos="900"/>
        </w:tabs>
        <w:spacing w:line="340" w:lineRule="exact"/>
        <w:ind w:hanging="898"/>
        <w:rPr>
          <w:rFonts w:ascii="仿宋" w:hAnsi="仿宋" w:eastAsia="仿宋" w:cs="仿宋"/>
          <w:kern w:val="0"/>
          <w:sz w:val="24"/>
          <w:highlight w:val="none"/>
        </w:rPr>
      </w:pPr>
      <w:r>
        <w:rPr>
          <w:rFonts w:hint="eastAsia" w:ascii="仿宋" w:hAnsi="仿宋" w:eastAsia="仿宋" w:cs="仿宋"/>
          <w:kern w:val="0"/>
          <w:sz w:val="24"/>
          <w:highlight w:val="none"/>
        </w:rPr>
        <w:t>采购人：是指依法开展政府采购活动的国家机关、事业单位、团体组织。</w:t>
      </w:r>
    </w:p>
    <w:p w14:paraId="4ABC6A77">
      <w:pPr>
        <w:tabs>
          <w:tab w:val="left" w:pos="0"/>
        </w:tabs>
        <w:spacing w:line="340" w:lineRule="exact"/>
        <w:ind w:left="900"/>
        <w:rPr>
          <w:rFonts w:ascii="仿宋" w:hAnsi="仿宋" w:eastAsia="仿宋" w:cs="仿宋"/>
          <w:kern w:val="0"/>
          <w:sz w:val="24"/>
          <w:highlight w:val="none"/>
        </w:rPr>
      </w:pPr>
      <w:r>
        <w:rPr>
          <w:rFonts w:hint="eastAsia" w:ascii="仿宋" w:hAnsi="仿宋" w:eastAsia="仿宋" w:cs="仿宋"/>
          <w:kern w:val="0"/>
          <w:sz w:val="24"/>
          <w:highlight w:val="none"/>
        </w:rPr>
        <w:t>本项目的采购人见供应商须知资料表。</w:t>
      </w:r>
    </w:p>
    <w:p w14:paraId="165ADA4D">
      <w:pPr>
        <w:numPr>
          <w:ilvl w:val="1"/>
          <w:numId w:val="2"/>
        </w:numPr>
        <w:tabs>
          <w:tab w:val="left" w:pos="0"/>
          <w:tab w:val="clear" w:pos="900"/>
        </w:tabs>
        <w:spacing w:line="340" w:lineRule="exact"/>
        <w:ind w:hanging="898"/>
        <w:rPr>
          <w:rFonts w:ascii="仿宋" w:hAnsi="仿宋" w:eastAsia="仿宋" w:cs="仿宋"/>
          <w:kern w:val="0"/>
          <w:sz w:val="24"/>
          <w:highlight w:val="none"/>
        </w:rPr>
      </w:pPr>
      <w:r>
        <w:rPr>
          <w:rFonts w:hint="eastAsia" w:ascii="仿宋" w:hAnsi="仿宋" w:eastAsia="仿宋" w:cs="仿宋"/>
          <w:kern w:val="0"/>
          <w:sz w:val="24"/>
          <w:highlight w:val="none"/>
        </w:rPr>
        <w:t>采购代理机构：是指集中采购机构或从事采购代理业务的社会中介机构。本项目的采购代理机构见供应商须知资料表。</w:t>
      </w:r>
    </w:p>
    <w:p w14:paraId="44043158">
      <w:pPr>
        <w:numPr>
          <w:ilvl w:val="1"/>
          <w:numId w:val="2"/>
        </w:numPr>
        <w:spacing w:line="340" w:lineRule="exact"/>
        <w:ind w:hangingChars="375"/>
        <w:rPr>
          <w:rFonts w:ascii="仿宋" w:hAnsi="仿宋" w:eastAsia="仿宋" w:cs="仿宋"/>
          <w:kern w:val="0"/>
          <w:sz w:val="24"/>
          <w:highlight w:val="none"/>
        </w:rPr>
      </w:pPr>
      <w:r>
        <w:rPr>
          <w:rFonts w:hint="eastAsia" w:ascii="仿宋" w:hAnsi="仿宋" w:eastAsia="仿宋" w:cs="仿宋"/>
          <w:kern w:val="0"/>
          <w:sz w:val="24"/>
          <w:highlight w:val="none"/>
        </w:rPr>
        <w:t>供应商：是指向采购人提供货物、工程或者服务的法人、非法人组织或者自然人。本项目的供应商须满足以下条件：</w:t>
      </w:r>
    </w:p>
    <w:p w14:paraId="5260BEBC">
      <w:pPr>
        <w:spacing w:line="340" w:lineRule="exact"/>
        <w:ind w:left="850" w:hanging="849" w:hangingChars="354"/>
        <w:rPr>
          <w:rFonts w:ascii="仿宋" w:hAnsi="仿宋" w:eastAsia="仿宋" w:cs="仿宋"/>
          <w:kern w:val="0"/>
          <w:sz w:val="24"/>
          <w:highlight w:val="none"/>
        </w:rPr>
      </w:pPr>
      <w:r>
        <w:rPr>
          <w:rFonts w:hint="eastAsia" w:ascii="仿宋" w:hAnsi="仿宋" w:eastAsia="仿宋" w:cs="仿宋"/>
          <w:kern w:val="0"/>
          <w:sz w:val="24"/>
          <w:highlight w:val="none"/>
        </w:rPr>
        <w:t>1.3.1</w:t>
      </w:r>
      <w:r>
        <w:rPr>
          <w:rFonts w:hint="eastAsia" w:ascii="仿宋" w:hAnsi="仿宋" w:eastAsia="仿宋" w:cs="仿宋"/>
          <w:kern w:val="0"/>
          <w:sz w:val="24"/>
          <w:highlight w:val="none"/>
        </w:rPr>
        <w:tab/>
      </w:r>
      <w:r>
        <w:rPr>
          <w:rFonts w:hint="eastAsia" w:ascii="仿宋" w:hAnsi="仿宋" w:eastAsia="仿宋" w:cs="仿宋"/>
          <w:kern w:val="0"/>
          <w:sz w:val="24"/>
          <w:highlight w:val="none"/>
        </w:rPr>
        <w:t>在中华人民共和国境内注册，能够独立承担民事责任，有生产或供应能力的本国供应商。</w:t>
      </w:r>
    </w:p>
    <w:p w14:paraId="516F9F38">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1.3.2  具备《中华人民共和国政府采购法》第二十二条关于供应商条件的规定，遵守本项目采购人本级和上级财政部门政府采购的有关规定。</w:t>
      </w:r>
    </w:p>
    <w:p w14:paraId="0FBB6992">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1.3.3   以采购代理机构认可的方式获得了本项目的磋商文件。</w:t>
      </w:r>
    </w:p>
    <w:p w14:paraId="50A509F9">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1.3.4   符合供应商须知资料表中规定的其他要求。</w:t>
      </w:r>
    </w:p>
    <w:p w14:paraId="31EF98C8">
      <w:pPr>
        <w:spacing w:line="340" w:lineRule="exact"/>
        <w:ind w:left="900" w:hanging="900" w:hangingChars="375"/>
      </w:pPr>
      <w:r>
        <w:rPr>
          <w:rFonts w:hint="eastAsia" w:ascii="仿宋" w:hAnsi="仿宋" w:eastAsia="仿宋" w:cs="仿宋"/>
          <w:kern w:val="0"/>
          <w:sz w:val="24"/>
          <w:highlight w:val="none"/>
        </w:rPr>
        <w:t>1.3.5   若供应商须知资料表中写明专门面向中小企业采购的，如供应商为非中小企业，其投标将被认定为</w:t>
      </w:r>
      <w:r>
        <w:rPr>
          <w:rFonts w:hint="eastAsia" w:ascii="仿宋" w:hAnsi="仿宋" w:eastAsia="仿宋" w:cs="仿宋"/>
          <w:b/>
          <w:bCs/>
          <w:kern w:val="0"/>
          <w:sz w:val="24"/>
          <w:highlight w:val="none"/>
        </w:rPr>
        <w:t>投标无效</w:t>
      </w:r>
      <w:r>
        <w:rPr>
          <w:rFonts w:hint="eastAsia" w:ascii="仿宋" w:hAnsi="仿宋" w:eastAsia="仿宋" w:cs="仿宋"/>
          <w:kern w:val="0"/>
          <w:sz w:val="24"/>
          <w:highlight w:val="none"/>
        </w:rPr>
        <w:t>。</w:t>
      </w:r>
    </w:p>
    <w:p w14:paraId="4699D51B">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1.4     如供应商须知资料表中允许联合体投标，对联合体规定如下：</w:t>
      </w:r>
    </w:p>
    <w:p w14:paraId="44B446AA">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1.4.1   两个以上供应商可以组成一个投标联合体，以一个供应商的身份投标。</w:t>
      </w:r>
    </w:p>
    <w:p w14:paraId="112D974C">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1.4.2   联合体各方均应符合《中华人民共和国政府采购法》第二十二条规定的条件。</w:t>
      </w:r>
    </w:p>
    <w:p w14:paraId="2FAABE3A">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1.4.3   采购人根据采购项目对供应商的特殊要求，联合体中至少应当有一方符合相关规定。</w:t>
      </w:r>
    </w:p>
    <w:p w14:paraId="60454D74">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1.4.4   联合体各方应签订共同投标协议，明确约定联合体各方承担的工作和相应的责任，并将共同投标协议连同响应文件一并提交招标采购单位。</w:t>
      </w:r>
    </w:p>
    <w:p w14:paraId="0A292084">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0CBD2C3E">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1.4.6  联合体中有同类资质的供应商按照联合体分工承担相同工作的，按照资质等级较低的供应商确定资质等级。</w:t>
      </w:r>
    </w:p>
    <w:p w14:paraId="34175C5F">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1.4.7  以联合体形式参加政府采购活动的，联合体各方不得再单独参加或者与其他供应商另外组成联合体参加本项目投标，否则相关投标将被认定为投标无效。</w:t>
      </w:r>
    </w:p>
    <w:p w14:paraId="505AC060">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1.4.8   对联合体投标的其他资格要求见供应商须知资料表。</w:t>
      </w:r>
    </w:p>
    <w:p w14:paraId="052ADC37">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1.5    单位负责人为同一人或者存在直接控股、管理关系的不同供应商，其相关投标将被认定为投标无效。</w:t>
      </w:r>
    </w:p>
    <w:p w14:paraId="499676E3">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1.6    为本项目提供过整体设计、规范编制或者项目管理、监理、检测等服务的供应商，不得再参加本项目上述服务以外的其他采购活动。否则其投标将被认定为投标无效。</w:t>
      </w:r>
    </w:p>
    <w:p w14:paraId="6A480AA9">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1.7</w:t>
      </w:r>
      <w:r>
        <w:rPr>
          <w:rFonts w:hint="eastAsia" w:ascii="仿宋" w:hAnsi="仿宋" w:eastAsia="仿宋" w:cs="仿宋"/>
          <w:kern w:val="0"/>
          <w:sz w:val="24"/>
          <w:highlight w:val="none"/>
        </w:rPr>
        <w:tab/>
      </w:r>
      <w:r>
        <w:rPr>
          <w:rFonts w:hint="eastAsia" w:ascii="仿宋" w:hAnsi="仿宋" w:eastAsia="仿宋" w:cs="仿宋"/>
          <w:kern w:val="0"/>
          <w:sz w:val="24"/>
          <w:highlight w:val="none"/>
        </w:rPr>
        <w:t>供应商在投标过程中不得向采购人提供或给予影响其正常决策行为的任何有价值物品或服务。一经发现，其投标将被认定为投标无效。</w:t>
      </w:r>
    </w:p>
    <w:p w14:paraId="0159F985">
      <w:pPr>
        <w:pStyle w:val="4"/>
        <w:spacing w:before="0" w:after="0" w:line="340" w:lineRule="exact"/>
        <w:rPr>
          <w:rFonts w:ascii="仿宋" w:hAnsi="仿宋" w:eastAsia="仿宋" w:cs="仿宋"/>
          <w:szCs w:val="24"/>
          <w:highlight w:val="none"/>
        </w:rPr>
      </w:pPr>
      <w:bookmarkStart w:id="32" w:name="_Toc101"/>
      <w:bookmarkStart w:id="33" w:name="_Toc518923062"/>
      <w:bookmarkStart w:id="34" w:name="_Toc7165"/>
      <w:r>
        <w:rPr>
          <w:rFonts w:hint="eastAsia" w:ascii="仿宋" w:hAnsi="仿宋" w:eastAsia="仿宋" w:cs="仿宋"/>
          <w:szCs w:val="24"/>
          <w:highlight w:val="none"/>
        </w:rPr>
        <w:t>2.资金来源</w:t>
      </w:r>
      <w:bookmarkEnd w:id="32"/>
      <w:bookmarkEnd w:id="33"/>
      <w:bookmarkEnd w:id="34"/>
    </w:p>
    <w:p w14:paraId="4FCEA8A3">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2.1</w:t>
      </w:r>
      <w:r>
        <w:rPr>
          <w:rFonts w:hint="eastAsia" w:ascii="仿宋" w:hAnsi="仿宋" w:eastAsia="仿宋" w:cs="仿宋"/>
          <w:kern w:val="0"/>
          <w:sz w:val="24"/>
          <w:highlight w:val="none"/>
        </w:rPr>
        <w:tab/>
      </w:r>
      <w:r>
        <w:rPr>
          <w:rFonts w:hint="eastAsia" w:ascii="仿宋" w:hAnsi="仿宋" w:eastAsia="仿宋" w:cs="仿宋"/>
          <w:kern w:val="0"/>
          <w:sz w:val="24"/>
          <w:highlight w:val="none"/>
        </w:rPr>
        <w:t>本项目的采购人已获得足以支付本次招标后所签订的合同项下的资金（包括财政性资金和本项目采购中无法与财政性资金分割的非财政性资金）。</w:t>
      </w:r>
    </w:p>
    <w:p w14:paraId="127127A1">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2.2    项目预算金额和分项或分包最高限价见供应商须知资料表。</w:t>
      </w:r>
    </w:p>
    <w:p w14:paraId="7041CBC6">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2.3    供应商报价超过磋商文件规定的预算金额或者分项、分包最高限价的，其投标将被认定为投标无效。</w:t>
      </w:r>
    </w:p>
    <w:p w14:paraId="27FBDC39">
      <w:pPr>
        <w:pStyle w:val="4"/>
        <w:spacing w:before="0" w:after="0" w:line="340" w:lineRule="exact"/>
        <w:rPr>
          <w:rFonts w:ascii="仿宋" w:hAnsi="仿宋" w:eastAsia="仿宋" w:cs="仿宋"/>
          <w:szCs w:val="24"/>
          <w:highlight w:val="none"/>
        </w:rPr>
      </w:pPr>
      <w:bookmarkStart w:id="35" w:name="_Toc3545"/>
      <w:bookmarkStart w:id="36" w:name="_Toc6628"/>
      <w:bookmarkStart w:id="37" w:name="_Toc520356145"/>
      <w:bookmarkStart w:id="38" w:name="_Toc518923063"/>
      <w:r>
        <w:rPr>
          <w:rFonts w:hint="eastAsia" w:ascii="仿宋" w:hAnsi="仿宋" w:eastAsia="仿宋" w:cs="仿宋"/>
          <w:szCs w:val="24"/>
          <w:highlight w:val="none"/>
        </w:rPr>
        <w:t>3.投标费用</w:t>
      </w:r>
      <w:bookmarkEnd w:id="35"/>
      <w:bookmarkEnd w:id="36"/>
      <w:bookmarkEnd w:id="37"/>
      <w:bookmarkEnd w:id="38"/>
    </w:p>
    <w:p w14:paraId="3C78962F">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ab/>
      </w:r>
      <w:r>
        <w:rPr>
          <w:rFonts w:hint="eastAsia" w:ascii="仿宋" w:hAnsi="仿宋" w:eastAsia="仿宋" w:cs="仿宋"/>
          <w:kern w:val="0"/>
          <w:sz w:val="24"/>
          <w:highlight w:val="none"/>
        </w:rPr>
        <w:t>不论投标的结果如何，供应商应承担所有与准备和参加投标有关的费用。</w:t>
      </w:r>
    </w:p>
    <w:p w14:paraId="4816BD40">
      <w:pPr>
        <w:pStyle w:val="4"/>
        <w:spacing w:before="0" w:after="0" w:line="340" w:lineRule="exact"/>
        <w:rPr>
          <w:rFonts w:ascii="仿宋" w:hAnsi="仿宋" w:eastAsia="仿宋" w:cs="仿宋"/>
          <w:szCs w:val="24"/>
          <w:highlight w:val="none"/>
        </w:rPr>
      </w:pPr>
      <w:bookmarkStart w:id="39" w:name="_Toc518923064"/>
      <w:bookmarkStart w:id="40" w:name="_Toc2984"/>
      <w:bookmarkStart w:id="41" w:name="_Toc12017"/>
      <w:r>
        <w:rPr>
          <w:rFonts w:hint="eastAsia" w:ascii="仿宋" w:hAnsi="仿宋" w:eastAsia="仿宋" w:cs="仿宋"/>
          <w:szCs w:val="24"/>
          <w:highlight w:val="none"/>
        </w:rPr>
        <w:t>4.适用法律</w:t>
      </w:r>
      <w:bookmarkEnd w:id="39"/>
      <w:bookmarkEnd w:id="40"/>
      <w:bookmarkEnd w:id="41"/>
    </w:p>
    <w:p w14:paraId="53720861">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 xml:space="preserve">       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14:paraId="4F7F8E6E">
      <w:pPr>
        <w:spacing w:line="340" w:lineRule="exact"/>
        <w:rPr>
          <w:rFonts w:ascii="仿宋" w:hAnsi="仿宋" w:eastAsia="仿宋" w:cs="仿宋"/>
          <w:kern w:val="0"/>
          <w:sz w:val="24"/>
          <w:highlight w:val="none"/>
        </w:rPr>
      </w:pPr>
    </w:p>
    <w:p w14:paraId="16076131">
      <w:pPr>
        <w:pStyle w:val="3"/>
        <w:spacing w:before="0" w:line="340" w:lineRule="exact"/>
        <w:ind w:left="1079" w:leftChars="257" w:hanging="540"/>
        <w:rPr>
          <w:rFonts w:ascii="仿宋" w:hAnsi="仿宋" w:eastAsia="仿宋" w:cs="仿宋"/>
          <w:sz w:val="24"/>
          <w:szCs w:val="24"/>
          <w:highlight w:val="none"/>
        </w:rPr>
      </w:pPr>
      <w:bookmarkStart w:id="42" w:name="_Toc14280"/>
      <w:bookmarkStart w:id="43" w:name="_Toc216582806"/>
      <w:bookmarkStart w:id="44" w:name="_Toc520356146"/>
      <w:bookmarkStart w:id="45" w:name="_Toc22101"/>
      <w:bookmarkStart w:id="46" w:name="_Toc518923065"/>
      <w:r>
        <w:rPr>
          <w:rFonts w:hint="eastAsia" w:ascii="仿宋" w:hAnsi="仿宋" w:eastAsia="仿宋" w:cs="仿宋"/>
          <w:sz w:val="24"/>
          <w:szCs w:val="24"/>
          <w:highlight w:val="none"/>
        </w:rPr>
        <w:t>二   磋商文件</w:t>
      </w:r>
      <w:bookmarkEnd w:id="42"/>
      <w:bookmarkEnd w:id="43"/>
      <w:bookmarkEnd w:id="44"/>
      <w:bookmarkEnd w:id="45"/>
      <w:bookmarkEnd w:id="46"/>
    </w:p>
    <w:p w14:paraId="30FEC6DD">
      <w:pPr>
        <w:pStyle w:val="6"/>
        <w:spacing w:line="340" w:lineRule="exact"/>
        <w:rPr>
          <w:rFonts w:ascii="仿宋" w:hAnsi="仿宋" w:eastAsia="仿宋" w:cs="仿宋"/>
          <w:szCs w:val="24"/>
          <w:highlight w:val="none"/>
        </w:rPr>
      </w:pPr>
    </w:p>
    <w:p w14:paraId="5956B7FF">
      <w:pPr>
        <w:pStyle w:val="4"/>
        <w:spacing w:before="0" w:after="0" w:line="340" w:lineRule="exact"/>
        <w:rPr>
          <w:rFonts w:ascii="仿宋" w:hAnsi="仿宋" w:eastAsia="仿宋" w:cs="仿宋"/>
          <w:szCs w:val="24"/>
          <w:highlight w:val="none"/>
        </w:rPr>
      </w:pPr>
      <w:bookmarkStart w:id="47" w:name="_Toc14994"/>
      <w:bookmarkStart w:id="48" w:name="_Toc518923066"/>
      <w:bookmarkStart w:id="49" w:name="_Toc520356147"/>
      <w:bookmarkStart w:id="50" w:name="_Toc13331"/>
      <w:r>
        <w:rPr>
          <w:rFonts w:hint="eastAsia" w:ascii="仿宋" w:hAnsi="仿宋" w:eastAsia="仿宋" w:cs="仿宋"/>
          <w:szCs w:val="24"/>
          <w:highlight w:val="none"/>
        </w:rPr>
        <w:t>5.磋商文件构成</w:t>
      </w:r>
      <w:bookmarkEnd w:id="47"/>
      <w:bookmarkEnd w:id="48"/>
      <w:bookmarkEnd w:id="49"/>
      <w:bookmarkEnd w:id="50"/>
    </w:p>
    <w:p w14:paraId="33D21C8F">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5.1</w:t>
      </w:r>
      <w:r>
        <w:rPr>
          <w:rFonts w:hint="eastAsia" w:ascii="仿宋" w:hAnsi="仿宋" w:eastAsia="仿宋" w:cs="仿宋"/>
          <w:kern w:val="0"/>
          <w:sz w:val="24"/>
          <w:highlight w:val="none"/>
        </w:rPr>
        <w:tab/>
      </w:r>
      <w:r>
        <w:rPr>
          <w:rFonts w:hint="eastAsia" w:ascii="仿宋" w:hAnsi="仿宋" w:eastAsia="仿宋" w:cs="仿宋"/>
          <w:kern w:val="0"/>
          <w:sz w:val="24"/>
          <w:highlight w:val="none"/>
        </w:rPr>
        <w:t>磋商文件分为三册共7章，内容如下：</w:t>
      </w:r>
    </w:p>
    <w:p w14:paraId="789BE5D6">
      <w:pPr>
        <w:spacing w:line="340" w:lineRule="exact"/>
        <w:ind w:left="1078" w:leftChars="428" w:hanging="180" w:hangingChars="75"/>
        <w:rPr>
          <w:rFonts w:ascii="仿宋" w:hAnsi="仿宋" w:eastAsia="仿宋" w:cs="仿宋"/>
          <w:kern w:val="0"/>
          <w:sz w:val="24"/>
          <w:highlight w:val="none"/>
        </w:rPr>
      </w:pPr>
      <w:r>
        <w:rPr>
          <w:rFonts w:hint="eastAsia" w:ascii="仿宋" w:hAnsi="仿宋" w:eastAsia="仿宋" w:cs="仿宋"/>
          <w:kern w:val="0"/>
          <w:sz w:val="24"/>
          <w:highlight w:val="none"/>
        </w:rPr>
        <w:t>第一册</w:t>
      </w:r>
    </w:p>
    <w:p w14:paraId="31111334">
      <w:pPr>
        <w:numPr>
          <w:ilvl w:val="0"/>
          <w:numId w:val="3"/>
        </w:numPr>
        <w:tabs>
          <w:tab w:val="left" w:pos="0"/>
          <w:tab w:val="clear" w:pos="1680"/>
        </w:tabs>
        <w:spacing w:line="340" w:lineRule="exact"/>
        <w:ind w:left="993" w:firstLine="0"/>
        <w:rPr>
          <w:rFonts w:ascii="仿宋" w:hAnsi="仿宋" w:eastAsia="仿宋" w:cs="仿宋"/>
          <w:kern w:val="0"/>
          <w:sz w:val="24"/>
          <w:highlight w:val="none"/>
        </w:rPr>
      </w:pPr>
      <w:r>
        <w:rPr>
          <w:rFonts w:hint="eastAsia" w:ascii="仿宋" w:hAnsi="仿宋" w:eastAsia="仿宋" w:cs="仿宋"/>
          <w:kern w:val="0"/>
          <w:sz w:val="24"/>
          <w:highlight w:val="none"/>
        </w:rPr>
        <w:t>供应商须知</w:t>
      </w:r>
    </w:p>
    <w:p w14:paraId="54B00463">
      <w:pPr>
        <w:numPr>
          <w:ilvl w:val="0"/>
          <w:numId w:val="3"/>
        </w:numPr>
        <w:spacing w:line="340" w:lineRule="exact"/>
        <w:ind w:left="1080" w:leftChars="429" w:hanging="180"/>
        <w:rPr>
          <w:rFonts w:ascii="仿宋" w:hAnsi="仿宋" w:eastAsia="仿宋" w:cs="仿宋"/>
          <w:kern w:val="0"/>
          <w:sz w:val="24"/>
          <w:highlight w:val="none"/>
        </w:rPr>
      </w:pPr>
      <w:r>
        <w:rPr>
          <w:rFonts w:hint="eastAsia" w:ascii="仿宋" w:hAnsi="仿宋" w:eastAsia="仿宋" w:cs="仿宋"/>
          <w:kern w:val="0"/>
          <w:sz w:val="24"/>
          <w:highlight w:val="none"/>
        </w:rPr>
        <w:t>　响应文件格式</w:t>
      </w:r>
    </w:p>
    <w:p w14:paraId="02685282">
      <w:pPr>
        <w:spacing w:line="340" w:lineRule="exact"/>
        <w:ind w:left="1080" w:leftChars="429" w:hanging="180"/>
        <w:rPr>
          <w:rFonts w:ascii="仿宋" w:hAnsi="仿宋" w:eastAsia="仿宋" w:cs="仿宋"/>
          <w:kern w:val="0"/>
          <w:sz w:val="24"/>
          <w:highlight w:val="none"/>
        </w:rPr>
      </w:pPr>
      <w:r>
        <w:rPr>
          <w:rFonts w:hint="eastAsia" w:ascii="仿宋" w:hAnsi="仿宋" w:eastAsia="仿宋" w:cs="仿宋"/>
          <w:kern w:val="0"/>
          <w:sz w:val="24"/>
          <w:highlight w:val="none"/>
        </w:rPr>
        <w:t>第二册</w:t>
      </w:r>
    </w:p>
    <w:p w14:paraId="74F5DC5D">
      <w:pPr>
        <w:numPr>
          <w:ilvl w:val="0"/>
          <w:numId w:val="3"/>
        </w:numPr>
        <w:spacing w:line="340" w:lineRule="exact"/>
        <w:ind w:left="1080" w:leftChars="429" w:hanging="180"/>
        <w:rPr>
          <w:rFonts w:ascii="仿宋" w:hAnsi="仿宋" w:eastAsia="仿宋" w:cs="仿宋"/>
          <w:kern w:val="0"/>
          <w:sz w:val="24"/>
          <w:highlight w:val="none"/>
        </w:rPr>
      </w:pPr>
      <w:r>
        <w:rPr>
          <w:rFonts w:hint="eastAsia" w:ascii="仿宋" w:hAnsi="仿宋" w:eastAsia="仿宋" w:cs="仿宋"/>
          <w:kern w:val="0"/>
          <w:sz w:val="24"/>
          <w:highlight w:val="none"/>
        </w:rPr>
        <w:t xml:space="preserve"> 磋商邀请</w:t>
      </w:r>
    </w:p>
    <w:p w14:paraId="5AB1F0C4">
      <w:pPr>
        <w:numPr>
          <w:ilvl w:val="0"/>
          <w:numId w:val="3"/>
        </w:numPr>
        <w:spacing w:line="340" w:lineRule="exact"/>
        <w:ind w:left="1080" w:leftChars="429" w:hanging="180"/>
        <w:rPr>
          <w:rFonts w:ascii="仿宋" w:hAnsi="仿宋" w:eastAsia="仿宋" w:cs="仿宋"/>
          <w:kern w:val="0"/>
          <w:sz w:val="24"/>
          <w:highlight w:val="none"/>
        </w:rPr>
      </w:pPr>
      <w:r>
        <w:rPr>
          <w:rFonts w:hint="eastAsia" w:ascii="仿宋" w:hAnsi="仿宋" w:eastAsia="仿宋" w:cs="仿宋"/>
          <w:kern w:val="0"/>
          <w:sz w:val="24"/>
          <w:highlight w:val="none"/>
        </w:rPr>
        <w:t xml:space="preserve"> 供应商须知资料表</w:t>
      </w:r>
    </w:p>
    <w:p w14:paraId="14B86B59">
      <w:pPr>
        <w:numPr>
          <w:ilvl w:val="0"/>
          <w:numId w:val="3"/>
        </w:numPr>
        <w:spacing w:line="340" w:lineRule="exact"/>
        <w:ind w:left="1080" w:leftChars="429" w:hanging="180"/>
        <w:rPr>
          <w:rFonts w:ascii="仿宋" w:hAnsi="仿宋" w:eastAsia="仿宋" w:cs="仿宋"/>
          <w:kern w:val="0"/>
          <w:sz w:val="24"/>
          <w:highlight w:val="none"/>
        </w:rPr>
      </w:pPr>
      <w:r>
        <w:rPr>
          <w:rFonts w:hint="eastAsia" w:ascii="仿宋" w:hAnsi="仿宋" w:eastAsia="仿宋" w:cs="仿宋"/>
          <w:kern w:val="0"/>
          <w:sz w:val="24"/>
          <w:highlight w:val="none"/>
        </w:rPr>
        <w:t xml:space="preserve"> 服务需求</w:t>
      </w:r>
    </w:p>
    <w:p w14:paraId="257CBCDE">
      <w:pPr>
        <w:numPr>
          <w:ilvl w:val="0"/>
          <w:numId w:val="3"/>
        </w:numPr>
        <w:spacing w:line="340" w:lineRule="exact"/>
        <w:ind w:left="1080" w:leftChars="429" w:hanging="180"/>
        <w:rPr>
          <w:rFonts w:ascii="仿宋" w:hAnsi="仿宋" w:eastAsia="仿宋" w:cs="仿宋"/>
          <w:kern w:val="0"/>
          <w:sz w:val="24"/>
          <w:highlight w:val="none"/>
        </w:rPr>
      </w:pPr>
      <w:r>
        <w:rPr>
          <w:rFonts w:hint="eastAsia" w:ascii="仿宋" w:hAnsi="仿宋" w:eastAsia="仿宋" w:cs="仿宋"/>
          <w:kern w:val="0"/>
          <w:sz w:val="24"/>
          <w:highlight w:val="none"/>
        </w:rPr>
        <w:t xml:space="preserve"> 评标方法和标准</w:t>
      </w:r>
    </w:p>
    <w:p w14:paraId="31575E34">
      <w:pPr>
        <w:spacing w:line="340" w:lineRule="exact"/>
        <w:ind w:left="901"/>
        <w:rPr>
          <w:rFonts w:ascii="仿宋" w:hAnsi="仿宋" w:eastAsia="仿宋" w:cs="仿宋"/>
          <w:kern w:val="0"/>
          <w:sz w:val="24"/>
          <w:highlight w:val="none"/>
        </w:rPr>
      </w:pPr>
      <w:r>
        <w:rPr>
          <w:rFonts w:hint="eastAsia" w:ascii="仿宋" w:hAnsi="仿宋" w:eastAsia="仿宋" w:cs="仿宋"/>
          <w:kern w:val="0"/>
          <w:sz w:val="24"/>
          <w:highlight w:val="none"/>
        </w:rPr>
        <w:t>第三册</w:t>
      </w:r>
    </w:p>
    <w:p w14:paraId="00076FD6">
      <w:pPr>
        <w:numPr>
          <w:ilvl w:val="0"/>
          <w:numId w:val="3"/>
        </w:numPr>
        <w:spacing w:line="340" w:lineRule="exact"/>
        <w:ind w:left="1080" w:leftChars="429" w:hanging="180"/>
        <w:rPr>
          <w:rFonts w:ascii="仿宋" w:hAnsi="仿宋" w:eastAsia="仿宋" w:cs="仿宋"/>
          <w:kern w:val="0"/>
          <w:sz w:val="24"/>
          <w:highlight w:val="none"/>
        </w:rPr>
      </w:pPr>
      <w:r>
        <w:rPr>
          <w:rFonts w:hint="eastAsia" w:ascii="仿宋" w:hAnsi="仿宋" w:eastAsia="仿宋" w:cs="仿宋"/>
          <w:kern w:val="0"/>
          <w:sz w:val="24"/>
          <w:highlight w:val="none"/>
        </w:rPr>
        <w:t>政府采购合同格式</w:t>
      </w:r>
    </w:p>
    <w:p w14:paraId="58684843">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5.2</w:t>
      </w:r>
      <w:r>
        <w:rPr>
          <w:rFonts w:hint="eastAsia" w:ascii="仿宋" w:hAnsi="仿宋" w:eastAsia="仿宋" w:cs="仿宋"/>
          <w:kern w:val="0"/>
          <w:sz w:val="24"/>
          <w:highlight w:val="none"/>
        </w:rPr>
        <w:tab/>
      </w:r>
      <w:r>
        <w:rPr>
          <w:rFonts w:hint="eastAsia" w:ascii="仿宋" w:hAnsi="仿宋" w:eastAsia="仿宋" w:cs="仿宋"/>
          <w:kern w:val="0"/>
          <w:sz w:val="24"/>
          <w:highlight w:val="none"/>
        </w:rPr>
        <w:t>如本文件的前后内容不一致，以最后描述为准。</w:t>
      </w:r>
    </w:p>
    <w:p w14:paraId="73D7DD58">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5.3    供应商应认真阅读磋商文件所有的事项、格式、条款和技术规范等。如供应商没有按照磋商文件要求提交全部资料，或者响应文件没有对磋商文件在各方面都做出实质性响应，可能导致其投标被认定为投标无效。</w:t>
      </w:r>
    </w:p>
    <w:p w14:paraId="4A08C3D6">
      <w:pPr>
        <w:pStyle w:val="4"/>
        <w:spacing w:before="0" w:after="0" w:line="340" w:lineRule="exact"/>
        <w:rPr>
          <w:rFonts w:ascii="仿宋" w:hAnsi="仿宋" w:eastAsia="仿宋" w:cs="仿宋"/>
          <w:szCs w:val="24"/>
          <w:highlight w:val="none"/>
        </w:rPr>
      </w:pPr>
      <w:bookmarkStart w:id="51" w:name="_Toc520356148"/>
      <w:bookmarkStart w:id="52" w:name="_Toc840"/>
      <w:bookmarkStart w:id="53" w:name="_Toc14946"/>
      <w:bookmarkStart w:id="54" w:name="_Toc518923067"/>
      <w:r>
        <w:rPr>
          <w:rFonts w:hint="eastAsia" w:ascii="仿宋" w:hAnsi="仿宋" w:eastAsia="仿宋" w:cs="仿宋"/>
          <w:szCs w:val="24"/>
          <w:highlight w:val="none"/>
        </w:rPr>
        <w:t>6.磋商文件的澄清</w:t>
      </w:r>
      <w:bookmarkEnd w:id="51"/>
      <w:r>
        <w:rPr>
          <w:rFonts w:hint="eastAsia" w:ascii="仿宋" w:hAnsi="仿宋" w:eastAsia="仿宋" w:cs="仿宋"/>
          <w:szCs w:val="24"/>
          <w:highlight w:val="none"/>
        </w:rPr>
        <w:t>与修改</w:t>
      </w:r>
      <w:bookmarkEnd w:id="52"/>
      <w:bookmarkEnd w:id="53"/>
      <w:bookmarkEnd w:id="54"/>
    </w:p>
    <w:p w14:paraId="42707E5C">
      <w:pPr>
        <w:pStyle w:val="6"/>
        <w:spacing w:line="340" w:lineRule="exact"/>
        <w:ind w:left="840" w:hanging="840" w:hangingChars="350"/>
        <w:rPr>
          <w:rFonts w:ascii="仿宋" w:hAnsi="仿宋" w:eastAsia="仿宋" w:cs="仿宋"/>
          <w:szCs w:val="24"/>
          <w:highlight w:val="none"/>
        </w:rPr>
      </w:pPr>
      <w:r>
        <w:rPr>
          <w:rFonts w:hint="eastAsia" w:ascii="仿宋" w:hAnsi="仿宋" w:eastAsia="仿宋" w:cs="仿宋"/>
          <w:szCs w:val="24"/>
          <w:highlight w:val="none"/>
        </w:rPr>
        <w:t>6.1    为了保证对磋商文件的澄清和修改满足法律的时限要求，任何要求对磋商文件进行澄清的供应商，均应在投标截止期五日前，以书面形式将澄清要求通知采购人或采购代理机构。</w:t>
      </w:r>
    </w:p>
    <w:p w14:paraId="38575737">
      <w:pPr>
        <w:pStyle w:val="6"/>
        <w:spacing w:line="340" w:lineRule="exact"/>
        <w:ind w:left="840" w:hanging="840" w:hangingChars="350"/>
        <w:rPr>
          <w:rFonts w:ascii="仿宋" w:hAnsi="仿宋" w:eastAsia="仿宋" w:cs="仿宋"/>
          <w:szCs w:val="24"/>
          <w:highlight w:val="none"/>
        </w:rPr>
      </w:pPr>
      <w:bookmarkStart w:id="55" w:name="_Toc520356149"/>
      <w:bookmarkStart w:id="56" w:name="_Ref467378678"/>
      <w:r>
        <w:rPr>
          <w:rFonts w:hint="eastAsia" w:ascii="仿宋" w:hAnsi="仿宋" w:eastAsia="仿宋" w:cs="仿宋"/>
          <w:szCs w:val="24"/>
          <w:highlight w:val="none"/>
        </w:rPr>
        <w:t>6.2</w:t>
      </w:r>
      <w:r>
        <w:rPr>
          <w:rFonts w:hint="eastAsia" w:ascii="仿宋" w:hAnsi="仿宋" w:eastAsia="仿宋" w:cs="仿宋"/>
          <w:szCs w:val="24"/>
          <w:highlight w:val="none"/>
        </w:rPr>
        <w:tab/>
      </w:r>
      <w:r>
        <w:rPr>
          <w:rFonts w:hint="eastAsia" w:ascii="仿宋" w:hAnsi="仿宋" w:eastAsia="仿宋" w:cs="仿宋"/>
          <w:szCs w:val="24"/>
          <w:highlight w:val="none"/>
        </w:rPr>
        <w:t>采购人可主动地或在解答供应商提出的澄清问题时对磋商文件澄清或修改。采购代理机构将以发布澄清（更正）公告的方式，澄清或修改磋商文件，澄清或修改内容作为磋商文件的组成部分。</w:t>
      </w:r>
    </w:p>
    <w:p w14:paraId="63645A58">
      <w:pPr>
        <w:pStyle w:val="6"/>
        <w:spacing w:line="340" w:lineRule="exact"/>
        <w:ind w:left="840" w:hanging="840" w:hangingChars="350"/>
        <w:rPr>
          <w:rFonts w:ascii="仿宋" w:hAnsi="仿宋" w:eastAsia="仿宋" w:cs="仿宋"/>
          <w:szCs w:val="24"/>
          <w:highlight w:val="none"/>
        </w:rPr>
      </w:pPr>
      <w:r>
        <w:rPr>
          <w:rFonts w:hint="eastAsia" w:ascii="仿宋" w:hAnsi="仿宋" w:eastAsia="仿宋" w:cs="仿宋"/>
          <w:szCs w:val="24"/>
          <w:highlight w:val="none"/>
        </w:rPr>
        <w:t>6.3</w:t>
      </w:r>
      <w:r>
        <w:rPr>
          <w:rFonts w:hint="eastAsia" w:ascii="仿宋" w:hAnsi="仿宋" w:eastAsia="仿宋" w:cs="仿宋"/>
          <w:szCs w:val="24"/>
          <w:highlight w:val="none"/>
        </w:rPr>
        <w:tab/>
      </w:r>
      <w:r>
        <w:rPr>
          <w:rFonts w:hint="eastAsia" w:ascii="仿宋" w:hAnsi="仿宋" w:eastAsia="仿宋" w:cs="仿宋"/>
          <w:szCs w:val="24"/>
          <w:highlight w:val="none"/>
        </w:rPr>
        <w:t>澄清或者修改的内容可能影响响应文件编制的，采购代理机构将以书面形式通知所有购买磋商文件的潜在供应商，并对其具有约束力。供应商在收到上述通知后，应及时向采购代理机构回函确认。</w:t>
      </w:r>
    </w:p>
    <w:p w14:paraId="3BAB98E7">
      <w:pPr>
        <w:pStyle w:val="4"/>
        <w:spacing w:before="0" w:after="0" w:line="340" w:lineRule="exact"/>
        <w:rPr>
          <w:rFonts w:ascii="仿宋" w:hAnsi="仿宋" w:eastAsia="仿宋" w:cs="仿宋"/>
          <w:szCs w:val="24"/>
          <w:highlight w:val="none"/>
        </w:rPr>
      </w:pPr>
      <w:bookmarkStart w:id="57" w:name="_Toc28622"/>
      <w:bookmarkStart w:id="58" w:name="_Toc2396"/>
      <w:bookmarkStart w:id="59" w:name="_Toc518923068"/>
      <w:r>
        <w:rPr>
          <w:rFonts w:hint="eastAsia" w:ascii="仿宋" w:hAnsi="仿宋" w:eastAsia="仿宋" w:cs="仿宋"/>
          <w:szCs w:val="24"/>
          <w:highlight w:val="none"/>
        </w:rPr>
        <w:t>7</w:t>
      </w:r>
      <w:bookmarkEnd w:id="55"/>
      <w:bookmarkEnd w:id="56"/>
      <w:r>
        <w:rPr>
          <w:rFonts w:hint="eastAsia" w:ascii="仿宋" w:hAnsi="仿宋" w:eastAsia="仿宋" w:cs="仿宋"/>
          <w:szCs w:val="24"/>
          <w:highlight w:val="none"/>
        </w:rPr>
        <w:t>.投标截止时间的顺延</w:t>
      </w:r>
      <w:bookmarkEnd w:id="57"/>
      <w:bookmarkEnd w:id="58"/>
      <w:bookmarkEnd w:id="59"/>
    </w:p>
    <w:p w14:paraId="124598D1">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ab/>
      </w:r>
      <w:r>
        <w:rPr>
          <w:rFonts w:hint="eastAsia" w:ascii="仿宋" w:hAnsi="仿宋" w:eastAsia="仿宋" w:cs="仿宋"/>
          <w:kern w:val="0"/>
          <w:sz w:val="24"/>
          <w:highlight w:val="none"/>
        </w:rPr>
        <w:t>为使供应商准备投标时有足够的时间对磋商文件的澄清或者修改部分进行研究，采购人将依法决定是否顺延投标截止时间。</w:t>
      </w:r>
    </w:p>
    <w:p w14:paraId="0AD49416">
      <w:pPr>
        <w:spacing w:line="340" w:lineRule="exact"/>
        <w:ind w:left="900" w:hanging="900" w:hangingChars="375"/>
        <w:rPr>
          <w:rFonts w:ascii="仿宋" w:hAnsi="仿宋" w:eastAsia="仿宋" w:cs="仿宋"/>
          <w:sz w:val="24"/>
          <w:highlight w:val="none"/>
        </w:rPr>
      </w:pPr>
    </w:p>
    <w:p w14:paraId="54CFADBA">
      <w:pPr>
        <w:pStyle w:val="3"/>
        <w:tabs>
          <w:tab w:val="left" w:pos="900"/>
        </w:tabs>
        <w:spacing w:before="0" w:line="340" w:lineRule="exact"/>
        <w:ind w:left="1079" w:leftChars="257" w:hanging="540"/>
        <w:rPr>
          <w:rFonts w:ascii="仿宋" w:hAnsi="仿宋" w:eastAsia="仿宋" w:cs="仿宋"/>
          <w:sz w:val="24"/>
          <w:szCs w:val="24"/>
          <w:highlight w:val="none"/>
        </w:rPr>
      </w:pPr>
      <w:bookmarkStart w:id="60" w:name="_Toc516367020"/>
      <w:bookmarkStart w:id="61" w:name="_Toc8570"/>
      <w:bookmarkStart w:id="62" w:name="_Toc15458"/>
      <w:bookmarkStart w:id="63" w:name="_Toc216582807"/>
      <w:bookmarkStart w:id="64" w:name="_Toc520356150"/>
      <w:bookmarkStart w:id="65" w:name="_Toc518923069"/>
      <w:r>
        <w:rPr>
          <w:rFonts w:hint="eastAsia" w:ascii="仿宋" w:hAnsi="仿宋" w:eastAsia="仿宋" w:cs="仿宋"/>
          <w:sz w:val="24"/>
          <w:szCs w:val="24"/>
          <w:highlight w:val="none"/>
        </w:rPr>
        <w:t xml:space="preserve">三   </w:t>
      </w:r>
      <w:bookmarkEnd w:id="60"/>
      <w:r>
        <w:rPr>
          <w:rFonts w:hint="eastAsia" w:ascii="仿宋" w:hAnsi="仿宋" w:eastAsia="仿宋" w:cs="仿宋"/>
          <w:sz w:val="24"/>
          <w:szCs w:val="24"/>
          <w:highlight w:val="none"/>
        </w:rPr>
        <w:t>响应文件的编制</w:t>
      </w:r>
      <w:bookmarkEnd w:id="61"/>
      <w:bookmarkEnd w:id="62"/>
      <w:bookmarkEnd w:id="63"/>
      <w:bookmarkEnd w:id="64"/>
      <w:bookmarkEnd w:id="65"/>
    </w:p>
    <w:p w14:paraId="6155B112">
      <w:pPr>
        <w:pStyle w:val="6"/>
        <w:spacing w:line="340" w:lineRule="exact"/>
        <w:rPr>
          <w:rFonts w:ascii="仿宋" w:hAnsi="仿宋" w:eastAsia="仿宋" w:cs="仿宋"/>
          <w:szCs w:val="24"/>
          <w:highlight w:val="none"/>
        </w:rPr>
      </w:pPr>
    </w:p>
    <w:p w14:paraId="14AD654B">
      <w:pPr>
        <w:pStyle w:val="4"/>
        <w:tabs>
          <w:tab w:val="left" w:pos="900"/>
        </w:tabs>
        <w:spacing w:before="0" w:after="0" w:line="340" w:lineRule="exact"/>
        <w:rPr>
          <w:rFonts w:ascii="仿宋" w:hAnsi="仿宋" w:eastAsia="仿宋" w:cs="仿宋"/>
          <w:szCs w:val="24"/>
          <w:highlight w:val="none"/>
          <w:u w:val="none"/>
        </w:rPr>
      </w:pPr>
      <w:bookmarkStart w:id="66" w:name="_Toc518923070"/>
      <w:bookmarkStart w:id="67" w:name="_Toc516367021"/>
      <w:bookmarkStart w:id="68" w:name="_Toc520356151"/>
      <w:bookmarkStart w:id="69" w:name="_Toc21930"/>
      <w:bookmarkStart w:id="70" w:name="_Toc25058"/>
      <w:r>
        <w:rPr>
          <w:rFonts w:hint="eastAsia" w:ascii="仿宋" w:hAnsi="仿宋" w:eastAsia="仿宋" w:cs="仿宋"/>
          <w:szCs w:val="24"/>
          <w:highlight w:val="none"/>
          <w:u w:val="none"/>
        </w:rPr>
        <w:t>8.</w:t>
      </w:r>
      <w:r>
        <w:rPr>
          <w:rFonts w:hint="eastAsia" w:ascii="仿宋" w:hAnsi="仿宋" w:eastAsia="仿宋" w:cs="仿宋"/>
          <w:szCs w:val="24"/>
          <w:highlight w:val="none"/>
          <w:u w:val="none"/>
        </w:rPr>
        <w:tab/>
      </w:r>
      <w:r>
        <w:rPr>
          <w:rFonts w:hint="eastAsia" w:ascii="仿宋" w:hAnsi="仿宋" w:eastAsia="仿宋" w:cs="仿宋"/>
          <w:szCs w:val="24"/>
          <w:highlight w:val="none"/>
          <w:u w:val="none"/>
        </w:rPr>
        <w:t>投标范围及响应文件中标准和计量单位的使用</w:t>
      </w:r>
      <w:bookmarkEnd w:id="66"/>
      <w:bookmarkEnd w:id="67"/>
      <w:bookmarkEnd w:id="68"/>
      <w:bookmarkEnd w:id="69"/>
      <w:bookmarkEnd w:id="70"/>
    </w:p>
    <w:p w14:paraId="30CB7EA1">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sz w:val="24"/>
          <w:highlight w:val="none"/>
        </w:rPr>
        <w:t>8.1</w:t>
      </w:r>
      <w:r>
        <w:rPr>
          <w:rFonts w:hint="eastAsia" w:ascii="仿宋" w:hAnsi="仿宋" w:eastAsia="仿宋" w:cs="仿宋"/>
          <w:kern w:val="0"/>
          <w:sz w:val="24"/>
          <w:highlight w:val="none"/>
        </w:rPr>
        <w:tab/>
      </w:r>
      <w:r>
        <w:rPr>
          <w:rFonts w:hint="eastAsia" w:ascii="仿宋" w:hAnsi="仿宋" w:eastAsia="仿宋" w:cs="仿宋"/>
          <w:kern w:val="0"/>
          <w:sz w:val="24"/>
          <w:highlight w:val="none"/>
        </w:rPr>
        <w:t>项目有分包的，供应商可对磋商文件其中一个或几个分包进行投标，除非在供应商须知资料表中另有规定。</w:t>
      </w:r>
    </w:p>
    <w:p w14:paraId="7926E2F7">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8.2    供应商应当对所投分包磋商文件中“服务需求”所列的所有服务内容进行投标，如仅响应分包中的部分内容，其投标将被认定为</w:t>
      </w:r>
      <w:r>
        <w:rPr>
          <w:rFonts w:hint="eastAsia" w:ascii="仿宋" w:hAnsi="仿宋" w:eastAsia="仿宋" w:cs="仿宋"/>
          <w:b/>
          <w:bCs/>
          <w:kern w:val="0"/>
          <w:sz w:val="24"/>
          <w:highlight w:val="none"/>
        </w:rPr>
        <w:t>投标无效</w:t>
      </w:r>
      <w:r>
        <w:rPr>
          <w:rFonts w:hint="eastAsia" w:ascii="仿宋" w:hAnsi="仿宋" w:eastAsia="仿宋" w:cs="仿宋"/>
          <w:kern w:val="0"/>
          <w:sz w:val="24"/>
          <w:highlight w:val="none"/>
        </w:rPr>
        <w:t>。</w:t>
      </w:r>
    </w:p>
    <w:p w14:paraId="5482B67B">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8.3     无论磋商文件第5章服务需求中是否要求，供应商所投服务均应符合国家强制性标准。</w:t>
      </w:r>
    </w:p>
    <w:p w14:paraId="6CE9EF38">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8.4     除磋商文件中有特殊要求外，响应文件中所使用的计量单位，应采用中华人民共和国法定计量单位。</w:t>
      </w:r>
    </w:p>
    <w:p w14:paraId="6624893C">
      <w:pPr>
        <w:pStyle w:val="4"/>
        <w:tabs>
          <w:tab w:val="left" w:pos="900"/>
        </w:tabs>
        <w:spacing w:before="0" w:after="0" w:line="340" w:lineRule="exact"/>
        <w:rPr>
          <w:rFonts w:ascii="仿宋" w:hAnsi="仿宋" w:eastAsia="仿宋" w:cs="仿宋"/>
          <w:szCs w:val="24"/>
          <w:highlight w:val="none"/>
          <w:u w:val="none"/>
        </w:rPr>
      </w:pPr>
      <w:bookmarkStart w:id="71" w:name="_Toc516367022"/>
      <w:bookmarkStart w:id="72" w:name="_Ref467306676"/>
      <w:bookmarkStart w:id="73" w:name="_Ref467306195"/>
      <w:bookmarkStart w:id="74" w:name="_Toc520356152"/>
      <w:bookmarkStart w:id="75" w:name="_Toc518923071"/>
      <w:bookmarkStart w:id="76" w:name="_Toc4273"/>
      <w:bookmarkStart w:id="77" w:name="_Toc6749"/>
      <w:r>
        <w:rPr>
          <w:rFonts w:hint="eastAsia" w:ascii="仿宋" w:hAnsi="仿宋" w:eastAsia="仿宋" w:cs="仿宋"/>
          <w:szCs w:val="24"/>
          <w:highlight w:val="none"/>
          <w:u w:val="none"/>
        </w:rPr>
        <w:t>9.</w:t>
      </w:r>
      <w:bookmarkEnd w:id="71"/>
      <w:bookmarkEnd w:id="72"/>
      <w:bookmarkEnd w:id="73"/>
      <w:r>
        <w:rPr>
          <w:rFonts w:hint="eastAsia" w:ascii="仿宋" w:hAnsi="仿宋" w:eastAsia="仿宋" w:cs="仿宋"/>
          <w:szCs w:val="24"/>
          <w:highlight w:val="none"/>
          <w:u w:val="none"/>
        </w:rPr>
        <w:t>响应文件构成</w:t>
      </w:r>
      <w:bookmarkEnd w:id="74"/>
      <w:bookmarkEnd w:id="75"/>
      <w:bookmarkEnd w:id="76"/>
      <w:bookmarkEnd w:id="77"/>
    </w:p>
    <w:p w14:paraId="70C529F1">
      <w:pPr>
        <w:spacing w:line="400" w:lineRule="exact"/>
        <w:ind w:left="900" w:hanging="900" w:hangingChars="375"/>
        <w:rPr>
          <w:rFonts w:ascii="仿宋" w:hAnsi="仿宋" w:eastAsia="仿宋" w:cs="仿宋"/>
          <w:b/>
          <w:bCs/>
          <w:highlight w:val="none"/>
        </w:rPr>
      </w:pPr>
      <w:bookmarkStart w:id="78" w:name="_Ref467052588"/>
      <w:r>
        <w:rPr>
          <w:rFonts w:hint="eastAsia" w:ascii="仿宋" w:hAnsi="仿宋" w:eastAsia="仿宋" w:cs="仿宋"/>
          <w:sz w:val="24"/>
          <w:highlight w:val="none"/>
        </w:rPr>
        <w:t xml:space="preserve">9.1    </w:t>
      </w:r>
      <w:bookmarkEnd w:id="78"/>
      <w:r>
        <w:rPr>
          <w:rFonts w:hint="eastAsia" w:ascii="仿宋" w:hAnsi="仿宋" w:eastAsia="仿宋" w:cs="仿宋"/>
          <w:b/>
          <w:bCs/>
          <w:highlight w:val="none"/>
        </w:rPr>
        <w:t>供应商应完整地按磋商文件提供的响应文件要求编写响应文件，供应商须在投标截止时间前完成在新疆政采云平台https://www.zcygov.cn 系统上递交电子响应文件。供应商的电子响应文件是经过CA证书加密后上传提交的，任何单位或个人均无法在投标截止时间之前查看或篡改，不存在泄密风险。（严格按照政采云电子投标流程制作并上传电子响应文件）</w:t>
      </w:r>
      <w:r>
        <w:rPr>
          <w:rFonts w:hint="eastAsia" w:ascii="仿宋" w:hAnsi="仿宋" w:eastAsia="仿宋" w:cs="仿宋"/>
          <w:b/>
          <w:bCs/>
          <w:highlight w:val="none"/>
          <w:lang w:eastAsia="zh-CN"/>
        </w:rPr>
        <w:t>，</w:t>
      </w:r>
      <w:r>
        <w:rPr>
          <w:rFonts w:hint="eastAsia" w:ascii="仿宋" w:hAnsi="仿宋" w:eastAsia="仿宋" w:cs="仿宋"/>
          <w:b/>
          <w:bCs/>
          <w:highlight w:val="none"/>
        </w:rPr>
        <w:t>招标文件中的格式供参考，</w:t>
      </w:r>
      <w:r>
        <w:rPr>
          <w:rFonts w:hint="eastAsia" w:ascii="仿宋" w:hAnsi="仿宋" w:eastAsia="仿宋" w:cs="仿宋"/>
          <w:b/>
          <w:bCs/>
          <w:highlight w:val="none"/>
          <w:lang w:eastAsia="zh-CN"/>
        </w:rPr>
        <w:t>响应</w:t>
      </w:r>
      <w:r>
        <w:rPr>
          <w:rFonts w:hint="eastAsia" w:ascii="仿宋" w:hAnsi="仿宋" w:eastAsia="仿宋" w:cs="仿宋"/>
          <w:b/>
          <w:bCs/>
          <w:highlight w:val="none"/>
        </w:rPr>
        <w:t>文件中的内容可自行调整但应包括格式内的所有内容。</w:t>
      </w:r>
    </w:p>
    <w:p w14:paraId="42A2DF02">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9</w:t>
      </w:r>
      <w:bookmarkStart w:id="79" w:name="_Toc520356155"/>
      <w:r>
        <w:rPr>
          <w:rFonts w:hint="eastAsia" w:ascii="仿宋" w:hAnsi="仿宋" w:eastAsia="仿宋" w:cs="仿宋"/>
          <w:kern w:val="0"/>
          <w:sz w:val="24"/>
          <w:highlight w:val="none"/>
        </w:rPr>
        <w:t>.2     逾期上传响应文件的、未按规定方式上传的电子响应文件，采购单位不予受理。</w:t>
      </w:r>
    </w:p>
    <w:p w14:paraId="38B51FB1">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10.</w:t>
      </w:r>
      <w:r>
        <w:rPr>
          <w:rFonts w:hint="eastAsia" w:ascii="仿宋" w:hAnsi="仿宋" w:eastAsia="仿宋" w:cs="仿宋"/>
          <w:kern w:val="0"/>
          <w:sz w:val="24"/>
          <w:highlight w:val="none"/>
        </w:rPr>
        <w:tab/>
      </w:r>
      <w:r>
        <w:rPr>
          <w:rFonts w:hint="eastAsia" w:ascii="仿宋" w:hAnsi="仿宋" w:eastAsia="仿宋" w:cs="仿宋"/>
          <w:kern w:val="0"/>
          <w:sz w:val="24"/>
          <w:highlight w:val="none"/>
        </w:rPr>
        <w:t>证明标的的合格性和符合磋商文件规定的响应文件。</w:t>
      </w:r>
    </w:p>
    <w:p w14:paraId="505398C3">
      <w:pPr>
        <w:spacing w:line="340" w:lineRule="exact"/>
        <w:ind w:left="900" w:hanging="900" w:hangingChars="375"/>
        <w:rPr>
          <w:rFonts w:ascii="仿宋" w:hAnsi="仿宋" w:eastAsia="仿宋" w:cs="仿宋"/>
          <w:kern w:val="0"/>
          <w:sz w:val="24"/>
          <w:highlight w:val="none"/>
        </w:rPr>
      </w:pPr>
      <w:r>
        <w:rPr>
          <w:rFonts w:hint="eastAsia" w:ascii="仿宋" w:hAnsi="仿宋" w:eastAsia="仿宋" w:cs="仿宋"/>
          <w:kern w:val="0"/>
          <w:sz w:val="24"/>
          <w:highlight w:val="none"/>
        </w:rPr>
        <w:t>10.1</w:t>
      </w:r>
      <w:r>
        <w:rPr>
          <w:rFonts w:hint="eastAsia" w:ascii="仿宋" w:hAnsi="仿宋" w:eastAsia="仿宋" w:cs="仿宋"/>
          <w:kern w:val="0"/>
          <w:sz w:val="24"/>
          <w:highlight w:val="none"/>
        </w:rPr>
        <w:tab/>
      </w:r>
      <w:r>
        <w:rPr>
          <w:rFonts w:hint="eastAsia" w:ascii="仿宋" w:hAnsi="仿宋" w:eastAsia="仿宋" w:cs="仿宋"/>
          <w:kern w:val="0"/>
          <w:sz w:val="24"/>
          <w:highlight w:val="none"/>
        </w:rPr>
        <w:t>供应商应提交证明文件，证明其响应文件内容符合磋商文件规定。该证明文件是响应文件的一部分。</w:t>
      </w:r>
    </w:p>
    <w:p w14:paraId="5B6F5C0C">
      <w:pPr>
        <w:spacing w:line="340" w:lineRule="exact"/>
        <w:ind w:left="900" w:hanging="900" w:hangingChars="375"/>
        <w:rPr>
          <w:rFonts w:ascii="仿宋" w:hAnsi="仿宋" w:eastAsia="仿宋" w:cs="仿宋"/>
          <w:kern w:val="0"/>
          <w:sz w:val="24"/>
          <w:highlight w:val="none"/>
        </w:rPr>
      </w:pPr>
      <w:bookmarkStart w:id="80" w:name="_Ref467306244"/>
      <w:r>
        <w:rPr>
          <w:rFonts w:hint="eastAsia" w:ascii="仿宋" w:hAnsi="仿宋" w:eastAsia="仿宋" w:cs="仿宋"/>
          <w:kern w:val="0"/>
          <w:sz w:val="24"/>
          <w:highlight w:val="none"/>
        </w:rPr>
        <w:t>10.2</w:t>
      </w:r>
      <w:r>
        <w:rPr>
          <w:rFonts w:hint="eastAsia" w:ascii="仿宋" w:hAnsi="仿宋" w:eastAsia="仿宋" w:cs="仿宋"/>
          <w:kern w:val="0"/>
          <w:sz w:val="24"/>
          <w:highlight w:val="none"/>
        </w:rPr>
        <w:tab/>
      </w:r>
      <w:r>
        <w:rPr>
          <w:rFonts w:hint="eastAsia" w:ascii="仿宋" w:hAnsi="仿宋" w:eastAsia="仿宋" w:cs="仿宋"/>
          <w:kern w:val="0"/>
          <w:sz w:val="24"/>
          <w:highlight w:val="none"/>
        </w:rPr>
        <w:t>上款所述的证明文件，可以是文字资料、图纸和数据</w:t>
      </w:r>
      <w:bookmarkEnd w:id="80"/>
      <w:r>
        <w:rPr>
          <w:rFonts w:hint="eastAsia" w:ascii="仿宋" w:hAnsi="仿宋" w:eastAsia="仿宋" w:cs="仿宋"/>
          <w:kern w:val="0"/>
          <w:sz w:val="24"/>
          <w:highlight w:val="none"/>
        </w:rPr>
        <w:t>。</w:t>
      </w:r>
    </w:p>
    <w:p w14:paraId="676FD19C">
      <w:pPr>
        <w:pStyle w:val="6"/>
        <w:ind w:firstLine="0"/>
        <w:rPr>
          <w:rFonts w:ascii="仿宋" w:hAnsi="仿宋" w:eastAsia="仿宋" w:cs="仿宋"/>
          <w:highlight w:val="none"/>
        </w:rPr>
      </w:pPr>
      <w:r>
        <w:rPr>
          <w:rFonts w:hint="eastAsia" w:ascii="仿宋" w:hAnsi="仿宋" w:eastAsia="仿宋" w:cs="仿宋"/>
          <w:highlight w:val="none"/>
        </w:rPr>
        <w:t xml:space="preserve">10.3    </w:t>
      </w:r>
      <w:r>
        <w:rPr>
          <w:rFonts w:hint="eastAsia" w:ascii="仿宋" w:hAnsi="仿宋" w:eastAsia="仿宋" w:cs="仿宋"/>
          <w:b/>
          <w:bCs/>
          <w:highlight w:val="none"/>
        </w:rPr>
        <w:t>为了保证电子标书的合法性、安全性和完整性，电子响应文件转换完成后，应在规定区域加盖单位和法定代表人CA印章。电子响应文件若无CA电子签章，则视为投标无效。</w:t>
      </w:r>
    </w:p>
    <w:p w14:paraId="72FE6759">
      <w:pPr>
        <w:pStyle w:val="4"/>
        <w:spacing w:before="0" w:after="0" w:line="340" w:lineRule="exact"/>
        <w:rPr>
          <w:rFonts w:ascii="仿宋" w:hAnsi="仿宋" w:eastAsia="仿宋" w:cs="仿宋"/>
          <w:szCs w:val="24"/>
          <w:highlight w:val="none"/>
          <w:u w:val="none"/>
        </w:rPr>
      </w:pPr>
      <w:bookmarkStart w:id="81" w:name="_Toc518923073"/>
      <w:bookmarkStart w:id="82" w:name="_Toc2024"/>
      <w:bookmarkStart w:id="83" w:name="_Toc32583"/>
      <w:r>
        <w:rPr>
          <w:rFonts w:hint="eastAsia" w:ascii="仿宋" w:hAnsi="仿宋" w:eastAsia="仿宋" w:cs="仿宋"/>
          <w:szCs w:val="24"/>
          <w:highlight w:val="none"/>
          <w:u w:val="none"/>
        </w:rPr>
        <w:t>11.磋商报价</w:t>
      </w:r>
      <w:bookmarkEnd w:id="79"/>
      <w:bookmarkEnd w:id="81"/>
      <w:bookmarkEnd w:id="82"/>
      <w:bookmarkEnd w:id="83"/>
    </w:p>
    <w:p w14:paraId="2BDD3BC0">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sz w:val="24"/>
          <w:highlight w:val="none"/>
        </w:rPr>
        <w:tab/>
      </w:r>
      <w:r>
        <w:rPr>
          <w:rFonts w:hint="eastAsia" w:ascii="仿宋" w:hAnsi="仿宋" w:eastAsia="仿宋" w:cs="仿宋"/>
          <w:kern w:val="0"/>
          <w:sz w:val="24"/>
          <w:highlight w:val="none"/>
        </w:rPr>
        <w:t>所有投标均以人民币报价。供应商的投标报价应遵守《中华人民共和国价格法》。同时，根据《中华人民共和国政府采购法》第二条的规定，为保证公平竞争，如有主体投标标的的赠与行为，其投标将被认</w:t>
      </w:r>
      <w:r>
        <w:rPr>
          <w:rFonts w:hint="eastAsia" w:ascii="仿宋" w:hAnsi="仿宋" w:eastAsia="仿宋" w:cs="仿宋"/>
          <w:sz w:val="24"/>
          <w:highlight w:val="none"/>
        </w:rPr>
        <w:t>定为</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002A66D2">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11.2</w:t>
      </w:r>
      <w:r>
        <w:rPr>
          <w:rFonts w:hint="eastAsia" w:ascii="仿宋" w:hAnsi="仿宋" w:eastAsia="仿宋" w:cs="仿宋"/>
          <w:sz w:val="24"/>
          <w:highlight w:val="none"/>
        </w:rPr>
        <w:tab/>
      </w:r>
      <w:r>
        <w:rPr>
          <w:rFonts w:hint="eastAsia" w:ascii="仿宋" w:hAnsi="仿宋" w:eastAsia="仿宋" w:cs="仿宋"/>
          <w:sz w:val="24"/>
          <w:highlight w:val="none"/>
        </w:rPr>
        <w:t>供应商应在投标分项报价表上标明分项服务的价格（如适用）和总价，并由法定代表人或其委托代理人签署。</w:t>
      </w:r>
    </w:p>
    <w:p w14:paraId="1B8946AF">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11.3</w:t>
      </w:r>
      <w:r>
        <w:rPr>
          <w:rFonts w:hint="eastAsia" w:ascii="仿宋" w:hAnsi="仿宋" w:eastAsia="仿宋" w:cs="仿宋"/>
          <w:sz w:val="24"/>
          <w:highlight w:val="none"/>
        </w:rPr>
        <w:tab/>
      </w:r>
      <w:r>
        <w:rPr>
          <w:rFonts w:hint="eastAsia" w:ascii="仿宋" w:hAnsi="仿宋" w:eastAsia="仿宋" w:cs="仿宋"/>
          <w:sz w:val="24"/>
          <w:highlight w:val="none"/>
        </w:rPr>
        <w:t>采购人不接受具有附加条件的报价。</w:t>
      </w:r>
    </w:p>
    <w:p w14:paraId="318904BC">
      <w:pPr>
        <w:spacing w:line="340" w:lineRule="exact"/>
        <w:ind w:left="900" w:hanging="900" w:hangingChars="375"/>
        <w:rPr>
          <w:rFonts w:ascii="仿宋" w:hAnsi="仿宋" w:eastAsia="仿宋" w:cs="仿宋"/>
          <w:b/>
          <w:bCs/>
          <w:sz w:val="24"/>
          <w:highlight w:val="none"/>
        </w:rPr>
      </w:pPr>
      <w:r>
        <w:rPr>
          <w:rFonts w:hint="eastAsia" w:ascii="仿宋" w:hAnsi="仿宋" w:eastAsia="仿宋" w:cs="仿宋"/>
          <w:sz w:val="24"/>
          <w:highlight w:val="none"/>
        </w:rPr>
        <w:t>11.4</w:t>
      </w:r>
      <w:r>
        <w:rPr>
          <w:rFonts w:hint="eastAsia" w:ascii="仿宋" w:hAnsi="仿宋" w:eastAsia="仿宋" w:cs="仿宋"/>
          <w:sz w:val="24"/>
          <w:highlight w:val="none"/>
        </w:rPr>
        <w:tab/>
      </w:r>
      <w:r>
        <w:rPr>
          <w:rFonts w:hint="eastAsia" w:ascii="仿宋" w:hAnsi="仿宋" w:eastAsia="仿宋" w:cs="仿宋"/>
          <w:sz w:val="24"/>
          <w:highlight w:val="none"/>
        </w:rPr>
        <w:t>供应商所报的各分项磋商报价在合同履行过程中是固定不变的，不得以任何理由予以变更。任何包含价格调整要求的投标，将被认定为</w:t>
      </w:r>
      <w:r>
        <w:rPr>
          <w:rFonts w:hint="eastAsia" w:ascii="仿宋" w:hAnsi="仿宋" w:eastAsia="仿宋" w:cs="仿宋"/>
          <w:b/>
          <w:bCs/>
          <w:sz w:val="24"/>
          <w:highlight w:val="none"/>
        </w:rPr>
        <w:t>投标无效。</w:t>
      </w:r>
    </w:p>
    <w:p w14:paraId="4BD6D756">
      <w:pPr>
        <w:spacing w:line="288" w:lineRule="auto"/>
        <w:ind w:left="900" w:hanging="900" w:hangingChars="375"/>
        <w:rPr>
          <w:rFonts w:ascii="仿宋" w:hAnsi="仿宋" w:eastAsia="仿宋" w:cs="仿宋"/>
          <w:sz w:val="24"/>
          <w:highlight w:val="none"/>
        </w:rPr>
      </w:pPr>
      <w:r>
        <w:rPr>
          <w:rFonts w:hint="eastAsia" w:ascii="仿宋" w:hAnsi="仿宋" w:eastAsia="仿宋" w:cs="仿宋"/>
          <w:sz w:val="24"/>
          <w:highlight w:val="none"/>
        </w:rPr>
        <w:t>11.5</w:t>
      </w:r>
      <w:r>
        <w:rPr>
          <w:rFonts w:hint="eastAsia" w:ascii="仿宋" w:hAnsi="仿宋" w:eastAsia="仿宋" w:cs="仿宋"/>
          <w:sz w:val="24"/>
          <w:highlight w:val="none"/>
        </w:rPr>
        <w:tab/>
      </w:r>
      <w:r>
        <w:rPr>
          <w:rFonts w:hint="eastAsia" w:ascii="仿宋" w:hAnsi="仿宋" w:eastAsia="仿宋" w:cs="仿宋"/>
          <w:sz w:val="24"/>
          <w:highlight w:val="none"/>
        </w:rPr>
        <w:t>每种货物只能有一个投标报价。采购人不接受具有附加条件的报价。</w:t>
      </w:r>
    </w:p>
    <w:p w14:paraId="71D7B675">
      <w:pPr>
        <w:pStyle w:val="17"/>
        <w:spacing w:line="400" w:lineRule="exact"/>
        <w:ind w:left="718" w:leftChars="342"/>
        <w:rPr>
          <w:rFonts w:ascii="仿宋" w:hAnsi="仿宋" w:eastAsia="仿宋" w:cs="仿宋"/>
          <w:highlight w:val="none"/>
        </w:rPr>
      </w:pPr>
      <w:r>
        <w:rPr>
          <w:rFonts w:hint="eastAsia" w:ascii="仿宋" w:hAnsi="仿宋" w:eastAsia="仿宋" w:cs="仿宋"/>
          <w:b/>
          <w:bCs/>
          <w:sz w:val="24"/>
          <w:highlight w:val="none"/>
          <w:u w:val="single"/>
        </w:rPr>
        <w:t>竞争性磋商共有两次报价，二次报价为最终报价，磋商小组所有成员集中与单一供应商分别进行磋商，并给予所有参加磋商的供应商平等的磋商机会，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低到高的顺序提出成交候选人，并编写评审报告，将结果通知所有参加磋商的未成交的供应商；</w:t>
      </w:r>
    </w:p>
    <w:p w14:paraId="7BA3AB65">
      <w:pPr>
        <w:pStyle w:val="17"/>
        <w:ind w:left="960" w:hanging="960" w:hangingChars="400"/>
        <w:rPr>
          <w:rFonts w:ascii="仿宋" w:hAnsi="仿宋" w:eastAsia="仿宋" w:cs="仿宋"/>
          <w:highlight w:val="none"/>
        </w:rPr>
      </w:pPr>
      <w:r>
        <w:rPr>
          <w:rFonts w:hint="eastAsia" w:ascii="仿宋" w:hAnsi="仿宋" w:eastAsia="仿宋" w:cs="仿宋"/>
          <w:sz w:val="24"/>
          <w:highlight w:val="none"/>
        </w:rPr>
        <w:t>11.6    磋商文件中应写明投标产品的产地、数量/面积、供货期，未明确写明的其投标将被认定为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57EAB2B8">
      <w:pPr>
        <w:pStyle w:val="4"/>
        <w:spacing w:before="0" w:after="0" w:line="340" w:lineRule="exact"/>
        <w:rPr>
          <w:rFonts w:ascii="仿宋" w:hAnsi="仿宋" w:eastAsia="仿宋" w:cs="仿宋"/>
          <w:szCs w:val="24"/>
          <w:highlight w:val="none"/>
          <w:u w:val="none"/>
        </w:rPr>
      </w:pPr>
      <w:bookmarkStart w:id="84" w:name="_Toc518923074"/>
      <w:bookmarkStart w:id="85" w:name="_Ref467306513"/>
      <w:bookmarkStart w:id="86" w:name="_Toc520356156"/>
      <w:bookmarkStart w:id="87" w:name="_Toc8499"/>
      <w:bookmarkStart w:id="88" w:name="_Toc1152"/>
      <w:r>
        <w:rPr>
          <w:rFonts w:hint="eastAsia" w:ascii="仿宋" w:hAnsi="仿宋" w:eastAsia="仿宋" w:cs="仿宋"/>
          <w:szCs w:val="24"/>
          <w:highlight w:val="none"/>
          <w:u w:val="none"/>
        </w:rPr>
        <w:t>12.磋商保证金</w:t>
      </w:r>
      <w:bookmarkEnd w:id="84"/>
      <w:bookmarkEnd w:id="85"/>
      <w:bookmarkEnd w:id="86"/>
      <w:bookmarkEnd w:id="87"/>
      <w:bookmarkEnd w:id="88"/>
    </w:p>
    <w:p w14:paraId="779D46D9">
      <w:pPr>
        <w:spacing w:line="340" w:lineRule="exact"/>
        <w:ind w:left="900" w:hanging="900" w:hangingChars="375"/>
        <w:rPr>
          <w:rFonts w:ascii="仿宋" w:hAnsi="仿宋" w:eastAsia="仿宋" w:cs="仿宋"/>
          <w:sz w:val="24"/>
          <w:highlight w:val="none"/>
        </w:rPr>
      </w:pPr>
      <w:bookmarkStart w:id="89" w:name="_Ref467306302"/>
      <w:r>
        <w:rPr>
          <w:rFonts w:hint="eastAsia" w:ascii="仿宋" w:hAnsi="仿宋" w:eastAsia="仿宋" w:cs="仿宋"/>
          <w:sz w:val="24"/>
          <w:highlight w:val="none"/>
        </w:rPr>
        <w:t>12.1</w:t>
      </w:r>
      <w:bookmarkEnd w:id="89"/>
      <w:bookmarkStart w:id="90" w:name="_Toc520356167"/>
      <w:r>
        <w:rPr>
          <w:rFonts w:hint="eastAsia" w:ascii="仿宋" w:hAnsi="仿宋" w:eastAsia="仿宋" w:cs="仿宋"/>
          <w:sz w:val="24"/>
          <w:highlight w:val="none"/>
        </w:rPr>
        <w:t>供应商应提交供应商须知资料表中规定的磋商保证金，并作为其响应文件的一部分。</w:t>
      </w:r>
    </w:p>
    <w:p w14:paraId="54BDFEF6">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12.2</w:t>
      </w:r>
      <w:r>
        <w:rPr>
          <w:rFonts w:hint="eastAsia" w:ascii="仿宋" w:hAnsi="仿宋" w:eastAsia="仿宋" w:cs="仿宋"/>
          <w:sz w:val="24"/>
          <w:highlight w:val="none"/>
        </w:rPr>
        <w:tab/>
      </w:r>
      <w:r>
        <w:rPr>
          <w:rFonts w:hint="eastAsia" w:ascii="仿宋" w:hAnsi="仿宋" w:eastAsia="仿宋" w:cs="仿宋"/>
          <w:sz w:val="24"/>
          <w:highlight w:val="none"/>
        </w:rPr>
        <w:t>供应商存在下列情形的，磋商保证金不予退还：</w:t>
      </w:r>
    </w:p>
    <w:p w14:paraId="3BAFC7E5">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（1）在磋商有效期内，撤销响应文件的；</w:t>
      </w:r>
    </w:p>
    <w:p w14:paraId="54E95932">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（2）成交后不按本须知第30条的规定与采购人签订合同的；</w:t>
      </w:r>
    </w:p>
    <w:p w14:paraId="220D35ED">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（3）成交后不按本须知第31条的规定提交履约保证金的；</w:t>
      </w:r>
    </w:p>
    <w:p w14:paraId="2E5143BD">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（4）成交后不按本须知第32条的规定缴纳成交服务费的；</w:t>
      </w:r>
    </w:p>
    <w:p w14:paraId="0B1A325E">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（5）存在其他违法违规行为的。</w:t>
      </w:r>
    </w:p>
    <w:p w14:paraId="763CDA87">
      <w:pPr>
        <w:spacing w:line="340" w:lineRule="exact"/>
        <w:ind w:left="900" w:hanging="900" w:hangingChars="375"/>
        <w:rPr>
          <w:rFonts w:ascii="仿宋" w:hAnsi="仿宋" w:eastAsia="仿宋" w:cs="仿宋"/>
          <w:sz w:val="24"/>
          <w:highlight w:val="none"/>
        </w:rPr>
      </w:pPr>
      <w:bookmarkStart w:id="91" w:name="_Ref467306336"/>
      <w:r>
        <w:rPr>
          <w:rFonts w:hint="eastAsia" w:ascii="仿宋" w:hAnsi="仿宋" w:eastAsia="仿宋" w:cs="仿宋"/>
          <w:sz w:val="24"/>
          <w:highlight w:val="none"/>
        </w:rPr>
        <w:t>12.3</w:t>
      </w:r>
      <w:r>
        <w:rPr>
          <w:rFonts w:hint="eastAsia" w:ascii="仿宋" w:hAnsi="仿宋" w:eastAsia="仿宋" w:cs="仿宋"/>
          <w:sz w:val="24"/>
          <w:highlight w:val="none"/>
        </w:rPr>
        <w:tab/>
      </w:r>
      <w:bookmarkEnd w:id="91"/>
      <w:r>
        <w:rPr>
          <w:rFonts w:hint="eastAsia" w:ascii="仿宋" w:hAnsi="仿宋" w:eastAsia="仿宋" w:cs="仿宋"/>
          <w:sz w:val="24"/>
          <w:highlight w:val="none"/>
        </w:rPr>
        <w:t>政府采购信用担保试点范围内的项目，接受符合财政部门规定的政府采购磋商担保函。</w:t>
      </w:r>
    </w:p>
    <w:p w14:paraId="4084B6E3">
      <w:pPr>
        <w:spacing w:line="340" w:lineRule="exact"/>
        <w:ind w:left="900" w:hanging="900" w:hangingChars="375"/>
        <w:rPr>
          <w:rFonts w:ascii="仿宋" w:hAnsi="仿宋" w:eastAsia="仿宋" w:cs="仿宋"/>
          <w:highlight w:val="none"/>
        </w:rPr>
      </w:pPr>
      <w:r>
        <w:rPr>
          <w:rFonts w:hint="eastAsia" w:ascii="仿宋" w:hAnsi="仿宋" w:eastAsia="仿宋" w:cs="仿宋"/>
          <w:sz w:val="24"/>
          <w:highlight w:val="none"/>
        </w:rPr>
        <w:t>12.4</w:t>
      </w:r>
      <w:r>
        <w:rPr>
          <w:rFonts w:hint="eastAsia" w:ascii="仿宋" w:hAnsi="仿宋" w:eastAsia="仿宋" w:cs="仿宋"/>
          <w:sz w:val="24"/>
          <w:highlight w:val="none"/>
        </w:rPr>
        <w:tab/>
      </w:r>
      <w:r>
        <w:rPr>
          <w:rFonts w:hint="eastAsia" w:ascii="仿宋" w:hAnsi="仿宋" w:eastAsia="仿宋" w:cs="仿宋"/>
          <w:sz w:val="24"/>
          <w:highlight w:val="none"/>
        </w:rPr>
        <w:t>供应商未按本须知第12.1和12.3条规定提交磋商保证金的，其磋商资格将被认定为</w:t>
      </w:r>
      <w:r>
        <w:rPr>
          <w:rFonts w:hint="eastAsia" w:ascii="仿宋" w:hAnsi="仿宋" w:eastAsia="仿宋" w:cs="仿宋"/>
          <w:b/>
          <w:bCs/>
          <w:sz w:val="24"/>
          <w:highlight w:val="none"/>
        </w:rPr>
        <w:t>无效</w:t>
      </w:r>
      <w:r>
        <w:rPr>
          <w:rFonts w:hint="eastAsia" w:ascii="仿宋" w:hAnsi="仿宋" w:eastAsia="仿宋" w:cs="仿宋"/>
          <w:sz w:val="24"/>
          <w:highlight w:val="none"/>
        </w:rPr>
        <w:t>。</w:t>
      </w:r>
    </w:p>
    <w:p w14:paraId="1B803735">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12.4.1  采用电汇形式的，一般可以实时入账；</w:t>
      </w:r>
    </w:p>
    <w:p w14:paraId="1837DC9C">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12.4.2  采用支票形式的，供应商则应充分考虑支票入账时间，以确保磋商保证金能按时进入指定账户。根据银行信息交换和付款时间，支票从递交至实际入账一般需要4-5个工作日。如供应商未及时提交支票或支票不符合银行委托收款要求（如污损、折叠、胶装等），导致磋商保证金不能按时进入指定账户的，将按照磋商文件的第22.2条相关规定处理。</w:t>
      </w:r>
    </w:p>
    <w:p w14:paraId="0F06ECC3">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12.5    联合体递交响应文件的，可以由联合体中的一方或者共同提交磋商保证金。以一方名义提交磋商保证金的，对联合体各方均具有约束力。</w:t>
      </w:r>
      <w:r>
        <w:rPr>
          <w:rFonts w:hint="eastAsia" w:ascii="仿宋" w:hAnsi="仿宋" w:eastAsia="仿宋" w:cs="仿宋"/>
          <w:b/>
          <w:bCs/>
          <w:sz w:val="24"/>
          <w:highlight w:val="none"/>
        </w:rPr>
        <w:t>本项目不接受联合体投标</w:t>
      </w:r>
      <w:r>
        <w:rPr>
          <w:rFonts w:hint="eastAsia" w:ascii="仿宋" w:hAnsi="仿宋" w:eastAsia="仿宋" w:cs="仿宋"/>
          <w:sz w:val="24"/>
          <w:highlight w:val="none"/>
        </w:rPr>
        <w:t>。</w:t>
      </w:r>
    </w:p>
    <w:p w14:paraId="3E31AA76">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12.6</w:t>
      </w:r>
      <w:r>
        <w:rPr>
          <w:rFonts w:hint="eastAsia" w:ascii="仿宋" w:hAnsi="仿宋" w:eastAsia="仿宋" w:cs="仿宋"/>
          <w:sz w:val="24"/>
          <w:highlight w:val="none"/>
        </w:rPr>
        <w:tab/>
      </w:r>
      <w:r>
        <w:rPr>
          <w:rFonts w:hint="eastAsia" w:ascii="仿宋" w:hAnsi="仿宋" w:eastAsia="仿宋" w:cs="仿宋"/>
          <w:sz w:val="24"/>
          <w:highlight w:val="none"/>
        </w:rPr>
        <w:t>磋商保证金的退还</w:t>
      </w:r>
    </w:p>
    <w:p w14:paraId="6973F13A">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12.6.1  成交人应在与采购人签订合同之日起5个工作日内，及时联系保证金收受机构办理磋商保证金无息退还手续。</w:t>
      </w:r>
    </w:p>
    <w:p w14:paraId="6AF23283">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12.6.2  未成交供应商的磋商保证金将在成交通知书发出之日暨成交结果公告公布之日起5个工作日内无息退还。供应商及时联系保证金收受机构办理退还磋商保证金手续。</w:t>
      </w:r>
      <w:bookmarkStart w:id="92" w:name="_Toc518923075"/>
    </w:p>
    <w:p w14:paraId="18BFFC32">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12.6.3  政府采购磋商担保函不予退回。</w:t>
      </w:r>
      <w:bookmarkEnd w:id="92"/>
    </w:p>
    <w:p w14:paraId="5D27637E">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12.7   因供应商自身原因导致无法及时退还的，采购人或采购代理机构将不承担相应责任。</w:t>
      </w:r>
    </w:p>
    <w:p w14:paraId="1DFFD4A8">
      <w:pPr>
        <w:pStyle w:val="4"/>
        <w:spacing w:before="0" w:after="0" w:line="340" w:lineRule="exact"/>
        <w:rPr>
          <w:rFonts w:ascii="仿宋" w:hAnsi="仿宋" w:eastAsia="仿宋" w:cs="仿宋"/>
          <w:szCs w:val="24"/>
          <w:highlight w:val="none"/>
          <w:u w:val="none"/>
        </w:rPr>
      </w:pPr>
      <w:bookmarkStart w:id="93" w:name="_Toc518923076"/>
      <w:bookmarkStart w:id="94" w:name="_Toc520356157"/>
      <w:bookmarkStart w:id="95" w:name="_Toc19541"/>
      <w:bookmarkStart w:id="96" w:name="_Toc24701"/>
      <w:bookmarkStart w:id="97" w:name="_Toc4716_WPSOffice_Level2"/>
      <w:bookmarkStart w:id="98" w:name="_Toc11106_WPSOffice_Level2"/>
      <w:r>
        <w:rPr>
          <w:rFonts w:hint="eastAsia" w:ascii="仿宋" w:hAnsi="仿宋" w:eastAsia="仿宋" w:cs="仿宋"/>
          <w:szCs w:val="24"/>
          <w:highlight w:val="none"/>
          <w:u w:val="none"/>
        </w:rPr>
        <w:t>13.</w:t>
      </w:r>
      <w:bookmarkEnd w:id="93"/>
      <w:bookmarkEnd w:id="94"/>
      <w:r>
        <w:rPr>
          <w:rFonts w:hint="eastAsia" w:ascii="仿宋" w:hAnsi="仿宋" w:eastAsia="仿宋" w:cs="仿宋"/>
          <w:szCs w:val="24"/>
          <w:highlight w:val="none"/>
          <w:u w:val="none"/>
        </w:rPr>
        <w:t>磋商有效期</w:t>
      </w:r>
      <w:bookmarkEnd w:id="95"/>
      <w:bookmarkEnd w:id="96"/>
      <w:bookmarkEnd w:id="97"/>
      <w:bookmarkEnd w:id="98"/>
    </w:p>
    <w:p w14:paraId="632BAE8D">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13.1</w:t>
      </w:r>
      <w:r>
        <w:rPr>
          <w:rFonts w:hint="eastAsia" w:ascii="仿宋" w:hAnsi="仿宋" w:eastAsia="仿宋" w:cs="仿宋"/>
          <w:sz w:val="24"/>
          <w:highlight w:val="none"/>
        </w:rPr>
        <w:tab/>
      </w:r>
      <w:r>
        <w:rPr>
          <w:rFonts w:hint="eastAsia" w:ascii="仿宋" w:hAnsi="仿宋" w:eastAsia="仿宋" w:cs="仿宋"/>
          <w:sz w:val="24"/>
          <w:highlight w:val="none"/>
        </w:rPr>
        <w:t>磋商应在供应商须知资料表中规定时间内保持有效。磋商有效期不满足要求的响应，其磋商资格将被认定为无效。</w:t>
      </w:r>
    </w:p>
    <w:p w14:paraId="3F35CD83">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13.2</w:t>
      </w:r>
      <w:r>
        <w:rPr>
          <w:rFonts w:hint="eastAsia" w:ascii="仿宋" w:hAnsi="仿宋" w:eastAsia="仿宋" w:cs="仿宋"/>
          <w:sz w:val="24"/>
          <w:highlight w:val="none"/>
        </w:rPr>
        <w:tab/>
      </w:r>
      <w:r>
        <w:rPr>
          <w:rFonts w:hint="eastAsia" w:ascii="仿宋" w:hAnsi="仿宋" w:eastAsia="仿宋" w:cs="仿宋"/>
          <w:sz w:val="24"/>
          <w:highlight w:val="none"/>
        </w:rPr>
        <w:t>为保证有充分时间签订合同，采购人或采购代理机构可根据实际情况，在原磋商有效期截止之前，要求供应商延长响应文件的有效期。接受该要求的供应商将不会被要求和允许修正其响应文件，且本须知中有关磋商保证金的要求须在延长的有效期内继续有效。供应商可以拒绝延长磋商有效期的要求，其磋商保证金将及时按规定无息退还。上述要求和答复都应以书面形式提交。</w:t>
      </w:r>
    </w:p>
    <w:p w14:paraId="52B7B6DC">
      <w:pPr>
        <w:pStyle w:val="4"/>
        <w:spacing w:before="0" w:after="0" w:line="400" w:lineRule="exact"/>
        <w:rPr>
          <w:rFonts w:ascii="仿宋" w:hAnsi="仿宋" w:eastAsia="仿宋" w:cs="仿宋"/>
          <w:bCs/>
          <w:kern w:val="2"/>
          <w:szCs w:val="24"/>
          <w:highlight w:val="none"/>
          <w:u w:val="none"/>
        </w:rPr>
      </w:pPr>
      <w:bookmarkStart w:id="99" w:name="_Toc520356158"/>
      <w:bookmarkStart w:id="100" w:name="_Toc19053"/>
      <w:bookmarkStart w:id="101" w:name="_Toc31308_WPSOffice_Level2"/>
      <w:bookmarkStart w:id="102" w:name="_Toc13034_WPSOffice_Level2"/>
      <w:bookmarkStart w:id="103" w:name="_Toc518923077"/>
      <w:bookmarkStart w:id="104" w:name="_Toc13036"/>
      <w:r>
        <w:rPr>
          <w:rFonts w:hint="eastAsia" w:ascii="仿宋" w:hAnsi="仿宋" w:eastAsia="仿宋" w:cs="仿宋"/>
          <w:szCs w:val="24"/>
          <w:highlight w:val="none"/>
          <w:u w:val="none"/>
        </w:rPr>
        <w:t>14.响应文件的签署</w:t>
      </w:r>
      <w:bookmarkEnd w:id="99"/>
      <w:r>
        <w:rPr>
          <w:rFonts w:hint="eastAsia" w:ascii="仿宋" w:hAnsi="仿宋" w:eastAsia="仿宋" w:cs="仿宋"/>
          <w:szCs w:val="24"/>
          <w:highlight w:val="none"/>
          <w:u w:val="none"/>
        </w:rPr>
        <w:t>及规定</w:t>
      </w:r>
      <w:bookmarkEnd w:id="100"/>
      <w:bookmarkEnd w:id="101"/>
      <w:bookmarkEnd w:id="102"/>
      <w:bookmarkEnd w:id="103"/>
      <w:bookmarkEnd w:id="104"/>
    </w:p>
    <w:p w14:paraId="10334270">
      <w:pPr>
        <w:spacing w:line="400" w:lineRule="exact"/>
        <w:ind w:left="904" w:hanging="900" w:hangingChars="375"/>
        <w:rPr>
          <w:rFonts w:ascii="仿宋" w:hAnsi="仿宋" w:eastAsia="仿宋" w:cs="仿宋"/>
          <w:b/>
          <w:bCs/>
          <w:sz w:val="24"/>
          <w:highlight w:val="none"/>
        </w:rPr>
      </w:pPr>
      <w:r>
        <w:rPr>
          <w:rFonts w:hint="eastAsia" w:ascii="仿宋" w:hAnsi="仿宋" w:eastAsia="仿宋" w:cs="仿宋"/>
          <w:b/>
          <w:bCs/>
          <w:sz w:val="24"/>
          <w:highlight w:val="none"/>
        </w:rPr>
        <w:t>14.1</w:t>
      </w:r>
      <w:r>
        <w:rPr>
          <w:rFonts w:hint="eastAsia" w:ascii="仿宋" w:hAnsi="仿宋" w:eastAsia="仿宋" w:cs="仿宋"/>
          <w:b/>
          <w:bCs/>
          <w:sz w:val="24"/>
          <w:highlight w:val="none"/>
        </w:rPr>
        <w:tab/>
      </w:r>
      <w:r>
        <w:rPr>
          <w:rFonts w:hint="eastAsia" w:ascii="仿宋" w:hAnsi="仿宋" w:eastAsia="仿宋" w:cs="仿宋"/>
          <w:b/>
          <w:bCs/>
          <w:sz w:val="24"/>
          <w:highlight w:val="none"/>
        </w:rPr>
        <w:t>为了保证电子标书的合法性、安全性和完整性，电子响应文件转换完成后，应在规定区域加盖单位和法定代表人CA印章。电子响应文件若无CA电子签章，则视为投标无效。</w:t>
      </w:r>
    </w:p>
    <w:p w14:paraId="7A966F8D">
      <w:pPr>
        <w:pStyle w:val="3"/>
        <w:tabs>
          <w:tab w:val="left" w:pos="900"/>
        </w:tabs>
        <w:spacing w:before="0" w:line="340" w:lineRule="exact"/>
        <w:ind w:left="1079" w:leftChars="257" w:hanging="540"/>
        <w:rPr>
          <w:rFonts w:ascii="仿宋" w:hAnsi="仿宋" w:eastAsia="仿宋" w:cs="仿宋"/>
          <w:sz w:val="24"/>
          <w:szCs w:val="24"/>
          <w:highlight w:val="none"/>
        </w:rPr>
      </w:pPr>
      <w:bookmarkStart w:id="105" w:name="_Toc30674_WPSOffice_Level1"/>
      <w:bookmarkStart w:id="106" w:name="_Toc216582808"/>
      <w:bookmarkStart w:id="107" w:name="_Toc520356159"/>
      <w:bookmarkStart w:id="108" w:name="_Toc9633"/>
      <w:bookmarkStart w:id="109" w:name="_Toc518923078"/>
      <w:bookmarkStart w:id="110" w:name="_Toc13659"/>
      <w:bookmarkStart w:id="111" w:name="_Toc31521"/>
      <w:r>
        <w:rPr>
          <w:rFonts w:hint="eastAsia" w:ascii="仿宋" w:hAnsi="仿宋" w:eastAsia="仿宋" w:cs="仿宋"/>
          <w:sz w:val="24"/>
          <w:szCs w:val="24"/>
          <w:highlight w:val="none"/>
        </w:rPr>
        <w:t>四 响应文件的递交</w:t>
      </w:r>
      <w:bookmarkEnd w:id="105"/>
      <w:bookmarkEnd w:id="106"/>
      <w:bookmarkEnd w:id="107"/>
      <w:bookmarkEnd w:id="108"/>
      <w:bookmarkEnd w:id="109"/>
      <w:bookmarkEnd w:id="110"/>
      <w:bookmarkEnd w:id="111"/>
    </w:p>
    <w:p w14:paraId="479AD8E7">
      <w:pPr>
        <w:pStyle w:val="4"/>
        <w:spacing w:before="0" w:after="0" w:line="400" w:lineRule="exact"/>
        <w:rPr>
          <w:rFonts w:ascii="仿宋" w:hAnsi="仿宋" w:eastAsia="仿宋" w:cs="仿宋"/>
          <w:bCs/>
          <w:kern w:val="2"/>
          <w:szCs w:val="24"/>
          <w:highlight w:val="none"/>
          <w:u w:val="none"/>
        </w:rPr>
      </w:pPr>
      <w:bookmarkStart w:id="112" w:name="_Toc518923079"/>
      <w:bookmarkStart w:id="113" w:name="_Toc520356160"/>
      <w:bookmarkStart w:id="114" w:name="_Toc31241"/>
      <w:bookmarkStart w:id="115" w:name="_Toc22654_WPSOffice_Level2"/>
      <w:bookmarkStart w:id="116" w:name="_Toc24004_WPSOffice_Level2"/>
      <w:bookmarkStart w:id="117" w:name="_Toc11197"/>
      <w:r>
        <w:rPr>
          <w:rFonts w:hint="eastAsia" w:ascii="仿宋" w:hAnsi="仿宋" w:eastAsia="仿宋" w:cs="仿宋"/>
          <w:szCs w:val="24"/>
          <w:highlight w:val="none"/>
          <w:u w:val="none"/>
        </w:rPr>
        <w:t>15.响应文件的密封和标记</w:t>
      </w:r>
      <w:bookmarkEnd w:id="112"/>
      <w:bookmarkEnd w:id="113"/>
      <w:bookmarkEnd w:id="114"/>
      <w:bookmarkEnd w:id="115"/>
      <w:bookmarkEnd w:id="116"/>
      <w:bookmarkEnd w:id="117"/>
    </w:p>
    <w:p w14:paraId="62ABD4DD">
      <w:pPr>
        <w:tabs>
          <w:tab w:val="left" w:pos="-200"/>
          <w:tab w:val="left" w:pos="5580"/>
        </w:tabs>
        <w:spacing w:line="240" w:lineRule="atLeast"/>
        <w:ind w:left="964" w:hanging="960" w:hangingChars="400"/>
        <w:jc w:val="left"/>
        <w:rPr>
          <w:rFonts w:ascii="仿宋" w:hAnsi="仿宋" w:eastAsia="仿宋" w:cs="仿宋"/>
          <w:b/>
          <w:bCs/>
          <w:sz w:val="24"/>
          <w:highlight w:val="none"/>
        </w:rPr>
      </w:pPr>
      <w:bookmarkStart w:id="118" w:name="_Toc520356161"/>
      <w:bookmarkStart w:id="119" w:name="_Toc518923080"/>
      <w:bookmarkStart w:id="120" w:name="_Toc14358_WPSOffice_Level2"/>
      <w:bookmarkStart w:id="121" w:name="_Toc178_WPSOffice_Level2"/>
      <w:r>
        <w:rPr>
          <w:rFonts w:hint="eastAsia" w:ascii="仿宋" w:hAnsi="仿宋" w:eastAsia="仿宋" w:cs="仿宋"/>
          <w:b/>
          <w:bCs/>
          <w:sz w:val="24"/>
          <w:highlight w:val="none"/>
        </w:rPr>
        <w:t>15.1    供应商应完整地按磋商文件提供的响应文件格式及要求编写响应文件， 供应商须在投标截止时间前完成在新疆政采云平台https://www.zcygov.cn 系统上递交电子响应文件。供应商的电子响应文件是经过CA证书加密后上传提交的，任何单位或个人均无法在投标截止时间之前查看或篡改，不存在泄密风险。（严格按照政采云电子投标流程制作并上传电子响应文件）</w:t>
      </w:r>
    </w:p>
    <w:p w14:paraId="50D75EC1">
      <w:pPr>
        <w:spacing w:line="240" w:lineRule="atLeast"/>
        <w:ind w:left="964" w:hanging="960" w:hangingChars="400"/>
        <w:rPr>
          <w:rFonts w:ascii="仿宋" w:hAnsi="仿宋" w:eastAsia="仿宋" w:cs="仿宋"/>
          <w:b/>
          <w:bCs/>
          <w:sz w:val="24"/>
          <w:highlight w:val="none"/>
        </w:rPr>
      </w:pPr>
      <w:r>
        <w:rPr>
          <w:rFonts w:hint="eastAsia" w:ascii="仿宋" w:hAnsi="仿宋" w:eastAsia="仿宋" w:cs="仿宋"/>
          <w:b/>
          <w:bCs/>
          <w:sz w:val="24"/>
          <w:highlight w:val="none"/>
        </w:rPr>
        <w:t>15.2   供应商因自身原因导致电子响应文件无法导入电子评标系统的，该响应文件视为无效文件。</w:t>
      </w:r>
    </w:p>
    <w:p w14:paraId="0C7D62CF">
      <w:pPr>
        <w:spacing w:line="240" w:lineRule="atLeast"/>
        <w:ind w:left="904" w:hanging="900" w:hangingChars="375"/>
        <w:rPr>
          <w:rFonts w:ascii="仿宋" w:hAnsi="仿宋" w:eastAsia="仿宋" w:cs="仿宋"/>
          <w:b/>
          <w:bCs/>
          <w:sz w:val="24"/>
          <w:highlight w:val="none"/>
        </w:rPr>
      </w:pPr>
      <w:r>
        <w:rPr>
          <w:rFonts w:hint="eastAsia" w:ascii="仿宋" w:hAnsi="仿宋" w:eastAsia="仿宋" w:cs="仿宋"/>
          <w:b/>
          <w:bCs/>
          <w:sz w:val="24"/>
          <w:highlight w:val="none"/>
        </w:rPr>
        <w:t>15.3    电子响应文件具有法律效力,与其他形式的响应文件在内容和格式上等同，若响应文件与磋商文件要求不一致，其内容影响成交结果时，责任由供应商自行承担。</w:t>
      </w:r>
    </w:p>
    <w:p w14:paraId="0E6A143A">
      <w:pPr>
        <w:pStyle w:val="4"/>
        <w:spacing w:before="0" w:after="0" w:line="340" w:lineRule="exact"/>
        <w:rPr>
          <w:rFonts w:ascii="仿宋" w:hAnsi="仿宋" w:eastAsia="仿宋" w:cs="仿宋"/>
          <w:szCs w:val="24"/>
          <w:highlight w:val="none"/>
          <w:u w:val="none"/>
        </w:rPr>
      </w:pPr>
      <w:bookmarkStart w:id="122" w:name="_Toc18094"/>
      <w:bookmarkStart w:id="123" w:name="_Toc23679"/>
      <w:r>
        <w:rPr>
          <w:rFonts w:hint="eastAsia" w:ascii="仿宋" w:hAnsi="仿宋" w:eastAsia="仿宋" w:cs="仿宋"/>
          <w:szCs w:val="24"/>
          <w:highlight w:val="none"/>
          <w:u w:val="none"/>
        </w:rPr>
        <w:t>16.磋商截止</w:t>
      </w:r>
      <w:bookmarkEnd w:id="118"/>
      <w:bookmarkEnd w:id="119"/>
      <w:bookmarkEnd w:id="120"/>
      <w:bookmarkEnd w:id="121"/>
      <w:bookmarkEnd w:id="122"/>
      <w:bookmarkEnd w:id="123"/>
    </w:p>
    <w:p w14:paraId="56E1346A">
      <w:pPr>
        <w:spacing w:line="340" w:lineRule="exact"/>
        <w:ind w:left="788" w:hanging="787" w:hangingChars="375"/>
        <w:rPr>
          <w:rFonts w:ascii="仿宋" w:hAnsi="仿宋" w:eastAsia="仿宋" w:cs="仿宋"/>
          <w:sz w:val="24"/>
          <w:highlight w:val="none"/>
        </w:rPr>
      </w:pPr>
      <w:r>
        <w:rPr>
          <w:rFonts w:hint="eastAsia" w:ascii="仿宋" w:hAnsi="仿宋" w:eastAsia="仿宋" w:cs="仿宋"/>
          <w:highlight w:val="none"/>
        </w:rPr>
        <w:t>16.1</w:t>
      </w:r>
      <w:r>
        <w:rPr>
          <w:rFonts w:hint="eastAsia" w:ascii="仿宋" w:hAnsi="仿宋" w:eastAsia="仿宋" w:cs="仿宋"/>
          <w:highlight w:val="none"/>
        </w:rPr>
        <w:tab/>
      </w:r>
      <w:r>
        <w:rPr>
          <w:rFonts w:hint="eastAsia" w:ascii="仿宋" w:hAnsi="仿宋" w:eastAsia="仿宋" w:cs="仿宋"/>
          <w:sz w:val="24"/>
          <w:highlight w:val="none"/>
        </w:rPr>
        <w:t>供应商应在磋商邀请书中规定的截止时间前，将响应文件递交到磋商邀请书中规定的地点。</w:t>
      </w:r>
      <w:r>
        <w:rPr>
          <w:rFonts w:hint="eastAsia" w:ascii="仿宋" w:hAnsi="仿宋" w:eastAsia="仿宋" w:cs="仿宋"/>
          <w:b/>
          <w:bCs/>
          <w:sz w:val="24"/>
          <w:highlight w:val="none"/>
        </w:rPr>
        <w:t>解密时间30分钟，逾期未解密的视为投标无效。</w:t>
      </w:r>
    </w:p>
    <w:p w14:paraId="5BC08B8F">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16.2</w:t>
      </w:r>
      <w:r>
        <w:rPr>
          <w:rFonts w:hint="eastAsia" w:ascii="仿宋" w:hAnsi="仿宋" w:eastAsia="仿宋" w:cs="仿宋"/>
          <w:sz w:val="24"/>
          <w:highlight w:val="none"/>
        </w:rPr>
        <w:tab/>
      </w:r>
      <w:r>
        <w:rPr>
          <w:rFonts w:hint="eastAsia" w:ascii="仿宋" w:hAnsi="仿宋" w:eastAsia="仿宋" w:cs="仿宋"/>
          <w:sz w:val="24"/>
          <w:highlight w:val="none"/>
        </w:rPr>
        <w:t>采购人和采购代理机构有权按本须知的规定，延迟响应文件递交截止时间。在此情况下，采购人、采购代理机构和供应商受响应文件递交截止时间制约的所有权利和义务均应延长至新的截止时间。</w:t>
      </w:r>
    </w:p>
    <w:p w14:paraId="56768C66">
      <w:pPr>
        <w:pStyle w:val="4"/>
        <w:spacing w:before="0" w:after="0" w:line="340" w:lineRule="exact"/>
        <w:rPr>
          <w:rFonts w:ascii="仿宋" w:hAnsi="仿宋" w:eastAsia="仿宋" w:cs="仿宋"/>
          <w:szCs w:val="24"/>
          <w:highlight w:val="none"/>
          <w:u w:val="none"/>
        </w:rPr>
      </w:pPr>
      <w:bookmarkStart w:id="124" w:name="_Toc26522_WPSOffice_Level2"/>
      <w:bookmarkStart w:id="125" w:name="_Toc518923081"/>
      <w:bookmarkStart w:id="126" w:name="_Toc9803"/>
      <w:bookmarkStart w:id="127" w:name="_Toc20664"/>
      <w:bookmarkStart w:id="128" w:name="_Toc520356162"/>
      <w:bookmarkStart w:id="129" w:name="_Toc17985_WPSOffice_Level2"/>
      <w:r>
        <w:rPr>
          <w:rFonts w:hint="eastAsia" w:ascii="仿宋" w:hAnsi="仿宋" w:eastAsia="仿宋" w:cs="仿宋"/>
          <w:szCs w:val="24"/>
          <w:highlight w:val="none"/>
          <w:u w:val="none"/>
        </w:rPr>
        <w:t>17.响应文件的接收、修改与撤回</w:t>
      </w:r>
      <w:bookmarkEnd w:id="124"/>
      <w:bookmarkEnd w:id="125"/>
      <w:bookmarkEnd w:id="126"/>
      <w:bookmarkEnd w:id="127"/>
      <w:bookmarkEnd w:id="128"/>
      <w:bookmarkEnd w:id="129"/>
    </w:p>
    <w:p w14:paraId="54F5C34C">
      <w:pPr>
        <w:spacing w:line="340" w:lineRule="exact"/>
        <w:ind w:left="900" w:hanging="900" w:hangingChars="375"/>
        <w:rPr>
          <w:rFonts w:ascii="仿宋" w:hAnsi="仿宋" w:eastAsia="仿宋" w:cs="仿宋"/>
          <w:sz w:val="24"/>
          <w:highlight w:val="none"/>
        </w:rPr>
      </w:pPr>
      <w:bookmarkStart w:id="130" w:name="_Toc518923082"/>
      <w:bookmarkStart w:id="131" w:name="_Toc216582809"/>
      <w:bookmarkStart w:id="132" w:name="_Toc520356163"/>
      <w:bookmarkStart w:id="133" w:name="_Toc6601_WPSOffice_Level1"/>
      <w:bookmarkStart w:id="134" w:name="_Toc5445"/>
      <w:r>
        <w:rPr>
          <w:rFonts w:hint="eastAsia" w:ascii="仿宋" w:hAnsi="仿宋" w:eastAsia="仿宋" w:cs="仿宋"/>
          <w:sz w:val="24"/>
          <w:highlight w:val="none"/>
        </w:rPr>
        <w:t>17.1</w:t>
      </w:r>
      <w:r>
        <w:rPr>
          <w:rFonts w:hint="eastAsia" w:ascii="仿宋" w:hAnsi="仿宋" w:eastAsia="仿宋" w:cs="仿宋"/>
          <w:sz w:val="24"/>
          <w:highlight w:val="none"/>
        </w:rPr>
        <w:tab/>
      </w:r>
      <w:r>
        <w:rPr>
          <w:rFonts w:hint="eastAsia" w:ascii="仿宋" w:hAnsi="仿宋" w:eastAsia="仿宋" w:cs="仿宋"/>
          <w:sz w:val="24"/>
          <w:highlight w:val="none"/>
        </w:rPr>
        <w:t>在投标截止时间后上传响应文件的，采购人和采购代理机构将拒绝接收。</w:t>
      </w:r>
    </w:p>
    <w:p w14:paraId="03546B51">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17.2   采购人或者采购代理机构收到响应文件后，应当如实记载响应文件的送达时间和密封情况。</w:t>
      </w:r>
    </w:p>
    <w:p w14:paraId="27898447">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17.3   递交响应文件以后，如果供应商要进行修改或撤回投标，须提出书面申请并在投标截止时间前上传至新疆政采云平台https://www.zcygov.cn，供应商对响应文件的修改或撤回通知应按本须知规定编制、密封、标记。采购人和采购代理机构将予以接收，并视为响应文件的组成部分。</w:t>
      </w:r>
    </w:p>
    <w:p w14:paraId="07627CE0">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17.4</w:t>
      </w:r>
      <w:r>
        <w:rPr>
          <w:rFonts w:hint="eastAsia" w:ascii="仿宋" w:hAnsi="仿宋" w:eastAsia="仿宋" w:cs="仿宋"/>
          <w:sz w:val="24"/>
          <w:highlight w:val="none"/>
        </w:rPr>
        <w:tab/>
      </w:r>
      <w:r>
        <w:rPr>
          <w:rFonts w:hint="eastAsia" w:ascii="仿宋" w:hAnsi="仿宋" w:eastAsia="仿宋" w:cs="仿宋"/>
          <w:sz w:val="24"/>
          <w:highlight w:val="none"/>
        </w:rPr>
        <w:t>在投标截止期之后，采购人和采购代理机构不接受供应商主动对其响应文件做任何修改。</w:t>
      </w:r>
    </w:p>
    <w:p w14:paraId="2B8716C4">
      <w:pPr>
        <w:spacing w:line="340" w:lineRule="exact"/>
        <w:ind w:left="900" w:hanging="900" w:hangingChars="375"/>
        <w:rPr>
          <w:rFonts w:ascii="仿宋" w:hAnsi="仿宋" w:eastAsia="仿宋" w:cs="仿宋"/>
          <w:sz w:val="24"/>
          <w:highlight w:val="none"/>
        </w:rPr>
      </w:pPr>
      <w:bookmarkStart w:id="135" w:name="_Toc19583"/>
      <w:bookmarkStart w:id="136" w:name="_Toc26872"/>
      <w:bookmarkStart w:id="137" w:name="_Toc13495"/>
      <w:r>
        <w:rPr>
          <w:rFonts w:hint="eastAsia" w:ascii="仿宋" w:hAnsi="仿宋" w:eastAsia="仿宋" w:cs="仿宋"/>
          <w:sz w:val="24"/>
          <w:highlight w:val="none"/>
        </w:rPr>
        <w:t>17.5</w:t>
      </w:r>
      <w:r>
        <w:rPr>
          <w:rFonts w:hint="eastAsia" w:ascii="仿宋" w:hAnsi="仿宋" w:eastAsia="仿宋" w:cs="仿宋"/>
          <w:sz w:val="24"/>
          <w:highlight w:val="none"/>
        </w:rPr>
        <w:tab/>
      </w:r>
      <w:r>
        <w:rPr>
          <w:rFonts w:hint="eastAsia" w:ascii="仿宋" w:hAnsi="仿宋" w:eastAsia="仿宋" w:cs="仿宋"/>
          <w:sz w:val="24"/>
          <w:highlight w:val="none"/>
        </w:rPr>
        <w:t>采购人和采购代理机构对所接收响应文件概不退回。</w:t>
      </w:r>
      <w:bookmarkEnd w:id="135"/>
      <w:bookmarkEnd w:id="136"/>
      <w:bookmarkEnd w:id="137"/>
    </w:p>
    <w:p w14:paraId="0BB052BB">
      <w:pPr>
        <w:pStyle w:val="3"/>
        <w:tabs>
          <w:tab w:val="left" w:pos="900"/>
        </w:tabs>
        <w:spacing w:before="0" w:line="340" w:lineRule="exact"/>
        <w:ind w:left="1079" w:leftChars="257" w:hanging="540"/>
        <w:rPr>
          <w:rFonts w:ascii="仿宋" w:hAnsi="仿宋" w:eastAsia="仿宋" w:cs="仿宋"/>
          <w:sz w:val="24"/>
          <w:szCs w:val="24"/>
          <w:highlight w:val="none"/>
        </w:rPr>
      </w:pPr>
      <w:bookmarkStart w:id="138" w:name="_Toc11598"/>
      <w:bookmarkStart w:id="139" w:name="_Toc15990"/>
      <w:r>
        <w:rPr>
          <w:rFonts w:hint="eastAsia" w:ascii="仿宋" w:hAnsi="仿宋" w:eastAsia="仿宋" w:cs="仿宋"/>
          <w:sz w:val="24"/>
          <w:szCs w:val="24"/>
          <w:highlight w:val="none"/>
        </w:rPr>
        <w:t>五 磋商开启及</w:t>
      </w:r>
      <w:bookmarkEnd w:id="130"/>
      <w:bookmarkEnd w:id="131"/>
      <w:bookmarkEnd w:id="132"/>
      <w:r>
        <w:rPr>
          <w:rFonts w:hint="eastAsia" w:ascii="仿宋" w:hAnsi="仿宋" w:eastAsia="仿宋" w:cs="仿宋"/>
          <w:sz w:val="24"/>
          <w:szCs w:val="24"/>
          <w:highlight w:val="none"/>
        </w:rPr>
        <w:t>评审</w:t>
      </w:r>
      <w:bookmarkEnd w:id="133"/>
      <w:bookmarkEnd w:id="134"/>
      <w:bookmarkEnd w:id="138"/>
      <w:bookmarkEnd w:id="139"/>
    </w:p>
    <w:p w14:paraId="27118D83">
      <w:pPr>
        <w:pStyle w:val="4"/>
        <w:spacing w:before="0" w:after="0" w:line="340" w:lineRule="exact"/>
        <w:rPr>
          <w:rFonts w:ascii="仿宋" w:hAnsi="仿宋" w:eastAsia="仿宋" w:cs="仿宋"/>
          <w:szCs w:val="24"/>
          <w:highlight w:val="none"/>
          <w:u w:val="none"/>
        </w:rPr>
      </w:pPr>
      <w:bookmarkStart w:id="140" w:name="_Toc518923083"/>
      <w:bookmarkStart w:id="141" w:name="_Toc520356164"/>
      <w:bookmarkStart w:id="142" w:name="_Toc15450"/>
      <w:bookmarkStart w:id="143" w:name="_Toc13011_WPSOffice_Level2"/>
      <w:bookmarkStart w:id="144" w:name="_Toc829"/>
      <w:bookmarkStart w:id="145" w:name="_Toc32308_WPSOffice_Level2"/>
      <w:r>
        <w:rPr>
          <w:rFonts w:hint="eastAsia" w:ascii="仿宋" w:hAnsi="仿宋" w:eastAsia="仿宋" w:cs="仿宋"/>
          <w:szCs w:val="24"/>
          <w:highlight w:val="none"/>
          <w:u w:val="none"/>
        </w:rPr>
        <w:t>18.</w:t>
      </w:r>
      <w:bookmarkEnd w:id="140"/>
      <w:bookmarkEnd w:id="141"/>
      <w:r>
        <w:rPr>
          <w:rFonts w:hint="eastAsia" w:ascii="仿宋" w:hAnsi="仿宋" w:eastAsia="仿宋" w:cs="仿宋"/>
          <w:szCs w:val="24"/>
          <w:highlight w:val="none"/>
          <w:u w:val="none"/>
        </w:rPr>
        <w:t>磋商开启</w:t>
      </w:r>
      <w:bookmarkEnd w:id="142"/>
      <w:bookmarkEnd w:id="143"/>
      <w:bookmarkEnd w:id="144"/>
      <w:bookmarkEnd w:id="145"/>
    </w:p>
    <w:p w14:paraId="255AB96B">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18.1</w:t>
      </w:r>
      <w:r>
        <w:rPr>
          <w:rFonts w:hint="eastAsia" w:ascii="仿宋" w:hAnsi="仿宋" w:eastAsia="仿宋" w:cs="仿宋"/>
          <w:sz w:val="24"/>
          <w:highlight w:val="none"/>
        </w:rPr>
        <w:tab/>
      </w:r>
      <w:r>
        <w:rPr>
          <w:rFonts w:hint="eastAsia" w:ascii="仿宋" w:hAnsi="仿宋" w:eastAsia="仿宋" w:cs="仿宋"/>
          <w:sz w:val="24"/>
          <w:highlight w:val="none"/>
        </w:rPr>
        <w:t>采购人和采购代理机构将按供应商须知资料表中规定的磋商开启时间和地点组织公开磋商开启并邀请所有供应商代表参加。</w:t>
      </w:r>
    </w:p>
    <w:p w14:paraId="4E874B42">
      <w:pPr>
        <w:spacing w:line="340" w:lineRule="exact"/>
        <w:ind w:left="957" w:leftChars="456" w:firstLine="60" w:firstLineChars="25"/>
        <w:rPr>
          <w:rFonts w:ascii="仿宋" w:hAnsi="仿宋" w:eastAsia="仿宋" w:cs="仿宋"/>
          <w:sz w:val="24"/>
          <w:highlight w:val="none"/>
        </w:rPr>
      </w:pPr>
      <w:r>
        <w:rPr>
          <w:rFonts w:hint="eastAsia" w:ascii="仿宋" w:hAnsi="仿宋" w:eastAsia="仿宋" w:cs="仿宋"/>
          <w:sz w:val="24"/>
          <w:highlight w:val="none"/>
        </w:rPr>
        <w:t>供应商不足3家的，不得磋商开启。</w:t>
      </w:r>
    </w:p>
    <w:p w14:paraId="107B402A">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18.2    磋商开启时，由供应商或其推选的代表检查自己或所代表的响应文件的密封情况，经记录后，由采购人或采购代理机构当众解密响应文件，宣读供应商名称、报价一览表价格及磋商文件规定的内容。对于供应商在响应文件递交截止期前递交的响应声明，在磋商开启时当众宣读，评审时有效。</w:t>
      </w:r>
      <w:r>
        <w:rPr>
          <w:rFonts w:hint="eastAsia" w:ascii="仿宋" w:hAnsi="仿宋" w:eastAsia="仿宋" w:cs="仿宋"/>
          <w:b/>
          <w:bCs/>
          <w:sz w:val="24"/>
          <w:highlight w:val="none"/>
        </w:rPr>
        <w:t>逾期未解密的视为投标无效。</w:t>
      </w:r>
    </w:p>
    <w:p w14:paraId="1C7EA12E">
      <w:pPr>
        <w:spacing w:line="340" w:lineRule="exact"/>
        <w:ind w:left="957" w:leftChars="456" w:firstLine="60" w:firstLineChars="25"/>
        <w:rPr>
          <w:rFonts w:ascii="仿宋" w:hAnsi="仿宋" w:eastAsia="仿宋" w:cs="仿宋"/>
          <w:sz w:val="24"/>
          <w:highlight w:val="none"/>
        </w:rPr>
      </w:pPr>
      <w:r>
        <w:rPr>
          <w:rFonts w:hint="eastAsia" w:ascii="仿宋" w:hAnsi="仿宋" w:eastAsia="仿宋" w:cs="仿宋"/>
          <w:sz w:val="24"/>
          <w:highlight w:val="none"/>
        </w:rPr>
        <w:t>未宣读报价价格、价格折扣等实质内容，评审时不予承认。</w:t>
      </w:r>
    </w:p>
    <w:p w14:paraId="5C2E1336">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18</w:t>
      </w:r>
      <w:bookmarkStart w:id="146" w:name="_Toc520356165"/>
      <w:r>
        <w:rPr>
          <w:rFonts w:hint="eastAsia" w:ascii="仿宋" w:hAnsi="仿宋" w:eastAsia="仿宋" w:cs="仿宋"/>
          <w:sz w:val="24"/>
          <w:highlight w:val="none"/>
        </w:rPr>
        <w:t>.3    采购人或采购代理机构将对开标过程进行记录，由各供应商代表和相关工作人员在政采云不见面开标大厅平台进行网上签字确认，并存档备查。</w:t>
      </w:r>
    </w:p>
    <w:p w14:paraId="48AA3A79">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18.4    供应商代表对磋商开启过程和磋商开启记录有疑义，以及认为采购人、采购代理机构相关工作人员有需要回避的情形的，应当场提出询问或者回避申请。</w:t>
      </w:r>
    </w:p>
    <w:p w14:paraId="486D63D2">
      <w:pPr>
        <w:pStyle w:val="4"/>
        <w:spacing w:before="0" w:after="0" w:line="340" w:lineRule="exact"/>
        <w:rPr>
          <w:rFonts w:ascii="仿宋" w:hAnsi="仿宋" w:eastAsia="仿宋" w:cs="仿宋"/>
          <w:szCs w:val="24"/>
          <w:highlight w:val="none"/>
          <w:u w:val="none"/>
        </w:rPr>
      </w:pPr>
      <w:bookmarkStart w:id="147" w:name="_Toc4350_WPSOffice_Level2"/>
      <w:bookmarkStart w:id="148" w:name="_Toc518923084"/>
      <w:bookmarkStart w:id="149" w:name="_Toc14331"/>
      <w:bookmarkStart w:id="150" w:name="_Toc21320_WPSOffice_Level2"/>
      <w:bookmarkStart w:id="151" w:name="_Toc27969"/>
      <w:r>
        <w:rPr>
          <w:rFonts w:hint="eastAsia" w:ascii="仿宋" w:hAnsi="仿宋" w:eastAsia="仿宋" w:cs="仿宋"/>
          <w:szCs w:val="24"/>
          <w:highlight w:val="none"/>
          <w:u w:val="none"/>
        </w:rPr>
        <w:t>19</w:t>
      </w:r>
      <w:bookmarkEnd w:id="146"/>
      <w:r>
        <w:rPr>
          <w:rFonts w:hint="eastAsia" w:ascii="仿宋" w:hAnsi="仿宋" w:eastAsia="仿宋" w:cs="仿宋"/>
          <w:szCs w:val="24"/>
          <w:highlight w:val="none"/>
          <w:u w:val="none"/>
        </w:rPr>
        <w:t>.资格审查及组建评审委员会</w:t>
      </w:r>
      <w:bookmarkEnd w:id="147"/>
      <w:bookmarkEnd w:id="148"/>
      <w:bookmarkEnd w:id="149"/>
      <w:bookmarkEnd w:id="150"/>
      <w:bookmarkEnd w:id="151"/>
    </w:p>
    <w:p w14:paraId="18A958FC">
      <w:pPr>
        <w:spacing w:line="288" w:lineRule="auto"/>
        <w:ind w:left="960" w:hanging="960" w:hangingChars="400"/>
        <w:rPr>
          <w:rFonts w:ascii="仿宋" w:hAnsi="仿宋" w:eastAsia="仿宋" w:cs="仿宋"/>
          <w:sz w:val="24"/>
          <w:highlight w:val="none"/>
        </w:rPr>
      </w:pPr>
      <w:r>
        <w:rPr>
          <w:rFonts w:hint="eastAsia" w:ascii="仿宋" w:hAnsi="仿宋" w:eastAsia="仿宋" w:cs="仿宋"/>
          <w:sz w:val="24"/>
          <w:highlight w:val="none"/>
        </w:rPr>
        <w:t xml:space="preserve">19.1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采购人或采购代理机构依据法律法规和招标文件中规定的内容，对投标人及其货物的资格进行审查，未通过资格审查的投标人不进入评标；通过资格审查的投标人少于不足三家的，不得评标。</w:t>
      </w:r>
    </w:p>
    <w:p w14:paraId="57880036">
      <w:pPr>
        <w:spacing w:line="340" w:lineRule="exact"/>
        <w:ind w:left="904" w:hanging="900" w:hangingChars="375"/>
        <w:rPr>
          <w:rFonts w:ascii="仿宋" w:hAnsi="仿宋" w:eastAsia="仿宋" w:cs="仿宋"/>
          <w:sz w:val="24"/>
          <w:highlight w:val="none"/>
        </w:rPr>
      </w:pPr>
      <w:r>
        <w:rPr>
          <w:rFonts w:hint="eastAsia" w:ascii="仿宋" w:hAnsi="仿宋" w:eastAsia="仿宋" w:cs="仿宋"/>
          <w:b/>
          <w:bCs/>
          <w:sz w:val="24"/>
          <w:highlight w:val="none"/>
        </w:rPr>
        <w:t>通过资格审查的供应商少于不足三家的，不得评标。</w:t>
      </w:r>
    </w:p>
    <w:p w14:paraId="20517A1E">
      <w:pPr>
        <w:spacing w:line="340" w:lineRule="exact"/>
        <w:ind w:left="900" w:hanging="900" w:hangingChars="375"/>
        <w:rPr>
          <w:rFonts w:ascii="仿宋" w:hAnsi="仿宋" w:eastAsia="仿宋" w:cs="仿宋"/>
          <w:sz w:val="24"/>
          <w:highlight w:val="none"/>
        </w:rPr>
      </w:pPr>
      <w:bookmarkStart w:id="152" w:name="_Toc520356166"/>
      <w:bookmarkStart w:id="153" w:name="_Toc31689_WPSOffice_Level2"/>
      <w:bookmarkStart w:id="154" w:name="_Toc518923085"/>
      <w:bookmarkStart w:id="155" w:name="_Toc17843_WPSOffice_Level2"/>
      <w:r>
        <w:rPr>
          <w:rFonts w:hint="eastAsia" w:ascii="仿宋" w:hAnsi="仿宋" w:eastAsia="仿宋" w:cs="仿宋"/>
          <w:sz w:val="24"/>
          <w:highlight w:val="none"/>
        </w:rPr>
        <w:t>19.2.1 不良信用记录指：供应商在中国政府采购网（www.ccgp.gov.cn）被列入政府采购严重违法失信行为记录名单，或在“信用中国”网站（www.creditchina.gov.cn）被列入失信被执行人、重大税收违法失信行为主体名单，以及存在《中华人民共和国政府采购法实施条例》第十九条规定的行政处罚记录。</w:t>
      </w:r>
    </w:p>
    <w:p w14:paraId="3A92137F">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以联合体形式参加投标的，联合体任何成员存在以上不良信用记录的，联合体投标将被认定为投标无效。</w:t>
      </w:r>
    </w:p>
    <w:p w14:paraId="0EEE9BC9">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19.2.2 查询及记录方式：采购人或采购代理机构经办人将查询网页打印、签字并存档备查。供应商不良信用记录以采购人或采购代理机构查询结果为准。</w:t>
      </w:r>
    </w:p>
    <w:p w14:paraId="203916AE">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在本磋商文件规定的查询时间之后，网站信息发生的任何变更均不再作为评标依据。</w:t>
      </w:r>
    </w:p>
    <w:p w14:paraId="39BA2EA4">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供应商自行提供的与网站信息不一致的其他证明材料亦不作为资格审查依据。</w:t>
      </w:r>
    </w:p>
    <w:p w14:paraId="24D1CE2E">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19.3   按照《中华人民共和国政府采购法》、《中华人民共和国政府采购法实施条例》及本项目本级和上级财政部门的有关规定依法组建的评标委员会，负责评标工作。本项目评标委员会由5人单数组成，其中：业主代表1人，评委4人（政采云专家库随机抽取）。</w:t>
      </w:r>
    </w:p>
    <w:p w14:paraId="229617BF">
      <w:pPr>
        <w:pStyle w:val="4"/>
        <w:spacing w:before="0" w:after="0" w:line="340" w:lineRule="exact"/>
        <w:rPr>
          <w:rFonts w:ascii="仿宋" w:hAnsi="仿宋" w:eastAsia="仿宋" w:cs="仿宋"/>
          <w:szCs w:val="24"/>
          <w:highlight w:val="none"/>
          <w:u w:val="none"/>
        </w:rPr>
      </w:pPr>
      <w:bookmarkStart w:id="156" w:name="_Toc20433"/>
      <w:bookmarkStart w:id="157" w:name="_Toc6919"/>
      <w:r>
        <w:rPr>
          <w:rFonts w:hint="eastAsia" w:ascii="仿宋" w:hAnsi="仿宋" w:eastAsia="仿宋" w:cs="仿宋"/>
          <w:szCs w:val="24"/>
          <w:highlight w:val="none"/>
          <w:u w:val="none"/>
        </w:rPr>
        <w:t>20.响应文件的</w:t>
      </w:r>
      <w:bookmarkEnd w:id="152"/>
      <w:r>
        <w:rPr>
          <w:rFonts w:hint="eastAsia" w:ascii="仿宋" w:hAnsi="仿宋" w:eastAsia="仿宋" w:cs="仿宋"/>
          <w:szCs w:val="24"/>
          <w:highlight w:val="none"/>
          <w:u w:val="none"/>
        </w:rPr>
        <w:t>符合性审查与澄清</w:t>
      </w:r>
      <w:bookmarkEnd w:id="153"/>
      <w:bookmarkEnd w:id="154"/>
      <w:bookmarkEnd w:id="155"/>
      <w:bookmarkEnd w:id="156"/>
      <w:bookmarkEnd w:id="157"/>
    </w:p>
    <w:p w14:paraId="5EBCC879">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20.1   符合性审查是指依据磋商文件的规定，从响应文件的有效性和完整性对磋商文件的响应程度进行审查，以确定是否对磋商文件的实质性要求做出响应。</w:t>
      </w:r>
      <w:bookmarkStart w:id="158" w:name="_Hlt522424701"/>
      <w:bookmarkEnd w:id="158"/>
    </w:p>
    <w:p w14:paraId="14D717D0">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20.2</w:t>
      </w:r>
      <w:r>
        <w:rPr>
          <w:rFonts w:hint="eastAsia" w:ascii="仿宋" w:hAnsi="仿宋" w:eastAsia="仿宋" w:cs="仿宋"/>
          <w:sz w:val="24"/>
          <w:highlight w:val="none"/>
        </w:rPr>
        <w:tab/>
      </w:r>
      <w:r>
        <w:rPr>
          <w:rFonts w:hint="eastAsia" w:ascii="仿宋" w:hAnsi="仿宋" w:eastAsia="仿宋" w:cs="仿宋"/>
          <w:sz w:val="24"/>
          <w:highlight w:val="none"/>
        </w:rPr>
        <w:t>响应文件的澄清</w:t>
      </w:r>
    </w:p>
    <w:p w14:paraId="3C4C6023">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20.2.1  在评审期间，评审委员会将以书面方式要求供应商对其响应文件中含义不明确、对同类问题表述不一致或者有明显文字和计算错误的内容，以及评审委员会认为供应商的报价明显低于其他通过符合性检查供应商的报价，有可能影响履约的情况作必要的澄清、说明或补正。供应商澄清、说明或补正。应在评审委员会规定的时间内以书面方式进行，并不得超出响应文件范围或者改变响应文件的实质性内容。</w:t>
      </w:r>
    </w:p>
    <w:p w14:paraId="0A833B88">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20.2.2  供应商的澄清、说明或补正将作为响应文件的一部分。</w:t>
      </w:r>
    </w:p>
    <w:p w14:paraId="0C416A46">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20.3   响应文件报价出现前后不一致的，按照下列规定修正：</w:t>
      </w:r>
    </w:p>
    <w:p w14:paraId="09CD7047">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　　（一）响应文件中报价一览表（报价表）内容与响应文件中相应内容不一致的，以报价一览表（报价表）为准；</w:t>
      </w:r>
    </w:p>
    <w:p w14:paraId="77829318">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　　（二）大写金额和小写金额不一致的，以大写金额为准；</w:t>
      </w:r>
    </w:p>
    <w:p w14:paraId="5DEECE0C">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　　（三）单价金额小数点或者百分比有明显错位的，以报价一览表的总价为准，并修改单价；</w:t>
      </w:r>
    </w:p>
    <w:p w14:paraId="2666BE7E">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　　（四）总价金额与按单价汇总金额不一致的，以单价金额计算结果为准。</w:t>
      </w:r>
    </w:p>
    <w:p w14:paraId="32D893FF">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　　同时出现两种以上不一致的，按照前款规定的顺序修正。修正后的报价按照第20.2条的规定经供应商确认后产生约束力，供应商不确认的，将被认定为响应无效。</w:t>
      </w:r>
    </w:p>
    <w:p w14:paraId="6045D655">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对不同文字文本响应文件的解释发生异议的，以中文文本为准。</w:t>
      </w:r>
    </w:p>
    <w:p w14:paraId="7662787F">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20.4   供应商为提供服务所伴随响应文件的产品如被列入财政部与国家主管部门颁发的节能产品目录或环境标志产品目录或无线局域网产品目录，应提供相关证明，在评审时予以优先采购，具体优先采购办法见第6章评审方法和标准。</w:t>
      </w:r>
      <w:r>
        <w:rPr>
          <w:rFonts w:hint="eastAsia" w:ascii="仿宋" w:hAnsi="仿宋" w:eastAsia="仿宋" w:cs="仿宋"/>
          <w:b/>
          <w:bCs/>
          <w:sz w:val="24"/>
          <w:highlight w:val="none"/>
        </w:rPr>
        <w:t>本项目不适用</w:t>
      </w:r>
      <w:r>
        <w:rPr>
          <w:rFonts w:hint="eastAsia" w:ascii="仿宋" w:hAnsi="仿宋" w:eastAsia="仿宋" w:cs="仿宋"/>
          <w:sz w:val="24"/>
          <w:highlight w:val="none"/>
        </w:rPr>
        <w:t>。</w:t>
      </w:r>
    </w:p>
    <w:p w14:paraId="49D82BA3">
      <w:pPr>
        <w:pStyle w:val="4"/>
        <w:spacing w:before="0" w:after="0" w:line="340" w:lineRule="exact"/>
        <w:rPr>
          <w:rFonts w:ascii="仿宋" w:hAnsi="仿宋" w:eastAsia="仿宋" w:cs="仿宋"/>
          <w:szCs w:val="24"/>
          <w:highlight w:val="none"/>
          <w:u w:val="none"/>
        </w:rPr>
      </w:pPr>
      <w:bookmarkStart w:id="159" w:name="_Toc518923086"/>
      <w:bookmarkStart w:id="160" w:name="_Toc6415"/>
      <w:bookmarkStart w:id="161" w:name="_Toc26452_WPSOffice_Level2"/>
      <w:bookmarkStart w:id="162" w:name="_Toc20408"/>
      <w:bookmarkStart w:id="163" w:name="_Toc6346_WPSOffice_Level2"/>
      <w:r>
        <w:rPr>
          <w:rFonts w:hint="eastAsia" w:ascii="仿宋" w:hAnsi="仿宋" w:eastAsia="仿宋" w:cs="仿宋"/>
          <w:szCs w:val="24"/>
          <w:highlight w:val="none"/>
          <w:u w:val="none"/>
        </w:rPr>
        <w:t>21.响应偏离</w:t>
      </w:r>
      <w:bookmarkEnd w:id="159"/>
      <w:bookmarkEnd w:id="160"/>
      <w:bookmarkEnd w:id="161"/>
      <w:bookmarkEnd w:id="162"/>
      <w:bookmarkEnd w:id="163"/>
    </w:p>
    <w:p w14:paraId="121D6646">
      <w:pPr>
        <w:spacing w:line="340" w:lineRule="exact"/>
        <w:ind w:left="957" w:leftChars="456" w:firstLine="60" w:firstLineChars="25"/>
        <w:rPr>
          <w:rFonts w:ascii="仿宋" w:hAnsi="仿宋" w:eastAsia="仿宋" w:cs="仿宋"/>
          <w:sz w:val="24"/>
          <w:highlight w:val="none"/>
        </w:rPr>
      </w:pPr>
      <w:r>
        <w:rPr>
          <w:rFonts w:hint="eastAsia" w:ascii="仿宋" w:hAnsi="仿宋" w:eastAsia="仿宋" w:cs="仿宋"/>
          <w:sz w:val="24"/>
          <w:highlight w:val="none"/>
        </w:rPr>
        <w:t>评审委员会可以接受响应文件中不构成实质性偏离的不正规或不一致，具体由评标委员会进行判定。</w:t>
      </w:r>
    </w:p>
    <w:p w14:paraId="7D01EB10">
      <w:pPr>
        <w:pStyle w:val="4"/>
        <w:spacing w:before="0" w:after="0" w:line="400" w:lineRule="exact"/>
        <w:rPr>
          <w:rFonts w:ascii="仿宋" w:hAnsi="仿宋" w:eastAsia="仿宋" w:cs="仿宋"/>
          <w:highlight w:val="none"/>
          <w:u w:val="none"/>
        </w:rPr>
      </w:pPr>
      <w:bookmarkStart w:id="164" w:name="_Toc25236_WPSOffice_Level2"/>
      <w:bookmarkStart w:id="165" w:name="_Toc518923087"/>
      <w:bookmarkStart w:id="166" w:name="_Toc14663"/>
      <w:bookmarkStart w:id="167" w:name="_Toc11645_WPSOffice_Level2"/>
      <w:bookmarkStart w:id="168" w:name="_Toc12870"/>
      <w:r>
        <w:rPr>
          <w:rFonts w:hint="eastAsia" w:ascii="仿宋" w:hAnsi="仿宋" w:eastAsia="仿宋" w:cs="仿宋"/>
          <w:szCs w:val="24"/>
          <w:highlight w:val="none"/>
          <w:u w:val="none"/>
        </w:rPr>
        <w:t>22.响应无效</w:t>
      </w:r>
      <w:bookmarkEnd w:id="164"/>
      <w:bookmarkEnd w:id="165"/>
      <w:bookmarkEnd w:id="166"/>
      <w:bookmarkEnd w:id="167"/>
      <w:bookmarkEnd w:id="168"/>
    </w:p>
    <w:p w14:paraId="603FB074">
      <w:pPr>
        <w:spacing w:line="400" w:lineRule="exact"/>
        <w:ind w:left="739" w:leftChars="-23" w:hanging="787" w:hangingChars="375"/>
        <w:rPr>
          <w:rFonts w:ascii="仿宋" w:hAnsi="仿宋" w:eastAsia="仿宋" w:cs="仿宋"/>
          <w:sz w:val="24"/>
          <w:highlight w:val="none"/>
        </w:rPr>
      </w:pPr>
      <w:r>
        <w:rPr>
          <w:rFonts w:hint="eastAsia" w:ascii="仿宋" w:hAnsi="仿宋" w:eastAsia="仿宋" w:cs="仿宋"/>
          <w:highlight w:val="none"/>
        </w:rPr>
        <w:t xml:space="preserve">22.1  </w:t>
      </w:r>
      <w:r>
        <w:rPr>
          <w:rFonts w:hint="eastAsia" w:ascii="仿宋" w:hAnsi="仿宋" w:eastAsia="仿宋" w:cs="仿宋"/>
          <w:sz w:val="24"/>
          <w:highlight w:val="none"/>
        </w:rPr>
        <w:t xml:space="preserve"> 在比较与评价之前，根据本须知的规定，评审委员会要审查每份响应文件是否实质上响应了磋商文件的要求。实质上响应的响应文件应该是与磋商文件要求的全部条款、条件和规格相符，没有重大偏离的响应。对关键条款的偏离，将被认定为无效。供应商不得通过修正或撤销不符合要求的偏离从而使其响应文件成为实质上响应。</w:t>
      </w:r>
    </w:p>
    <w:p w14:paraId="301F0117">
      <w:pPr>
        <w:spacing w:line="400" w:lineRule="exact"/>
        <w:ind w:left="791" w:leftChars="377"/>
        <w:rPr>
          <w:rFonts w:ascii="仿宋" w:hAnsi="仿宋" w:eastAsia="仿宋" w:cs="仿宋"/>
          <w:sz w:val="24"/>
          <w:highlight w:val="none"/>
        </w:rPr>
      </w:pPr>
      <w:r>
        <w:rPr>
          <w:rFonts w:hint="eastAsia" w:ascii="仿宋" w:hAnsi="仿宋" w:eastAsia="仿宋" w:cs="仿宋"/>
          <w:sz w:val="24"/>
          <w:highlight w:val="none"/>
        </w:rPr>
        <w:t>磋商小组决定磋商的响应性只根据磋商文件要求、响应文件内容及财政主管部门指定相关信息发布媒体。</w:t>
      </w:r>
    </w:p>
    <w:p w14:paraId="517965AC">
      <w:pPr>
        <w:spacing w:line="40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22.2</w:t>
      </w:r>
      <w:r>
        <w:rPr>
          <w:rFonts w:hint="eastAsia" w:ascii="仿宋" w:hAnsi="仿宋" w:eastAsia="仿宋" w:cs="仿宋"/>
          <w:sz w:val="24"/>
          <w:highlight w:val="none"/>
        </w:rPr>
        <w:tab/>
      </w:r>
      <w:r>
        <w:rPr>
          <w:rFonts w:hint="eastAsia" w:ascii="仿宋" w:hAnsi="仿宋" w:eastAsia="仿宋" w:cs="仿宋"/>
          <w:sz w:val="24"/>
          <w:highlight w:val="none"/>
        </w:rPr>
        <w:t>如发现下列情况之一的，其磋商将被认定为无效：（以下情形应当在磋商文件中规定，并以醒目的方式标明）</w:t>
      </w:r>
    </w:p>
    <w:p w14:paraId="78660BE5">
      <w:pPr>
        <w:numPr>
          <w:ilvl w:val="0"/>
          <w:numId w:val="4"/>
        </w:numPr>
        <w:spacing w:line="400" w:lineRule="exact"/>
        <w:ind w:left="1080" w:leftChars="429" w:hanging="180"/>
        <w:rPr>
          <w:rFonts w:ascii="仿宋" w:hAnsi="仿宋" w:eastAsia="仿宋" w:cs="仿宋"/>
          <w:sz w:val="24"/>
          <w:highlight w:val="none"/>
        </w:rPr>
      </w:pPr>
      <w:r>
        <w:rPr>
          <w:rFonts w:hint="eastAsia" w:ascii="仿宋" w:hAnsi="仿宋" w:eastAsia="仿宋" w:cs="仿宋"/>
          <w:sz w:val="24"/>
          <w:highlight w:val="none"/>
        </w:rPr>
        <w:t>未按磋商文件规定的形式和金额提交磋商保证金的；</w:t>
      </w:r>
    </w:p>
    <w:p w14:paraId="592D88A3">
      <w:pPr>
        <w:numPr>
          <w:ilvl w:val="0"/>
          <w:numId w:val="4"/>
        </w:numPr>
        <w:spacing w:line="400" w:lineRule="exact"/>
        <w:ind w:left="1080" w:leftChars="429" w:hanging="180"/>
        <w:rPr>
          <w:rFonts w:ascii="仿宋" w:hAnsi="仿宋" w:eastAsia="仿宋" w:cs="仿宋"/>
          <w:sz w:val="24"/>
          <w:highlight w:val="none"/>
        </w:rPr>
      </w:pPr>
      <w:r>
        <w:rPr>
          <w:rFonts w:hint="eastAsia" w:ascii="仿宋" w:hAnsi="仿宋" w:eastAsia="仿宋" w:cs="仿宋"/>
          <w:sz w:val="24"/>
          <w:highlight w:val="none"/>
        </w:rPr>
        <w:t>未按照磋商文件规定要求签署、盖章的；</w:t>
      </w:r>
    </w:p>
    <w:p w14:paraId="14D35E39">
      <w:pPr>
        <w:numPr>
          <w:ilvl w:val="0"/>
          <w:numId w:val="4"/>
        </w:numPr>
        <w:spacing w:line="400" w:lineRule="exact"/>
        <w:ind w:left="1080" w:leftChars="429" w:hanging="180"/>
        <w:rPr>
          <w:rFonts w:ascii="仿宋" w:hAnsi="仿宋" w:eastAsia="仿宋" w:cs="仿宋"/>
          <w:sz w:val="24"/>
          <w:highlight w:val="none"/>
        </w:rPr>
      </w:pPr>
      <w:r>
        <w:rPr>
          <w:rFonts w:hint="eastAsia" w:ascii="仿宋" w:hAnsi="仿宋" w:eastAsia="仿宋" w:cs="仿宋"/>
          <w:sz w:val="24"/>
          <w:highlight w:val="none"/>
        </w:rPr>
        <w:t>未满足磋商文件中技术条款的实质性要求；</w:t>
      </w:r>
    </w:p>
    <w:p w14:paraId="695642D4">
      <w:pPr>
        <w:numPr>
          <w:ilvl w:val="0"/>
          <w:numId w:val="4"/>
        </w:numPr>
        <w:spacing w:line="400" w:lineRule="exact"/>
        <w:ind w:left="1080" w:leftChars="429" w:hanging="180"/>
        <w:rPr>
          <w:rFonts w:ascii="仿宋" w:hAnsi="仿宋" w:eastAsia="仿宋" w:cs="仿宋"/>
          <w:sz w:val="24"/>
          <w:highlight w:val="none"/>
        </w:rPr>
      </w:pPr>
      <w:r>
        <w:rPr>
          <w:rFonts w:hint="eastAsia" w:ascii="仿宋" w:hAnsi="仿宋" w:eastAsia="仿宋" w:cs="仿宋"/>
          <w:sz w:val="24"/>
          <w:highlight w:val="none"/>
        </w:rPr>
        <w:t>与其他供应商串通参加磋商，或者与采购人串通参加磋商；</w:t>
      </w:r>
    </w:p>
    <w:p w14:paraId="30704E1A">
      <w:pPr>
        <w:numPr>
          <w:ilvl w:val="0"/>
          <w:numId w:val="4"/>
        </w:numPr>
        <w:spacing w:line="400" w:lineRule="exact"/>
        <w:ind w:left="1080" w:leftChars="429" w:hanging="180"/>
        <w:rPr>
          <w:rFonts w:ascii="仿宋" w:hAnsi="仿宋" w:eastAsia="仿宋" w:cs="仿宋"/>
          <w:sz w:val="24"/>
          <w:highlight w:val="none"/>
        </w:rPr>
      </w:pPr>
      <w:r>
        <w:rPr>
          <w:rFonts w:hint="eastAsia" w:ascii="仿宋" w:hAnsi="仿宋" w:eastAsia="仿宋" w:cs="仿宋"/>
          <w:sz w:val="24"/>
          <w:highlight w:val="none"/>
        </w:rPr>
        <w:t>属于磋商文件规定的其他响应无效情形；</w:t>
      </w:r>
    </w:p>
    <w:p w14:paraId="02FD75B5">
      <w:pPr>
        <w:numPr>
          <w:ilvl w:val="0"/>
          <w:numId w:val="4"/>
        </w:numPr>
        <w:spacing w:line="400" w:lineRule="exact"/>
        <w:ind w:left="1080" w:leftChars="429" w:hanging="180"/>
        <w:rPr>
          <w:rFonts w:ascii="仿宋" w:hAnsi="仿宋" w:eastAsia="仿宋" w:cs="仿宋"/>
          <w:sz w:val="24"/>
          <w:highlight w:val="none"/>
        </w:rPr>
      </w:pPr>
      <w:r>
        <w:rPr>
          <w:rFonts w:hint="eastAsia" w:ascii="仿宋" w:hAnsi="仿宋" w:eastAsia="仿宋" w:cs="仿宋"/>
          <w:sz w:val="24"/>
          <w:highlight w:val="none"/>
        </w:rPr>
        <w:t>评审委员会认为供应商的报价明显低于其他通过符合性检查供应商的报价，有可能影响履约的，且供应商未按照规定证明其报价合理性的；</w:t>
      </w:r>
    </w:p>
    <w:p w14:paraId="43E0FEC9">
      <w:pPr>
        <w:numPr>
          <w:ilvl w:val="0"/>
          <w:numId w:val="4"/>
        </w:numPr>
        <w:spacing w:line="400" w:lineRule="exact"/>
        <w:ind w:left="1080" w:leftChars="429" w:hanging="180"/>
        <w:rPr>
          <w:rFonts w:ascii="仿宋" w:hAnsi="仿宋" w:eastAsia="仿宋" w:cs="仿宋"/>
          <w:sz w:val="24"/>
          <w:highlight w:val="none"/>
        </w:rPr>
      </w:pPr>
      <w:r>
        <w:rPr>
          <w:rFonts w:hint="eastAsia" w:ascii="仿宋" w:hAnsi="仿宋" w:eastAsia="仿宋" w:cs="仿宋"/>
          <w:sz w:val="24"/>
          <w:highlight w:val="none"/>
        </w:rPr>
        <w:t>响应文件含有采购人不能接受的附加条件的；</w:t>
      </w:r>
    </w:p>
    <w:p w14:paraId="624AC72F">
      <w:pPr>
        <w:numPr>
          <w:ilvl w:val="0"/>
          <w:numId w:val="4"/>
        </w:numPr>
        <w:tabs>
          <w:tab w:val="left" w:pos="0"/>
        </w:tabs>
        <w:spacing w:line="400" w:lineRule="exact"/>
        <w:ind w:left="1080" w:leftChars="429" w:hanging="180"/>
        <w:rPr>
          <w:rFonts w:ascii="仿宋" w:hAnsi="仿宋" w:eastAsia="仿宋" w:cs="仿宋"/>
          <w:sz w:val="24"/>
          <w:highlight w:val="none"/>
        </w:rPr>
      </w:pPr>
      <w:r>
        <w:rPr>
          <w:rFonts w:hint="eastAsia" w:ascii="仿宋" w:hAnsi="仿宋" w:eastAsia="仿宋" w:cs="仿宋"/>
          <w:sz w:val="24"/>
          <w:highlight w:val="none"/>
        </w:rPr>
        <w:t>不符合法规和磋商文件中规定的其他实质性要求的。</w:t>
      </w:r>
    </w:p>
    <w:p w14:paraId="7CEDE8FF">
      <w:pPr>
        <w:pStyle w:val="4"/>
        <w:spacing w:before="0" w:after="0" w:line="340" w:lineRule="exact"/>
        <w:rPr>
          <w:rFonts w:ascii="仿宋" w:hAnsi="仿宋" w:eastAsia="仿宋" w:cs="仿宋"/>
          <w:szCs w:val="24"/>
          <w:highlight w:val="none"/>
          <w:u w:val="none"/>
        </w:rPr>
      </w:pPr>
      <w:bookmarkStart w:id="169" w:name="_Toc24741"/>
      <w:bookmarkStart w:id="170" w:name="_Toc518923088"/>
      <w:bookmarkStart w:id="171" w:name="_Toc21056"/>
      <w:r>
        <w:rPr>
          <w:rFonts w:hint="eastAsia" w:ascii="仿宋" w:hAnsi="仿宋" w:eastAsia="仿宋" w:cs="仿宋"/>
          <w:szCs w:val="24"/>
          <w:highlight w:val="none"/>
          <w:u w:val="none"/>
        </w:rPr>
        <w:t>23</w:t>
      </w:r>
      <w:bookmarkEnd w:id="90"/>
      <w:r>
        <w:rPr>
          <w:rFonts w:hint="eastAsia" w:ascii="仿宋" w:hAnsi="仿宋" w:eastAsia="仿宋" w:cs="仿宋"/>
          <w:szCs w:val="24"/>
          <w:highlight w:val="none"/>
          <w:u w:val="none"/>
        </w:rPr>
        <w:t>.比较与评价</w:t>
      </w:r>
      <w:bookmarkEnd w:id="169"/>
      <w:bookmarkEnd w:id="170"/>
      <w:bookmarkEnd w:id="171"/>
    </w:p>
    <w:p w14:paraId="781BD04E">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23.1</w:t>
      </w:r>
      <w:r>
        <w:rPr>
          <w:rFonts w:hint="eastAsia" w:ascii="仿宋" w:hAnsi="仿宋" w:eastAsia="仿宋" w:cs="仿宋"/>
          <w:sz w:val="24"/>
          <w:highlight w:val="none"/>
        </w:rPr>
        <w:tab/>
      </w:r>
      <w:r>
        <w:rPr>
          <w:rFonts w:hint="eastAsia" w:ascii="仿宋" w:hAnsi="仿宋" w:eastAsia="仿宋" w:cs="仿宋"/>
          <w:sz w:val="24"/>
          <w:highlight w:val="none"/>
        </w:rPr>
        <w:t>经符合性审查合格的响应文件，评标委员会将根据磋商文件确定的评标方法和标准，对其技术部分和商务部分作进一步的比较和评价。</w:t>
      </w:r>
    </w:p>
    <w:p w14:paraId="13B2E4D3">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 xml:space="preserve">23.2  </w:t>
      </w:r>
      <w:r>
        <w:rPr>
          <w:rFonts w:hint="eastAsia" w:ascii="仿宋" w:hAnsi="仿宋" w:eastAsia="仿宋" w:cs="仿宋"/>
          <w:sz w:val="24"/>
          <w:highlight w:val="none"/>
        </w:rPr>
        <w:tab/>
      </w:r>
      <w:r>
        <w:rPr>
          <w:rFonts w:hint="eastAsia" w:ascii="仿宋" w:hAnsi="仿宋" w:eastAsia="仿宋" w:cs="仿宋"/>
          <w:sz w:val="24"/>
          <w:highlight w:val="none"/>
        </w:rPr>
        <w:t>评标严格按照磋商文件的要求和条件进行。根据实际情况，在</w:t>
      </w:r>
      <w:r>
        <w:rPr>
          <w:rFonts w:hint="eastAsia" w:ascii="仿宋" w:hAnsi="仿宋" w:eastAsia="仿宋" w:cs="仿宋"/>
          <w:sz w:val="24"/>
          <w:highlight w:val="none"/>
          <w:u w:val="single"/>
        </w:rPr>
        <w:t>供应商须知资料表</w:t>
      </w:r>
      <w:r>
        <w:rPr>
          <w:rFonts w:hint="eastAsia" w:ascii="仿宋" w:hAnsi="仿宋" w:eastAsia="仿宋" w:cs="仿宋"/>
          <w:sz w:val="24"/>
          <w:highlight w:val="none"/>
        </w:rPr>
        <w:t>中规定采用下列一种评标方法，详细评标标准见磋商文件第六章：</w:t>
      </w:r>
    </w:p>
    <w:p w14:paraId="4C4E544D">
      <w:pPr>
        <w:pStyle w:val="12"/>
        <w:spacing w:line="340" w:lineRule="exact"/>
        <w:ind w:left="899" w:leftChars="342" w:hanging="181"/>
        <w:rPr>
          <w:rFonts w:ascii="仿宋" w:hAnsi="仿宋" w:eastAsia="仿宋" w:cs="仿宋"/>
          <w:sz w:val="24"/>
          <w:szCs w:val="24"/>
          <w:highlight w:val="none"/>
        </w:rPr>
      </w:pPr>
      <w:r>
        <w:rPr>
          <w:rFonts w:hint="eastAsia" w:ascii="仿宋" w:hAnsi="仿宋" w:eastAsia="仿宋" w:cs="仿宋"/>
          <w:sz w:val="24"/>
          <w:szCs w:val="24"/>
          <w:highlight w:val="none"/>
        </w:rPr>
        <w:t>（1） 最低评标价法，是指响应文件满足磋商文件全部实质性要求，且投标报价最低的供应商为中标候选人的评标方法。</w:t>
      </w:r>
    </w:p>
    <w:p w14:paraId="2449CA0A">
      <w:pPr>
        <w:pStyle w:val="12"/>
        <w:spacing w:line="340" w:lineRule="exact"/>
        <w:ind w:left="898" w:leftChars="342" w:hanging="180"/>
        <w:rPr>
          <w:rFonts w:ascii="仿宋" w:hAnsi="仿宋" w:eastAsia="仿宋" w:cs="仿宋"/>
          <w:sz w:val="24"/>
          <w:szCs w:val="24"/>
          <w:highlight w:val="none"/>
        </w:rPr>
      </w:pPr>
      <w:r>
        <w:rPr>
          <w:rFonts w:hint="eastAsia" w:ascii="仿宋" w:hAnsi="仿宋" w:eastAsia="仿宋" w:cs="仿宋"/>
          <w:sz w:val="24"/>
          <w:szCs w:val="24"/>
          <w:highlight w:val="none"/>
        </w:rPr>
        <w:t>（2） 综合评分法，是指响应文件满足磋商文件全部实质性要求，且按照评审因素的量化指标评审得分最高的供应商为中标候选人的评标方法。</w:t>
      </w:r>
    </w:p>
    <w:p w14:paraId="016F0FD8">
      <w:pPr>
        <w:spacing w:line="240" w:lineRule="atLeast"/>
        <w:ind w:left="957" w:leftChars="456" w:firstLine="60" w:firstLineChars="25"/>
        <w:rPr>
          <w:rFonts w:ascii="仿宋" w:hAnsi="仿宋" w:eastAsia="仿宋" w:cs="仿宋"/>
          <w:color w:val="00B0F0"/>
          <w:sz w:val="24"/>
          <w:highlight w:val="none"/>
        </w:rPr>
      </w:pPr>
      <w:r>
        <w:rPr>
          <w:rFonts w:hint="eastAsia" w:ascii="仿宋" w:hAnsi="仿宋" w:eastAsia="仿宋" w:cs="仿宋"/>
          <w:sz w:val="24"/>
          <w:highlight w:val="none"/>
        </w:rPr>
        <w:t>（3）竞争性磋商，本次评定的标准和方法采用综合评分法。在满足磋商文件所要求的必要合格条件的前提下，经磋商确定最终磋商需求和提交最后报价的供应商后，由磋商小组采用综合评分法对提交最后报价的供应商的响应文件和最后报价进行综合评分，按照评审得分由高到低顺序推荐3名以上（《财政部关于政府采购竞争性磋商采购方式管理暂行办法有关问题的补充通知》规定的情形除外）成交候选供应商，评审得分且最后报价相同的，按照技术指标优劣顺序推荐。</w:t>
      </w:r>
    </w:p>
    <w:p w14:paraId="066F29BC">
      <w:pPr>
        <w:pStyle w:val="4"/>
        <w:spacing w:before="0" w:after="0" w:line="340" w:lineRule="exact"/>
        <w:rPr>
          <w:rFonts w:ascii="仿宋" w:hAnsi="仿宋" w:eastAsia="仿宋" w:cs="仿宋"/>
          <w:szCs w:val="24"/>
          <w:highlight w:val="none"/>
          <w:u w:val="none"/>
        </w:rPr>
      </w:pPr>
      <w:bookmarkStart w:id="172" w:name="_Toc520356168"/>
      <w:bookmarkStart w:id="173" w:name="_Toc518923089"/>
      <w:bookmarkStart w:id="174" w:name="_Toc4130"/>
      <w:bookmarkStart w:id="175" w:name="_Toc3484"/>
      <w:r>
        <w:rPr>
          <w:rFonts w:hint="eastAsia" w:ascii="仿宋" w:hAnsi="仿宋" w:eastAsia="仿宋" w:cs="仿宋"/>
          <w:szCs w:val="24"/>
          <w:highlight w:val="none"/>
          <w:u w:val="none"/>
        </w:rPr>
        <w:t>24</w:t>
      </w:r>
      <w:bookmarkEnd w:id="172"/>
      <w:r>
        <w:rPr>
          <w:rFonts w:hint="eastAsia" w:ascii="仿宋" w:hAnsi="仿宋" w:eastAsia="仿宋" w:cs="仿宋"/>
          <w:szCs w:val="24"/>
          <w:highlight w:val="none"/>
          <w:u w:val="none"/>
        </w:rPr>
        <w:t>.废标</w:t>
      </w:r>
      <w:bookmarkEnd w:id="173"/>
      <w:bookmarkEnd w:id="174"/>
      <w:bookmarkEnd w:id="175"/>
    </w:p>
    <w:p w14:paraId="32A70C43">
      <w:pPr>
        <w:spacing w:line="340" w:lineRule="exact"/>
        <w:ind w:left="897" w:leftChars="399" w:hanging="60" w:hangingChars="25"/>
        <w:rPr>
          <w:rFonts w:ascii="仿宋" w:hAnsi="仿宋" w:eastAsia="仿宋" w:cs="仿宋"/>
          <w:sz w:val="24"/>
          <w:highlight w:val="none"/>
        </w:rPr>
      </w:pPr>
      <w:r>
        <w:rPr>
          <w:rFonts w:hint="eastAsia" w:ascii="仿宋" w:hAnsi="仿宋" w:eastAsia="仿宋" w:cs="仿宋"/>
          <w:sz w:val="24"/>
          <w:highlight w:val="none"/>
        </w:rPr>
        <w:t xml:space="preserve">出现下列情形之一，将导致项目废标： </w:t>
      </w:r>
    </w:p>
    <w:p w14:paraId="7817468B">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（1）符合专业条件的供应商或者对磋商文件做实质性响应的供应商不足三家；</w:t>
      </w:r>
    </w:p>
    <w:p w14:paraId="2207FE30">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（2）出现影响采购公正的违法、违规行为的；</w:t>
      </w:r>
    </w:p>
    <w:p w14:paraId="4BCFD0EE">
      <w:pPr>
        <w:spacing w:line="340" w:lineRule="exact"/>
        <w:ind w:firstLine="840" w:firstLineChars="350"/>
        <w:rPr>
          <w:rFonts w:ascii="仿宋" w:hAnsi="仿宋" w:eastAsia="仿宋" w:cs="仿宋"/>
          <w:sz w:val="24"/>
          <w:highlight w:val="none"/>
        </w:rPr>
      </w:pPr>
      <w:r>
        <w:rPr>
          <w:rFonts w:hint="eastAsia" w:ascii="仿宋" w:hAnsi="仿宋" w:eastAsia="仿宋" w:cs="仿宋"/>
          <w:sz w:val="24"/>
          <w:highlight w:val="none"/>
        </w:rPr>
        <w:t>（3）供应商的报价均超过了采购预算，采购人不能支付的；</w:t>
      </w:r>
    </w:p>
    <w:p w14:paraId="0E2C94D0">
      <w:pPr>
        <w:spacing w:line="340" w:lineRule="exact"/>
        <w:ind w:firstLine="840" w:firstLineChars="350"/>
        <w:rPr>
          <w:rFonts w:ascii="仿宋" w:hAnsi="仿宋" w:eastAsia="仿宋" w:cs="仿宋"/>
          <w:sz w:val="24"/>
          <w:highlight w:val="none"/>
        </w:rPr>
      </w:pPr>
      <w:r>
        <w:rPr>
          <w:rFonts w:hint="eastAsia" w:ascii="仿宋" w:hAnsi="仿宋" w:eastAsia="仿宋" w:cs="仿宋"/>
          <w:sz w:val="24"/>
          <w:highlight w:val="none"/>
        </w:rPr>
        <w:t xml:space="preserve">（4）因重大变故，采购任务取消的。   </w:t>
      </w:r>
    </w:p>
    <w:p w14:paraId="2803ED31">
      <w:pPr>
        <w:pStyle w:val="4"/>
        <w:spacing w:before="0" w:after="0" w:line="340" w:lineRule="exact"/>
        <w:rPr>
          <w:rFonts w:ascii="仿宋" w:hAnsi="仿宋" w:eastAsia="仿宋" w:cs="仿宋"/>
          <w:szCs w:val="24"/>
          <w:highlight w:val="none"/>
          <w:u w:val="none"/>
        </w:rPr>
      </w:pPr>
      <w:bookmarkStart w:id="176" w:name="_Toc28659"/>
      <w:bookmarkStart w:id="177" w:name="_Toc518923090"/>
      <w:bookmarkStart w:id="178" w:name="_Toc6910"/>
      <w:bookmarkStart w:id="179" w:name="_Toc520356169"/>
      <w:r>
        <w:rPr>
          <w:rFonts w:hint="eastAsia" w:ascii="仿宋" w:hAnsi="仿宋" w:eastAsia="仿宋" w:cs="仿宋"/>
          <w:szCs w:val="24"/>
          <w:highlight w:val="none"/>
          <w:u w:val="none"/>
        </w:rPr>
        <w:t>25.保密原则</w:t>
      </w:r>
      <w:bookmarkEnd w:id="176"/>
      <w:bookmarkEnd w:id="177"/>
      <w:bookmarkEnd w:id="178"/>
    </w:p>
    <w:p w14:paraId="1E2471F6">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25.1</w:t>
      </w:r>
      <w:r>
        <w:rPr>
          <w:rFonts w:hint="eastAsia" w:ascii="仿宋" w:hAnsi="仿宋" w:eastAsia="仿宋" w:cs="仿宋"/>
          <w:sz w:val="24"/>
          <w:highlight w:val="none"/>
        </w:rPr>
        <w:tab/>
      </w:r>
      <w:r>
        <w:rPr>
          <w:rFonts w:hint="eastAsia" w:ascii="仿宋" w:hAnsi="仿宋" w:eastAsia="仿宋" w:cs="仿宋"/>
          <w:sz w:val="24"/>
          <w:highlight w:val="none"/>
        </w:rPr>
        <w:t>评标将在严格保密的情况下进行。</w:t>
      </w:r>
    </w:p>
    <w:p w14:paraId="257A8CEA">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25.2</w:t>
      </w:r>
      <w:r>
        <w:rPr>
          <w:rFonts w:hint="eastAsia" w:ascii="仿宋" w:hAnsi="仿宋" w:eastAsia="仿宋" w:cs="仿宋"/>
          <w:sz w:val="24"/>
          <w:highlight w:val="none"/>
        </w:rPr>
        <w:tab/>
      </w:r>
      <w:r>
        <w:rPr>
          <w:rFonts w:hint="eastAsia" w:ascii="仿宋" w:hAnsi="仿宋" w:eastAsia="仿宋" w:cs="仿宋"/>
          <w:sz w:val="24"/>
          <w:highlight w:val="none"/>
        </w:rPr>
        <w:t>政府采购评审专家应当遵守评审工作纪律，不得泄露评审文件、评审情况和评审中获悉的商业秘密。</w:t>
      </w:r>
    </w:p>
    <w:p w14:paraId="0FFFAAF2">
      <w:pPr>
        <w:pStyle w:val="3"/>
        <w:tabs>
          <w:tab w:val="left" w:pos="900"/>
        </w:tabs>
        <w:spacing w:before="0" w:line="340" w:lineRule="exact"/>
        <w:ind w:left="1079" w:leftChars="257" w:hanging="540"/>
        <w:rPr>
          <w:rFonts w:ascii="仿宋" w:hAnsi="仿宋" w:eastAsia="仿宋" w:cs="仿宋"/>
          <w:sz w:val="24"/>
          <w:szCs w:val="24"/>
          <w:highlight w:val="none"/>
        </w:rPr>
      </w:pPr>
      <w:bookmarkStart w:id="180" w:name="_Toc4880"/>
      <w:bookmarkStart w:id="181" w:name="_Toc216582810"/>
      <w:bookmarkStart w:id="182" w:name="_Toc518923091"/>
      <w:bookmarkStart w:id="183" w:name="_Toc21997"/>
      <w:r>
        <w:rPr>
          <w:rFonts w:hint="eastAsia" w:ascii="仿宋" w:hAnsi="仿宋" w:eastAsia="仿宋" w:cs="仿宋"/>
          <w:sz w:val="24"/>
          <w:szCs w:val="24"/>
          <w:highlight w:val="none"/>
        </w:rPr>
        <w:t xml:space="preserve">六   </w:t>
      </w:r>
      <w:bookmarkEnd w:id="179"/>
      <w:r>
        <w:rPr>
          <w:rFonts w:hint="eastAsia" w:ascii="仿宋" w:hAnsi="仿宋" w:eastAsia="仿宋" w:cs="仿宋"/>
          <w:sz w:val="24"/>
          <w:szCs w:val="24"/>
          <w:highlight w:val="none"/>
        </w:rPr>
        <w:t>确定中标</w:t>
      </w:r>
      <w:bookmarkEnd w:id="180"/>
      <w:bookmarkEnd w:id="181"/>
      <w:bookmarkEnd w:id="182"/>
      <w:bookmarkEnd w:id="183"/>
    </w:p>
    <w:p w14:paraId="7DE39DF9">
      <w:pPr>
        <w:pStyle w:val="4"/>
        <w:spacing w:before="0" w:after="0" w:line="340" w:lineRule="exact"/>
        <w:rPr>
          <w:rFonts w:ascii="仿宋" w:hAnsi="仿宋" w:eastAsia="仿宋" w:cs="仿宋"/>
          <w:szCs w:val="24"/>
          <w:highlight w:val="none"/>
          <w:u w:val="none"/>
        </w:rPr>
      </w:pPr>
      <w:bookmarkStart w:id="184" w:name="_Toc28250"/>
      <w:bookmarkStart w:id="185" w:name="_Toc520356170"/>
      <w:bookmarkStart w:id="186" w:name="_Toc25324"/>
      <w:bookmarkStart w:id="187" w:name="_Toc518923092"/>
      <w:bookmarkStart w:id="188" w:name="_Ref467307010"/>
      <w:r>
        <w:rPr>
          <w:rFonts w:hint="eastAsia" w:ascii="仿宋" w:hAnsi="仿宋" w:eastAsia="仿宋" w:cs="仿宋"/>
          <w:szCs w:val="24"/>
          <w:highlight w:val="none"/>
          <w:u w:val="none"/>
        </w:rPr>
        <w:t>26.中标候选人的确定原则及标准</w:t>
      </w:r>
      <w:bookmarkEnd w:id="184"/>
      <w:bookmarkEnd w:id="185"/>
      <w:bookmarkEnd w:id="186"/>
      <w:bookmarkEnd w:id="187"/>
      <w:bookmarkEnd w:id="188"/>
    </w:p>
    <w:p w14:paraId="556E4495">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除第28条规定外，对实质上响应磋商文件的供应商按下列方法进行排序，确定中标候选人：</w:t>
      </w:r>
    </w:p>
    <w:p w14:paraId="066E1C73">
      <w:pPr>
        <w:spacing w:line="340" w:lineRule="exact"/>
        <w:ind w:left="957" w:leftChars="456"/>
        <w:rPr>
          <w:rFonts w:ascii="仿宋" w:hAnsi="仿宋" w:eastAsia="仿宋" w:cs="仿宋"/>
          <w:sz w:val="24"/>
          <w:highlight w:val="none"/>
        </w:rPr>
      </w:pPr>
      <w:r>
        <w:rPr>
          <w:rFonts w:hint="eastAsia" w:ascii="仿宋" w:hAnsi="仿宋" w:eastAsia="仿宋" w:cs="仿宋"/>
          <w:sz w:val="24"/>
          <w:highlight w:val="none"/>
        </w:rPr>
        <w:t>（1)采用最低评标价法的，除了算术修正和落实政府采购政策需进行的价格扣除外，不对供应商的投标价格进行任何调整。评标结果按修正和扣除后的投标报价由低到高顺序排列。报价相同的处理方式详见磋商文件第6章。</w:t>
      </w:r>
    </w:p>
    <w:p w14:paraId="02BB956B">
      <w:pPr>
        <w:spacing w:line="340" w:lineRule="exact"/>
        <w:ind w:left="957" w:leftChars="456"/>
        <w:rPr>
          <w:rFonts w:ascii="仿宋" w:hAnsi="仿宋" w:eastAsia="仿宋" w:cs="仿宋"/>
          <w:sz w:val="24"/>
          <w:highlight w:val="none"/>
        </w:rPr>
      </w:pPr>
      <w:r>
        <w:rPr>
          <w:rFonts w:hint="eastAsia" w:ascii="仿宋" w:hAnsi="仿宋" w:eastAsia="仿宋" w:cs="仿宋"/>
          <w:sz w:val="24"/>
          <w:highlight w:val="none"/>
        </w:rPr>
        <w:t>（2）采用综合评分法的，评标结果按评审后得分由高到低顺序排列。得分相同的，按修正和扣除后的投标报价由低到高顺序排列。得分与投标报价均相同的处理方式详见磋商文件第6章。</w:t>
      </w:r>
    </w:p>
    <w:p w14:paraId="66358F51">
      <w:pPr>
        <w:spacing w:line="340" w:lineRule="exact"/>
        <w:ind w:left="957" w:leftChars="456" w:firstLine="60" w:firstLineChars="25"/>
        <w:rPr>
          <w:rFonts w:ascii="仿宋" w:hAnsi="仿宋" w:eastAsia="仿宋" w:cs="仿宋"/>
          <w:sz w:val="24"/>
          <w:highlight w:val="none"/>
        </w:rPr>
      </w:pPr>
      <w:r>
        <w:rPr>
          <w:rFonts w:hint="eastAsia" w:ascii="仿宋" w:hAnsi="仿宋" w:eastAsia="仿宋" w:cs="仿宋"/>
          <w:sz w:val="24"/>
          <w:highlight w:val="none"/>
        </w:rPr>
        <w:t>（3）采用竞争性磋商的，本次评定的标准和方法采用综合评分法。在满足磋商文件所要求的必要合格条件的前提下，经磋商确定最终磋商需求和提交最后报价的供应商后，由磋商小组采用综合评分法对提交最后报价的供应商的响应文件和最后报价进行综合评分，按照评审得分由高到低顺序推荐3名以上（《财政部关于政府采购竞争性磋商采购方式管理暂行办法有关问题的补充通知》规定的情形除外）成交候选供应商，评审得分且最后报价相同的，按照技术指标优劣顺序推荐处理方式详见磋商文件第6章。</w:t>
      </w:r>
    </w:p>
    <w:p w14:paraId="5EB3811C">
      <w:pPr>
        <w:pStyle w:val="4"/>
        <w:spacing w:before="0" w:after="0" w:line="340" w:lineRule="exact"/>
        <w:rPr>
          <w:rFonts w:ascii="仿宋" w:hAnsi="仿宋" w:eastAsia="仿宋" w:cs="仿宋"/>
          <w:szCs w:val="24"/>
          <w:highlight w:val="none"/>
          <w:u w:val="none"/>
        </w:rPr>
      </w:pPr>
      <w:bookmarkStart w:id="189" w:name="_Toc520356171"/>
      <w:bookmarkStart w:id="190" w:name="_Toc10662"/>
      <w:bookmarkStart w:id="191" w:name="_Toc518923093"/>
      <w:bookmarkStart w:id="192" w:name="_Toc3415"/>
      <w:r>
        <w:rPr>
          <w:rFonts w:hint="eastAsia" w:ascii="仿宋" w:hAnsi="仿宋" w:eastAsia="仿宋" w:cs="仿宋"/>
          <w:szCs w:val="24"/>
          <w:highlight w:val="none"/>
          <w:u w:val="none"/>
        </w:rPr>
        <w:t>27</w:t>
      </w:r>
      <w:bookmarkEnd w:id="189"/>
      <w:r>
        <w:rPr>
          <w:rFonts w:hint="eastAsia" w:ascii="仿宋" w:hAnsi="仿宋" w:eastAsia="仿宋" w:cs="仿宋"/>
          <w:szCs w:val="24"/>
          <w:highlight w:val="none"/>
          <w:u w:val="none"/>
        </w:rPr>
        <w:t>.确定中标候选人和中标人</w:t>
      </w:r>
      <w:bookmarkEnd w:id="190"/>
      <w:bookmarkEnd w:id="191"/>
      <w:bookmarkEnd w:id="192"/>
    </w:p>
    <w:p w14:paraId="3B1976CC">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评标委员会将根据评标标准，按</w:t>
      </w:r>
      <w:r>
        <w:rPr>
          <w:rFonts w:hint="eastAsia" w:ascii="仿宋" w:hAnsi="仿宋" w:eastAsia="仿宋" w:cs="仿宋"/>
          <w:sz w:val="24"/>
          <w:highlight w:val="none"/>
          <w:u w:val="single"/>
        </w:rPr>
        <w:t>供应商须知资料表中</w:t>
      </w:r>
      <w:r>
        <w:rPr>
          <w:rFonts w:hint="eastAsia" w:ascii="仿宋" w:hAnsi="仿宋" w:eastAsia="仿宋" w:cs="仿宋"/>
          <w:sz w:val="24"/>
          <w:highlight w:val="none"/>
        </w:rPr>
        <w:t>规定数量推荐中标候选人；或根据采购人的委托，直接确定中标人。</w:t>
      </w:r>
    </w:p>
    <w:p w14:paraId="7D131C0E">
      <w:pPr>
        <w:pStyle w:val="4"/>
        <w:tabs>
          <w:tab w:val="left" w:pos="900"/>
        </w:tabs>
        <w:spacing w:before="0" w:after="0" w:line="340" w:lineRule="exact"/>
        <w:rPr>
          <w:rFonts w:ascii="仿宋" w:hAnsi="仿宋" w:eastAsia="仿宋" w:cs="仿宋"/>
          <w:szCs w:val="24"/>
          <w:highlight w:val="none"/>
          <w:u w:val="none"/>
        </w:rPr>
      </w:pPr>
      <w:bookmarkStart w:id="193" w:name="_Toc520356173"/>
      <w:bookmarkStart w:id="194" w:name="_Ref467306874"/>
      <w:bookmarkStart w:id="195" w:name="_Toc2358"/>
      <w:bookmarkStart w:id="196" w:name="_Toc12114"/>
      <w:bookmarkStart w:id="197" w:name="_Toc518923094"/>
      <w:r>
        <w:rPr>
          <w:rFonts w:hint="eastAsia" w:ascii="仿宋" w:hAnsi="仿宋" w:eastAsia="仿宋" w:cs="仿宋"/>
          <w:szCs w:val="24"/>
          <w:highlight w:val="none"/>
          <w:u w:val="none"/>
        </w:rPr>
        <w:t>28</w:t>
      </w:r>
      <w:bookmarkEnd w:id="193"/>
      <w:bookmarkEnd w:id="194"/>
      <w:r>
        <w:rPr>
          <w:rFonts w:hint="eastAsia" w:ascii="仿宋" w:hAnsi="仿宋" w:eastAsia="仿宋" w:cs="仿宋"/>
          <w:szCs w:val="24"/>
          <w:highlight w:val="none"/>
          <w:u w:val="none"/>
        </w:rPr>
        <w:t>.采购任务取消</w:t>
      </w:r>
      <w:bookmarkEnd w:id="195"/>
      <w:bookmarkEnd w:id="196"/>
      <w:bookmarkEnd w:id="197"/>
    </w:p>
    <w:p w14:paraId="707CD823">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因重大变故采购任务取消时，采购人有权拒绝任何供应商中标，且对受影响的供应商不承担任何责任。</w:t>
      </w:r>
      <w:bookmarkStart w:id="198" w:name="_Toc520356174"/>
    </w:p>
    <w:p w14:paraId="6E5BD210">
      <w:pPr>
        <w:pStyle w:val="4"/>
        <w:spacing w:before="0" w:after="0" w:line="340" w:lineRule="exact"/>
        <w:rPr>
          <w:rFonts w:ascii="仿宋" w:hAnsi="仿宋" w:eastAsia="仿宋" w:cs="仿宋"/>
          <w:szCs w:val="24"/>
          <w:highlight w:val="none"/>
          <w:u w:val="none"/>
        </w:rPr>
      </w:pPr>
      <w:bookmarkStart w:id="199" w:name="_Toc25947"/>
      <w:bookmarkStart w:id="200" w:name="_Toc518923095"/>
      <w:bookmarkStart w:id="201" w:name="_Toc2907"/>
      <w:r>
        <w:rPr>
          <w:rFonts w:hint="eastAsia" w:ascii="仿宋" w:hAnsi="仿宋" w:eastAsia="仿宋" w:cs="仿宋"/>
          <w:szCs w:val="24"/>
          <w:highlight w:val="none"/>
          <w:u w:val="none"/>
        </w:rPr>
        <w:t>29.中标通知书</w:t>
      </w:r>
      <w:bookmarkEnd w:id="198"/>
      <w:r>
        <w:rPr>
          <w:rFonts w:hint="eastAsia" w:ascii="仿宋" w:hAnsi="仿宋" w:eastAsia="仿宋" w:cs="仿宋"/>
          <w:szCs w:val="24"/>
          <w:highlight w:val="none"/>
          <w:u w:val="none"/>
        </w:rPr>
        <w:t>和招标结果通知书</w:t>
      </w:r>
      <w:bookmarkEnd w:id="199"/>
      <w:bookmarkEnd w:id="200"/>
      <w:bookmarkEnd w:id="201"/>
    </w:p>
    <w:p w14:paraId="40844AC3">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29.1</w:t>
      </w:r>
      <w:r>
        <w:rPr>
          <w:rFonts w:hint="eastAsia" w:ascii="仿宋" w:hAnsi="仿宋" w:eastAsia="仿宋" w:cs="仿宋"/>
          <w:sz w:val="24"/>
          <w:highlight w:val="none"/>
        </w:rPr>
        <w:tab/>
      </w:r>
      <w:r>
        <w:rPr>
          <w:rFonts w:hint="eastAsia" w:ascii="仿宋" w:hAnsi="仿宋" w:eastAsia="仿宋" w:cs="仿宋"/>
          <w:sz w:val="24"/>
          <w:highlight w:val="none"/>
        </w:rPr>
        <w:t>在投标有效期内，中标人确定后，采购人或者采购代理机构发布中标公告，同时以书面形式向中标人发出中标通知书；</w:t>
      </w:r>
    </w:p>
    <w:p w14:paraId="2BDC750D">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29.2</w:t>
      </w:r>
      <w:r>
        <w:rPr>
          <w:rFonts w:hint="eastAsia" w:ascii="仿宋" w:hAnsi="仿宋" w:eastAsia="仿宋" w:cs="仿宋"/>
          <w:sz w:val="24"/>
          <w:highlight w:val="none"/>
        </w:rPr>
        <w:tab/>
      </w:r>
      <w:r>
        <w:rPr>
          <w:rFonts w:hint="eastAsia" w:ascii="仿宋" w:hAnsi="仿宋" w:eastAsia="仿宋" w:cs="仿宋"/>
          <w:sz w:val="24"/>
          <w:highlight w:val="none"/>
        </w:rPr>
        <w:t>中标通知书是合同的组成部分；</w:t>
      </w:r>
    </w:p>
    <w:p w14:paraId="30500FFB">
      <w:pPr>
        <w:pStyle w:val="4"/>
        <w:spacing w:before="0" w:after="0" w:line="340" w:lineRule="exact"/>
        <w:rPr>
          <w:rFonts w:ascii="仿宋" w:hAnsi="仿宋" w:eastAsia="仿宋" w:cs="仿宋"/>
          <w:szCs w:val="24"/>
          <w:highlight w:val="none"/>
          <w:u w:val="none"/>
        </w:rPr>
      </w:pPr>
      <w:bookmarkStart w:id="202" w:name="_Toc12350"/>
      <w:bookmarkStart w:id="203" w:name="_Toc518923096"/>
      <w:bookmarkStart w:id="204" w:name="_Ref467307062"/>
      <w:bookmarkStart w:id="205" w:name="_Ref467306377"/>
      <w:bookmarkStart w:id="206" w:name="_Toc520356175"/>
      <w:bookmarkStart w:id="207" w:name="_Ref467307204"/>
      <w:bookmarkStart w:id="208" w:name="_Toc25308"/>
      <w:bookmarkStart w:id="209" w:name="_Ref467306978"/>
      <w:r>
        <w:rPr>
          <w:rFonts w:hint="eastAsia" w:ascii="仿宋" w:hAnsi="仿宋" w:eastAsia="仿宋" w:cs="仿宋"/>
          <w:szCs w:val="24"/>
          <w:highlight w:val="none"/>
          <w:u w:val="none"/>
        </w:rPr>
        <w:t>30.签订合同</w:t>
      </w:r>
      <w:bookmarkEnd w:id="202"/>
      <w:bookmarkEnd w:id="203"/>
      <w:bookmarkEnd w:id="204"/>
      <w:bookmarkEnd w:id="205"/>
      <w:bookmarkEnd w:id="206"/>
      <w:bookmarkEnd w:id="207"/>
      <w:bookmarkEnd w:id="208"/>
      <w:bookmarkEnd w:id="209"/>
    </w:p>
    <w:p w14:paraId="166AAA7A">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30.1</w:t>
      </w:r>
      <w:r>
        <w:rPr>
          <w:rFonts w:hint="eastAsia" w:ascii="仿宋" w:hAnsi="仿宋" w:eastAsia="仿宋" w:cs="仿宋"/>
          <w:sz w:val="24"/>
          <w:highlight w:val="none"/>
        </w:rPr>
        <w:tab/>
      </w:r>
      <w:r>
        <w:rPr>
          <w:rFonts w:hint="eastAsia" w:ascii="仿宋" w:hAnsi="仿宋" w:eastAsia="仿宋" w:cs="仿宋"/>
          <w:sz w:val="24"/>
          <w:highlight w:val="none"/>
        </w:rPr>
        <w:t>中标人应当自发出中标通知书之日起30日内，与采购人签订合同。</w:t>
      </w:r>
    </w:p>
    <w:p w14:paraId="10DF9795">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30.2</w:t>
      </w:r>
      <w:r>
        <w:rPr>
          <w:rFonts w:hint="eastAsia" w:ascii="仿宋" w:hAnsi="仿宋" w:eastAsia="仿宋" w:cs="仿宋"/>
          <w:sz w:val="24"/>
          <w:highlight w:val="none"/>
        </w:rPr>
        <w:tab/>
      </w:r>
      <w:bookmarkStart w:id="210" w:name="_Ref467306425"/>
      <w:bookmarkStart w:id="211" w:name="_Ref467307090"/>
      <w:bookmarkStart w:id="212" w:name="_Toc520356176"/>
      <w:r>
        <w:rPr>
          <w:rFonts w:hint="eastAsia" w:ascii="仿宋" w:hAnsi="仿宋" w:eastAsia="仿宋" w:cs="仿宋"/>
          <w:sz w:val="24"/>
          <w:highlight w:val="none"/>
        </w:rPr>
        <w:t>磋商文件、中标人的响应文件及其澄清文件等，均为签订合同的依据。</w:t>
      </w:r>
    </w:p>
    <w:p w14:paraId="7A6F3E87">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30.3   中标人拒绝与采购人签订合同的，采购人可以按照评审报告推荐的中标候选人名单排序，确定下一中标候选人为中标人，也可以重新开展政府采购活动。</w:t>
      </w:r>
    </w:p>
    <w:p w14:paraId="33A6F0B9">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30.4   当出现法规规定的</w:t>
      </w:r>
      <w:r>
        <w:rPr>
          <w:rFonts w:hint="eastAsia" w:ascii="仿宋" w:hAnsi="仿宋" w:eastAsia="仿宋" w:cs="仿宋"/>
          <w:b/>
          <w:sz w:val="24"/>
          <w:highlight w:val="none"/>
        </w:rPr>
        <w:t>中标无效或中标结果无效</w:t>
      </w:r>
      <w:r>
        <w:rPr>
          <w:rFonts w:hint="eastAsia" w:ascii="仿宋" w:hAnsi="仿宋" w:eastAsia="仿宋" w:cs="仿宋"/>
          <w:sz w:val="24"/>
          <w:highlight w:val="none"/>
        </w:rPr>
        <w:t>情形时，采购人可与排名下一位的中标候选人另行签订合同，或依法重新开展采购活动。</w:t>
      </w:r>
    </w:p>
    <w:p w14:paraId="587D074E">
      <w:pPr>
        <w:pStyle w:val="4"/>
        <w:spacing w:before="0" w:after="0" w:line="340" w:lineRule="exact"/>
        <w:rPr>
          <w:rFonts w:ascii="仿宋" w:hAnsi="仿宋" w:eastAsia="仿宋" w:cs="仿宋"/>
          <w:szCs w:val="24"/>
          <w:highlight w:val="none"/>
          <w:u w:val="none"/>
        </w:rPr>
      </w:pPr>
      <w:bookmarkStart w:id="213" w:name="_Toc1487"/>
      <w:bookmarkStart w:id="214" w:name="_Toc16698"/>
      <w:bookmarkStart w:id="215" w:name="_Toc518923097"/>
      <w:r>
        <w:rPr>
          <w:rFonts w:hint="eastAsia" w:ascii="仿宋" w:hAnsi="仿宋" w:eastAsia="仿宋" w:cs="仿宋"/>
          <w:szCs w:val="24"/>
          <w:highlight w:val="none"/>
          <w:u w:val="none"/>
        </w:rPr>
        <w:t>31.履约保证金</w:t>
      </w:r>
      <w:bookmarkEnd w:id="210"/>
      <w:bookmarkEnd w:id="211"/>
      <w:bookmarkEnd w:id="212"/>
      <w:bookmarkEnd w:id="213"/>
      <w:bookmarkEnd w:id="214"/>
      <w:bookmarkEnd w:id="215"/>
    </w:p>
    <w:p w14:paraId="5EC6619B">
      <w:pPr>
        <w:spacing w:line="288" w:lineRule="auto"/>
        <w:ind w:left="900" w:hanging="900" w:hangingChars="375"/>
        <w:rPr>
          <w:rFonts w:ascii="仿宋" w:hAnsi="仿宋" w:eastAsia="仿宋" w:cs="仿宋"/>
          <w:sz w:val="24"/>
          <w:highlight w:val="none"/>
        </w:rPr>
      </w:pPr>
      <w:bookmarkStart w:id="216" w:name="_Toc518923099"/>
      <w:r>
        <w:rPr>
          <w:rFonts w:hint="eastAsia" w:ascii="仿宋" w:hAnsi="仿宋" w:eastAsia="仿宋" w:cs="仿宋"/>
          <w:sz w:val="24"/>
          <w:highlight w:val="none"/>
        </w:rPr>
        <w:t>31.1</w:t>
      </w:r>
      <w:r>
        <w:rPr>
          <w:rFonts w:hint="eastAsia" w:ascii="仿宋" w:hAnsi="仿宋" w:eastAsia="仿宋" w:cs="仿宋"/>
          <w:sz w:val="24"/>
          <w:highlight w:val="none"/>
        </w:rPr>
        <w:tab/>
      </w:r>
      <w:r>
        <w:rPr>
          <w:rFonts w:hint="eastAsia" w:ascii="仿宋" w:hAnsi="仿宋" w:eastAsia="仿宋" w:cs="仿宋"/>
          <w:sz w:val="24"/>
          <w:highlight w:val="none"/>
        </w:rPr>
        <w:t>中标人应按照</w:t>
      </w:r>
      <w:r>
        <w:rPr>
          <w:rFonts w:hint="eastAsia" w:ascii="仿宋" w:hAnsi="仿宋" w:eastAsia="仿宋" w:cs="仿宋"/>
          <w:sz w:val="24"/>
          <w:highlight w:val="none"/>
          <w:u w:val="single"/>
        </w:rPr>
        <w:t>供应商须知资料表</w:t>
      </w:r>
      <w:r>
        <w:rPr>
          <w:rFonts w:hint="eastAsia" w:ascii="仿宋" w:hAnsi="仿宋" w:eastAsia="仿宋" w:cs="仿宋"/>
          <w:sz w:val="24"/>
          <w:highlight w:val="none"/>
        </w:rPr>
        <w:t>规定向采购人缴纳履约保证金。</w:t>
      </w:r>
    </w:p>
    <w:p w14:paraId="30B1F7F7">
      <w:pPr>
        <w:spacing w:line="340" w:lineRule="exact"/>
        <w:ind w:left="960" w:hanging="960" w:hangingChars="400"/>
        <w:rPr>
          <w:rFonts w:ascii="仿宋" w:hAnsi="仿宋" w:eastAsia="仿宋" w:cs="仿宋"/>
          <w:sz w:val="24"/>
          <w:highlight w:val="none"/>
        </w:rPr>
      </w:pPr>
      <w:r>
        <w:rPr>
          <w:rFonts w:hint="eastAsia" w:ascii="仿宋" w:hAnsi="仿宋" w:eastAsia="仿宋" w:cs="仿宋"/>
          <w:sz w:val="24"/>
          <w:highlight w:val="none"/>
        </w:rPr>
        <w:t>31.2    如果中标人没有按照上述履约保证金的规定执行，将视为放弃中标资格，中标人的投标保证金将不予退还。在此情况下，采购人可确定下一候选人为中标人，也可以重新开展采购活动。</w:t>
      </w:r>
    </w:p>
    <w:p w14:paraId="073F5440">
      <w:pPr>
        <w:pStyle w:val="4"/>
        <w:spacing w:before="0" w:after="0" w:line="340" w:lineRule="exact"/>
        <w:rPr>
          <w:rFonts w:ascii="仿宋" w:hAnsi="仿宋" w:eastAsia="仿宋" w:cs="仿宋"/>
          <w:szCs w:val="24"/>
          <w:highlight w:val="none"/>
          <w:u w:val="none"/>
        </w:rPr>
      </w:pPr>
      <w:bookmarkStart w:id="217" w:name="_Toc10981"/>
      <w:bookmarkStart w:id="218" w:name="_Toc15216"/>
      <w:r>
        <w:rPr>
          <w:rFonts w:hint="eastAsia" w:ascii="仿宋" w:hAnsi="仿宋" w:eastAsia="仿宋" w:cs="仿宋"/>
          <w:szCs w:val="24"/>
          <w:highlight w:val="none"/>
          <w:u w:val="none"/>
        </w:rPr>
        <w:t>33.政府采购信用担保</w:t>
      </w:r>
      <w:bookmarkEnd w:id="216"/>
      <w:bookmarkEnd w:id="217"/>
      <w:bookmarkEnd w:id="218"/>
    </w:p>
    <w:p w14:paraId="1B4CB49D">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33.1   本项目是否属于信用担保试点范围见</w:t>
      </w:r>
      <w:r>
        <w:rPr>
          <w:rFonts w:hint="eastAsia" w:ascii="仿宋" w:hAnsi="仿宋" w:eastAsia="仿宋" w:cs="仿宋"/>
          <w:sz w:val="24"/>
          <w:highlight w:val="none"/>
          <w:u w:val="single"/>
        </w:rPr>
        <w:t>供应商须知资料表</w:t>
      </w:r>
      <w:r>
        <w:rPr>
          <w:rFonts w:hint="eastAsia" w:ascii="仿宋" w:hAnsi="仿宋" w:eastAsia="仿宋" w:cs="仿宋"/>
          <w:sz w:val="24"/>
          <w:highlight w:val="none"/>
        </w:rPr>
        <w:t>。</w:t>
      </w:r>
    </w:p>
    <w:p w14:paraId="2025E8BD">
      <w:pPr>
        <w:spacing w:line="340" w:lineRule="exact"/>
        <w:ind w:left="850" w:hanging="849" w:hangingChars="354"/>
        <w:rPr>
          <w:rFonts w:ascii="仿宋" w:hAnsi="仿宋" w:eastAsia="仿宋" w:cs="仿宋"/>
          <w:sz w:val="24"/>
          <w:highlight w:val="none"/>
        </w:rPr>
      </w:pPr>
      <w:r>
        <w:rPr>
          <w:rFonts w:hint="eastAsia" w:ascii="仿宋" w:hAnsi="仿宋" w:eastAsia="仿宋" w:cs="仿宋"/>
          <w:sz w:val="24"/>
          <w:highlight w:val="none"/>
        </w:rPr>
        <w:t>33.2   如属于政府采购信用担保试点范围内，中小型企业供应商可以自由按照财政部门的规定，采用投标担保、履约担保和融资担保。</w:t>
      </w:r>
    </w:p>
    <w:p w14:paraId="01682A17">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33.2.1 供应商递交的投标担保函和履约担保函应符合本磋商文件的规定。</w:t>
      </w:r>
    </w:p>
    <w:p w14:paraId="4FF09ADA">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33.2.2 中标人可以采取融资担保的形式为政府采购项目履约进行融资。</w:t>
      </w:r>
    </w:p>
    <w:p w14:paraId="3F1E5D60">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33.2.3 合格的政府采购专业信用担保机构见</w:t>
      </w:r>
      <w:r>
        <w:rPr>
          <w:rFonts w:hint="eastAsia" w:ascii="仿宋" w:hAnsi="仿宋" w:eastAsia="仿宋" w:cs="仿宋"/>
          <w:sz w:val="24"/>
          <w:highlight w:val="none"/>
          <w:u w:val="single"/>
        </w:rPr>
        <w:t>供应商须知资料表</w:t>
      </w:r>
      <w:r>
        <w:rPr>
          <w:rFonts w:hint="eastAsia" w:ascii="仿宋" w:hAnsi="仿宋" w:eastAsia="仿宋" w:cs="仿宋"/>
          <w:sz w:val="24"/>
          <w:highlight w:val="none"/>
        </w:rPr>
        <w:t>。</w:t>
      </w:r>
    </w:p>
    <w:p w14:paraId="5F85A153">
      <w:pPr>
        <w:pStyle w:val="4"/>
        <w:spacing w:before="0" w:after="0" w:line="340" w:lineRule="exact"/>
        <w:rPr>
          <w:rFonts w:ascii="仿宋" w:hAnsi="仿宋" w:eastAsia="仿宋" w:cs="仿宋"/>
          <w:szCs w:val="24"/>
          <w:highlight w:val="none"/>
          <w:u w:val="none"/>
        </w:rPr>
      </w:pPr>
      <w:bookmarkStart w:id="219" w:name="_Toc12532"/>
      <w:bookmarkStart w:id="220" w:name="_Toc271"/>
      <w:bookmarkStart w:id="221" w:name="_Toc518923100"/>
      <w:r>
        <w:rPr>
          <w:rFonts w:hint="eastAsia" w:ascii="仿宋" w:hAnsi="仿宋" w:eastAsia="仿宋" w:cs="仿宋"/>
          <w:szCs w:val="24"/>
          <w:highlight w:val="none"/>
          <w:u w:val="none"/>
        </w:rPr>
        <w:t>34.廉洁自律规定</w:t>
      </w:r>
      <w:bookmarkEnd w:id="219"/>
      <w:bookmarkEnd w:id="220"/>
      <w:bookmarkEnd w:id="221"/>
    </w:p>
    <w:p w14:paraId="2B6FBD50">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34.1   采购代理机构工作人员不得以不正当手段获取政府采购代理业务，不得与采购人、供应商恶意串通操纵政府采购活动。</w:t>
      </w:r>
    </w:p>
    <w:p w14:paraId="776D7EF4">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34.2   采购代理机构工作人员不得接受采购人或者供应商组织的宴请、旅游、娱乐，不得收受礼品、现金、有价证券等，不得向采购人或者供应商报销应当由个人承担的费用。</w:t>
      </w:r>
    </w:p>
    <w:p w14:paraId="3C6C6E59">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34.3   为强化采购代理机构内部监督机制，供应商可按</w:t>
      </w:r>
      <w:r>
        <w:rPr>
          <w:rFonts w:hint="eastAsia" w:ascii="仿宋" w:hAnsi="仿宋" w:eastAsia="仿宋" w:cs="仿宋"/>
          <w:sz w:val="24"/>
          <w:highlight w:val="none"/>
          <w:u w:val="single"/>
        </w:rPr>
        <w:t>供应商须知资料表中的</w:t>
      </w:r>
      <w:r>
        <w:rPr>
          <w:rFonts w:hint="eastAsia" w:ascii="仿宋" w:hAnsi="仿宋" w:eastAsia="仿宋" w:cs="仿宋"/>
          <w:sz w:val="24"/>
          <w:highlight w:val="none"/>
        </w:rPr>
        <w:t>监督电话和信箱，反映采购代理机构的廉洁自律等问题。</w:t>
      </w:r>
    </w:p>
    <w:p w14:paraId="4029632E">
      <w:pPr>
        <w:pStyle w:val="4"/>
        <w:spacing w:before="0" w:after="0" w:line="340" w:lineRule="exact"/>
        <w:rPr>
          <w:rFonts w:ascii="仿宋" w:hAnsi="仿宋" w:eastAsia="仿宋" w:cs="仿宋"/>
          <w:szCs w:val="24"/>
          <w:highlight w:val="none"/>
          <w:u w:val="none"/>
        </w:rPr>
      </w:pPr>
      <w:bookmarkStart w:id="222" w:name="_Toc30429"/>
      <w:bookmarkStart w:id="223" w:name="_Toc518923101"/>
      <w:bookmarkStart w:id="224" w:name="_Toc19136"/>
      <w:r>
        <w:rPr>
          <w:rFonts w:hint="eastAsia" w:ascii="仿宋" w:hAnsi="仿宋" w:eastAsia="仿宋" w:cs="仿宋"/>
          <w:szCs w:val="24"/>
          <w:highlight w:val="none"/>
          <w:u w:val="none"/>
        </w:rPr>
        <w:t>35.人员回避</w:t>
      </w:r>
      <w:bookmarkEnd w:id="222"/>
      <w:bookmarkEnd w:id="223"/>
      <w:bookmarkEnd w:id="224"/>
    </w:p>
    <w:p w14:paraId="735E637F">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 xml:space="preserve">       供应商认为采购人员及其相关人员有法律法规所列与其他供应商有利害关系的，可以向采购人或采购代理机构书面提出回避申请，并说明理由。</w:t>
      </w:r>
    </w:p>
    <w:p w14:paraId="5E3ECCEE">
      <w:pPr>
        <w:pStyle w:val="4"/>
        <w:spacing w:before="0" w:after="0" w:line="340" w:lineRule="exact"/>
        <w:rPr>
          <w:rFonts w:ascii="仿宋" w:hAnsi="仿宋" w:eastAsia="仿宋" w:cs="仿宋"/>
          <w:szCs w:val="24"/>
          <w:highlight w:val="none"/>
          <w:u w:val="none"/>
        </w:rPr>
      </w:pPr>
      <w:bookmarkStart w:id="225" w:name="_Toc22309"/>
      <w:bookmarkStart w:id="226" w:name="_Toc5537"/>
      <w:r>
        <w:rPr>
          <w:rFonts w:hint="eastAsia" w:ascii="仿宋" w:hAnsi="仿宋" w:eastAsia="仿宋" w:cs="仿宋"/>
          <w:szCs w:val="24"/>
          <w:highlight w:val="none"/>
          <w:u w:val="none"/>
        </w:rPr>
        <w:t>36.质疑与接收</w:t>
      </w:r>
      <w:bookmarkEnd w:id="225"/>
      <w:bookmarkEnd w:id="226"/>
    </w:p>
    <w:p w14:paraId="1BEC3336">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36.1    供应商认为磋商文件、磋商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6D2CA722">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5E32CF02">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超出法定质疑期的、重复提出的、分次提出的或内容、形式不符合《政府采购质疑和投诉办法》的，质疑供应商将依法承担不利后果。</w:t>
      </w:r>
    </w:p>
    <w:p w14:paraId="7F5B44C7">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36.3    采购代理机构质疑函接收部门、联系电话和通讯地址, 见供应商须知资料表。</w:t>
      </w:r>
    </w:p>
    <w:p w14:paraId="779356C4">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36.4、质疑的提出</w:t>
      </w:r>
    </w:p>
    <w:p w14:paraId="502DA783">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36.5   本采购文件中所称质疑及答复，是指参加本次采购活动的供应商对政府采购活动中的采购文件、采购过程和成交结果向采购方提出质疑，采购方答复质疑的行为。</w:t>
      </w:r>
    </w:p>
    <w:p w14:paraId="7BAD7650">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383DC968">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（一）对可以质疑的采购文件提出质疑的，为收到采购文件之日或者采购文件公告期限届满之日；</w:t>
      </w:r>
    </w:p>
    <w:p w14:paraId="33297F21">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（二）对采购过程提出质疑的，为各采购程序环节结束之日；</w:t>
      </w:r>
    </w:p>
    <w:p w14:paraId="32181BFB">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（三）对成交结果提出质疑的，为成交结果公告期限届满之日。</w:t>
      </w:r>
    </w:p>
    <w:p w14:paraId="42BB99EB">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36.7   对可以质疑的采购文件提出质疑的，质疑人为参与本项目的报价方或潜在报价方。可质疑的文件为采购公告以及采购文件（包括属于其组成部分的澄清、修改、补充文件和评审标准、合同文本等）。</w:t>
      </w:r>
    </w:p>
    <w:p w14:paraId="50D63B30">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16B9804A">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36.9   提出质疑应当符合下列条件：</w:t>
      </w:r>
    </w:p>
    <w:p w14:paraId="6878AB26">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（一）质疑主体应当符合有关规定；</w:t>
      </w:r>
    </w:p>
    <w:p w14:paraId="10BE5C49">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（二）在质疑法定期限内提出；</w:t>
      </w:r>
    </w:p>
    <w:p w14:paraId="47A19C56">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（三）属于可以提出质疑的政府采购事项受理范围和本项目采购人的管辖权范围；</w:t>
      </w:r>
    </w:p>
    <w:p w14:paraId="25BF8795">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（四）政府采购法律、法规、规章规定的其他条件。</w:t>
      </w:r>
    </w:p>
    <w:p w14:paraId="0F9B2FDB">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2C095F07">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40.1  质疑人所提供的证明材料应当具有真实性、合法性以及与质疑事项的关联性和证明力，否则不能作为认定该质疑事项成立的依据。</w:t>
      </w:r>
    </w:p>
    <w:p w14:paraId="2137B66B">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40.2   质疑人提出质疑时应当提交质疑函。质疑函包括下列内容：</w:t>
      </w:r>
    </w:p>
    <w:p w14:paraId="54F0187C">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（一）提出质疑的质疑人的名称、地址、邮编、联系人及联系电话等；</w:t>
      </w:r>
    </w:p>
    <w:p w14:paraId="2B7E200B">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（二）质疑项目的名称、编号；</w:t>
      </w:r>
    </w:p>
    <w:p w14:paraId="11A3EFA2">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（三）质疑事项；</w:t>
      </w:r>
    </w:p>
    <w:p w14:paraId="2E76C161">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（四）事实依据和证明材料；</w:t>
      </w:r>
    </w:p>
    <w:p w14:paraId="64BDE181">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（五）法律依据；</w:t>
      </w:r>
    </w:p>
    <w:p w14:paraId="57139B11">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（六）提出质疑的日期。</w:t>
      </w:r>
    </w:p>
    <w:p w14:paraId="6F38BFF9">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5C8DAB51">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40.3    质疑人可以委托代理人进行质疑。代理人应当提交授权委托书。授权委托书应当载明委托代理的具体权限、期限和相关事项。</w:t>
      </w:r>
    </w:p>
    <w:p w14:paraId="7E0D5BAF">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40.4、质疑的审查和受理</w:t>
      </w:r>
    </w:p>
    <w:p w14:paraId="341A317C">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采购方在收到质疑函后应当及时审查是否符合质疑受理条件，对符合质疑受理条件的，及时予以受理。</w:t>
      </w:r>
    </w:p>
    <w:p w14:paraId="684977C1">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40.5    对不符合质疑受理条件的，分别按照下列不同情形予以处理：</w:t>
      </w:r>
    </w:p>
    <w:p w14:paraId="6D977A80">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（一）质疑函内容不符合规定的，告知质疑人进行修改并重新提出质疑。修改后质疑事项仍不具体、不明确或者最终递交质疑函的时间超过质疑法定期限的，不予受理；</w:t>
      </w:r>
    </w:p>
    <w:p w14:paraId="0C6949FF">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（二）质疑主体不符合有关规定的，告知质疑人不予受理；</w:t>
      </w:r>
    </w:p>
    <w:p w14:paraId="2F73E474">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（三）超过质疑法定期限提出质疑的，告知质疑人不予受理；</w:t>
      </w:r>
    </w:p>
    <w:p w14:paraId="3E9C3286">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（四）对不属于可以提出质疑的政府采购事项提出质疑的，告知质疑人不予受理；</w:t>
      </w:r>
    </w:p>
    <w:p w14:paraId="72D3FD56">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（五）质疑不属于本项目采购方管辖的，告知质疑人向有管辖权的采购人提出质疑；</w:t>
      </w:r>
    </w:p>
    <w:p w14:paraId="6177B68A">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（六）质疑不符合其他条件的，告知质疑人不予受理。</w:t>
      </w:r>
    </w:p>
    <w:p w14:paraId="325FB296">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40.6、质疑的处理和答复</w:t>
      </w:r>
    </w:p>
    <w:p w14:paraId="6408E600">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40.7   采购方受理质疑后，将及时把质疑函发送给被质疑人，并要求其在一定限期内提交书面答复，同时提供有关证据、依据和相关材料。</w:t>
      </w:r>
    </w:p>
    <w:p w14:paraId="70B07A5E">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40.8    对于质疑事项中涉及的问题较多、情况比较复杂的，为了全面查清事实、取得充分的证据，采购方认为有必要时，可以进行调查取证或者组织质证。</w:t>
      </w:r>
    </w:p>
    <w:p w14:paraId="2728DE44">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40.9    对评审过程、成交结果提出质疑的，采购方可以组织原评审委员会协助答复质疑。</w:t>
      </w:r>
    </w:p>
    <w:p w14:paraId="68AC9E83">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41.    质疑处理过程中，质疑人书面申请撤回质疑的，将终止质疑处理程序。</w:t>
      </w:r>
    </w:p>
    <w:p w14:paraId="63585FF8">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41.1   质疑人拒绝配合采购方依法对质疑进行调查处理的，采购方将按质疑人自动撤回质疑处理；被质疑人拒绝配合采购方依法对质疑进行调查处理的，采购方将视同其认可质疑事项。</w:t>
      </w:r>
    </w:p>
    <w:p w14:paraId="4A530C98">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41.1   质疑人拒绝配合采购方依法对质疑进行调查处理的，采购方将按质疑人自动撤回质疑处理；被质疑人拒绝配合采购方依法对质疑进行调查处理的，采购方将视同其认可质疑事项。</w:t>
      </w:r>
    </w:p>
    <w:p w14:paraId="01E1D585">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41.2   采购方将在正式受理质疑后7个工作日内作出答复。</w:t>
      </w:r>
    </w:p>
    <w:p w14:paraId="69B2C109">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41.3   质疑答复应当包括下列内容：</w:t>
      </w:r>
    </w:p>
    <w:p w14:paraId="003EBE82">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（一）质疑人的姓名或者名称；</w:t>
      </w:r>
    </w:p>
    <w:p w14:paraId="24E51435">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（二）收到质疑函的日期、质疑项目名称及编号；</w:t>
      </w:r>
    </w:p>
    <w:p w14:paraId="4D217D66">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（三）质疑事项、质疑答复的具体内容、事实依据和法律依据；</w:t>
      </w:r>
    </w:p>
    <w:p w14:paraId="48B3DF4A">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（四）告知质疑供应商依法投诉的权利；</w:t>
      </w:r>
    </w:p>
    <w:p w14:paraId="715BCFB0">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（五）质疑答复人名称；</w:t>
      </w:r>
    </w:p>
    <w:p w14:paraId="73F55CDD">
      <w:pPr>
        <w:spacing w:line="340" w:lineRule="exact"/>
        <w:ind w:left="900" w:hanging="900" w:hangingChars="375"/>
        <w:rPr>
          <w:rFonts w:ascii="仿宋" w:hAnsi="仿宋" w:eastAsia="仿宋" w:cs="仿宋"/>
          <w:sz w:val="24"/>
          <w:highlight w:val="none"/>
        </w:rPr>
      </w:pPr>
      <w:r>
        <w:rPr>
          <w:rFonts w:hint="eastAsia" w:ascii="仿宋" w:hAnsi="仿宋" w:eastAsia="仿宋" w:cs="仿宋"/>
          <w:sz w:val="24"/>
          <w:highlight w:val="none"/>
        </w:rPr>
        <w:t>（六）答复质疑的日期。</w:t>
      </w:r>
    </w:p>
    <w:p w14:paraId="006CAFFD">
      <w:pPr>
        <w:spacing w:line="340" w:lineRule="exact"/>
        <w:ind w:left="904" w:hanging="900" w:hangingChars="375"/>
        <w:jc w:val="center"/>
        <w:rPr>
          <w:rFonts w:ascii="仿宋" w:hAnsi="仿宋" w:eastAsia="仿宋" w:cs="仿宋"/>
          <w:b/>
          <w:bCs/>
          <w:sz w:val="24"/>
          <w:highlight w:val="none"/>
        </w:rPr>
      </w:pPr>
    </w:p>
    <w:p w14:paraId="2D88F990">
      <w:pPr>
        <w:pStyle w:val="34"/>
        <w:rPr>
          <w:rFonts w:ascii="仿宋" w:hAnsi="仿宋" w:eastAsia="仿宋" w:cs="仿宋"/>
          <w:b/>
          <w:bCs/>
          <w:sz w:val="24"/>
          <w:highlight w:val="none"/>
        </w:rPr>
      </w:pPr>
    </w:p>
    <w:p w14:paraId="0D71E8D1">
      <w:pPr>
        <w:rPr>
          <w:rFonts w:ascii="仿宋" w:hAnsi="仿宋" w:eastAsia="仿宋" w:cs="仿宋"/>
          <w:b/>
          <w:bCs/>
          <w:sz w:val="24"/>
          <w:highlight w:val="none"/>
        </w:rPr>
      </w:pPr>
    </w:p>
    <w:p w14:paraId="293E49DA">
      <w:pPr>
        <w:pStyle w:val="34"/>
      </w:pPr>
    </w:p>
    <w:p w14:paraId="58F56A45">
      <w:pPr>
        <w:rPr>
          <w:rFonts w:hint="eastAsia"/>
        </w:rPr>
      </w:pPr>
    </w:p>
    <w:p w14:paraId="06E5E650">
      <w:pPr>
        <w:keepNext w:val="0"/>
        <w:keepLines w:val="0"/>
        <w:pageBreakBefore w:val="0"/>
        <w:widowControl w:val="0"/>
        <w:kinsoku/>
        <w:wordWrap/>
        <w:overflowPunct/>
        <w:topLinePunct w:val="0"/>
        <w:autoSpaceDE/>
        <w:autoSpaceDN/>
        <w:bidi w:val="0"/>
        <w:adjustRightInd/>
        <w:snapToGrid/>
        <w:spacing w:line="340" w:lineRule="exact"/>
        <w:ind w:left="0" w:hanging="900" w:hangingChars="375"/>
        <w:jc w:val="center"/>
        <w:textAlignment w:val="auto"/>
        <w:rPr>
          <w:rFonts w:hint="eastAsia" w:ascii="仿宋" w:hAnsi="仿宋" w:eastAsia="仿宋" w:cs="仿宋"/>
          <w:sz w:val="24"/>
        </w:rPr>
      </w:pPr>
      <w:r>
        <w:rPr>
          <w:rFonts w:hint="eastAsia" w:ascii="仿宋" w:hAnsi="仿宋" w:eastAsia="仿宋" w:cs="仿宋"/>
          <w:b/>
          <w:bCs/>
          <w:sz w:val="24"/>
        </w:rPr>
        <w:t>质疑函范本</w:t>
      </w:r>
    </w:p>
    <w:p w14:paraId="0C47440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一、质疑供应商基本信息</w:t>
      </w:r>
    </w:p>
    <w:p w14:paraId="41FB599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质疑供应商：</w:t>
      </w:r>
    </w:p>
    <w:p w14:paraId="3D950EF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地址：邮编：</w:t>
      </w:r>
    </w:p>
    <w:p w14:paraId="5E3E62E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联系人：联系电话：</w:t>
      </w:r>
    </w:p>
    <w:p w14:paraId="3CB26CC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授权代表：</w:t>
      </w:r>
    </w:p>
    <w:p w14:paraId="631CB122">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联系电话：</w:t>
      </w:r>
    </w:p>
    <w:p w14:paraId="2D46289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地址：邮编：</w:t>
      </w:r>
    </w:p>
    <w:p w14:paraId="2E3B39E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二、质疑项目基本情况</w:t>
      </w:r>
    </w:p>
    <w:p w14:paraId="4A8802F0">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质疑项目的名称：</w:t>
      </w:r>
    </w:p>
    <w:p w14:paraId="3516FD8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质疑项目的编号：包号：</w:t>
      </w:r>
    </w:p>
    <w:p w14:paraId="2F8D2850">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采购人名称：</w:t>
      </w:r>
    </w:p>
    <w:p w14:paraId="7613B88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采购文件获取日期：</w:t>
      </w:r>
    </w:p>
    <w:p w14:paraId="256E9AD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三、质疑事项具体内容</w:t>
      </w:r>
    </w:p>
    <w:p w14:paraId="33448216">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质疑事项1：</w:t>
      </w:r>
    </w:p>
    <w:p w14:paraId="70F1935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事实依据：</w:t>
      </w:r>
    </w:p>
    <w:p w14:paraId="2CA25A73">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p>
    <w:p w14:paraId="4C30781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法律依据：</w:t>
      </w:r>
    </w:p>
    <w:p w14:paraId="74E3AC9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p>
    <w:p w14:paraId="6547903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质疑事项2</w:t>
      </w:r>
    </w:p>
    <w:p w14:paraId="26E54BBA">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w:t>
      </w:r>
    </w:p>
    <w:p w14:paraId="2A4ACA00">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四、与质疑事项相关的质疑请求</w:t>
      </w:r>
    </w:p>
    <w:p w14:paraId="7623EB8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请求：</w:t>
      </w:r>
    </w:p>
    <w:p w14:paraId="45264BFA">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签字(签章)：公章：</w:t>
      </w:r>
    </w:p>
    <w:p w14:paraId="56D3EE71">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日期：</w:t>
      </w:r>
    </w:p>
    <w:p w14:paraId="226D4D2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p>
    <w:p w14:paraId="30E7E692">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p>
    <w:p w14:paraId="219EC01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质疑函制作说明：</w:t>
      </w:r>
    </w:p>
    <w:p w14:paraId="6A68D6D3">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22931F23">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D606E9B">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362CAA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6FA5F9C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26102C6C">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3ADBABA7">
      <w:pPr>
        <w:spacing w:line="340" w:lineRule="exact"/>
        <w:ind w:left="900" w:hanging="900" w:hangingChars="375"/>
        <w:jc w:val="center"/>
        <w:rPr>
          <w:rFonts w:ascii="仿宋" w:hAnsi="仿宋" w:eastAsia="仿宋" w:cs="仿宋"/>
          <w:highlight w:val="none"/>
        </w:rPr>
      </w:pPr>
      <w:r>
        <w:rPr>
          <w:rFonts w:hint="eastAsia" w:ascii="仿宋" w:hAnsi="仿宋" w:eastAsia="仿宋" w:cs="仿宋"/>
          <w:sz w:val="24"/>
        </w:rPr>
        <w:br w:type="page"/>
      </w:r>
      <w:bookmarkStart w:id="227" w:name="_Toc23678"/>
      <w:bookmarkStart w:id="228" w:name="_Toc30751"/>
      <w:bookmarkStart w:id="229" w:name="_Toc3083"/>
      <w:r>
        <w:rPr>
          <w:rFonts w:hint="eastAsia" w:ascii="仿宋" w:hAnsi="仿宋" w:eastAsia="仿宋" w:cs="仿宋"/>
          <w:sz w:val="24"/>
          <w:szCs w:val="24"/>
          <w:highlight w:val="none"/>
        </w:rPr>
        <w:t>附件1：履约保证金保函（格式）</w:t>
      </w:r>
      <w:bookmarkEnd w:id="227"/>
      <w:bookmarkEnd w:id="228"/>
      <w:bookmarkEnd w:id="229"/>
    </w:p>
    <w:p w14:paraId="7D8C3DB2">
      <w:pPr>
        <w:pStyle w:val="12"/>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（中标后开具）</w:t>
      </w:r>
    </w:p>
    <w:p w14:paraId="68D39BE1">
      <w:pPr>
        <w:pStyle w:val="12"/>
        <w:spacing w:line="240" w:lineRule="atLeast"/>
        <w:ind w:left="1079" w:leftChars="257" w:hanging="540"/>
        <w:rPr>
          <w:rFonts w:ascii="仿宋" w:hAnsi="仿宋" w:eastAsia="仿宋" w:cs="仿宋"/>
          <w:b/>
          <w:sz w:val="24"/>
          <w:highlight w:val="none"/>
        </w:rPr>
      </w:pPr>
    </w:p>
    <w:p w14:paraId="61D304D8">
      <w:pPr>
        <w:pStyle w:val="12"/>
        <w:spacing w:line="240" w:lineRule="atLeast"/>
        <w:ind w:left="1079" w:leftChars="257" w:hanging="540"/>
        <w:rPr>
          <w:rFonts w:ascii="仿宋" w:hAnsi="仿宋" w:eastAsia="仿宋" w:cs="仿宋"/>
          <w:b/>
          <w:sz w:val="24"/>
          <w:highlight w:val="none"/>
        </w:rPr>
      </w:pPr>
      <w:r>
        <w:rPr>
          <w:rFonts w:hint="eastAsia" w:ascii="仿宋" w:hAnsi="仿宋" w:eastAsia="仿宋" w:cs="仿宋"/>
          <w:b/>
          <w:sz w:val="24"/>
          <w:highlight w:val="none"/>
        </w:rPr>
        <w:t xml:space="preserve">                       </w:t>
      </w:r>
    </w:p>
    <w:p w14:paraId="0514F2F5">
      <w:pPr>
        <w:pStyle w:val="12"/>
        <w:spacing w:line="240" w:lineRule="atLeast"/>
        <w:rPr>
          <w:rFonts w:ascii="仿宋" w:hAnsi="仿宋" w:eastAsia="仿宋" w:cs="仿宋"/>
          <w:sz w:val="24"/>
          <w:highlight w:val="none"/>
        </w:rPr>
      </w:pPr>
      <w:r>
        <w:rPr>
          <w:rFonts w:hint="eastAsia" w:ascii="仿宋" w:hAnsi="仿宋" w:eastAsia="仿宋" w:cs="仿宋"/>
          <w:sz w:val="24"/>
          <w:highlight w:val="none"/>
        </w:rPr>
        <w:t>致: (</w:t>
      </w:r>
      <w:r>
        <w:rPr>
          <w:rFonts w:hint="eastAsia" w:ascii="仿宋" w:hAnsi="仿宋" w:eastAsia="仿宋" w:cs="仿宋"/>
          <w:i/>
          <w:sz w:val="24"/>
          <w:highlight w:val="none"/>
          <w:u w:val="single"/>
        </w:rPr>
        <w:t>买方名称</w:t>
      </w:r>
      <w:r>
        <w:rPr>
          <w:rFonts w:hint="eastAsia" w:ascii="仿宋" w:hAnsi="仿宋" w:eastAsia="仿宋" w:cs="仿宋"/>
          <w:sz w:val="24"/>
          <w:highlight w:val="none"/>
        </w:rPr>
        <w:t>)</w:t>
      </w:r>
    </w:p>
    <w:p w14:paraId="2721C5FF">
      <w:pPr>
        <w:pStyle w:val="12"/>
        <w:spacing w:line="240" w:lineRule="atLeast"/>
        <w:ind w:left="1079" w:leftChars="257" w:hanging="540"/>
        <w:jc w:val="center"/>
        <w:rPr>
          <w:rFonts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号合同履约保函</w:t>
      </w:r>
    </w:p>
    <w:p w14:paraId="1525BC7B">
      <w:pPr>
        <w:pStyle w:val="12"/>
        <w:spacing w:line="240" w:lineRule="atLeast"/>
        <w:ind w:left="1079" w:leftChars="257" w:hanging="540"/>
        <w:jc w:val="center"/>
        <w:rPr>
          <w:rFonts w:ascii="仿宋" w:hAnsi="仿宋" w:eastAsia="仿宋" w:cs="仿宋"/>
          <w:sz w:val="24"/>
          <w:highlight w:val="none"/>
        </w:rPr>
      </w:pPr>
    </w:p>
    <w:p w14:paraId="6C4AE5D2">
      <w:pPr>
        <w:pStyle w:val="12"/>
        <w:spacing w:line="240" w:lineRule="atLeast"/>
        <w:ind w:firstLine="600" w:firstLineChars="250"/>
        <w:rPr>
          <w:rFonts w:ascii="仿宋" w:hAnsi="仿宋" w:eastAsia="仿宋" w:cs="仿宋"/>
          <w:sz w:val="24"/>
          <w:highlight w:val="none"/>
        </w:rPr>
      </w:pPr>
      <w:r>
        <w:rPr>
          <w:rFonts w:hint="eastAsia" w:ascii="仿宋" w:hAnsi="仿宋" w:eastAsia="仿宋" w:cs="仿宋"/>
          <w:sz w:val="24"/>
          <w:highlight w:val="none"/>
        </w:rPr>
        <w:t>本保函作为贵方与(</w:t>
      </w:r>
      <w:r>
        <w:rPr>
          <w:rFonts w:hint="eastAsia" w:ascii="仿宋" w:hAnsi="仿宋" w:eastAsia="仿宋" w:cs="仿宋"/>
          <w:i/>
          <w:sz w:val="24"/>
          <w:highlight w:val="none"/>
          <w:u w:val="single"/>
        </w:rPr>
        <w:t>卖方名称</w:t>
      </w:r>
      <w:r>
        <w:rPr>
          <w:rFonts w:hint="eastAsia" w:ascii="仿宋" w:hAnsi="仿宋" w:eastAsia="仿宋" w:cs="仿宋"/>
          <w:sz w:val="24"/>
          <w:highlight w:val="none"/>
        </w:rPr>
        <w:t>)(以下简称卖方)于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日就</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项目(以下简称项目)项下提供(</w:t>
      </w:r>
      <w:r>
        <w:rPr>
          <w:rFonts w:hint="eastAsia" w:ascii="仿宋" w:hAnsi="仿宋" w:eastAsia="仿宋" w:cs="仿宋"/>
          <w:i/>
          <w:sz w:val="24"/>
          <w:highlight w:val="none"/>
          <w:u w:val="single"/>
        </w:rPr>
        <w:t>货物名称</w:t>
      </w:r>
      <w:r>
        <w:rPr>
          <w:rFonts w:hint="eastAsia" w:ascii="仿宋" w:hAnsi="仿宋" w:eastAsia="仿宋" w:cs="仿宋"/>
          <w:sz w:val="24"/>
          <w:highlight w:val="none"/>
        </w:rPr>
        <w:t>)(以下简称货物)签订的(</w:t>
      </w:r>
      <w:r>
        <w:rPr>
          <w:rFonts w:hint="eastAsia" w:ascii="仿宋" w:hAnsi="仿宋" w:eastAsia="仿宋" w:cs="仿宋"/>
          <w:i/>
          <w:sz w:val="24"/>
          <w:highlight w:val="none"/>
          <w:u w:val="single"/>
        </w:rPr>
        <w:t>合同号</w:t>
      </w:r>
      <w:r>
        <w:rPr>
          <w:rFonts w:hint="eastAsia" w:ascii="仿宋" w:hAnsi="仿宋" w:eastAsia="仿宋" w:cs="仿宋"/>
          <w:sz w:val="24"/>
          <w:highlight w:val="none"/>
        </w:rPr>
        <w:t>)号合同的履约保函。</w:t>
      </w:r>
    </w:p>
    <w:p w14:paraId="79078D25">
      <w:pPr>
        <w:pStyle w:val="12"/>
        <w:spacing w:line="240" w:lineRule="atLeast"/>
        <w:ind w:firstLine="540" w:firstLineChars="225"/>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i/>
          <w:sz w:val="24"/>
          <w:highlight w:val="none"/>
          <w:u w:val="single"/>
        </w:rPr>
        <w:t>出具保函的银行名称</w:t>
      </w:r>
      <w:r>
        <w:rPr>
          <w:rFonts w:hint="eastAsia" w:ascii="仿宋" w:hAnsi="仿宋" w:eastAsia="仿宋" w:cs="仿宋"/>
          <w:sz w:val="24"/>
          <w:highlight w:val="none"/>
        </w:rPr>
        <w:t>)(以下简称银行)无条件地、不可撤销地具结保证本行、其继承人和受让人无追索地向贵方以(</w:t>
      </w:r>
      <w:r>
        <w:rPr>
          <w:rFonts w:hint="eastAsia" w:ascii="仿宋" w:hAnsi="仿宋" w:eastAsia="仿宋" w:cs="仿宋"/>
          <w:i/>
          <w:sz w:val="24"/>
          <w:highlight w:val="none"/>
          <w:u w:val="single"/>
        </w:rPr>
        <w:t>货币名称</w:t>
      </w:r>
      <w:r>
        <w:rPr>
          <w:rFonts w:hint="eastAsia" w:ascii="仿宋" w:hAnsi="仿宋" w:eastAsia="仿宋" w:cs="仿宋"/>
          <w:sz w:val="24"/>
          <w:highlight w:val="none"/>
        </w:rPr>
        <w:t>)支付总额不超过(</w:t>
      </w:r>
      <w:r>
        <w:rPr>
          <w:rFonts w:hint="eastAsia" w:ascii="仿宋" w:hAnsi="仿宋" w:eastAsia="仿宋" w:cs="仿宋"/>
          <w:i/>
          <w:sz w:val="24"/>
          <w:highlight w:val="none"/>
          <w:u w:val="single"/>
        </w:rPr>
        <w:t>货币数量</w:t>
      </w:r>
      <w:r>
        <w:rPr>
          <w:rFonts w:hint="eastAsia" w:ascii="仿宋" w:hAnsi="仿宋" w:eastAsia="仿宋" w:cs="仿宋"/>
          <w:sz w:val="24"/>
          <w:highlight w:val="none"/>
        </w:rPr>
        <w:t>),即相当于合同价格的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%,并以此约定如下:</w:t>
      </w:r>
    </w:p>
    <w:p w14:paraId="187A804E">
      <w:pPr>
        <w:pStyle w:val="12"/>
        <w:spacing w:line="240" w:lineRule="atLeast"/>
        <w:ind w:left="539" w:leftChars="257"/>
        <w:rPr>
          <w:rFonts w:ascii="仿宋" w:hAnsi="仿宋" w:eastAsia="仿宋" w:cs="仿宋"/>
          <w:sz w:val="24"/>
          <w:highlight w:val="none"/>
        </w:rPr>
      </w:pPr>
      <w:r>
        <w:rPr>
          <w:rFonts w:hint="eastAsia" w:ascii="仿宋" w:hAnsi="仿宋" w:eastAsia="仿宋" w:cs="仿宋"/>
          <w:sz w:val="24"/>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5FDC4B14">
      <w:pPr>
        <w:pStyle w:val="12"/>
        <w:spacing w:line="240" w:lineRule="atLeast"/>
        <w:ind w:left="540"/>
        <w:rPr>
          <w:rFonts w:ascii="仿宋" w:hAnsi="仿宋" w:eastAsia="仿宋" w:cs="仿宋"/>
          <w:sz w:val="24"/>
          <w:highlight w:val="none"/>
        </w:rPr>
      </w:pPr>
      <w:r>
        <w:rPr>
          <w:rFonts w:hint="eastAsia" w:ascii="仿宋" w:hAnsi="仿宋" w:eastAsia="仿宋" w:cs="仿宋"/>
          <w:sz w:val="24"/>
          <w:highlight w:val="none"/>
        </w:rPr>
        <w:t>2.本保函项下的任何支付应为免税和净值。对于现有或将来的税收、关税、收费、费用扣减或预提税款，不论这些款项是何种性质和由谁征收，都不应从本保函项下的支付中扣除。</w:t>
      </w:r>
    </w:p>
    <w:p w14:paraId="7719E980">
      <w:pPr>
        <w:pStyle w:val="12"/>
        <w:spacing w:line="240" w:lineRule="atLeast"/>
        <w:ind w:left="540"/>
        <w:rPr>
          <w:rFonts w:ascii="仿宋" w:hAnsi="仿宋" w:eastAsia="仿宋" w:cs="仿宋"/>
          <w:sz w:val="24"/>
          <w:highlight w:val="none"/>
        </w:rPr>
      </w:pPr>
      <w:r>
        <w:rPr>
          <w:rFonts w:hint="eastAsia" w:ascii="仿宋" w:hAnsi="仿宋" w:eastAsia="仿宋" w:cs="仿宋"/>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1288BE76">
      <w:pPr>
        <w:pStyle w:val="12"/>
        <w:spacing w:line="240" w:lineRule="atLeast"/>
        <w:ind w:left="1079" w:leftChars="257" w:hanging="540"/>
        <w:rPr>
          <w:rFonts w:ascii="仿宋" w:hAnsi="仿宋" w:eastAsia="仿宋" w:cs="仿宋"/>
          <w:sz w:val="24"/>
          <w:highlight w:val="none"/>
        </w:rPr>
      </w:pPr>
      <w:bookmarkStart w:id="230" w:name="_Toc6985"/>
      <w:bookmarkStart w:id="231" w:name="_Toc1076"/>
      <w:r>
        <w:rPr>
          <w:rFonts w:hint="eastAsia" w:ascii="仿宋" w:hAnsi="仿宋" w:eastAsia="仿宋" w:cs="仿宋"/>
          <w:sz w:val="24"/>
          <w:highlight w:val="none"/>
        </w:rPr>
        <w:t>4.本保函在本合同规定的保证期期满前完全有效。</w:t>
      </w:r>
      <w:bookmarkEnd w:id="230"/>
      <w:bookmarkEnd w:id="231"/>
    </w:p>
    <w:p w14:paraId="4D22B2B3">
      <w:pPr>
        <w:pStyle w:val="12"/>
        <w:spacing w:line="240" w:lineRule="atLeast"/>
        <w:ind w:left="1079" w:leftChars="257" w:hanging="540"/>
        <w:rPr>
          <w:rFonts w:ascii="仿宋" w:hAnsi="仿宋" w:eastAsia="仿宋" w:cs="仿宋"/>
          <w:sz w:val="24"/>
          <w:highlight w:val="none"/>
        </w:rPr>
      </w:pPr>
    </w:p>
    <w:p w14:paraId="6975F793">
      <w:pPr>
        <w:pStyle w:val="12"/>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谨启</w:t>
      </w:r>
    </w:p>
    <w:p w14:paraId="0F8552FA">
      <w:pPr>
        <w:pStyle w:val="12"/>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出具保函银行名称：</w:t>
      </w:r>
      <w:r>
        <w:rPr>
          <w:rFonts w:hint="eastAsia" w:ascii="仿宋" w:hAnsi="仿宋" w:eastAsia="仿宋" w:cs="仿宋"/>
          <w:sz w:val="24"/>
          <w:highlight w:val="none"/>
          <w:u w:val="single"/>
        </w:rPr>
        <w:t xml:space="preserve">                             </w:t>
      </w:r>
    </w:p>
    <w:p w14:paraId="2B8D4DCD">
      <w:pPr>
        <w:pStyle w:val="12"/>
        <w:spacing w:line="240" w:lineRule="atLeast"/>
        <w:ind w:left="1079" w:leftChars="257" w:hanging="540"/>
        <w:rPr>
          <w:rFonts w:ascii="仿宋" w:hAnsi="仿宋" w:eastAsia="仿宋" w:cs="仿宋"/>
          <w:sz w:val="24"/>
          <w:highlight w:val="none"/>
          <w:u w:val="single"/>
        </w:rPr>
      </w:pPr>
      <w:r>
        <w:rPr>
          <w:rFonts w:hint="eastAsia" w:ascii="仿宋" w:hAnsi="仿宋" w:eastAsia="仿宋" w:cs="仿宋"/>
          <w:sz w:val="24"/>
          <w:highlight w:val="none"/>
        </w:rPr>
        <w:t>签字人姓名和职务：</w:t>
      </w:r>
      <w:r>
        <w:rPr>
          <w:rFonts w:hint="eastAsia" w:ascii="仿宋" w:hAnsi="仿宋" w:eastAsia="仿宋" w:cs="仿宋"/>
          <w:sz w:val="24"/>
          <w:highlight w:val="none"/>
          <w:u w:val="single"/>
        </w:rPr>
        <w:t xml:space="preserve">                             </w:t>
      </w:r>
    </w:p>
    <w:p w14:paraId="2907E550">
      <w:pPr>
        <w:pStyle w:val="12"/>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签字人签名：</w:t>
      </w:r>
      <w:r>
        <w:rPr>
          <w:rFonts w:hint="eastAsia" w:ascii="仿宋" w:hAnsi="仿宋" w:eastAsia="仿宋" w:cs="仿宋"/>
          <w:sz w:val="24"/>
          <w:highlight w:val="none"/>
          <w:u w:val="single"/>
        </w:rPr>
        <w:t xml:space="preserve">                                   </w:t>
      </w:r>
    </w:p>
    <w:p w14:paraId="58A66416">
      <w:pPr>
        <w:pStyle w:val="12"/>
        <w:spacing w:line="240" w:lineRule="atLeast"/>
        <w:ind w:left="1079" w:leftChars="257" w:hanging="540"/>
        <w:rPr>
          <w:rFonts w:ascii="仿宋" w:hAnsi="仿宋" w:eastAsia="仿宋" w:cs="仿宋"/>
          <w:sz w:val="24"/>
          <w:highlight w:val="none"/>
          <w:u w:val="single"/>
        </w:rPr>
      </w:pPr>
      <w:r>
        <w:rPr>
          <w:rFonts w:hint="eastAsia" w:ascii="仿宋" w:hAnsi="仿宋" w:eastAsia="仿宋" w:cs="仿宋"/>
          <w:sz w:val="24"/>
          <w:highlight w:val="none"/>
        </w:rPr>
        <w:t>公章：</w:t>
      </w:r>
      <w:r>
        <w:rPr>
          <w:rFonts w:hint="eastAsia" w:ascii="仿宋" w:hAnsi="仿宋" w:eastAsia="仿宋" w:cs="仿宋"/>
          <w:sz w:val="24"/>
          <w:highlight w:val="none"/>
          <w:u w:val="single"/>
        </w:rPr>
        <w:t xml:space="preserve">                                         </w:t>
      </w:r>
    </w:p>
    <w:p w14:paraId="26FB4944">
      <w:pPr>
        <w:pStyle w:val="22"/>
        <w:ind w:firstLine="240"/>
        <w:rPr>
          <w:rFonts w:ascii="仿宋" w:hAnsi="仿宋" w:eastAsia="仿宋" w:cs="仿宋"/>
          <w:highlight w:val="none"/>
        </w:rPr>
      </w:pPr>
    </w:p>
    <w:p w14:paraId="3FA21F3C">
      <w:pPr>
        <w:pStyle w:val="22"/>
        <w:ind w:firstLine="240"/>
        <w:rPr>
          <w:rFonts w:ascii="仿宋" w:hAnsi="仿宋" w:eastAsia="仿宋" w:cs="仿宋"/>
          <w:highlight w:val="none"/>
        </w:rPr>
      </w:pPr>
    </w:p>
    <w:p w14:paraId="6A24D1DD">
      <w:pPr>
        <w:pStyle w:val="22"/>
        <w:ind w:firstLine="240"/>
        <w:rPr>
          <w:rFonts w:ascii="仿宋" w:hAnsi="仿宋" w:eastAsia="仿宋" w:cs="仿宋"/>
          <w:highlight w:val="none"/>
        </w:rPr>
      </w:pPr>
    </w:p>
    <w:p w14:paraId="1CD6F428">
      <w:pPr>
        <w:pStyle w:val="22"/>
        <w:ind w:firstLine="240"/>
        <w:rPr>
          <w:rFonts w:ascii="仿宋" w:hAnsi="仿宋" w:eastAsia="仿宋" w:cs="仿宋"/>
          <w:highlight w:val="none"/>
        </w:rPr>
      </w:pPr>
    </w:p>
    <w:p w14:paraId="22AEFFFD">
      <w:pPr>
        <w:pStyle w:val="22"/>
        <w:ind w:firstLine="240"/>
        <w:rPr>
          <w:rFonts w:ascii="仿宋" w:hAnsi="仿宋" w:eastAsia="仿宋" w:cs="仿宋"/>
          <w:highlight w:val="none"/>
        </w:rPr>
      </w:pPr>
    </w:p>
    <w:p w14:paraId="45CFB4F9">
      <w:pPr>
        <w:rPr>
          <w:rFonts w:ascii="仿宋" w:hAnsi="仿宋" w:eastAsia="仿宋" w:cs="仿宋"/>
          <w:highlight w:val="none"/>
        </w:rPr>
      </w:pPr>
    </w:p>
    <w:p w14:paraId="3B379F38">
      <w:pPr>
        <w:pStyle w:val="22"/>
        <w:ind w:firstLine="240"/>
        <w:rPr>
          <w:rFonts w:ascii="仿宋" w:hAnsi="仿宋" w:eastAsia="仿宋" w:cs="仿宋"/>
          <w:highlight w:val="none"/>
        </w:rPr>
      </w:pPr>
    </w:p>
    <w:p w14:paraId="5925D22B">
      <w:pPr>
        <w:pStyle w:val="22"/>
        <w:ind w:firstLine="240"/>
        <w:rPr>
          <w:rFonts w:ascii="仿宋" w:hAnsi="仿宋" w:eastAsia="仿宋" w:cs="仿宋"/>
          <w:highlight w:val="none"/>
        </w:rPr>
      </w:pPr>
    </w:p>
    <w:p w14:paraId="661DB0F4">
      <w:pPr>
        <w:pStyle w:val="17"/>
        <w:rPr>
          <w:rFonts w:ascii="仿宋" w:hAnsi="仿宋" w:eastAsia="仿宋" w:cs="仿宋"/>
          <w:highlight w:val="none"/>
        </w:rPr>
      </w:pPr>
    </w:p>
    <w:p w14:paraId="2D38454C">
      <w:pPr>
        <w:spacing w:line="240" w:lineRule="atLeast"/>
        <w:ind w:left="1079" w:leftChars="257" w:hanging="540"/>
        <w:rPr>
          <w:rFonts w:hint="eastAsia" w:ascii="仿宋" w:hAnsi="仿宋" w:eastAsia="仿宋" w:cs="仿宋"/>
          <w:highlight w:val="none"/>
        </w:rPr>
      </w:pPr>
      <w:bookmarkStart w:id="232" w:name="_Toc518923104"/>
      <w:bookmarkStart w:id="233" w:name="_Toc21744"/>
      <w:bookmarkStart w:id="234" w:name="_Toc16707"/>
      <w:bookmarkStart w:id="235" w:name="_Toc22540"/>
      <w:bookmarkStart w:id="236" w:name="_Toc27581"/>
    </w:p>
    <w:p w14:paraId="4C386AB0">
      <w:pPr>
        <w:spacing w:line="24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附件2：履约担保函格式</w:t>
      </w:r>
      <w:bookmarkEnd w:id="232"/>
      <w:bookmarkEnd w:id="233"/>
      <w:bookmarkEnd w:id="234"/>
      <w:bookmarkEnd w:id="235"/>
      <w:bookmarkEnd w:id="236"/>
    </w:p>
    <w:p w14:paraId="2F585631">
      <w:pPr>
        <w:spacing w:line="240" w:lineRule="atLeast"/>
        <w:jc w:val="center"/>
        <w:rPr>
          <w:rFonts w:ascii="仿宋" w:hAnsi="仿宋" w:eastAsia="仿宋" w:cs="仿宋"/>
          <w:sz w:val="24"/>
          <w:szCs w:val="24"/>
          <w:highlight w:val="none"/>
        </w:rPr>
      </w:pPr>
      <w:bookmarkStart w:id="237" w:name="_Toc32574"/>
      <w:bookmarkStart w:id="238" w:name="_Toc7209"/>
      <w:bookmarkStart w:id="239" w:name="_Toc13962"/>
      <w:bookmarkStart w:id="240" w:name="_Toc515647801"/>
      <w:bookmarkStart w:id="241" w:name="_Toc162"/>
      <w:bookmarkStart w:id="242" w:name="_Toc9735"/>
      <w:r>
        <w:rPr>
          <w:rFonts w:hint="eastAsia" w:ascii="仿宋" w:hAnsi="仿宋" w:eastAsia="仿宋" w:cs="仿宋"/>
          <w:sz w:val="24"/>
          <w:szCs w:val="24"/>
          <w:highlight w:val="none"/>
        </w:rPr>
        <w:t>（采用政府采购信用担保形式时使用）</w:t>
      </w:r>
      <w:bookmarkEnd w:id="237"/>
      <w:bookmarkEnd w:id="238"/>
      <w:bookmarkEnd w:id="239"/>
      <w:bookmarkEnd w:id="240"/>
      <w:bookmarkEnd w:id="241"/>
      <w:bookmarkEnd w:id="242"/>
    </w:p>
    <w:p w14:paraId="2E50E4A1">
      <w:pPr>
        <w:spacing w:line="240" w:lineRule="atLeast"/>
        <w:ind w:left="1079" w:leftChars="257" w:hanging="540"/>
        <w:rPr>
          <w:rFonts w:ascii="仿宋" w:hAnsi="仿宋" w:eastAsia="仿宋" w:cs="仿宋"/>
          <w:b/>
          <w:kern w:val="0"/>
          <w:sz w:val="24"/>
          <w:szCs w:val="20"/>
          <w:highlight w:val="none"/>
        </w:rPr>
      </w:pPr>
    </w:p>
    <w:p w14:paraId="437D2611">
      <w:pPr>
        <w:jc w:val="center"/>
        <w:rPr>
          <w:rFonts w:ascii="仿宋" w:hAnsi="仿宋" w:eastAsia="仿宋" w:cs="仿宋"/>
          <w:sz w:val="24"/>
          <w:highlight w:val="none"/>
        </w:rPr>
      </w:pPr>
      <w:r>
        <w:rPr>
          <w:rFonts w:hint="eastAsia" w:ascii="仿宋" w:hAnsi="仿宋" w:eastAsia="仿宋" w:cs="仿宋"/>
          <w:sz w:val="24"/>
          <w:highlight w:val="none"/>
        </w:rPr>
        <w:t>政府采购履约担保函（项目用）</w:t>
      </w:r>
    </w:p>
    <w:p w14:paraId="3396A6F7">
      <w:pPr>
        <w:rPr>
          <w:rFonts w:ascii="仿宋" w:hAnsi="仿宋" w:eastAsia="仿宋" w:cs="仿宋"/>
          <w:sz w:val="24"/>
          <w:highlight w:val="none"/>
        </w:rPr>
      </w:pPr>
      <w:r>
        <w:rPr>
          <w:rFonts w:hint="eastAsia" w:ascii="仿宋" w:hAnsi="仿宋" w:eastAsia="仿宋" w:cs="仿宋"/>
          <w:sz w:val="24"/>
          <w:highlight w:val="none"/>
        </w:rPr>
        <w:t xml:space="preserve">                                                   编号：</w:t>
      </w:r>
    </w:p>
    <w:p w14:paraId="0DB88623">
      <w:pPr>
        <w:rPr>
          <w:rFonts w:ascii="仿宋" w:hAnsi="仿宋" w:eastAsia="仿宋" w:cs="仿宋"/>
          <w:sz w:val="24"/>
          <w:highlight w:val="none"/>
        </w:rPr>
      </w:pPr>
    </w:p>
    <w:p w14:paraId="0A060EEF">
      <w:pPr>
        <w:rPr>
          <w:rFonts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（采购人）：</w:t>
      </w:r>
    </w:p>
    <w:p w14:paraId="0CC472BD">
      <w:pPr>
        <w:rPr>
          <w:rFonts w:ascii="仿宋" w:hAnsi="仿宋" w:eastAsia="仿宋" w:cs="仿宋"/>
          <w:sz w:val="24"/>
          <w:highlight w:val="none"/>
        </w:rPr>
      </w:pPr>
    </w:p>
    <w:p w14:paraId="6E6DA066">
      <w:pPr>
        <w:ind w:firstLine="480" w:firstLineChars="200"/>
        <w:rPr>
          <w:rFonts w:ascii="仿宋" w:hAnsi="仿宋" w:eastAsia="仿宋" w:cs="仿宋"/>
          <w:sz w:val="24"/>
          <w:highlight w:val="none"/>
        </w:rPr>
      </w:pPr>
      <w:r>
        <w:rPr>
          <w:rFonts w:hint="eastAsia" w:ascii="仿宋" w:hAnsi="仿宋" w:eastAsia="仿宋" w:cs="仿宋"/>
          <w:sz w:val="24"/>
          <w:highlight w:val="none"/>
        </w:rPr>
        <w:t>鉴于你方与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（以下简称供应商）于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日签定编号为   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政府采购合同》（以下简称主合同），且依据该合同的约定，供应商应在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日前向你方交纳履约保证金，且可以履约担保函的形式交纳履约保证金。应供应商的申请，我方以保证的方式向你方提供如下履约保证金担保：</w:t>
      </w:r>
    </w:p>
    <w:p w14:paraId="1FE319A6">
      <w:pPr>
        <w:ind w:firstLine="480" w:firstLineChars="200"/>
        <w:rPr>
          <w:rFonts w:ascii="仿宋" w:hAnsi="仿宋" w:eastAsia="仿宋" w:cs="仿宋"/>
          <w:sz w:val="24"/>
          <w:highlight w:val="none"/>
        </w:rPr>
      </w:pPr>
      <w:bookmarkStart w:id="243" w:name="_Toc16807"/>
      <w:r>
        <w:rPr>
          <w:rFonts w:hint="eastAsia" w:ascii="仿宋" w:hAnsi="仿宋" w:eastAsia="仿宋" w:cs="仿宋"/>
          <w:sz w:val="24"/>
          <w:highlight w:val="none"/>
        </w:rPr>
        <w:t>一、保证责任的情形及保证金额</w:t>
      </w:r>
      <w:bookmarkEnd w:id="243"/>
    </w:p>
    <w:p w14:paraId="3FA58621">
      <w:pPr>
        <w:ind w:firstLine="480" w:firstLineChars="200"/>
        <w:rPr>
          <w:rFonts w:ascii="仿宋" w:hAnsi="仿宋" w:eastAsia="仿宋" w:cs="仿宋"/>
          <w:sz w:val="24"/>
          <w:highlight w:val="none"/>
        </w:rPr>
      </w:pPr>
      <w:r>
        <w:rPr>
          <w:rFonts w:hint="eastAsia" w:ascii="仿宋" w:hAnsi="仿宋" w:eastAsia="仿宋" w:cs="仿宋"/>
          <w:sz w:val="24"/>
          <w:highlight w:val="none"/>
        </w:rPr>
        <w:t>（一）在供应商出现下列情形之一时，我方承担保证责任：</w:t>
      </w:r>
    </w:p>
    <w:p w14:paraId="02C42FCC">
      <w:pPr>
        <w:ind w:firstLine="480" w:firstLineChars="200"/>
        <w:rPr>
          <w:rFonts w:ascii="仿宋" w:hAnsi="仿宋" w:eastAsia="仿宋" w:cs="仿宋"/>
          <w:sz w:val="24"/>
          <w:highlight w:val="none"/>
        </w:rPr>
      </w:pPr>
      <w:r>
        <w:rPr>
          <w:rFonts w:hint="eastAsia" w:ascii="仿宋" w:hAnsi="仿宋" w:eastAsia="仿宋" w:cs="仿宋"/>
          <w:sz w:val="24"/>
          <w:highlight w:val="none"/>
        </w:rPr>
        <w:t>1．将中标项目转让给他人，或者在响应文件中未说明，且未经采购招标机构人同意，将中标项目分包给他人的；</w:t>
      </w:r>
    </w:p>
    <w:p w14:paraId="3B29BB2B">
      <w:pPr>
        <w:rPr>
          <w:rFonts w:ascii="仿宋" w:hAnsi="仿宋" w:eastAsia="仿宋" w:cs="仿宋"/>
          <w:sz w:val="24"/>
          <w:highlight w:val="none"/>
        </w:rPr>
      </w:pPr>
      <w:r>
        <w:rPr>
          <w:rFonts w:hint="eastAsia" w:ascii="仿宋" w:hAnsi="仿宋" w:eastAsia="仿宋" w:cs="仿宋"/>
          <w:sz w:val="24"/>
          <w:highlight w:val="none"/>
        </w:rPr>
        <w:t>　　</w:t>
      </w:r>
      <w:bookmarkStart w:id="244" w:name="_Toc2434"/>
      <w:bookmarkStart w:id="245" w:name="_Toc806"/>
      <w:bookmarkStart w:id="246" w:name="_Toc30650"/>
      <w:r>
        <w:rPr>
          <w:rFonts w:hint="eastAsia" w:ascii="仿宋" w:hAnsi="仿宋" w:eastAsia="仿宋" w:cs="仿宋"/>
          <w:sz w:val="24"/>
          <w:highlight w:val="none"/>
        </w:rPr>
        <w:t>2．主合同约定的应当缴纳履约保证金的情形:</w:t>
      </w:r>
      <w:bookmarkEnd w:id="244"/>
      <w:bookmarkEnd w:id="245"/>
      <w:bookmarkEnd w:id="246"/>
      <w:r>
        <w:rPr>
          <w:rFonts w:hint="eastAsia" w:ascii="仿宋" w:hAnsi="仿宋" w:eastAsia="仿宋" w:cs="仿宋"/>
          <w:sz w:val="24"/>
          <w:highlight w:val="none"/>
        </w:rPr>
        <w:t xml:space="preserve"> </w:t>
      </w:r>
    </w:p>
    <w:p w14:paraId="68F72610">
      <w:pPr>
        <w:ind w:firstLine="480" w:firstLineChars="200"/>
        <w:rPr>
          <w:rFonts w:ascii="仿宋" w:hAnsi="仿宋" w:eastAsia="仿宋" w:cs="仿宋"/>
          <w:sz w:val="24"/>
          <w:highlight w:val="none"/>
        </w:rPr>
      </w:pPr>
      <w:r>
        <w:rPr>
          <w:rFonts w:hint="eastAsia" w:ascii="仿宋" w:hAnsi="仿宋" w:eastAsia="仿宋" w:cs="仿宋"/>
          <w:sz w:val="24"/>
          <w:highlight w:val="none"/>
        </w:rPr>
        <w:t>（1）未按主合同约定的质量、数量和期限供应货物/提供服务/完成工程的；</w:t>
      </w:r>
    </w:p>
    <w:p w14:paraId="63D1D0DA">
      <w:pPr>
        <w:ind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3447B554">
      <w:pPr>
        <w:ind w:firstLine="480" w:firstLineChars="200"/>
        <w:rPr>
          <w:rFonts w:ascii="仿宋" w:hAnsi="仿宋" w:eastAsia="仿宋" w:cs="仿宋"/>
          <w:sz w:val="24"/>
          <w:highlight w:val="none"/>
        </w:rPr>
      </w:pPr>
      <w:r>
        <w:rPr>
          <w:rFonts w:hint="eastAsia" w:ascii="仿宋" w:hAnsi="仿宋" w:eastAsia="仿宋" w:cs="仿宋"/>
          <w:sz w:val="24"/>
          <w:highlight w:val="none"/>
        </w:rPr>
        <w:t>（二）我方的保证范围是主合同约定的合同价款总额的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%数额为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），币种为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。（即主合同履约保证金金额）</w:t>
      </w:r>
    </w:p>
    <w:p w14:paraId="6382FF0A">
      <w:pPr>
        <w:ind w:firstLine="480" w:firstLineChars="200"/>
        <w:rPr>
          <w:rFonts w:ascii="仿宋" w:hAnsi="仿宋" w:eastAsia="仿宋" w:cs="仿宋"/>
          <w:sz w:val="24"/>
          <w:highlight w:val="none"/>
        </w:rPr>
      </w:pPr>
      <w:bookmarkStart w:id="247" w:name="_Toc16733"/>
      <w:r>
        <w:rPr>
          <w:rFonts w:hint="eastAsia" w:ascii="仿宋" w:hAnsi="仿宋" w:eastAsia="仿宋" w:cs="仿宋"/>
          <w:sz w:val="24"/>
          <w:highlight w:val="none"/>
        </w:rPr>
        <w:t>二、保证的方式及保证期间</w:t>
      </w:r>
      <w:bookmarkEnd w:id="247"/>
    </w:p>
    <w:p w14:paraId="2380844E">
      <w:pPr>
        <w:ind w:firstLine="480" w:firstLineChars="200"/>
        <w:rPr>
          <w:rFonts w:ascii="仿宋" w:hAnsi="仿宋" w:eastAsia="仿宋" w:cs="仿宋"/>
          <w:sz w:val="24"/>
          <w:highlight w:val="none"/>
        </w:rPr>
      </w:pPr>
      <w:r>
        <w:rPr>
          <w:rFonts w:hint="eastAsia" w:ascii="仿宋" w:hAnsi="仿宋" w:eastAsia="仿宋" w:cs="仿宋"/>
          <w:sz w:val="24"/>
          <w:highlight w:val="none"/>
        </w:rPr>
        <w:t>我方保证的方式为：连带责任保证。</w:t>
      </w:r>
    </w:p>
    <w:p w14:paraId="39DDF11B">
      <w:pPr>
        <w:ind w:firstLine="480" w:firstLineChars="200"/>
        <w:rPr>
          <w:rFonts w:ascii="仿宋" w:hAnsi="仿宋" w:eastAsia="仿宋" w:cs="仿宋"/>
          <w:sz w:val="24"/>
          <w:highlight w:val="none"/>
        </w:rPr>
      </w:pPr>
      <w:r>
        <w:rPr>
          <w:rFonts w:hint="eastAsia" w:ascii="仿宋" w:hAnsi="仿宋" w:eastAsia="仿宋" w:cs="仿宋"/>
          <w:sz w:val="24"/>
          <w:highlight w:val="none"/>
        </w:rPr>
        <w:t>我方保证的期间为：自本合同生效之日起至供应商按照主合同约定的供货/完工期限届满后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日内。</w:t>
      </w:r>
    </w:p>
    <w:p w14:paraId="18F19EA7">
      <w:pPr>
        <w:ind w:firstLine="480" w:firstLineChars="200"/>
        <w:rPr>
          <w:rFonts w:ascii="仿宋" w:hAnsi="仿宋" w:eastAsia="仿宋" w:cs="仿宋"/>
          <w:sz w:val="24"/>
          <w:highlight w:val="none"/>
        </w:rPr>
      </w:pPr>
      <w:r>
        <w:rPr>
          <w:rFonts w:hint="eastAsia" w:ascii="仿宋" w:hAnsi="仿宋" w:eastAsia="仿宋" w:cs="仿宋"/>
          <w:sz w:val="24"/>
          <w:highlight w:val="none"/>
        </w:rPr>
        <w:t>如果供应商未按主合同约定向贵方供应货物/提供服务/完成工程的，由我方在保证金额内向你方支付上述款项。</w:t>
      </w:r>
    </w:p>
    <w:p w14:paraId="33E13FCB">
      <w:pPr>
        <w:ind w:firstLine="480" w:firstLineChars="200"/>
        <w:rPr>
          <w:rFonts w:ascii="仿宋" w:hAnsi="仿宋" w:eastAsia="仿宋" w:cs="仿宋"/>
          <w:sz w:val="24"/>
          <w:highlight w:val="none"/>
        </w:rPr>
      </w:pPr>
      <w:bookmarkStart w:id="248" w:name="_Toc19668"/>
      <w:r>
        <w:rPr>
          <w:rFonts w:hint="eastAsia" w:ascii="仿宋" w:hAnsi="仿宋" w:eastAsia="仿宋" w:cs="仿宋"/>
          <w:sz w:val="24"/>
          <w:highlight w:val="none"/>
        </w:rPr>
        <w:t>三、承担保证责任的程序</w:t>
      </w:r>
      <w:bookmarkEnd w:id="248"/>
    </w:p>
    <w:p w14:paraId="47E432EE">
      <w:pPr>
        <w:ind w:firstLine="480" w:firstLineChars="200"/>
        <w:rPr>
          <w:rFonts w:ascii="仿宋" w:hAnsi="仿宋" w:eastAsia="仿宋" w:cs="仿宋"/>
          <w:sz w:val="24"/>
          <w:highlight w:val="none"/>
        </w:rPr>
      </w:pPr>
      <w:r>
        <w:rPr>
          <w:rFonts w:hint="eastAsia" w:ascii="仿宋" w:hAnsi="仿宋" w:eastAsia="仿宋" w:cs="仿宋"/>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0D8ABC95">
      <w:pPr>
        <w:ind w:firstLine="480" w:firstLineChars="200"/>
        <w:rPr>
          <w:rFonts w:ascii="仿宋" w:hAnsi="仿宋" w:eastAsia="仿宋" w:cs="仿宋"/>
          <w:sz w:val="24"/>
          <w:highlight w:val="none"/>
        </w:rPr>
      </w:pPr>
      <w:r>
        <w:rPr>
          <w:rFonts w:hint="eastAsia" w:ascii="仿宋" w:hAnsi="仿宋" w:eastAsia="仿宋" w:cs="仿宋"/>
          <w:sz w:val="24"/>
          <w:highlight w:val="none"/>
        </w:rPr>
        <w:t>如果你方与供应商因货物质量问题产生争议，你方还需同时提供</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部门出具的质量检测报告，或经诉讼（仲裁）程序裁决后的裁决书、调解书，本保证人即按照检测结果或裁决书、调解书决定是否承担保证责任。</w:t>
      </w:r>
    </w:p>
    <w:p w14:paraId="7ABE19C2">
      <w:pPr>
        <w:ind w:firstLine="480" w:firstLineChars="200"/>
        <w:rPr>
          <w:rFonts w:ascii="仿宋" w:hAnsi="仿宋" w:eastAsia="仿宋" w:cs="仿宋"/>
          <w:sz w:val="24"/>
          <w:highlight w:val="none"/>
        </w:rPr>
      </w:pPr>
      <w:r>
        <w:rPr>
          <w:rFonts w:hint="eastAsia" w:ascii="仿宋" w:hAnsi="仿宋" w:eastAsia="仿宋" w:cs="仿宋"/>
          <w:sz w:val="24"/>
          <w:highlight w:val="none"/>
        </w:rPr>
        <w:t>2． 我方收到你方的书面索赔通知及相应证明材料，在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工作日内进行核定后按照本保函的承诺承担保证责任。</w:t>
      </w:r>
    </w:p>
    <w:p w14:paraId="3E55545A">
      <w:pPr>
        <w:ind w:firstLine="480" w:firstLineChars="200"/>
        <w:rPr>
          <w:rFonts w:ascii="仿宋" w:hAnsi="仿宋" w:eastAsia="仿宋" w:cs="仿宋"/>
          <w:sz w:val="24"/>
          <w:highlight w:val="none"/>
        </w:rPr>
      </w:pPr>
      <w:bookmarkStart w:id="249" w:name="_Toc11641"/>
      <w:r>
        <w:rPr>
          <w:rFonts w:hint="eastAsia" w:ascii="仿宋" w:hAnsi="仿宋" w:eastAsia="仿宋" w:cs="仿宋"/>
          <w:sz w:val="24"/>
          <w:highlight w:val="none"/>
        </w:rPr>
        <w:t>四、保证责任的终止</w:t>
      </w:r>
      <w:bookmarkEnd w:id="249"/>
    </w:p>
    <w:p w14:paraId="4A892F8E">
      <w:pPr>
        <w:ind w:firstLine="480" w:firstLineChars="200"/>
        <w:rPr>
          <w:rFonts w:ascii="仿宋" w:hAnsi="仿宋" w:eastAsia="仿宋" w:cs="仿宋"/>
          <w:sz w:val="24"/>
          <w:highlight w:val="none"/>
        </w:rPr>
      </w:pPr>
      <w:r>
        <w:rPr>
          <w:rFonts w:hint="eastAsia" w:ascii="仿宋" w:hAnsi="仿宋" w:eastAsia="仿宋" w:cs="仿宋"/>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83438AD">
      <w:pPr>
        <w:ind w:firstLine="480" w:firstLineChars="200"/>
        <w:rPr>
          <w:rFonts w:ascii="仿宋" w:hAnsi="仿宋" w:eastAsia="仿宋" w:cs="仿宋"/>
          <w:sz w:val="24"/>
          <w:highlight w:val="none"/>
        </w:rPr>
      </w:pPr>
      <w:r>
        <w:rPr>
          <w:rFonts w:hint="eastAsia" w:ascii="仿宋" w:hAnsi="仿宋" w:eastAsia="仿宋" w:cs="仿宋"/>
          <w:sz w:val="24"/>
          <w:highlight w:val="none"/>
        </w:rPr>
        <w:t>2．我方按照本保函向你方履行了保证责任后，自我方向你方支付款项（支付款项从我方账户划出）之日起，保证责任即终止。</w:t>
      </w:r>
    </w:p>
    <w:p w14:paraId="1F61CDE6">
      <w:pPr>
        <w:ind w:firstLine="480" w:firstLineChars="200"/>
        <w:rPr>
          <w:rFonts w:ascii="仿宋" w:hAnsi="仿宋" w:eastAsia="仿宋" w:cs="仿宋"/>
          <w:sz w:val="24"/>
          <w:highlight w:val="none"/>
        </w:rPr>
      </w:pPr>
      <w:r>
        <w:rPr>
          <w:rFonts w:hint="eastAsia" w:ascii="仿宋" w:hAnsi="仿宋" w:eastAsia="仿宋" w:cs="仿宋"/>
          <w:sz w:val="24"/>
          <w:highlight w:val="none"/>
        </w:rPr>
        <w:t>3．按照法律法规的规定或出现应终止我方保证责任的其它情形的，我方在本保函项下的保证责任亦终止。</w:t>
      </w:r>
    </w:p>
    <w:p w14:paraId="19A80364">
      <w:pPr>
        <w:ind w:firstLine="480" w:firstLineChars="200"/>
        <w:rPr>
          <w:rFonts w:ascii="仿宋" w:hAnsi="仿宋" w:eastAsia="仿宋" w:cs="仿宋"/>
          <w:sz w:val="24"/>
          <w:highlight w:val="none"/>
        </w:rPr>
      </w:pPr>
      <w:r>
        <w:rPr>
          <w:rFonts w:hint="eastAsia" w:ascii="仿宋" w:hAnsi="仿宋" w:eastAsia="仿宋" w:cs="仿宋"/>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17BD9CE3">
      <w:pPr>
        <w:ind w:firstLine="480" w:firstLineChars="200"/>
        <w:rPr>
          <w:rFonts w:ascii="仿宋" w:hAnsi="仿宋" w:eastAsia="仿宋" w:cs="仿宋"/>
          <w:sz w:val="24"/>
          <w:highlight w:val="none"/>
        </w:rPr>
      </w:pPr>
      <w:bookmarkStart w:id="250" w:name="_Toc3542"/>
      <w:r>
        <w:rPr>
          <w:rFonts w:hint="eastAsia" w:ascii="仿宋" w:hAnsi="仿宋" w:eastAsia="仿宋" w:cs="仿宋"/>
          <w:sz w:val="24"/>
          <w:highlight w:val="none"/>
        </w:rPr>
        <w:t>五、免责条款</w:t>
      </w:r>
      <w:bookmarkEnd w:id="250"/>
    </w:p>
    <w:p w14:paraId="4CA07CEA">
      <w:pPr>
        <w:ind w:firstLine="480" w:firstLineChars="200"/>
        <w:rPr>
          <w:rFonts w:ascii="仿宋" w:hAnsi="仿宋" w:eastAsia="仿宋" w:cs="仿宋"/>
          <w:sz w:val="24"/>
          <w:highlight w:val="none"/>
        </w:rPr>
      </w:pPr>
      <w:r>
        <w:rPr>
          <w:rFonts w:hint="eastAsia" w:ascii="仿宋" w:hAnsi="仿宋" w:eastAsia="仿宋" w:cs="仿宋"/>
          <w:sz w:val="24"/>
          <w:highlight w:val="none"/>
        </w:rPr>
        <w:t>1．因你方违反主合同约定致使供应商不能履行义务的，我方不承担保证责任。</w:t>
      </w:r>
    </w:p>
    <w:p w14:paraId="6A375C06">
      <w:pPr>
        <w:ind w:firstLine="480" w:firstLineChars="200"/>
        <w:rPr>
          <w:rFonts w:ascii="仿宋" w:hAnsi="仿宋" w:eastAsia="仿宋" w:cs="仿宋"/>
          <w:sz w:val="24"/>
          <w:highlight w:val="none"/>
        </w:rPr>
      </w:pPr>
      <w:r>
        <w:rPr>
          <w:rFonts w:hint="eastAsia" w:ascii="仿宋" w:hAnsi="仿宋" w:eastAsia="仿宋" w:cs="仿宋"/>
          <w:sz w:val="24"/>
          <w:highlight w:val="none"/>
        </w:rPr>
        <w:t>2．依照法律法规的规定或你方与供应商的另行约定，全部或者部分免除供应商应缴纳的保证金义务的，我方亦免除相应的保证责任。</w:t>
      </w:r>
    </w:p>
    <w:p w14:paraId="3B7E7D39">
      <w:pPr>
        <w:ind w:firstLine="480" w:firstLineChars="200"/>
        <w:rPr>
          <w:rFonts w:ascii="仿宋" w:hAnsi="仿宋" w:eastAsia="仿宋" w:cs="仿宋"/>
          <w:sz w:val="24"/>
          <w:highlight w:val="none"/>
        </w:rPr>
      </w:pPr>
      <w:r>
        <w:rPr>
          <w:rFonts w:hint="eastAsia" w:ascii="仿宋" w:hAnsi="仿宋" w:eastAsia="仿宋" w:cs="仿宋"/>
          <w:sz w:val="24"/>
          <w:highlight w:val="none"/>
        </w:rPr>
        <w:t>3．因不可抗力造成供应商不能履行供货义务的，我方不承担保证责任。</w:t>
      </w:r>
    </w:p>
    <w:p w14:paraId="4E6F3AEF">
      <w:pPr>
        <w:ind w:firstLine="480" w:firstLineChars="200"/>
        <w:rPr>
          <w:rFonts w:ascii="仿宋" w:hAnsi="仿宋" w:eastAsia="仿宋" w:cs="仿宋"/>
          <w:sz w:val="24"/>
          <w:highlight w:val="none"/>
        </w:rPr>
      </w:pPr>
      <w:bookmarkStart w:id="251" w:name="_Toc908"/>
      <w:r>
        <w:rPr>
          <w:rFonts w:hint="eastAsia" w:ascii="仿宋" w:hAnsi="仿宋" w:eastAsia="仿宋" w:cs="仿宋"/>
          <w:sz w:val="24"/>
          <w:highlight w:val="none"/>
        </w:rPr>
        <w:t>六、争议的解决</w:t>
      </w:r>
      <w:bookmarkEnd w:id="251"/>
    </w:p>
    <w:p w14:paraId="344112FB">
      <w:pPr>
        <w:ind w:firstLine="480" w:firstLineChars="200"/>
        <w:rPr>
          <w:rFonts w:ascii="仿宋" w:hAnsi="仿宋" w:eastAsia="仿宋" w:cs="仿宋"/>
          <w:sz w:val="24"/>
          <w:highlight w:val="none"/>
        </w:rPr>
      </w:pPr>
      <w:r>
        <w:rPr>
          <w:rFonts w:hint="eastAsia" w:ascii="仿宋" w:hAnsi="仿宋" w:eastAsia="仿宋" w:cs="仿宋"/>
          <w:sz w:val="24"/>
          <w:highlight w:val="none"/>
        </w:rPr>
        <w:t>因本保函发生的纠纷，由你我双方协商解决，协商不成的，通过诉讼程序解决，诉讼管辖地法院为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法院。</w:t>
      </w:r>
    </w:p>
    <w:p w14:paraId="0CC3B549">
      <w:pPr>
        <w:ind w:firstLine="480" w:firstLineChars="200"/>
        <w:rPr>
          <w:rFonts w:ascii="仿宋" w:hAnsi="仿宋" w:eastAsia="仿宋" w:cs="仿宋"/>
          <w:sz w:val="24"/>
          <w:highlight w:val="none"/>
        </w:rPr>
      </w:pPr>
      <w:bookmarkStart w:id="252" w:name="_Toc17651"/>
      <w:r>
        <w:rPr>
          <w:rFonts w:hint="eastAsia" w:ascii="仿宋" w:hAnsi="仿宋" w:eastAsia="仿宋" w:cs="仿宋"/>
          <w:sz w:val="24"/>
          <w:highlight w:val="none"/>
        </w:rPr>
        <w:t>七、保函的生效</w:t>
      </w:r>
      <w:bookmarkEnd w:id="252"/>
    </w:p>
    <w:p w14:paraId="1C3A52F5">
      <w:pPr>
        <w:ind w:firstLine="480" w:firstLineChars="200"/>
        <w:rPr>
          <w:rFonts w:ascii="仿宋" w:hAnsi="仿宋" w:eastAsia="仿宋" w:cs="仿宋"/>
          <w:sz w:val="24"/>
          <w:highlight w:val="none"/>
        </w:rPr>
      </w:pPr>
      <w:r>
        <w:rPr>
          <w:rFonts w:hint="eastAsia" w:ascii="仿宋" w:hAnsi="仿宋" w:eastAsia="仿宋" w:cs="仿宋"/>
          <w:sz w:val="24"/>
          <w:highlight w:val="none"/>
        </w:rPr>
        <w:t>本保函自我方加盖公章之日起生效。</w:t>
      </w:r>
    </w:p>
    <w:p w14:paraId="166C7632">
      <w:pPr>
        <w:pStyle w:val="17"/>
        <w:rPr>
          <w:rFonts w:ascii="仿宋" w:hAnsi="仿宋" w:eastAsia="仿宋" w:cs="仿宋"/>
          <w:sz w:val="24"/>
          <w:highlight w:val="none"/>
        </w:rPr>
      </w:pPr>
    </w:p>
    <w:p w14:paraId="22A60720">
      <w:pPr>
        <w:pStyle w:val="8"/>
        <w:rPr>
          <w:rFonts w:ascii="仿宋" w:hAnsi="仿宋" w:eastAsia="仿宋" w:cs="仿宋"/>
          <w:highlight w:val="none"/>
        </w:rPr>
      </w:pPr>
    </w:p>
    <w:p w14:paraId="412180C7">
      <w:pPr>
        <w:rPr>
          <w:rFonts w:ascii="仿宋" w:hAnsi="仿宋" w:eastAsia="仿宋" w:cs="仿宋"/>
          <w:sz w:val="24"/>
          <w:highlight w:val="none"/>
        </w:rPr>
      </w:pPr>
    </w:p>
    <w:p w14:paraId="34389E58">
      <w:pPr>
        <w:rPr>
          <w:rFonts w:ascii="仿宋" w:hAnsi="仿宋" w:eastAsia="仿宋" w:cs="仿宋"/>
          <w:sz w:val="24"/>
          <w:highlight w:val="none"/>
        </w:rPr>
      </w:pPr>
      <w:r>
        <w:rPr>
          <w:rFonts w:hint="eastAsia" w:ascii="仿宋" w:hAnsi="仿宋" w:eastAsia="仿宋" w:cs="仿宋"/>
          <w:sz w:val="24"/>
          <w:highlight w:val="none"/>
        </w:rPr>
        <w:t xml:space="preserve">                                      </w:t>
      </w:r>
    </w:p>
    <w:p w14:paraId="612E73E8">
      <w:pPr>
        <w:ind w:firstLine="5400" w:firstLineChars="2250"/>
        <w:rPr>
          <w:rFonts w:ascii="仿宋" w:hAnsi="仿宋" w:eastAsia="仿宋" w:cs="仿宋"/>
          <w:sz w:val="24"/>
          <w:highlight w:val="none"/>
        </w:rPr>
      </w:pPr>
      <w:r>
        <w:rPr>
          <w:rFonts w:hint="eastAsia" w:ascii="仿宋" w:hAnsi="仿宋" w:eastAsia="仿宋" w:cs="仿宋"/>
          <w:sz w:val="24"/>
          <w:highlight w:val="none"/>
        </w:rPr>
        <w:t>保证人：（公章）</w:t>
      </w:r>
    </w:p>
    <w:p w14:paraId="0842BC32">
      <w:pPr>
        <w:rPr>
          <w:rFonts w:ascii="仿宋" w:hAnsi="仿宋" w:eastAsia="仿宋" w:cs="仿宋"/>
          <w:sz w:val="24"/>
          <w:highlight w:val="none"/>
        </w:rPr>
      </w:pPr>
      <w:r>
        <w:rPr>
          <w:rFonts w:hint="eastAsia" w:ascii="仿宋" w:hAnsi="仿宋" w:eastAsia="仿宋" w:cs="仿宋"/>
          <w:sz w:val="24"/>
          <w:highlight w:val="none"/>
        </w:rPr>
        <w:t xml:space="preserve">                   </w:t>
      </w:r>
    </w:p>
    <w:p w14:paraId="7C28D077">
      <w:pPr>
        <w:rPr>
          <w:rFonts w:ascii="仿宋" w:hAnsi="仿宋" w:eastAsia="仿宋" w:cs="仿宋"/>
          <w:sz w:val="24"/>
          <w:highlight w:val="none"/>
        </w:rPr>
      </w:pPr>
      <w:r>
        <w:rPr>
          <w:rFonts w:hint="eastAsia" w:ascii="仿宋" w:hAnsi="仿宋" w:eastAsia="仿宋" w:cs="仿宋"/>
          <w:sz w:val="24"/>
          <w:highlight w:val="none"/>
        </w:rPr>
        <w:t xml:space="preserve">                                                   年     月      日</w:t>
      </w:r>
    </w:p>
    <w:p w14:paraId="0C66FB46">
      <w:pPr>
        <w:rPr>
          <w:rFonts w:ascii="仿宋" w:hAnsi="仿宋" w:eastAsia="仿宋" w:cs="仿宋"/>
          <w:sz w:val="24"/>
          <w:highlight w:val="none"/>
        </w:rPr>
      </w:pPr>
    </w:p>
    <w:p w14:paraId="58486385">
      <w:pPr>
        <w:pStyle w:val="22"/>
        <w:ind w:firstLine="0" w:firstLineChars="0"/>
        <w:rPr>
          <w:rFonts w:ascii="仿宋" w:hAnsi="仿宋" w:eastAsia="仿宋" w:cs="仿宋"/>
          <w:b/>
          <w:kern w:val="0"/>
          <w:sz w:val="44"/>
          <w:szCs w:val="44"/>
          <w:highlight w:val="none"/>
        </w:rPr>
      </w:pPr>
    </w:p>
    <w:p w14:paraId="031C4722">
      <w:pPr>
        <w:rPr>
          <w:rFonts w:ascii="仿宋" w:hAnsi="仿宋" w:eastAsia="仿宋" w:cs="仿宋"/>
          <w:b/>
          <w:kern w:val="0"/>
          <w:sz w:val="44"/>
          <w:szCs w:val="44"/>
          <w:highlight w:val="none"/>
        </w:rPr>
      </w:pPr>
    </w:p>
    <w:p w14:paraId="2983675D">
      <w:pPr>
        <w:pStyle w:val="17"/>
        <w:rPr>
          <w:rFonts w:ascii="仿宋" w:hAnsi="仿宋" w:eastAsia="仿宋" w:cs="仿宋"/>
          <w:b/>
          <w:kern w:val="0"/>
          <w:sz w:val="44"/>
          <w:szCs w:val="44"/>
          <w:highlight w:val="none"/>
        </w:rPr>
      </w:pPr>
    </w:p>
    <w:p w14:paraId="2E3641B4">
      <w:pPr>
        <w:pStyle w:val="8"/>
        <w:rPr>
          <w:rFonts w:ascii="仿宋" w:hAnsi="仿宋" w:eastAsia="仿宋" w:cs="仿宋"/>
          <w:b/>
          <w:kern w:val="0"/>
          <w:sz w:val="44"/>
          <w:szCs w:val="44"/>
          <w:highlight w:val="none"/>
        </w:rPr>
      </w:pPr>
    </w:p>
    <w:p w14:paraId="79BD6B73">
      <w:pPr>
        <w:pStyle w:val="22"/>
        <w:ind w:firstLine="442"/>
        <w:rPr>
          <w:rFonts w:ascii="仿宋" w:hAnsi="仿宋" w:eastAsia="仿宋" w:cs="仿宋"/>
          <w:b/>
          <w:kern w:val="0"/>
          <w:sz w:val="44"/>
          <w:szCs w:val="44"/>
          <w:highlight w:val="none"/>
        </w:rPr>
      </w:pPr>
    </w:p>
    <w:p w14:paraId="3A7884EC">
      <w:pPr>
        <w:rPr>
          <w:rFonts w:ascii="仿宋" w:hAnsi="仿宋" w:eastAsia="仿宋" w:cs="仿宋"/>
          <w:b/>
          <w:kern w:val="0"/>
          <w:sz w:val="44"/>
          <w:szCs w:val="44"/>
          <w:highlight w:val="none"/>
        </w:rPr>
      </w:pPr>
    </w:p>
    <w:p w14:paraId="5889ACFA">
      <w:pPr>
        <w:pStyle w:val="17"/>
        <w:rPr>
          <w:rFonts w:ascii="仿宋" w:hAnsi="仿宋" w:eastAsia="仿宋" w:cs="仿宋"/>
          <w:b/>
          <w:kern w:val="0"/>
          <w:sz w:val="44"/>
          <w:szCs w:val="44"/>
          <w:highlight w:val="none"/>
        </w:rPr>
      </w:pPr>
    </w:p>
    <w:p w14:paraId="1C33BB6E">
      <w:pPr>
        <w:pStyle w:val="8"/>
        <w:rPr>
          <w:rFonts w:ascii="仿宋" w:hAnsi="仿宋" w:eastAsia="仿宋" w:cs="仿宋"/>
          <w:highlight w:val="none"/>
        </w:rPr>
      </w:pPr>
    </w:p>
    <w:p w14:paraId="34553309">
      <w:pPr>
        <w:pStyle w:val="22"/>
        <w:ind w:firstLine="240"/>
        <w:rPr>
          <w:rFonts w:ascii="仿宋" w:hAnsi="仿宋" w:eastAsia="仿宋" w:cs="仿宋"/>
          <w:highlight w:val="none"/>
        </w:rPr>
      </w:pPr>
    </w:p>
    <w:p w14:paraId="0036EBB3">
      <w:pPr>
        <w:rPr>
          <w:rFonts w:ascii="仿宋" w:hAnsi="仿宋" w:eastAsia="仿宋" w:cs="仿宋"/>
          <w:highlight w:val="none"/>
        </w:rPr>
      </w:pPr>
    </w:p>
    <w:p w14:paraId="76E948F7">
      <w:pPr>
        <w:pStyle w:val="17"/>
        <w:rPr>
          <w:rFonts w:ascii="仿宋" w:hAnsi="仿宋" w:eastAsia="仿宋" w:cs="仿宋"/>
          <w:highlight w:val="none"/>
        </w:rPr>
      </w:pPr>
    </w:p>
    <w:p w14:paraId="1082F8EF">
      <w:pPr>
        <w:pStyle w:val="2"/>
        <w:tabs>
          <w:tab w:val="left" w:pos="0"/>
        </w:tabs>
        <w:spacing w:before="0" w:after="0" w:line="240" w:lineRule="atLeast"/>
        <w:rPr>
          <w:rFonts w:ascii="仿宋" w:hAnsi="仿宋" w:eastAsia="仿宋" w:cs="仿宋"/>
          <w:sz w:val="44"/>
          <w:szCs w:val="44"/>
          <w:highlight w:val="none"/>
        </w:rPr>
      </w:pPr>
      <w:r>
        <w:rPr>
          <w:rFonts w:hint="eastAsia" w:ascii="仿宋" w:hAnsi="仿宋" w:eastAsia="仿宋" w:cs="仿宋"/>
          <w:sz w:val="24"/>
          <w:szCs w:val="24"/>
          <w:highlight w:val="none"/>
        </w:rPr>
        <w:t xml:space="preserve">   </w:t>
      </w:r>
      <w:bookmarkStart w:id="253" w:name="_Toc22433"/>
      <w:bookmarkStart w:id="254" w:name="_Toc18867"/>
      <w:bookmarkStart w:id="255" w:name="_Toc30862"/>
      <w:bookmarkStart w:id="256" w:name="_Toc11870"/>
      <w:bookmarkStart w:id="257" w:name="_Toc8272"/>
      <w:bookmarkStart w:id="258" w:name="_Toc1687"/>
      <w:bookmarkStart w:id="259" w:name="_Toc15055"/>
      <w:bookmarkStart w:id="260" w:name="_Toc22624"/>
      <w:bookmarkStart w:id="261" w:name="_Toc23258"/>
      <w:bookmarkStart w:id="262" w:name="_Toc2510"/>
      <w:bookmarkStart w:id="263" w:name="_Toc9326"/>
      <w:bookmarkStart w:id="264" w:name="_Toc30544"/>
      <w:bookmarkStart w:id="265" w:name="_Toc17793"/>
      <w:bookmarkStart w:id="266" w:name="_Toc5471"/>
      <w:bookmarkStart w:id="267" w:name="_Toc16162"/>
      <w:bookmarkStart w:id="268" w:name="_Toc28709"/>
      <w:r>
        <w:rPr>
          <w:rFonts w:hint="eastAsia" w:ascii="仿宋" w:hAnsi="仿宋" w:eastAsia="仿宋" w:cs="仿宋"/>
          <w:kern w:val="0"/>
          <w:sz w:val="44"/>
          <w:szCs w:val="44"/>
          <w:highlight w:val="none"/>
        </w:rPr>
        <w:t>第二章</w:t>
      </w:r>
      <w:r>
        <w:rPr>
          <w:rFonts w:hint="eastAsia" w:ascii="仿宋" w:hAnsi="仿宋" w:eastAsia="仿宋" w:cs="仿宋"/>
          <w:sz w:val="44"/>
          <w:szCs w:val="44"/>
          <w:highlight w:val="none"/>
        </w:rPr>
        <w:t xml:space="preserve">  响应文件格式</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03546DB2">
      <w:pPr>
        <w:rPr>
          <w:rFonts w:ascii="仿宋" w:hAnsi="仿宋" w:eastAsia="仿宋" w:cs="仿宋"/>
          <w:highlight w:val="none"/>
        </w:rPr>
      </w:pPr>
    </w:p>
    <w:p w14:paraId="66245899">
      <w:pPr>
        <w:pStyle w:val="3"/>
        <w:spacing w:before="0" w:line="240" w:lineRule="atLeast"/>
        <w:ind w:left="1079" w:leftChars="257" w:hanging="540"/>
        <w:rPr>
          <w:rFonts w:ascii="仿宋" w:hAnsi="仿宋" w:eastAsia="仿宋" w:cs="仿宋"/>
          <w:sz w:val="24"/>
          <w:highlight w:val="none"/>
        </w:rPr>
      </w:pPr>
      <w:bookmarkStart w:id="269" w:name="_Toc518923107"/>
    </w:p>
    <w:p w14:paraId="0F6EA83E">
      <w:pPr>
        <w:pStyle w:val="3"/>
        <w:spacing w:before="0" w:line="240" w:lineRule="atLeast"/>
        <w:ind w:left="1079" w:leftChars="257" w:hanging="540"/>
        <w:rPr>
          <w:rFonts w:ascii="仿宋" w:hAnsi="仿宋" w:eastAsia="仿宋" w:cs="仿宋"/>
          <w:sz w:val="24"/>
          <w:highlight w:val="none"/>
        </w:rPr>
      </w:pPr>
      <w:bookmarkStart w:id="270" w:name="_Toc13309"/>
      <w:bookmarkStart w:id="271" w:name="_Toc14784"/>
      <w:bookmarkStart w:id="272" w:name="_Toc4161"/>
      <w:bookmarkStart w:id="273" w:name="_Toc21312"/>
      <w:bookmarkStart w:id="274" w:name="_Toc14363"/>
      <w:bookmarkStart w:id="275" w:name="_Toc25527"/>
      <w:bookmarkStart w:id="276" w:name="_Toc7162"/>
      <w:bookmarkStart w:id="277" w:name="_Toc22627"/>
      <w:bookmarkStart w:id="278" w:name="_Toc10085"/>
      <w:bookmarkStart w:id="279" w:name="_Toc20365"/>
      <w:bookmarkStart w:id="280" w:name="_Toc29859"/>
      <w:bookmarkStart w:id="281" w:name="_Toc11231"/>
      <w:bookmarkStart w:id="282" w:name="_Toc11201"/>
      <w:bookmarkStart w:id="283" w:name="_Toc13714"/>
      <w:bookmarkStart w:id="284" w:name="_Toc24822"/>
      <w:bookmarkStart w:id="285" w:name="_Toc12361"/>
      <w:r>
        <w:rPr>
          <w:rFonts w:hint="eastAsia" w:ascii="仿宋" w:hAnsi="仿宋" w:eastAsia="仿宋" w:cs="仿宋"/>
          <w:sz w:val="24"/>
          <w:highlight w:val="none"/>
        </w:rPr>
        <w:t>第一部分 开标一览表及资格证明文件</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528E8206">
      <w:pPr>
        <w:spacing w:line="288" w:lineRule="auto"/>
        <w:rPr>
          <w:rFonts w:ascii="仿宋" w:hAnsi="仿宋" w:eastAsia="仿宋" w:cs="仿宋"/>
          <w:sz w:val="24"/>
          <w:highlight w:val="none"/>
        </w:rPr>
      </w:pPr>
    </w:p>
    <w:p w14:paraId="5CB16C40">
      <w:pPr>
        <w:spacing w:line="240" w:lineRule="atLeast"/>
        <w:ind w:left="708" w:hanging="708" w:hangingChars="295"/>
        <w:jc w:val="center"/>
        <w:rPr>
          <w:rFonts w:ascii="仿宋" w:hAnsi="仿宋" w:eastAsia="仿宋" w:cs="仿宋"/>
          <w:sz w:val="24"/>
          <w:highlight w:val="none"/>
        </w:rPr>
      </w:pPr>
    </w:p>
    <w:p w14:paraId="4FE43C1E">
      <w:pPr>
        <w:pStyle w:val="12"/>
        <w:numPr>
          <w:ilvl w:val="0"/>
          <w:numId w:val="5"/>
        </w:numPr>
        <w:spacing w:line="288"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开标一览表</w:t>
      </w:r>
    </w:p>
    <w:p w14:paraId="4F93845A">
      <w:pPr>
        <w:pStyle w:val="12"/>
        <w:numPr>
          <w:ilvl w:val="0"/>
          <w:numId w:val="5"/>
        </w:numPr>
        <w:spacing w:line="288"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法人或者非法人组织的营业执照等证明文件</w:t>
      </w:r>
    </w:p>
    <w:p w14:paraId="763503B9">
      <w:pPr>
        <w:pStyle w:val="12"/>
        <w:numPr>
          <w:ilvl w:val="0"/>
          <w:numId w:val="5"/>
        </w:numPr>
        <w:spacing w:line="288"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法定代表人身份证明</w:t>
      </w:r>
    </w:p>
    <w:p w14:paraId="11B5F606">
      <w:pPr>
        <w:pStyle w:val="12"/>
        <w:numPr>
          <w:ilvl w:val="0"/>
          <w:numId w:val="5"/>
        </w:numPr>
        <w:spacing w:line="288"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法定代表人授权委托书</w:t>
      </w:r>
    </w:p>
    <w:p w14:paraId="4D9AB60B">
      <w:pPr>
        <w:pStyle w:val="12"/>
        <w:numPr>
          <w:ilvl w:val="0"/>
          <w:numId w:val="5"/>
        </w:numPr>
        <w:spacing w:line="288"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投标保证金缴纳凭证复印件或银行保函复印件</w:t>
      </w:r>
    </w:p>
    <w:p w14:paraId="0B8842B2">
      <w:pPr>
        <w:pStyle w:val="12"/>
        <w:numPr>
          <w:ilvl w:val="0"/>
          <w:numId w:val="5"/>
        </w:numPr>
        <w:spacing w:line="288"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社会保障资金的缴纳记录</w:t>
      </w:r>
    </w:p>
    <w:p w14:paraId="534C0BC3">
      <w:pPr>
        <w:pStyle w:val="12"/>
        <w:numPr>
          <w:ilvl w:val="0"/>
          <w:numId w:val="5"/>
        </w:numPr>
        <w:spacing w:line="288"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良好的商业信誉和健全的财务会计制度证明材料</w:t>
      </w:r>
    </w:p>
    <w:p w14:paraId="15872593">
      <w:pPr>
        <w:pStyle w:val="12"/>
        <w:numPr>
          <w:ilvl w:val="0"/>
          <w:numId w:val="5"/>
        </w:numPr>
        <w:spacing w:line="288"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依法缴纳税收的证明</w:t>
      </w:r>
    </w:p>
    <w:p w14:paraId="5A386B51">
      <w:pPr>
        <w:pStyle w:val="12"/>
        <w:numPr>
          <w:ilvl w:val="0"/>
          <w:numId w:val="5"/>
        </w:numPr>
        <w:spacing w:line="288"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投标单位（供应商）针对本次项目《反商业贿赂承诺书》</w:t>
      </w:r>
    </w:p>
    <w:p w14:paraId="7E72D01E">
      <w:pPr>
        <w:pStyle w:val="12"/>
        <w:numPr>
          <w:ilvl w:val="0"/>
          <w:numId w:val="5"/>
        </w:numPr>
        <w:spacing w:line="288"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参加政府采购活动前3年内在经营活动中没有重大违法记录的书面声明</w:t>
      </w:r>
    </w:p>
    <w:p w14:paraId="547BD9E6">
      <w:pPr>
        <w:pStyle w:val="12"/>
        <w:numPr>
          <w:ilvl w:val="0"/>
          <w:numId w:val="5"/>
        </w:numPr>
        <w:spacing w:line="288"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供应商须知资料表要求的其他资格证明文件</w:t>
      </w:r>
    </w:p>
    <w:p w14:paraId="71FEACDB">
      <w:pPr>
        <w:pStyle w:val="7"/>
        <w:rPr>
          <w:rFonts w:ascii="仿宋" w:hAnsi="仿宋" w:eastAsia="仿宋" w:cs="仿宋"/>
          <w:highlight w:val="none"/>
        </w:rPr>
      </w:pPr>
    </w:p>
    <w:p w14:paraId="1964F905">
      <w:pPr>
        <w:rPr>
          <w:rFonts w:ascii="仿宋" w:hAnsi="仿宋" w:eastAsia="仿宋" w:cs="仿宋"/>
          <w:sz w:val="24"/>
          <w:highlight w:val="none"/>
        </w:rPr>
      </w:pPr>
    </w:p>
    <w:p w14:paraId="549B8A47">
      <w:pPr>
        <w:pStyle w:val="6"/>
        <w:rPr>
          <w:rFonts w:ascii="仿宋" w:hAnsi="仿宋" w:eastAsia="仿宋" w:cs="仿宋"/>
          <w:highlight w:val="none"/>
        </w:rPr>
      </w:pPr>
    </w:p>
    <w:p w14:paraId="31ABF03E">
      <w:pPr>
        <w:pStyle w:val="7"/>
        <w:rPr>
          <w:rFonts w:ascii="仿宋" w:hAnsi="仿宋" w:eastAsia="仿宋" w:cs="仿宋"/>
          <w:highlight w:val="none"/>
        </w:rPr>
      </w:pPr>
    </w:p>
    <w:p w14:paraId="5434763F">
      <w:pPr>
        <w:rPr>
          <w:rFonts w:ascii="仿宋" w:hAnsi="仿宋" w:eastAsia="仿宋" w:cs="仿宋"/>
          <w:sz w:val="24"/>
          <w:highlight w:val="none"/>
        </w:rPr>
      </w:pPr>
    </w:p>
    <w:p w14:paraId="371FFF2E">
      <w:pPr>
        <w:pStyle w:val="6"/>
        <w:rPr>
          <w:rFonts w:ascii="仿宋" w:hAnsi="仿宋" w:eastAsia="仿宋" w:cs="仿宋"/>
          <w:highlight w:val="none"/>
        </w:rPr>
      </w:pPr>
    </w:p>
    <w:p w14:paraId="30B0B6EC">
      <w:pPr>
        <w:pStyle w:val="7"/>
        <w:rPr>
          <w:rFonts w:ascii="仿宋" w:hAnsi="仿宋" w:eastAsia="仿宋" w:cs="仿宋"/>
          <w:highlight w:val="none"/>
        </w:rPr>
      </w:pPr>
    </w:p>
    <w:p w14:paraId="2DEB7565">
      <w:pPr>
        <w:rPr>
          <w:rFonts w:ascii="仿宋" w:hAnsi="仿宋" w:eastAsia="仿宋" w:cs="仿宋"/>
          <w:sz w:val="24"/>
          <w:highlight w:val="none"/>
        </w:rPr>
      </w:pPr>
    </w:p>
    <w:p w14:paraId="4B2F1F74">
      <w:pPr>
        <w:pStyle w:val="6"/>
        <w:rPr>
          <w:rFonts w:ascii="仿宋" w:hAnsi="仿宋" w:eastAsia="仿宋" w:cs="仿宋"/>
          <w:highlight w:val="none"/>
        </w:rPr>
      </w:pPr>
    </w:p>
    <w:p w14:paraId="5B86638B">
      <w:pPr>
        <w:pStyle w:val="7"/>
        <w:rPr>
          <w:rFonts w:ascii="仿宋" w:hAnsi="仿宋" w:eastAsia="仿宋" w:cs="仿宋"/>
          <w:highlight w:val="none"/>
        </w:rPr>
      </w:pPr>
    </w:p>
    <w:p w14:paraId="0D07FC87">
      <w:pPr>
        <w:rPr>
          <w:rFonts w:ascii="仿宋" w:hAnsi="仿宋" w:eastAsia="仿宋" w:cs="仿宋"/>
          <w:sz w:val="24"/>
          <w:highlight w:val="none"/>
        </w:rPr>
      </w:pPr>
    </w:p>
    <w:p w14:paraId="4E1CF085">
      <w:pPr>
        <w:pStyle w:val="6"/>
        <w:rPr>
          <w:rFonts w:ascii="仿宋" w:hAnsi="仿宋" w:eastAsia="仿宋" w:cs="仿宋"/>
          <w:highlight w:val="none"/>
        </w:rPr>
      </w:pPr>
    </w:p>
    <w:p w14:paraId="37DE6B0A">
      <w:pPr>
        <w:pStyle w:val="7"/>
        <w:rPr>
          <w:rFonts w:ascii="仿宋" w:hAnsi="仿宋" w:eastAsia="仿宋" w:cs="仿宋"/>
          <w:highlight w:val="none"/>
        </w:rPr>
      </w:pPr>
    </w:p>
    <w:p w14:paraId="0323CE22">
      <w:pPr>
        <w:rPr>
          <w:rFonts w:ascii="仿宋" w:hAnsi="仿宋" w:eastAsia="仿宋" w:cs="仿宋"/>
          <w:sz w:val="24"/>
          <w:highlight w:val="none"/>
        </w:rPr>
      </w:pPr>
    </w:p>
    <w:p w14:paraId="6228FA7F">
      <w:pPr>
        <w:pStyle w:val="6"/>
        <w:rPr>
          <w:rFonts w:ascii="仿宋" w:hAnsi="仿宋" w:eastAsia="仿宋" w:cs="仿宋"/>
          <w:highlight w:val="none"/>
        </w:rPr>
      </w:pPr>
    </w:p>
    <w:p w14:paraId="21999E1A">
      <w:pPr>
        <w:pStyle w:val="7"/>
        <w:rPr>
          <w:rFonts w:ascii="仿宋" w:hAnsi="仿宋" w:eastAsia="仿宋" w:cs="仿宋"/>
          <w:highlight w:val="none"/>
        </w:rPr>
      </w:pPr>
    </w:p>
    <w:p w14:paraId="36FC68E4">
      <w:pPr>
        <w:pStyle w:val="7"/>
        <w:rPr>
          <w:rFonts w:ascii="仿宋" w:hAnsi="仿宋" w:eastAsia="仿宋" w:cs="仿宋"/>
          <w:highlight w:val="none"/>
        </w:rPr>
      </w:pPr>
    </w:p>
    <w:p w14:paraId="38F8A0AD">
      <w:pPr>
        <w:rPr>
          <w:rFonts w:ascii="仿宋" w:hAnsi="仿宋" w:eastAsia="仿宋" w:cs="仿宋"/>
          <w:sz w:val="24"/>
          <w:highlight w:val="none"/>
        </w:rPr>
      </w:pPr>
    </w:p>
    <w:p w14:paraId="489BDA02">
      <w:pPr>
        <w:pStyle w:val="5"/>
        <w:numPr>
          <w:ilvl w:val="3"/>
          <w:numId w:val="0"/>
        </w:numPr>
        <w:ind w:left="864"/>
        <w:rPr>
          <w:rFonts w:ascii="仿宋" w:hAnsi="仿宋" w:eastAsia="仿宋" w:cs="仿宋"/>
          <w:highlight w:val="none"/>
        </w:rPr>
      </w:pPr>
    </w:p>
    <w:p w14:paraId="1C236E01">
      <w:pPr>
        <w:pStyle w:val="6"/>
        <w:rPr>
          <w:rFonts w:ascii="仿宋" w:hAnsi="仿宋" w:eastAsia="仿宋" w:cs="仿宋"/>
          <w:highlight w:val="none"/>
        </w:rPr>
      </w:pPr>
    </w:p>
    <w:p w14:paraId="561C74BD">
      <w:pPr>
        <w:pStyle w:val="3"/>
        <w:spacing w:before="0" w:line="288" w:lineRule="auto"/>
        <w:ind w:left="1079" w:leftChars="257" w:hanging="540"/>
        <w:rPr>
          <w:rFonts w:ascii="仿宋" w:hAnsi="仿宋" w:eastAsia="仿宋" w:cs="仿宋"/>
          <w:sz w:val="24"/>
          <w:highlight w:val="none"/>
        </w:rPr>
      </w:pPr>
      <w:bookmarkStart w:id="286" w:name="_Toc14309"/>
      <w:bookmarkStart w:id="287" w:name="_Toc19533"/>
      <w:bookmarkStart w:id="288" w:name="_Toc15802"/>
      <w:bookmarkStart w:id="289" w:name="_Toc515647804"/>
      <w:bookmarkStart w:id="290" w:name="_Toc30524"/>
      <w:bookmarkStart w:id="291" w:name="_Toc16568"/>
      <w:bookmarkStart w:id="292" w:name="_Toc28011"/>
      <w:bookmarkStart w:id="293" w:name="_Toc17577"/>
      <w:bookmarkStart w:id="294" w:name="_Toc29899"/>
      <w:bookmarkStart w:id="295" w:name="_Toc608"/>
      <w:bookmarkStart w:id="296" w:name="_Toc515647805"/>
      <w:r>
        <w:rPr>
          <w:rFonts w:hint="eastAsia" w:ascii="仿宋" w:hAnsi="仿宋" w:eastAsia="仿宋" w:cs="仿宋"/>
          <w:sz w:val="24"/>
          <w:highlight w:val="none"/>
        </w:rPr>
        <w:t>1  开标一览表</w:t>
      </w:r>
      <w:bookmarkEnd w:id="286"/>
      <w:bookmarkEnd w:id="287"/>
      <w:bookmarkEnd w:id="288"/>
      <w:bookmarkEnd w:id="289"/>
      <w:bookmarkEnd w:id="290"/>
      <w:bookmarkEnd w:id="291"/>
      <w:bookmarkEnd w:id="292"/>
    </w:p>
    <w:p w14:paraId="77731713">
      <w:pPr>
        <w:pStyle w:val="12"/>
        <w:tabs>
          <w:tab w:val="left" w:pos="5580"/>
        </w:tabs>
        <w:spacing w:line="288" w:lineRule="auto"/>
        <w:ind w:left="268" w:leftChars="128"/>
        <w:rPr>
          <w:rFonts w:ascii="仿宋" w:hAnsi="仿宋" w:eastAsia="仿宋" w:cs="仿宋"/>
          <w:sz w:val="24"/>
          <w:highlight w:val="none"/>
        </w:rPr>
      </w:pPr>
    </w:p>
    <w:p w14:paraId="30785FDC">
      <w:pPr>
        <w:pStyle w:val="12"/>
        <w:tabs>
          <w:tab w:val="left" w:pos="5580"/>
        </w:tabs>
        <w:spacing w:line="288" w:lineRule="auto"/>
        <w:ind w:left="268" w:leftChars="128"/>
        <w:rPr>
          <w:rFonts w:ascii="仿宋" w:hAnsi="仿宋" w:eastAsia="仿宋" w:cs="仿宋"/>
          <w:sz w:val="24"/>
          <w:szCs w:val="24"/>
          <w:highlight w:val="none"/>
        </w:rPr>
      </w:pPr>
    </w:p>
    <w:p w14:paraId="03D85039">
      <w:pPr>
        <w:pStyle w:val="17"/>
        <w:spacing w:line="288" w:lineRule="auto"/>
        <w:rPr>
          <w:rFonts w:ascii="仿宋" w:hAnsi="仿宋" w:eastAsia="仿宋" w:cs="仿宋"/>
          <w:sz w:val="24"/>
          <w:highlight w:val="none"/>
        </w:rPr>
      </w:pPr>
      <w:r>
        <w:rPr>
          <w:rFonts w:hint="eastAsia" w:ascii="仿宋" w:hAnsi="仿宋" w:eastAsia="仿宋" w:cs="仿宋"/>
          <w:sz w:val="24"/>
          <w:highlight w:val="none"/>
        </w:rPr>
        <w:t>项目名称：</w:t>
      </w:r>
    </w:p>
    <w:p w14:paraId="33CAA2DC">
      <w:pPr>
        <w:pStyle w:val="17"/>
        <w:spacing w:line="288" w:lineRule="auto"/>
        <w:rPr>
          <w:rFonts w:ascii="仿宋" w:hAnsi="仿宋" w:eastAsia="仿宋" w:cs="仿宋"/>
          <w:sz w:val="24"/>
          <w:highlight w:val="none"/>
        </w:rPr>
      </w:pPr>
      <w:r>
        <w:rPr>
          <w:rFonts w:hint="eastAsia" w:ascii="仿宋" w:hAnsi="仿宋" w:eastAsia="仿宋" w:cs="仿宋"/>
          <w:sz w:val="24"/>
          <w:highlight w:val="none"/>
        </w:rPr>
        <w:t>项目编号：</w:t>
      </w:r>
    </w:p>
    <w:p w14:paraId="2E532729">
      <w:pPr>
        <w:pStyle w:val="17"/>
        <w:jc w:val="right"/>
        <w:rPr>
          <w:rFonts w:ascii="仿宋" w:hAnsi="仿宋" w:eastAsia="仿宋" w:cs="仿宋"/>
          <w:sz w:val="24"/>
          <w:highlight w:val="none"/>
        </w:rPr>
      </w:pPr>
      <w:r>
        <w:rPr>
          <w:rFonts w:hint="eastAsia" w:ascii="仿宋" w:hAnsi="仿宋" w:eastAsia="仿宋" w:cs="仿宋"/>
          <w:highlight w:val="none"/>
        </w:rPr>
        <w:t>单位：人民币元</w:t>
      </w:r>
    </w:p>
    <w:p w14:paraId="01A8181A">
      <w:pPr>
        <w:pStyle w:val="17"/>
        <w:rPr>
          <w:rFonts w:ascii="仿宋" w:hAnsi="仿宋" w:eastAsia="仿宋" w:cs="仿宋"/>
          <w:highlight w:val="none"/>
        </w:rPr>
      </w:pPr>
    </w:p>
    <w:tbl>
      <w:tblPr>
        <w:tblStyle w:val="23"/>
        <w:tblW w:w="9364" w:type="dxa"/>
        <w:tblInd w:w="-61" w:type="dxa"/>
        <w:tblLayout w:type="fixed"/>
        <w:tblCellMar>
          <w:top w:w="0" w:type="dxa"/>
          <w:left w:w="0" w:type="dxa"/>
          <w:bottom w:w="0" w:type="dxa"/>
          <w:right w:w="0" w:type="dxa"/>
        </w:tblCellMar>
      </w:tblPr>
      <w:tblGrid>
        <w:gridCol w:w="1135"/>
        <w:gridCol w:w="3037"/>
        <w:gridCol w:w="1436"/>
        <w:gridCol w:w="1182"/>
        <w:gridCol w:w="1230"/>
        <w:gridCol w:w="1344"/>
      </w:tblGrid>
      <w:tr w14:paraId="7A969B95">
        <w:tblPrEx>
          <w:tblCellMar>
            <w:top w:w="0" w:type="dxa"/>
            <w:left w:w="0" w:type="dxa"/>
            <w:bottom w:w="0" w:type="dxa"/>
            <w:right w:w="0" w:type="dxa"/>
          </w:tblCellMar>
        </w:tblPrEx>
        <w:trPr>
          <w:trHeight w:val="662" w:hRule="atLeast"/>
        </w:trPr>
        <w:tc>
          <w:tcPr>
            <w:tcW w:w="1135" w:type="dxa"/>
            <w:tcBorders>
              <w:top w:val="single" w:color="auto" w:sz="4" w:space="0"/>
              <w:left w:val="single" w:color="auto" w:sz="4" w:space="0"/>
              <w:bottom w:val="single" w:color="auto" w:sz="8" w:space="0"/>
              <w:right w:val="single" w:color="auto" w:sz="4" w:space="0"/>
            </w:tcBorders>
            <w:vAlign w:val="center"/>
          </w:tcPr>
          <w:p w14:paraId="3C399BB5">
            <w:pPr>
              <w:tabs>
                <w:tab w:val="left" w:pos="5580"/>
              </w:tabs>
              <w:spacing w:line="240" w:lineRule="atLeast"/>
              <w:ind w:right="-199"/>
              <w:rPr>
                <w:rFonts w:ascii="仿宋" w:hAnsi="仿宋" w:eastAsia="仿宋" w:cs="仿宋"/>
                <w:sz w:val="24"/>
                <w:highlight w:val="none"/>
              </w:rPr>
            </w:pPr>
            <w:r>
              <w:rPr>
                <w:rFonts w:hint="eastAsia" w:ascii="仿宋" w:hAnsi="仿宋" w:eastAsia="仿宋" w:cs="仿宋"/>
                <w:sz w:val="24"/>
                <w:highlight w:val="none"/>
              </w:rPr>
              <w:t>项目名称</w:t>
            </w:r>
          </w:p>
        </w:tc>
        <w:tc>
          <w:tcPr>
            <w:tcW w:w="3037" w:type="dxa"/>
            <w:tcBorders>
              <w:top w:val="single" w:color="auto" w:sz="4" w:space="0"/>
              <w:left w:val="single" w:color="auto" w:sz="8" w:space="0"/>
              <w:bottom w:val="single" w:color="auto" w:sz="8" w:space="0"/>
              <w:right w:val="single" w:color="auto" w:sz="4" w:space="0"/>
            </w:tcBorders>
            <w:vAlign w:val="center"/>
          </w:tcPr>
          <w:p w14:paraId="339D981A">
            <w:pPr>
              <w:tabs>
                <w:tab w:val="left" w:pos="5580"/>
              </w:tabs>
              <w:spacing w:line="240" w:lineRule="atLeast"/>
              <w:ind w:right="-199"/>
              <w:rPr>
                <w:rFonts w:ascii="仿宋" w:hAnsi="仿宋" w:eastAsia="仿宋" w:cs="仿宋"/>
                <w:sz w:val="24"/>
                <w:highlight w:val="none"/>
              </w:rPr>
            </w:pPr>
            <w:r>
              <w:rPr>
                <w:rFonts w:hint="eastAsia" w:ascii="仿宋" w:hAnsi="仿宋" w:eastAsia="仿宋" w:cs="仿宋"/>
                <w:sz w:val="24"/>
                <w:highlight w:val="none"/>
              </w:rPr>
              <w:t>投标报价（元）</w:t>
            </w:r>
          </w:p>
        </w:tc>
        <w:tc>
          <w:tcPr>
            <w:tcW w:w="1436" w:type="dxa"/>
            <w:tcBorders>
              <w:top w:val="single" w:color="auto" w:sz="8" w:space="0"/>
              <w:left w:val="nil"/>
              <w:bottom w:val="single" w:color="auto" w:sz="8" w:space="0"/>
              <w:right w:val="single" w:color="auto" w:sz="4" w:space="0"/>
            </w:tcBorders>
            <w:vAlign w:val="center"/>
          </w:tcPr>
          <w:p w14:paraId="49A9727F">
            <w:pPr>
              <w:tabs>
                <w:tab w:val="left" w:pos="5580"/>
              </w:tabs>
              <w:spacing w:line="240" w:lineRule="atLeast"/>
              <w:ind w:right="-199"/>
              <w:jc w:val="center"/>
              <w:rPr>
                <w:rFonts w:ascii="仿宋" w:hAnsi="仿宋" w:eastAsia="仿宋" w:cs="仿宋"/>
                <w:sz w:val="24"/>
                <w:highlight w:val="none"/>
              </w:rPr>
            </w:pPr>
            <w:r>
              <w:rPr>
                <w:rFonts w:hint="eastAsia" w:ascii="仿宋" w:hAnsi="仿宋" w:eastAsia="仿宋" w:cs="仿宋"/>
                <w:sz w:val="24"/>
                <w:highlight w:val="none"/>
              </w:rPr>
              <w:t>投标保证金</w:t>
            </w:r>
          </w:p>
        </w:tc>
        <w:tc>
          <w:tcPr>
            <w:tcW w:w="1182" w:type="dxa"/>
            <w:tcBorders>
              <w:top w:val="single" w:color="auto" w:sz="8" w:space="0"/>
              <w:left w:val="nil"/>
              <w:bottom w:val="single" w:color="auto" w:sz="8" w:space="0"/>
              <w:right w:val="single" w:color="auto" w:sz="4" w:space="0"/>
            </w:tcBorders>
            <w:vAlign w:val="center"/>
          </w:tcPr>
          <w:p w14:paraId="7C8A9666">
            <w:pPr>
              <w:tabs>
                <w:tab w:val="left" w:pos="558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服务期</w:t>
            </w:r>
          </w:p>
        </w:tc>
        <w:tc>
          <w:tcPr>
            <w:tcW w:w="1230" w:type="dxa"/>
            <w:tcBorders>
              <w:top w:val="single" w:color="auto" w:sz="8" w:space="0"/>
              <w:left w:val="nil"/>
              <w:bottom w:val="single" w:color="auto" w:sz="8" w:space="0"/>
              <w:right w:val="single" w:color="auto" w:sz="4" w:space="0"/>
            </w:tcBorders>
            <w:vAlign w:val="center"/>
          </w:tcPr>
          <w:p w14:paraId="541B625F">
            <w:pPr>
              <w:tabs>
                <w:tab w:val="left" w:pos="5580"/>
              </w:tabs>
              <w:spacing w:line="240" w:lineRule="atLeast"/>
              <w:rPr>
                <w:rFonts w:ascii="仿宋" w:hAnsi="仿宋" w:eastAsia="仿宋" w:cs="仿宋"/>
                <w:sz w:val="24"/>
                <w:highlight w:val="none"/>
              </w:rPr>
            </w:pPr>
            <w:r>
              <w:rPr>
                <w:rFonts w:hint="eastAsia" w:ascii="仿宋" w:hAnsi="仿宋" w:eastAsia="仿宋" w:cs="仿宋"/>
                <w:sz w:val="24"/>
                <w:highlight w:val="none"/>
              </w:rPr>
              <w:t>履约地点</w:t>
            </w:r>
          </w:p>
        </w:tc>
        <w:tc>
          <w:tcPr>
            <w:tcW w:w="1344" w:type="dxa"/>
            <w:tcBorders>
              <w:top w:val="single" w:color="auto" w:sz="8" w:space="0"/>
              <w:left w:val="single" w:color="auto" w:sz="4" w:space="0"/>
              <w:bottom w:val="single" w:color="auto" w:sz="8" w:space="0"/>
              <w:right w:val="single" w:color="auto" w:sz="8" w:space="0"/>
            </w:tcBorders>
            <w:vAlign w:val="center"/>
          </w:tcPr>
          <w:p w14:paraId="00C9B8D3">
            <w:pPr>
              <w:tabs>
                <w:tab w:val="left" w:pos="5580"/>
              </w:tabs>
              <w:spacing w:line="240" w:lineRule="atLeast"/>
              <w:rPr>
                <w:rFonts w:ascii="仿宋" w:hAnsi="仿宋" w:eastAsia="仿宋" w:cs="仿宋"/>
                <w:sz w:val="24"/>
                <w:highlight w:val="none"/>
              </w:rPr>
            </w:pPr>
            <w:r>
              <w:rPr>
                <w:rFonts w:hint="eastAsia" w:ascii="仿宋" w:hAnsi="仿宋" w:eastAsia="仿宋" w:cs="仿宋"/>
                <w:sz w:val="24"/>
                <w:highlight w:val="none"/>
              </w:rPr>
              <w:t>备注</w:t>
            </w:r>
          </w:p>
        </w:tc>
      </w:tr>
      <w:tr w14:paraId="7CE50361">
        <w:tblPrEx>
          <w:tblCellMar>
            <w:top w:w="0" w:type="dxa"/>
            <w:left w:w="0" w:type="dxa"/>
            <w:bottom w:w="0" w:type="dxa"/>
            <w:right w:w="0" w:type="dxa"/>
          </w:tblCellMar>
        </w:tblPrEx>
        <w:trPr>
          <w:cantSplit/>
          <w:trHeight w:val="1640" w:hRule="atLeast"/>
        </w:trPr>
        <w:tc>
          <w:tcPr>
            <w:tcW w:w="1135" w:type="dxa"/>
            <w:tcBorders>
              <w:top w:val="single" w:color="auto" w:sz="8" w:space="0"/>
              <w:left w:val="single" w:color="auto" w:sz="4" w:space="0"/>
              <w:bottom w:val="single" w:color="auto" w:sz="4" w:space="0"/>
              <w:right w:val="single" w:color="auto" w:sz="4" w:space="0"/>
            </w:tcBorders>
            <w:vAlign w:val="center"/>
          </w:tcPr>
          <w:p w14:paraId="600F67C4">
            <w:pPr>
              <w:tabs>
                <w:tab w:val="left" w:pos="5580"/>
              </w:tabs>
              <w:spacing w:line="240" w:lineRule="atLeast"/>
              <w:rPr>
                <w:rFonts w:ascii="仿宋" w:hAnsi="仿宋" w:eastAsia="仿宋" w:cs="仿宋"/>
                <w:sz w:val="24"/>
                <w:highlight w:val="none"/>
              </w:rPr>
            </w:pPr>
          </w:p>
        </w:tc>
        <w:tc>
          <w:tcPr>
            <w:tcW w:w="3037" w:type="dxa"/>
            <w:tcBorders>
              <w:top w:val="single" w:color="auto" w:sz="8" w:space="0"/>
              <w:left w:val="single" w:color="auto" w:sz="8" w:space="0"/>
              <w:bottom w:val="single" w:color="auto" w:sz="4" w:space="0"/>
              <w:right w:val="single" w:color="auto" w:sz="4" w:space="0"/>
            </w:tcBorders>
            <w:vAlign w:val="center"/>
          </w:tcPr>
          <w:p w14:paraId="547F0F09">
            <w:pPr>
              <w:tabs>
                <w:tab w:val="left" w:pos="5580"/>
              </w:tabs>
              <w:spacing w:line="240" w:lineRule="atLeast"/>
              <w:jc w:val="left"/>
              <w:rPr>
                <w:rFonts w:ascii="仿宋" w:hAnsi="仿宋" w:eastAsia="仿宋" w:cs="仿宋"/>
                <w:highlight w:val="none"/>
              </w:rPr>
            </w:pPr>
            <w:r>
              <w:rPr>
                <w:rFonts w:hint="eastAsia" w:ascii="仿宋" w:hAnsi="仿宋" w:eastAsia="仿宋" w:cs="仿宋"/>
                <w:highlight w:val="none"/>
              </w:rPr>
              <w:t>大写：</w:t>
            </w:r>
          </w:p>
          <w:p w14:paraId="6FE609B8">
            <w:pPr>
              <w:pStyle w:val="17"/>
              <w:rPr>
                <w:rFonts w:ascii="仿宋" w:hAnsi="仿宋" w:eastAsia="仿宋" w:cs="仿宋"/>
                <w:highlight w:val="none"/>
              </w:rPr>
            </w:pPr>
          </w:p>
          <w:p w14:paraId="3D088953">
            <w:pPr>
              <w:tabs>
                <w:tab w:val="left" w:pos="5580"/>
              </w:tabs>
              <w:spacing w:line="240" w:lineRule="atLeast"/>
              <w:jc w:val="left"/>
              <w:rPr>
                <w:rFonts w:ascii="仿宋" w:hAnsi="仿宋" w:eastAsia="仿宋" w:cs="仿宋"/>
                <w:sz w:val="24"/>
                <w:highlight w:val="none"/>
              </w:rPr>
            </w:pPr>
            <w:r>
              <w:rPr>
                <w:rFonts w:hint="eastAsia" w:ascii="仿宋" w:hAnsi="仿宋" w:eastAsia="仿宋" w:cs="仿宋"/>
                <w:highlight w:val="none"/>
              </w:rPr>
              <w:t>小写：</w:t>
            </w:r>
          </w:p>
        </w:tc>
        <w:tc>
          <w:tcPr>
            <w:tcW w:w="1436" w:type="dxa"/>
            <w:tcBorders>
              <w:top w:val="single" w:color="auto" w:sz="8" w:space="0"/>
              <w:left w:val="nil"/>
              <w:bottom w:val="single" w:color="auto" w:sz="4" w:space="0"/>
              <w:right w:val="single" w:color="auto" w:sz="4" w:space="0"/>
            </w:tcBorders>
            <w:vAlign w:val="center"/>
          </w:tcPr>
          <w:p w14:paraId="1B314FD3">
            <w:pPr>
              <w:tabs>
                <w:tab w:val="left" w:pos="5580"/>
              </w:tabs>
              <w:spacing w:line="240" w:lineRule="atLeast"/>
              <w:ind w:left="1079" w:leftChars="257" w:hanging="540"/>
              <w:jc w:val="center"/>
              <w:rPr>
                <w:rFonts w:ascii="仿宋" w:hAnsi="仿宋" w:eastAsia="仿宋" w:cs="仿宋"/>
                <w:sz w:val="24"/>
                <w:highlight w:val="none"/>
              </w:rPr>
            </w:pPr>
          </w:p>
        </w:tc>
        <w:tc>
          <w:tcPr>
            <w:tcW w:w="1182" w:type="dxa"/>
            <w:tcBorders>
              <w:top w:val="single" w:color="auto" w:sz="8" w:space="0"/>
              <w:left w:val="nil"/>
              <w:bottom w:val="single" w:color="auto" w:sz="4" w:space="0"/>
              <w:right w:val="single" w:color="auto" w:sz="4" w:space="0"/>
            </w:tcBorders>
            <w:vAlign w:val="center"/>
          </w:tcPr>
          <w:p w14:paraId="4D362A0B">
            <w:pPr>
              <w:tabs>
                <w:tab w:val="left" w:pos="5580"/>
              </w:tabs>
              <w:spacing w:line="240" w:lineRule="atLeast"/>
              <w:rPr>
                <w:rFonts w:ascii="仿宋" w:hAnsi="仿宋" w:eastAsia="仿宋" w:cs="仿宋"/>
                <w:sz w:val="24"/>
                <w:highlight w:val="none"/>
              </w:rPr>
            </w:pPr>
          </w:p>
        </w:tc>
        <w:tc>
          <w:tcPr>
            <w:tcW w:w="1230" w:type="dxa"/>
            <w:tcBorders>
              <w:top w:val="single" w:color="auto" w:sz="8" w:space="0"/>
              <w:left w:val="nil"/>
              <w:bottom w:val="single" w:color="auto" w:sz="4" w:space="0"/>
              <w:right w:val="single" w:color="auto" w:sz="4" w:space="0"/>
            </w:tcBorders>
            <w:vAlign w:val="center"/>
          </w:tcPr>
          <w:p w14:paraId="7F60D93A">
            <w:pPr>
              <w:tabs>
                <w:tab w:val="left" w:pos="5580"/>
              </w:tabs>
              <w:spacing w:line="240" w:lineRule="atLeast"/>
              <w:rPr>
                <w:rFonts w:ascii="仿宋" w:hAnsi="仿宋" w:eastAsia="仿宋" w:cs="仿宋"/>
                <w:sz w:val="24"/>
                <w:highlight w:val="none"/>
              </w:rPr>
            </w:pPr>
          </w:p>
        </w:tc>
        <w:tc>
          <w:tcPr>
            <w:tcW w:w="1344" w:type="dxa"/>
            <w:tcBorders>
              <w:top w:val="single" w:color="auto" w:sz="8" w:space="0"/>
              <w:left w:val="single" w:color="auto" w:sz="4" w:space="0"/>
              <w:bottom w:val="single" w:color="auto" w:sz="4" w:space="0"/>
              <w:right w:val="single" w:color="auto" w:sz="8" w:space="0"/>
            </w:tcBorders>
            <w:vAlign w:val="center"/>
          </w:tcPr>
          <w:p w14:paraId="2362691C">
            <w:pPr>
              <w:tabs>
                <w:tab w:val="left" w:pos="5580"/>
              </w:tabs>
              <w:spacing w:line="240" w:lineRule="atLeast"/>
              <w:rPr>
                <w:rFonts w:ascii="仿宋" w:hAnsi="仿宋" w:eastAsia="仿宋" w:cs="仿宋"/>
                <w:sz w:val="24"/>
                <w:highlight w:val="none"/>
              </w:rPr>
            </w:pPr>
          </w:p>
        </w:tc>
      </w:tr>
    </w:tbl>
    <w:p w14:paraId="3E05C864">
      <w:pPr>
        <w:pStyle w:val="17"/>
        <w:snapToGrid w:val="0"/>
        <w:spacing w:line="240" w:lineRule="auto"/>
        <w:rPr>
          <w:rFonts w:ascii="仿宋" w:hAnsi="仿宋" w:eastAsia="仿宋" w:cs="仿宋"/>
          <w:sz w:val="24"/>
          <w:szCs w:val="24"/>
          <w:highlight w:val="none"/>
          <w:lang w:val="zh-CN"/>
        </w:rPr>
      </w:pPr>
      <w:r>
        <w:rPr>
          <w:rFonts w:hint="eastAsia" w:ascii="仿宋" w:hAnsi="仿宋" w:eastAsia="仿宋" w:cs="仿宋"/>
          <w:highlight w:val="none"/>
        </w:rPr>
        <w:t xml:space="preserve">   </w:t>
      </w:r>
      <w:r>
        <w:rPr>
          <w:rFonts w:hint="eastAsia" w:ascii="仿宋" w:hAnsi="仿宋" w:eastAsia="仿宋" w:cs="仿宋"/>
          <w:sz w:val="24"/>
          <w:szCs w:val="24"/>
          <w:highlight w:val="none"/>
          <w:lang w:val="zh-CN"/>
        </w:rPr>
        <w:t>注：</w:t>
      </w:r>
    </w:p>
    <w:p w14:paraId="1CC125E2">
      <w:pPr>
        <w:pStyle w:val="17"/>
        <w:snapToGrid w:val="0"/>
        <w:spacing w:line="360" w:lineRule="auto"/>
        <w:ind w:firstLine="480" w:firstLineChars="200"/>
        <w:jc w:val="lef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1. “开标一览表”中的报价包含磋商文件中规定的所有采购货物且数量一致，报价应是最终用户验收合格后的总价，包括货物运输、保险、代理、安装调试、培训、税费及提供服务产生的一切费用等与本项目有关的一切费用。 </w:t>
      </w:r>
    </w:p>
    <w:p w14:paraId="0DD87A0B">
      <w:pPr>
        <w:spacing w:line="360" w:lineRule="auto"/>
        <w:ind w:firstLine="470" w:firstLineChars="196"/>
        <w:jc w:val="left"/>
        <w:textAlignment w:val="baseline"/>
        <w:rPr>
          <w:rFonts w:ascii="仿宋" w:hAnsi="仿宋" w:eastAsia="仿宋" w:cs="仿宋"/>
          <w:sz w:val="24"/>
          <w:highlight w:val="none"/>
          <w:lang w:val="zh-CN"/>
        </w:rPr>
      </w:pPr>
      <w:bookmarkStart w:id="297" w:name="_Toc31653"/>
      <w:bookmarkStart w:id="298" w:name="_Toc677"/>
      <w:bookmarkStart w:id="299" w:name="_Toc13226"/>
      <w:bookmarkStart w:id="300" w:name="_Toc2616"/>
      <w:bookmarkStart w:id="301" w:name="_Toc32608"/>
      <w:bookmarkStart w:id="302" w:name="_Toc4333"/>
      <w:r>
        <w:rPr>
          <w:rFonts w:hint="eastAsia" w:ascii="仿宋" w:hAnsi="仿宋" w:eastAsia="仿宋" w:cs="仿宋"/>
          <w:sz w:val="24"/>
          <w:highlight w:val="none"/>
          <w:lang w:val="zh-CN"/>
        </w:rPr>
        <w:t>2.“开标一览表”为多页的，每页均需加盖供应商公章。</w:t>
      </w:r>
      <w:bookmarkEnd w:id="297"/>
      <w:bookmarkEnd w:id="298"/>
      <w:bookmarkEnd w:id="299"/>
      <w:bookmarkEnd w:id="300"/>
      <w:bookmarkEnd w:id="301"/>
      <w:bookmarkEnd w:id="302"/>
    </w:p>
    <w:p w14:paraId="20117648">
      <w:pPr>
        <w:spacing w:line="360" w:lineRule="auto"/>
        <w:ind w:firstLine="480" w:firstLineChars="200"/>
        <w:textAlignment w:val="baseline"/>
        <w:rPr>
          <w:rFonts w:ascii="仿宋" w:hAnsi="仿宋" w:eastAsia="仿宋" w:cs="仿宋"/>
          <w:sz w:val="24"/>
          <w:highlight w:val="none"/>
          <w:lang w:val="zh-CN"/>
        </w:rPr>
      </w:pPr>
    </w:p>
    <w:p w14:paraId="6492861B">
      <w:pPr>
        <w:autoSpaceDE w:val="0"/>
        <w:autoSpaceDN w:val="0"/>
        <w:ind w:firstLine="120" w:firstLineChars="50"/>
        <w:rPr>
          <w:rFonts w:ascii="仿宋" w:hAnsi="仿宋" w:eastAsia="仿宋" w:cs="仿宋"/>
          <w:sz w:val="24"/>
          <w:highlight w:val="none"/>
          <w:lang w:val="zh-CN"/>
        </w:rPr>
      </w:pPr>
    </w:p>
    <w:p w14:paraId="378FAA4B">
      <w:pPr>
        <w:autoSpaceDE w:val="0"/>
        <w:autoSpaceDN w:val="0"/>
        <w:ind w:firstLine="120" w:firstLineChars="50"/>
        <w:rPr>
          <w:rFonts w:ascii="仿宋" w:hAnsi="仿宋" w:eastAsia="仿宋" w:cs="仿宋"/>
          <w:sz w:val="24"/>
          <w:highlight w:val="none"/>
          <w:lang w:val="zh-CN"/>
        </w:rPr>
      </w:pPr>
    </w:p>
    <w:p w14:paraId="0F16D956">
      <w:pPr>
        <w:autoSpaceDE w:val="0"/>
        <w:autoSpaceDN w:val="0"/>
        <w:ind w:firstLine="120" w:firstLineChars="50"/>
        <w:rPr>
          <w:rFonts w:ascii="仿宋" w:hAnsi="仿宋" w:eastAsia="仿宋" w:cs="仿宋"/>
          <w:sz w:val="24"/>
          <w:highlight w:val="none"/>
          <w:lang w:val="zh-CN"/>
        </w:rPr>
      </w:pPr>
      <w:r>
        <w:rPr>
          <w:rFonts w:hint="eastAsia" w:ascii="仿宋" w:hAnsi="仿宋" w:eastAsia="仿宋" w:cs="仿宋"/>
          <w:sz w:val="24"/>
          <w:highlight w:val="none"/>
          <w:lang w:val="zh-CN"/>
        </w:rPr>
        <w:t>供应商名称（公章）：</w:t>
      </w:r>
    </w:p>
    <w:p w14:paraId="65B10216">
      <w:pPr>
        <w:autoSpaceDE w:val="0"/>
        <w:autoSpaceDN w:val="0"/>
        <w:rPr>
          <w:rFonts w:ascii="仿宋" w:hAnsi="仿宋" w:eastAsia="仿宋" w:cs="仿宋"/>
          <w:sz w:val="24"/>
          <w:highlight w:val="none"/>
          <w:lang w:val="zh-CN"/>
        </w:rPr>
      </w:pPr>
    </w:p>
    <w:p w14:paraId="09D216B3">
      <w:pPr>
        <w:autoSpaceDE w:val="0"/>
        <w:autoSpaceDN w:val="0"/>
        <w:ind w:firstLine="120" w:firstLineChars="50"/>
        <w:rPr>
          <w:rFonts w:ascii="仿宋" w:hAnsi="仿宋" w:eastAsia="仿宋" w:cs="仿宋"/>
          <w:sz w:val="24"/>
          <w:highlight w:val="none"/>
          <w:lang w:val="zh-CN"/>
        </w:rPr>
      </w:pPr>
      <w:r>
        <w:rPr>
          <w:rFonts w:hint="eastAsia" w:ascii="仿宋" w:hAnsi="仿宋" w:eastAsia="仿宋" w:cs="仿宋"/>
          <w:sz w:val="24"/>
          <w:highlight w:val="none"/>
          <w:lang w:val="zh-CN"/>
        </w:rPr>
        <w:t xml:space="preserve">法定代表人或其授权代表（签字或盖章）：   </w:t>
      </w:r>
    </w:p>
    <w:p w14:paraId="6D407A85">
      <w:pPr>
        <w:autoSpaceDE w:val="0"/>
        <w:autoSpaceDN w:val="0"/>
        <w:spacing w:before="295" w:after="295"/>
        <w:ind w:firstLine="120" w:firstLineChars="50"/>
        <w:rPr>
          <w:rFonts w:ascii="仿宋" w:hAnsi="仿宋" w:eastAsia="仿宋" w:cs="仿宋"/>
          <w:sz w:val="24"/>
          <w:highlight w:val="none"/>
          <w:lang w:val="zh-CN"/>
        </w:rPr>
      </w:pPr>
      <w:r>
        <w:rPr>
          <w:rFonts w:hint="eastAsia" w:ascii="仿宋" w:hAnsi="仿宋" w:eastAsia="仿宋" w:cs="仿宋"/>
          <w:sz w:val="24"/>
          <w:highlight w:val="none"/>
          <w:lang w:val="zh-CN"/>
        </w:rPr>
        <w:t>日期：</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 xml:space="preserve"> 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p>
    <w:p w14:paraId="2F5FB911">
      <w:pPr>
        <w:pStyle w:val="16"/>
        <w:rPr>
          <w:rFonts w:ascii="仿宋" w:hAnsi="仿宋" w:eastAsia="仿宋" w:cs="仿宋"/>
          <w:highlight w:val="none"/>
        </w:rPr>
      </w:pPr>
    </w:p>
    <w:p w14:paraId="1B6DBC82">
      <w:pPr>
        <w:pStyle w:val="16"/>
        <w:rPr>
          <w:rFonts w:ascii="仿宋" w:hAnsi="仿宋" w:eastAsia="仿宋" w:cs="仿宋"/>
          <w:highlight w:val="none"/>
        </w:rPr>
      </w:pPr>
    </w:p>
    <w:p w14:paraId="7E14A7AA">
      <w:pPr>
        <w:pStyle w:val="16"/>
        <w:rPr>
          <w:rFonts w:ascii="仿宋" w:hAnsi="仿宋" w:eastAsia="仿宋" w:cs="仿宋"/>
          <w:highlight w:val="none"/>
        </w:rPr>
      </w:pPr>
    </w:p>
    <w:p w14:paraId="0B26C2CF">
      <w:pPr>
        <w:pStyle w:val="16"/>
        <w:rPr>
          <w:rFonts w:ascii="仿宋" w:hAnsi="仿宋" w:eastAsia="仿宋" w:cs="仿宋"/>
          <w:highlight w:val="none"/>
        </w:rPr>
      </w:pPr>
    </w:p>
    <w:p w14:paraId="30B13627">
      <w:pPr>
        <w:pStyle w:val="16"/>
        <w:rPr>
          <w:rFonts w:ascii="仿宋" w:hAnsi="仿宋" w:eastAsia="仿宋" w:cs="仿宋"/>
          <w:highlight w:val="none"/>
        </w:rPr>
      </w:pPr>
    </w:p>
    <w:p w14:paraId="2923C0AF">
      <w:pPr>
        <w:pStyle w:val="16"/>
        <w:rPr>
          <w:rFonts w:ascii="仿宋" w:hAnsi="仿宋" w:eastAsia="仿宋" w:cs="仿宋"/>
          <w:highlight w:val="none"/>
        </w:rPr>
      </w:pPr>
    </w:p>
    <w:p w14:paraId="667E5164">
      <w:pPr>
        <w:pStyle w:val="16"/>
        <w:rPr>
          <w:rFonts w:ascii="仿宋" w:hAnsi="仿宋" w:eastAsia="仿宋" w:cs="仿宋"/>
          <w:highlight w:val="none"/>
        </w:rPr>
      </w:pPr>
    </w:p>
    <w:p w14:paraId="04AE25AC">
      <w:pPr>
        <w:pStyle w:val="16"/>
        <w:rPr>
          <w:rFonts w:ascii="仿宋" w:hAnsi="仿宋" w:eastAsia="仿宋" w:cs="仿宋"/>
          <w:highlight w:val="none"/>
        </w:rPr>
      </w:pPr>
    </w:p>
    <w:p w14:paraId="01CD193D">
      <w:pPr>
        <w:pStyle w:val="16"/>
        <w:rPr>
          <w:rFonts w:ascii="仿宋" w:hAnsi="仿宋" w:eastAsia="仿宋" w:cs="仿宋"/>
          <w:highlight w:val="none"/>
        </w:rPr>
      </w:pPr>
    </w:p>
    <w:p w14:paraId="65EAC2AF">
      <w:pPr>
        <w:pStyle w:val="6"/>
        <w:ind w:firstLine="0"/>
        <w:rPr>
          <w:rFonts w:ascii="仿宋" w:hAnsi="仿宋" w:eastAsia="仿宋" w:cs="仿宋"/>
          <w:highlight w:val="none"/>
        </w:rPr>
      </w:pPr>
    </w:p>
    <w:p w14:paraId="1998D2DD">
      <w:pPr>
        <w:pStyle w:val="3"/>
        <w:spacing w:before="0" w:line="288" w:lineRule="auto"/>
        <w:ind w:left="1079" w:leftChars="257" w:hanging="540"/>
        <w:jc w:val="both"/>
        <w:rPr>
          <w:rFonts w:ascii="仿宋" w:hAnsi="仿宋" w:eastAsia="仿宋" w:cs="仿宋"/>
          <w:sz w:val="24"/>
          <w:highlight w:val="none"/>
        </w:rPr>
      </w:pPr>
    </w:p>
    <w:bookmarkEnd w:id="293"/>
    <w:bookmarkEnd w:id="294"/>
    <w:bookmarkEnd w:id="295"/>
    <w:bookmarkEnd w:id="296"/>
    <w:p w14:paraId="1BE2C4AF">
      <w:pPr>
        <w:pStyle w:val="3"/>
        <w:spacing w:before="0" w:line="288" w:lineRule="auto"/>
        <w:ind w:left="1079" w:leftChars="257" w:hanging="540"/>
        <w:rPr>
          <w:rFonts w:ascii="仿宋" w:hAnsi="仿宋" w:eastAsia="仿宋" w:cs="仿宋"/>
          <w:sz w:val="24"/>
          <w:highlight w:val="none"/>
        </w:rPr>
      </w:pPr>
      <w:bookmarkStart w:id="303" w:name="_Toc10939"/>
      <w:bookmarkStart w:id="304" w:name="_Toc29361"/>
      <w:bookmarkStart w:id="305" w:name="_Toc3315"/>
      <w:bookmarkStart w:id="306" w:name="_Toc28754"/>
      <w:bookmarkStart w:id="307" w:name="_Toc21768"/>
      <w:bookmarkStart w:id="308" w:name="_Toc29224"/>
      <w:bookmarkStart w:id="309" w:name="_Toc17923"/>
      <w:bookmarkStart w:id="310" w:name="_Toc12324"/>
      <w:bookmarkStart w:id="311" w:name="_Toc13608"/>
      <w:bookmarkStart w:id="312" w:name="_Toc3935"/>
      <w:r>
        <w:rPr>
          <w:rFonts w:hint="eastAsia" w:ascii="仿宋" w:hAnsi="仿宋" w:eastAsia="仿宋" w:cs="仿宋"/>
          <w:sz w:val="24"/>
          <w:highlight w:val="none"/>
        </w:rPr>
        <w:t>2  法人或者非法人组织的营业执照等证明文件</w:t>
      </w:r>
      <w:bookmarkEnd w:id="303"/>
      <w:bookmarkEnd w:id="304"/>
      <w:bookmarkEnd w:id="305"/>
      <w:bookmarkEnd w:id="306"/>
      <w:bookmarkEnd w:id="307"/>
      <w:bookmarkEnd w:id="308"/>
      <w:bookmarkEnd w:id="309"/>
      <w:bookmarkEnd w:id="310"/>
      <w:bookmarkEnd w:id="311"/>
      <w:bookmarkEnd w:id="312"/>
    </w:p>
    <w:p w14:paraId="48921893">
      <w:pPr>
        <w:pStyle w:val="12"/>
        <w:tabs>
          <w:tab w:val="left" w:pos="5580"/>
        </w:tabs>
        <w:spacing w:line="288" w:lineRule="auto"/>
        <w:ind w:left="1079" w:leftChars="257" w:hanging="540"/>
        <w:jc w:val="center"/>
        <w:rPr>
          <w:rFonts w:ascii="仿宋" w:hAnsi="仿宋" w:eastAsia="仿宋" w:cs="仿宋"/>
          <w:b/>
          <w:sz w:val="24"/>
          <w:highlight w:val="none"/>
        </w:rPr>
      </w:pPr>
    </w:p>
    <w:p w14:paraId="3E22540B">
      <w:pPr>
        <w:pStyle w:val="12"/>
        <w:tabs>
          <w:tab w:val="left" w:pos="5580"/>
        </w:tabs>
        <w:spacing w:line="288" w:lineRule="auto"/>
        <w:ind w:left="1079" w:leftChars="257" w:hanging="540"/>
        <w:rPr>
          <w:rFonts w:ascii="仿宋" w:hAnsi="仿宋" w:eastAsia="仿宋" w:cs="仿宋"/>
          <w:b/>
          <w:sz w:val="24"/>
          <w:highlight w:val="none"/>
        </w:rPr>
      </w:pPr>
    </w:p>
    <w:p w14:paraId="0E9798CA">
      <w:pPr>
        <w:pStyle w:val="12"/>
        <w:tabs>
          <w:tab w:val="left" w:pos="5580"/>
        </w:tabs>
        <w:spacing w:line="288" w:lineRule="auto"/>
        <w:ind w:left="1079" w:leftChars="257" w:hanging="540"/>
        <w:rPr>
          <w:rFonts w:ascii="仿宋" w:hAnsi="仿宋" w:eastAsia="仿宋" w:cs="仿宋"/>
          <w:b/>
          <w:sz w:val="24"/>
          <w:highlight w:val="none"/>
        </w:rPr>
      </w:pPr>
    </w:p>
    <w:p w14:paraId="3D21D9E2">
      <w:pPr>
        <w:pStyle w:val="12"/>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说明：1.提供有效的营业执照等证明文件复印件，复印件上应加盖本单位章。</w:t>
      </w:r>
    </w:p>
    <w:p w14:paraId="3419294B">
      <w:pPr>
        <w:pStyle w:val="12"/>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 xml:space="preserve">      2. 供应商为自然人的，应提供身份证明的复印件。</w:t>
      </w:r>
    </w:p>
    <w:p w14:paraId="5D411C91">
      <w:pPr>
        <w:pStyle w:val="12"/>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 xml:space="preserve">      3.联合体投标应提供联合体各方满足以上要求的证明文件。</w:t>
      </w:r>
    </w:p>
    <w:p w14:paraId="23AF650C">
      <w:pPr>
        <w:pStyle w:val="12"/>
        <w:tabs>
          <w:tab w:val="left" w:pos="5580"/>
        </w:tabs>
        <w:spacing w:line="288" w:lineRule="auto"/>
        <w:ind w:left="1079" w:leftChars="257" w:hanging="540"/>
        <w:rPr>
          <w:rFonts w:ascii="仿宋" w:hAnsi="仿宋" w:eastAsia="仿宋" w:cs="仿宋"/>
          <w:sz w:val="24"/>
          <w:highlight w:val="none"/>
        </w:rPr>
      </w:pPr>
      <w:r>
        <w:rPr>
          <w:rFonts w:hint="eastAsia" w:ascii="仿宋" w:hAnsi="仿宋" w:eastAsia="仿宋" w:cs="仿宋"/>
          <w:sz w:val="24"/>
          <w:highlight w:val="none"/>
        </w:rPr>
        <w:t xml:space="preserve">    </w:t>
      </w:r>
    </w:p>
    <w:p w14:paraId="7D56988C">
      <w:pPr>
        <w:pStyle w:val="12"/>
        <w:tabs>
          <w:tab w:val="left" w:pos="5580"/>
        </w:tabs>
        <w:spacing w:line="288" w:lineRule="auto"/>
        <w:rPr>
          <w:rFonts w:ascii="仿宋" w:hAnsi="仿宋" w:eastAsia="仿宋" w:cs="仿宋"/>
          <w:sz w:val="24"/>
          <w:highlight w:val="none"/>
        </w:rPr>
      </w:pPr>
    </w:p>
    <w:p w14:paraId="4E540C7C">
      <w:pPr>
        <w:pStyle w:val="12"/>
        <w:tabs>
          <w:tab w:val="left" w:pos="5580"/>
        </w:tabs>
        <w:spacing w:line="288" w:lineRule="auto"/>
        <w:rPr>
          <w:rFonts w:ascii="仿宋" w:hAnsi="仿宋" w:eastAsia="仿宋" w:cs="仿宋"/>
          <w:sz w:val="24"/>
          <w:highlight w:val="none"/>
        </w:rPr>
      </w:pPr>
    </w:p>
    <w:p w14:paraId="126A90CA">
      <w:pPr>
        <w:pStyle w:val="12"/>
        <w:tabs>
          <w:tab w:val="left" w:pos="5580"/>
        </w:tabs>
        <w:spacing w:line="288" w:lineRule="auto"/>
        <w:rPr>
          <w:rFonts w:ascii="仿宋" w:hAnsi="仿宋" w:eastAsia="仿宋" w:cs="仿宋"/>
          <w:sz w:val="24"/>
          <w:highlight w:val="none"/>
        </w:rPr>
      </w:pPr>
    </w:p>
    <w:p w14:paraId="58482603">
      <w:pPr>
        <w:pStyle w:val="12"/>
        <w:tabs>
          <w:tab w:val="left" w:pos="5580"/>
        </w:tabs>
        <w:spacing w:line="288" w:lineRule="auto"/>
        <w:rPr>
          <w:rFonts w:ascii="仿宋" w:hAnsi="仿宋" w:eastAsia="仿宋" w:cs="仿宋"/>
          <w:sz w:val="24"/>
          <w:highlight w:val="none"/>
        </w:rPr>
      </w:pPr>
    </w:p>
    <w:p w14:paraId="626470B0">
      <w:pPr>
        <w:pStyle w:val="12"/>
        <w:tabs>
          <w:tab w:val="left" w:pos="5580"/>
        </w:tabs>
        <w:spacing w:line="288" w:lineRule="auto"/>
        <w:rPr>
          <w:rFonts w:ascii="仿宋" w:hAnsi="仿宋" w:eastAsia="仿宋" w:cs="仿宋"/>
          <w:sz w:val="24"/>
          <w:highlight w:val="none"/>
        </w:rPr>
      </w:pPr>
    </w:p>
    <w:p w14:paraId="5BBE73AA">
      <w:pPr>
        <w:pStyle w:val="12"/>
        <w:tabs>
          <w:tab w:val="left" w:pos="5580"/>
        </w:tabs>
        <w:spacing w:line="288" w:lineRule="auto"/>
        <w:rPr>
          <w:rFonts w:ascii="仿宋" w:hAnsi="仿宋" w:eastAsia="仿宋" w:cs="仿宋"/>
          <w:sz w:val="24"/>
          <w:highlight w:val="none"/>
        </w:rPr>
      </w:pPr>
    </w:p>
    <w:p w14:paraId="6935A756">
      <w:pPr>
        <w:pStyle w:val="12"/>
        <w:tabs>
          <w:tab w:val="left" w:pos="5580"/>
        </w:tabs>
        <w:spacing w:line="288" w:lineRule="auto"/>
        <w:rPr>
          <w:rFonts w:ascii="仿宋" w:hAnsi="仿宋" w:eastAsia="仿宋" w:cs="仿宋"/>
          <w:sz w:val="24"/>
          <w:highlight w:val="none"/>
        </w:rPr>
      </w:pPr>
    </w:p>
    <w:p w14:paraId="04E4A6AB">
      <w:pPr>
        <w:pStyle w:val="12"/>
        <w:tabs>
          <w:tab w:val="left" w:pos="5580"/>
        </w:tabs>
        <w:spacing w:line="288" w:lineRule="auto"/>
        <w:rPr>
          <w:rFonts w:ascii="仿宋" w:hAnsi="仿宋" w:eastAsia="仿宋" w:cs="仿宋"/>
          <w:sz w:val="24"/>
          <w:highlight w:val="none"/>
        </w:rPr>
      </w:pPr>
    </w:p>
    <w:p w14:paraId="7159558D">
      <w:pPr>
        <w:pStyle w:val="12"/>
        <w:tabs>
          <w:tab w:val="left" w:pos="5580"/>
        </w:tabs>
        <w:spacing w:line="288" w:lineRule="auto"/>
        <w:rPr>
          <w:rFonts w:ascii="仿宋" w:hAnsi="仿宋" w:eastAsia="仿宋" w:cs="仿宋"/>
          <w:sz w:val="24"/>
          <w:highlight w:val="none"/>
        </w:rPr>
      </w:pPr>
    </w:p>
    <w:p w14:paraId="1E546B4A">
      <w:pPr>
        <w:pStyle w:val="12"/>
        <w:tabs>
          <w:tab w:val="left" w:pos="5580"/>
        </w:tabs>
        <w:spacing w:line="288" w:lineRule="auto"/>
        <w:rPr>
          <w:rFonts w:ascii="仿宋" w:hAnsi="仿宋" w:eastAsia="仿宋" w:cs="仿宋"/>
          <w:sz w:val="24"/>
          <w:highlight w:val="none"/>
        </w:rPr>
      </w:pPr>
    </w:p>
    <w:p w14:paraId="7F7E19AA">
      <w:pPr>
        <w:pStyle w:val="12"/>
        <w:tabs>
          <w:tab w:val="left" w:pos="5580"/>
        </w:tabs>
        <w:spacing w:line="288" w:lineRule="auto"/>
        <w:rPr>
          <w:rFonts w:ascii="仿宋" w:hAnsi="仿宋" w:eastAsia="仿宋" w:cs="仿宋"/>
          <w:sz w:val="24"/>
          <w:highlight w:val="none"/>
        </w:rPr>
      </w:pPr>
    </w:p>
    <w:p w14:paraId="73B76073">
      <w:pPr>
        <w:pStyle w:val="12"/>
        <w:tabs>
          <w:tab w:val="left" w:pos="5580"/>
        </w:tabs>
        <w:spacing w:line="288" w:lineRule="auto"/>
        <w:rPr>
          <w:rFonts w:ascii="仿宋" w:hAnsi="仿宋" w:eastAsia="仿宋" w:cs="仿宋"/>
          <w:sz w:val="24"/>
          <w:highlight w:val="none"/>
        </w:rPr>
      </w:pPr>
    </w:p>
    <w:p w14:paraId="4EFF5599">
      <w:pPr>
        <w:pStyle w:val="12"/>
        <w:tabs>
          <w:tab w:val="left" w:pos="5580"/>
        </w:tabs>
        <w:spacing w:line="288" w:lineRule="auto"/>
        <w:rPr>
          <w:rFonts w:ascii="仿宋" w:hAnsi="仿宋" w:eastAsia="仿宋" w:cs="仿宋"/>
          <w:sz w:val="24"/>
          <w:highlight w:val="none"/>
        </w:rPr>
      </w:pPr>
    </w:p>
    <w:p w14:paraId="64B8553B">
      <w:pPr>
        <w:pStyle w:val="12"/>
        <w:tabs>
          <w:tab w:val="left" w:pos="5580"/>
        </w:tabs>
        <w:spacing w:line="288" w:lineRule="auto"/>
        <w:rPr>
          <w:rFonts w:ascii="仿宋" w:hAnsi="仿宋" w:eastAsia="仿宋" w:cs="仿宋"/>
          <w:sz w:val="24"/>
          <w:highlight w:val="none"/>
        </w:rPr>
      </w:pPr>
    </w:p>
    <w:p w14:paraId="72336A79">
      <w:pPr>
        <w:pStyle w:val="12"/>
        <w:tabs>
          <w:tab w:val="left" w:pos="5580"/>
        </w:tabs>
        <w:spacing w:line="288" w:lineRule="auto"/>
        <w:rPr>
          <w:rFonts w:ascii="仿宋" w:hAnsi="仿宋" w:eastAsia="仿宋" w:cs="仿宋"/>
          <w:sz w:val="24"/>
          <w:highlight w:val="none"/>
        </w:rPr>
      </w:pPr>
    </w:p>
    <w:p w14:paraId="53DC7735">
      <w:pPr>
        <w:pStyle w:val="12"/>
        <w:tabs>
          <w:tab w:val="left" w:pos="5580"/>
        </w:tabs>
        <w:spacing w:line="288" w:lineRule="auto"/>
        <w:rPr>
          <w:rFonts w:ascii="仿宋" w:hAnsi="仿宋" w:eastAsia="仿宋" w:cs="仿宋"/>
          <w:sz w:val="24"/>
          <w:highlight w:val="none"/>
        </w:rPr>
      </w:pPr>
    </w:p>
    <w:p w14:paraId="11354F85">
      <w:pPr>
        <w:pStyle w:val="12"/>
        <w:tabs>
          <w:tab w:val="left" w:pos="5580"/>
        </w:tabs>
        <w:spacing w:line="288" w:lineRule="auto"/>
        <w:rPr>
          <w:rFonts w:ascii="仿宋" w:hAnsi="仿宋" w:eastAsia="仿宋" w:cs="仿宋"/>
          <w:sz w:val="24"/>
          <w:highlight w:val="none"/>
        </w:rPr>
      </w:pPr>
    </w:p>
    <w:p w14:paraId="6031BEA3">
      <w:pPr>
        <w:pStyle w:val="12"/>
        <w:tabs>
          <w:tab w:val="left" w:pos="5580"/>
        </w:tabs>
        <w:spacing w:line="288" w:lineRule="auto"/>
        <w:rPr>
          <w:rFonts w:ascii="仿宋" w:hAnsi="仿宋" w:eastAsia="仿宋" w:cs="仿宋"/>
          <w:sz w:val="24"/>
          <w:highlight w:val="none"/>
        </w:rPr>
      </w:pPr>
    </w:p>
    <w:p w14:paraId="14D65333">
      <w:pPr>
        <w:pStyle w:val="12"/>
        <w:tabs>
          <w:tab w:val="left" w:pos="5580"/>
        </w:tabs>
        <w:spacing w:line="288" w:lineRule="auto"/>
        <w:rPr>
          <w:rFonts w:ascii="仿宋" w:hAnsi="仿宋" w:eastAsia="仿宋" w:cs="仿宋"/>
          <w:sz w:val="24"/>
          <w:highlight w:val="none"/>
        </w:rPr>
      </w:pPr>
    </w:p>
    <w:p w14:paraId="26340524">
      <w:pPr>
        <w:pStyle w:val="12"/>
        <w:tabs>
          <w:tab w:val="left" w:pos="5580"/>
        </w:tabs>
        <w:spacing w:line="288" w:lineRule="auto"/>
        <w:rPr>
          <w:rFonts w:ascii="仿宋" w:hAnsi="仿宋" w:eastAsia="仿宋" w:cs="仿宋"/>
          <w:sz w:val="24"/>
          <w:highlight w:val="none"/>
        </w:rPr>
      </w:pPr>
    </w:p>
    <w:p w14:paraId="0273C3D4">
      <w:pPr>
        <w:pStyle w:val="12"/>
        <w:tabs>
          <w:tab w:val="left" w:pos="5580"/>
        </w:tabs>
        <w:spacing w:line="288" w:lineRule="auto"/>
        <w:rPr>
          <w:rFonts w:ascii="仿宋" w:hAnsi="仿宋" w:eastAsia="仿宋" w:cs="仿宋"/>
          <w:sz w:val="24"/>
          <w:highlight w:val="none"/>
        </w:rPr>
      </w:pPr>
    </w:p>
    <w:p w14:paraId="37F446B9">
      <w:pPr>
        <w:pStyle w:val="12"/>
        <w:tabs>
          <w:tab w:val="left" w:pos="5580"/>
        </w:tabs>
        <w:spacing w:line="288" w:lineRule="auto"/>
        <w:rPr>
          <w:rFonts w:ascii="仿宋" w:hAnsi="仿宋" w:eastAsia="仿宋" w:cs="仿宋"/>
          <w:sz w:val="24"/>
          <w:highlight w:val="none"/>
        </w:rPr>
      </w:pPr>
    </w:p>
    <w:p w14:paraId="07AAC103">
      <w:pPr>
        <w:pStyle w:val="12"/>
        <w:tabs>
          <w:tab w:val="left" w:pos="5580"/>
        </w:tabs>
        <w:spacing w:line="288" w:lineRule="auto"/>
        <w:rPr>
          <w:rFonts w:ascii="仿宋" w:hAnsi="仿宋" w:eastAsia="仿宋" w:cs="仿宋"/>
          <w:sz w:val="24"/>
          <w:highlight w:val="none"/>
        </w:rPr>
      </w:pPr>
    </w:p>
    <w:p w14:paraId="4C301B56">
      <w:pPr>
        <w:pStyle w:val="12"/>
        <w:tabs>
          <w:tab w:val="left" w:pos="5580"/>
        </w:tabs>
        <w:spacing w:line="288" w:lineRule="auto"/>
        <w:rPr>
          <w:rFonts w:ascii="仿宋" w:hAnsi="仿宋" w:eastAsia="仿宋" w:cs="仿宋"/>
          <w:sz w:val="24"/>
          <w:highlight w:val="none"/>
        </w:rPr>
      </w:pPr>
    </w:p>
    <w:p w14:paraId="703804B1">
      <w:pPr>
        <w:pStyle w:val="12"/>
        <w:tabs>
          <w:tab w:val="left" w:pos="5580"/>
        </w:tabs>
        <w:spacing w:line="288" w:lineRule="auto"/>
        <w:rPr>
          <w:rFonts w:ascii="仿宋" w:hAnsi="仿宋" w:eastAsia="仿宋" w:cs="仿宋"/>
          <w:sz w:val="24"/>
          <w:highlight w:val="none"/>
        </w:rPr>
      </w:pPr>
    </w:p>
    <w:p w14:paraId="2926DCC5">
      <w:pPr>
        <w:pStyle w:val="12"/>
        <w:tabs>
          <w:tab w:val="left" w:pos="5580"/>
        </w:tabs>
        <w:spacing w:line="288" w:lineRule="auto"/>
        <w:rPr>
          <w:rFonts w:ascii="仿宋" w:hAnsi="仿宋" w:eastAsia="仿宋" w:cs="仿宋"/>
          <w:sz w:val="24"/>
          <w:highlight w:val="none"/>
        </w:rPr>
      </w:pPr>
    </w:p>
    <w:p w14:paraId="67320EFA">
      <w:pPr>
        <w:pStyle w:val="12"/>
        <w:tabs>
          <w:tab w:val="left" w:pos="5580"/>
        </w:tabs>
        <w:spacing w:line="288" w:lineRule="auto"/>
        <w:rPr>
          <w:rFonts w:ascii="仿宋" w:hAnsi="仿宋" w:eastAsia="仿宋" w:cs="仿宋"/>
          <w:sz w:val="24"/>
          <w:highlight w:val="none"/>
        </w:rPr>
      </w:pPr>
    </w:p>
    <w:p w14:paraId="0E34CF88">
      <w:pPr>
        <w:pStyle w:val="12"/>
        <w:tabs>
          <w:tab w:val="left" w:pos="5580"/>
        </w:tabs>
        <w:spacing w:line="288" w:lineRule="auto"/>
        <w:rPr>
          <w:rFonts w:ascii="仿宋" w:hAnsi="仿宋" w:eastAsia="仿宋" w:cs="仿宋"/>
          <w:sz w:val="24"/>
          <w:highlight w:val="none"/>
        </w:rPr>
      </w:pPr>
    </w:p>
    <w:p w14:paraId="331DFC7C">
      <w:pPr>
        <w:pStyle w:val="12"/>
        <w:tabs>
          <w:tab w:val="left" w:pos="5580"/>
        </w:tabs>
        <w:spacing w:line="288" w:lineRule="auto"/>
        <w:rPr>
          <w:rFonts w:ascii="仿宋" w:hAnsi="仿宋" w:eastAsia="仿宋" w:cs="仿宋"/>
          <w:sz w:val="24"/>
          <w:highlight w:val="none"/>
        </w:rPr>
      </w:pPr>
    </w:p>
    <w:p w14:paraId="7BC6A31A">
      <w:pPr>
        <w:pStyle w:val="3"/>
        <w:spacing w:before="0" w:line="288" w:lineRule="auto"/>
        <w:ind w:left="1078" w:leftChars="257" w:hanging="539"/>
        <w:rPr>
          <w:rFonts w:ascii="仿宋" w:hAnsi="仿宋" w:eastAsia="仿宋" w:cs="仿宋"/>
          <w:sz w:val="24"/>
          <w:highlight w:val="none"/>
        </w:rPr>
      </w:pPr>
      <w:bookmarkStart w:id="313" w:name="_Toc29158"/>
      <w:bookmarkStart w:id="314" w:name="_Toc21673"/>
      <w:bookmarkStart w:id="315" w:name="_Toc14410"/>
      <w:bookmarkStart w:id="316" w:name="_Toc23004_WPSOffice_Level2"/>
      <w:bookmarkStart w:id="317" w:name="_Toc27272"/>
      <w:bookmarkStart w:id="318" w:name="_Toc25628"/>
      <w:bookmarkStart w:id="319" w:name="_Toc11186"/>
      <w:bookmarkStart w:id="320" w:name="_Toc13765"/>
      <w:bookmarkStart w:id="321" w:name="_Toc32425"/>
      <w:bookmarkStart w:id="322" w:name="_Toc11984"/>
      <w:bookmarkStart w:id="323" w:name="_Toc23379"/>
      <w:bookmarkStart w:id="324" w:name="_Toc6694"/>
      <w:bookmarkStart w:id="325" w:name="_Toc16471"/>
      <w:bookmarkStart w:id="326" w:name="_Toc32520"/>
      <w:bookmarkStart w:id="327" w:name="_Toc7039"/>
      <w:bookmarkStart w:id="328" w:name="_Toc515647808"/>
      <w:bookmarkStart w:id="329" w:name="_Toc18130"/>
      <w:r>
        <w:rPr>
          <w:rFonts w:hint="eastAsia" w:ascii="仿宋" w:hAnsi="仿宋" w:eastAsia="仿宋" w:cs="仿宋"/>
          <w:sz w:val="24"/>
          <w:szCs w:val="24"/>
          <w:highlight w:val="none"/>
        </w:rPr>
        <w:t xml:space="preserve">3 </w:t>
      </w:r>
      <w:bookmarkEnd w:id="313"/>
      <w:bookmarkEnd w:id="314"/>
      <w:bookmarkEnd w:id="315"/>
      <w:bookmarkEnd w:id="316"/>
      <w:bookmarkEnd w:id="317"/>
      <w:bookmarkEnd w:id="318"/>
      <w:bookmarkStart w:id="330" w:name="_Toc3311"/>
      <w:bookmarkStart w:id="331" w:name="_Toc31844_WPSOffice_Level2"/>
      <w:bookmarkStart w:id="332" w:name="_Toc20985"/>
      <w:bookmarkStart w:id="333" w:name="_Toc7492"/>
      <w:r>
        <w:rPr>
          <w:rFonts w:hint="eastAsia" w:ascii="仿宋" w:hAnsi="仿宋" w:eastAsia="仿宋" w:cs="仿宋"/>
          <w:sz w:val="24"/>
          <w:highlight w:val="none"/>
        </w:rPr>
        <w:t>法定代表人身份证明</w:t>
      </w:r>
      <w:bookmarkEnd w:id="319"/>
      <w:bookmarkEnd w:id="320"/>
      <w:bookmarkEnd w:id="321"/>
      <w:bookmarkEnd w:id="322"/>
      <w:bookmarkEnd w:id="323"/>
      <w:bookmarkEnd w:id="324"/>
      <w:bookmarkEnd w:id="325"/>
      <w:bookmarkEnd w:id="330"/>
      <w:bookmarkEnd w:id="331"/>
      <w:bookmarkEnd w:id="332"/>
      <w:bookmarkEnd w:id="333"/>
    </w:p>
    <w:p w14:paraId="570A0C67">
      <w:pPr>
        <w:spacing w:line="360" w:lineRule="auto"/>
        <w:rPr>
          <w:rFonts w:ascii="仿宋" w:hAnsi="仿宋" w:eastAsia="仿宋" w:cs="仿宋"/>
          <w:sz w:val="24"/>
          <w:szCs w:val="20"/>
          <w:highlight w:val="none"/>
        </w:rPr>
      </w:pPr>
      <w:r>
        <w:rPr>
          <w:rFonts w:hint="eastAsia" w:ascii="仿宋" w:hAnsi="仿宋" w:eastAsia="仿宋" w:cs="仿宋"/>
          <w:highlight w:val="none"/>
        </w:rPr>
        <w:t xml:space="preserve">   </w:t>
      </w:r>
      <w:r>
        <w:rPr>
          <w:rFonts w:hint="eastAsia" w:ascii="仿宋" w:hAnsi="仿宋" w:eastAsia="仿宋" w:cs="仿宋"/>
          <w:sz w:val="24"/>
          <w:szCs w:val="20"/>
          <w:highlight w:val="none"/>
        </w:rPr>
        <w:t xml:space="preserve">  </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 xml:space="preserve"> 同志，现任我单位</w:t>
      </w:r>
      <w:r>
        <w:rPr>
          <w:rFonts w:hint="eastAsia" w:ascii="仿宋" w:hAnsi="仿宋" w:eastAsia="仿宋" w:cs="仿宋"/>
          <w:sz w:val="24"/>
          <w:szCs w:val="20"/>
          <w:highlight w:val="none"/>
          <w:u w:val="single"/>
        </w:rPr>
        <w:t xml:space="preserve">          职</w:t>
      </w:r>
      <w:r>
        <w:rPr>
          <w:rFonts w:hint="eastAsia" w:ascii="仿宋" w:hAnsi="仿宋" w:eastAsia="仿宋" w:cs="仿宋"/>
          <w:sz w:val="24"/>
          <w:szCs w:val="20"/>
          <w:highlight w:val="none"/>
        </w:rPr>
        <w:t>务，为法定代表人，特此证明。</w:t>
      </w:r>
    </w:p>
    <w:p w14:paraId="3E61649B">
      <w:pPr>
        <w:spacing w:line="360" w:lineRule="auto"/>
        <w:ind w:firstLine="240" w:firstLineChars="100"/>
        <w:rPr>
          <w:rFonts w:ascii="仿宋" w:hAnsi="仿宋" w:eastAsia="仿宋" w:cs="仿宋"/>
          <w:sz w:val="24"/>
          <w:szCs w:val="20"/>
          <w:highlight w:val="none"/>
        </w:rPr>
      </w:pPr>
      <w:r>
        <w:rPr>
          <w:rFonts w:hint="eastAsia" w:ascii="仿宋" w:hAnsi="仿宋" w:eastAsia="仿宋" w:cs="仿宋"/>
          <w:sz w:val="24"/>
          <w:szCs w:val="20"/>
          <w:highlight w:val="none"/>
        </w:rPr>
        <w:t xml:space="preserve">签发日期：                  单位：         </w:t>
      </w:r>
    </w:p>
    <w:p w14:paraId="0F448DBF">
      <w:pPr>
        <w:spacing w:line="360" w:lineRule="auto"/>
        <w:ind w:firstLine="240" w:firstLineChars="100"/>
        <w:rPr>
          <w:rFonts w:ascii="仿宋" w:hAnsi="仿宋" w:eastAsia="仿宋" w:cs="仿宋"/>
          <w:sz w:val="24"/>
          <w:szCs w:val="20"/>
          <w:highlight w:val="none"/>
        </w:rPr>
      </w:pPr>
      <w:r>
        <w:rPr>
          <w:rFonts w:hint="eastAsia" w:ascii="仿宋" w:hAnsi="仿宋" w:eastAsia="仿宋" w:cs="仿宋"/>
          <w:sz w:val="24"/>
          <w:szCs w:val="20"/>
          <w:highlight w:val="none"/>
        </w:rPr>
        <w:t>附：代表人性别：            年龄：           身份证号码：</w:t>
      </w:r>
    </w:p>
    <w:p w14:paraId="712276B0">
      <w:pPr>
        <w:spacing w:line="360" w:lineRule="auto"/>
        <w:ind w:firstLine="240" w:firstLineChars="100"/>
        <w:rPr>
          <w:rFonts w:ascii="仿宋" w:hAnsi="仿宋" w:eastAsia="仿宋" w:cs="仿宋"/>
          <w:sz w:val="24"/>
          <w:szCs w:val="20"/>
          <w:highlight w:val="none"/>
        </w:rPr>
      </w:pPr>
      <w:r>
        <w:rPr>
          <w:rFonts w:hint="eastAsia" w:ascii="仿宋" w:hAnsi="仿宋" w:eastAsia="仿宋" w:cs="仿宋"/>
          <w:sz w:val="24"/>
          <w:szCs w:val="20"/>
          <w:highlight w:val="none"/>
        </w:rPr>
        <w:t>联系电话：</w:t>
      </w:r>
    </w:p>
    <w:p w14:paraId="0955FFDD">
      <w:pPr>
        <w:spacing w:line="360" w:lineRule="auto"/>
        <w:ind w:firstLine="240" w:firstLineChars="100"/>
        <w:rPr>
          <w:rFonts w:ascii="仿宋" w:hAnsi="仿宋" w:eastAsia="仿宋" w:cs="仿宋"/>
          <w:sz w:val="24"/>
          <w:szCs w:val="20"/>
          <w:highlight w:val="none"/>
        </w:rPr>
      </w:pPr>
      <w:r>
        <w:rPr>
          <w:rFonts w:hint="eastAsia" w:ascii="仿宋" w:hAnsi="仿宋" w:eastAsia="仿宋" w:cs="仿宋"/>
          <w:sz w:val="24"/>
          <w:szCs w:val="20"/>
          <w:highlight w:val="none"/>
        </w:rPr>
        <w:t>营业执照号码：              经济性质：</w:t>
      </w:r>
    </w:p>
    <w:p w14:paraId="30029759">
      <w:pPr>
        <w:spacing w:line="360" w:lineRule="auto"/>
        <w:rPr>
          <w:rFonts w:ascii="仿宋" w:hAnsi="仿宋" w:eastAsia="仿宋" w:cs="仿宋"/>
          <w:sz w:val="24"/>
          <w:szCs w:val="20"/>
          <w:highlight w:val="none"/>
        </w:rPr>
      </w:pPr>
      <w:r>
        <w:rPr>
          <w:rFonts w:hint="eastAsia" w:ascii="仿宋" w:hAnsi="仿宋" w:eastAsia="仿宋" w:cs="仿宋"/>
          <w:sz w:val="24"/>
          <w:szCs w:val="20"/>
          <w:highlight w:val="none"/>
        </w:rPr>
        <w:t>说明：</w:t>
      </w:r>
    </w:p>
    <w:p w14:paraId="1B6DB9CC">
      <w:pPr>
        <w:spacing w:line="360" w:lineRule="auto"/>
        <w:ind w:firstLine="240" w:firstLineChars="100"/>
        <w:rPr>
          <w:rFonts w:ascii="仿宋" w:hAnsi="仿宋" w:eastAsia="仿宋" w:cs="仿宋"/>
          <w:sz w:val="24"/>
          <w:szCs w:val="20"/>
          <w:highlight w:val="none"/>
        </w:rPr>
      </w:pPr>
      <w:r>
        <w:rPr>
          <w:rFonts w:hint="eastAsia" w:ascii="仿宋" w:hAnsi="仿宋" w:eastAsia="仿宋" w:cs="仿宋"/>
          <w:sz w:val="24"/>
          <w:szCs w:val="20"/>
          <w:highlight w:val="none"/>
        </w:rPr>
        <w:t>1、法定代表人为企业事业单位、国家机关、社会团体的主要行政负责人。</w:t>
      </w:r>
    </w:p>
    <w:p w14:paraId="554E066A">
      <w:pPr>
        <w:spacing w:line="360" w:lineRule="auto"/>
        <w:rPr>
          <w:rFonts w:ascii="仿宋" w:hAnsi="仿宋" w:eastAsia="仿宋" w:cs="仿宋"/>
          <w:sz w:val="24"/>
          <w:szCs w:val="20"/>
          <w:highlight w:val="none"/>
        </w:rPr>
      </w:pPr>
      <w:r>
        <w:rPr>
          <w:rFonts w:hint="eastAsia" w:ascii="仿宋" w:hAnsi="仿宋" w:eastAsia="仿宋" w:cs="仿宋"/>
          <w:sz w:val="24"/>
          <w:szCs w:val="20"/>
          <w:highlight w:val="none"/>
        </w:rPr>
        <w:t xml:space="preserve">  2、内容必须填写真实、清楚、涂改无效，不得转让。</w:t>
      </w:r>
    </w:p>
    <w:p w14:paraId="6B5F8A8B">
      <w:pPr>
        <w:spacing w:line="360" w:lineRule="auto"/>
        <w:ind w:firstLine="240" w:firstLineChars="100"/>
        <w:rPr>
          <w:rFonts w:ascii="仿宋" w:hAnsi="仿宋" w:eastAsia="仿宋" w:cs="仿宋"/>
          <w:sz w:val="24"/>
          <w:szCs w:val="20"/>
          <w:highlight w:val="none"/>
        </w:rPr>
      </w:pPr>
      <w:r>
        <w:rPr>
          <w:rFonts w:hint="eastAsia" w:ascii="仿宋" w:hAnsi="仿宋" w:eastAsia="仿宋" w:cs="仿宋"/>
          <w:sz w:val="24"/>
          <w:szCs w:val="20"/>
          <w:highlight w:val="none"/>
        </w:rPr>
        <w:t>3、将此证明书原件提交采购代理机构作为磋商响应文件附件。</w:t>
      </w:r>
    </w:p>
    <w:p w14:paraId="3F9359E5">
      <w:pPr>
        <w:spacing w:line="360" w:lineRule="auto"/>
        <w:rPr>
          <w:rFonts w:ascii="仿宋" w:hAnsi="仿宋" w:eastAsia="仿宋" w:cs="仿宋"/>
          <w:sz w:val="24"/>
          <w:szCs w:val="20"/>
          <w:highlight w:val="none"/>
        </w:rPr>
      </w:pPr>
      <w:r>
        <w:rPr>
          <w:rFonts w:hint="eastAsia" w:ascii="仿宋" w:hAnsi="仿宋" w:eastAsia="仿宋" w:cs="仿宋"/>
          <w:sz w:val="24"/>
          <w:szCs w:val="20"/>
          <w:highlight w:val="none"/>
        </w:rPr>
        <w:t xml:space="preserve">  (为避免废标，请供应商务必提供本附件)</w:t>
      </w:r>
    </w:p>
    <w:p w14:paraId="2A17E1E5">
      <w:pPr>
        <w:spacing w:line="360" w:lineRule="auto"/>
        <w:rPr>
          <w:rFonts w:ascii="仿宋" w:hAnsi="仿宋" w:eastAsia="仿宋" w:cs="仿宋"/>
          <w:sz w:val="24"/>
          <w:szCs w:val="20"/>
          <w:highlight w:val="none"/>
        </w:rPr>
      </w:pPr>
      <w:r>
        <w:rPr>
          <w:rFonts w:hint="eastAsia" w:ascii="仿宋" w:hAnsi="仿宋" w:eastAsia="仿宋" w:cs="仿宋"/>
          <w:sz w:val="24"/>
          <w:szCs w:val="20"/>
          <w:highlight w:val="none"/>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542FC8E">
                            <w:pPr>
                              <w:jc w:val="center"/>
                              <w:rPr>
                                <w:rFonts w:hAnsi="宋体"/>
                                <w:szCs w:val="21"/>
                              </w:rPr>
                            </w:pPr>
                          </w:p>
                          <w:p w14:paraId="4F167435">
                            <w:pPr>
                              <w:jc w:val="center"/>
                              <w:rPr>
                                <w:rFonts w:hAnsi="宋体"/>
                                <w:szCs w:val="21"/>
                              </w:rPr>
                            </w:pPr>
                          </w:p>
                          <w:p w14:paraId="733D8342">
                            <w:pPr>
                              <w:jc w:val="center"/>
                              <w:rPr>
                                <w:rFonts w:hAnsi="宋体"/>
                                <w:szCs w:val="21"/>
                              </w:rPr>
                            </w:pPr>
                          </w:p>
                          <w:p w14:paraId="29CDB407">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5WTr11gAAAAgBAAAPAAAAAAAAAAEAIAAAACIAAABkcnMvZG93bnJldi54bWxQSwEC&#10;FAAUAAAACACHTuJAgT5kQy8CAABgBAAADgAAAAAAAAABACAAAAAlAQAAZHJzL2Uyb0RvYy54bWxQ&#10;SwUGAAAAAAYABgBZAQAAxgUAAAAA&#10;">
                <v:fill on="t" focussize="0,0"/>
                <v:stroke color="#000000" joinstyle="miter"/>
                <v:imagedata o:title=""/>
                <o:lock v:ext="edit" aspectratio="f"/>
                <v:textbox>
                  <w:txbxContent>
                    <w:p w14:paraId="7542FC8E">
                      <w:pPr>
                        <w:jc w:val="center"/>
                        <w:rPr>
                          <w:rFonts w:hAnsi="宋体"/>
                          <w:szCs w:val="21"/>
                        </w:rPr>
                      </w:pPr>
                    </w:p>
                    <w:p w14:paraId="4F167435">
                      <w:pPr>
                        <w:jc w:val="center"/>
                        <w:rPr>
                          <w:rFonts w:hAnsi="宋体"/>
                          <w:szCs w:val="21"/>
                        </w:rPr>
                      </w:pPr>
                    </w:p>
                    <w:p w14:paraId="733D8342">
                      <w:pPr>
                        <w:jc w:val="center"/>
                        <w:rPr>
                          <w:rFonts w:hAnsi="宋体"/>
                          <w:szCs w:val="21"/>
                        </w:rPr>
                      </w:pPr>
                    </w:p>
                    <w:p w14:paraId="29CDB407">
                      <w:pPr>
                        <w:jc w:val="center"/>
                        <w:rPr>
                          <w:szCs w:val="21"/>
                        </w:rPr>
                      </w:pPr>
                      <w:r>
                        <w:rPr>
                          <w:rFonts w:hint="eastAsia" w:hAnsi="宋体"/>
                          <w:szCs w:val="21"/>
                        </w:rPr>
                        <w:t>法定代表人身份证复印件</w:t>
                      </w:r>
                    </w:p>
                  </w:txbxContent>
                </v:textbox>
              </v:shape>
            </w:pict>
          </mc:Fallback>
        </mc:AlternateContent>
      </w:r>
      <w:r>
        <w:rPr>
          <w:rFonts w:hint="eastAsia" w:ascii="仿宋" w:hAnsi="仿宋" w:eastAsia="仿宋" w:cs="仿宋"/>
          <w:sz w:val="24"/>
          <w:szCs w:val="20"/>
          <w:highlight w:val="none"/>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9AA29C5">
                            <w:pPr>
                              <w:jc w:val="center"/>
                              <w:rPr>
                                <w:rFonts w:hAnsi="宋体"/>
                                <w:szCs w:val="21"/>
                              </w:rPr>
                            </w:pPr>
                            <w:r>
                              <w:rPr>
                                <w:rFonts w:hint="eastAsia" w:hAnsi="宋体"/>
                                <w:szCs w:val="21"/>
                              </w:rPr>
                              <w:t xml:space="preserve">  </w:t>
                            </w:r>
                          </w:p>
                          <w:p w14:paraId="31F4818F">
                            <w:pPr>
                              <w:jc w:val="center"/>
                              <w:rPr>
                                <w:rFonts w:hAnsi="宋体"/>
                                <w:szCs w:val="21"/>
                              </w:rPr>
                            </w:pPr>
                          </w:p>
                          <w:p w14:paraId="50F8097D">
                            <w:pPr>
                              <w:jc w:val="center"/>
                              <w:rPr>
                                <w:rFonts w:hAnsi="宋体"/>
                                <w:szCs w:val="21"/>
                              </w:rPr>
                            </w:pPr>
                          </w:p>
                          <w:p w14:paraId="1B9C82B0">
                            <w:pPr>
                              <w:jc w:val="center"/>
                              <w:rPr>
                                <w:szCs w:val="21"/>
                              </w:rPr>
                            </w:pPr>
                            <w:r>
                              <w:rPr>
                                <w:rFonts w:hint="eastAsia" w:hAnsi="宋体"/>
                                <w:szCs w:val="21"/>
                              </w:rPr>
                              <w:t>法人身份证复印件反面</w:t>
                            </w:r>
                          </w:p>
                          <w:p w14:paraId="72627E2D"/>
                          <w:p w14:paraId="5FABD129">
                            <w:pPr>
                              <w:pStyle w:val="6"/>
                            </w:pPr>
                          </w:p>
                          <w:p w14:paraId="25B029D0">
                            <w:pPr>
                              <w:pStyle w:val="6"/>
                            </w:pPr>
                          </w:p>
                          <w:p w14:paraId="1A4FA5C0">
                            <w:pPr>
                              <w:pStyle w:val="6"/>
                            </w:pPr>
                          </w:p>
                          <w:p w14:paraId="09CF5713">
                            <w:pPr>
                              <w:pStyle w:val="6"/>
                            </w:pPr>
                          </w:p>
                        </w:txbxContent>
                      </wps:txbx>
                      <wps:bodyPr upright="1"/>
                    </wps:wsp>
                  </a:graphicData>
                </a:graphic>
              </wp:anchor>
            </w:drawing>
          </mc:Choice>
          <mc:Fallback>
            <w:pict>
              <v:roundrect id="_x0000_s1026" o:spid="_x0000_s1026" o:spt="2" style="position:absolute;left:0pt;margin-left:229.8pt;margin-top:2.25pt;height:122.6pt;width:205.5pt;z-index:251660288;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8vY1/aAAAACQEAAA8AAAAAAAAAAQAgAAAAIgAAAGRycy9kb3ducmV2LnhtbFBL&#10;AQIUABQAAAAIAIdO4kCL2ZNHLQIAAGgEAAAOAAAAAAAAAAEAIAAAACkBAABkcnMvZTJvRG9jLnht&#10;bFBLBQYAAAAABgAGAFkBAADIBQAAAAA=&#10;">
                <v:fill on="t" focussize="0,0"/>
                <v:stroke weight="1.25pt" color="#808080" joinstyle="round"/>
                <v:imagedata o:title=""/>
                <o:lock v:ext="edit" aspectratio="f"/>
                <v:textbox>
                  <w:txbxContent>
                    <w:p w14:paraId="39AA29C5">
                      <w:pPr>
                        <w:jc w:val="center"/>
                        <w:rPr>
                          <w:rFonts w:hAnsi="宋体"/>
                          <w:szCs w:val="21"/>
                        </w:rPr>
                      </w:pPr>
                      <w:r>
                        <w:rPr>
                          <w:rFonts w:hint="eastAsia" w:hAnsi="宋体"/>
                          <w:szCs w:val="21"/>
                        </w:rPr>
                        <w:t xml:space="preserve">  </w:t>
                      </w:r>
                    </w:p>
                    <w:p w14:paraId="31F4818F">
                      <w:pPr>
                        <w:jc w:val="center"/>
                        <w:rPr>
                          <w:rFonts w:hAnsi="宋体"/>
                          <w:szCs w:val="21"/>
                        </w:rPr>
                      </w:pPr>
                    </w:p>
                    <w:p w14:paraId="50F8097D">
                      <w:pPr>
                        <w:jc w:val="center"/>
                        <w:rPr>
                          <w:rFonts w:hAnsi="宋体"/>
                          <w:szCs w:val="21"/>
                        </w:rPr>
                      </w:pPr>
                    </w:p>
                    <w:p w14:paraId="1B9C82B0">
                      <w:pPr>
                        <w:jc w:val="center"/>
                        <w:rPr>
                          <w:szCs w:val="21"/>
                        </w:rPr>
                      </w:pPr>
                      <w:r>
                        <w:rPr>
                          <w:rFonts w:hint="eastAsia" w:hAnsi="宋体"/>
                          <w:szCs w:val="21"/>
                        </w:rPr>
                        <w:t>法人身份证复印件反面</w:t>
                      </w:r>
                    </w:p>
                    <w:p w14:paraId="72627E2D"/>
                    <w:p w14:paraId="5FABD129">
                      <w:pPr>
                        <w:pStyle w:val="6"/>
                      </w:pPr>
                    </w:p>
                    <w:p w14:paraId="25B029D0">
                      <w:pPr>
                        <w:pStyle w:val="6"/>
                      </w:pPr>
                    </w:p>
                    <w:p w14:paraId="1A4FA5C0">
                      <w:pPr>
                        <w:pStyle w:val="6"/>
                      </w:pPr>
                    </w:p>
                    <w:p w14:paraId="09CF5713">
                      <w:pPr>
                        <w:pStyle w:val="6"/>
                      </w:pPr>
                    </w:p>
                  </w:txbxContent>
                </v:textbox>
              </v:roundrect>
            </w:pict>
          </mc:Fallback>
        </mc:AlternateContent>
      </w:r>
    </w:p>
    <w:p w14:paraId="49031B4E">
      <w:pPr>
        <w:spacing w:line="360" w:lineRule="auto"/>
        <w:rPr>
          <w:rFonts w:ascii="仿宋" w:hAnsi="仿宋" w:eastAsia="仿宋" w:cs="仿宋"/>
          <w:sz w:val="24"/>
          <w:szCs w:val="20"/>
          <w:highlight w:val="none"/>
        </w:rPr>
      </w:pPr>
    </w:p>
    <w:p w14:paraId="4FEF7D2B">
      <w:pPr>
        <w:spacing w:line="360" w:lineRule="auto"/>
        <w:rPr>
          <w:rFonts w:ascii="仿宋" w:hAnsi="仿宋" w:eastAsia="仿宋" w:cs="仿宋"/>
          <w:sz w:val="24"/>
          <w:szCs w:val="20"/>
          <w:highlight w:val="none"/>
        </w:rPr>
      </w:pPr>
    </w:p>
    <w:p w14:paraId="3017296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4"/>
          <w:szCs w:val="20"/>
          <w:highlight w:val="none"/>
        </w:rPr>
      </w:pPr>
    </w:p>
    <w:p w14:paraId="69F1A6DB">
      <w:pPr>
        <w:autoSpaceDE w:val="0"/>
        <w:autoSpaceDN w:val="0"/>
        <w:adjustRightInd w:val="0"/>
        <w:spacing w:line="360" w:lineRule="auto"/>
        <w:ind w:right="246"/>
        <w:rPr>
          <w:rFonts w:ascii="仿宋" w:hAnsi="仿宋" w:eastAsia="仿宋" w:cs="仿宋"/>
          <w:sz w:val="24"/>
          <w:szCs w:val="20"/>
          <w:highlight w:val="none"/>
        </w:rPr>
      </w:pPr>
    </w:p>
    <w:p w14:paraId="0D788AD9">
      <w:pPr>
        <w:autoSpaceDE w:val="0"/>
        <w:autoSpaceDN w:val="0"/>
        <w:adjustRightInd w:val="0"/>
        <w:spacing w:line="360" w:lineRule="auto"/>
        <w:ind w:right="246" w:firstLine="784" w:firstLineChars="327"/>
        <w:rPr>
          <w:rFonts w:ascii="仿宋" w:hAnsi="仿宋" w:eastAsia="仿宋" w:cs="仿宋"/>
          <w:sz w:val="24"/>
          <w:szCs w:val="20"/>
          <w:highlight w:val="none"/>
        </w:rPr>
      </w:pPr>
    </w:p>
    <w:p w14:paraId="4E425E5D">
      <w:pPr>
        <w:autoSpaceDE w:val="0"/>
        <w:autoSpaceDN w:val="0"/>
        <w:adjustRightInd w:val="0"/>
        <w:spacing w:line="360" w:lineRule="auto"/>
        <w:ind w:right="246" w:firstLine="784" w:firstLineChars="327"/>
        <w:rPr>
          <w:rFonts w:ascii="仿宋" w:hAnsi="仿宋" w:eastAsia="仿宋" w:cs="仿宋"/>
          <w:sz w:val="24"/>
          <w:szCs w:val="20"/>
          <w:highlight w:val="none"/>
        </w:rPr>
      </w:pPr>
    </w:p>
    <w:p w14:paraId="20E9476F">
      <w:pPr>
        <w:autoSpaceDE w:val="0"/>
        <w:autoSpaceDN w:val="0"/>
        <w:adjustRightInd w:val="0"/>
        <w:spacing w:line="360" w:lineRule="auto"/>
        <w:ind w:right="246" w:firstLine="784" w:firstLineChars="327"/>
        <w:rPr>
          <w:rFonts w:ascii="仿宋" w:hAnsi="仿宋" w:eastAsia="仿宋" w:cs="仿宋"/>
          <w:sz w:val="24"/>
          <w:szCs w:val="20"/>
          <w:highlight w:val="none"/>
        </w:rPr>
      </w:pPr>
      <w:r>
        <w:rPr>
          <w:rFonts w:hint="eastAsia" w:ascii="仿宋" w:hAnsi="仿宋" w:eastAsia="仿宋" w:cs="仿宋"/>
          <w:sz w:val="24"/>
          <w:szCs w:val="20"/>
          <w:highlight w:val="none"/>
        </w:rPr>
        <w:t xml:space="preserve">供应商（盖章）：                              </w:t>
      </w:r>
    </w:p>
    <w:p w14:paraId="31345672">
      <w:pPr>
        <w:adjustRightInd w:val="0"/>
        <w:snapToGrid w:val="0"/>
        <w:spacing w:line="360" w:lineRule="auto"/>
        <w:ind w:firstLine="784" w:firstLineChars="327"/>
        <w:rPr>
          <w:rFonts w:ascii="仿宋" w:hAnsi="仿宋" w:eastAsia="仿宋" w:cs="仿宋"/>
          <w:sz w:val="24"/>
          <w:szCs w:val="20"/>
          <w:highlight w:val="none"/>
        </w:rPr>
      </w:pPr>
      <w:r>
        <w:rPr>
          <w:rFonts w:hint="eastAsia" w:ascii="仿宋" w:hAnsi="仿宋" w:eastAsia="仿宋" w:cs="仿宋"/>
          <w:sz w:val="24"/>
          <w:szCs w:val="20"/>
          <w:highlight w:val="none"/>
        </w:rPr>
        <w:t xml:space="preserve">法定代表人签字或盖章：                    </w:t>
      </w:r>
    </w:p>
    <w:p w14:paraId="0C7D9F3C">
      <w:pPr>
        <w:adjustRightInd w:val="0"/>
        <w:snapToGrid w:val="0"/>
        <w:spacing w:line="360" w:lineRule="auto"/>
        <w:ind w:firstLine="784" w:firstLineChars="327"/>
        <w:rPr>
          <w:rFonts w:ascii="仿宋" w:hAnsi="仿宋" w:eastAsia="仿宋" w:cs="仿宋"/>
          <w:sz w:val="24"/>
          <w:szCs w:val="20"/>
          <w:highlight w:val="none"/>
        </w:rPr>
      </w:pPr>
      <w:r>
        <w:rPr>
          <w:rFonts w:hint="eastAsia" w:ascii="仿宋" w:hAnsi="仿宋" w:eastAsia="仿宋" w:cs="仿宋"/>
          <w:sz w:val="24"/>
          <w:szCs w:val="20"/>
          <w:highlight w:val="none"/>
        </w:rPr>
        <w:t xml:space="preserve">日期：                                       </w:t>
      </w:r>
    </w:p>
    <w:p w14:paraId="363B8F96">
      <w:pPr>
        <w:pStyle w:val="12"/>
        <w:tabs>
          <w:tab w:val="left" w:pos="5580"/>
        </w:tabs>
        <w:spacing w:line="240" w:lineRule="atLeast"/>
        <w:ind w:left="1079" w:leftChars="257" w:hanging="540"/>
        <w:rPr>
          <w:rFonts w:ascii="仿宋" w:hAnsi="仿宋" w:eastAsia="仿宋" w:cs="仿宋"/>
          <w:sz w:val="24"/>
          <w:highlight w:val="none"/>
        </w:rPr>
      </w:pPr>
    </w:p>
    <w:p w14:paraId="4184F11D">
      <w:pPr>
        <w:pStyle w:val="12"/>
        <w:tabs>
          <w:tab w:val="left" w:pos="5580"/>
        </w:tabs>
        <w:spacing w:line="240" w:lineRule="atLeast"/>
        <w:rPr>
          <w:rFonts w:ascii="仿宋" w:hAnsi="仿宋" w:eastAsia="仿宋" w:cs="仿宋"/>
          <w:sz w:val="24"/>
          <w:highlight w:val="none"/>
        </w:rPr>
      </w:pPr>
      <w:r>
        <w:rPr>
          <w:rFonts w:hint="eastAsia" w:ascii="仿宋" w:hAnsi="仿宋" w:eastAsia="仿宋" w:cs="仿宋"/>
          <w:sz w:val="24"/>
          <w:highlight w:val="none"/>
        </w:rPr>
        <w:t>说明：1.提供有效的营业执照等证明文件复印件，复印件上应加盖本单位章。</w:t>
      </w:r>
    </w:p>
    <w:p w14:paraId="38FA326C">
      <w:pPr>
        <w:pStyle w:val="12"/>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 xml:space="preserve"> 2. 供应商为自然人的，应提供身份证明的复印件。</w:t>
      </w:r>
    </w:p>
    <w:p w14:paraId="546C0277">
      <w:pPr>
        <w:pStyle w:val="12"/>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 xml:space="preserve"> 3.报价联合体应提供联合体各方满足以上要求的证明文件。</w:t>
      </w:r>
    </w:p>
    <w:p w14:paraId="5380C075">
      <w:pPr>
        <w:pStyle w:val="12"/>
        <w:tabs>
          <w:tab w:val="left" w:pos="5580"/>
        </w:tabs>
        <w:spacing w:line="240" w:lineRule="atLeast"/>
        <w:ind w:left="1079" w:leftChars="257" w:hanging="540"/>
        <w:rPr>
          <w:rFonts w:ascii="仿宋" w:hAnsi="仿宋" w:eastAsia="仿宋" w:cs="仿宋"/>
          <w:sz w:val="24"/>
          <w:highlight w:val="none"/>
        </w:rPr>
      </w:pPr>
    </w:p>
    <w:p w14:paraId="632A97FC">
      <w:pPr>
        <w:pStyle w:val="12"/>
        <w:tabs>
          <w:tab w:val="left" w:pos="5580"/>
        </w:tabs>
        <w:spacing w:line="240" w:lineRule="atLeast"/>
        <w:ind w:left="1079" w:leftChars="257" w:hanging="540"/>
        <w:jc w:val="center"/>
        <w:rPr>
          <w:rFonts w:ascii="仿宋" w:hAnsi="仿宋" w:eastAsia="仿宋" w:cs="仿宋"/>
          <w:sz w:val="24"/>
          <w:highlight w:val="none"/>
        </w:rPr>
      </w:pPr>
    </w:p>
    <w:p w14:paraId="4CE557F0">
      <w:pPr>
        <w:jc w:val="center"/>
        <w:rPr>
          <w:rFonts w:ascii="仿宋" w:hAnsi="仿宋" w:eastAsia="仿宋" w:cs="仿宋"/>
          <w:b/>
          <w:bCs/>
          <w:highlight w:val="none"/>
        </w:rPr>
      </w:pPr>
      <w:bookmarkStart w:id="334" w:name="_Toc515647807"/>
      <w:bookmarkStart w:id="335" w:name="_Toc22472"/>
      <w:bookmarkStart w:id="336" w:name="_Toc1083"/>
      <w:bookmarkStart w:id="337" w:name="_Toc12847_WPSOffice_Level2"/>
    </w:p>
    <w:p w14:paraId="58554F59">
      <w:pPr>
        <w:jc w:val="center"/>
        <w:rPr>
          <w:rFonts w:ascii="仿宋" w:hAnsi="仿宋" w:eastAsia="仿宋" w:cs="仿宋"/>
          <w:b/>
          <w:bCs/>
          <w:highlight w:val="none"/>
        </w:rPr>
      </w:pPr>
    </w:p>
    <w:p w14:paraId="029506F2">
      <w:pPr>
        <w:jc w:val="center"/>
        <w:rPr>
          <w:rFonts w:ascii="仿宋" w:hAnsi="仿宋" w:eastAsia="仿宋" w:cs="仿宋"/>
          <w:b/>
          <w:bCs/>
          <w:highlight w:val="none"/>
        </w:rPr>
      </w:pPr>
    </w:p>
    <w:p w14:paraId="2EA82E58">
      <w:pPr>
        <w:rPr>
          <w:rFonts w:ascii="仿宋" w:hAnsi="仿宋" w:eastAsia="仿宋" w:cs="仿宋"/>
          <w:b/>
          <w:bCs/>
          <w:highlight w:val="none"/>
        </w:rPr>
      </w:pPr>
    </w:p>
    <w:p w14:paraId="7141B880">
      <w:pPr>
        <w:pStyle w:val="3"/>
        <w:spacing w:before="0" w:line="288" w:lineRule="auto"/>
        <w:ind w:left="1078" w:leftChars="257" w:hanging="539"/>
        <w:rPr>
          <w:rFonts w:ascii="仿宋" w:hAnsi="仿宋" w:eastAsia="仿宋" w:cs="仿宋"/>
          <w:sz w:val="24"/>
          <w:szCs w:val="24"/>
          <w:highlight w:val="none"/>
        </w:rPr>
      </w:pPr>
    </w:p>
    <w:p w14:paraId="00EBEACD">
      <w:pPr>
        <w:pStyle w:val="6"/>
        <w:rPr>
          <w:rFonts w:ascii="仿宋" w:hAnsi="仿宋" w:eastAsia="仿宋" w:cs="仿宋"/>
          <w:highlight w:val="none"/>
        </w:rPr>
      </w:pPr>
    </w:p>
    <w:p w14:paraId="6EA9A852">
      <w:pPr>
        <w:pStyle w:val="3"/>
        <w:spacing w:before="0" w:line="288" w:lineRule="auto"/>
        <w:ind w:left="1078" w:leftChars="257" w:hanging="539"/>
        <w:rPr>
          <w:rFonts w:ascii="仿宋" w:hAnsi="仿宋" w:eastAsia="仿宋" w:cs="仿宋"/>
          <w:sz w:val="24"/>
          <w:szCs w:val="24"/>
          <w:highlight w:val="none"/>
        </w:rPr>
      </w:pPr>
      <w:bookmarkStart w:id="338" w:name="_Toc5946"/>
      <w:bookmarkStart w:id="339" w:name="_Toc25830"/>
      <w:bookmarkStart w:id="340" w:name="_Toc4256"/>
      <w:bookmarkStart w:id="341" w:name="_Toc1783"/>
      <w:bookmarkStart w:id="342" w:name="_Toc26070"/>
      <w:bookmarkStart w:id="343" w:name="_Toc15673"/>
      <w:bookmarkStart w:id="344" w:name="_Toc8727"/>
      <w:bookmarkStart w:id="345" w:name="_Toc16455"/>
      <w:bookmarkStart w:id="346" w:name="_Toc30683"/>
      <w:r>
        <w:rPr>
          <w:rFonts w:hint="eastAsia" w:ascii="仿宋" w:hAnsi="仿宋" w:eastAsia="仿宋" w:cs="仿宋"/>
          <w:sz w:val="24"/>
          <w:szCs w:val="24"/>
          <w:highlight w:val="none"/>
        </w:rPr>
        <w:t>4  法定代表人授权委托书</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7CD3B294">
      <w:pPr>
        <w:pStyle w:val="12"/>
        <w:tabs>
          <w:tab w:val="left" w:pos="5580"/>
        </w:tabs>
        <w:spacing w:line="240" w:lineRule="atLeast"/>
        <w:ind w:left="1079" w:leftChars="257" w:hanging="540"/>
        <w:jc w:val="left"/>
        <w:rPr>
          <w:rFonts w:ascii="仿宋" w:hAnsi="仿宋" w:eastAsia="仿宋" w:cs="仿宋"/>
          <w:sz w:val="24"/>
          <w:highlight w:val="none"/>
        </w:rPr>
      </w:pPr>
      <w:bookmarkStart w:id="347" w:name="_Toc5179"/>
      <w:r>
        <w:rPr>
          <w:rFonts w:hint="eastAsia" w:ascii="仿宋" w:hAnsi="仿宋" w:eastAsia="仿宋" w:cs="仿宋"/>
          <w:sz w:val="24"/>
          <w:highlight w:val="none"/>
        </w:rPr>
        <w:cr/>
      </w:r>
      <w:r>
        <w:rPr>
          <w:rFonts w:hint="eastAsia" w:ascii="仿宋" w:hAnsi="仿宋" w:eastAsia="仿宋" w:cs="仿宋"/>
          <w:sz w:val="24"/>
          <w:highlight w:val="none"/>
        </w:rPr>
        <w:t xml:space="preserve">    本授权书声明：注册于（国家或地区的名称）的（供应商）的在下面签字的（法人代表姓名、职务）代表我单位授权（单位名称）的在下面签字的（被授权人的姓名、职务）为我单位的合法代理人，就项 目 名 称 项目编号（编号名称）磋商，以我单位名义处理一切与之有关的事务。</w:t>
      </w:r>
      <w:r>
        <w:rPr>
          <w:rFonts w:hint="eastAsia" w:ascii="仿宋" w:hAnsi="仿宋" w:eastAsia="仿宋" w:cs="仿宋"/>
          <w:sz w:val="24"/>
          <w:highlight w:val="none"/>
        </w:rPr>
        <w:cr/>
      </w:r>
      <w:bookmarkEnd w:id="347"/>
      <w:r>
        <w:rPr>
          <w:rFonts w:hint="eastAsia" w:ascii="仿宋" w:hAnsi="仿宋" w:eastAsia="仿宋" w:cs="仿宋"/>
          <w:sz w:val="24"/>
          <w:highlight w:val="none"/>
        </w:rPr>
        <w:t>　　</w:t>
      </w:r>
    </w:p>
    <w:p w14:paraId="7A8D8003">
      <w:pPr>
        <w:pStyle w:val="12"/>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本授权书于           年     月     日签字生效,特此声明。</w:t>
      </w:r>
      <w:r>
        <w:rPr>
          <w:rFonts w:hint="eastAsia" w:ascii="仿宋" w:hAnsi="仿宋" w:eastAsia="仿宋" w:cs="仿宋"/>
          <w:sz w:val="24"/>
          <w:highlight w:val="none"/>
        </w:rPr>
        <w:cr/>
      </w:r>
      <w:r>
        <w:rPr>
          <w:rFonts w:hint="eastAsia" w:ascii="仿宋" w:hAnsi="仿宋" w:eastAsia="仿宋" w:cs="仿宋"/>
          <w:sz w:val="24"/>
          <w:highlight w:val="none"/>
        </w:rPr>
        <w:cr/>
      </w:r>
    </w:p>
    <w:p w14:paraId="408286DD">
      <w:pPr>
        <w:pStyle w:val="12"/>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2810510</wp:posOffset>
                </wp:positionH>
                <wp:positionV relativeFrom="paragraph">
                  <wp:posOffset>15875</wp:posOffset>
                </wp:positionV>
                <wp:extent cx="2563495" cy="1158240"/>
                <wp:effectExtent l="7620" t="7620" r="19685" b="15240"/>
                <wp:wrapNone/>
                <wp:docPr id="2" name="圆角矩形 2"/>
                <wp:cNvGraphicFramePr/>
                <a:graphic xmlns:a="http://schemas.openxmlformats.org/drawingml/2006/main">
                  <a:graphicData uri="http://schemas.microsoft.com/office/word/2010/wordprocessingShape">
                    <wps:wsp>
                      <wps:cNvSpPr/>
                      <wps:spPr>
                        <a:xfrm>
                          <a:off x="0" y="0"/>
                          <a:ext cx="2563495" cy="115824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79ACE9DE">
                            <w:pPr>
                              <w:rPr>
                                <w:rFonts w:hAnsi="宋体"/>
                              </w:rPr>
                            </w:pPr>
                          </w:p>
                          <w:p w14:paraId="6B9E6C49">
                            <w:pPr>
                              <w:rPr>
                                <w:rFonts w:hAnsi="宋体"/>
                              </w:rPr>
                            </w:pPr>
                          </w:p>
                          <w:p w14:paraId="76893DD7">
                            <w:r>
                              <w:rPr>
                                <w:rFonts w:hint="eastAsia" w:hAnsi="宋体"/>
                              </w:rPr>
                              <w:t>授权委托人身份证复印件反面</w:t>
                            </w:r>
                          </w:p>
                          <w:p w14:paraId="27AE891C"/>
                        </w:txbxContent>
                      </wps:txbx>
                      <wps:bodyPr upright="1"/>
                    </wps:wsp>
                  </a:graphicData>
                </a:graphic>
              </wp:anchor>
            </w:drawing>
          </mc:Choice>
          <mc:Fallback>
            <w:pict>
              <v:roundrect id="_x0000_s1026" o:spid="_x0000_s1026" o:spt="2" style="position:absolute;left:0pt;margin-left:221.3pt;margin-top:1.25pt;height:91.2pt;width:201.85pt;z-index:251662336;mso-width-relative:page;mso-height-relative:page;" fillcolor="#FFFFFF" filled="t" stroked="t" coordsize="21600,21600" arcsize="0.166666666666667" o:gfxdata="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teqZtsAAAAJAQAADwAAAAAAAAABACAAAAAiAAAAZHJzL2Rvd25yZXYueG1sUEsBAhQAFAAA&#10;AAgAh07iQBrmDvMlAgAAWAQAAA4AAAAAAAAAAQAgAAAAKgEAAGRycy9lMm9Eb2MueG1sUEsFBgAA&#10;AAAGAAYAWQEAAMEFAAAAAA==&#10;">
                <v:fill on="t" focussize="0,0"/>
                <v:stroke weight="1.25pt" color="#808080" joinstyle="round"/>
                <v:imagedata o:title=""/>
                <o:lock v:ext="edit" aspectratio="f"/>
                <v:textbox>
                  <w:txbxContent>
                    <w:p w14:paraId="79ACE9DE">
                      <w:pPr>
                        <w:rPr>
                          <w:rFonts w:hAnsi="宋体"/>
                        </w:rPr>
                      </w:pPr>
                    </w:p>
                    <w:p w14:paraId="6B9E6C49">
                      <w:pPr>
                        <w:rPr>
                          <w:rFonts w:hAnsi="宋体"/>
                        </w:rPr>
                      </w:pPr>
                    </w:p>
                    <w:p w14:paraId="76893DD7">
                      <w:r>
                        <w:rPr>
                          <w:rFonts w:hint="eastAsia" w:hAnsi="宋体"/>
                        </w:rPr>
                        <w:t>授权委托人身份证复印件反面</w:t>
                      </w:r>
                    </w:p>
                    <w:p w14:paraId="27AE891C"/>
                  </w:txbxContent>
                </v:textbox>
              </v:roundrect>
            </w:pict>
          </mc:Fallback>
        </mc:AlternateContent>
      </w: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241935</wp:posOffset>
                </wp:positionH>
                <wp:positionV relativeFrom="paragraph">
                  <wp:posOffset>6350</wp:posOffset>
                </wp:positionV>
                <wp:extent cx="2317750" cy="1143000"/>
                <wp:effectExtent l="4445" t="5080" r="20955" b="13970"/>
                <wp:wrapNone/>
                <wp:docPr id="3" name="流程图: 可选过程 3"/>
                <wp:cNvGraphicFramePr/>
                <a:graphic xmlns:a="http://schemas.openxmlformats.org/drawingml/2006/main">
                  <a:graphicData uri="http://schemas.microsoft.com/office/word/2010/wordprocessingShape">
                    <wps:wsp>
                      <wps:cNvSpPr/>
                      <wps:spPr>
                        <a:xfrm>
                          <a:off x="0" y="0"/>
                          <a:ext cx="2317750"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E6531CE">
                            <w:pPr>
                              <w:jc w:val="center"/>
                              <w:rPr>
                                <w:rFonts w:hAnsi="宋体"/>
                              </w:rPr>
                            </w:pPr>
                          </w:p>
                          <w:p w14:paraId="41DB00F3">
                            <w:pPr>
                              <w:jc w:val="center"/>
                              <w:rPr>
                                <w:rFonts w:hAnsi="宋体"/>
                              </w:rPr>
                            </w:pPr>
                          </w:p>
                          <w:p w14:paraId="5E954254">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9.05pt;margin-top:0.5pt;height:90pt;width:182.5pt;z-index:251661312;mso-width-relative:page;mso-height-relative:page;" fillcolor="#FFFFFF" filled="t" stroked="t" coordsize="21600,21600" o:gfxdata="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TEFRbRAAAACAEAAA8AAAAAAAAAAQAgAAAAIgAAAGRycy9kb3ducmV2LnhtbFBLAQIUABQAAAAI&#10;AIdO4kD5c5jMLQIAAFAEAAAOAAAAAAAAAAEAIAAAACABAABkcnMvZTJvRG9jLnhtbFBLBQYAAAAA&#10;BgAGAFkBAAC/BQAAAAA=&#10;">
                <v:fill on="t" focussize="0,0"/>
                <v:stroke color="#000000" joinstyle="miter"/>
                <v:imagedata o:title=""/>
                <o:lock v:ext="edit" aspectratio="f"/>
                <v:textbox>
                  <w:txbxContent>
                    <w:p w14:paraId="5E6531CE">
                      <w:pPr>
                        <w:jc w:val="center"/>
                        <w:rPr>
                          <w:rFonts w:hAnsi="宋体"/>
                        </w:rPr>
                      </w:pPr>
                    </w:p>
                    <w:p w14:paraId="41DB00F3">
                      <w:pPr>
                        <w:jc w:val="center"/>
                        <w:rPr>
                          <w:rFonts w:hAnsi="宋体"/>
                        </w:rPr>
                      </w:pPr>
                    </w:p>
                    <w:p w14:paraId="5E954254">
                      <w:r>
                        <w:rPr>
                          <w:rFonts w:hint="eastAsia" w:hAnsi="宋体"/>
                        </w:rPr>
                        <w:t>授权委托人身份证复印件正面</w:t>
                      </w:r>
                    </w:p>
                  </w:txbxContent>
                </v:textbox>
              </v:shape>
            </w:pict>
          </mc:Fallback>
        </mc:AlternateContent>
      </w:r>
    </w:p>
    <w:p w14:paraId="57ED0B82">
      <w:pPr>
        <w:pStyle w:val="12"/>
        <w:tabs>
          <w:tab w:val="left" w:pos="5580"/>
        </w:tabs>
        <w:spacing w:line="240" w:lineRule="atLeast"/>
        <w:ind w:left="1079" w:leftChars="257" w:hanging="540"/>
        <w:rPr>
          <w:rFonts w:ascii="仿宋" w:hAnsi="仿宋" w:eastAsia="仿宋" w:cs="仿宋"/>
          <w:sz w:val="24"/>
          <w:highlight w:val="none"/>
        </w:rPr>
      </w:pPr>
    </w:p>
    <w:p w14:paraId="1C28C194">
      <w:pPr>
        <w:pStyle w:val="12"/>
        <w:tabs>
          <w:tab w:val="left" w:pos="5580"/>
        </w:tabs>
        <w:spacing w:line="240" w:lineRule="atLeast"/>
        <w:ind w:left="1079" w:leftChars="257" w:hanging="540"/>
        <w:rPr>
          <w:rFonts w:ascii="仿宋" w:hAnsi="仿宋" w:eastAsia="仿宋" w:cs="仿宋"/>
          <w:sz w:val="24"/>
          <w:highlight w:val="none"/>
        </w:rPr>
      </w:pPr>
    </w:p>
    <w:p w14:paraId="6F2F31AF">
      <w:pPr>
        <w:pStyle w:val="12"/>
        <w:tabs>
          <w:tab w:val="left" w:pos="5580"/>
        </w:tabs>
        <w:spacing w:line="240" w:lineRule="atLeast"/>
        <w:ind w:left="1079" w:leftChars="257" w:hanging="540"/>
        <w:rPr>
          <w:rFonts w:ascii="仿宋" w:hAnsi="仿宋" w:eastAsia="仿宋" w:cs="仿宋"/>
          <w:sz w:val="24"/>
          <w:highlight w:val="none"/>
        </w:rPr>
      </w:pPr>
    </w:p>
    <w:p w14:paraId="404AB94E">
      <w:pPr>
        <w:pStyle w:val="12"/>
        <w:tabs>
          <w:tab w:val="left" w:pos="5580"/>
        </w:tabs>
        <w:spacing w:line="240" w:lineRule="atLeast"/>
        <w:ind w:left="1079" w:leftChars="257" w:hanging="540"/>
        <w:rPr>
          <w:rFonts w:ascii="仿宋" w:hAnsi="仿宋" w:eastAsia="仿宋" w:cs="仿宋"/>
          <w:sz w:val="24"/>
          <w:highlight w:val="none"/>
        </w:rPr>
      </w:pPr>
    </w:p>
    <w:p w14:paraId="149B504C">
      <w:pPr>
        <w:pStyle w:val="12"/>
        <w:tabs>
          <w:tab w:val="left" w:pos="5580"/>
        </w:tabs>
        <w:spacing w:line="240" w:lineRule="atLeast"/>
        <w:ind w:left="1079" w:leftChars="257" w:hanging="540"/>
        <w:rPr>
          <w:rFonts w:ascii="仿宋" w:hAnsi="仿宋" w:eastAsia="仿宋" w:cs="仿宋"/>
          <w:sz w:val="24"/>
          <w:highlight w:val="none"/>
        </w:rPr>
      </w:pPr>
    </w:p>
    <w:p w14:paraId="1748C133">
      <w:pPr>
        <w:pStyle w:val="12"/>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4384" behindDoc="0" locked="0" layoutInCell="1" allowOverlap="1">
                <wp:simplePos x="0" y="0"/>
                <wp:positionH relativeFrom="column">
                  <wp:posOffset>2820035</wp:posOffset>
                </wp:positionH>
                <wp:positionV relativeFrom="paragraph">
                  <wp:posOffset>52070</wp:posOffset>
                </wp:positionV>
                <wp:extent cx="2566670" cy="1067435"/>
                <wp:effectExtent l="7620" t="7620" r="16510" b="10795"/>
                <wp:wrapNone/>
                <wp:docPr id="4" name="圆角矩形 4"/>
                <wp:cNvGraphicFramePr/>
                <a:graphic xmlns:a="http://schemas.openxmlformats.org/drawingml/2006/main">
                  <a:graphicData uri="http://schemas.microsoft.com/office/word/2010/wordprocessingShape">
                    <wps:wsp>
                      <wps:cNvSpPr/>
                      <wps:spPr>
                        <a:xfrm>
                          <a:off x="0" y="0"/>
                          <a:ext cx="2566670" cy="106743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599048C0">
                            <w:pPr>
                              <w:rPr>
                                <w:rFonts w:hAnsi="宋体"/>
                              </w:rPr>
                            </w:pPr>
                            <w:r>
                              <w:rPr>
                                <w:rFonts w:hint="eastAsia" w:hAnsi="宋体"/>
                              </w:rPr>
                              <w:t xml:space="preserve">  </w:t>
                            </w:r>
                          </w:p>
                          <w:p w14:paraId="6E0DF29D">
                            <w:pPr>
                              <w:ind w:firstLine="420" w:firstLineChars="200"/>
                              <w:rPr>
                                <w:rFonts w:hAnsi="宋体"/>
                              </w:rPr>
                            </w:pPr>
                          </w:p>
                          <w:p w14:paraId="6AFEA519">
                            <w:pPr>
                              <w:ind w:firstLine="420" w:firstLineChars="200"/>
                            </w:pPr>
                            <w:r>
                              <w:rPr>
                                <w:rFonts w:hint="eastAsia" w:hAnsi="宋体"/>
                              </w:rPr>
                              <w:t>法人身份证复印件反面</w:t>
                            </w:r>
                          </w:p>
                          <w:p w14:paraId="49BE9D6F"/>
                        </w:txbxContent>
                      </wps:txbx>
                      <wps:bodyPr upright="1"/>
                    </wps:wsp>
                  </a:graphicData>
                </a:graphic>
              </wp:anchor>
            </w:drawing>
          </mc:Choice>
          <mc:Fallback>
            <w:pict>
              <v:roundrect id="_x0000_s1026" o:spid="_x0000_s1026" o:spt="2" style="position:absolute;left:0pt;margin-left:222.05pt;margin-top:4.1pt;height:84.05pt;width:202.1pt;z-index:251664384;mso-width-relative:page;mso-height-relative:page;" fillcolor="#FFFFFF" filled="t" stroked="t" coordsize="21600,21600" arcsize="0.166666666666667" o:gfxdata="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xqkSNoAAAAJAQAADwAAAAAAAAABACAAAAAiAAAAZHJzL2Rvd25yZXYueG1sUEsBAhQAFAAAAAgA&#10;h07iQNrSLIgjAgAAWAQAAA4AAAAAAAAAAQAgAAAAKQEAAGRycy9lMm9Eb2MueG1sUEsFBgAAAAAG&#10;AAYAWQEAAL4FAAAAAA==&#10;">
                <v:fill on="t" focussize="0,0"/>
                <v:stroke weight="1.25pt" color="#808080" joinstyle="round"/>
                <v:imagedata o:title=""/>
                <o:lock v:ext="edit" aspectratio="f"/>
                <v:textbox>
                  <w:txbxContent>
                    <w:p w14:paraId="599048C0">
                      <w:pPr>
                        <w:rPr>
                          <w:rFonts w:hAnsi="宋体"/>
                        </w:rPr>
                      </w:pPr>
                      <w:r>
                        <w:rPr>
                          <w:rFonts w:hint="eastAsia" w:hAnsi="宋体"/>
                        </w:rPr>
                        <w:t xml:space="preserve">  </w:t>
                      </w:r>
                    </w:p>
                    <w:p w14:paraId="6E0DF29D">
                      <w:pPr>
                        <w:ind w:firstLine="420" w:firstLineChars="200"/>
                        <w:rPr>
                          <w:rFonts w:hAnsi="宋体"/>
                        </w:rPr>
                      </w:pPr>
                    </w:p>
                    <w:p w14:paraId="6AFEA519">
                      <w:pPr>
                        <w:ind w:firstLine="420" w:firstLineChars="200"/>
                      </w:pPr>
                      <w:r>
                        <w:rPr>
                          <w:rFonts w:hint="eastAsia" w:hAnsi="宋体"/>
                        </w:rPr>
                        <w:t>法人身份证复印件反面</w:t>
                      </w:r>
                    </w:p>
                    <w:p w14:paraId="49BE9D6F"/>
                  </w:txbxContent>
                </v:textbox>
              </v:roundrect>
            </w:pict>
          </mc:Fallback>
        </mc:AlternateContent>
      </w:r>
      <w:r>
        <w:rPr>
          <w:rFonts w:hint="eastAsia" w:ascii="仿宋" w:hAnsi="仿宋" w:eastAsia="仿宋" w:cs="仿宋"/>
          <w:sz w:val="24"/>
          <w:highlight w:val="none"/>
        </w:rPr>
        <mc:AlternateContent>
          <mc:Choice Requires="wps">
            <w:drawing>
              <wp:anchor distT="0" distB="0" distL="114300" distR="114300" simplePos="0" relativeHeight="251663360" behindDoc="0" locked="0" layoutInCell="1" allowOverlap="1">
                <wp:simplePos x="0" y="0"/>
                <wp:positionH relativeFrom="column">
                  <wp:posOffset>194310</wp:posOffset>
                </wp:positionH>
                <wp:positionV relativeFrom="paragraph">
                  <wp:posOffset>21590</wp:posOffset>
                </wp:positionV>
                <wp:extent cx="2372995" cy="1114425"/>
                <wp:effectExtent l="7620" t="7620" r="19685" b="20955"/>
                <wp:wrapNone/>
                <wp:docPr id="5" name="圆角矩形 5"/>
                <wp:cNvGraphicFramePr/>
                <a:graphic xmlns:a="http://schemas.openxmlformats.org/drawingml/2006/main">
                  <a:graphicData uri="http://schemas.microsoft.com/office/word/2010/wordprocessingShape">
                    <wps:wsp>
                      <wps:cNvSpPr/>
                      <wps:spPr>
                        <a:xfrm>
                          <a:off x="0" y="0"/>
                          <a:ext cx="2372995" cy="111442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D626921">
                            <w:pPr>
                              <w:jc w:val="center"/>
                              <w:rPr>
                                <w:rFonts w:hAnsi="宋体"/>
                              </w:rPr>
                            </w:pPr>
                          </w:p>
                          <w:p w14:paraId="055BAC4D">
                            <w:pPr>
                              <w:jc w:val="center"/>
                              <w:rPr>
                                <w:rFonts w:hAnsi="宋体"/>
                              </w:rPr>
                            </w:pPr>
                          </w:p>
                          <w:p w14:paraId="25BD3755">
                            <w:pPr>
                              <w:ind w:firstLine="420" w:firstLineChars="200"/>
                            </w:pPr>
                            <w:r>
                              <w:rPr>
                                <w:rFonts w:hint="eastAsia" w:hAnsi="宋体"/>
                              </w:rPr>
                              <w:t>法人身份证复印件正面</w:t>
                            </w:r>
                          </w:p>
                          <w:p w14:paraId="27338ED6"/>
                        </w:txbxContent>
                      </wps:txbx>
                      <wps:bodyPr upright="1"/>
                    </wps:wsp>
                  </a:graphicData>
                </a:graphic>
              </wp:anchor>
            </w:drawing>
          </mc:Choice>
          <mc:Fallback>
            <w:pict>
              <v:roundrect id="_x0000_s1026" o:spid="_x0000_s1026" o:spt="2" style="position:absolute;left:0pt;margin-left:15.3pt;margin-top:1.7pt;height:87.75pt;width:186.85pt;z-index:251663360;mso-width-relative:page;mso-height-relative:page;" fillcolor="#FFFFFF" filled="t" stroked="t" coordsize="21600,21600" arcsize="0.166666666666667" o:gfxdata="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0AgWLZAAAACAEAAA8AAAAAAAAAAQAgAAAAIgAAAGRycy9kb3ducmV2LnhtbFBLAQIUABQAAAAI&#10;AIdO4kDiNerNJQIAAFgEAAAOAAAAAAAAAAEAIAAAACgBAABkcnMvZTJvRG9jLnhtbFBLBQYAAAAA&#10;BgAGAFkBAAC/BQAAAAA=&#10;">
                <v:fill on="t" focussize="0,0"/>
                <v:stroke weight="1.25pt" color="#808080" joinstyle="round"/>
                <v:imagedata o:title=""/>
                <o:lock v:ext="edit" aspectratio="f"/>
                <v:textbox>
                  <w:txbxContent>
                    <w:p w14:paraId="1D626921">
                      <w:pPr>
                        <w:jc w:val="center"/>
                        <w:rPr>
                          <w:rFonts w:hAnsi="宋体"/>
                        </w:rPr>
                      </w:pPr>
                    </w:p>
                    <w:p w14:paraId="055BAC4D">
                      <w:pPr>
                        <w:jc w:val="center"/>
                        <w:rPr>
                          <w:rFonts w:hAnsi="宋体"/>
                        </w:rPr>
                      </w:pPr>
                    </w:p>
                    <w:p w14:paraId="25BD3755">
                      <w:pPr>
                        <w:ind w:firstLine="420" w:firstLineChars="200"/>
                      </w:pPr>
                      <w:r>
                        <w:rPr>
                          <w:rFonts w:hint="eastAsia" w:hAnsi="宋体"/>
                        </w:rPr>
                        <w:t>法人身份证复印件正面</w:t>
                      </w:r>
                    </w:p>
                    <w:p w14:paraId="27338ED6"/>
                  </w:txbxContent>
                </v:textbox>
              </v:roundrect>
            </w:pict>
          </mc:Fallback>
        </mc:AlternateContent>
      </w:r>
    </w:p>
    <w:p w14:paraId="0936902A">
      <w:pPr>
        <w:pStyle w:val="12"/>
        <w:tabs>
          <w:tab w:val="left" w:pos="5580"/>
        </w:tabs>
        <w:spacing w:line="240" w:lineRule="atLeast"/>
        <w:ind w:left="1079" w:leftChars="257" w:hanging="540"/>
        <w:rPr>
          <w:rFonts w:ascii="仿宋" w:hAnsi="仿宋" w:eastAsia="仿宋" w:cs="仿宋"/>
          <w:sz w:val="24"/>
          <w:highlight w:val="none"/>
        </w:rPr>
      </w:pPr>
    </w:p>
    <w:p w14:paraId="3483639B">
      <w:pPr>
        <w:pStyle w:val="12"/>
        <w:tabs>
          <w:tab w:val="left" w:pos="5580"/>
        </w:tabs>
        <w:spacing w:line="240" w:lineRule="atLeast"/>
        <w:ind w:left="1079" w:leftChars="257" w:hanging="540"/>
        <w:rPr>
          <w:rFonts w:ascii="仿宋" w:hAnsi="仿宋" w:eastAsia="仿宋" w:cs="仿宋"/>
          <w:sz w:val="24"/>
          <w:highlight w:val="none"/>
        </w:rPr>
      </w:pPr>
    </w:p>
    <w:p w14:paraId="71A9B0A3">
      <w:pPr>
        <w:pStyle w:val="12"/>
        <w:tabs>
          <w:tab w:val="left" w:pos="5580"/>
        </w:tabs>
        <w:spacing w:line="240" w:lineRule="atLeast"/>
        <w:ind w:left="1079" w:leftChars="257" w:hanging="540"/>
        <w:rPr>
          <w:rFonts w:ascii="仿宋" w:hAnsi="仿宋" w:eastAsia="仿宋" w:cs="仿宋"/>
          <w:sz w:val="24"/>
          <w:highlight w:val="none"/>
        </w:rPr>
      </w:pPr>
    </w:p>
    <w:p w14:paraId="146EDD50">
      <w:pPr>
        <w:pStyle w:val="12"/>
        <w:tabs>
          <w:tab w:val="left" w:pos="5580"/>
        </w:tabs>
        <w:spacing w:line="240" w:lineRule="atLeast"/>
        <w:ind w:left="1079" w:leftChars="257" w:hanging="540"/>
        <w:rPr>
          <w:rFonts w:ascii="仿宋" w:hAnsi="仿宋" w:eastAsia="仿宋" w:cs="仿宋"/>
          <w:sz w:val="24"/>
          <w:highlight w:val="none"/>
        </w:rPr>
      </w:pPr>
    </w:p>
    <w:p w14:paraId="6985EB1E">
      <w:pPr>
        <w:pStyle w:val="12"/>
        <w:tabs>
          <w:tab w:val="left" w:pos="5580"/>
        </w:tabs>
        <w:spacing w:line="240" w:lineRule="atLeast"/>
        <w:ind w:left="1079" w:leftChars="257" w:hanging="540"/>
        <w:rPr>
          <w:rFonts w:ascii="仿宋" w:hAnsi="仿宋" w:eastAsia="仿宋" w:cs="仿宋"/>
          <w:sz w:val="24"/>
          <w:highlight w:val="none"/>
        </w:rPr>
      </w:pPr>
    </w:p>
    <w:p w14:paraId="187B64FD">
      <w:pPr>
        <w:pStyle w:val="12"/>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 xml:space="preserve">供应商（盖单位章）;                           </w:t>
      </w:r>
    </w:p>
    <w:p w14:paraId="4689A6C6">
      <w:pPr>
        <w:pStyle w:val="12"/>
        <w:tabs>
          <w:tab w:val="left" w:pos="5580"/>
        </w:tabs>
        <w:spacing w:line="240" w:lineRule="atLeast"/>
        <w:ind w:left="1079" w:leftChars="257" w:hanging="540"/>
        <w:rPr>
          <w:rFonts w:ascii="仿宋" w:hAnsi="仿宋" w:eastAsia="仿宋" w:cs="仿宋"/>
          <w:sz w:val="24"/>
          <w:highlight w:val="none"/>
          <w:u w:val="single"/>
        </w:rPr>
      </w:pPr>
      <w:r>
        <w:rPr>
          <w:rFonts w:hint="eastAsia" w:ascii="仿宋" w:hAnsi="仿宋" w:eastAsia="仿宋" w:cs="仿宋"/>
          <w:sz w:val="24"/>
          <w:highlight w:val="none"/>
        </w:rPr>
        <w:t>法定代表人（签字或签章）：</w:t>
      </w:r>
      <w:r>
        <w:rPr>
          <w:rFonts w:hint="eastAsia" w:ascii="仿宋" w:hAnsi="仿宋" w:eastAsia="仿宋" w:cs="仿宋"/>
          <w:sz w:val="24"/>
          <w:highlight w:val="none"/>
          <w:u w:val="single"/>
        </w:rPr>
        <w:t xml:space="preserve">                     </w:t>
      </w:r>
    </w:p>
    <w:p w14:paraId="7F7619AF">
      <w:pPr>
        <w:pStyle w:val="12"/>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 xml:space="preserve">身份证号码：__________________________________ </w:t>
      </w:r>
    </w:p>
    <w:p w14:paraId="37401E40">
      <w:pPr>
        <w:pStyle w:val="12"/>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委托代理人（签字或签章）：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5D479E2D">
      <w:pPr>
        <w:pStyle w:val="12"/>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02CBA394">
      <w:pPr>
        <w:pStyle w:val="12"/>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5CB18491">
      <w:pPr>
        <w:pStyle w:val="12"/>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14:paraId="1E163605">
      <w:pPr>
        <w:pStyle w:val="12"/>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传　　　　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6DD618DF">
      <w:pPr>
        <w:pStyle w:val="12"/>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7A9F1886">
      <w:pPr>
        <w:widowControl/>
        <w:spacing w:line="500" w:lineRule="exact"/>
        <w:ind w:firstLine="470" w:firstLineChars="196"/>
        <w:rPr>
          <w:rFonts w:ascii="仿宋" w:hAnsi="仿宋" w:eastAsia="仿宋" w:cs="仿宋"/>
          <w:sz w:val="24"/>
          <w:highlight w:val="none"/>
          <w:u w:val="single" w:color="FFFFFF"/>
        </w:rPr>
      </w:pPr>
      <w:r>
        <w:rPr>
          <w:rFonts w:hint="eastAsia" w:ascii="仿宋" w:hAnsi="仿宋" w:eastAsia="仿宋" w:cs="仿宋"/>
          <w:sz w:val="24"/>
          <w:highlight w:val="none"/>
          <w:u w:val="single" w:color="FFFFFF"/>
        </w:rPr>
        <w:t xml:space="preserve">   </w:t>
      </w:r>
      <w:r>
        <w:rPr>
          <w:rFonts w:hint="eastAsia" w:ascii="仿宋" w:hAnsi="仿宋" w:eastAsia="仿宋" w:cs="仿宋"/>
          <w:b/>
          <w:bCs/>
          <w:sz w:val="24"/>
          <w:highlight w:val="none"/>
          <w:u w:val="single" w:color="FFFFFF"/>
        </w:rPr>
        <w:t xml:space="preserve"> </w:t>
      </w:r>
      <w:bookmarkEnd w:id="326"/>
      <w:bookmarkEnd w:id="327"/>
      <w:bookmarkEnd w:id="328"/>
      <w:bookmarkEnd w:id="329"/>
      <w:r>
        <w:rPr>
          <w:rFonts w:hint="eastAsia" w:ascii="仿宋" w:hAnsi="仿宋" w:eastAsia="仿宋" w:cs="仿宋"/>
          <w:sz w:val="24"/>
          <w:highlight w:val="none"/>
          <w:u w:val="single" w:color="FFFFFF"/>
        </w:rPr>
        <w:t xml:space="preserve"> </w:t>
      </w:r>
      <w:bookmarkStart w:id="348" w:name="_Toc41737064"/>
      <w:bookmarkStart w:id="349" w:name="_Toc18754"/>
      <w:bookmarkStart w:id="350" w:name="_Toc515647810"/>
      <w:bookmarkStart w:id="351" w:name="_Toc5710"/>
    </w:p>
    <w:p w14:paraId="5A013267">
      <w:pPr>
        <w:widowControl/>
        <w:spacing w:line="500" w:lineRule="exact"/>
        <w:ind w:firstLine="470" w:firstLineChars="196"/>
        <w:rPr>
          <w:rFonts w:ascii="仿宋" w:hAnsi="仿宋" w:eastAsia="仿宋" w:cs="仿宋"/>
          <w:sz w:val="24"/>
          <w:highlight w:val="none"/>
          <w:u w:val="single" w:color="FFFFFF"/>
        </w:rPr>
      </w:pPr>
    </w:p>
    <w:p w14:paraId="5209C43C">
      <w:pPr>
        <w:widowControl/>
        <w:spacing w:line="500" w:lineRule="exact"/>
        <w:ind w:firstLine="470" w:firstLineChars="196"/>
        <w:rPr>
          <w:rFonts w:ascii="仿宋" w:hAnsi="仿宋" w:eastAsia="仿宋" w:cs="仿宋"/>
          <w:sz w:val="24"/>
          <w:highlight w:val="none"/>
          <w:u w:val="single" w:color="FFFFFF"/>
        </w:rPr>
      </w:pPr>
    </w:p>
    <w:p w14:paraId="3615716C">
      <w:pPr>
        <w:widowControl/>
        <w:spacing w:line="500" w:lineRule="exact"/>
        <w:ind w:firstLine="470" w:firstLineChars="196"/>
        <w:rPr>
          <w:rFonts w:ascii="仿宋" w:hAnsi="仿宋" w:eastAsia="仿宋" w:cs="仿宋"/>
          <w:sz w:val="24"/>
          <w:highlight w:val="none"/>
          <w:u w:val="single" w:color="FFFFFF"/>
        </w:rPr>
      </w:pPr>
    </w:p>
    <w:p w14:paraId="675F52AB">
      <w:pPr>
        <w:pStyle w:val="17"/>
        <w:rPr>
          <w:rFonts w:ascii="仿宋" w:hAnsi="仿宋" w:eastAsia="仿宋" w:cs="仿宋"/>
          <w:sz w:val="24"/>
          <w:highlight w:val="none"/>
          <w:u w:val="single" w:color="FFFFFF"/>
        </w:rPr>
      </w:pPr>
    </w:p>
    <w:p w14:paraId="44E34757">
      <w:pPr>
        <w:pStyle w:val="17"/>
        <w:rPr>
          <w:rFonts w:ascii="仿宋" w:hAnsi="仿宋" w:eastAsia="仿宋" w:cs="仿宋"/>
          <w:sz w:val="24"/>
          <w:highlight w:val="none"/>
          <w:u w:val="single" w:color="FFFFFF"/>
        </w:rPr>
      </w:pPr>
    </w:p>
    <w:p w14:paraId="2711F87E">
      <w:pPr>
        <w:pStyle w:val="17"/>
        <w:rPr>
          <w:rFonts w:ascii="仿宋" w:hAnsi="仿宋" w:eastAsia="仿宋" w:cs="仿宋"/>
          <w:sz w:val="24"/>
          <w:highlight w:val="none"/>
          <w:u w:val="single" w:color="FFFFFF"/>
        </w:rPr>
      </w:pPr>
    </w:p>
    <w:p w14:paraId="692C758B">
      <w:pPr>
        <w:widowControl/>
        <w:spacing w:line="500" w:lineRule="exact"/>
        <w:ind w:firstLine="470" w:firstLineChars="196"/>
        <w:rPr>
          <w:rFonts w:ascii="仿宋" w:hAnsi="仿宋" w:eastAsia="仿宋" w:cs="仿宋"/>
          <w:sz w:val="24"/>
          <w:highlight w:val="none"/>
          <w:u w:val="single" w:color="FFFFFF"/>
        </w:rPr>
      </w:pPr>
    </w:p>
    <w:bookmarkEnd w:id="348"/>
    <w:bookmarkEnd w:id="349"/>
    <w:bookmarkEnd w:id="350"/>
    <w:bookmarkEnd w:id="351"/>
    <w:p w14:paraId="76C686B1">
      <w:pPr>
        <w:pStyle w:val="3"/>
        <w:spacing w:before="0" w:line="240" w:lineRule="atLeast"/>
        <w:ind w:left="1079" w:leftChars="257" w:hanging="540"/>
        <w:rPr>
          <w:rFonts w:ascii="仿宋" w:hAnsi="仿宋" w:eastAsia="仿宋" w:cs="仿宋"/>
          <w:sz w:val="24"/>
          <w:highlight w:val="none"/>
        </w:rPr>
      </w:pPr>
      <w:bookmarkStart w:id="352" w:name="_Toc27310"/>
      <w:bookmarkStart w:id="353" w:name="_Toc25085"/>
      <w:bookmarkStart w:id="354" w:name="_Toc18347"/>
      <w:bookmarkStart w:id="355" w:name="_Toc13100"/>
      <w:r>
        <w:rPr>
          <w:rFonts w:hint="eastAsia" w:ascii="仿宋" w:hAnsi="仿宋" w:eastAsia="仿宋" w:cs="仿宋"/>
          <w:sz w:val="24"/>
          <w:highlight w:val="none"/>
        </w:rPr>
        <w:t>5  投标保证金缴纳凭证复印件或投标担保函</w:t>
      </w:r>
      <w:bookmarkEnd w:id="352"/>
      <w:bookmarkEnd w:id="353"/>
      <w:bookmarkEnd w:id="354"/>
      <w:bookmarkEnd w:id="355"/>
    </w:p>
    <w:p w14:paraId="662AC93A">
      <w:pPr>
        <w:pStyle w:val="21"/>
        <w:spacing w:beforeAutospacing="0" w:afterAutospacing="0" w:line="360" w:lineRule="auto"/>
        <w:ind w:left="147" w:firstLine="480" w:firstLineChars="200"/>
        <w:rPr>
          <w:rFonts w:ascii="仿宋" w:hAnsi="仿宋" w:eastAsia="仿宋" w:cs="仿宋"/>
          <w:highlight w:val="none"/>
        </w:rPr>
      </w:pPr>
      <w:r>
        <w:rPr>
          <w:rFonts w:hint="eastAsia" w:ascii="仿宋" w:hAnsi="仿宋" w:eastAsia="仿宋" w:cs="仿宋"/>
          <w:highlight w:val="none"/>
        </w:rPr>
        <w:t>投标保证金应当以支票、汇票、本票或者金融机构、担保机构出具的保函等非现金形式提交。投标人未按照招标文件要求提交投标保证金的，投标无效。</w:t>
      </w:r>
      <w:bookmarkStart w:id="356" w:name="_Toc494296665"/>
      <w:bookmarkStart w:id="357" w:name="_Toc494296991"/>
      <w:r>
        <w:rPr>
          <w:rFonts w:hint="eastAsia" w:ascii="仿宋" w:hAnsi="仿宋" w:eastAsia="仿宋" w:cs="仿宋"/>
          <w:highlight w:val="none"/>
        </w:rPr>
        <w:t>投标人可将本项目保证金凭证的复印件作为缴纳凭证体现在本部分中，复印件上应加盖本单位章；使用银行保函等其他投标担保函的，应将担保函复印件，体现在本部分中；如采用政府采购信用担保形式的，应使用以下模板,将复印件体现在本部分中。</w:t>
      </w:r>
      <w:bookmarkEnd w:id="356"/>
      <w:bookmarkEnd w:id="357"/>
    </w:p>
    <w:p w14:paraId="647ECCFF">
      <w:pPr>
        <w:spacing w:line="240" w:lineRule="atLeast"/>
        <w:ind w:left="1079" w:leftChars="257" w:hanging="540"/>
        <w:jc w:val="center"/>
        <w:rPr>
          <w:rFonts w:ascii="仿宋" w:hAnsi="仿宋" w:eastAsia="仿宋" w:cs="仿宋"/>
          <w:sz w:val="24"/>
          <w:highlight w:val="none"/>
        </w:rPr>
      </w:pPr>
    </w:p>
    <w:p w14:paraId="7E7E75F0">
      <w:pPr>
        <w:jc w:val="center"/>
        <w:rPr>
          <w:rFonts w:ascii="仿宋" w:hAnsi="仿宋" w:eastAsia="仿宋" w:cs="仿宋"/>
          <w:sz w:val="28"/>
          <w:szCs w:val="28"/>
          <w:highlight w:val="none"/>
        </w:rPr>
      </w:pPr>
      <w:r>
        <w:rPr>
          <w:rFonts w:hint="eastAsia" w:ascii="仿宋" w:hAnsi="仿宋" w:eastAsia="仿宋" w:cs="仿宋"/>
          <w:sz w:val="28"/>
          <w:szCs w:val="28"/>
          <w:highlight w:val="none"/>
        </w:rPr>
        <w:t>政府采购投标担保函 （项目用）</w:t>
      </w:r>
    </w:p>
    <w:p w14:paraId="1565959C">
      <w:pPr>
        <w:ind w:firstLine="6720" w:firstLineChars="3200"/>
        <w:rPr>
          <w:rFonts w:ascii="仿宋" w:hAnsi="仿宋" w:eastAsia="仿宋" w:cs="仿宋"/>
          <w:highlight w:val="none"/>
        </w:rPr>
      </w:pPr>
      <w:r>
        <w:rPr>
          <w:rFonts w:hint="eastAsia" w:ascii="仿宋" w:hAnsi="仿宋" w:eastAsia="仿宋" w:cs="仿宋"/>
          <w:highlight w:val="none"/>
        </w:rPr>
        <w:t>编号：</w:t>
      </w:r>
    </w:p>
    <w:p w14:paraId="0CB959E0">
      <w:pPr>
        <w:rPr>
          <w:rFonts w:ascii="仿宋" w:hAnsi="仿宋" w:eastAsia="仿宋" w:cs="仿宋"/>
          <w:highlight w:val="none"/>
        </w:rPr>
      </w:pPr>
      <w:r>
        <w:rPr>
          <w:rFonts w:hint="eastAsia" w:ascii="仿宋" w:hAnsi="仿宋" w:eastAsia="仿宋" w:cs="仿宋"/>
          <w:highlight w:val="none"/>
        </w:rPr>
        <w:t xml:space="preserve"> </w:t>
      </w:r>
    </w:p>
    <w:p w14:paraId="11A2B2DB">
      <w:pPr>
        <w:tabs>
          <w:tab w:val="left" w:pos="6669"/>
        </w:tabs>
        <w:rPr>
          <w:rFonts w:ascii="仿宋" w:hAnsi="仿宋" w:eastAsia="仿宋" w:cs="仿宋"/>
          <w:highlight w:val="none"/>
        </w:rPr>
      </w:pPr>
      <w:r>
        <w:rPr>
          <w:rFonts w:hint="eastAsia" w:ascii="仿宋" w:hAnsi="仿宋" w:eastAsia="仿宋" w:cs="仿宋"/>
          <w:highlight w:val="none"/>
          <w:u w:val="single"/>
        </w:rPr>
        <w:t xml:space="preserve">                  </w:t>
      </w:r>
      <w:r>
        <w:rPr>
          <w:rFonts w:hint="eastAsia" w:ascii="仿宋" w:hAnsi="仿宋" w:eastAsia="仿宋" w:cs="仿宋"/>
          <w:highlight w:val="none"/>
        </w:rPr>
        <w:t>（采购人或采购代理机构）：</w:t>
      </w:r>
      <w:r>
        <w:rPr>
          <w:rFonts w:hint="eastAsia" w:ascii="仿宋" w:hAnsi="仿宋" w:eastAsia="仿宋" w:cs="仿宋"/>
          <w:highlight w:val="none"/>
        </w:rPr>
        <w:tab/>
      </w:r>
    </w:p>
    <w:p w14:paraId="1AA9A5FF">
      <w:pPr>
        <w:rPr>
          <w:rFonts w:ascii="仿宋" w:hAnsi="仿宋" w:eastAsia="仿宋" w:cs="仿宋"/>
          <w:highlight w:val="none"/>
        </w:rPr>
      </w:pPr>
    </w:p>
    <w:p w14:paraId="0E6E39F0">
      <w:pPr>
        <w:ind w:firstLine="420" w:firstLineChars="200"/>
        <w:rPr>
          <w:rFonts w:ascii="仿宋" w:hAnsi="仿宋" w:eastAsia="仿宋" w:cs="仿宋"/>
          <w:highlight w:val="none"/>
        </w:rPr>
      </w:pPr>
      <w:r>
        <w:rPr>
          <w:rFonts w:hint="eastAsia" w:ascii="仿宋" w:hAnsi="仿宋" w:eastAsia="仿宋" w:cs="仿宋"/>
          <w:highlight w:val="none"/>
        </w:rPr>
        <w:t>鉴于</w:t>
      </w:r>
      <w:r>
        <w:rPr>
          <w:rFonts w:hint="eastAsia" w:ascii="仿宋" w:hAnsi="仿宋" w:eastAsia="仿宋" w:cs="仿宋"/>
          <w:highlight w:val="none"/>
          <w:u w:val="single"/>
        </w:rPr>
        <w:t xml:space="preserve">               </w:t>
      </w:r>
      <w:r>
        <w:rPr>
          <w:rFonts w:hint="eastAsia" w:ascii="仿宋" w:hAnsi="仿宋" w:eastAsia="仿宋" w:cs="仿宋"/>
          <w:highlight w:val="none"/>
        </w:rPr>
        <w:t>（以下简称“供应商”）拟参加编号为</w:t>
      </w:r>
      <w:r>
        <w:rPr>
          <w:rFonts w:hint="eastAsia" w:ascii="仿宋" w:hAnsi="仿宋" w:eastAsia="仿宋" w:cs="仿宋"/>
          <w:highlight w:val="none"/>
          <w:u w:val="single"/>
        </w:rPr>
        <w:t xml:space="preserve">            </w:t>
      </w:r>
      <w:r>
        <w:rPr>
          <w:rFonts w:hint="eastAsia" w:ascii="仿宋" w:hAnsi="仿宋" w:eastAsia="仿宋" w:cs="仿宋"/>
          <w:highlight w:val="none"/>
        </w:rPr>
        <w:t>的</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p w14:paraId="4F8CE3E2">
      <w:pPr>
        <w:rPr>
          <w:rFonts w:ascii="仿宋" w:hAnsi="仿宋" w:eastAsia="仿宋" w:cs="仿宋"/>
          <w:highlight w:val="none"/>
        </w:rPr>
      </w:pPr>
      <w:r>
        <w:rPr>
          <w:rFonts w:hint="eastAsia" w:ascii="仿宋" w:hAnsi="仿宋" w:eastAsia="仿宋" w:cs="仿宋"/>
          <w:highlight w:val="none"/>
        </w:rPr>
        <w:t>项目（以下简称“本项目”）投标，根据本项目磋商文件，供应商参加投标时应向你方交纳投标保证金，且可以投标担保函的形式交纳投标保证金。应供应商的申请，我方以保证的方式向你方提供如下投标保证金担保：</w:t>
      </w:r>
    </w:p>
    <w:p w14:paraId="2669EB1A">
      <w:pPr>
        <w:ind w:firstLine="420" w:firstLineChars="200"/>
        <w:rPr>
          <w:rFonts w:ascii="仿宋" w:hAnsi="仿宋" w:eastAsia="仿宋" w:cs="仿宋"/>
          <w:highlight w:val="none"/>
        </w:rPr>
      </w:pPr>
      <w:r>
        <w:rPr>
          <w:rFonts w:hint="eastAsia" w:ascii="仿宋" w:hAnsi="仿宋" w:eastAsia="仿宋" w:cs="仿宋"/>
          <w:highlight w:val="none"/>
        </w:rPr>
        <w:t>一、保证责任的情形及保证金额</w:t>
      </w:r>
    </w:p>
    <w:p w14:paraId="1DFF176E">
      <w:pPr>
        <w:ind w:firstLine="210" w:firstLineChars="100"/>
        <w:rPr>
          <w:rFonts w:ascii="仿宋" w:hAnsi="仿宋" w:eastAsia="仿宋" w:cs="仿宋"/>
          <w:highlight w:val="none"/>
        </w:rPr>
      </w:pPr>
      <w:r>
        <w:rPr>
          <w:rFonts w:hint="eastAsia" w:ascii="仿宋" w:hAnsi="仿宋" w:eastAsia="仿宋" w:cs="仿宋"/>
          <w:highlight w:val="none"/>
        </w:rPr>
        <w:t>（一）在供应商出现下列情形之一时，我方承担保证责任：</w:t>
      </w:r>
    </w:p>
    <w:p w14:paraId="3FBCC730">
      <w:pPr>
        <w:ind w:firstLine="420" w:firstLineChars="200"/>
        <w:rPr>
          <w:rFonts w:ascii="仿宋" w:hAnsi="仿宋" w:eastAsia="仿宋" w:cs="仿宋"/>
          <w:highlight w:val="none"/>
        </w:rPr>
      </w:pPr>
      <w:r>
        <w:rPr>
          <w:rFonts w:hint="eastAsia" w:ascii="仿宋" w:hAnsi="仿宋" w:eastAsia="仿宋" w:cs="仿宋"/>
          <w:highlight w:val="none"/>
        </w:rPr>
        <w:t>1．中标后供应商无正当理由不与采购人或者采购代理机构签订《政府采购合同》；</w:t>
      </w:r>
    </w:p>
    <w:p w14:paraId="20EC769C">
      <w:pPr>
        <w:ind w:firstLine="420" w:firstLineChars="200"/>
        <w:rPr>
          <w:rFonts w:ascii="仿宋" w:hAnsi="仿宋" w:eastAsia="仿宋" w:cs="仿宋"/>
          <w:highlight w:val="none"/>
        </w:rPr>
      </w:pPr>
      <w:r>
        <w:rPr>
          <w:rFonts w:hint="eastAsia" w:ascii="仿宋" w:hAnsi="仿宋" w:eastAsia="仿宋" w:cs="仿宋"/>
          <w:highlight w:val="none"/>
        </w:rPr>
        <w:t>2．磋商文件规定的供应商应当缴纳保证金的其他情形。</w:t>
      </w:r>
    </w:p>
    <w:p w14:paraId="671A1A40">
      <w:pPr>
        <w:ind w:firstLine="210" w:firstLineChars="100"/>
        <w:rPr>
          <w:rFonts w:ascii="仿宋" w:hAnsi="仿宋" w:eastAsia="仿宋" w:cs="仿宋"/>
          <w:highlight w:val="none"/>
        </w:rPr>
      </w:pPr>
      <w:r>
        <w:rPr>
          <w:rFonts w:hint="eastAsia" w:ascii="仿宋" w:hAnsi="仿宋" w:eastAsia="仿宋" w:cs="仿宋"/>
          <w:highlight w:val="none"/>
        </w:rPr>
        <w:t>（二）我方承担保证责任的最高金额为人民币</w:t>
      </w:r>
      <w:r>
        <w:rPr>
          <w:rFonts w:hint="eastAsia" w:ascii="仿宋" w:hAnsi="仿宋" w:eastAsia="仿宋" w:cs="仿宋"/>
          <w:highlight w:val="none"/>
          <w:u w:val="single"/>
        </w:rPr>
        <w:t xml:space="preserve">      </w:t>
      </w:r>
      <w:r>
        <w:rPr>
          <w:rFonts w:hint="eastAsia" w:ascii="仿宋" w:hAnsi="仿宋" w:eastAsia="仿宋" w:cs="仿宋"/>
          <w:highlight w:val="none"/>
        </w:rPr>
        <w:t>元（大写</w:t>
      </w:r>
      <w:r>
        <w:rPr>
          <w:rFonts w:hint="eastAsia" w:ascii="仿宋" w:hAnsi="仿宋" w:eastAsia="仿宋" w:cs="仿宋"/>
          <w:highlight w:val="none"/>
          <w:u w:val="single"/>
        </w:rPr>
        <w:t xml:space="preserve">            </w:t>
      </w:r>
      <w:r>
        <w:rPr>
          <w:rFonts w:hint="eastAsia" w:ascii="仿宋" w:hAnsi="仿宋" w:eastAsia="仿宋" w:cs="仿宋"/>
          <w:highlight w:val="none"/>
        </w:rPr>
        <w:t>），即本项目的投标保证金金额。</w:t>
      </w:r>
    </w:p>
    <w:p w14:paraId="0F7738A3">
      <w:pPr>
        <w:ind w:firstLine="420" w:firstLineChars="200"/>
        <w:rPr>
          <w:rFonts w:ascii="仿宋" w:hAnsi="仿宋" w:eastAsia="仿宋" w:cs="仿宋"/>
          <w:highlight w:val="none"/>
        </w:rPr>
      </w:pPr>
      <w:r>
        <w:rPr>
          <w:rFonts w:hint="eastAsia" w:ascii="仿宋" w:hAnsi="仿宋" w:eastAsia="仿宋" w:cs="仿宋"/>
          <w:highlight w:val="none"/>
        </w:rPr>
        <w:t>二、保证的方式及保证期间</w:t>
      </w:r>
    </w:p>
    <w:p w14:paraId="20345DF4">
      <w:pPr>
        <w:ind w:firstLine="420" w:firstLineChars="200"/>
        <w:rPr>
          <w:rFonts w:ascii="仿宋" w:hAnsi="仿宋" w:eastAsia="仿宋" w:cs="仿宋"/>
          <w:highlight w:val="none"/>
        </w:rPr>
      </w:pPr>
      <w:r>
        <w:rPr>
          <w:rFonts w:hint="eastAsia" w:ascii="仿宋" w:hAnsi="仿宋" w:eastAsia="仿宋" w:cs="仿宋"/>
          <w:highlight w:val="none"/>
        </w:rPr>
        <w:t>我方保证的方式为：连带责任保证。</w:t>
      </w:r>
    </w:p>
    <w:p w14:paraId="54CF6E2A">
      <w:pPr>
        <w:ind w:firstLine="420" w:firstLineChars="200"/>
        <w:rPr>
          <w:rFonts w:ascii="仿宋" w:hAnsi="仿宋" w:eastAsia="仿宋" w:cs="仿宋"/>
          <w:highlight w:val="none"/>
        </w:rPr>
      </w:pPr>
      <w:r>
        <w:rPr>
          <w:rFonts w:hint="eastAsia" w:ascii="仿宋" w:hAnsi="仿宋" w:eastAsia="仿宋" w:cs="仿宋"/>
          <w:highlight w:val="none"/>
        </w:rPr>
        <w:t>我方的保证期间为：自本保函生效之日起</w:t>
      </w:r>
      <w:r>
        <w:rPr>
          <w:rFonts w:hint="eastAsia" w:ascii="仿宋" w:hAnsi="仿宋" w:eastAsia="仿宋" w:cs="仿宋"/>
          <w:highlight w:val="none"/>
          <w:u w:val="single"/>
        </w:rPr>
        <w:t xml:space="preserve">    </w:t>
      </w:r>
      <w:r>
        <w:rPr>
          <w:rFonts w:hint="eastAsia" w:ascii="仿宋" w:hAnsi="仿宋" w:eastAsia="仿宋" w:cs="仿宋"/>
          <w:highlight w:val="none"/>
        </w:rPr>
        <w:t>个月止。</w:t>
      </w:r>
    </w:p>
    <w:p w14:paraId="348B9740">
      <w:pPr>
        <w:ind w:firstLine="420" w:firstLineChars="200"/>
        <w:rPr>
          <w:rFonts w:ascii="仿宋" w:hAnsi="仿宋" w:eastAsia="仿宋" w:cs="仿宋"/>
          <w:highlight w:val="none"/>
        </w:rPr>
      </w:pPr>
      <w:r>
        <w:rPr>
          <w:rFonts w:hint="eastAsia" w:ascii="仿宋" w:hAnsi="仿宋" w:eastAsia="仿宋" w:cs="仿宋"/>
          <w:highlight w:val="none"/>
        </w:rPr>
        <w:t>三、承担保证责任的程序</w:t>
      </w:r>
    </w:p>
    <w:p w14:paraId="77FE4DF2">
      <w:pPr>
        <w:ind w:firstLine="420" w:firstLineChars="200"/>
        <w:rPr>
          <w:rFonts w:ascii="仿宋" w:hAnsi="仿宋" w:eastAsia="仿宋" w:cs="仿宋"/>
          <w:highlight w:val="none"/>
        </w:rPr>
      </w:pPr>
      <w:r>
        <w:rPr>
          <w:rFonts w:hint="eastAsia" w:ascii="仿宋" w:hAnsi="仿宋" w:eastAsia="仿宋" w:cs="仿宋"/>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39452C40">
      <w:pPr>
        <w:ind w:firstLine="420" w:firstLineChars="200"/>
        <w:rPr>
          <w:rFonts w:ascii="仿宋" w:hAnsi="仿宋" w:eastAsia="仿宋" w:cs="仿宋"/>
          <w:highlight w:val="none"/>
        </w:rPr>
      </w:pPr>
      <w:r>
        <w:rPr>
          <w:rFonts w:hint="eastAsia" w:ascii="仿宋" w:hAnsi="仿宋" w:eastAsia="仿宋" w:cs="仿宋"/>
          <w:highlight w:val="none"/>
        </w:rPr>
        <w:t>2．我方在收到索赔通知及相关证明材料后，在</w:t>
      </w:r>
      <w:r>
        <w:rPr>
          <w:rFonts w:hint="eastAsia" w:ascii="仿宋" w:hAnsi="仿宋" w:eastAsia="仿宋" w:cs="仿宋"/>
          <w:highlight w:val="none"/>
          <w:u w:val="single"/>
        </w:rPr>
        <w:t>　　　</w:t>
      </w:r>
      <w:r>
        <w:rPr>
          <w:rFonts w:hint="eastAsia" w:ascii="仿宋" w:hAnsi="仿宋" w:eastAsia="仿宋" w:cs="仿宋"/>
          <w:highlight w:val="none"/>
        </w:rPr>
        <w:t>个工作日内进行审查，符合应承担保证责任情形的，我方应按照你方的要求代供应商向你方支付投标保证金。</w:t>
      </w:r>
    </w:p>
    <w:p w14:paraId="2EB24F3F">
      <w:pPr>
        <w:ind w:firstLine="420" w:firstLineChars="200"/>
        <w:rPr>
          <w:rFonts w:ascii="仿宋" w:hAnsi="仿宋" w:eastAsia="仿宋" w:cs="仿宋"/>
          <w:highlight w:val="none"/>
        </w:rPr>
      </w:pPr>
      <w:r>
        <w:rPr>
          <w:rFonts w:hint="eastAsia" w:ascii="仿宋" w:hAnsi="仿宋" w:eastAsia="仿宋" w:cs="仿宋"/>
          <w:highlight w:val="none"/>
        </w:rPr>
        <w:t>四、保证责任的终止</w:t>
      </w:r>
    </w:p>
    <w:p w14:paraId="77C45194">
      <w:pPr>
        <w:ind w:firstLine="420" w:firstLineChars="200"/>
        <w:rPr>
          <w:rFonts w:ascii="仿宋" w:hAnsi="仿宋" w:eastAsia="仿宋" w:cs="仿宋"/>
          <w:highlight w:val="none"/>
        </w:rPr>
      </w:pPr>
      <w:r>
        <w:rPr>
          <w:rFonts w:hint="eastAsia" w:ascii="仿宋" w:hAnsi="仿宋" w:eastAsia="仿宋" w:cs="仿宋"/>
          <w:highlight w:val="none"/>
        </w:rPr>
        <w:t>1．保证期间届满你方未向我方书面主张保证责任的，自保证期间届满次日起，我方保证责任自动终止。</w:t>
      </w:r>
    </w:p>
    <w:p w14:paraId="3A4134AB">
      <w:pPr>
        <w:ind w:firstLine="420" w:firstLineChars="200"/>
        <w:rPr>
          <w:rFonts w:ascii="仿宋" w:hAnsi="仿宋" w:eastAsia="仿宋" w:cs="仿宋"/>
          <w:highlight w:val="none"/>
        </w:rPr>
      </w:pPr>
      <w:r>
        <w:rPr>
          <w:rFonts w:hint="eastAsia" w:ascii="仿宋" w:hAnsi="仿宋" w:eastAsia="仿宋" w:cs="仿宋"/>
          <w:highlight w:val="none"/>
        </w:rPr>
        <w:t>2．我方按照本保函向你贵方履行了保证责任后，自我方向你贵方支付款项（支付款项从我方账户划出）之日起，保证责任终止。</w:t>
      </w:r>
    </w:p>
    <w:p w14:paraId="04DC969A">
      <w:pPr>
        <w:ind w:firstLine="420" w:firstLineChars="200"/>
        <w:rPr>
          <w:rFonts w:ascii="仿宋" w:hAnsi="仿宋" w:eastAsia="仿宋" w:cs="仿宋"/>
          <w:highlight w:val="none"/>
        </w:rPr>
      </w:pPr>
      <w:r>
        <w:rPr>
          <w:rFonts w:hint="eastAsia" w:ascii="仿宋" w:hAnsi="仿宋" w:eastAsia="仿宋" w:cs="仿宋"/>
          <w:highlight w:val="none"/>
        </w:rPr>
        <w:t>3．按照法律法规的规定或出现我方保证责任终止的其它情形的，我方在本保函项下的保证责任亦终止。</w:t>
      </w:r>
    </w:p>
    <w:p w14:paraId="0005ABCC">
      <w:pPr>
        <w:ind w:firstLine="420" w:firstLineChars="200"/>
        <w:rPr>
          <w:rFonts w:ascii="仿宋" w:hAnsi="仿宋" w:eastAsia="仿宋" w:cs="仿宋"/>
          <w:highlight w:val="none"/>
        </w:rPr>
      </w:pPr>
      <w:r>
        <w:rPr>
          <w:rFonts w:hint="eastAsia" w:ascii="仿宋" w:hAnsi="仿宋" w:eastAsia="仿宋" w:cs="仿宋"/>
          <w:highlight w:val="none"/>
        </w:rPr>
        <w:t>五、免责条款</w:t>
      </w:r>
    </w:p>
    <w:p w14:paraId="7545D853">
      <w:pPr>
        <w:ind w:firstLine="420" w:firstLineChars="200"/>
        <w:rPr>
          <w:rFonts w:ascii="仿宋" w:hAnsi="仿宋" w:eastAsia="仿宋" w:cs="仿宋"/>
          <w:highlight w:val="none"/>
        </w:rPr>
      </w:pPr>
      <w:r>
        <w:rPr>
          <w:rFonts w:hint="eastAsia" w:ascii="仿宋" w:hAnsi="仿宋" w:eastAsia="仿宋" w:cs="仿宋"/>
          <w:highlight w:val="none"/>
        </w:rPr>
        <w:t>1．依照法律规定或你方与供应商的另行约定，全部或者部分免除供应商投标保证金义务时，我方亦免除相应的保证责任。</w:t>
      </w:r>
    </w:p>
    <w:p w14:paraId="0B2E7A4C">
      <w:pPr>
        <w:ind w:firstLine="420" w:firstLineChars="200"/>
        <w:rPr>
          <w:rFonts w:ascii="仿宋" w:hAnsi="仿宋" w:eastAsia="仿宋" w:cs="仿宋"/>
          <w:highlight w:val="none"/>
        </w:rPr>
      </w:pPr>
      <w:r>
        <w:rPr>
          <w:rFonts w:hint="eastAsia" w:ascii="仿宋" w:hAnsi="仿宋" w:eastAsia="仿宋" w:cs="仿宋"/>
          <w:highlight w:val="none"/>
        </w:rPr>
        <w:t>2．因你方原因致使供应商发生本保函第一条第（一）款约定情形的，我方不承担保证责任。</w:t>
      </w:r>
    </w:p>
    <w:p w14:paraId="67DF4B13">
      <w:pPr>
        <w:ind w:firstLine="420" w:firstLineChars="200"/>
        <w:rPr>
          <w:rFonts w:ascii="仿宋" w:hAnsi="仿宋" w:eastAsia="仿宋" w:cs="仿宋"/>
          <w:highlight w:val="none"/>
        </w:rPr>
      </w:pPr>
      <w:r>
        <w:rPr>
          <w:rFonts w:hint="eastAsia" w:ascii="仿宋" w:hAnsi="仿宋" w:eastAsia="仿宋" w:cs="仿宋"/>
          <w:highlight w:val="none"/>
        </w:rPr>
        <w:t>3．因不可抗力造成供应商发生本保函第一条约定情形的，我方不承担保证责任。</w:t>
      </w:r>
    </w:p>
    <w:p w14:paraId="25C48038">
      <w:pPr>
        <w:ind w:firstLine="420" w:firstLineChars="200"/>
        <w:rPr>
          <w:rFonts w:ascii="仿宋" w:hAnsi="仿宋" w:eastAsia="仿宋" w:cs="仿宋"/>
          <w:highlight w:val="none"/>
        </w:rPr>
      </w:pPr>
      <w:r>
        <w:rPr>
          <w:rFonts w:hint="eastAsia" w:ascii="仿宋" w:hAnsi="仿宋" w:eastAsia="仿宋" w:cs="仿宋"/>
          <w:highlight w:val="none"/>
        </w:rPr>
        <w:t>4．你方或其他有权机关对磋商文件进行任何澄清或修改，加重我方保证责任的，我方对加重部分不承担保证责任，但该澄清或修改经我方事先书面同意的除外。</w:t>
      </w:r>
    </w:p>
    <w:p w14:paraId="28D9A2EF">
      <w:pPr>
        <w:ind w:firstLine="420" w:firstLineChars="200"/>
        <w:rPr>
          <w:rFonts w:ascii="仿宋" w:hAnsi="仿宋" w:eastAsia="仿宋" w:cs="仿宋"/>
          <w:highlight w:val="none"/>
        </w:rPr>
      </w:pPr>
      <w:r>
        <w:rPr>
          <w:rFonts w:hint="eastAsia" w:ascii="仿宋" w:hAnsi="仿宋" w:eastAsia="仿宋" w:cs="仿宋"/>
          <w:highlight w:val="none"/>
        </w:rPr>
        <w:t>六、争议的解决</w:t>
      </w:r>
    </w:p>
    <w:p w14:paraId="7F1E533A">
      <w:pPr>
        <w:ind w:firstLine="420" w:firstLineChars="200"/>
        <w:rPr>
          <w:rFonts w:ascii="仿宋" w:hAnsi="仿宋" w:eastAsia="仿宋" w:cs="仿宋"/>
          <w:highlight w:val="none"/>
        </w:rPr>
      </w:pPr>
      <w:r>
        <w:rPr>
          <w:rFonts w:hint="eastAsia" w:ascii="仿宋" w:hAnsi="仿宋" w:eastAsia="仿宋" w:cs="仿宋"/>
          <w:highlight w:val="none"/>
        </w:rPr>
        <w:t>因本保函发生的纠纷，由你我双方协商解决，协商不成的，通过诉讼程序解决，诉讼管辖地法院为</w:t>
      </w:r>
      <w:r>
        <w:rPr>
          <w:rFonts w:hint="eastAsia" w:ascii="仿宋" w:hAnsi="仿宋" w:eastAsia="仿宋" w:cs="仿宋"/>
          <w:highlight w:val="none"/>
          <w:u w:val="single"/>
        </w:rPr>
        <w:t xml:space="preserve">          </w:t>
      </w:r>
      <w:r>
        <w:rPr>
          <w:rFonts w:hint="eastAsia" w:ascii="仿宋" w:hAnsi="仿宋" w:eastAsia="仿宋" w:cs="仿宋"/>
          <w:highlight w:val="none"/>
        </w:rPr>
        <w:t>法院。</w:t>
      </w:r>
    </w:p>
    <w:p w14:paraId="664A754B">
      <w:pPr>
        <w:ind w:firstLine="420" w:firstLineChars="200"/>
        <w:rPr>
          <w:rFonts w:ascii="仿宋" w:hAnsi="仿宋" w:eastAsia="仿宋" w:cs="仿宋"/>
          <w:highlight w:val="none"/>
        </w:rPr>
      </w:pPr>
      <w:r>
        <w:rPr>
          <w:rFonts w:hint="eastAsia" w:ascii="仿宋" w:hAnsi="仿宋" w:eastAsia="仿宋" w:cs="仿宋"/>
          <w:highlight w:val="none"/>
        </w:rPr>
        <w:t>七、保函的生效</w:t>
      </w:r>
    </w:p>
    <w:p w14:paraId="00DBAA97">
      <w:pPr>
        <w:ind w:firstLine="420" w:firstLineChars="200"/>
        <w:rPr>
          <w:rFonts w:ascii="仿宋" w:hAnsi="仿宋" w:eastAsia="仿宋" w:cs="仿宋"/>
          <w:highlight w:val="none"/>
        </w:rPr>
      </w:pPr>
      <w:r>
        <w:rPr>
          <w:rFonts w:hint="eastAsia" w:ascii="仿宋" w:hAnsi="仿宋" w:eastAsia="仿宋" w:cs="仿宋"/>
          <w:highlight w:val="none"/>
        </w:rPr>
        <w:t>本保函自我方加盖公章之日起生效。</w:t>
      </w:r>
    </w:p>
    <w:p w14:paraId="6D68A0AE">
      <w:pPr>
        <w:ind w:firstLine="5565" w:firstLineChars="2650"/>
        <w:rPr>
          <w:rFonts w:ascii="仿宋" w:hAnsi="仿宋" w:eastAsia="仿宋" w:cs="仿宋"/>
          <w:highlight w:val="none"/>
        </w:rPr>
      </w:pPr>
      <w:r>
        <w:rPr>
          <w:rFonts w:hint="eastAsia" w:ascii="仿宋" w:hAnsi="仿宋" w:eastAsia="仿宋" w:cs="仿宋"/>
          <w:highlight w:val="none"/>
        </w:rPr>
        <w:t>保证人：（公章）</w:t>
      </w:r>
    </w:p>
    <w:p w14:paraId="2B416602">
      <w:pPr>
        <w:rPr>
          <w:rFonts w:ascii="仿宋" w:hAnsi="仿宋" w:eastAsia="仿宋" w:cs="仿宋"/>
          <w:highlight w:val="none"/>
        </w:rPr>
      </w:pPr>
      <w:r>
        <w:rPr>
          <w:rFonts w:hint="eastAsia" w:ascii="仿宋" w:hAnsi="仿宋" w:eastAsia="仿宋" w:cs="仿宋"/>
          <w:highlight w:val="none"/>
        </w:rPr>
        <w:t xml:space="preserve">                               </w:t>
      </w:r>
    </w:p>
    <w:p w14:paraId="28F4D842">
      <w:pPr>
        <w:ind w:firstLine="5775" w:firstLineChars="2750"/>
        <w:rPr>
          <w:rFonts w:ascii="仿宋" w:hAnsi="仿宋" w:eastAsia="仿宋" w:cs="仿宋"/>
          <w:highlight w:val="none"/>
        </w:rPr>
        <w:sectPr>
          <w:footerReference r:id="rId3" w:type="default"/>
          <w:pgSz w:w="11906" w:h="16838"/>
          <w:pgMar w:top="1440" w:right="1740" w:bottom="1440" w:left="1740" w:header="851" w:footer="992" w:gutter="0"/>
          <w:pgNumType w:fmt="decimal"/>
          <w:cols w:space="720" w:num="1"/>
          <w:docGrid w:type="linesAndChars" w:linePitch="312" w:charSpace="0"/>
        </w:sectPr>
      </w:pPr>
      <w:r>
        <w:rPr>
          <w:rFonts w:hint="eastAsia" w:ascii="仿宋" w:hAnsi="仿宋" w:eastAsia="仿宋" w:cs="仿宋"/>
          <w:highlight w:val="none"/>
        </w:rPr>
        <w:t>年     月      日</w:t>
      </w:r>
    </w:p>
    <w:p w14:paraId="628C3994">
      <w:pPr>
        <w:rPr>
          <w:rFonts w:ascii="仿宋" w:hAnsi="仿宋" w:eastAsia="仿宋" w:cs="仿宋"/>
          <w:highlight w:val="none"/>
        </w:rPr>
      </w:pPr>
    </w:p>
    <w:p w14:paraId="20B86CC7">
      <w:pPr>
        <w:pStyle w:val="3"/>
        <w:spacing w:before="0" w:line="288" w:lineRule="auto"/>
        <w:rPr>
          <w:rFonts w:ascii="仿宋" w:hAnsi="仿宋" w:eastAsia="仿宋" w:cs="仿宋"/>
          <w:sz w:val="24"/>
          <w:highlight w:val="none"/>
        </w:rPr>
      </w:pPr>
      <w:bookmarkStart w:id="358" w:name="_Toc1791"/>
      <w:bookmarkStart w:id="359" w:name="_Toc11556"/>
      <w:bookmarkStart w:id="360" w:name="_Toc10990"/>
      <w:bookmarkStart w:id="361" w:name="_Toc15938"/>
      <w:bookmarkStart w:id="362" w:name="_Toc20172"/>
      <w:bookmarkStart w:id="363" w:name="_Toc20879"/>
      <w:bookmarkStart w:id="364" w:name="_Toc6247"/>
      <w:bookmarkStart w:id="365" w:name="_Toc24896"/>
      <w:bookmarkStart w:id="366" w:name="_Toc15405"/>
      <w:bookmarkStart w:id="367" w:name="_Toc21576"/>
      <w:bookmarkStart w:id="368" w:name="_Toc29022"/>
      <w:bookmarkStart w:id="369" w:name="_Toc495"/>
      <w:bookmarkStart w:id="370" w:name="_Toc21048"/>
      <w:bookmarkStart w:id="371" w:name="_Toc13115"/>
      <w:bookmarkStart w:id="372" w:name="_Toc21047"/>
      <w:bookmarkStart w:id="373" w:name="_Toc32027"/>
      <w:r>
        <w:rPr>
          <w:rFonts w:hint="eastAsia" w:ascii="仿宋" w:hAnsi="仿宋" w:eastAsia="仿宋" w:cs="仿宋"/>
          <w:sz w:val="24"/>
          <w:highlight w:val="none"/>
        </w:rPr>
        <w:t>6  社会保障资金的缴纳记录</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5D37EEAA">
      <w:pPr>
        <w:pStyle w:val="12"/>
        <w:tabs>
          <w:tab w:val="left" w:pos="5580"/>
        </w:tabs>
        <w:spacing w:line="288" w:lineRule="auto"/>
        <w:rPr>
          <w:rFonts w:ascii="仿宋" w:hAnsi="仿宋" w:eastAsia="仿宋" w:cs="仿宋"/>
          <w:b/>
          <w:sz w:val="24"/>
          <w:highlight w:val="none"/>
        </w:rPr>
      </w:pPr>
    </w:p>
    <w:p w14:paraId="25CF60B1">
      <w:pPr>
        <w:pStyle w:val="12"/>
        <w:tabs>
          <w:tab w:val="left" w:pos="5580"/>
        </w:tabs>
        <w:spacing w:line="240" w:lineRule="atLeast"/>
        <w:ind w:left="540"/>
        <w:rPr>
          <w:rFonts w:ascii="仿宋" w:hAnsi="仿宋" w:eastAsia="仿宋" w:cs="仿宋"/>
          <w:sz w:val="24"/>
          <w:highlight w:val="none"/>
        </w:rPr>
      </w:pPr>
      <w:r>
        <w:rPr>
          <w:rFonts w:hint="eastAsia" w:ascii="仿宋" w:hAnsi="仿宋" w:eastAsia="仿宋" w:cs="仿宋"/>
          <w:sz w:val="24"/>
          <w:highlight w:val="none"/>
        </w:rPr>
        <w:t>说明：1.按照</w:t>
      </w:r>
      <w:r>
        <w:rPr>
          <w:rFonts w:hint="eastAsia" w:ascii="仿宋" w:hAnsi="仿宋" w:eastAsia="仿宋" w:cs="仿宋"/>
          <w:sz w:val="24"/>
          <w:highlight w:val="none"/>
          <w:u w:val="single"/>
        </w:rPr>
        <w:t>供应商须知资料表</w:t>
      </w:r>
      <w:r>
        <w:rPr>
          <w:rFonts w:hint="eastAsia" w:ascii="仿宋" w:hAnsi="仿宋" w:eastAsia="仿宋" w:cs="仿宋"/>
          <w:sz w:val="24"/>
          <w:highlight w:val="none"/>
        </w:rPr>
        <w:t>中的规定提供复印件。</w:t>
      </w:r>
    </w:p>
    <w:p w14:paraId="2BD3B417">
      <w:pPr>
        <w:pStyle w:val="12"/>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 xml:space="preserve">      2.复印件上应加盖本单位章。</w:t>
      </w:r>
    </w:p>
    <w:p w14:paraId="7B683978">
      <w:pPr>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 xml:space="preserve">      3.如果是联合体投标，联合体各方均需提供上述证明。</w:t>
      </w:r>
    </w:p>
    <w:p w14:paraId="64033D29">
      <w:pPr>
        <w:tabs>
          <w:tab w:val="left" w:pos="5580"/>
        </w:tabs>
        <w:spacing w:line="288" w:lineRule="auto"/>
        <w:ind w:left="1079" w:leftChars="257" w:hanging="540"/>
        <w:rPr>
          <w:rFonts w:ascii="仿宋" w:hAnsi="仿宋" w:eastAsia="仿宋" w:cs="仿宋"/>
          <w:sz w:val="24"/>
          <w:highlight w:val="none"/>
        </w:rPr>
      </w:pPr>
      <w:r>
        <w:rPr>
          <w:rFonts w:hint="eastAsia" w:ascii="仿宋" w:hAnsi="仿宋" w:eastAsia="仿宋" w:cs="仿宋"/>
          <w:sz w:val="24"/>
          <w:highlight w:val="none"/>
        </w:rPr>
        <w:t xml:space="preserve">     </w:t>
      </w:r>
    </w:p>
    <w:p w14:paraId="227BD35F">
      <w:pPr>
        <w:pStyle w:val="5"/>
        <w:numPr>
          <w:ilvl w:val="3"/>
          <w:numId w:val="0"/>
        </w:numPr>
        <w:ind w:left="864"/>
        <w:rPr>
          <w:rFonts w:ascii="仿宋" w:hAnsi="仿宋" w:eastAsia="仿宋" w:cs="仿宋"/>
          <w:highlight w:val="none"/>
        </w:rPr>
      </w:pPr>
    </w:p>
    <w:p w14:paraId="7C8BCB4C">
      <w:pPr>
        <w:rPr>
          <w:rFonts w:ascii="仿宋" w:hAnsi="仿宋" w:eastAsia="仿宋" w:cs="仿宋"/>
          <w:highlight w:val="none"/>
        </w:rPr>
      </w:pPr>
    </w:p>
    <w:p w14:paraId="36ABD5A8">
      <w:pPr>
        <w:pStyle w:val="35"/>
      </w:pPr>
    </w:p>
    <w:p w14:paraId="75522E5E">
      <w:pPr>
        <w:spacing w:line="288" w:lineRule="auto"/>
        <w:rPr>
          <w:rFonts w:ascii="仿宋" w:hAnsi="仿宋" w:eastAsia="仿宋" w:cs="仿宋"/>
          <w:sz w:val="24"/>
          <w:highlight w:val="none"/>
        </w:rPr>
      </w:pPr>
    </w:p>
    <w:p w14:paraId="26FB7BC7">
      <w:pPr>
        <w:keepNext/>
        <w:keepLines/>
        <w:autoSpaceDE w:val="0"/>
        <w:autoSpaceDN w:val="0"/>
        <w:adjustRightInd w:val="0"/>
        <w:spacing w:line="288" w:lineRule="auto"/>
        <w:jc w:val="center"/>
        <w:outlineLvl w:val="1"/>
        <w:rPr>
          <w:rFonts w:ascii="仿宋" w:hAnsi="仿宋" w:eastAsia="仿宋" w:cs="仿宋"/>
          <w:b/>
          <w:sz w:val="24"/>
          <w:highlight w:val="none"/>
        </w:rPr>
      </w:pPr>
      <w:bookmarkStart w:id="374" w:name="_Toc23700"/>
      <w:bookmarkStart w:id="375" w:name="_Toc20976"/>
      <w:bookmarkStart w:id="376" w:name="_Toc6321"/>
      <w:bookmarkStart w:id="377" w:name="_Toc28018"/>
      <w:bookmarkStart w:id="378" w:name="_Toc28491"/>
      <w:bookmarkStart w:id="379" w:name="_Toc13105"/>
      <w:bookmarkStart w:id="380" w:name="_Toc13292"/>
      <w:bookmarkStart w:id="381" w:name="_Toc28908"/>
      <w:bookmarkStart w:id="382" w:name="_Toc15284"/>
      <w:r>
        <w:rPr>
          <w:rFonts w:hint="eastAsia" w:ascii="仿宋" w:hAnsi="仿宋" w:eastAsia="仿宋" w:cs="仿宋"/>
          <w:b/>
          <w:sz w:val="24"/>
          <w:highlight w:val="none"/>
        </w:rPr>
        <w:t>7 良好的商业信誉和健全的财务会计制度证明材料</w:t>
      </w:r>
      <w:bookmarkEnd w:id="374"/>
      <w:bookmarkEnd w:id="375"/>
      <w:bookmarkEnd w:id="376"/>
      <w:bookmarkEnd w:id="377"/>
      <w:bookmarkEnd w:id="378"/>
      <w:bookmarkEnd w:id="379"/>
      <w:bookmarkEnd w:id="380"/>
    </w:p>
    <w:bookmarkEnd w:id="381"/>
    <w:bookmarkEnd w:id="382"/>
    <w:p w14:paraId="16D46B2C">
      <w:pPr>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说明：</w:t>
      </w:r>
    </w:p>
    <w:p w14:paraId="7D0D9CE7">
      <w:pPr>
        <w:tabs>
          <w:tab w:val="left" w:pos="5580"/>
        </w:tabs>
        <w:spacing w:line="240" w:lineRule="atLeast"/>
        <w:ind w:left="540"/>
        <w:rPr>
          <w:rFonts w:ascii="仿宋" w:hAnsi="仿宋" w:eastAsia="仿宋" w:cs="仿宋"/>
          <w:bCs/>
          <w:sz w:val="24"/>
          <w:highlight w:val="none"/>
        </w:rPr>
      </w:pPr>
      <w:r>
        <w:rPr>
          <w:rFonts w:hint="eastAsia" w:ascii="仿宋" w:hAnsi="仿宋" w:eastAsia="仿宋" w:cs="仿宋"/>
          <w:sz w:val="24"/>
          <w:highlight w:val="none"/>
        </w:rPr>
        <w:t>1、如提供本单位</w:t>
      </w:r>
      <w:r>
        <w:rPr>
          <w:rFonts w:hint="eastAsia" w:ascii="仿宋" w:hAnsi="仿宋" w:eastAsia="仿宋" w:cs="仿宋"/>
          <w:sz w:val="24"/>
          <w:highlight w:val="none"/>
          <w:lang w:val="en-US" w:eastAsia="zh-CN"/>
        </w:rPr>
        <w:t>2023年度或者2024</w:t>
      </w:r>
      <w:r>
        <w:rPr>
          <w:rFonts w:hint="eastAsia" w:ascii="仿宋" w:hAnsi="仿宋" w:eastAsia="仿宋" w:cs="仿宋"/>
          <w:sz w:val="24"/>
          <w:highlight w:val="none"/>
        </w:rPr>
        <w:t>年度经会计师事务所出具的审计报告复印件须加盖</w:t>
      </w:r>
      <w:r>
        <w:rPr>
          <w:rFonts w:hint="eastAsia" w:ascii="仿宋" w:hAnsi="仿宋" w:eastAsia="仿宋" w:cs="仿宋"/>
          <w:bCs/>
          <w:sz w:val="24"/>
          <w:highlight w:val="none"/>
        </w:rPr>
        <w:t>本单位章</w:t>
      </w:r>
      <w:r>
        <w:rPr>
          <w:rFonts w:hint="eastAsia" w:ascii="仿宋" w:hAnsi="仿宋" w:eastAsia="仿宋" w:cs="仿宋"/>
          <w:bCs/>
          <w:sz w:val="24"/>
          <w:highlight w:val="none"/>
          <w:lang w:eastAsia="zh-CN"/>
        </w:rPr>
        <w:t>，</w:t>
      </w:r>
      <w:r>
        <w:rPr>
          <w:rFonts w:hint="eastAsia" w:ascii="仿宋" w:hAnsi="仿宋" w:eastAsia="仿宋" w:cs="仿宋"/>
          <w:color w:val="auto"/>
          <w:spacing w:val="-1"/>
          <w:sz w:val="24"/>
          <w:szCs w:val="24"/>
          <w:lang w:eastAsia="zh-CN"/>
        </w:rPr>
        <w:t>注册成立未满一年新公司可提供近三个月内的银行资信证明</w:t>
      </w:r>
      <w:r>
        <w:rPr>
          <w:rFonts w:hint="eastAsia" w:ascii="仿宋" w:hAnsi="仿宋" w:eastAsia="仿宋" w:cs="仿宋"/>
          <w:bCs/>
          <w:sz w:val="24"/>
          <w:highlight w:val="none"/>
        </w:rPr>
        <w:t>。</w:t>
      </w:r>
    </w:p>
    <w:p w14:paraId="3C8C4355">
      <w:pPr>
        <w:tabs>
          <w:tab w:val="left" w:pos="5580"/>
        </w:tabs>
        <w:spacing w:line="240" w:lineRule="atLeast"/>
        <w:ind w:left="540"/>
        <w:rPr>
          <w:rFonts w:ascii="仿宋" w:hAnsi="仿宋" w:eastAsia="仿宋" w:cs="仿宋"/>
          <w:sz w:val="24"/>
          <w:highlight w:val="none"/>
        </w:rPr>
      </w:pPr>
      <w:r>
        <w:rPr>
          <w:rFonts w:hint="eastAsia" w:ascii="仿宋" w:hAnsi="仿宋" w:eastAsia="仿宋" w:cs="仿宋"/>
          <w:sz w:val="24"/>
          <w:highlight w:val="none"/>
        </w:rPr>
        <w:t>2、如提供银行出具的证明文件。银行证明文件可提供原件，也可提供银行在开标日前三个月内开具证明文件的复印件。若提供的是复印件，招标采购单位保留审核原件的权利。银行出具的证明文件应能说明该供应商与银行之间业务往来正常，企业信誉良好等。</w:t>
      </w:r>
    </w:p>
    <w:p w14:paraId="64C23CA3">
      <w:pPr>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3、如果是联合体投标，联合体各方均需提供上述证明。</w:t>
      </w:r>
    </w:p>
    <w:p w14:paraId="567333DC">
      <w:pPr>
        <w:tabs>
          <w:tab w:val="left" w:pos="5580"/>
        </w:tabs>
        <w:spacing w:line="240" w:lineRule="atLeast"/>
        <w:ind w:left="1079" w:leftChars="257" w:hanging="540"/>
        <w:rPr>
          <w:rFonts w:ascii="仿宋" w:hAnsi="仿宋" w:eastAsia="仿宋" w:cs="仿宋"/>
          <w:sz w:val="24"/>
          <w:highlight w:val="none"/>
        </w:rPr>
      </w:pPr>
    </w:p>
    <w:p w14:paraId="034EDA2D">
      <w:pPr>
        <w:pStyle w:val="17"/>
        <w:ind w:left="517"/>
        <w:rPr>
          <w:rFonts w:ascii="仿宋" w:hAnsi="仿宋" w:eastAsia="仿宋" w:cs="仿宋"/>
          <w:highlight w:val="none"/>
        </w:rPr>
      </w:pPr>
    </w:p>
    <w:p w14:paraId="724DD5FF">
      <w:pPr>
        <w:pStyle w:val="8"/>
      </w:pPr>
    </w:p>
    <w:p w14:paraId="76478A9D">
      <w:pPr>
        <w:widowControl/>
        <w:spacing w:line="500" w:lineRule="exact"/>
        <w:ind w:firstLine="470" w:firstLineChars="196"/>
        <w:rPr>
          <w:rFonts w:ascii="仿宋" w:hAnsi="仿宋" w:eastAsia="仿宋" w:cs="仿宋"/>
          <w:b/>
          <w:bCs/>
          <w:iCs/>
          <w:sz w:val="24"/>
          <w:highlight w:val="none"/>
        </w:rPr>
      </w:pPr>
    </w:p>
    <w:p w14:paraId="11E4118B">
      <w:pPr>
        <w:widowControl/>
        <w:spacing w:line="500" w:lineRule="exact"/>
        <w:ind w:firstLine="470" w:firstLineChars="196"/>
        <w:jc w:val="center"/>
        <w:rPr>
          <w:rFonts w:ascii="仿宋" w:hAnsi="仿宋" w:eastAsia="仿宋" w:cs="仿宋"/>
          <w:b/>
          <w:bCs/>
          <w:iCs/>
          <w:sz w:val="24"/>
          <w:highlight w:val="none"/>
        </w:rPr>
      </w:pPr>
    </w:p>
    <w:p w14:paraId="79B6512E">
      <w:pPr>
        <w:pStyle w:val="3"/>
        <w:spacing w:before="0" w:line="288" w:lineRule="auto"/>
        <w:rPr>
          <w:rFonts w:ascii="仿宋" w:hAnsi="仿宋" w:eastAsia="仿宋" w:cs="仿宋"/>
          <w:sz w:val="24"/>
          <w:highlight w:val="none"/>
        </w:rPr>
      </w:pPr>
      <w:bookmarkStart w:id="383" w:name="_Toc15731"/>
      <w:bookmarkStart w:id="384" w:name="_Toc13069"/>
      <w:bookmarkStart w:id="385" w:name="_Toc16284"/>
      <w:bookmarkStart w:id="386" w:name="_Toc16690"/>
      <w:bookmarkStart w:id="387" w:name="_Toc13883"/>
      <w:bookmarkStart w:id="388" w:name="_Toc16318"/>
      <w:bookmarkStart w:id="389" w:name="_Toc11835"/>
      <w:bookmarkStart w:id="390" w:name="_Toc18809"/>
      <w:bookmarkStart w:id="391" w:name="_Toc13664"/>
      <w:r>
        <w:rPr>
          <w:rFonts w:hint="eastAsia" w:ascii="仿宋" w:hAnsi="仿宋" w:eastAsia="仿宋" w:cs="仿宋"/>
          <w:sz w:val="24"/>
          <w:highlight w:val="none"/>
        </w:rPr>
        <w:t>8 依法缴纳税收的证明</w:t>
      </w:r>
      <w:bookmarkEnd w:id="383"/>
      <w:bookmarkEnd w:id="384"/>
      <w:bookmarkEnd w:id="385"/>
      <w:bookmarkEnd w:id="386"/>
      <w:bookmarkEnd w:id="387"/>
      <w:bookmarkEnd w:id="388"/>
      <w:bookmarkEnd w:id="389"/>
      <w:bookmarkEnd w:id="390"/>
      <w:bookmarkEnd w:id="391"/>
    </w:p>
    <w:p w14:paraId="35D550B8">
      <w:pPr>
        <w:pStyle w:val="12"/>
        <w:tabs>
          <w:tab w:val="left" w:pos="5580"/>
        </w:tabs>
        <w:spacing w:line="240" w:lineRule="atLeast"/>
        <w:ind w:left="540"/>
        <w:rPr>
          <w:rFonts w:ascii="仿宋" w:hAnsi="仿宋" w:eastAsia="仿宋" w:cs="仿宋"/>
          <w:sz w:val="24"/>
          <w:highlight w:val="none"/>
        </w:rPr>
      </w:pPr>
      <w:r>
        <w:rPr>
          <w:rFonts w:hint="eastAsia" w:ascii="仿宋" w:hAnsi="仿宋" w:eastAsia="仿宋" w:cs="仿宋"/>
          <w:sz w:val="24"/>
          <w:highlight w:val="none"/>
        </w:rPr>
        <w:t>说明：1.按照</w:t>
      </w:r>
      <w:r>
        <w:rPr>
          <w:rFonts w:hint="eastAsia" w:ascii="仿宋" w:hAnsi="仿宋" w:eastAsia="仿宋" w:cs="仿宋"/>
          <w:sz w:val="24"/>
          <w:highlight w:val="none"/>
          <w:u w:val="single"/>
        </w:rPr>
        <w:t>供应商须知资料表</w:t>
      </w:r>
      <w:r>
        <w:rPr>
          <w:rFonts w:hint="eastAsia" w:ascii="仿宋" w:hAnsi="仿宋" w:eastAsia="仿宋" w:cs="仿宋"/>
          <w:sz w:val="24"/>
          <w:highlight w:val="none"/>
        </w:rPr>
        <w:t>中的规定提供复印件。</w:t>
      </w:r>
    </w:p>
    <w:p w14:paraId="357AA437">
      <w:pPr>
        <w:pStyle w:val="12"/>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 xml:space="preserve">      2.复印件上应加盖本单位章。</w:t>
      </w:r>
    </w:p>
    <w:p w14:paraId="2D80CF00">
      <w:pPr>
        <w:pStyle w:val="12"/>
        <w:tabs>
          <w:tab w:val="left" w:pos="5580"/>
        </w:tabs>
        <w:spacing w:line="288" w:lineRule="auto"/>
        <w:ind w:left="1079" w:leftChars="257" w:hanging="540"/>
        <w:rPr>
          <w:rFonts w:ascii="仿宋" w:hAnsi="仿宋" w:eastAsia="仿宋" w:cs="仿宋"/>
          <w:sz w:val="24"/>
          <w:highlight w:val="none"/>
        </w:rPr>
      </w:pPr>
      <w:r>
        <w:rPr>
          <w:rFonts w:hint="eastAsia" w:ascii="仿宋" w:hAnsi="仿宋" w:eastAsia="仿宋" w:cs="仿宋"/>
          <w:sz w:val="24"/>
          <w:highlight w:val="none"/>
        </w:rPr>
        <w:t xml:space="preserve">      3.如果是联合体投标，联合体各方均需提供上述证明。</w:t>
      </w:r>
    </w:p>
    <w:p w14:paraId="44F449D4">
      <w:pPr>
        <w:spacing w:line="500" w:lineRule="exact"/>
        <w:ind w:firstLine="600" w:firstLineChars="250"/>
        <w:jc w:val="left"/>
        <w:rPr>
          <w:rFonts w:ascii="仿宋" w:hAnsi="仿宋" w:eastAsia="仿宋" w:cs="仿宋"/>
          <w:b/>
          <w:bCs/>
          <w:iCs/>
          <w:sz w:val="24"/>
          <w:highlight w:val="none"/>
        </w:rPr>
      </w:pPr>
    </w:p>
    <w:p w14:paraId="3C1AE493">
      <w:pPr>
        <w:jc w:val="center"/>
        <w:rPr>
          <w:rFonts w:ascii="仿宋" w:hAnsi="仿宋" w:eastAsia="仿宋" w:cs="仿宋"/>
          <w:b/>
          <w:kern w:val="0"/>
          <w:sz w:val="24"/>
          <w:szCs w:val="20"/>
          <w:highlight w:val="none"/>
        </w:rPr>
      </w:pPr>
      <w:r>
        <w:rPr>
          <w:rFonts w:hint="eastAsia" w:ascii="仿宋" w:hAnsi="仿宋" w:eastAsia="仿宋" w:cs="仿宋"/>
          <w:b/>
          <w:kern w:val="0"/>
          <w:sz w:val="24"/>
          <w:szCs w:val="20"/>
          <w:highlight w:val="none"/>
        </w:rPr>
        <w:t xml:space="preserve">  </w:t>
      </w:r>
    </w:p>
    <w:p w14:paraId="125D9B9E">
      <w:pPr>
        <w:jc w:val="center"/>
        <w:rPr>
          <w:rFonts w:ascii="仿宋" w:hAnsi="仿宋" w:eastAsia="仿宋" w:cs="仿宋"/>
          <w:b/>
          <w:kern w:val="0"/>
          <w:sz w:val="24"/>
          <w:szCs w:val="20"/>
          <w:highlight w:val="none"/>
        </w:rPr>
      </w:pPr>
    </w:p>
    <w:p w14:paraId="2D178986">
      <w:pPr>
        <w:jc w:val="center"/>
        <w:rPr>
          <w:rFonts w:ascii="仿宋" w:hAnsi="仿宋" w:eastAsia="仿宋" w:cs="仿宋"/>
          <w:b/>
          <w:kern w:val="0"/>
          <w:sz w:val="24"/>
          <w:szCs w:val="20"/>
          <w:highlight w:val="none"/>
        </w:rPr>
      </w:pPr>
    </w:p>
    <w:p w14:paraId="52A778F9">
      <w:pPr>
        <w:jc w:val="center"/>
        <w:rPr>
          <w:rFonts w:ascii="仿宋" w:hAnsi="仿宋" w:eastAsia="仿宋" w:cs="仿宋"/>
          <w:b/>
          <w:kern w:val="0"/>
          <w:sz w:val="24"/>
          <w:szCs w:val="20"/>
          <w:highlight w:val="none"/>
        </w:rPr>
      </w:pPr>
    </w:p>
    <w:p w14:paraId="5F6A5DA2">
      <w:pPr>
        <w:jc w:val="center"/>
        <w:rPr>
          <w:rFonts w:ascii="仿宋" w:hAnsi="仿宋" w:eastAsia="仿宋" w:cs="仿宋"/>
          <w:b/>
          <w:kern w:val="0"/>
          <w:sz w:val="24"/>
          <w:szCs w:val="20"/>
          <w:highlight w:val="none"/>
        </w:rPr>
      </w:pPr>
    </w:p>
    <w:p w14:paraId="7F0639AB">
      <w:pPr>
        <w:jc w:val="center"/>
        <w:rPr>
          <w:rFonts w:ascii="仿宋" w:hAnsi="仿宋" w:eastAsia="仿宋" w:cs="仿宋"/>
          <w:b/>
          <w:kern w:val="0"/>
          <w:sz w:val="24"/>
          <w:szCs w:val="20"/>
          <w:highlight w:val="none"/>
        </w:rPr>
      </w:pPr>
    </w:p>
    <w:p w14:paraId="281EE3E4">
      <w:pPr>
        <w:jc w:val="center"/>
        <w:rPr>
          <w:rFonts w:ascii="仿宋" w:hAnsi="仿宋" w:eastAsia="仿宋" w:cs="仿宋"/>
          <w:b/>
          <w:kern w:val="0"/>
          <w:sz w:val="24"/>
          <w:szCs w:val="20"/>
          <w:highlight w:val="none"/>
        </w:rPr>
      </w:pPr>
    </w:p>
    <w:p w14:paraId="20CB95AF">
      <w:pPr>
        <w:jc w:val="center"/>
        <w:rPr>
          <w:rFonts w:ascii="仿宋" w:hAnsi="仿宋" w:eastAsia="仿宋" w:cs="仿宋"/>
          <w:b/>
          <w:kern w:val="0"/>
          <w:sz w:val="24"/>
          <w:szCs w:val="20"/>
          <w:highlight w:val="none"/>
        </w:rPr>
      </w:pPr>
    </w:p>
    <w:p w14:paraId="34F5ACDA">
      <w:pPr>
        <w:jc w:val="center"/>
        <w:rPr>
          <w:rFonts w:ascii="仿宋" w:hAnsi="仿宋" w:eastAsia="仿宋" w:cs="仿宋"/>
          <w:b/>
          <w:kern w:val="0"/>
          <w:sz w:val="24"/>
          <w:szCs w:val="20"/>
          <w:highlight w:val="none"/>
        </w:rPr>
      </w:pPr>
    </w:p>
    <w:p w14:paraId="1DC38951">
      <w:pPr>
        <w:jc w:val="center"/>
        <w:rPr>
          <w:rFonts w:ascii="仿宋" w:hAnsi="仿宋" w:eastAsia="仿宋" w:cs="仿宋"/>
          <w:b/>
          <w:kern w:val="0"/>
          <w:sz w:val="24"/>
          <w:szCs w:val="20"/>
          <w:highlight w:val="none"/>
        </w:rPr>
      </w:pPr>
    </w:p>
    <w:p w14:paraId="57166F0E">
      <w:pPr>
        <w:pStyle w:val="6"/>
        <w:rPr>
          <w:rFonts w:ascii="仿宋" w:hAnsi="仿宋" w:eastAsia="仿宋" w:cs="仿宋"/>
          <w:highlight w:val="none"/>
        </w:rPr>
      </w:pPr>
    </w:p>
    <w:p w14:paraId="330DE305">
      <w:pPr>
        <w:rPr>
          <w:rFonts w:ascii="仿宋" w:hAnsi="仿宋" w:eastAsia="仿宋" w:cs="仿宋"/>
          <w:highlight w:val="none"/>
        </w:rPr>
      </w:pPr>
    </w:p>
    <w:p w14:paraId="3F53B36C">
      <w:pPr>
        <w:jc w:val="center"/>
        <w:rPr>
          <w:rFonts w:ascii="仿宋" w:hAnsi="仿宋" w:eastAsia="仿宋" w:cs="仿宋"/>
          <w:b/>
          <w:kern w:val="0"/>
          <w:sz w:val="24"/>
          <w:szCs w:val="20"/>
          <w:highlight w:val="none"/>
        </w:rPr>
      </w:pPr>
    </w:p>
    <w:p w14:paraId="162F0524">
      <w:pPr>
        <w:jc w:val="center"/>
        <w:rPr>
          <w:rFonts w:ascii="仿宋" w:hAnsi="仿宋" w:eastAsia="仿宋" w:cs="仿宋"/>
          <w:b/>
          <w:kern w:val="0"/>
          <w:sz w:val="24"/>
          <w:szCs w:val="20"/>
          <w:highlight w:val="none"/>
        </w:rPr>
      </w:pPr>
    </w:p>
    <w:p w14:paraId="0E17C5F1">
      <w:pPr>
        <w:jc w:val="center"/>
        <w:rPr>
          <w:rFonts w:ascii="仿宋" w:hAnsi="仿宋" w:eastAsia="仿宋" w:cs="仿宋"/>
          <w:b/>
          <w:kern w:val="0"/>
          <w:sz w:val="24"/>
          <w:szCs w:val="20"/>
          <w:highlight w:val="none"/>
        </w:rPr>
      </w:pPr>
      <w:r>
        <w:rPr>
          <w:rFonts w:hint="eastAsia" w:ascii="仿宋" w:hAnsi="仿宋" w:eastAsia="仿宋" w:cs="仿宋"/>
          <w:b/>
          <w:kern w:val="0"/>
          <w:sz w:val="24"/>
          <w:szCs w:val="20"/>
          <w:highlight w:val="none"/>
        </w:rPr>
        <w:t>9投标单位（供应商）针对本次项目《反商业贿赂承诺书》</w:t>
      </w:r>
    </w:p>
    <w:p w14:paraId="1F52AD55">
      <w:pPr>
        <w:ind w:firstLine="420" w:firstLineChars="200"/>
        <w:rPr>
          <w:rFonts w:ascii="仿宋" w:hAnsi="仿宋" w:eastAsia="仿宋" w:cs="仿宋"/>
          <w:highlight w:val="none"/>
        </w:rPr>
      </w:pPr>
    </w:p>
    <w:p w14:paraId="62A3C0FF">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我公司承诺在</w:t>
      </w:r>
      <w:r>
        <w:rPr>
          <w:rFonts w:hint="eastAsia" w:ascii="仿宋" w:hAnsi="仿宋" w:eastAsia="仿宋" w:cs="仿宋"/>
          <w:sz w:val="28"/>
          <w:szCs w:val="28"/>
          <w:highlight w:val="none"/>
          <w:u w:val="single"/>
        </w:rPr>
        <w:t xml:space="preserve">  （项目名称）</w:t>
      </w:r>
      <w:r>
        <w:rPr>
          <w:rFonts w:hint="eastAsia" w:ascii="仿宋" w:hAnsi="仿宋" w:eastAsia="仿宋" w:cs="仿宋"/>
          <w:sz w:val="28"/>
          <w:szCs w:val="28"/>
          <w:highlight w:val="none"/>
        </w:rPr>
        <w:t>项目</w:t>
      </w:r>
      <w:r>
        <w:rPr>
          <w:rFonts w:hint="eastAsia" w:ascii="仿宋" w:hAnsi="仿宋" w:eastAsia="仿宋" w:cs="仿宋"/>
          <w:sz w:val="28"/>
          <w:szCs w:val="28"/>
          <w:highlight w:val="none"/>
          <w:u w:val="single"/>
        </w:rPr>
        <w:t xml:space="preserve">    （项目编号）  </w:t>
      </w:r>
      <w:r>
        <w:rPr>
          <w:rFonts w:hint="eastAsia" w:ascii="仿宋" w:hAnsi="仿宋" w:eastAsia="仿宋" w:cs="仿宋"/>
          <w:sz w:val="28"/>
          <w:szCs w:val="28"/>
          <w:highlight w:val="none"/>
        </w:rPr>
        <w:t>公开采购标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反不正当竞争法》的有关规定接受处罚。</w:t>
      </w:r>
    </w:p>
    <w:p w14:paraId="49C24FDB">
      <w:pPr>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14:paraId="22BC9D94">
      <w:pPr>
        <w:rPr>
          <w:rFonts w:ascii="仿宋" w:hAnsi="仿宋" w:eastAsia="仿宋" w:cs="仿宋"/>
          <w:sz w:val="28"/>
          <w:szCs w:val="28"/>
          <w:highlight w:val="none"/>
        </w:rPr>
      </w:pPr>
      <w:r>
        <w:rPr>
          <w:rFonts w:hint="eastAsia" w:ascii="仿宋" w:hAnsi="仿宋" w:eastAsia="仿宋" w:cs="仿宋"/>
          <w:sz w:val="28"/>
          <w:szCs w:val="28"/>
          <w:highlight w:val="none"/>
        </w:rPr>
        <w:t xml:space="preserve">投标单位名称:                    </w:t>
      </w:r>
    </w:p>
    <w:p w14:paraId="0DED2B61">
      <w:pPr>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14:paraId="0EE05837">
      <w:pPr>
        <w:rPr>
          <w:rFonts w:ascii="仿宋" w:hAnsi="仿宋" w:eastAsia="仿宋" w:cs="仿宋"/>
          <w:sz w:val="28"/>
          <w:szCs w:val="28"/>
          <w:highlight w:val="none"/>
        </w:rPr>
      </w:pPr>
      <w:r>
        <w:rPr>
          <w:rFonts w:hint="eastAsia" w:ascii="仿宋" w:hAnsi="仿宋" w:eastAsia="仿宋" w:cs="仿宋"/>
          <w:sz w:val="28"/>
          <w:szCs w:val="28"/>
          <w:highlight w:val="none"/>
        </w:rPr>
        <w:t>投标单位法定代表人签字或盖章：</w:t>
      </w:r>
    </w:p>
    <w:p w14:paraId="74F92CCF">
      <w:pPr>
        <w:rPr>
          <w:rFonts w:ascii="仿宋" w:hAnsi="仿宋" w:eastAsia="仿宋" w:cs="仿宋"/>
          <w:sz w:val="28"/>
          <w:szCs w:val="28"/>
          <w:highlight w:val="none"/>
        </w:rPr>
      </w:pPr>
    </w:p>
    <w:p w14:paraId="76971A17">
      <w:pPr>
        <w:rPr>
          <w:rFonts w:ascii="仿宋" w:hAnsi="仿宋" w:eastAsia="仿宋" w:cs="仿宋"/>
          <w:sz w:val="28"/>
          <w:szCs w:val="28"/>
          <w:highlight w:val="none"/>
        </w:rPr>
      </w:pPr>
      <w:r>
        <w:rPr>
          <w:rFonts w:hint="eastAsia" w:ascii="仿宋" w:hAnsi="仿宋" w:eastAsia="仿宋" w:cs="仿宋"/>
          <w:sz w:val="28"/>
          <w:szCs w:val="28"/>
          <w:highlight w:val="none"/>
        </w:rPr>
        <w:t>委托代表人签字或盖章：</w:t>
      </w:r>
    </w:p>
    <w:p w14:paraId="136CE6D8">
      <w:pPr>
        <w:rPr>
          <w:rFonts w:ascii="仿宋" w:hAnsi="仿宋" w:eastAsia="仿宋" w:cs="仿宋"/>
          <w:sz w:val="28"/>
          <w:szCs w:val="28"/>
          <w:highlight w:val="none"/>
        </w:rPr>
      </w:pPr>
    </w:p>
    <w:p w14:paraId="0F298A56">
      <w:pPr>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14:paraId="49276D27">
      <w:pPr>
        <w:pStyle w:val="3"/>
        <w:spacing w:before="0" w:line="240" w:lineRule="atLeast"/>
        <w:ind w:left="1079" w:leftChars="257" w:hanging="540"/>
        <w:rPr>
          <w:rFonts w:ascii="仿宋" w:hAnsi="仿宋" w:eastAsia="仿宋" w:cs="仿宋"/>
          <w:sz w:val="28"/>
          <w:szCs w:val="28"/>
          <w:highlight w:val="none"/>
        </w:rPr>
      </w:pPr>
    </w:p>
    <w:p w14:paraId="3C24AE2B">
      <w:pPr>
        <w:pStyle w:val="6"/>
        <w:ind w:left="0" w:leftChars="0" w:firstLine="0" w:firstLineChars="0"/>
        <w:rPr>
          <w:rFonts w:ascii="仿宋" w:hAnsi="仿宋" w:eastAsia="仿宋" w:cs="仿宋"/>
          <w:szCs w:val="24"/>
          <w:highlight w:val="none"/>
        </w:rPr>
      </w:pPr>
    </w:p>
    <w:p w14:paraId="5A048094">
      <w:pPr>
        <w:spacing w:line="240" w:lineRule="atLeast"/>
        <w:rPr>
          <w:rFonts w:ascii="仿宋" w:hAnsi="仿宋" w:eastAsia="仿宋" w:cs="仿宋"/>
          <w:highlight w:val="none"/>
        </w:rPr>
      </w:pPr>
    </w:p>
    <w:p w14:paraId="006039FA">
      <w:pPr>
        <w:pStyle w:val="3"/>
        <w:spacing w:before="0" w:line="240" w:lineRule="atLeast"/>
        <w:ind w:left="1079" w:leftChars="257" w:hanging="540"/>
        <w:rPr>
          <w:rFonts w:ascii="仿宋" w:hAnsi="仿宋" w:eastAsia="仿宋" w:cs="仿宋"/>
          <w:sz w:val="24"/>
          <w:highlight w:val="none"/>
        </w:rPr>
      </w:pPr>
      <w:bookmarkStart w:id="392" w:name="_Toc4092"/>
      <w:bookmarkStart w:id="393" w:name="_Toc25282"/>
      <w:r>
        <w:rPr>
          <w:rFonts w:hint="eastAsia" w:ascii="仿宋" w:hAnsi="仿宋" w:eastAsia="仿宋" w:cs="仿宋"/>
          <w:sz w:val="24"/>
          <w:highlight w:val="none"/>
        </w:rPr>
        <w:t>10 参加政府采购活动前3年内</w:t>
      </w:r>
      <w:bookmarkStart w:id="394" w:name="_Toc515647812"/>
      <w:bookmarkStart w:id="395" w:name="_Toc1137"/>
      <w:bookmarkStart w:id="396" w:name="_Toc6008"/>
      <w:r>
        <w:rPr>
          <w:rFonts w:hint="eastAsia" w:ascii="仿宋" w:hAnsi="仿宋" w:eastAsia="仿宋" w:cs="仿宋"/>
          <w:sz w:val="24"/>
          <w:highlight w:val="none"/>
        </w:rPr>
        <w:t>在经营活动中没有重大违法记录的书面声明</w:t>
      </w:r>
      <w:bookmarkEnd w:id="392"/>
      <w:bookmarkEnd w:id="393"/>
      <w:bookmarkEnd w:id="394"/>
      <w:bookmarkEnd w:id="395"/>
      <w:bookmarkEnd w:id="396"/>
    </w:p>
    <w:p w14:paraId="41478A01">
      <w:pPr>
        <w:pStyle w:val="12"/>
        <w:tabs>
          <w:tab w:val="left" w:pos="5580"/>
        </w:tabs>
        <w:spacing w:line="240" w:lineRule="atLeast"/>
        <w:rPr>
          <w:rFonts w:ascii="仿宋" w:hAnsi="仿宋" w:eastAsia="仿宋" w:cs="仿宋"/>
          <w:highlight w:val="none"/>
        </w:rPr>
      </w:pPr>
    </w:p>
    <w:p w14:paraId="3DABF90D">
      <w:pPr>
        <w:pStyle w:val="12"/>
        <w:tabs>
          <w:tab w:val="left" w:pos="5580"/>
        </w:tabs>
        <w:spacing w:line="240" w:lineRule="atLeast"/>
        <w:ind w:left="1079" w:leftChars="257" w:hanging="540"/>
        <w:rPr>
          <w:rFonts w:ascii="仿宋" w:hAnsi="仿宋" w:eastAsia="仿宋" w:cs="仿宋"/>
          <w:highlight w:val="none"/>
        </w:rPr>
      </w:pPr>
      <w:r>
        <w:rPr>
          <w:rFonts w:hint="eastAsia" w:ascii="仿宋" w:hAnsi="仿宋" w:eastAsia="仿宋" w:cs="仿宋"/>
          <w:highlight w:val="none"/>
        </w:rPr>
        <w:t>说明：1.供应商应按照相关法规规定如实作出说明。</w:t>
      </w:r>
    </w:p>
    <w:p w14:paraId="4F573E49">
      <w:pPr>
        <w:pStyle w:val="12"/>
        <w:tabs>
          <w:tab w:val="left" w:pos="5580"/>
        </w:tabs>
        <w:spacing w:line="240" w:lineRule="atLeast"/>
        <w:ind w:left="644" w:leftChars="307" w:firstLine="525" w:firstLineChars="250"/>
        <w:rPr>
          <w:rFonts w:ascii="仿宋" w:hAnsi="仿宋" w:eastAsia="仿宋" w:cs="仿宋"/>
          <w:highlight w:val="none"/>
        </w:rPr>
      </w:pPr>
      <w:r>
        <w:rPr>
          <w:rFonts w:hint="eastAsia" w:ascii="仿宋" w:hAnsi="仿宋" w:eastAsia="仿宋" w:cs="仿宋"/>
          <w:highlight w:val="none"/>
        </w:rPr>
        <w:t>2．按照磋商文件的规定加盖单位章（自然人投标的无需盖章，需要签字）。</w:t>
      </w:r>
    </w:p>
    <w:p w14:paraId="400A8234">
      <w:pPr>
        <w:pStyle w:val="12"/>
        <w:tabs>
          <w:tab w:val="left" w:pos="5580"/>
        </w:tabs>
        <w:spacing w:line="240" w:lineRule="atLeast"/>
        <w:ind w:left="1079" w:leftChars="257" w:hanging="540"/>
        <w:rPr>
          <w:rFonts w:ascii="仿宋" w:hAnsi="仿宋" w:eastAsia="仿宋" w:cs="仿宋"/>
          <w:highlight w:val="none"/>
        </w:rPr>
      </w:pPr>
      <w:r>
        <w:rPr>
          <w:rFonts w:hint="eastAsia" w:ascii="仿宋" w:hAnsi="仿宋" w:eastAsia="仿宋" w:cs="仿宋"/>
          <w:highlight w:val="none"/>
        </w:rPr>
        <w:t xml:space="preserve">      3.如果是联合体投标，联合体各方均需提供上述证明。</w:t>
      </w:r>
    </w:p>
    <w:p w14:paraId="70AF2602">
      <w:pPr>
        <w:pStyle w:val="17"/>
        <w:rPr>
          <w:rFonts w:ascii="仿宋" w:hAnsi="仿宋" w:eastAsia="仿宋" w:cs="仿宋"/>
          <w:highlight w:val="none"/>
        </w:rPr>
      </w:pPr>
    </w:p>
    <w:p w14:paraId="2CD69662">
      <w:pPr>
        <w:pStyle w:val="8"/>
        <w:rPr>
          <w:rFonts w:ascii="仿宋" w:hAnsi="仿宋" w:eastAsia="仿宋" w:cs="仿宋"/>
          <w:highlight w:val="none"/>
        </w:rPr>
      </w:pPr>
    </w:p>
    <w:p w14:paraId="6F6C3E7D">
      <w:pPr>
        <w:pStyle w:val="3"/>
        <w:spacing w:before="0" w:line="288" w:lineRule="auto"/>
        <w:rPr>
          <w:rFonts w:ascii="仿宋" w:hAnsi="仿宋" w:eastAsia="仿宋" w:cs="仿宋"/>
          <w:sz w:val="24"/>
          <w:highlight w:val="none"/>
        </w:rPr>
      </w:pPr>
      <w:bookmarkStart w:id="397" w:name="_Toc18306"/>
      <w:bookmarkStart w:id="398" w:name="_Toc21347"/>
      <w:bookmarkStart w:id="399" w:name="_Toc11340"/>
      <w:bookmarkStart w:id="400" w:name="_Toc10062"/>
      <w:bookmarkStart w:id="401" w:name="_Toc29051"/>
      <w:bookmarkStart w:id="402" w:name="_Toc4680"/>
      <w:bookmarkStart w:id="403" w:name="_Toc14887"/>
      <w:bookmarkStart w:id="404" w:name="_Toc11464"/>
      <w:bookmarkStart w:id="405" w:name="_Toc3659"/>
      <w:r>
        <w:rPr>
          <w:rFonts w:hint="eastAsia" w:ascii="仿宋" w:hAnsi="仿宋" w:eastAsia="仿宋" w:cs="仿宋"/>
          <w:sz w:val="24"/>
          <w:highlight w:val="none"/>
        </w:rPr>
        <w:t>11 供应商须知资料表要求的其他资格证明文件</w:t>
      </w:r>
      <w:bookmarkEnd w:id="397"/>
      <w:bookmarkEnd w:id="398"/>
      <w:bookmarkEnd w:id="399"/>
      <w:bookmarkEnd w:id="400"/>
      <w:bookmarkEnd w:id="401"/>
      <w:bookmarkEnd w:id="402"/>
      <w:bookmarkEnd w:id="403"/>
      <w:bookmarkEnd w:id="404"/>
      <w:bookmarkEnd w:id="405"/>
    </w:p>
    <w:p w14:paraId="544AE844">
      <w:pPr>
        <w:pStyle w:val="12"/>
        <w:tabs>
          <w:tab w:val="left" w:pos="5580"/>
        </w:tabs>
        <w:spacing w:line="288" w:lineRule="auto"/>
        <w:ind w:left="1079" w:leftChars="257" w:hanging="540"/>
        <w:rPr>
          <w:rFonts w:ascii="仿宋" w:hAnsi="仿宋" w:eastAsia="仿宋" w:cs="仿宋"/>
          <w:sz w:val="24"/>
          <w:highlight w:val="none"/>
        </w:rPr>
      </w:pPr>
    </w:p>
    <w:p w14:paraId="7FE21D83">
      <w:pPr>
        <w:pStyle w:val="12"/>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说明：1.应提供</w:t>
      </w:r>
      <w:r>
        <w:rPr>
          <w:rFonts w:hint="eastAsia" w:ascii="仿宋" w:hAnsi="仿宋" w:eastAsia="仿宋" w:cs="仿宋"/>
          <w:sz w:val="24"/>
          <w:highlight w:val="none"/>
          <w:u w:val="single"/>
        </w:rPr>
        <w:t>供应商须知资料表</w:t>
      </w:r>
      <w:r>
        <w:rPr>
          <w:rFonts w:hint="eastAsia" w:ascii="仿宋" w:hAnsi="仿宋" w:eastAsia="仿宋" w:cs="仿宋"/>
          <w:sz w:val="24"/>
          <w:highlight w:val="none"/>
        </w:rPr>
        <w:t>要求的其他资格证明文件。</w:t>
      </w:r>
    </w:p>
    <w:p w14:paraId="1BB5C37A">
      <w:pPr>
        <w:pStyle w:val="12"/>
        <w:tabs>
          <w:tab w:val="left" w:pos="5580"/>
        </w:tabs>
        <w:spacing w:line="240" w:lineRule="atLeast"/>
        <w:ind w:left="1079" w:leftChars="257" w:hanging="540"/>
        <w:rPr>
          <w:rFonts w:ascii="仿宋" w:hAnsi="仿宋" w:eastAsia="仿宋" w:cs="仿宋"/>
          <w:sz w:val="24"/>
          <w:highlight w:val="none"/>
        </w:rPr>
      </w:pPr>
      <w:r>
        <w:rPr>
          <w:rFonts w:hint="eastAsia" w:ascii="仿宋" w:hAnsi="仿宋" w:eastAsia="仿宋" w:cs="仿宋"/>
          <w:sz w:val="24"/>
          <w:highlight w:val="none"/>
        </w:rPr>
        <w:t xml:space="preserve">      2.复印件上应加盖本单位章（自然人投标的无需盖章，需要签字）。</w:t>
      </w:r>
    </w:p>
    <w:p w14:paraId="75588BAD">
      <w:pPr>
        <w:pStyle w:val="12"/>
        <w:tabs>
          <w:tab w:val="left" w:pos="5580"/>
        </w:tabs>
        <w:spacing w:line="240" w:lineRule="atLeast"/>
        <w:ind w:left="1260" w:leftChars="344" w:hanging="538"/>
        <w:rPr>
          <w:rFonts w:ascii="仿宋" w:hAnsi="仿宋" w:eastAsia="仿宋" w:cs="仿宋"/>
          <w:sz w:val="24"/>
          <w:highlight w:val="none"/>
        </w:rPr>
      </w:pPr>
      <w:r>
        <w:rPr>
          <w:rFonts w:hint="eastAsia" w:ascii="仿宋" w:hAnsi="仿宋" w:eastAsia="仿宋" w:cs="仿宋"/>
          <w:sz w:val="24"/>
          <w:highlight w:val="none"/>
        </w:rPr>
        <w:t xml:space="preserve">     3. 如果是联合体投标，联合体各方需提供的满足磋商文件要求的其他资格证明文件。</w:t>
      </w:r>
    </w:p>
    <w:p w14:paraId="2C1B7217">
      <w:pPr>
        <w:pStyle w:val="17"/>
        <w:numPr>
          <w:ilvl w:val="0"/>
          <w:numId w:val="6"/>
        </w:numPr>
        <w:rPr>
          <w:rFonts w:ascii="仿宋" w:hAnsi="仿宋" w:eastAsia="仿宋" w:cs="仿宋"/>
          <w:highlight w:val="none"/>
        </w:rPr>
        <w:sectPr>
          <w:headerReference r:id="rId4" w:type="default"/>
          <w:footerReference r:id="rId5" w:type="default"/>
          <w:pgSz w:w="11906" w:h="16838"/>
          <w:pgMar w:top="1440" w:right="1797" w:bottom="1440" w:left="1797" w:header="851" w:footer="992" w:gutter="0"/>
          <w:pgNumType w:fmt="decimal"/>
          <w:cols w:space="720" w:num="1"/>
          <w:docGrid w:type="linesAndChars" w:linePitch="312" w:charSpace="0"/>
        </w:sectPr>
      </w:pPr>
    </w:p>
    <w:p w14:paraId="12837402">
      <w:pPr>
        <w:pStyle w:val="3"/>
        <w:snapToGrid w:val="0"/>
        <w:spacing w:before="0" w:line="288" w:lineRule="auto"/>
        <w:ind w:left="1080" w:leftChars="257" w:hanging="540"/>
        <w:textAlignment w:val="baseline"/>
        <w:rPr>
          <w:rFonts w:ascii="仿宋" w:hAnsi="仿宋" w:eastAsia="仿宋" w:cs="仿宋"/>
          <w:sz w:val="24"/>
          <w:szCs w:val="24"/>
          <w:highlight w:val="none"/>
        </w:rPr>
      </w:pPr>
      <w:bookmarkStart w:id="406" w:name="_Toc7920"/>
      <w:r>
        <w:rPr>
          <w:rFonts w:hint="eastAsia" w:ascii="仿宋" w:hAnsi="仿宋" w:eastAsia="仿宋" w:cs="仿宋"/>
          <w:sz w:val="24"/>
          <w:highlight w:val="none"/>
        </w:rPr>
        <w:t>第二部分</w:t>
      </w:r>
      <w:r>
        <w:rPr>
          <w:rFonts w:hint="eastAsia" w:ascii="仿宋" w:hAnsi="仿宋" w:eastAsia="仿宋" w:cs="仿宋"/>
          <w:sz w:val="24"/>
          <w:szCs w:val="24"/>
          <w:highlight w:val="none"/>
        </w:rPr>
        <w:t xml:space="preserve"> 商务及技术文件</w:t>
      </w:r>
      <w:bookmarkEnd w:id="1"/>
      <w:bookmarkEnd w:id="2"/>
      <w:bookmarkEnd w:id="3"/>
      <w:bookmarkEnd w:id="4"/>
      <w:bookmarkEnd w:id="5"/>
      <w:bookmarkEnd w:id="6"/>
      <w:bookmarkEnd w:id="7"/>
      <w:bookmarkEnd w:id="8"/>
      <w:bookmarkEnd w:id="9"/>
      <w:bookmarkEnd w:id="10"/>
      <w:bookmarkEnd w:id="11"/>
      <w:bookmarkEnd w:id="12"/>
      <w:bookmarkEnd w:id="13"/>
      <w:bookmarkEnd w:id="14"/>
      <w:bookmarkEnd w:id="406"/>
    </w:p>
    <w:p w14:paraId="3153227C">
      <w:pPr>
        <w:snapToGrid w:val="0"/>
        <w:textAlignment w:val="baseline"/>
        <w:rPr>
          <w:rFonts w:ascii="仿宋" w:hAnsi="仿宋" w:eastAsia="仿宋" w:cs="仿宋"/>
          <w:sz w:val="24"/>
          <w:highlight w:val="none"/>
        </w:rPr>
      </w:pPr>
    </w:p>
    <w:p w14:paraId="56FB9173">
      <w:pPr>
        <w:pStyle w:val="12"/>
        <w:snapToGrid w:val="0"/>
        <w:spacing w:line="288" w:lineRule="auto"/>
        <w:ind w:left="1080" w:leftChars="257" w:hanging="540"/>
        <w:jc w:val="lef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1、投标书</w:t>
      </w:r>
    </w:p>
    <w:p w14:paraId="4F482642">
      <w:pPr>
        <w:pStyle w:val="12"/>
        <w:snapToGrid w:val="0"/>
        <w:spacing w:line="288" w:lineRule="auto"/>
        <w:ind w:left="1080" w:leftChars="257" w:hanging="540"/>
        <w:jc w:val="lef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2、服务需求偏离表</w:t>
      </w:r>
    </w:p>
    <w:p w14:paraId="6FE86A4F">
      <w:pPr>
        <w:pStyle w:val="12"/>
        <w:snapToGrid w:val="0"/>
        <w:spacing w:line="288" w:lineRule="auto"/>
        <w:ind w:left="1080" w:leftChars="257" w:hanging="540"/>
        <w:jc w:val="lef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3、商务条款偏离表</w:t>
      </w:r>
    </w:p>
    <w:p w14:paraId="59A3C5CE">
      <w:pPr>
        <w:pStyle w:val="12"/>
        <w:snapToGrid w:val="0"/>
        <w:spacing w:line="288" w:lineRule="auto"/>
        <w:ind w:left="1080" w:leftChars="257" w:hanging="540"/>
        <w:jc w:val="lef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4、项目负责人及实施团队人员名单简历表</w:t>
      </w:r>
    </w:p>
    <w:p w14:paraId="021EB707">
      <w:pPr>
        <w:pStyle w:val="12"/>
        <w:snapToGrid w:val="0"/>
        <w:spacing w:line="288" w:lineRule="auto"/>
        <w:ind w:left="1080" w:leftChars="257" w:hanging="540"/>
        <w:jc w:val="lef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5-1中小企业声明函</w:t>
      </w:r>
    </w:p>
    <w:p w14:paraId="34B332BD">
      <w:pPr>
        <w:pStyle w:val="12"/>
        <w:snapToGrid w:val="0"/>
        <w:spacing w:line="288" w:lineRule="auto"/>
        <w:ind w:left="1080" w:leftChars="257" w:hanging="540"/>
        <w:jc w:val="lef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5-2残疾人福利性单位声明函</w:t>
      </w:r>
    </w:p>
    <w:p w14:paraId="1F2A7AD4">
      <w:pPr>
        <w:pStyle w:val="12"/>
        <w:snapToGrid w:val="0"/>
        <w:spacing w:line="288" w:lineRule="auto"/>
        <w:ind w:left="1080" w:leftChars="257" w:hanging="540"/>
        <w:jc w:val="lef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5-3监狱企业声明函</w:t>
      </w:r>
    </w:p>
    <w:p w14:paraId="27D64D77">
      <w:pPr>
        <w:pStyle w:val="12"/>
        <w:snapToGrid w:val="0"/>
        <w:spacing w:line="288" w:lineRule="auto"/>
        <w:ind w:left="1080" w:leftChars="257" w:hanging="540"/>
        <w:jc w:val="lef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6、响应文件还应包括第五章、综合评分表的所有技术文件</w:t>
      </w:r>
    </w:p>
    <w:p w14:paraId="128B660A">
      <w:pPr>
        <w:pStyle w:val="12"/>
        <w:snapToGrid w:val="0"/>
        <w:spacing w:line="288" w:lineRule="auto"/>
        <w:ind w:left="1080" w:leftChars="257" w:hanging="540"/>
        <w:jc w:val="lef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7、供应商关联单位的说明</w:t>
      </w:r>
    </w:p>
    <w:p w14:paraId="3D049E7F">
      <w:pPr>
        <w:pStyle w:val="12"/>
        <w:snapToGrid w:val="0"/>
        <w:spacing w:line="288" w:lineRule="auto"/>
        <w:ind w:left="1080" w:leftChars="257" w:hanging="540"/>
        <w:jc w:val="lef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8、其他有利于供应商的文件或证明材料</w:t>
      </w:r>
    </w:p>
    <w:p w14:paraId="3D72EC75">
      <w:pPr>
        <w:pStyle w:val="12"/>
        <w:snapToGrid w:val="0"/>
        <w:spacing w:line="288" w:lineRule="auto"/>
        <w:ind w:left="1080" w:leftChars="257" w:hanging="540"/>
        <w:jc w:val="lef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9、对本项目响应文件（响应文件）中资料真实性的承诺</w:t>
      </w:r>
    </w:p>
    <w:p w14:paraId="3D585894">
      <w:pPr>
        <w:pStyle w:val="17"/>
        <w:rPr>
          <w:rFonts w:ascii="仿宋" w:hAnsi="仿宋" w:eastAsia="仿宋" w:cs="仿宋"/>
          <w:color w:val="000000"/>
          <w:sz w:val="24"/>
          <w:highlight w:val="none"/>
        </w:rPr>
      </w:pPr>
    </w:p>
    <w:p w14:paraId="4244304B">
      <w:pPr>
        <w:pStyle w:val="17"/>
        <w:rPr>
          <w:rFonts w:ascii="仿宋" w:hAnsi="仿宋" w:eastAsia="仿宋" w:cs="仿宋"/>
          <w:color w:val="000000"/>
          <w:sz w:val="24"/>
          <w:highlight w:val="none"/>
        </w:rPr>
      </w:pPr>
    </w:p>
    <w:p w14:paraId="24F6338E">
      <w:pPr>
        <w:pStyle w:val="17"/>
        <w:rPr>
          <w:rFonts w:ascii="仿宋" w:hAnsi="仿宋" w:eastAsia="仿宋" w:cs="仿宋"/>
          <w:color w:val="000000"/>
          <w:sz w:val="24"/>
          <w:highlight w:val="none"/>
        </w:rPr>
      </w:pPr>
    </w:p>
    <w:p w14:paraId="5D8E1BE2">
      <w:pPr>
        <w:pStyle w:val="17"/>
        <w:rPr>
          <w:rFonts w:ascii="仿宋" w:hAnsi="仿宋" w:eastAsia="仿宋" w:cs="仿宋"/>
          <w:color w:val="000000"/>
          <w:sz w:val="24"/>
          <w:highlight w:val="none"/>
        </w:rPr>
      </w:pPr>
    </w:p>
    <w:p w14:paraId="5EBC688C">
      <w:pPr>
        <w:pStyle w:val="17"/>
        <w:rPr>
          <w:rFonts w:ascii="仿宋" w:hAnsi="仿宋" w:eastAsia="仿宋" w:cs="仿宋"/>
          <w:color w:val="000000"/>
          <w:sz w:val="24"/>
          <w:highlight w:val="none"/>
        </w:rPr>
      </w:pPr>
    </w:p>
    <w:p w14:paraId="618B49F7">
      <w:pPr>
        <w:pStyle w:val="17"/>
        <w:rPr>
          <w:rFonts w:ascii="仿宋" w:hAnsi="仿宋" w:eastAsia="仿宋" w:cs="仿宋"/>
          <w:color w:val="000000"/>
          <w:sz w:val="24"/>
          <w:highlight w:val="none"/>
        </w:rPr>
      </w:pPr>
    </w:p>
    <w:p w14:paraId="5FFC4EA3">
      <w:pPr>
        <w:pStyle w:val="17"/>
        <w:rPr>
          <w:rFonts w:ascii="仿宋" w:hAnsi="仿宋" w:eastAsia="仿宋" w:cs="仿宋"/>
          <w:color w:val="000000"/>
          <w:sz w:val="24"/>
          <w:highlight w:val="none"/>
        </w:rPr>
      </w:pPr>
    </w:p>
    <w:p w14:paraId="1BC61F1C">
      <w:pPr>
        <w:pStyle w:val="17"/>
        <w:rPr>
          <w:rFonts w:ascii="仿宋" w:hAnsi="仿宋" w:eastAsia="仿宋" w:cs="仿宋"/>
          <w:color w:val="000000"/>
          <w:sz w:val="24"/>
          <w:highlight w:val="none"/>
        </w:rPr>
      </w:pPr>
    </w:p>
    <w:p w14:paraId="2DB20678">
      <w:pPr>
        <w:pStyle w:val="17"/>
        <w:rPr>
          <w:rFonts w:ascii="仿宋" w:hAnsi="仿宋" w:eastAsia="仿宋" w:cs="仿宋"/>
          <w:color w:val="000000"/>
          <w:sz w:val="24"/>
          <w:highlight w:val="none"/>
        </w:rPr>
      </w:pPr>
    </w:p>
    <w:p w14:paraId="4A2A5951">
      <w:pPr>
        <w:pStyle w:val="17"/>
        <w:rPr>
          <w:rFonts w:ascii="仿宋" w:hAnsi="仿宋" w:eastAsia="仿宋" w:cs="仿宋"/>
          <w:color w:val="000000"/>
          <w:sz w:val="24"/>
          <w:highlight w:val="none"/>
        </w:rPr>
      </w:pPr>
    </w:p>
    <w:p w14:paraId="27C1BEE0">
      <w:pPr>
        <w:pStyle w:val="17"/>
        <w:rPr>
          <w:rFonts w:ascii="仿宋" w:hAnsi="仿宋" w:eastAsia="仿宋" w:cs="仿宋"/>
          <w:color w:val="000000"/>
          <w:sz w:val="24"/>
          <w:highlight w:val="none"/>
        </w:rPr>
      </w:pPr>
    </w:p>
    <w:p w14:paraId="044AB58D">
      <w:pPr>
        <w:pStyle w:val="8"/>
        <w:rPr>
          <w:rFonts w:ascii="仿宋" w:hAnsi="仿宋" w:eastAsia="仿宋" w:cs="仿宋"/>
          <w:color w:val="000000"/>
          <w:highlight w:val="none"/>
        </w:rPr>
      </w:pPr>
    </w:p>
    <w:p w14:paraId="05F0EFDE">
      <w:pPr>
        <w:pStyle w:val="22"/>
        <w:ind w:firstLine="240"/>
        <w:rPr>
          <w:rFonts w:ascii="仿宋" w:hAnsi="仿宋" w:eastAsia="仿宋" w:cs="仿宋"/>
          <w:color w:val="000000"/>
          <w:highlight w:val="none"/>
        </w:rPr>
      </w:pPr>
    </w:p>
    <w:p w14:paraId="7431E9CC">
      <w:pPr>
        <w:rPr>
          <w:rFonts w:ascii="仿宋" w:hAnsi="仿宋" w:eastAsia="仿宋" w:cs="仿宋"/>
          <w:color w:val="000000"/>
          <w:sz w:val="24"/>
          <w:highlight w:val="none"/>
        </w:rPr>
      </w:pPr>
    </w:p>
    <w:p w14:paraId="0574FA5F">
      <w:pPr>
        <w:pStyle w:val="6"/>
        <w:rPr>
          <w:rFonts w:ascii="仿宋" w:hAnsi="仿宋" w:eastAsia="仿宋" w:cs="仿宋"/>
          <w:color w:val="000000"/>
          <w:highlight w:val="none"/>
        </w:rPr>
      </w:pPr>
    </w:p>
    <w:p w14:paraId="610D2CF9">
      <w:pPr>
        <w:pStyle w:val="7"/>
        <w:rPr>
          <w:rFonts w:ascii="仿宋" w:hAnsi="仿宋" w:eastAsia="仿宋" w:cs="仿宋"/>
          <w:color w:val="000000"/>
          <w:highlight w:val="none"/>
        </w:rPr>
      </w:pPr>
    </w:p>
    <w:p w14:paraId="6C8D1290">
      <w:pPr>
        <w:rPr>
          <w:rFonts w:ascii="仿宋" w:hAnsi="仿宋" w:eastAsia="仿宋" w:cs="仿宋"/>
          <w:highlight w:val="none"/>
        </w:rPr>
      </w:pPr>
    </w:p>
    <w:p w14:paraId="36CBD43B">
      <w:pPr>
        <w:pStyle w:val="17"/>
        <w:rPr>
          <w:rFonts w:ascii="仿宋" w:hAnsi="仿宋" w:eastAsia="仿宋" w:cs="仿宋"/>
          <w:color w:val="000000"/>
          <w:sz w:val="24"/>
          <w:highlight w:val="none"/>
        </w:rPr>
      </w:pPr>
    </w:p>
    <w:p w14:paraId="43D702D4">
      <w:pPr>
        <w:pStyle w:val="17"/>
        <w:rPr>
          <w:rFonts w:ascii="仿宋" w:hAnsi="仿宋" w:eastAsia="仿宋" w:cs="仿宋"/>
          <w:color w:val="000000"/>
          <w:sz w:val="24"/>
          <w:highlight w:val="none"/>
        </w:rPr>
      </w:pPr>
    </w:p>
    <w:p w14:paraId="174D10B3">
      <w:pPr>
        <w:pStyle w:val="17"/>
        <w:rPr>
          <w:rFonts w:ascii="仿宋" w:hAnsi="仿宋" w:eastAsia="仿宋" w:cs="仿宋"/>
          <w:color w:val="000000"/>
          <w:sz w:val="24"/>
          <w:highlight w:val="none"/>
        </w:rPr>
      </w:pPr>
    </w:p>
    <w:p w14:paraId="5EE8FD5F">
      <w:pPr>
        <w:pStyle w:val="17"/>
        <w:rPr>
          <w:rFonts w:ascii="仿宋" w:hAnsi="仿宋" w:eastAsia="仿宋" w:cs="仿宋"/>
          <w:color w:val="000000"/>
          <w:sz w:val="24"/>
          <w:highlight w:val="none"/>
        </w:rPr>
      </w:pPr>
    </w:p>
    <w:p w14:paraId="6F9ECE2D">
      <w:pPr>
        <w:pStyle w:val="17"/>
        <w:rPr>
          <w:rFonts w:ascii="仿宋" w:hAnsi="仿宋" w:eastAsia="仿宋" w:cs="仿宋"/>
          <w:color w:val="000000"/>
          <w:sz w:val="24"/>
          <w:highlight w:val="none"/>
        </w:rPr>
      </w:pPr>
    </w:p>
    <w:p w14:paraId="7F72115F">
      <w:pPr>
        <w:pStyle w:val="17"/>
        <w:rPr>
          <w:rFonts w:ascii="仿宋" w:hAnsi="仿宋" w:eastAsia="仿宋" w:cs="仿宋"/>
          <w:color w:val="000000"/>
          <w:sz w:val="24"/>
          <w:highlight w:val="none"/>
        </w:rPr>
      </w:pPr>
    </w:p>
    <w:p w14:paraId="00A094B8">
      <w:pPr>
        <w:pStyle w:val="8"/>
      </w:pPr>
    </w:p>
    <w:p w14:paraId="1C8BB7B1">
      <w:pPr>
        <w:pStyle w:val="17"/>
        <w:rPr>
          <w:rFonts w:ascii="仿宋" w:hAnsi="仿宋" w:eastAsia="仿宋" w:cs="仿宋"/>
          <w:color w:val="000000"/>
          <w:sz w:val="24"/>
          <w:highlight w:val="none"/>
        </w:rPr>
      </w:pPr>
    </w:p>
    <w:bookmarkEnd w:id="15"/>
    <w:bookmarkEnd w:id="16"/>
    <w:bookmarkEnd w:id="17"/>
    <w:bookmarkEnd w:id="18"/>
    <w:p w14:paraId="3171F1A0">
      <w:pPr>
        <w:pStyle w:val="3"/>
        <w:spacing w:before="0" w:line="240" w:lineRule="atLeast"/>
        <w:jc w:val="both"/>
        <w:rPr>
          <w:rFonts w:ascii="仿宋" w:hAnsi="仿宋" w:eastAsia="仿宋" w:cs="仿宋"/>
          <w:color w:val="000000"/>
          <w:sz w:val="24"/>
          <w:highlight w:val="none"/>
        </w:rPr>
      </w:pPr>
    </w:p>
    <w:p w14:paraId="5F0AC021">
      <w:pPr>
        <w:pStyle w:val="3"/>
        <w:spacing w:before="0" w:line="240" w:lineRule="atLeast"/>
        <w:ind w:left="1080" w:leftChars="257" w:hanging="540"/>
        <w:rPr>
          <w:rFonts w:ascii="仿宋" w:hAnsi="仿宋" w:eastAsia="仿宋" w:cs="仿宋"/>
          <w:bCs/>
          <w:color w:val="000000"/>
          <w:kern w:val="2"/>
          <w:sz w:val="24"/>
          <w:szCs w:val="24"/>
          <w:highlight w:val="none"/>
        </w:rPr>
      </w:pPr>
      <w:bookmarkStart w:id="407" w:name="_Toc17434"/>
      <w:bookmarkStart w:id="408" w:name="_Toc31638"/>
      <w:bookmarkStart w:id="409" w:name="_Toc24743"/>
      <w:bookmarkStart w:id="410" w:name="_Toc29559"/>
      <w:bookmarkStart w:id="411" w:name="_Toc9782"/>
      <w:bookmarkStart w:id="412" w:name="_Toc4003"/>
      <w:bookmarkStart w:id="413" w:name="_Toc28985"/>
      <w:bookmarkStart w:id="414" w:name="_Toc17635"/>
      <w:bookmarkStart w:id="415" w:name="_Toc12083"/>
      <w:bookmarkStart w:id="416" w:name="_Toc31819"/>
      <w:bookmarkStart w:id="417" w:name="_Toc362"/>
      <w:bookmarkStart w:id="418" w:name="_Toc18055"/>
      <w:bookmarkStart w:id="419" w:name="_Toc14062"/>
      <w:bookmarkStart w:id="420" w:name="_Toc31410"/>
      <w:bookmarkStart w:id="421" w:name="_Toc1116"/>
      <w:bookmarkStart w:id="422" w:name="_Toc21159"/>
      <w:bookmarkStart w:id="423" w:name="_Toc14607"/>
      <w:r>
        <w:rPr>
          <w:rFonts w:hint="eastAsia" w:ascii="仿宋" w:hAnsi="仿宋" w:eastAsia="仿宋" w:cs="仿宋"/>
          <w:bCs/>
          <w:color w:val="000000"/>
          <w:kern w:val="2"/>
          <w:sz w:val="24"/>
          <w:szCs w:val="24"/>
          <w:highlight w:val="none"/>
        </w:rPr>
        <w:t>1  投标书</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7C479B0E">
      <w:pPr>
        <w:tabs>
          <w:tab w:val="left" w:pos="5580"/>
        </w:tabs>
        <w:spacing w:line="240" w:lineRule="atLeast"/>
        <w:ind w:left="1080" w:leftChars="257" w:hanging="540"/>
        <w:rPr>
          <w:rFonts w:ascii="仿宋" w:hAnsi="仿宋" w:eastAsia="仿宋" w:cs="仿宋"/>
          <w:sz w:val="32"/>
          <w:szCs w:val="32"/>
          <w:highlight w:val="none"/>
        </w:rPr>
      </w:pPr>
    </w:p>
    <w:bookmarkEnd w:id="19"/>
    <w:bookmarkEnd w:id="20"/>
    <w:bookmarkEnd w:id="21"/>
    <w:bookmarkEnd w:id="22"/>
    <w:bookmarkEnd w:id="23"/>
    <w:bookmarkEnd w:id="24"/>
    <w:bookmarkEnd w:id="25"/>
    <w:bookmarkEnd w:id="26"/>
    <w:p w14:paraId="18B9E4BD">
      <w:pPr>
        <w:tabs>
          <w:tab w:val="left" w:pos="5580"/>
        </w:tabs>
        <w:spacing w:line="240" w:lineRule="atLeast"/>
        <w:ind w:left="1080" w:hanging="1080"/>
        <w:rPr>
          <w:rFonts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color w:val="000000"/>
          <w:sz w:val="24"/>
          <w:highlight w:val="none"/>
          <w:u w:val="single" w:color="000000"/>
        </w:rPr>
        <w:t>（采购人名称）</w:t>
      </w:r>
    </w:p>
    <w:p w14:paraId="21BA36E9">
      <w:pPr>
        <w:pStyle w:val="12"/>
        <w:tabs>
          <w:tab w:val="left" w:pos="5580"/>
        </w:tabs>
        <w:spacing w:line="240" w:lineRule="atLeast"/>
        <w:ind w:left="1080" w:leftChars="257" w:hanging="540"/>
        <w:rPr>
          <w:rFonts w:ascii="仿宋" w:hAnsi="仿宋" w:eastAsia="仿宋" w:cs="仿宋"/>
          <w:sz w:val="24"/>
          <w:highlight w:val="none"/>
        </w:rPr>
      </w:pPr>
    </w:p>
    <w:p w14:paraId="6E5E9435">
      <w:pPr>
        <w:pStyle w:val="12"/>
        <w:tabs>
          <w:tab w:val="left" w:pos="5580"/>
        </w:tabs>
        <w:spacing w:line="240" w:lineRule="atLeast"/>
        <w:ind w:left="1080" w:leftChars="257" w:hanging="540"/>
        <w:rPr>
          <w:rFonts w:ascii="仿宋" w:hAnsi="仿宋" w:eastAsia="仿宋" w:cs="仿宋"/>
          <w:sz w:val="24"/>
          <w:highlight w:val="none"/>
        </w:rPr>
      </w:pPr>
    </w:p>
    <w:p w14:paraId="43E9C58F">
      <w:pPr>
        <w:pStyle w:val="12"/>
        <w:tabs>
          <w:tab w:val="left" w:pos="5580"/>
        </w:tabs>
        <w:spacing w:line="240" w:lineRule="atLeast"/>
        <w:ind w:left="2" w:leftChars="1" w:firstLine="480" w:firstLineChars="200"/>
        <w:rPr>
          <w:rFonts w:ascii="仿宋" w:hAnsi="仿宋" w:eastAsia="仿宋" w:cs="仿宋"/>
          <w:sz w:val="24"/>
          <w:highlight w:val="none"/>
        </w:rPr>
      </w:pPr>
      <w:r>
        <w:rPr>
          <w:rFonts w:hint="eastAsia" w:ascii="仿宋" w:hAnsi="仿宋" w:eastAsia="仿宋" w:cs="仿宋"/>
          <w:sz w:val="24"/>
          <w:highlight w:val="none"/>
        </w:rPr>
        <w:t>根据贵方(</w:t>
      </w:r>
      <w:r>
        <w:rPr>
          <w:rFonts w:hint="eastAsia" w:ascii="仿宋" w:hAnsi="仿宋" w:eastAsia="仿宋" w:cs="仿宋"/>
          <w:i/>
          <w:sz w:val="24"/>
          <w:highlight w:val="none"/>
          <w:u w:val="single"/>
        </w:rPr>
        <w:t>项目名称</w:t>
      </w:r>
      <w:r>
        <w:rPr>
          <w:rFonts w:hint="eastAsia" w:ascii="仿宋" w:hAnsi="仿宋" w:eastAsia="仿宋" w:cs="仿宋"/>
          <w:sz w:val="24"/>
          <w:highlight w:val="none"/>
        </w:rPr>
        <w:t>)项目的投标邀请(</w:t>
      </w:r>
      <w:r>
        <w:rPr>
          <w:rFonts w:hint="eastAsia" w:ascii="仿宋" w:hAnsi="仿宋" w:eastAsia="仿宋" w:cs="仿宋"/>
          <w:i/>
          <w:sz w:val="24"/>
          <w:highlight w:val="none"/>
          <w:u w:val="single"/>
        </w:rPr>
        <w:t>招标编号</w:t>
      </w:r>
      <w:r>
        <w:rPr>
          <w:rFonts w:hint="eastAsia" w:ascii="仿宋" w:hAnsi="仿宋" w:eastAsia="仿宋" w:cs="仿宋"/>
          <w:sz w:val="24"/>
          <w:highlight w:val="none"/>
        </w:rPr>
        <w:t>),签字代表(</w:t>
      </w:r>
      <w:r>
        <w:rPr>
          <w:rFonts w:hint="eastAsia" w:ascii="仿宋" w:hAnsi="仿宋" w:eastAsia="仿宋" w:cs="仿宋"/>
          <w:i/>
          <w:sz w:val="24"/>
          <w:highlight w:val="none"/>
          <w:u w:val="single"/>
        </w:rPr>
        <w:t>姓名、职务</w:t>
      </w:r>
      <w:r>
        <w:rPr>
          <w:rFonts w:hint="eastAsia" w:ascii="仿宋" w:hAnsi="仿宋" w:eastAsia="仿宋" w:cs="仿宋"/>
          <w:sz w:val="24"/>
          <w:highlight w:val="none"/>
        </w:rPr>
        <w:t>)</w:t>
      </w:r>
      <w:r>
        <w:rPr>
          <w:rFonts w:hint="eastAsia" w:ascii="仿宋" w:hAnsi="仿宋" w:eastAsia="仿宋" w:cs="仿宋"/>
          <w:color w:val="000000"/>
          <w:sz w:val="24"/>
          <w:highlight w:val="none"/>
          <w:u w:val="single" w:color="000000"/>
        </w:rPr>
        <w:t>经正式授权并代表投标人（名称、地址）上传响应文件</w:t>
      </w:r>
      <w:r>
        <w:rPr>
          <w:rFonts w:hint="eastAsia" w:ascii="仿宋" w:hAnsi="仿宋" w:eastAsia="仿宋" w:cs="仿宋"/>
          <w:sz w:val="24"/>
          <w:highlight w:val="none"/>
        </w:rPr>
        <w:t>，并以</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形式出具的金额为人民币</w:t>
      </w:r>
      <w:r>
        <w:rPr>
          <w:rFonts w:hint="eastAsia" w:ascii="仿宋" w:hAnsi="仿宋" w:eastAsia="仿宋" w:cs="仿宋"/>
          <w:sz w:val="24"/>
          <w:highlight w:val="none"/>
          <w:u w:val="single"/>
        </w:rPr>
        <w:t>　　　　</w:t>
      </w:r>
      <w:r>
        <w:rPr>
          <w:rFonts w:hint="eastAsia" w:ascii="仿宋" w:hAnsi="仿宋" w:eastAsia="仿宋" w:cs="仿宋"/>
          <w:sz w:val="24"/>
          <w:highlight w:val="none"/>
        </w:rPr>
        <w:t>元的投标保证金。</w:t>
      </w:r>
    </w:p>
    <w:p w14:paraId="5EF8E9C9">
      <w:pPr>
        <w:pStyle w:val="12"/>
        <w:tabs>
          <w:tab w:val="left" w:pos="5580"/>
        </w:tabs>
        <w:spacing w:line="240" w:lineRule="atLeast"/>
        <w:ind w:left="1080" w:leftChars="257" w:hanging="540"/>
        <w:rPr>
          <w:rFonts w:ascii="仿宋" w:hAnsi="仿宋" w:eastAsia="仿宋" w:cs="仿宋"/>
          <w:sz w:val="24"/>
          <w:highlight w:val="none"/>
        </w:rPr>
      </w:pPr>
      <w:r>
        <w:rPr>
          <w:rFonts w:hint="eastAsia" w:ascii="仿宋" w:hAnsi="仿宋" w:eastAsia="仿宋" w:cs="仿宋"/>
          <w:sz w:val="24"/>
          <w:highlight w:val="none"/>
        </w:rPr>
        <w:t>据此，签字代表宣布同意如下：</w:t>
      </w:r>
    </w:p>
    <w:p w14:paraId="3840424E">
      <w:pPr>
        <w:pStyle w:val="12"/>
        <w:tabs>
          <w:tab w:val="left" w:pos="720"/>
          <w:tab w:val="left" w:pos="900"/>
        </w:tabs>
        <w:spacing w:line="240" w:lineRule="atLeast"/>
        <w:ind w:left="769" w:leftChars="257" w:hanging="229"/>
        <w:rPr>
          <w:rFonts w:ascii="仿宋" w:hAnsi="仿宋" w:eastAsia="仿宋" w:cs="仿宋"/>
          <w:sz w:val="24"/>
          <w:highlight w:val="none"/>
          <w:u w:val="single"/>
        </w:rPr>
      </w:pPr>
      <w:r>
        <w:rPr>
          <w:rFonts w:hint="eastAsia" w:ascii="仿宋" w:hAnsi="仿宋" w:eastAsia="仿宋" w:cs="仿宋"/>
          <w:sz w:val="24"/>
          <w:highlight w:val="none"/>
        </w:rPr>
        <w:t>（1）附投标价格表中规定的应提供货物的投标总价详见开标一览表，</w:t>
      </w:r>
      <w:r>
        <w:rPr>
          <w:rFonts w:hint="eastAsia" w:ascii="仿宋" w:hAnsi="仿宋" w:eastAsia="仿宋" w:cs="仿宋"/>
          <w:sz w:val="24"/>
          <w:highlight w:val="none"/>
          <w:u w:val="single"/>
        </w:rPr>
        <w:t>其中由小型和</w:t>
      </w:r>
      <w:r>
        <w:rPr>
          <w:rFonts w:hint="eastAsia" w:ascii="仿宋" w:hAnsi="仿宋" w:eastAsia="仿宋" w:cs="仿宋"/>
          <w:sz w:val="24"/>
          <w:highlight w:val="none"/>
        </w:rPr>
        <w:t>微型企业制造产品的价格为</w:t>
      </w:r>
      <w:r>
        <w:rPr>
          <w:rFonts w:hint="eastAsia" w:ascii="仿宋" w:hAnsi="仿宋" w:eastAsia="仿宋" w:cs="仿宋"/>
          <w:sz w:val="24"/>
          <w:highlight w:val="none"/>
          <w:u w:val="single"/>
        </w:rPr>
        <w:t>　　  （用文字和数字表示），占投标总价   %</w:t>
      </w:r>
      <w:r>
        <w:rPr>
          <w:rFonts w:hint="eastAsia" w:ascii="仿宋" w:hAnsi="仿宋" w:eastAsia="仿宋" w:cs="仿宋"/>
          <w:sz w:val="24"/>
          <w:highlight w:val="none"/>
        </w:rPr>
        <w:t>。</w:t>
      </w:r>
    </w:p>
    <w:p w14:paraId="74F2CB83">
      <w:pPr>
        <w:pStyle w:val="12"/>
        <w:tabs>
          <w:tab w:val="left" w:pos="5580"/>
        </w:tabs>
        <w:spacing w:line="240" w:lineRule="atLeast"/>
        <w:ind w:left="1080" w:leftChars="257" w:hanging="540"/>
        <w:rPr>
          <w:rFonts w:ascii="仿宋" w:hAnsi="仿宋" w:eastAsia="仿宋" w:cs="仿宋"/>
          <w:sz w:val="24"/>
          <w:highlight w:val="none"/>
        </w:rPr>
      </w:pPr>
      <w:r>
        <w:rPr>
          <w:rFonts w:hint="eastAsia" w:ascii="仿宋" w:hAnsi="仿宋" w:eastAsia="仿宋" w:cs="仿宋"/>
          <w:sz w:val="24"/>
          <w:highlight w:val="none"/>
        </w:rPr>
        <w:t>（2）本投标有效期为自投标截止之日起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个日历日。</w:t>
      </w:r>
    </w:p>
    <w:p w14:paraId="55A78C40">
      <w:pPr>
        <w:pStyle w:val="12"/>
        <w:tabs>
          <w:tab w:val="left" w:pos="5580"/>
        </w:tabs>
        <w:spacing w:line="240" w:lineRule="atLeast"/>
        <w:ind w:left="1080" w:leftChars="257" w:hanging="540"/>
        <w:rPr>
          <w:rFonts w:ascii="仿宋" w:hAnsi="仿宋" w:eastAsia="仿宋" w:cs="仿宋"/>
          <w:sz w:val="24"/>
          <w:highlight w:val="none"/>
        </w:rPr>
      </w:pPr>
      <w:r>
        <w:rPr>
          <w:rFonts w:hint="eastAsia" w:ascii="仿宋" w:hAnsi="仿宋" w:eastAsia="仿宋" w:cs="仿宋"/>
          <w:sz w:val="24"/>
          <w:highlight w:val="none"/>
        </w:rPr>
        <w:t>（3）联合体中的大中型企业和其他自然人、法人或者非法人组织，与联合体中的小型、微型企业之间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存在、不存在）投资关系（如果是联合体的话）。</w:t>
      </w:r>
    </w:p>
    <w:p w14:paraId="307FFAA8">
      <w:pPr>
        <w:pStyle w:val="12"/>
        <w:tabs>
          <w:tab w:val="left" w:pos="5580"/>
        </w:tabs>
        <w:spacing w:line="240" w:lineRule="atLeast"/>
        <w:ind w:left="1080" w:leftChars="257" w:hanging="540"/>
        <w:rPr>
          <w:rFonts w:ascii="仿宋" w:hAnsi="仿宋" w:eastAsia="仿宋" w:cs="仿宋"/>
          <w:sz w:val="24"/>
          <w:highlight w:val="none"/>
        </w:rPr>
      </w:pPr>
      <w:r>
        <w:rPr>
          <w:rFonts w:hint="eastAsia" w:ascii="仿宋" w:hAnsi="仿宋" w:eastAsia="仿宋" w:cs="仿宋"/>
          <w:sz w:val="24"/>
          <w:highlight w:val="none"/>
        </w:rPr>
        <w:t>（4）已详细审查全部磋商文件，包括所有补充通知（如果有的话），完全理解并同意放弃对这方面有不明、误解和质疑的权力。</w:t>
      </w:r>
    </w:p>
    <w:p w14:paraId="33264D01">
      <w:pPr>
        <w:pStyle w:val="12"/>
        <w:tabs>
          <w:tab w:val="left" w:pos="5580"/>
        </w:tabs>
        <w:spacing w:line="240" w:lineRule="atLeast"/>
        <w:ind w:left="1080" w:leftChars="257" w:hanging="540"/>
        <w:rPr>
          <w:rFonts w:ascii="仿宋" w:hAnsi="仿宋" w:eastAsia="仿宋" w:cs="仿宋"/>
          <w:sz w:val="24"/>
          <w:highlight w:val="none"/>
        </w:rPr>
      </w:pPr>
      <w:r>
        <w:rPr>
          <w:rFonts w:hint="eastAsia" w:ascii="仿宋" w:hAnsi="仿宋" w:eastAsia="仿宋" w:cs="仿宋"/>
          <w:sz w:val="24"/>
          <w:highlight w:val="none"/>
        </w:rPr>
        <w:t>（5）在规定的开标时间后，遵守磋商文件中有关保证金的规定。</w:t>
      </w:r>
    </w:p>
    <w:p w14:paraId="27673989">
      <w:pPr>
        <w:pStyle w:val="12"/>
        <w:tabs>
          <w:tab w:val="left" w:pos="5580"/>
        </w:tabs>
        <w:spacing w:line="240" w:lineRule="atLeast"/>
        <w:ind w:left="1080" w:leftChars="257" w:hanging="540"/>
        <w:rPr>
          <w:rFonts w:ascii="仿宋" w:hAnsi="仿宋" w:eastAsia="仿宋" w:cs="仿宋"/>
          <w:sz w:val="24"/>
          <w:highlight w:val="none"/>
        </w:rPr>
      </w:pPr>
      <w:r>
        <w:rPr>
          <w:rFonts w:hint="eastAsia" w:ascii="仿宋" w:hAnsi="仿宋" w:eastAsia="仿宋" w:cs="仿宋"/>
          <w:sz w:val="24"/>
          <w:highlight w:val="none"/>
        </w:rPr>
        <w:t>（6）我方不是为本项目提供整体设计、规范编制或者项目管理、监理、检测等服务的供应商，我方不是采购代理机构的附属机构。</w:t>
      </w:r>
    </w:p>
    <w:p w14:paraId="089ADE93">
      <w:pPr>
        <w:pStyle w:val="12"/>
        <w:tabs>
          <w:tab w:val="left" w:pos="5580"/>
        </w:tabs>
        <w:spacing w:line="240" w:lineRule="atLeast"/>
        <w:ind w:left="1080" w:leftChars="257" w:hanging="540"/>
        <w:rPr>
          <w:rFonts w:ascii="仿宋" w:hAnsi="仿宋" w:eastAsia="仿宋" w:cs="仿宋"/>
          <w:sz w:val="24"/>
          <w:highlight w:val="none"/>
        </w:rPr>
      </w:pPr>
      <w:r>
        <w:rPr>
          <w:rFonts w:hint="eastAsia" w:ascii="仿宋" w:hAnsi="仿宋" w:eastAsia="仿宋" w:cs="仿宋"/>
          <w:sz w:val="24"/>
          <w:highlight w:val="none"/>
        </w:rPr>
        <w:t>（7）在领取中标通知书的同时按磋商文件规定的形式，向贵方一次性支付中标服务费。</w:t>
      </w:r>
    </w:p>
    <w:p w14:paraId="4E9AFF16">
      <w:pPr>
        <w:pStyle w:val="12"/>
        <w:tabs>
          <w:tab w:val="left" w:pos="5580"/>
        </w:tabs>
        <w:spacing w:line="240" w:lineRule="atLeast"/>
        <w:ind w:left="1080" w:leftChars="257" w:hanging="540"/>
        <w:rPr>
          <w:rFonts w:ascii="仿宋" w:hAnsi="仿宋" w:eastAsia="仿宋" w:cs="仿宋"/>
          <w:sz w:val="24"/>
          <w:highlight w:val="none"/>
        </w:rPr>
      </w:pPr>
      <w:r>
        <w:rPr>
          <w:rFonts w:hint="eastAsia" w:ascii="仿宋" w:hAnsi="仿宋" w:eastAsia="仿宋" w:cs="仿宋"/>
          <w:sz w:val="24"/>
          <w:highlight w:val="none"/>
        </w:rPr>
        <w:t>（8）按照贵方可能要求，提供与其投标有关的一切数据或资料，完全理解贵方不一定接受最低价的投标或收到的任何投标。</w:t>
      </w:r>
    </w:p>
    <w:p w14:paraId="0402301C">
      <w:pPr>
        <w:pStyle w:val="12"/>
        <w:tabs>
          <w:tab w:val="left" w:pos="5580"/>
        </w:tabs>
        <w:spacing w:line="240" w:lineRule="atLeast"/>
        <w:ind w:left="1080" w:leftChars="257" w:hanging="540"/>
        <w:rPr>
          <w:rFonts w:ascii="仿宋" w:hAnsi="仿宋" w:eastAsia="仿宋" w:cs="仿宋"/>
          <w:sz w:val="24"/>
          <w:highlight w:val="none"/>
        </w:rPr>
      </w:pPr>
      <w:r>
        <w:rPr>
          <w:rFonts w:hint="eastAsia" w:ascii="仿宋" w:hAnsi="仿宋" w:eastAsia="仿宋" w:cs="仿宋"/>
          <w:sz w:val="24"/>
          <w:highlight w:val="none"/>
        </w:rPr>
        <w:t>（9）按照磋商文件的规定履行合同责任和义务。</w:t>
      </w:r>
    </w:p>
    <w:p w14:paraId="5608E466">
      <w:pPr>
        <w:pStyle w:val="12"/>
        <w:tabs>
          <w:tab w:val="left" w:pos="5580"/>
        </w:tabs>
        <w:spacing w:line="240" w:lineRule="atLeast"/>
        <w:ind w:left="359" w:leftChars="68" w:hanging="216" w:hangingChars="90"/>
        <w:rPr>
          <w:rFonts w:ascii="仿宋" w:hAnsi="仿宋" w:eastAsia="仿宋" w:cs="仿宋"/>
          <w:sz w:val="24"/>
          <w:highlight w:val="none"/>
        </w:rPr>
      </w:pPr>
      <w:r>
        <w:rPr>
          <w:rFonts w:hint="eastAsia" w:ascii="仿宋" w:hAnsi="仿宋" w:eastAsia="仿宋" w:cs="仿宋"/>
          <w:sz w:val="24"/>
          <w:highlight w:val="none"/>
        </w:rPr>
        <w:t xml:space="preserve">  与本投标有关的一切正式往来信函请寄：</w:t>
      </w:r>
    </w:p>
    <w:p w14:paraId="455432F1">
      <w:pPr>
        <w:pStyle w:val="12"/>
        <w:tabs>
          <w:tab w:val="left" w:pos="5580"/>
        </w:tabs>
        <w:spacing w:line="240" w:lineRule="atLeast"/>
        <w:ind w:left="1080" w:leftChars="257" w:hanging="540"/>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传真</w:t>
      </w:r>
      <w:r>
        <w:rPr>
          <w:rFonts w:hint="eastAsia" w:ascii="仿宋" w:hAnsi="仿宋" w:eastAsia="仿宋" w:cs="仿宋"/>
          <w:sz w:val="24"/>
          <w:highlight w:val="none"/>
          <w:u w:val="single"/>
        </w:rPr>
        <w:t xml:space="preserve">                             </w:t>
      </w:r>
    </w:p>
    <w:p w14:paraId="2422F197">
      <w:pPr>
        <w:pStyle w:val="12"/>
        <w:tabs>
          <w:tab w:val="left" w:pos="5580"/>
        </w:tabs>
        <w:spacing w:line="240" w:lineRule="atLeast"/>
        <w:ind w:left="1080" w:leftChars="257" w:hanging="540"/>
        <w:rPr>
          <w:rFonts w:ascii="仿宋" w:hAnsi="仿宋" w:eastAsia="仿宋" w:cs="仿宋"/>
          <w:b/>
          <w:sz w:val="24"/>
          <w:highlight w:val="none"/>
        </w:rPr>
      </w:pPr>
      <w:r>
        <w:rPr>
          <w:rFonts w:hint="eastAsia" w:ascii="仿宋" w:hAnsi="仿宋" w:eastAsia="仿宋" w:cs="仿宋"/>
          <w:sz w:val="24"/>
          <w:highlight w:val="none"/>
        </w:rPr>
        <w:t>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电子函件</w:t>
      </w:r>
      <w:r>
        <w:rPr>
          <w:rFonts w:hint="eastAsia" w:ascii="仿宋" w:hAnsi="仿宋" w:eastAsia="仿宋" w:cs="仿宋"/>
          <w:sz w:val="24"/>
          <w:highlight w:val="none"/>
          <w:u w:val="single"/>
        </w:rPr>
        <w:t xml:space="preserve">                         </w:t>
      </w:r>
    </w:p>
    <w:p w14:paraId="78521692">
      <w:pPr>
        <w:pStyle w:val="12"/>
        <w:tabs>
          <w:tab w:val="left" w:pos="5580"/>
        </w:tabs>
        <w:spacing w:line="240" w:lineRule="atLeast"/>
        <w:ind w:left="1080" w:leftChars="257" w:hanging="540"/>
        <w:rPr>
          <w:rFonts w:ascii="仿宋" w:hAnsi="仿宋" w:eastAsia="仿宋" w:cs="仿宋"/>
          <w:sz w:val="24"/>
          <w:highlight w:val="none"/>
        </w:rPr>
      </w:pPr>
    </w:p>
    <w:p w14:paraId="536A1EB6">
      <w:pPr>
        <w:pStyle w:val="12"/>
        <w:tabs>
          <w:tab w:val="left" w:pos="5580"/>
        </w:tabs>
        <w:spacing w:line="240" w:lineRule="atLeast"/>
        <w:ind w:left="1080" w:leftChars="257" w:hanging="54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06CD832E">
      <w:pPr>
        <w:pStyle w:val="12"/>
        <w:tabs>
          <w:tab w:val="left" w:pos="5580"/>
        </w:tabs>
        <w:spacing w:line="240" w:lineRule="atLeast"/>
        <w:ind w:left="1080" w:leftChars="257" w:hanging="540"/>
        <w:rPr>
          <w:rFonts w:ascii="仿宋" w:hAnsi="仿宋" w:eastAsia="仿宋" w:cs="仿宋"/>
          <w:sz w:val="24"/>
          <w:highlight w:val="none"/>
        </w:rPr>
      </w:pPr>
      <w:r>
        <w:rPr>
          <w:rFonts w:hint="eastAsia" w:ascii="仿宋" w:hAnsi="仿宋" w:eastAsia="仿宋" w:cs="仿宋"/>
          <w:sz w:val="24"/>
          <w:highlight w:val="none"/>
        </w:rPr>
        <w:t>供应商名称（全称）-----------------</w:t>
      </w:r>
    </w:p>
    <w:p w14:paraId="11E2C3C6">
      <w:pPr>
        <w:pStyle w:val="12"/>
        <w:tabs>
          <w:tab w:val="left" w:pos="5580"/>
        </w:tabs>
        <w:spacing w:line="240" w:lineRule="atLeast"/>
        <w:ind w:left="1080" w:leftChars="257" w:hanging="540"/>
        <w:rPr>
          <w:rFonts w:ascii="仿宋" w:hAnsi="仿宋" w:eastAsia="仿宋" w:cs="仿宋"/>
          <w:sz w:val="24"/>
          <w:highlight w:val="none"/>
        </w:rPr>
      </w:pPr>
      <w:r>
        <w:rPr>
          <w:rFonts w:hint="eastAsia" w:ascii="仿宋" w:hAnsi="仿宋" w:eastAsia="仿宋" w:cs="仿宋"/>
          <w:sz w:val="24"/>
          <w:highlight w:val="none"/>
        </w:rPr>
        <w:t>供应商开户银行（全称）</w:t>
      </w:r>
      <w:r>
        <w:rPr>
          <w:rFonts w:hint="eastAsia" w:ascii="仿宋" w:hAnsi="仿宋" w:eastAsia="仿宋" w:cs="仿宋"/>
          <w:sz w:val="24"/>
          <w:highlight w:val="none"/>
          <w:u w:val="single"/>
        </w:rPr>
        <w:t xml:space="preserve">　　　　　　 </w:t>
      </w:r>
    </w:p>
    <w:p w14:paraId="6D2FC1A7">
      <w:pPr>
        <w:pStyle w:val="12"/>
        <w:tabs>
          <w:tab w:val="left" w:pos="5580"/>
        </w:tabs>
        <w:spacing w:line="240" w:lineRule="atLeast"/>
        <w:ind w:left="1080" w:leftChars="257" w:hanging="540"/>
        <w:rPr>
          <w:rFonts w:ascii="仿宋" w:hAnsi="仿宋" w:eastAsia="仿宋" w:cs="仿宋"/>
          <w:sz w:val="24"/>
          <w:highlight w:val="none"/>
        </w:rPr>
      </w:pPr>
      <w:r>
        <w:rPr>
          <w:rFonts w:hint="eastAsia" w:ascii="仿宋" w:hAnsi="仿宋" w:eastAsia="仿宋" w:cs="仿宋"/>
          <w:sz w:val="24"/>
          <w:highlight w:val="none"/>
        </w:rPr>
        <w:t>供应商银行帐号</w:t>
      </w:r>
      <w:r>
        <w:rPr>
          <w:rFonts w:hint="eastAsia" w:ascii="仿宋" w:hAnsi="仿宋" w:eastAsia="仿宋" w:cs="仿宋"/>
          <w:sz w:val="24"/>
          <w:highlight w:val="none"/>
          <w:u w:val="single"/>
        </w:rPr>
        <w:t>　　　　　　　　 　　</w:t>
      </w:r>
    </w:p>
    <w:p w14:paraId="500748B1">
      <w:pPr>
        <w:pStyle w:val="12"/>
        <w:tabs>
          <w:tab w:val="left" w:pos="5580"/>
        </w:tabs>
        <w:spacing w:line="240" w:lineRule="atLeast"/>
        <w:ind w:left="1080" w:leftChars="257" w:hanging="540"/>
        <w:rPr>
          <w:rFonts w:ascii="仿宋" w:hAnsi="仿宋" w:eastAsia="仿宋" w:cs="仿宋"/>
          <w:sz w:val="24"/>
          <w:highlight w:val="none"/>
        </w:rPr>
      </w:pPr>
      <w:r>
        <w:rPr>
          <w:rFonts w:hint="eastAsia" w:ascii="仿宋" w:hAnsi="仿宋" w:eastAsia="仿宋" w:cs="仿宋"/>
          <w:sz w:val="24"/>
          <w:highlight w:val="none"/>
        </w:rPr>
        <w:t>供应商单位章-------------------------</w:t>
      </w:r>
    </w:p>
    <w:p w14:paraId="3ABE6965">
      <w:pPr>
        <w:pStyle w:val="12"/>
        <w:tabs>
          <w:tab w:val="left" w:pos="5580"/>
        </w:tabs>
        <w:spacing w:line="240" w:lineRule="atLeast"/>
        <w:ind w:left="1080" w:leftChars="257" w:hanging="540"/>
        <w:rPr>
          <w:rFonts w:ascii="仿宋" w:hAnsi="仿宋" w:eastAsia="仿宋" w:cs="仿宋"/>
          <w:sz w:val="24"/>
          <w:highlight w:val="none"/>
        </w:rPr>
      </w:pPr>
      <w:r>
        <w:rPr>
          <w:rFonts w:hint="eastAsia" w:ascii="仿宋" w:hAnsi="仿宋" w:eastAsia="仿宋" w:cs="仿宋"/>
          <w:sz w:val="24"/>
          <w:highlight w:val="none"/>
        </w:rPr>
        <w:t>日期-------------------------------</w:t>
      </w:r>
    </w:p>
    <w:p w14:paraId="58D6981C">
      <w:pPr>
        <w:pStyle w:val="3"/>
        <w:spacing w:before="0" w:line="288" w:lineRule="auto"/>
        <w:jc w:val="both"/>
        <w:rPr>
          <w:rFonts w:ascii="仿宋" w:hAnsi="仿宋" w:eastAsia="仿宋" w:cs="仿宋"/>
          <w:sz w:val="24"/>
          <w:szCs w:val="24"/>
          <w:highlight w:val="none"/>
        </w:rPr>
      </w:pPr>
    </w:p>
    <w:p w14:paraId="48580B40">
      <w:pPr>
        <w:rPr>
          <w:rFonts w:ascii="仿宋" w:hAnsi="仿宋" w:eastAsia="仿宋" w:cs="仿宋"/>
          <w:sz w:val="24"/>
          <w:highlight w:val="none"/>
        </w:rPr>
      </w:pPr>
    </w:p>
    <w:p w14:paraId="4BBA1316">
      <w:pPr>
        <w:pStyle w:val="17"/>
        <w:rPr>
          <w:rFonts w:ascii="仿宋" w:hAnsi="仿宋" w:eastAsia="仿宋" w:cs="仿宋"/>
          <w:sz w:val="32"/>
          <w:szCs w:val="32"/>
          <w:highlight w:val="none"/>
        </w:rPr>
      </w:pPr>
    </w:p>
    <w:p w14:paraId="67DFE75C">
      <w:pPr>
        <w:pStyle w:val="8"/>
        <w:rPr>
          <w:rFonts w:ascii="仿宋" w:hAnsi="仿宋" w:eastAsia="仿宋" w:cs="仿宋"/>
          <w:sz w:val="32"/>
          <w:szCs w:val="32"/>
          <w:highlight w:val="none"/>
        </w:rPr>
      </w:pPr>
    </w:p>
    <w:p w14:paraId="53B56AD9">
      <w:pPr>
        <w:pStyle w:val="22"/>
        <w:ind w:firstLine="240"/>
        <w:rPr>
          <w:rFonts w:ascii="仿宋" w:hAnsi="仿宋" w:eastAsia="仿宋" w:cs="仿宋"/>
          <w:highlight w:val="none"/>
        </w:rPr>
      </w:pPr>
    </w:p>
    <w:p w14:paraId="32E983F5">
      <w:pPr>
        <w:rPr>
          <w:highlight w:val="none"/>
        </w:rPr>
      </w:pPr>
    </w:p>
    <w:p w14:paraId="04BC5174">
      <w:pPr>
        <w:pStyle w:val="12"/>
        <w:spacing w:line="360" w:lineRule="auto"/>
        <w:jc w:val="left"/>
        <w:rPr>
          <w:rFonts w:ascii="仿宋" w:hAnsi="仿宋" w:eastAsia="仿宋" w:cs="仿宋"/>
          <w:sz w:val="24"/>
          <w:highlight w:val="none"/>
        </w:rPr>
      </w:pPr>
    </w:p>
    <w:p w14:paraId="7C8A10D0">
      <w:pPr>
        <w:pStyle w:val="12"/>
        <w:spacing w:line="240" w:lineRule="atLeast"/>
        <w:ind w:left="1079" w:leftChars="257" w:hanging="539"/>
        <w:jc w:val="center"/>
        <w:outlineLvl w:val="1"/>
        <w:rPr>
          <w:rFonts w:ascii="仿宋" w:hAnsi="仿宋" w:eastAsia="仿宋" w:cs="仿宋"/>
          <w:b/>
          <w:bCs/>
          <w:color w:val="000000"/>
          <w:sz w:val="24"/>
          <w:szCs w:val="24"/>
          <w:highlight w:val="none"/>
        </w:rPr>
      </w:pPr>
      <w:bookmarkStart w:id="424" w:name="_Toc14327"/>
      <w:bookmarkStart w:id="425" w:name="_Toc216582816"/>
      <w:bookmarkStart w:id="426" w:name="_Toc27740"/>
      <w:bookmarkStart w:id="427" w:name="_Toc18267"/>
      <w:bookmarkStart w:id="428" w:name="_Toc28670"/>
      <w:bookmarkStart w:id="429" w:name="_Toc32398"/>
      <w:bookmarkStart w:id="430" w:name="_Toc8031"/>
      <w:bookmarkStart w:id="431" w:name="_Toc11675"/>
      <w:bookmarkStart w:id="432" w:name="_Toc515647819"/>
      <w:bookmarkStart w:id="433" w:name="_Toc14119"/>
      <w:bookmarkStart w:id="434" w:name="_Toc16336"/>
      <w:bookmarkStart w:id="435" w:name="_Toc1521"/>
      <w:bookmarkStart w:id="436" w:name="_Toc14037"/>
      <w:bookmarkStart w:id="437" w:name="_Toc4795"/>
      <w:bookmarkStart w:id="438" w:name="_Toc32747"/>
      <w:bookmarkStart w:id="439" w:name="_Toc11705"/>
      <w:r>
        <w:rPr>
          <w:rFonts w:hint="eastAsia" w:ascii="仿宋" w:hAnsi="仿宋" w:eastAsia="仿宋" w:cs="仿宋"/>
          <w:b/>
          <w:bCs/>
          <w:color w:val="000000"/>
          <w:sz w:val="24"/>
          <w:szCs w:val="24"/>
          <w:highlight w:val="none"/>
        </w:rPr>
        <w:t xml:space="preserve">2 </w:t>
      </w:r>
      <w:bookmarkEnd w:id="424"/>
      <w:bookmarkEnd w:id="425"/>
      <w:bookmarkEnd w:id="426"/>
      <w:bookmarkEnd w:id="427"/>
      <w:bookmarkEnd w:id="428"/>
      <w:bookmarkEnd w:id="429"/>
      <w:bookmarkEnd w:id="430"/>
      <w:bookmarkEnd w:id="431"/>
      <w:bookmarkEnd w:id="432"/>
      <w:bookmarkEnd w:id="433"/>
      <w:bookmarkEnd w:id="434"/>
      <w:bookmarkEnd w:id="435"/>
      <w:bookmarkEnd w:id="436"/>
      <w:bookmarkStart w:id="440" w:name="_Toc11316"/>
      <w:bookmarkStart w:id="441" w:name="_Toc11521"/>
      <w:bookmarkStart w:id="442" w:name="_Toc30736"/>
      <w:bookmarkStart w:id="443" w:name="_Toc286"/>
      <w:bookmarkStart w:id="444" w:name="_Toc2342"/>
      <w:bookmarkStart w:id="445" w:name="_Toc16900"/>
      <w:bookmarkStart w:id="446" w:name="_Toc24632"/>
      <w:r>
        <w:rPr>
          <w:rFonts w:hint="eastAsia" w:ascii="仿宋" w:hAnsi="仿宋" w:eastAsia="仿宋" w:cs="仿宋"/>
          <w:b/>
          <w:bCs/>
          <w:color w:val="000000"/>
          <w:sz w:val="24"/>
          <w:szCs w:val="24"/>
          <w:highlight w:val="none"/>
        </w:rPr>
        <w:t xml:space="preserve"> 服务需求偏离表</w:t>
      </w:r>
      <w:bookmarkEnd w:id="437"/>
      <w:bookmarkEnd w:id="438"/>
      <w:bookmarkEnd w:id="439"/>
      <w:bookmarkEnd w:id="440"/>
      <w:bookmarkEnd w:id="441"/>
      <w:bookmarkEnd w:id="442"/>
      <w:bookmarkEnd w:id="443"/>
      <w:bookmarkEnd w:id="444"/>
      <w:bookmarkEnd w:id="445"/>
      <w:bookmarkEnd w:id="446"/>
    </w:p>
    <w:p w14:paraId="4348D88E">
      <w:pPr>
        <w:pStyle w:val="12"/>
        <w:spacing w:line="240" w:lineRule="atLeast"/>
        <w:ind w:left="1080" w:leftChars="257" w:hanging="540"/>
        <w:jc w:val="center"/>
        <w:rPr>
          <w:rFonts w:ascii="仿宋" w:hAnsi="仿宋" w:eastAsia="仿宋" w:cs="仿宋"/>
          <w:b/>
          <w:bCs/>
          <w:color w:val="000000"/>
          <w:sz w:val="24"/>
          <w:szCs w:val="24"/>
          <w:highlight w:val="none"/>
        </w:rPr>
      </w:pPr>
    </w:p>
    <w:p w14:paraId="0A551348">
      <w:pPr>
        <w:pStyle w:val="12"/>
        <w:spacing w:line="240" w:lineRule="atLeast"/>
        <w:ind w:left="1080" w:leftChars="257" w:hanging="540"/>
        <w:jc w:val="center"/>
        <w:rPr>
          <w:rFonts w:ascii="仿宋" w:hAnsi="仿宋" w:eastAsia="仿宋" w:cs="仿宋"/>
          <w:b/>
          <w:bCs/>
          <w:color w:val="000000"/>
          <w:sz w:val="24"/>
          <w:szCs w:val="24"/>
          <w:highlight w:val="none"/>
        </w:rPr>
      </w:pPr>
    </w:p>
    <w:p w14:paraId="020F9024">
      <w:pPr>
        <w:pStyle w:val="6"/>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 xml:space="preserve">项目名称:                      招标编号:            </w:t>
      </w:r>
    </w:p>
    <w:tbl>
      <w:tblPr>
        <w:tblStyle w:val="2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278"/>
        <w:gridCol w:w="2090"/>
        <w:gridCol w:w="1755"/>
        <w:gridCol w:w="1425"/>
        <w:gridCol w:w="1593"/>
      </w:tblGrid>
      <w:tr w14:paraId="2078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20" w:type="dxa"/>
            <w:vAlign w:val="center"/>
          </w:tcPr>
          <w:p w14:paraId="448271BF">
            <w:pPr>
              <w:snapToGrid w:val="0"/>
              <w:spacing w:line="360" w:lineRule="auto"/>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序号</w:t>
            </w:r>
          </w:p>
        </w:tc>
        <w:tc>
          <w:tcPr>
            <w:tcW w:w="1278" w:type="dxa"/>
            <w:vAlign w:val="center"/>
          </w:tcPr>
          <w:p w14:paraId="0DA5258F">
            <w:pPr>
              <w:snapToGrid w:val="0"/>
              <w:spacing w:line="360" w:lineRule="auto"/>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项目名称</w:t>
            </w:r>
          </w:p>
        </w:tc>
        <w:tc>
          <w:tcPr>
            <w:tcW w:w="2090" w:type="dxa"/>
            <w:vAlign w:val="center"/>
          </w:tcPr>
          <w:p w14:paraId="2DBB7B99">
            <w:pPr>
              <w:snapToGrid w:val="0"/>
              <w:spacing w:line="360" w:lineRule="auto"/>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招标服务内容</w:t>
            </w:r>
          </w:p>
        </w:tc>
        <w:tc>
          <w:tcPr>
            <w:tcW w:w="1755" w:type="dxa"/>
            <w:vAlign w:val="center"/>
          </w:tcPr>
          <w:p w14:paraId="680DC5B7">
            <w:pPr>
              <w:snapToGrid w:val="0"/>
              <w:spacing w:line="360" w:lineRule="auto"/>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响应服务内容</w:t>
            </w:r>
          </w:p>
        </w:tc>
        <w:tc>
          <w:tcPr>
            <w:tcW w:w="1425" w:type="dxa"/>
            <w:vAlign w:val="center"/>
          </w:tcPr>
          <w:p w14:paraId="30FE3C77">
            <w:pPr>
              <w:snapToGrid w:val="0"/>
              <w:spacing w:line="360" w:lineRule="auto"/>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偏离情况</w:t>
            </w:r>
          </w:p>
        </w:tc>
        <w:tc>
          <w:tcPr>
            <w:tcW w:w="1593" w:type="dxa"/>
            <w:vAlign w:val="center"/>
          </w:tcPr>
          <w:p w14:paraId="1E997FAA">
            <w:pPr>
              <w:snapToGrid w:val="0"/>
              <w:spacing w:line="360" w:lineRule="auto"/>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说明</w:t>
            </w:r>
          </w:p>
        </w:tc>
      </w:tr>
      <w:tr w14:paraId="2576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vAlign w:val="center"/>
          </w:tcPr>
          <w:p w14:paraId="392A2BD0">
            <w:pPr>
              <w:snapToGrid w:val="0"/>
              <w:spacing w:line="360" w:lineRule="auto"/>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1278" w:type="dxa"/>
          </w:tcPr>
          <w:p w14:paraId="0389F98A">
            <w:pPr>
              <w:snapToGrid w:val="0"/>
              <w:spacing w:line="360" w:lineRule="auto"/>
              <w:rPr>
                <w:rFonts w:ascii="仿宋" w:hAnsi="仿宋" w:eastAsia="仿宋" w:cs="仿宋"/>
                <w:bCs/>
                <w:color w:val="000000"/>
                <w:sz w:val="24"/>
                <w:highlight w:val="none"/>
              </w:rPr>
            </w:pPr>
          </w:p>
        </w:tc>
        <w:tc>
          <w:tcPr>
            <w:tcW w:w="2090" w:type="dxa"/>
          </w:tcPr>
          <w:p w14:paraId="26F00288">
            <w:pPr>
              <w:snapToGrid w:val="0"/>
              <w:spacing w:line="360" w:lineRule="auto"/>
              <w:rPr>
                <w:rFonts w:ascii="仿宋" w:hAnsi="仿宋" w:eastAsia="仿宋" w:cs="仿宋"/>
                <w:bCs/>
                <w:color w:val="000000"/>
                <w:sz w:val="24"/>
                <w:highlight w:val="none"/>
              </w:rPr>
            </w:pPr>
          </w:p>
        </w:tc>
        <w:tc>
          <w:tcPr>
            <w:tcW w:w="1755" w:type="dxa"/>
          </w:tcPr>
          <w:p w14:paraId="7FE2EB8E">
            <w:pPr>
              <w:snapToGrid w:val="0"/>
              <w:spacing w:line="360" w:lineRule="auto"/>
              <w:rPr>
                <w:rFonts w:ascii="仿宋" w:hAnsi="仿宋" w:eastAsia="仿宋" w:cs="仿宋"/>
                <w:bCs/>
                <w:color w:val="000000"/>
                <w:sz w:val="24"/>
                <w:highlight w:val="none"/>
              </w:rPr>
            </w:pPr>
          </w:p>
        </w:tc>
        <w:tc>
          <w:tcPr>
            <w:tcW w:w="1425" w:type="dxa"/>
          </w:tcPr>
          <w:p w14:paraId="64962937">
            <w:pPr>
              <w:snapToGrid w:val="0"/>
              <w:spacing w:line="360" w:lineRule="auto"/>
              <w:rPr>
                <w:rFonts w:ascii="仿宋" w:hAnsi="仿宋" w:eastAsia="仿宋" w:cs="仿宋"/>
                <w:bCs/>
                <w:color w:val="000000"/>
                <w:sz w:val="24"/>
                <w:highlight w:val="none"/>
              </w:rPr>
            </w:pPr>
          </w:p>
        </w:tc>
        <w:tc>
          <w:tcPr>
            <w:tcW w:w="1593" w:type="dxa"/>
          </w:tcPr>
          <w:p w14:paraId="21A79EC9">
            <w:pPr>
              <w:snapToGrid w:val="0"/>
              <w:spacing w:line="360" w:lineRule="auto"/>
              <w:rPr>
                <w:rFonts w:ascii="仿宋" w:hAnsi="仿宋" w:eastAsia="仿宋" w:cs="仿宋"/>
                <w:bCs/>
                <w:color w:val="000000"/>
                <w:sz w:val="24"/>
                <w:highlight w:val="none"/>
              </w:rPr>
            </w:pPr>
          </w:p>
        </w:tc>
      </w:tr>
      <w:tr w14:paraId="4F8D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0" w:type="dxa"/>
            <w:vAlign w:val="center"/>
          </w:tcPr>
          <w:p w14:paraId="52B53D70">
            <w:pPr>
              <w:snapToGrid w:val="0"/>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278" w:type="dxa"/>
          </w:tcPr>
          <w:p w14:paraId="4B89232A">
            <w:pPr>
              <w:snapToGrid w:val="0"/>
              <w:spacing w:line="360" w:lineRule="auto"/>
              <w:rPr>
                <w:rFonts w:ascii="仿宋" w:hAnsi="仿宋" w:eastAsia="仿宋" w:cs="仿宋"/>
                <w:color w:val="000000"/>
                <w:sz w:val="24"/>
                <w:highlight w:val="none"/>
              </w:rPr>
            </w:pPr>
          </w:p>
        </w:tc>
        <w:tc>
          <w:tcPr>
            <w:tcW w:w="2090" w:type="dxa"/>
          </w:tcPr>
          <w:p w14:paraId="1E456FA5">
            <w:pPr>
              <w:snapToGrid w:val="0"/>
              <w:spacing w:line="360" w:lineRule="auto"/>
              <w:rPr>
                <w:rFonts w:ascii="仿宋" w:hAnsi="仿宋" w:eastAsia="仿宋" w:cs="仿宋"/>
                <w:color w:val="000000"/>
                <w:sz w:val="24"/>
                <w:highlight w:val="none"/>
              </w:rPr>
            </w:pPr>
          </w:p>
        </w:tc>
        <w:tc>
          <w:tcPr>
            <w:tcW w:w="1755" w:type="dxa"/>
          </w:tcPr>
          <w:p w14:paraId="0A608945">
            <w:pPr>
              <w:snapToGrid w:val="0"/>
              <w:spacing w:line="360" w:lineRule="auto"/>
              <w:rPr>
                <w:rFonts w:ascii="仿宋" w:hAnsi="仿宋" w:eastAsia="仿宋" w:cs="仿宋"/>
                <w:color w:val="000000"/>
                <w:sz w:val="24"/>
                <w:highlight w:val="none"/>
              </w:rPr>
            </w:pPr>
          </w:p>
        </w:tc>
        <w:tc>
          <w:tcPr>
            <w:tcW w:w="1425" w:type="dxa"/>
          </w:tcPr>
          <w:p w14:paraId="7ECAB461">
            <w:pPr>
              <w:snapToGrid w:val="0"/>
              <w:spacing w:line="360" w:lineRule="auto"/>
              <w:rPr>
                <w:rFonts w:ascii="仿宋" w:hAnsi="仿宋" w:eastAsia="仿宋" w:cs="仿宋"/>
                <w:color w:val="000000"/>
                <w:sz w:val="24"/>
                <w:highlight w:val="none"/>
              </w:rPr>
            </w:pPr>
          </w:p>
        </w:tc>
        <w:tc>
          <w:tcPr>
            <w:tcW w:w="1593" w:type="dxa"/>
          </w:tcPr>
          <w:p w14:paraId="300EF9D6">
            <w:pPr>
              <w:snapToGrid w:val="0"/>
              <w:spacing w:line="360" w:lineRule="auto"/>
              <w:rPr>
                <w:rFonts w:ascii="仿宋" w:hAnsi="仿宋" w:eastAsia="仿宋" w:cs="仿宋"/>
                <w:color w:val="000000"/>
                <w:sz w:val="24"/>
                <w:highlight w:val="none"/>
              </w:rPr>
            </w:pPr>
          </w:p>
        </w:tc>
      </w:tr>
      <w:tr w14:paraId="7A40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vAlign w:val="center"/>
          </w:tcPr>
          <w:p w14:paraId="0F20F54E">
            <w:pPr>
              <w:snapToGrid w:val="0"/>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1278" w:type="dxa"/>
          </w:tcPr>
          <w:p w14:paraId="272F5F99">
            <w:pPr>
              <w:snapToGrid w:val="0"/>
              <w:spacing w:line="360" w:lineRule="auto"/>
              <w:rPr>
                <w:rFonts w:ascii="仿宋" w:hAnsi="仿宋" w:eastAsia="仿宋" w:cs="仿宋"/>
                <w:color w:val="000000"/>
                <w:sz w:val="24"/>
                <w:highlight w:val="none"/>
              </w:rPr>
            </w:pPr>
          </w:p>
        </w:tc>
        <w:tc>
          <w:tcPr>
            <w:tcW w:w="2090" w:type="dxa"/>
          </w:tcPr>
          <w:p w14:paraId="21BFCFDF">
            <w:pPr>
              <w:snapToGrid w:val="0"/>
              <w:spacing w:line="360" w:lineRule="auto"/>
              <w:rPr>
                <w:rFonts w:ascii="仿宋" w:hAnsi="仿宋" w:eastAsia="仿宋" w:cs="仿宋"/>
                <w:color w:val="000000"/>
                <w:sz w:val="24"/>
                <w:highlight w:val="none"/>
              </w:rPr>
            </w:pPr>
          </w:p>
        </w:tc>
        <w:tc>
          <w:tcPr>
            <w:tcW w:w="1755" w:type="dxa"/>
          </w:tcPr>
          <w:p w14:paraId="7CF016E6">
            <w:pPr>
              <w:snapToGrid w:val="0"/>
              <w:spacing w:line="360" w:lineRule="auto"/>
              <w:rPr>
                <w:rFonts w:ascii="仿宋" w:hAnsi="仿宋" w:eastAsia="仿宋" w:cs="仿宋"/>
                <w:color w:val="000000"/>
                <w:sz w:val="24"/>
                <w:highlight w:val="none"/>
              </w:rPr>
            </w:pPr>
          </w:p>
        </w:tc>
        <w:tc>
          <w:tcPr>
            <w:tcW w:w="1425" w:type="dxa"/>
          </w:tcPr>
          <w:p w14:paraId="6C380605">
            <w:pPr>
              <w:snapToGrid w:val="0"/>
              <w:spacing w:line="360" w:lineRule="auto"/>
              <w:rPr>
                <w:rFonts w:ascii="仿宋" w:hAnsi="仿宋" w:eastAsia="仿宋" w:cs="仿宋"/>
                <w:color w:val="000000"/>
                <w:sz w:val="24"/>
                <w:highlight w:val="none"/>
              </w:rPr>
            </w:pPr>
          </w:p>
        </w:tc>
        <w:tc>
          <w:tcPr>
            <w:tcW w:w="1593" w:type="dxa"/>
          </w:tcPr>
          <w:p w14:paraId="6D1FA84A">
            <w:pPr>
              <w:snapToGrid w:val="0"/>
              <w:spacing w:line="360" w:lineRule="auto"/>
              <w:rPr>
                <w:rFonts w:ascii="仿宋" w:hAnsi="仿宋" w:eastAsia="仿宋" w:cs="仿宋"/>
                <w:color w:val="000000"/>
                <w:sz w:val="24"/>
                <w:highlight w:val="none"/>
              </w:rPr>
            </w:pPr>
          </w:p>
        </w:tc>
      </w:tr>
      <w:tr w14:paraId="4EE8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0" w:type="dxa"/>
            <w:vAlign w:val="center"/>
          </w:tcPr>
          <w:p w14:paraId="28480E80">
            <w:pPr>
              <w:snapToGrid w:val="0"/>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1278" w:type="dxa"/>
          </w:tcPr>
          <w:p w14:paraId="794C78EA">
            <w:pPr>
              <w:snapToGrid w:val="0"/>
              <w:spacing w:line="360" w:lineRule="auto"/>
              <w:rPr>
                <w:rFonts w:ascii="仿宋" w:hAnsi="仿宋" w:eastAsia="仿宋" w:cs="仿宋"/>
                <w:color w:val="000000"/>
                <w:sz w:val="24"/>
                <w:highlight w:val="none"/>
              </w:rPr>
            </w:pPr>
          </w:p>
        </w:tc>
        <w:tc>
          <w:tcPr>
            <w:tcW w:w="2090" w:type="dxa"/>
          </w:tcPr>
          <w:p w14:paraId="07BDA6B2">
            <w:pPr>
              <w:snapToGrid w:val="0"/>
              <w:spacing w:line="360" w:lineRule="auto"/>
              <w:rPr>
                <w:rFonts w:ascii="仿宋" w:hAnsi="仿宋" w:eastAsia="仿宋" w:cs="仿宋"/>
                <w:color w:val="000000"/>
                <w:sz w:val="24"/>
                <w:highlight w:val="none"/>
              </w:rPr>
            </w:pPr>
          </w:p>
        </w:tc>
        <w:tc>
          <w:tcPr>
            <w:tcW w:w="1755" w:type="dxa"/>
          </w:tcPr>
          <w:p w14:paraId="6E555DD5">
            <w:pPr>
              <w:snapToGrid w:val="0"/>
              <w:spacing w:line="360" w:lineRule="auto"/>
              <w:rPr>
                <w:rFonts w:ascii="仿宋" w:hAnsi="仿宋" w:eastAsia="仿宋" w:cs="仿宋"/>
                <w:color w:val="000000"/>
                <w:sz w:val="24"/>
                <w:highlight w:val="none"/>
              </w:rPr>
            </w:pPr>
          </w:p>
        </w:tc>
        <w:tc>
          <w:tcPr>
            <w:tcW w:w="1425" w:type="dxa"/>
          </w:tcPr>
          <w:p w14:paraId="30470873">
            <w:pPr>
              <w:snapToGrid w:val="0"/>
              <w:spacing w:line="360" w:lineRule="auto"/>
              <w:rPr>
                <w:rFonts w:ascii="仿宋" w:hAnsi="仿宋" w:eastAsia="仿宋" w:cs="仿宋"/>
                <w:color w:val="000000"/>
                <w:sz w:val="24"/>
                <w:highlight w:val="none"/>
              </w:rPr>
            </w:pPr>
          </w:p>
        </w:tc>
        <w:tc>
          <w:tcPr>
            <w:tcW w:w="1593" w:type="dxa"/>
          </w:tcPr>
          <w:p w14:paraId="77DA7B6A">
            <w:pPr>
              <w:snapToGrid w:val="0"/>
              <w:spacing w:line="360" w:lineRule="auto"/>
              <w:rPr>
                <w:rFonts w:ascii="仿宋" w:hAnsi="仿宋" w:eastAsia="仿宋" w:cs="仿宋"/>
                <w:color w:val="000000"/>
                <w:sz w:val="24"/>
                <w:highlight w:val="none"/>
              </w:rPr>
            </w:pPr>
          </w:p>
        </w:tc>
      </w:tr>
      <w:tr w14:paraId="6D97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vAlign w:val="center"/>
          </w:tcPr>
          <w:p w14:paraId="65E8D98A">
            <w:pPr>
              <w:snapToGrid w:val="0"/>
              <w:spacing w:line="360" w:lineRule="auto"/>
              <w:jc w:val="center"/>
              <w:rPr>
                <w:rFonts w:ascii="仿宋" w:hAnsi="仿宋" w:eastAsia="仿宋" w:cs="仿宋"/>
                <w:color w:val="000000"/>
                <w:sz w:val="24"/>
                <w:highlight w:val="none"/>
              </w:rPr>
            </w:pPr>
          </w:p>
        </w:tc>
        <w:tc>
          <w:tcPr>
            <w:tcW w:w="1278" w:type="dxa"/>
          </w:tcPr>
          <w:p w14:paraId="474DB105">
            <w:pPr>
              <w:snapToGrid w:val="0"/>
              <w:spacing w:line="360" w:lineRule="auto"/>
              <w:rPr>
                <w:rFonts w:ascii="仿宋" w:hAnsi="仿宋" w:eastAsia="仿宋" w:cs="仿宋"/>
                <w:color w:val="000000"/>
                <w:sz w:val="24"/>
                <w:highlight w:val="none"/>
              </w:rPr>
            </w:pPr>
          </w:p>
        </w:tc>
        <w:tc>
          <w:tcPr>
            <w:tcW w:w="2090" w:type="dxa"/>
          </w:tcPr>
          <w:p w14:paraId="579CC2D1">
            <w:pPr>
              <w:snapToGrid w:val="0"/>
              <w:spacing w:line="360" w:lineRule="auto"/>
              <w:rPr>
                <w:rFonts w:ascii="仿宋" w:hAnsi="仿宋" w:eastAsia="仿宋" w:cs="仿宋"/>
                <w:color w:val="000000"/>
                <w:sz w:val="24"/>
                <w:highlight w:val="none"/>
              </w:rPr>
            </w:pPr>
          </w:p>
        </w:tc>
        <w:tc>
          <w:tcPr>
            <w:tcW w:w="1755" w:type="dxa"/>
          </w:tcPr>
          <w:p w14:paraId="0E586603">
            <w:pPr>
              <w:snapToGrid w:val="0"/>
              <w:spacing w:line="360" w:lineRule="auto"/>
              <w:rPr>
                <w:rFonts w:ascii="仿宋" w:hAnsi="仿宋" w:eastAsia="仿宋" w:cs="仿宋"/>
                <w:color w:val="000000"/>
                <w:sz w:val="24"/>
                <w:highlight w:val="none"/>
              </w:rPr>
            </w:pPr>
          </w:p>
        </w:tc>
        <w:tc>
          <w:tcPr>
            <w:tcW w:w="1425" w:type="dxa"/>
          </w:tcPr>
          <w:p w14:paraId="2317E856">
            <w:pPr>
              <w:snapToGrid w:val="0"/>
              <w:spacing w:line="360" w:lineRule="auto"/>
              <w:rPr>
                <w:rFonts w:ascii="仿宋" w:hAnsi="仿宋" w:eastAsia="仿宋" w:cs="仿宋"/>
                <w:color w:val="000000"/>
                <w:sz w:val="24"/>
                <w:highlight w:val="none"/>
              </w:rPr>
            </w:pPr>
          </w:p>
        </w:tc>
        <w:tc>
          <w:tcPr>
            <w:tcW w:w="1593" w:type="dxa"/>
          </w:tcPr>
          <w:p w14:paraId="4B1AED77">
            <w:pPr>
              <w:snapToGrid w:val="0"/>
              <w:spacing w:line="360" w:lineRule="auto"/>
              <w:rPr>
                <w:rFonts w:ascii="仿宋" w:hAnsi="仿宋" w:eastAsia="仿宋" w:cs="仿宋"/>
                <w:color w:val="000000"/>
                <w:sz w:val="24"/>
                <w:highlight w:val="none"/>
              </w:rPr>
            </w:pPr>
          </w:p>
        </w:tc>
      </w:tr>
      <w:tr w14:paraId="4FB1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vAlign w:val="center"/>
          </w:tcPr>
          <w:p w14:paraId="1A795B20">
            <w:pPr>
              <w:snapToGrid w:val="0"/>
              <w:spacing w:line="360" w:lineRule="auto"/>
              <w:jc w:val="center"/>
              <w:rPr>
                <w:rFonts w:ascii="仿宋" w:hAnsi="仿宋" w:eastAsia="仿宋" w:cs="仿宋"/>
                <w:color w:val="000000"/>
                <w:sz w:val="24"/>
                <w:highlight w:val="none"/>
              </w:rPr>
            </w:pPr>
          </w:p>
        </w:tc>
        <w:tc>
          <w:tcPr>
            <w:tcW w:w="1278" w:type="dxa"/>
          </w:tcPr>
          <w:p w14:paraId="4D481FEC">
            <w:pPr>
              <w:snapToGrid w:val="0"/>
              <w:spacing w:line="360" w:lineRule="auto"/>
              <w:rPr>
                <w:rFonts w:ascii="仿宋" w:hAnsi="仿宋" w:eastAsia="仿宋" w:cs="仿宋"/>
                <w:color w:val="000000"/>
                <w:sz w:val="24"/>
                <w:highlight w:val="none"/>
              </w:rPr>
            </w:pPr>
          </w:p>
        </w:tc>
        <w:tc>
          <w:tcPr>
            <w:tcW w:w="2090" w:type="dxa"/>
          </w:tcPr>
          <w:p w14:paraId="7B928D12">
            <w:pPr>
              <w:snapToGrid w:val="0"/>
              <w:spacing w:line="360" w:lineRule="auto"/>
              <w:rPr>
                <w:rFonts w:ascii="仿宋" w:hAnsi="仿宋" w:eastAsia="仿宋" w:cs="仿宋"/>
                <w:color w:val="000000"/>
                <w:sz w:val="24"/>
                <w:highlight w:val="none"/>
              </w:rPr>
            </w:pPr>
          </w:p>
        </w:tc>
        <w:tc>
          <w:tcPr>
            <w:tcW w:w="1755" w:type="dxa"/>
          </w:tcPr>
          <w:p w14:paraId="49F4F6B5">
            <w:pPr>
              <w:snapToGrid w:val="0"/>
              <w:spacing w:line="360" w:lineRule="auto"/>
              <w:rPr>
                <w:rFonts w:ascii="仿宋" w:hAnsi="仿宋" w:eastAsia="仿宋" w:cs="仿宋"/>
                <w:color w:val="000000"/>
                <w:sz w:val="24"/>
                <w:highlight w:val="none"/>
              </w:rPr>
            </w:pPr>
          </w:p>
        </w:tc>
        <w:tc>
          <w:tcPr>
            <w:tcW w:w="1425" w:type="dxa"/>
          </w:tcPr>
          <w:p w14:paraId="41370CE0">
            <w:pPr>
              <w:snapToGrid w:val="0"/>
              <w:spacing w:line="360" w:lineRule="auto"/>
              <w:rPr>
                <w:rFonts w:ascii="仿宋" w:hAnsi="仿宋" w:eastAsia="仿宋" w:cs="仿宋"/>
                <w:color w:val="000000"/>
                <w:sz w:val="24"/>
                <w:highlight w:val="none"/>
              </w:rPr>
            </w:pPr>
          </w:p>
        </w:tc>
        <w:tc>
          <w:tcPr>
            <w:tcW w:w="1593" w:type="dxa"/>
          </w:tcPr>
          <w:p w14:paraId="254EE246">
            <w:pPr>
              <w:snapToGrid w:val="0"/>
              <w:spacing w:line="360" w:lineRule="auto"/>
              <w:rPr>
                <w:rFonts w:ascii="仿宋" w:hAnsi="仿宋" w:eastAsia="仿宋" w:cs="仿宋"/>
                <w:color w:val="000000"/>
                <w:sz w:val="24"/>
                <w:highlight w:val="none"/>
              </w:rPr>
            </w:pPr>
          </w:p>
        </w:tc>
      </w:tr>
      <w:tr w14:paraId="2C9C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vAlign w:val="center"/>
          </w:tcPr>
          <w:p w14:paraId="28990FF8">
            <w:pPr>
              <w:snapToGrid w:val="0"/>
              <w:spacing w:line="360" w:lineRule="auto"/>
              <w:jc w:val="center"/>
              <w:rPr>
                <w:rFonts w:ascii="仿宋" w:hAnsi="仿宋" w:eastAsia="仿宋" w:cs="仿宋"/>
                <w:color w:val="000000"/>
                <w:sz w:val="24"/>
                <w:highlight w:val="none"/>
              </w:rPr>
            </w:pPr>
          </w:p>
        </w:tc>
        <w:tc>
          <w:tcPr>
            <w:tcW w:w="1278" w:type="dxa"/>
          </w:tcPr>
          <w:p w14:paraId="67729C10">
            <w:pPr>
              <w:snapToGrid w:val="0"/>
              <w:spacing w:line="360" w:lineRule="auto"/>
              <w:rPr>
                <w:rFonts w:ascii="仿宋" w:hAnsi="仿宋" w:eastAsia="仿宋" w:cs="仿宋"/>
                <w:color w:val="000000"/>
                <w:sz w:val="24"/>
                <w:highlight w:val="none"/>
              </w:rPr>
            </w:pPr>
          </w:p>
        </w:tc>
        <w:tc>
          <w:tcPr>
            <w:tcW w:w="2090" w:type="dxa"/>
          </w:tcPr>
          <w:p w14:paraId="5EAD73D9">
            <w:pPr>
              <w:snapToGrid w:val="0"/>
              <w:spacing w:line="360" w:lineRule="auto"/>
              <w:rPr>
                <w:rFonts w:ascii="仿宋" w:hAnsi="仿宋" w:eastAsia="仿宋" w:cs="仿宋"/>
                <w:color w:val="000000"/>
                <w:sz w:val="24"/>
                <w:highlight w:val="none"/>
              </w:rPr>
            </w:pPr>
          </w:p>
        </w:tc>
        <w:tc>
          <w:tcPr>
            <w:tcW w:w="1755" w:type="dxa"/>
          </w:tcPr>
          <w:p w14:paraId="2EE29EE5">
            <w:pPr>
              <w:snapToGrid w:val="0"/>
              <w:spacing w:line="360" w:lineRule="auto"/>
              <w:rPr>
                <w:rFonts w:ascii="仿宋" w:hAnsi="仿宋" w:eastAsia="仿宋" w:cs="仿宋"/>
                <w:color w:val="000000"/>
                <w:sz w:val="24"/>
                <w:highlight w:val="none"/>
              </w:rPr>
            </w:pPr>
          </w:p>
        </w:tc>
        <w:tc>
          <w:tcPr>
            <w:tcW w:w="1425" w:type="dxa"/>
          </w:tcPr>
          <w:p w14:paraId="273B6558">
            <w:pPr>
              <w:snapToGrid w:val="0"/>
              <w:spacing w:line="360" w:lineRule="auto"/>
              <w:rPr>
                <w:rFonts w:ascii="仿宋" w:hAnsi="仿宋" w:eastAsia="仿宋" w:cs="仿宋"/>
                <w:color w:val="000000"/>
                <w:sz w:val="24"/>
                <w:highlight w:val="none"/>
              </w:rPr>
            </w:pPr>
          </w:p>
        </w:tc>
        <w:tc>
          <w:tcPr>
            <w:tcW w:w="1593" w:type="dxa"/>
          </w:tcPr>
          <w:p w14:paraId="0EC937CB">
            <w:pPr>
              <w:snapToGrid w:val="0"/>
              <w:spacing w:line="360" w:lineRule="auto"/>
              <w:rPr>
                <w:rFonts w:ascii="仿宋" w:hAnsi="仿宋" w:eastAsia="仿宋" w:cs="仿宋"/>
                <w:color w:val="000000"/>
                <w:sz w:val="24"/>
                <w:highlight w:val="none"/>
              </w:rPr>
            </w:pPr>
          </w:p>
        </w:tc>
      </w:tr>
      <w:tr w14:paraId="4BB9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vAlign w:val="center"/>
          </w:tcPr>
          <w:p w14:paraId="59E84611">
            <w:pPr>
              <w:snapToGrid w:val="0"/>
              <w:spacing w:line="360" w:lineRule="auto"/>
              <w:jc w:val="center"/>
              <w:rPr>
                <w:rFonts w:ascii="仿宋" w:hAnsi="仿宋" w:eastAsia="仿宋" w:cs="仿宋"/>
                <w:color w:val="000000"/>
                <w:sz w:val="24"/>
                <w:highlight w:val="none"/>
              </w:rPr>
            </w:pPr>
          </w:p>
        </w:tc>
        <w:tc>
          <w:tcPr>
            <w:tcW w:w="1278" w:type="dxa"/>
          </w:tcPr>
          <w:p w14:paraId="55C0FF42">
            <w:pPr>
              <w:snapToGrid w:val="0"/>
              <w:spacing w:line="360" w:lineRule="auto"/>
              <w:rPr>
                <w:rFonts w:ascii="仿宋" w:hAnsi="仿宋" w:eastAsia="仿宋" w:cs="仿宋"/>
                <w:color w:val="000000"/>
                <w:sz w:val="24"/>
                <w:highlight w:val="none"/>
              </w:rPr>
            </w:pPr>
          </w:p>
        </w:tc>
        <w:tc>
          <w:tcPr>
            <w:tcW w:w="2090" w:type="dxa"/>
          </w:tcPr>
          <w:p w14:paraId="063F2F88">
            <w:pPr>
              <w:snapToGrid w:val="0"/>
              <w:spacing w:line="360" w:lineRule="auto"/>
              <w:rPr>
                <w:rFonts w:ascii="仿宋" w:hAnsi="仿宋" w:eastAsia="仿宋" w:cs="仿宋"/>
                <w:color w:val="000000"/>
                <w:sz w:val="24"/>
                <w:highlight w:val="none"/>
              </w:rPr>
            </w:pPr>
          </w:p>
        </w:tc>
        <w:tc>
          <w:tcPr>
            <w:tcW w:w="1755" w:type="dxa"/>
          </w:tcPr>
          <w:p w14:paraId="1D2E9BB2">
            <w:pPr>
              <w:snapToGrid w:val="0"/>
              <w:spacing w:line="360" w:lineRule="auto"/>
              <w:rPr>
                <w:rFonts w:ascii="仿宋" w:hAnsi="仿宋" w:eastAsia="仿宋" w:cs="仿宋"/>
                <w:color w:val="000000"/>
                <w:sz w:val="24"/>
                <w:highlight w:val="none"/>
              </w:rPr>
            </w:pPr>
          </w:p>
        </w:tc>
        <w:tc>
          <w:tcPr>
            <w:tcW w:w="1425" w:type="dxa"/>
          </w:tcPr>
          <w:p w14:paraId="06686DE7">
            <w:pPr>
              <w:snapToGrid w:val="0"/>
              <w:spacing w:line="360" w:lineRule="auto"/>
              <w:rPr>
                <w:rFonts w:ascii="仿宋" w:hAnsi="仿宋" w:eastAsia="仿宋" w:cs="仿宋"/>
                <w:color w:val="000000"/>
                <w:sz w:val="24"/>
                <w:highlight w:val="none"/>
              </w:rPr>
            </w:pPr>
          </w:p>
        </w:tc>
        <w:tc>
          <w:tcPr>
            <w:tcW w:w="1593" w:type="dxa"/>
          </w:tcPr>
          <w:p w14:paraId="46576424">
            <w:pPr>
              <w:snapToGrid w:val="0"/>
              <w:spacing w:line="360" w:lineRule="auto"/>
              <w:rPr>
                <w:rFonts w:ascii="仿宋" w:hAnsi="仿宋" w:eastAsia="仿宋" w:cs="仿宋"/>
                <w:color w:val="000000"/>
                <w:sz w:val="24"/>
                <w:highlight w:val="none"/>
              </w:rPr>
            </w:pPr>
          </w:p>
        </w:tc>
      </w:tr>
    </w:tbl>
    <w:p w14:paraId="30C80642">
      <w:pPr>
        <w:pStyle w:val="6"/>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 xml:space="preserve"> </w:t>
      </w:r>
    </w:p>
    <w:p w14:paraId="41441560">
      <w:pPr>
        <w:pStyle w:val="12"/>
        <w:spacing w:line="240" w:lineRule="atLeast"/>
        <w:ind w:left="1080" w:leftChars="257" w:hanging="540"/>
        <w:rPr>
          <w:rFonts w:ascii="仿宋" w:hAnsi="仿宋" w:eastAsia="仿宋" w:cs="仿宋"/>
          <w:color w:val="000000"/>
          <w:sz w:val="24"/>
          <w:szCs w:val="24"/>
          <w:highlight w:val="none"/>
        </w:rPr>
      </w:pPr>
    </w:p>
    <w:p w14:paraId="068EAE39">
      <w:pPr>
        <w:pStyle w:val="12"/>
        <w:spacing w:line="240" w:lineRule="atLeast"/>
        <w:ind w:left="1080" w:leftChars="257" w:hanging="540"/>
        <w:rPr>
          <w:rFonts w:ascii="仿宋" w:hAnsi="仿宋" w:eastAsia="仿宋" w:cs="仿宋"/>
          <w:color w:val="000000"/>
          <w:sz w:val="24"/>
          <w:szCs w:val="24"/>
          <w:highlight w:val="none"/>
        </w:rPr>
      </w:pPr>
    </w:p>
    <w:p w14:paraId="49A0775C">
      <w:pPr>
        <w:pStyle w:val="12"/>
        <w:spacing w:line="240" w:lineRule="atLeast"/>
        <w:ind w:left="1080" w:leftChars="257" w:hanging="540"/>
        <w:rPr>
          <w:rFonts w:ascii="仿宋" w:hAnsi="仿宋" w:eastAsia="仿宋" w:cs="仿宋"/>
          <w:color w:val="000000"/>
          <w:sz w:val="24"/>
          <w:szCs w:val="24"/>
          <w:highlight w:val="none"/>
        </w:rPr>
      </w:pPr>
    </w:p>
    <w:p w14:paraId="0744297E">
      <w:pPr>
        <w:pStyle w:val="12"/>
        <w:spacing w:line="240" w:lineRule="atLeast"/>
        <w:ind w:left="1080" w:leftChars="257" w:hanging="540"/>
        <w:rPr>
          <w:rFonts w:ascii="仿宋" w:hAnsi="仿宋" w:eastAsia="仿宋" w:cs="仿宋"/>
          <w:color w:val="000000"/>
          <w:sz w:val="24"/>
          <w:szCs w:val="24"/>
          <w:highlight w:val="none"/>
        </w:rPr>
      </w:pPr>
    </w:p>
    <w:p w14:paraId="4E1BAD91">
      <w:pPr>
        <w:pStyle w:val="12"/>
        <w:spacing w:line="240" w:lineRule="atLeast"/>
        <w:ind w:left="1080" w:leftChars="257" w:hanging="540"/>
        <w:rPr>
          <w:rFonts w:ascii="仿宋" w:hAnsi="仿宋" w:eastAsia="仿宋" w:cs="仿宋"/>
          <w:color w:val="000000"/>
          <w:sz w:val="24"/>
          <w:szCs w:val="24"/>
          <w:highlight w:val="none"/>
        </w:rPr>
      </w:pPr>
    </w:p>
    <w:p w14:paraId="09872503">
      <w:pPr>
        <w:pStyle w:val="12"/>
        <w:spacing w:line="240" w:lineRule="atLeast"/>
        <w:ind w:left="1080" w:leftChars="257" w:hanging="540"/>
        <w:rPr>
          <w:rFonts w:ascii="仿宋" w:hAnsi="仿宋" w:eastAsia="仿宋" w:cs="仿宋"/>
          <w:color w:val="000000"/>
          <w:sz w:val="24"/>
          <w:szCs w:val="24"/>
          <w:highlight w:val="none"/>
        </w:rPr>
      </w:pPr>
    </w:p>
    <w:p w14:paraId="25BD3F8E">
      <w:pPr>
        <w:pStyle w:val="12"/>
        <w:spacing w:line="240" w:lineRule="atLeast"/>
        <w:ind w:left="1080" w:leftChars="257" w:hanging="540"/>
        <w:rPr>
          <w:rFonts w:ascii="仿宋" w:hAnsi="仿宋" w:eastAsia="仿宋" w:cs="仿宋"/>
          <w:color w:val="000000"/>
          <w:sz w:val="24"/>
          <w:szCs w:val="24"/>
          <w:highlight w:val="none"/>
        </w:rPr>
      </w:pPr>
    </w:p>
    <w:p w14:paraId="750CA11D">
      <w:pPr>
        <w:pStyle w:val="12"/>
        <w:spacing w:line="240" w:lineRule="atLeast"/>
        <w:ind w:left="1080" w:leftChars="257" w:hanging="540"/>
        <w:rPr>
          <w:rFonts w:ascii="仿宋" w:hAnsi="仿宋" w:eastAsia="仿宋" w:cs="仿宋"/>
          <w:color w:val="000000"/>
          <w:sz w:val="24"/>
          <w:szCs w:val="24"/>
          <w:highlight w:val="none"/>
        </w:rPr>
      </w:pPr>
    </w:p>
    <w:p w14:paraId="40E7770F">
      <w:pPr>
        <w:pStyle w:val="22"/>
        <w:ind w:firstLine="240"/>
        <w:rPr>
          <w:rFonts w:ascii="仿宋" w:hAnsi="仿宋" w:eastAsia="仿宋" w:cs="仿宋"/>
          <w:color w:val="000000"/>
          <w:highlight w:val="none"/>
        </w:rPr>
      </w:pPr>
    </w:p>
    <w:p w14:paraId="0DBC7E21">
      <w:pPr>
        <w:pStyle w:val="12"/>
        <w:tabs>
          <w:tab w:val="left" w:pos="5370"/>
        </w:tabs>
        <w:spacing w:line="240" w:lineRule="atLeast"/>
        <w:ind w:left="1154" w:leftChars="485" w:hanging="136" w:hangingChars="57"/>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供应商(盖单位章):</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 xml:space="preserve">      </w:t>
      </w:r>
    </w:p>
    <w:p w14:paraId="314F616E">
      <w:pPr>
        <w:pStyle w:val="12"/>
        <w:tabs>
          <w:tab w:val="left" w:pos="5370"/>
        </w:tabs>
        <w:spacing w:line="240" w:lineRule="atLeast"/>
        <w:ind w:left="1080" w:leftChars="257" w:hanging="540"/>
        <w:rPr>
          <w:rFonts w:ascii="仿宋" w:hAnsi="仿宋" w:eastAsia="仿宋" w:cs="仿宋"/>
          <w:color w:val="000000"/>
          <w:sz w:val="24"/>
          <w:szCs w:val="24"/>
          <w:highlight w:val="none"/>
          <w:u w:val="single"/>
        </w:rPr>
      </w:pPr>
    </w:p>
    <w:p w14:paraId="28DC8593">
      <w:pPr>
        <w:pStyle w:val="22"/>
        <w:ind w:firstLine="960" w:firstLineChars="400"/>
        <w:rPr>
          <w:rFonts w:ascii="仿宋" w:hAnsi="仿宋" w:eastAsia="仿宋" w:cs="仿宋"/>
          <w:color w:val="000000"/>
          <w:highlight w:val="none"/>
        </w:rPr>
      </w:pPr>
      <w:r>
        <w:rPr>
          <w:rFonts w:hint="eastAsia" w:ascii="仿宋" w:hAnsi="仿宋" w:eastAsia="仿宋" w:cs="仿宋"/>
          <w:color w:val="000000"/>
          <w:highlight w:val="none"/>
        </w:rPr>
        <w:t>法定代表人或其委托代理人签字:</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rPr>
        <w:tab/>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single"/>
        </w:rPr>
        <w:t xml:space="preserve"> </w:t>
      </w:r>
    </w:p>
    <w:p w14:paraId="325F571F">
      <w:pPr>
        <w:pStyle w:val="12"/>
        <w:tabs>
          <w:tab w:val="left" w:pos="5580"/>
        </w:tabs>
        <w:spacing w:line="240" w:lineRule="atLeas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p>
    <w:p w14:paraId="4ED3265A">
      <w:pPr>
        <w:pStyle w:val="12"/>
        <w:spacing w:line="240" w:lineRule="atLeast"/>
        <w:ind w:left="1080" w:leftChars="257" w:hanging="540"/>
        <w:jc w:val="center"/>
        <w:rPr>
          <w:rFonts w:ascii="仿宋" w:hAnsi="仿宋" w:eastAsia="仿宋" w:cs="仿宋"/>
          <w:b/>
          <w:bCs/>
          <w:color w:val="000000"/>
          <w:sz w:val="28"/>
          <w:szCs w:val="28"/>
          <w:highlight w:val="none"/>
        </w:rPr>
      </w:pPr>
    </w:p>
    <w:p w14:paraId="74463DD9">
      <w:pPr>
        <w:pStyle w:val="12"/>
        <w:spacing w:line="240" w:lineRule="atLeast"/>
        <w:ind w:left="1080" w:leftChars="257" w:hanging="540"/>
        <w:jc w:val="center"/>
        <w:rPr>
          <w:rFonts w:ascii="仿宋" w:hAnsi="仿宋" w:eastAsia="仿宋" w:cs="仿宋"/>
          <w:b/>
          <w:bCs/>
          <w:color w:val="000000"/>
          <w:sz w:val="28"/>
          <w:szCs w:val="28"/>
          <w:highlight w:val="none"/>
        </w:rPr>
      </w:pPr>
    </w:p>
    <w:p w14:paraId="2354871A">
      <w:pPr>
        <w:pStyle w:val="12"/>
        <w:spacing w:line="360" w:lineRule="auto"/>
        <w:rPr>
          <w:rFonts w:ascii="仿宋" w:hAnsi="仿宋" w:eastAsia="仿宋" w:cs="仿宋"/>
          <w:color w:val="000000"/>
          <w:sz w:val="24"/>
          <w:szCs w:val="24"/>
          <w:highlight w:val="none"/>
        </w:rPr>
      </w:pPr>
    </w:p>
    <w:p w14:paraId="1FE9133D">
      <w:pPr>
        <w:pStyle w:val="12"/>
        <w:spacing w:line="360" w:lineRule="auto"/>
        <w:ind w:firstLine="482" w:firstLineChars="200"/>
        <w:jc w:val="center"/>
        <w:rPr>
          <w:rFonts w:ascii="仿宋" w:hAnsi="仿宋" w:eastAsia="仿宋" w:cs="仿宋"/>
          <w:b/>
          <w:color w:val="000000"/>
          <w:sz w:val="24"/>
          <w:szCs w:val="24"/>
          <w:highlight w:val="none"/>
        </w:rPr>
      </w:pPr>
    </w:p>
    <w:p w14:paraId="6D313C7B">
      <w:pPr>
        <w:pStyle w:val="3"/>
        <w:spacing w:before="0" w:line="240" w:lineRule="atLeast"/>
        <w:ind w:left="1080" w:leftChars="257" w:hanging="540"/>
        <w:rPr>
          <w:rFonts w:ascii="仿宋" w:hAnsi="仿宋" w:eastAsia="仿宋" w:cs="仿宋"/>
          <w:bCs/>
          <w:color w:val="000000"/>
          <w:kern w:val="2"/>
          <w:sz w:val="24"/>
          <w:szCs w:val="24"/>
          <w:highlight w:val="none"/>
        </w:rPr>
      </w:pPr>
      <w:bookmarkStart w:id="447" w:name="_Toc1980"/>
      <w:bookmarkStart w:id="448" w:name="_Toc18099"/>
      <w:bookmarkStart w:id="449" w:name="_Toc11601"/>
      <w:bookmarkStart w:id="450" w:name="_Toc4280"/>
      <w:bookmarkStart w:id="451" w:name="_Toc21009"/>
      <w:bookmarkStart w:id="452" w:name="_Toc10889"/>
      <w:bookmarkStart w:id="453" w:name="_Toc4342"/>
      <w:bookmarkStart w:id="454" w:name="_Toc515647821"/>
      <w:bookmarkStart w:id="455" w:name="_Toc28674"/>
      <w:bookmarkStart w:id="456" w:name="_Toc216582818"/>
      <w:bookmarkStart w:id="457" w:name="_Toc23"/>
      <w:r>
        <w:rPr>
          <w:rFonts w:hint="eastAsia" w:ascii="仿宋" w:hAnsi="仿宋" w:eastAsia="仿宋" w:cs="仿宋"/>
          <w:bCs/>
          <w:color w:val="000000"/>
          <w:kern w:val="2"/>
          <w:sz w:val="24"/>
          <w:szCs w:val="24"/>
          <w:highlight w:val="none"/>
        </w:rPr>
        <w:t>3  商务条款偏离表</w:t>
      </w:r>
      <w:bookmarkEnd w:id="447"/>
      <w:bookmarkEnd w:id="448"/>
      <w:bookmarkEnd w:id="449"/>
      <w:bookmarkEnd w:id="450"/>
      <w:bookmarkEnd w:id="451"/>
      <w:bookmarkEnd w:id="452"/>
      <w:bookmarkEnd w:id="453"/>
      <w:bookmarkEnd w:id="454"/>
      <w:bookmarkEnd w:id="455"/>
      <w:bookmarkEnd w:id="456"/>
      <w:bookmarkEnd w:id="457"/>
    </w:p>
    <w:p w14:paraId="33A70D99">
      <w:pPr>
        <w:pStyle w:val="12"/>
        <w:spacing w:line="360" w:lineRule="exact"/>
        <w:ind w:left="1080" w:leftChars="257" w:hanging="540"/>
        <w:rPr>
          <w:rFonts w:ascii="仿宋" w:hAnsi="仿宋" w:eastAsia="仿宋" w:cs="仿宋"/>
          <w:highlight w:val="none"/>
        </w:rPr>
      </w:pPr>
    </w:p>
    <w:p w14:paraId="28527C12">
      <w:pPr>
        <w:pStyle w:val="12"/>
        <w:spacing w:line="360" w:lineRule="exact"/>
        <w:ind w:left="1080" w:leftChars="257" w:hanging="540"/>
        <w:rPr>
          <w:rFonts w:ascii="仿宋" w:hAnsi="仿宋" w:eastAsia="仿宋" w:cs="仿宋"/>
          <w:highlight w:val="none"/>
        </w:rPr>
      </w:pPr>
      <w:r>
        <w:rPr>
          <w:rFonts w:hint="eastAsia" w:ascii="仿宋" w:hAnsi="仿宋" w:eastAsia="仿宋" w:cs="仿宋"/>
          <w:highlight w:val="none"/>
        </w:rPr>
        <w:t>项目名称:                      磋商文件编号:             包号:</w:t>
      </w:r>
    </w:p>
    <w:p w14:paraId="3B2CD92F">
      <w:pPr>
        <w:pStyle w:val="12"/>
        <w:spacing w:line="360" w:lineRule="exact"/>
        <w:ind w:left="1080" w:leftChars="257" w:hanging="540"/>
        <w:rPr>
          <w:rFonts w:ascii="仿宋" w:hAnsi="仿宋" w:eastAsia="仿宋" w:cs="仿宋"/>
          <w:highlight w:val="none"/>
        </w:rPr>
      </w:pPr>
    </w:p>
    <w:tbl>
      <w:tblPr>
        <w:tblStyle w:val="23"/>
        <w:tblW w:w="8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760"/>
        <w:gridCol w:w="2913"/>
        <w:gridCol w:w="1212"/>
      </w:tblGrid>
      <w:tr w14:paraId="4A4F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5" w:type="dxa"/>
          </w:tcPr>
          <w:p w14:paraId="260DFF63">
            <w:pPr>
              <w:pStyle w:val="12"/>
              <w:spacing w:line="360" w:lineRule="exact"/>
              <w:jc w:val="center"/>
              <w:rPr>
                <w:rFonts w:ascii="仿宋" w:hAnsi="仿宋" w:eastAsia="仿宋" w:cs="仿宋"/>
                <w:highlight w:val="none"/>
              </w:rPr>
            </w:pPr>
            <w:r>
              <w:rPr>
                <w:rFonts w:hint="eastAsia" w:ascii="仿宋" w:hAnsi="仿宋" w:eastAsia="仿宋" w:cs="仿宋"/>
                <w:highlight w:val="none"/>
              </w:rPr>
              <w:t>序号</w:t>
            </w:r>
          </w:p>
        </w:tc>
        <w:tc>
          <w:tcPr>
            <w:tcW w:w="2760" w:type="dxa"/>
          </w:tcPr>
          <w:p w14:paraId="34D1C807">
            <w:pPr>
              <w:pStyle w:val="12"/>
              <w:spacing w:line="360" w:lineRule="exact"/>
              <w:jc w:val="center"/>
              <w:rPr>
                <w:rFonts w:ascii="仿宋" w:hAnsi="仿宋" w:eastAsia="仿宋" w:cs="仿宋"/>
                <w:highlight w:val="none"/>
              </w:rPr>
            </w:pPr>
            <w:r>
              <w:rPr>
                <w:rFonts w:hint="eastAsia" w:ascii="仿宋" w:hAnsi="仿宋" w:eastAsia="仿宋" w:cs="仿宋"/>
                <w:highlight w:val="none"/>
              </w:rPr>
              <w:t>磋商文件的商务条款</w:t>
            </w:r>
          </w:p>
        </w:tc>
        <w:tc>
          <w:tcPr>
            <w:tcW w:w="2913" w:type="dxa"/>
          </w:tcPr>
          <w:p w14:paraId="427EAB03">
            <w:pPr>
              <w:pStyle w:val="12"/>
              <w:spacing w:line="360" w:lineRule="exact"/>
              <w:jc w:val="center"/>
              <w:rPr>
                <w:rFonts w:ascii="仿宋" w:hAnsi="仿宋" w:eastAsia="仿宋" w:cs="仿宋"/>
                <w:highlight w:val="none"/>
              </w:rPr>
            </w:pPr>
            <w:r>
              <w:rPr>
                <w:rFonts w:hint="eastAsia" w:ascii="仿宋" w:hAnsi="仿宋" w:eastAsia="仿宋" w:cs="仿宋"/>
                <w:highlight w:val="none"/>
              </w:rPr>
              <w:t>响应文件的商务条款</w:t>
            </w:r>
          </w:p>
        </w:tc>
        <w:tc>
          <w:tcPr>
            <w:tcW w:w="1212" w:type="dxa"/>
          </w:tcPr>
          <w:p w14:paraId="0801F00A">
            <w:pPr>
              <w:pStyle w:val="12"/>
              <w:spacing w:line="360" w:lineRule="exact"/>
              <w:jc w:val="center"/>
              <w:rPr>
                <w:rFonts w:ascii="仿宋" w:hAnsi="仿宋" w:eastAsia="仿宋" w:cs="仿宋"/>
                <w:highlight w:val="none"/>
              </w:rPr>
            </w:pPr>
            <w:r>
              <w:rPr>
                <w:rFonts w:hint="eastAsia" w:ascii="仿宋" w:hAnsi="仿宋" w:eastAsia="仿宋" w:cs="仿宋"/>
                <w:highlight w:val="none"/>
              </w:rPr>
              <w:t>说明</w:t>
            </w:r>
          </w:p>
        </w:tc>
      </w:tr>
      <w:tr w14:paraId="0B06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5" w:type="dxa"/>
          </w:tcPr>
          <w:p w14:paraId="5659CAB5">
            <w:pPr>
              <w:pStyle w:val="12"/>
              <w:spacing w:line="360" w:lineRule="exact"/>
              <w:ind w:left="1080" w:leftChars="257" w:hanging="540"/>
              <w:rPr>
                <w:rFonts w:ascii="仿宋" w:hAnsi="仿宋" w:eastAsia="仿宋" w:cs="仿宋"/>
                <w:highlight w:val="none"/>
              </w:rPr>
            </w:pPr>
          </w:p>
        </w:tc>
        <w:tc>
          <w:tcPr>
            <w:tcW w:w="2760" w:type="dxa"/>
          </w:tcPr>
          <w:p w14:paraId="0C7FBB00">
            <w:pPr>
              <w:pStyle w:val="12"/>
              <w:spacing w:line="360" w:lineRule="exact"/>
              <w:ind w:left="1080" w:leftChars="257" w:hanging="540"/>
              <w:jc w:val="center"/>
              <w:rPr>
                <w:rFonts w:ascii="仿宋" w:hAnsi="仿宋" w:eastAsia="仿宋" w:cs="仿宋"/>
                <w:highlight w:val="none"/>
              </w:rPr>
            </w:pPr>
          </w:p>
        </w:tc>
        <w:tc>
          <w:tcPr>
            <w:tcW w:w="2913" w:type="dxa"/>
          </w:tcPr>
          <w:p w14:paraId="4C0CAB97">
            <w:pPr>
              <w:pStyle w:val="12"/>
              <w:spacing w:line="360" w:lineRule="exact"/>
              <w:ind w:left="1080" w:leftChars="257" w:hanging="540"/>
              <w:jc w:val="center"/>
              <w:rPr>
                <w:rFonts w:ascii="仿宋" w:hAnsi="仿宋" w:eastAsia="仿宋" w:cs="仿宋"/>
                <w:highlight w:val="none"/>
              </w:rPr>
            </w:pPr>
          </w:p>
        </w:tc>
        <w:tc>
          <w:tcPr>
            <w:tcW w:w="1212" w:type="dxa"/>
          </w:tcPr>
          <w:p w14:paraId="74E4A425">
            <w:pPr>
              <w:pStyle w:val="12"/>
              <w:spacing w:line="360" w:lineRule="exact"/>
              <w:ind w:left="1080" w:leftChars="257" w:hanging="540"/>
              <w:rPr>
                <w:rFonts w:ascii="仿宋" w:hAnsi="仿宋" w:eastAsia="仿宋" w:cs="仿宋"/>
                <w:highlight w:val="none"/>
              </w:rPr>
            </w:pPr>
          </w:p>
        </w:tc>
      </w:tr>
      <w:tr w14:paraId="16A9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5" w:type="dxa"/>
          </w:tcPr>
          <w:p w14:paraId="586F6778">
            <w:pPr>
              <w:pStyle w:val="12"/>
              <w:spacing w:line="360" w:lineRule="exact"/>
              <w:ind w:left="1080" w:leftChars="257" w:hanging="540"/>
              <w:rPr>
                <w:rFonts w:ascii="仿宋" w:hAnsi="仿宋" w:eastAsia="仿宋" w:cs="仿宋"/>
                <w:highlight w:val="none"/>
              </w:rPr>
            </w:pPr>
          </w:p>
        </w:tc>
        <w:tc>
          <w:tcPr>
            <w:tcW w:w="2760" w:type="dxa"/>
          </w:tcPr>
          <w:p w14:paraId="7B6EFD14">
            <w:pPr>
              <w:pStyle w:val="12"/>
              <w:spacing w:line="360" w:lineRule="exact"/>
              <w:ind w:left="1080" w:leftChars="257" w:hanging="540"/>
              <w:rPr>
                <w:rFonts w:ascii="仿宋" w:hAnsi="仿宋" w:eastAsia="仿宋" w:cs="仿宋"/>
                <w:highlight w:val="none"/>
              </w:rPr>
            </w:pPr>
          </w:p>
        </w:tc>
        <w:tc>
          <w:tcPr>
            <w:tcW w:w="2913" w:type="dxa"/>
          </w:tcPr>
          <w:p w14:paraId="0B665D7E">
            <w:pPr>
              <w:pStyle w:val="12"/>
              <w:spacing w:line="360" w:lineRule="exact"/>
              <w:ind w:left="1080" w:leftChars="257" w:hanging="540"/>
              <w:rPr>
                <w:rFonts w:ascii="仿宋" w:hAnsi="仿宋" w:eastAsia="仿宋" w:cs="仿宋"/>
                <w:highlight w:val="none"/>
              </w:rPr>
            </w:pPr>
          </w:p>
        </w:tc>
        <w:tc>
          <w:tcPr>
            <w:tcW w:w="1212" w:type="dxa"/>
          </w:tcPr>
          <w:p w14:paraId="727149C1">
            <w:pPr>
              <w:pStyle w:val="12"/>
              <w:spacing w:line="360" w:lineRule="exact"/>
              <w:ind w:left="1080" w:leftChars="257" w:hanging="540"/>
              <w:rPr>
                <w:rFonts w:ascii="仿宋" w:hAnsi="仿宋" w:eastAsia="仿宋" w:cs="仿宋"/>
                <w:highlight w:val="none"/>
              </w:rPr>
            </w:pPr>
          </w:p>
        </w:tc>
      </w:tr>
      <w:tr w14:paraId="18AD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5" w:type="dxa"/>
          </w:tcPr>
          <w:p w14:paraId="471413CE">
            <w:pPr>
              <w:pStyle w:val="12"/>
              <w:spacing w:line="360" w:lineRule="exact"/>
              <w:ind w:left="1080" w:leftChars="257" w:hanging="540"/>
              <w:rPr>
                <w:rFonts w:ascii="仿宋" w:hAnsi="仿宋" w:eastAsia="仿宋" w:cs="仿宋"/>
                <w:highlight w:val="none"/>
              </w:rPr>
            </w:pPr>
          </w:p>
        </w:tc>
        <w:tc>
          <w:tcPr>
            <w:tcW w:w="2760" w:type="dxa"/>
          </w:tcPr>
          <w:p w14:paraId="19013342">
            <w:pPr>
              <w:pStyle w:val="12"/>
              <w:spacing w:line="360" w:lineRule="exact"/>
              <w:ind w:left="1080" w:leftChars="257" w:hanging="540"/>
              <w:rPr>
                <w:rFonts w:ascii="仿宋" w:hAnsi="仿宋" w:eastAsia="仿宋" w:cs="仿宋"/>
                <w:highlight w:val="none"/>
              </w:rPr>
            </w:pPr>
          </w:p>
        </w:tc>
        <w:tc>
          <w:tcPr>
            <w:tcW w:w="2913" w:type="dxa"/>
          </w:tcPr>
          <w:p w14:paraId="4BA59F9A">
            <w:pPr>
              <w:pStyle w:val="12"/>
              <w:spacing w:line="360" w:lineRule="exact"/>
              <w:ind w:left="1080" w:leftChars="257" w:hanging="540"/>
              <w:rPr>
                <w:rFonts w:ascii="仿宋" w:hAnsi="仿宋" w:eastAsia="仿宋" w:cs="仿宋"/>
                <w:highlight w:val="none"/>
              </w:rPr>
            </w:pPr>
          </w:p>
        </w:tc>
        <w:tc>
          <w:tcPr>
            <w:tcW w:w="1212" w:type="dxa"/>
          </w:tcPr>
          <w:p w14:paraId="3790844E">
            <w:pPr>
              <w:pStyle w:val="12"/>
              <w:spacing w:line="360" w:lineRule="exact"/>
              <w:ind w:left="1080" w:leftChars="257" w:hanging="540"/>
              <w:rPr>
                <w:rFonts w:ascii="仿宋" w:hAnsi="仿宋" w:eastAsia="仿宋" w:cs="仿宋"/>
                <w:highlight w:val="none"/>
              </w:rPr>
            </w:pPr>
          </w:p>
        </w:tc>
      </w:tr>
      <w:tr w14:paraId="3F7F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5" w:type="dxa"/>
          </w:tcPr>
          <w:p w14:paraId="1AA75E78">
            <w:pPr>
              <w:pStyle w:val="12"/>
              <w:spacing w:line="360" w:lineRule="exact"/>
              <w:ind w:left="1080" w:leftChars="257" w:hanging="540"/>
              <w:rPr>
                <w:rFonts w:ascii="仿宋" w:hAnsi="仿宋" w:eastAsia="仿宋" w:cs="仿宋"/>
                <w:highlight w:val="none"/>
              </w:rPr>
            </w:pPr>
          </w:p>
        </w:tc>
        <w:tc>
          <w:tcPr>
            <w:tcW w:w="2760" w:type="dxa"/>
          </w:tcPr>
          <w:p w14:paraId="5A44B487">
            <w:pPr>
              <w:pStyle w:val="12"/>
              <w:spacing w:line="360" w:lineRule="exact"/>
              <w:ind w:left="1080" w:leftChars="257" w:hanging="540"/>
              <w:rPr>
                <w:rFonts w:ascii="仿宋" w:hAnsi="仿宋" w:eastAsia="仿宋" w:cs="仿宋"/>
                <w:highlight w:val="none"/>
              </w:rPr>
            </w:pPr>
          </w:p>
        </w:tc>
        <w:tc>
          <w:tcPr>
            <w:tcW w:w="2913" w:type="dxa"/>
          </w:tcPr>
          <w:p w14:paraId="73BADFC9">
            <w:pPr>
              <w:pStyle w:val="12"/>
              <w:spacing w:line="360" w:lineRule="exact"/>
              <w:ind w:left="1080" w:leftChars="257" w:hanging="540"/>
              <w:rPr>
                <w:rFonts w:ascii="仿宋" w:hAnsi="仿宋" w:eastAsia="仿宋" w:cs="仿宋"/>
                <w:highlight w:val="none"/>
              </w:rPr>
            </w:pPr>
          </w:p>
        </w:tc>
        <w:tc>
          <w:tcPr>
            <w:tcW w:w="1212" w:type="dxa"/>
          </w:tcPr>
          <w:p w14:paraId="4C4D5D1C">
            <w:pPr>
              <w:pStyle w:val="12"/>
              <w:spacing w:line="360" w:lineRule="exact"/>
              <w:ind w:left="1080" w:leftChars="257" w:hanging="540"/>
              <w:rPr>
                <w:rFonts w:ascii="仿宋" w:hAnsi="仿宋" w:eastAsia="仿宋" w:cs="仿宋"/>
                <w:highlight w:val="none"/>
              </w:rPr>
            </w:pPr>
          </w:p>
        </w:tc>
      </w:tr>
      <w:tr w14:paraId="54BF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5" w:type="dxa"/>
          </w:tcPr>
          <w:p w14:paraId="755D8837">
            <w:pPr>
              <w:pStyle w:val="12"/>
              <w:spacing w:line="360" w:lineRule="exact"/>
              <w:ind w:left="1080" w:leftChars="257" w:hanging="540"/>
              <w:rPr>
                <w:rFonts w:ascii="仿宋" w:hAnsi="仿宋" w:eastAsia="仿宋" w:cs="仿宋"/>
                <w:highlight w:val="none"/>
              </w:rPr>
            </w:pPr>
          </w:p>
        </w:tc>
        <w:tc>
          <w:tcPr>
            <w:tcW w:w="2760" w:type="dxa"/>
          </w:tcPr>
          <w:p w14:paraId="68373B46">
            <w:pPr>
              <w:pStyle w:val="12"/>
              <w:spacing w:line="360" w:lineRule="exact"/>
              <w:ind w:left="1080" w:leftChars="257" w:hanging="540"/>
              <w:rPr>
                <w:rFonts w:ascii="仿宋" w:hAnsi="仿宋" w:eastAsia="仿宋" w:cs="仿宋"/>
                <w:highlight w:val="none"/>
              </w:rPr>
            </w:pPr>
          </w:p>
        </w:tc>
        <w:tc>
          <w:tcPr>
            <w:tcW w:w="2913" w:type="dxa"/>
          </w:tcPr>
          <w:p w14:paraId="2151AE70">
            <w:pPr>
              <w:pStyle w:val="12"/>
              <w:spacing w:line="360" w:lineRule="exact"/>
              <w:ind w:left="1080" w:leftChars="257" w:hanging="540"/>
              <w:rPr>
                <w:rFonts w:ascii="仿宋" w:hAnsi="仿宋" w:eastAsia="仿宋" w:cs="仿宋"/>
                <w:highlight w:val="none"/>
              </w:rPr>
            </w:pPr>
          </w:p>
        </w:tc>
        <w:tc>
          <w:tcPr>
            <w:tcW w:w="1212" w:type="dxa"/>
          </w:tcPr>
          <w:p w14:paraId="72B06522">
            <w:pPr>
              <w:pStyle w:val="12"/>
              <w:spacing w:line="360" w:lineRule="exact"/>
              <w:ind w:left="1080" w:leftChars="257" w:hanging="540"/>
              <w:rPr>
                <w:rFonts w:ascii="仿宋" w:hAnsi="仿宋" w:eastAsia="仿宋" w:cs="仿宋"/>
                <w:highlight w:val="none"/>
              </w:rPr>
            </w:pPr>
          </w:p>
        </w:tc>
      </w:tr>
      <w:tr w14:paraId="19F3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5" w:type="dxa"/>
          </w:tcPr>
          <w:p w14:paraId="5765F8DB">
            <w:pPr>
              <w:pStyle w:val="12"/>
              <w:spacing w:line="360" w:lineRule="exact"/>
              <w:ind w:left="1080" w:leftChars="257" w:hanging="540"/>
              <w:rPr>
                <w:rFonts w:ascii="仿宋" w:hAnsi="仿宋" w:eastAsia="仿宋" w:cs="仿宋"/>
                <w:highlight w:val="none"/>
              </w:rPr>
            </w:pPr>
          </w:p>
        </w:tc>
        <w:tc>
          <w:tcPr>
            <w:tcW w:w="2760" w:type="dxa"/>
          </w:tcPr>
          <w:p w14:paraId="4C739C56">
            <w:pPr>
              <w:pStyle w:val="12"/>
              <w:spacing w:line="360" w:lineRule="exact"/>
              <w:ind w:left="1080" w:leftChars="257" w:hanging="540"/>
              <w:rPr>
                <w:rFonts w:ascii="仿宋" w:hAnsi="仿宋" w:eastAsia="仿宋" w:cs="仿宋"/>
                <w:highlight w:val="none"/>
              </w:rPr>
            </w:pPr>
          </w:p>
        </w:tc>
        <w:tc>
          <w:tcPr>
            <w:tcW w:w="2913" w:type="dxa"/>
          </w:tcPr>
          <w:p w14:paraId="329A1CD9">
            <w:pPr>
              <w:pStyle w:val="12"/>
              <w:spacing w:line="360" w:lineRule="exact"/>
              <w:ind w:left="1080" w:leftChars="257" w:hanging="540"/>
              <w:rPr>
                <w:rFonts w:ascii="仿宋" w:hAnsi="仿宋" w:eastAsia="仿宋" w:cs="仿宋"/>
                <w:highlight w:val="none"/>
              </w:rPr>
            </w:pPr>
          </w:p>
        </w:tc>
        <w:tc>
          <w:tcPr>
            <w:tcW w:w="1212" w:type="dxa"/>
          </w:tcPr>
          <w:p w14:paraId="0D21D8B5">
            <w:pPr>
              <w:pStyle w:val="12"/>
              <w:spacing w:line="360" w:lineRule="exact"/>
              <w:ind w:left="1080" w:leftChars="257" w:hanging="540"/>
              <w:rPr>
                <w:rFonts w:ascii="仿宋" w:hAnsi="仿宋" w:eastAsia="仿宋" w:cs="仿宋"/>
                <w:highlight w:val="none"/>
              </w:rPr>
            </w:pPr>
          </w:p>
        </w:tc>
      </w:tr>
      <w:tr w14:paraId="35FC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5" w:type="dxa"/>
          </w:tcPr>
          <w:p w14:paraId="4203D8A2">
            <w:pPr>
              <w:pStyle w:val="12"/>
              <w:spacing w:line="360" w:lineRule="exact"/>
              <w:ind w:left="1080" w:leftChars="257" w:hanging="540"/>
              <w:rPr>
                <w:rFonts w:ascii="仿宋" w:hAnsi="仿宋" w:eastAsia="仿宋" w:cs="仿宋"/>
                <w:highlight w:val="none"/>
              </w:rPr>
            </w:pPr>
          </w:p>
        </w:tc>
        <w:tc>
          <w:tcPr>
            <w:tcW w:w="2760" w:type="dxa"/>
          </w:tcPr>
          <w:p w14:paraId="7F898986">
            <w:pPr>
              <w:pStyle w:val="12"/>
              <w:spacing w:line="360" w:lineRule="exact"/>
              <w:ind w:left="1080" w:leftChars="257" w:hanging="540"/>
              <w:rPr>
                <w:rFonts w:ascii="仿宋" w:hAnsi="仿宋" w:eastAsia="仿宋" w:cs="仿宋"/>
                <w:highlight w:val="none"/>
              </w:rPr>
            </w:pPr>
          </w:p>
        </w:tc>
        <w:tc>
          <w:tcPr>
            <w:tcW w:w="2913" w:type="dxa"/>
          </w:tcPr>
          <w:p w14:paraId="20B33B45">
            <w:pPr>
              <w:pStyle w:val="12"/>
              <w:spacing w:line="360" w:lineRule="exact"/>
              <w:ind w:left="1080" w:leftChars="257" w:hanging="540"/>
              <w:rPr>
                <w:rFonts w:ascii="仿宋" w:hAnsi="仿宋" w:eastAsia="仿宋" w:cs="仿宋"/>
                <w:highlight w:val="none"/>
              </w:rPr>
            </w:pPr>
          </w:p>
        </w:tc>
        <w:tc>
          <w:tcPr>
            <w:tcW w:w="1212" w:type="dxa"/>
          </w:tcPr>
          <w:p w14:paraId="45E72CA7">
            <w:pPr>
              <w:pStyle w:val="12"/>
              <w:spacing w:line="360" w:lineRule="exact"/>
              <w:ind w:left="1080" w:leftChars="257" w:hanging="540"/>
              <w:rPr>
                <w:rFonts w:ascii="仿宋" w:hAnsi="仿宋" w:eastAsia="仿宋" w:cs="仿宋"/>
                <w:highlight w:val="none"/>
              </w:rPr>
            </w:pPr>
          </w:p>
        </w:tc>
      </w:tr>
      <w:tr w14:paraId="4B1D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5" w:type="dxa"/>
          </w:tcPr>
          <w:p w14:paraId="198AA858">
            <w:pPr>
              <w:pStyle w:val="12"/>
              <w:spacing w:line="360" w:lineRule="exact"/>
              <w:ind w:left="1080" w:leftChars="257" w:hanging="540"/>
              <w:rPr>
                <w:rFonts w:ascii="仿宋" w:hAnsi="仿宋" w:eastAsia="仿宋" w:cs="仿宋"/>
                <w:highlight w:val="none"/>
              </w:rPr>
            </w:pPr>
          </w:p>
        </w:tc>
        <w:tc>
          <w:tcPr>
            <w:tcW w:w="2760" w:type="dxa"/>
          </w:tcPr>
          <w:p w14:paraId="034E1FF0">
            <w:pPr>
              <w:pStyle w:val="12"/>
              <w:spacing w:line="360" w:lineRule="exact"/>
              <w:ind w:left="1080" w:leftChars="257" w:hanging="540"/>
              <w:rPr>
                <w:rFonts w:ascii="仿宋" w:hAnsi="仿宋" w:eastAsia="仿宋" w:cs="仿宋"/>
                <w:highlight w:val="none"/>
              </w:rPr>
            </w:pPr>
          </w:p>
        </w:tc>
        <w:tc>
          <w:tcPr>
            <w:tcW w:w="2913" w:type="dxa"/>
          </w:tcPr>
          <w:p w14:paraId="3632F245">
            <w:pPr>
              <w:pStyle w:val="12"/>
              <w:spacing w:line="360" w:lineRule="exact"/>
              <w:ind w:left="1080" w:leftChars="257" w:hanging="540"/>
              <w:rPr>
                <w:rFonts w:ascii="仿宋" w:hAnsi="仿宋" w:eastAsia="仿宋" w:cs="仿宋"/>
                <w:highlight w:val="none"/>
              </w:rPr>
            </w:pPr>
          </w:p>
        </w:tc>
        <w:tc>
          <w:tcPr>
            <w:tcW w:w="1212" w:type="dxa"/>
          </w:tcPr>
          <w:p w14:paraId="514E89C1">
            <w:pPr>
              <w:pStyle w:val="12"/>
              <w:spacing w:line="360" w:lineRule="exact"/>
              <w:ind w:left="1080" w:leftChars="257" w:hanging="540"/>
              <w:rPr>
                <w:rFonts w:ascii="仿宋" w:hAnsi="仿宋" w:eastAsia="仿宋" w:cs="仿宋"/>
                <w:highlight w:val="none"/>
              </w:rPr>
            </w:pPr>
          </w:p>
        </w:tc>
      </w:tr>
      <w:tr w14:paraId="1F11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5" w:type="dxa"/>
          </w:tcPr>
          <w:p w14:paraId="5103F48B">
            <w:pPr>
              <w:pStyle w:val="12"/>
              <w:spacing w:line="360" w:lineRule="exact"/>
              <w:ind w:left="1080" w:leftChars="257" w:hanging="540"/>
              <w:rPr>
                <w:rFonts w:ascii="仿宋" w:hAnsi="仿宋" w:eastAsia="仿宋" w:cs="仿宋"/>
                <w:highlight w:val="none"/>
              </w:rPr>
            </w:pPr>
          </w:p>
        </w:tc>
        <w:tc>
          <w:tcPr>
            <w:tcW w:w="2760" w:type="dxa"/>
          </w:tcPr>
          <w:p w14:paraId="1CBE9429">
            <w:pPr>
              <w:pStyle w:val="12"/>
              <w:spacing w:line="360" w:lineRule="exact"/>
              <w:ind w:left="1080" w:leftChars="257" w:hanging="540"/>
              <w:rPr>
                <w:rFonts w:ascii="仿宋" w:hAnsi="仿宋" w:eastAsia="仿宋" w:cs="仿宋"/>
                <w:highlight w:val="none"/>
              </w:rPr>
            </w:pPr>
          </w:p>
        </w:tc>
        <w:tc>
          <w:tcPr>
            <w:tcW w:w="2913" w:type="dxa"/>
          </w:tcPr>
          <w:p w14:paraId="0670F9D6">
            <w:pPr>
              <w:pStyle w:val="12"/>
              <w:spacing w:line="360" w:lineRule="exact"/>
              <w:ind w:left="1080" w:leftChars="257" w:hanging="540"/>
              <w:rPr>
                <w:rFonts w:ascii="仿宋" w:hAnsi="仿宋" w:eastAsia="仿宋" w:cs="仿宋"/>
                <w:highlight w:val="none"/>
              </w:rPr>
            </w:pPr>
          </w:p>
        </w:tc>
        <w:tc>
          <w:tcPr>
            <w:tcW w:w="1212" w:type="dxa"/>
          </w:tcPr>
          <w:p w14:paraId="400F2B68">
            <w:pPr>
              <w:pStyle w:val="12"/>
              <w:spacing w:line="360" w:lineRule="exact"/>
              <w:ind w:left="1080" w:leftChars="257" w:hanging="540"/>
              <w:rPr>
                <w:rFonts w:ascii="仿宋" w:hAnsi="仿宋" w:eastAsia="仿宋" w:cs="仿宋"/>
                <w:highlight w:val="none"/>
              </w:rPr>
            </w:pPr>
          </w:p>
        </w:tc>
      </w:tr>
      <w:tr w14:paraId="6CCD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5" w:type="dxa"/>
          </w:tcPr>
          <w:p w14:paraId="36B1646E">
            <w:pPr>
              <w:pStyle w:val="12"/>
              <w:spacing w:line="360" w:lineRule="exact"/>
              <w:ind w:left="1080" w:leftChars="257" w:hanging="540"/>
              <w:rPr>
                <w:rFonts w:ascii="仿宋" w:hAnsi="仿宋" w:eastAsia="仿宋" w:cs="仿宋"/>
                <w:highlight w:val="none"/>
              </w:rPr>
            </w:pPr>
          </w:p>
        </w:tc>
        <w:tc>
          <w:tcPr>
            <w:tcW w:w="2760" w:type="dxa"/>
          </w:tcPr>
          <w:p w14:paraId="3FBADCDA">
            <w:pPr>
              <w:pStyle w:val="12"/>
              <w:spacing w:line="360" w:lineRule="exact"/>
              <w:ind w:left="1080" w:leftChars="257" w:hanging="540"/>
              <w:rPr>
                <w:rFonts w:ascii="仿宋" w:hAnsi="仿宋" w:eastAsia="仿宋" w:cs="仿宋"/>
                <w:highlight w:val="none"/>
              </w:rPr>
            </w:pPr>
          </w:p>
        </w:tc>
        <w:tc>
          <w:tcPr>
            <w:tcW w:w="2913" w:type="dxa"/>
          </w:tcPr>
          <w:p w14:paraId="2B2621DC">
            <w:pPr>
              <w:pStyle w:val="12"/>
              <w:spacing w:line="360" w:lineRule="exact"/>
              <w:ind w:left="1080" w:leftChars="257" w:hanging="540"/>
              <w:rPr>
                <w:rFonts w:ascii="仿宋" w:hAnsi="仿宋" w:eastAsia="仿宋" w:cs="仿宋"/>
                <w:highlight w:val="none"/>
              </w:rPr>
            </w:pPr>
          </w:p>
        </w:tc>
        <w:tc>
          <w:tcPr>
            <w:tcW w:w="1212" w:type="dxa"/>
          </w:tcPr>
          <w:p w14:paraId="31F0D3AF">
            <w:pPr>
              <w:pStyle w:val="12"/>
              <w:spacing w:line="360" w:lineRule="exact"/>
              <w:ind w:left="1080" w:leftChars="257" w:hanging="540"/>
              <w:rPr>
                <w:rFonts w:ascii="仿宋" w:hAnsi="仿宋" w:eastAsia="仿宋" w:cs="仿宋"/>
                <w:highlight w:val="none"/>
              </w:rPr>
            </w:pPr>
          </w:p>
        </w:tc>
      </w:tr>
      <w:tr w14:paraId="11EA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5" w:type="dxa"/>
          </w:tcPr>
          <w:p w14:paraId="3A9BA608">
            <w:pPr>
              <w:pStyle w:val="12"/>
              <w:spacing w:line="360" w:lineRule="exact"/>
              <w:ind w:left="1080" w:leftChars="257" w:hanging="540"/>
              <w:rPr>
                <w:rFonts w:ascii="仿宋" w:hAnsi="仿宋" w:eastAsia="仿宋" w:cs="仿宋"/>
                <w:highlight w:val="none"/>
              </w:rPr>
            </w:pPr>
          </w:p>
        </w:tc>
        <w:tc>
          <w:tcPr>
            <w:tcW w:w="2760" w:type="dxa"/>
          </w:tcPr>
          <w:p w14:paraId="32C9C4FF">
            <w:pPr>
              <w:pStyle w:val="12"/>
              <w:spacing w:line="360" w:lineRule="exact"/>
              <w:ind w:left="1080" w:leftChars="257" w:hanging="540"/>
              <w:rPr>
                <w:rFonts w:ascii="仿宋" w:hAnsi="仿宋" w:eastAsia="仿宋" w:cs="仿宋"/>
                <w:highlight w:val="none"/>
              </w:rPr>
            </w:pPr>
          </w:p>
        </w:tc>
        <w:tc>
          <w:tcPr>
            <w:tcW w:w="2913" w:type="dxa"/>
          </w:tcPr>
          <w:p w14:paraId="0B2DBA38">
            <w:pPr>
              <w:pStyle w:val="12"/>
              <w:spacing w:line="360" w:lineRule="exact"/>
              <w:ind w:left="1080" w:leftChars="257" w:hanging="540"/>
              <w:rPr>
                <w:rFonts w:ascii="仿宋" w:hAnsi="仿宋" w:eastAsia="仿宋" w:cs="仿宋"/>
                <w:highlight w:val="none"/>
              </w:rPr>
            </w:pPr>
          </w:p>
        </w:tc>
        <w:tc>
          <w:tcPr>
            <w:tcW w:w="1212" w:type="dxa"/>
          </w:tcPr>
          <w:p w14:paraId="0A5A79C1">
            <w:pPr>
              <w:pStyle w:val="12"/>
              <w:spacing w:line="360" w:lineRule="exact"/>
              <w:ind w:left="1080" w:leftChars="257" w:hanging="540"/>
              <w:rPr>
                <w:rFonts w:ascii="仿宋" w:hAnsi="仿宋" w:eastAsia="仿宋" w:cs="仿宋"/>
                <w:highlight w:val="none"/>
              </w:rPr>
            </w:pPr>
          </w:p>
        </w:tc>
      </w:tr>
      <w:tr w14:paraId="1667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5" w:type="dxa"/>
          </w:tcPr>
          <w:p w14:paraId="5EAF5702">
            <w:pPr>
              <w:pStyle w:val="12"/>
              <w:spacing w:line="360" w:lineRule="exact"/>
              <w:ind w:left="1080" w:leftChars="257" w:hanging="540"/>
              <w:rPr>
                <w:rFonts w:ascii="仿宋" w:hAnsi="仿宋" w:eastAsia="仿宋" w:cs="仿宋"/>
                <w:highlight w:val="none"/>
              </w:rPr>
            </w:pPr>
          </w:p>
        </w:tc>
        <w:tc>
          <w:tcPr>
            <w:tcW w:w="2760" w:type="dxa"/>
          </w:tcPr>
          <w:p w14:paraId="21A9BA03">
            <w:pPr>
              <w:pStyle w:val="12"/>
              <w:spacing w:line="360" w:lineRule="exact"/>
              <w:ind w:left="1080" w:leftChars="257" w:hanging="540"/>
              <w:rPr>
                <w:rFonts w:ascii="仿宋" w:hAnsi="仿宋" w:eastAsia="仿宋" w:cs="仿宋"/>
                <w:highlight w:val="none"/>
              </w:rPr>
            </w:pPr>
          </w:p>
        </w:tc>
        <w:tc>
          <w:tcPr>
            <w:tcW w:w="2913" w:type="dxa"/>
          </w:tcPr>
          <w:p w14:paraId="0F957E13">
            <w:pPr>
              <w:pStyle w:val="12"/>
              <w:spacing w:line="360" w:lineRule="exact"/>
              <w:ind w:left="1080" w:leftChars="257" w:hanging="540"/>
              <w:rPr>
                <w:rFonts w:ascii="仿宋" w:hAnsi="仿宋" w:eastAsia="仿宋" w:cs="仿宋"/>
                <w:highlight w:val="none"/>
              </w:rPr>
            </w:pPr>
          </w:p>
        </w:tc>
        <w:tc>
          <w:tcPr>
            <w:tcW w:w="1212" w:type="dxa"/>
          </w:tcPr>
          <w:p w14:paraId="2B907FFE">
            <w:pPr>
              <w:pStyle w:val="12"/>
              <w:spacing w:line="360" w:lineRule="exact"/>
              <w:ind w:left="1080" w:leftChars="257" w:hanging="540"/>
              <w:rPr>
                <w:rFonts w:ascii="仿宋" w:hAnsi="仿宋" w:eastAsia="仿宋" w:cs="仿宋"/>
                <w:highlight w:val="none"/>
              </w:rPr>
            </w:pPr>
          </w:p>
        </w:tc>
      </w:tr>
      <w:tr w14:paraId="0768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5" w:type="dxa"/>
          </w:tcPr>
          <w:p w14:paraId="74B48A5E">
            <w:pPr>
              <w:pStyle w:val="12"/>
              <w:spacing w:line="360" w:lineRule="exact"/>
              <w:ind w:left="1080" w:leftChars="257" w:hanging="540"/>
              <w:rPr>
                <w:rFonts w:ascii="仿宋" w:hAnsi="仿宋" w:eastAsia="仿宋" w:cs="仿宋"/>
                <w:highlight w:val="none"/>
              </w:rPr>
            </w:pPr>
          </w:p>
        </w:tc>
        <w:tc>
          <w:tcPr>
            <w:tcW w:w="2760" w:type="dxa"/>
          </w:tcPr>
          <w:p w14:paraId="2B358804">
            <w:pPr>
              <w:pStyle w:val="12"/>
              <w:spacing w:line="360" w:lineRule="exact"/>
              <w:ind w:left="1080" w:leftChars="257" w:hanging="540"/>
              <w:rPr>
                <w:rFonts w:ascii="仿宋" w:hAnsi="仿宋" w:eastAsia="仿宋" w:cs="仿宋"/>
                <w:highlight w:val="none"/>
              </w:rPr>
            </w:pPr>
          </w:p>
        </w:tc>
        <w:tc>
          <w:tcPr>
            <w:tcW w:w="2913" w:type="dxa"/>
          </w:tcPr>
          <w:p w14:paraId="7CC0A2C6">
            <w:pPr>
              <w:pStyle w:val="12"/>
              <w:spacing w:line="360" w:lineRule="exact"/>
              <w:ind w:left="1080" w:leftChars="257" w:hanging="540"/>
              <w:rPr>
                <w:rFonts w:ascii="仿宋" w:hAnsi="仿宋" w:eastAsia="仿宋" w:cs="仿宋"/>
                <w:highlight w:val="none"/>
              </w:rPr>
            </w:pPr>
          </w:p>
        </w:tc>
        <w:tc>
          <w:tcPr>
            <w:tcW w:w="1212" w:type="dxa"/>
          </w:tcPr>
          <w:p w14:paraId="0929E0C3">
            <w:pPr>
              <w:pStyle w:val="12"/>
              <w:spacing w:line="360" w:lineRule="exact"/>
              <w:ind w:left="1080" w:leftChars="257" w:hanging="540"/>
              <w:rPr>
                <w:rFonts w:ascii="仿宋" w:hAnsi="仿宋" w:eastAsia="仿宋" w:cs="仿宋"/>
                <w:highlight w:val="none"/>
              </w:rPr>
            </w:pPr>
          </w:p>
        </w:tc>
      </w:tr>
      <w:tr w14:paraId="23FB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5" w:type="dxa"/>
          </w:tcPr>
          <w:p w14:paraId="43067094">
            <w:pPr>
              <w:pStyle w:val="12"/>
              <w:spacing w:line="360" w:lineRule="exact"/>
              <w:ind w:left="1080" w:leftChars="257" w:hanging="540"/>
              <w:rPr>
                <w:rFonts w:ascii="仿宋" w:hAnsi="仿宋" w:eastAsia="仿宋" w:cs="仿宋"/>
                <w:highlight w:val="none"/>
              </w:rPr>
            </w:pPr>
          </w:p>
        </w:tc>
        <w:tc>
          <w:tcPr>
            <w:tcW w:w="2760" w:type="dxa"/>
          </w:tcPr>
          <w:p w14:paraId="1FABF82C">
            <w:pPr>
              <w:pStyle w:val="12"/>
              <w:spacing w:line="360" w:lineRule="exact"/>
              <w:ind w:left="1080" w:leftChars="257" w:hanging="540"/>
              <w:rPr>
                <w:rFonts w:ascii="仿宋" w:hAnsi="仿宋" w:eastAsia="仿宋" w:cs="仿宋"/>
                <w:highlight w:val="none"/>
              </w:rPr>
            </w:pPr>
          </w:p>
        </w:tc>
        <w:tc>
          <w:tcPr>
            <w:tcW w:w="2913" w:type="dxa"/>
          </w:tcPr>
          <w:p w14:paraId="2B53692A">
            <w:pPr>
              <w:pStyle w:val="12"/>
              <w:spacing w:line="360" w:lineRule="exact"/>
              <w:ind w:left="1080" w:leftChars="257" w:hanging="540"/>
              <w:rPr>
                <w:rFonts w:ascii="仿宋" w:hAnsi="仿宋" w:eastAsia="仿宋" w:cs="仿宋"/>
                <w:highlight w:val="none"/>
              </w:rPr>
            </w:pPr>
          </w:p>
        </w:tc>
        <w:tc>
          <w:tcPr>
            <w:tcW w:w="1212" w:type="dxa"/>
          </w:tcPr>
          <w:p w14:paraId="0602B624">
            <w:pPr>
              <w:pStyle w:val="12"/>
              <w:spacing w:line="360" w:lineRule="exact"/>
              <w:ind w:left="1080" w:leftChars="257" w:hanging="540"/>
              <w:rPr>
                <w:rFonts w:ascii="仿宋" w:hAnsi="仿宋" w:eastAsia="仿宋" w:cs="仿宋"/>
                <w:highlight w:val="none"/>
              </w:rPr>
            </w:pPr>
          </w:p>
        </w:tc>
      </w:tr>
      <w:tr w14:paraId="008C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5" w:type="dxa"/>
          </w:tcPr>
          <w:p w14:paraId="7E1C332F">
            <w:pPr>
              <w:pStyle w:val="12"/>
              <w:spacing w:line="360" w:lineRule="exact"/>
              <w:ind w:left="1080" w:leftChars="257" w:hanging="540"/>
              <w:rPr>
                <w:rFonts w:ascii="仿宋" w:hAnsi="仿宋" w:eastAsia="仿宋" w:cs="仿宋"/>
                <w:highlight w:val="none"/>
              </w:rPr>
            </w:pPr>
          </w:p>
        </w:tc>
        <w:tc>
          <w:tcPr>
            <w:tcW w:w="2760" w:type="dxa"/>
          </w:tcPr>
          <w:p w14:paraId="5B3141F2">
            <w:pPr>
              <w:pStyle w:val="12"/>
              <w:spacing w:line="360" w:lineRule="exact"/>
              <w:ind w:left="1080" w:leftChars="257" w:hanging="540"/>
              <w:rPr>
                <w:rFonts w:ascii="仿宋" w:hAnsi="仿宋" w:eastAsia="仿宋" w:cs="仿宋"/>
                <w:highlight w:val="none"/>
              </w:rPr>
            </w:pPr>
          </w:p>
        </w:tc>
        <w:tc>
          <w:tcPr>
            <w:tcW w:w="2913" w:type="dxa"/>
          </w:tcPr>
          <w:p w14:paraId="34B3CAE7">
            <w:pPr>
              <w:pStyle w:val="12"/>
              <w:spacing w:line="360" w:lineRule="exact"/>
              <w:ind w:left="1080" w:leftChars="257" w:hanging="540"/>
              <w:rPr>
                <w:rFonts w:ascii="仿宋" w:hAnsi="仿宋" w:eastAsia="仿宋" w:cs="仿宋"/>
                <w:highlight w:val="none"/>
              </w:rPr>
            </w:pPr>
          </w:p>
        </w:tc>
        <w:tc>
          <w:tcPr>
            <w:tcW w:w="1212" w:type="dxa"/>
          </w:tcPr>
          <w:p w14:paraId="4798FB87">
            <w:pPr>
              <w:pStyle w:val="12"/>
              <w:spacing w:line="360" w:lineRule="exact"/>
              <w:ind w:left="1080" w:leftChars="257" w:hanging="540"/>
              <w:rPr>
                <w:rFonts w:ascii="仿宋" w:hAnsi="仿宋" w:eastAsia="仿宋" w:cs="仿宋"/>
                <w:highlight w:val="none"/>
              </w:rPr>
            </w:pPr>
          </w:p>
        </w:tc>
      </w:tr>
      <w:tr w14:paraId="6605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5" w:type="dxa"/>
          </w:tcPr>
          <w:p w14:paraId="6B1E4503">
            <w:pPr>
              <w:pStyle w:val="12"/>
              <w:spacing w:line="360" w:lineRule="exact"/>
              <w:ind w:left="1080" w:leftChars="257" w:hanging="540"/>
              <w:rPr>
                <w:rFonts w:ascii="仿宋" w:hAnsi="仿宋" w:eastAsia="仿宋" w:cs="仿宋"/>
                <w:highlight w:val="none"/>
              </w:rPr>
            </w:pPr>
          </w:p>
        </w:tc>
        <w:tc>
          <w:tcPr>
            <w:tcW w:w="2760" w:type="dxa"/>
          </w:tcPr>
          <w:p w14:paraId="10AA7519">
            <w:pPr>
              <w:pStyle w:val="12"/>
              <w:spacing w:line="360" w:lineRule="exact"/>
              <w:ind w:left="1080" w:leftChars="257" w:hanging="540"/>
              <w:rPr>
                <w:rFonts w:ascii="仿宋" w:hAnsi="仿宋" w:eastAsia="仿宋" w:cs="仿宋"/>
                <w:highlight w:val="none"/>
              </w:rPr>
            </w:pPr>
          </w:p>
        </w:tc>
        <w:tc>
          <w:tcPr>
            <w:tcW w:w="2913" w:type="dxa"/>
          </w:tcPr>
          <w:p w14:paraId="35E69ED6">
            <w:pPr>
              <w:pStyle w:val="12"/>
              <w:spacing w:line="360" w:lineRule="exact"/>
              <w:ind w:left="1080" w:leftChars="257" w:hanging="540"/>
              <w:rPr>
                <w:rFonts w:ascii="仿宋" w:hAnsi="仿宋" w:eastAsia="仿宋" w:cs="仿宋"/>
                <w:highlight w:val="none"/>
              </w:rPr>
            </w:pPr>
          </w:p>
        </w:tc>
        <w:tc>
          <w:tcPr>
            <w:tcW w:w="1212" w:type="dxa"/>
          </w:tcPr>
          <w:p w14:paraId="718CAB0F">
            <w:pPr>
              <w:pStyle w:val="12"/>
              <w:spacing w:line="360" w:lineRule="exact"/>
              <w:ind w:left="1080" w:leftChars="257" w:hanging="540"/>
              <w:rPr>
                <w:rFonts w:ascii="仿宋" w:hAnsi="仿宋" w:eastAsia="仿宋" w:cs="仿宋"/>
                <w:highlight w:val="none"/>
              </w:rPr>
            </w:pPr>
          </w:p>
        </w:tc>
      </w:tr>
      <w:tr w14:paraId="7D47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5" w:type="dxa"/>
          </w:tcPr>
          <w:p w14:paraId="56571A03">
            <w:pPr>
              <w:pStyle w:val="12"/>
              <w:spacing w:line="360" w:lineRule="exact"/>
              <w:ind w:left="1080" w:leftChars="257" w:hanging="540"/>
              <w:rPr>
                <w:rFonts w:ascii="仿宋" w:hAnsi="仿宋" w:eastAsia="仿宋" w:cs="仿宋"/>
                <w:highlight w:val="none"/>
              </w:rPr>
            </w:pPr>
          </w:p>
        </w:tc>
        <w:tc>
          <w:tcPr>
            <w:tcW w:w="2760" w:type="dxa"/>
          </w:tcPr>
          <w:p w14:paraId="08621B27">
            <w:pPr>
              <w:pStyle w:val="12"/>
              <w:spacing w:line="360" w:lineRule="exact"/>
              <w:ind w:left="1080" w:leftChars="257" w:hanging="540"/>
              <w:rPr>
                <w:rFonts w:ascii="仿宋" w:hAnsi="仿宋" w:eastAsia="仿宋" w:cs="仿宋"/>
                <w:highlight w:val="none"/>
              </w:rPr>
            </w:pPr>
          </w:p>
        </w:tc>
        <w:tc>
          <w:tcPr>
            <w:tcW w:w="2913" w:type="dxa"/>
          </w:tcPr>
          <w:p w14:paraId="3502745B">
            <w:pPr>
              <w:pStyle w:val="12"/>
              <w:spacing w:line="360" w:lineRule="exact"/>
              <w:ind w:left="1080" w:leftChars="257" w:hanging="540"/>
              <w:rPr>
                <w:rFonts w:ascii="仿宋" w:hAnsi="仿宋" w:eastAsia="仿宋" w:cs="仿宋"/>
                <w:highlight w:val="none"/>
              </w:rPr>
            </w:pPr>
          </w:p>
        </w:tc>
        <w:tc>
          <w:tcPr>
            <w:tcW w:w="1212" w:type="dxa"/>
          </w:tcPr>
          <w:p w14:paraId="2CC9D73D">
            <w:pPr>
              <w:pStyle w:val="12"/>
              <w:spacing w:line="360" w:lineRule="exact"/>
              <w:ind w:left="1080" w:leftChars="257" w:hanging="540"/>
              <w:rPr>
                <w:rFonts w:ascii="仿宋" w:hAnsi="仿宋" w:eastAsia="仿宋" w:cs="仿宋"/>
                <w:highlight w:val="none"/>
              </w:rPr>
            </w:pPr>
          </w:p>
        </w:tc>
      </w:tr>
    </w:tbl>
    <w:p w14:paraId="6E7683E7">
      <w:pPr>
        <w:pStyle w:val="12"/>
        <w:spacing w:line="360" w:lineRule="exact"/>
        <w:ind w:left="1080" w:leftChars="257" w:hanging="540"/>
        <w:rPr>
          <w:rFonts w:ascii="仿宋" w:hAnsi="仿宋" w:eastAsia="仿宋" w:cs="仿宋"/>
          <w:highlight w:val="none"/>
        </w:rPr>
      </w:pPr>
    </w:p>
    <w:p w14:paraId="452A0C64">
      <w:pPr>
        <w:pStyle w:val="12"/>
        <w:spacing w:line="360" w:lineRule="exact"/>
        <w:ind w:left="1080" w:leftChars="257" w:hanging="540"/>
        <w:rPr>
          <w:rFonts w:ascii="仿宋" w:hAnsi="仿宋" w:eastAsia="仿宋" w:cs="仿宋"/>
          <w:highlight w:val="none"/>
        </w:rPr>
      </w:pPr>
    </w:p>
    <w:p w14:paraId="6DA0833B">
      <w:pPr>
        <w:pStyle w:val="12"/>
        <w:spacing w:line="360" w:lineRule="exact"/>
        <w:ind w:left="1080" w:leftChars="257" w:hanging="540"/>
        <w:rPr>
          <w:rFonts w:ascii="仿宋" w:hAnsi="仿宋" w:eastAsia="仿宋" w:cs="仿宋"/>
          <w:highlight w:val="none"/>
        </w:rPr>
      </w:pPr>
      <w:r>
        <w:rPr>
          <w:rFonts w:hint="eastAsia" w:ascii="仿宋" w:hAnsi="仿宋" w:eastAsia="仿宋" w:cs="仿宋"/>
          <w:highlight w:val="none"/>
        </w:rPr>
        <w:t>法定代表人或其委托代理人签字:</w:t>
      </w:r>
      <w:r>
        <w:rPr>
          <w:rFonts w:hint="eastAsia" w:ascii="仿宋" w:hAnsi="仿宋" w:eastAsia="仿宋" w:cs="仿宋"/>
          <w:highlight w:val="none"/>
          <w:u w:val="single"/>
        </w:rPr>
        <w:tab/>
      </w:r>
    </w:p>
    <w:p w14:paraId="0873D0D4">
      <w:pPr>
        <w:pStyle w:val="12"/>
        <w:tabs>
          <w:tab w:val="left" w:pos="5370"/>
        </w:tabs>
        <w:spacing w:line="360" w:lineRule="exact"/>
        <w:ind w:left="1080" w:leftChars="257" w:hanging="540"/>
        <w:rPr>
          <w:rFonts w:ascii="仿宋" w:hAnsi="仿宋" w:eastAsia="仿宋" w:cs="仿宋"/>
          <w:highlight w:val="none"/>
          <w:u w:val="single"/>
        </w:rPr>
      </w:pPr>
      <w:r>
        <w:rPr>
          <w:rFonts w:hint="eastAsia" w:ascii="仿宋" w:hAnsi="仿宋" w:eastAsia="仿宋" w:cs="仿宋"/>
          <w:highlight w:val="none"/>
        </w:rPr>
        <w:t>供应商(盖单位章):</w:t>
      </w:r>
      <w:r>
        <w:rPr>
          <w:rFonts w:hint="eastAsia" w:ascii="仿宋" w:hAnsi="仿宋" w:eastAsia="仿宋" w:cs="仿宋"/>
          <w:highlight w:val="none"/>
          <w:u w:val="single"/>
        </w:rPr>
        <w:tab/>
      </w:r>
    </w:p>
    <w:p w14:paraId="0CA5C99A">
      <w:pPr>
        <w:pStyle w:val="3"/>
        <w:tabs>
          <w:tab w:val="left" w:pos="540"/>
        </w:tabs>
        <w:rPr>
          <w:rFonts w:ascii="仿宋" w:hAnsi="仿宋" w:eastAsia="仿宋" w:cs="仿宋"/>
          <w:color w:val="000000"/>
          <w:sz w:val="24"/>
          <w:szCs w:val="24"/>
          <w:highlight w:val="none"/>
        </w:rPr>
      </w:pPr>
    </w:p>
    <w:p w14:paraId="246BD1D7">
      <w:pPr>
        <w:rPr>
          <w:rFonts w:ascii="仿宋" w:hAnsi="仿宋" w:eastAsia="仿宋" w:cs="仿宋"/>
          <w:color w:val="000000"/>
          <w:sz w:val="24"/>
          <w:highlight w:val="none"/>
        </w:rPr>
      </w:pPr>
    </w:p>
    <w:p w14:paraId="0D32A85D">
      <w:pPr>
        <w:pStyle w:val="6"/>
        <w:rPr>
          <w:rFonts w:ascii="仿宋" w:hAnsi="仿宋" w:eastAsia="仿宋" w:cs="仿宋"/>
          <w:color w:val="000000"/>
          <w:szCs w:val="24"/>
          <w:highlight w:val="none"/>
        </w:rPr>
      </w:pPr>
    </w:p>
    <w:p w14:paraId="4428C4BE">
      <w:pPr>
        <w:pStyle w:val="7"/>
        <w:rPr>
          <w:rFonts w:ascii="仿宋" w:hAnsi="仿宋" w:eastAsia="仿宋" w:cs="仿宋"/>
          <w:color w:val="000000"/>
          <w:highlight w:val="none"/>
        </w:rPr>
      </w:pPr>
    </w:p>
    <w:p w14:paraId="2F621DC2">
      <w:pPr>
        <w:rPr>
          <w:rFonts w:ascii="仿宋" w:hAnsi="仿宋" w:eastAsia="仿宋" w:cs="仿宋"/>
          <w:color w:val="000000"/>
          <w:sz w:val="24"/>
          <w:highlight w:val="none"/>
        </w:rPr>
      </w:pPr>
    </w:p>
    <w:p w14:paraId="2EB364FA">
      <w:pPr>
        <w:pStyle w:val="6"/>
        <w:rPr>
          <w:rFonts w:ascii="仿宋" w:hAnsi="仿宋" w:eastAsia="仿宋" w:cs="仿宋"/>
          <w:highlight w:val="none"/>
        </w:rPr>
      </w:pPr>
    </w:p>
    <w:p w14:paraId="039157F4">
      <w:pPr>
        <w:pStyle w:val="3"/>
        <w:spacing w:before="0" w:line="240" w:lineRule="atLeast"/>
        <w:ind w:left="1080" w:leftChars="257" w:hanging="540"/>
        <w:rPr>
          <w:rFonts w:ascii="仿宋" w:hAnsi="仿宋" w:eastAsia="仿宋" w:cs="仿宋"/>
          <w:bCs/>
          <w:color w:val="000000"/>
          <w:kern w:val="2"/>
          <w:sz w:val="24"/>
          <w:szCs w:val="24"/>
          <w:highlight w:val="none"/>
        </w:rPr>
      </w:pPr>
      <w:bookmarkStart w:id="458" w:name="_Toc13357"/>
      <w:bookmarkStart w:id="459" w:name="_Toc12610"/>
      <w:bookmarkStart w:id="460" w:name="_Toc8037"/>
      <w:bookmarkStart w:id="461" w:name="_Toc4179"/>
      <w:bookmarkStart w:id="462" w:name="_Toc26177"/>
      <w:bookmarkStart w:id="463" w:name="_Toc17608"/>
      <w:bookmarkStart w:id="464" w:name="_Toc4141"/>
      <w:bookmarkStart w:id="465" w:name="_Toc32361"/>
      <w:bookmarkStart w:id="466" w:name="_Toc27691"/>
      <w:r>
        <w:rPr>
          <w:rFonts w:hint="eastAsia" w:ascii="仿宋" w:hAnsi="仿宋" w:eastAsia="仿宋" w:cs="仿宋"/>
          <w:bCs/>
          <w:color w:val="000000"/>
          <w:kern w:val="2"/>
          <w:sz w:val="24"/>
          <w:szCs w:val="24"/>
          <w:highlight w:val="none"/>
        </w:rPr>
        <w:t>4 项目负责人及实施团队人员名单简历表</w:t>
      </w:r>
      <w:bookmarkEnd w:id="458"/>
      <w:bookmarkEnd w:id="459"/>
      <w:bookmarkEnd w:id="460"/>
      <w:bookmarkEnd w:id="461"/>
      <w:bookmarkEnd w:id="462"/>
      <w:bookmarkEnd w:id="463"/>
      <w:bookmarkEnd w:id="464"/>
      <w:bookmarkEnd w:id="465"/>
      <w:bookmarkEnd w:id="466"/>
    </w:p>
    <w:tbl>
      <w:tblPr>
        <w:tblStyle w:val="23"/>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096"/>
        <w:gridCol w:w="1219"/>
        <w:gridCol w:w="2521"/>
        <w:gridCol w:w="2068"/>
      </w:tblGrid>
      <w:tr w14:paraId="50A6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496" w:type="dxa"/>
            <w:gridSpan w:val="2"/>
            <w:vAlign w:val="center"/>
          </w:tcPr>
          <w:p w14:paraId="7D3F79B7">
            <w:pPr>
              <w:pStyle w:val="12"/>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姓名</w:t>
            </w:r>
          </w:p>
        </w:tc>
        <w:tc>
          <w:tcPr>
            <w:tcW w:w="1219" w:type="dxa"/>
            <w:vAlign w:val="center"/>
          </w:tcPr>
          <w:p w14:paraId="332A0A68">
            <w:pPr>
              <w:pStyle w:val="12"/>
              <w:spacing w:line="360" w:lineRule="auto"/>
              <w:jc w:val="center"/>
              <w:rPr>
                <w:rFonts w:ascii="仿宋" w:hAnsi="仿宋" w:eastAsia="仿宋" w:cs="仿宋"/>
                <w:color w:val="000000"/>
                <w:sz w:val="24"/>
                <w:szCs w:val="24"/>
                <w:highlight w:val="none"/>
              </w:rPr>
            </w:pPr>
          </w:p>
        </w:tc>
        <w:tc>
          <w:tcPr>
            <w:tcW w:w="2521" w:type="dxa"/>
            <w:vAlign w:val="center"/>
          </w:tcPr>
          <w:p w14:paraId="25B0D2B3">
            <w:pPr>
              <w:pStyle w:val="12"/>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性别</w:t>
            </w:r>
          </w:p>
        </w:tc>
        <w:tc>
          <w:tcPr>
            <w:tcW w:w="2068" w:type="dxa"/>
            <w:vAlign w:val="center"/>
          </w:tcPr>
          <w:p w14:paraId="7F84603C">
            <w:pPr>
              <w:pStyle w:val="12"/>
              <w:spacing w:line="360" w:lineRule="auto"/>
              <w:jc w:val="center"/>
              <w:rPr>
                <w:rFonts w:ascii="仿宋" w:hAnsi="仿宋" w:eastAsia="仿宋" w:cs="仿宋"/>
                <w:color w:val="000000"/>
                <w:sz w:val="24"/>
                <w:szCs w:val="24"/>
                <w:highlight w:val="none"/>
              </w:rPr>
            </w:pPr>
          </w:p>
        </w:tc>
      </w:tr>
      <w:tr w14:paraId="69E7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gridSpan w:val="2"/>
            <w:vAlign w:val="center"/>
          </w:tcPr>
          <w:p w14:paraId="0167E360">
            <w:pPr>
              <w:pStyle w:val="12"/>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职务</w:t>
            </w:r>
          </w:p>
        </w:tc>
        <w:tc>
          <w:tcPr>
            <w:tcW w:w="1219" w:type="dxa"/>
            <w:vAlign w:val="center"/>
          </w:tcPr>
          <w:p w14:paraId="085D88B0">
            <w:pPr>
              <w:pStyle w:val="12"/>
              <w:spacing w:line="360" w:lineRule="auto"/>
              <w:jc w:val="center"/>
              <w:rPr>
                <w:rFonts w:ascii="仿宋" w:hAnsi="仿宋" w:eastAsia="仿宋" w:cs="仿宋"/>
                <w:color w:val="000000"/>
                <w:sz w:val="24"/>
                <w:szCs w:val="24"/>
                <w:highlight w:val="none"/>
              </w:rPr>
            </w:pPr>
          </w:p>
        </w:tc>
        <w:tc>
          <w:tcPr>
            <w:tcW w:w="2521" w:type="dxa"/>
            <w:vAlign w:val="center"/>
          </w:tcPr>
          <w:p w14:paraId="415210F5">
            <w:pPr>
              <w:pStyle w:val="12"/>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职称</w:t>
            </w:r>
          </w:p>
        </w:tc>
        <w:tc>
          <w:tcPr>
            <w:tcW w:w="2068" w:type="dxa"/>
            <w:vAlign w:val="center"/>
          </w:tcPr>
          <w:p w14:paraId="66399163">
            <w:pPr>
              <w:pStyle w:val="12"/>
              <w:spacing w:line="360" w:lineRule="auto"/>
              <w:jc w:val="center"/>
              <w:rPr>
                <w:rFonts w:ascii="仿宋" w:hAnsi="仿宋" w:eastAsia="仿宋" w:cs="仿宋"/>
                <w:color w:val="000000"/>
                <w:sz w:val="24"/>
                <w:szCs w:val="24"/>
                <w:highlight w:val="none"/>
              </w:rPr>
            </w:pPr>
          </w:p>
        </w:tc>
      </w:tr>
      <w:tr w14:paraId="348F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gridSpan w:val="2"/>
            <w:vAlign w:val="center"/>
          </w:tcPr>
          <w:p w14:paraId="226CF8CC">
            <w:pPr>
              <w:pStyle w:val="12"/>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毕业学校、专业</w:t>
            </w:r>
          </w:p>
        </w:tc>
        <w:tc>
          <w:tcPr>
            <w:tcW w:w="5808" w:type="dxa"/>
            <w:gridSpan w:val="3"/>
            <w:vAlign w:val="center"/>
          </w:tcPr>
          <w:p w14:paraId="03938AEE">
            <w:pPr>
              <w:pStyle w:val="12"/>
              <w:spacing w:line="360" w:lineRule="auto"/>
              <w:jc w:val="center"/>
              <w:rPr>
                <w:rFonts w:ascii="仿宋" w:hAnsi="仿宋" w:eastAsia="仿宋" w:cs="仿宋"/>
                <w:color w:val="000000"/>
                <w:sz w:val="24"/>
                <w:szCs w:val="24"/>
                <w:highlight w:val="none"/>
              </w:rPr>
            </w:pPr>
          </w:p>
        </w:tc>
      </w:tr>
      <w:tr w14:paraId="691E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gridSpan w:val="2"/>
            <w:vAlign w:val="center"/>
          </w:tcPr>
          <w:p w14:paraId="2FADDB59">
            <w:pPr>
              <w:pStyle w:val="12"/>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身份证号</w:t>
            </w:r>
          </w:p>
        </w:tc>
        <w:tc>
          <w:tcPr>
            <w:tcW w:w="1219" w:type="dxa"/>
            <w:vAlign w:val="center"/>
          </w:tcPr>
          <w:p w14:paraId="6175BB84">
            <w:pPr>
              <w:pStyle w:val="12"/>
              <w:spacing w:line="360" w:lineRule="auto"/>
              <w:jc w:val="center"/>
              <w:rPr>
                <w:rFonts w:ascii="仿宋" w:hAnsi="仿宋" w:eastAsia="仿宋" w:cs="仿宋"/>
                <w:color w:val="000000"/>
                <w:sz w:val="24"/>
                <w:szCs w:val="24"/>
                <w:highlight w:val="none"/>
              </w:rPr>
            </w:pPr>
          </w:p>
        </w:tc>
        <w:tc>
          <w:tcPr>
            <w:tcW w:w="2521" w:type="dxa"/>
            <w:vAlign w:val="center"/>
          </w:tcPr>
          <w:p w14:paraId="1C6161ED">
            <w:pPr>
              <w:pStyle w:val="12"/>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拟在本项目任职</w:t>
            </w:r>
          </w:p>
        </w:tc>
        <w:tc>
          <w:tcPr>
            <w:tcW w:w="2068" w:type="dxa"/>
            <w:vAlign w:val="center"/>
          </w:tcPr>
          <w:p w14:paraId="384AF2BD">
            <w:pPr>
              <w:pStyle w:val="12"/>
              <w:spacing w:line="360" w:lineRule="auto"/>
              <w:jc w:val="center"/>
              <w:rPr>
                <w:rFonts w:ascii="仿宋" w:hAnsi="仿宋" w:eastAsia="仿宋" w:cs="仿宋"/>
                <w:color w:val="000000"/>
                <w:sz w:val="24"/>
                <w:szCs w:val="24"/>
                <w:highlight w:val="none"/>
              </w:rPr>
            </w:pPr>
          </w:p>
        </w:tc>
      </w:tr>
      <w:tr w14:paraId="5D18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496" w:type="dxa"/>
            <w:gridSpan w:val="2"/>
            <w:vAlign w:val="center"/>
          </w:tcPr>
          <w:p w14:paraId="20D6E283">
            <w:pPr>
              <w:pStyle w:val="12"/>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执业资格证</w:t>
            </w:r>
          </w:p>
        </w:tc>
        <w:tc>
          <w:tcPr>
            <w:tcW w:w="1219" w:type="dxa"/>
            <w:vAlign w:val="center"/>
          </w:tcPr>
          <w:p w14:paraId="7F749247">
            <w:pPr>
              <w:pStyle w:val="12"/>
              <w:spacing w:line="360" w:lineRule="auto"/>
              <w:jc w:val="center"/>
              <w:rPr>
                <w:rFonts w:ascii="仿宋" w:hAnsi="仿宋" w:eastAsia="仿宋" w:cs="仿宋"/>
                <w:color w:val="000000"/>
                <w:sz w:val="24"/>
                <w:szCs w:val="24"/>
                <w:highlight w:val="none"/>
              </w:rPr>
            </w:pPr>
          </w:p>
        </w:tc>
        <w:tc>
          <w:tcPr>
            <w:tcW w:w="2521" w:type="dxa"/>
            <w:vAlign w:val="center"/>
          </w:tcPr>
          <w:p w14:paraId="0B876A00">
            <w:pPr>
              <w:pStyle w:val="12"/>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执业资格证书号</w:t>
            </w:r>
          </w:p>
        </w:tc>
        <w:tc>
          <w:tcPr>
            <w:tcW w:w="2068" w:type="dxa"/>
            <w:vAlign w:val="center"/>
          </w:tcPr>
          <w:p w14:paraId="5D96C725">
            <w:pPr>
              <w:pStyle w:val="12"/>
              <w:spacing w:line="360" w:lineRule="auto"/>
              <w:jc w:val="center"/>
              <w:rPr>
                <w:rFonts w:ascii="仿宋" w:hAnsi="仿宋" w:eastAsia="仿宋" w:cs="仿宋"/>
                <w:color w:val="000000"/>
                <w:sz w:val="24"/>
                <w:szCs w:val="24"/>
                <w:highlight w:val="none"/>
              </w:rPr>
            </w:pPr>
          </w:p>
        </w:tc>
      </w:tr>
      <w:tr w14:paraId="6310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4" w:type="dxa"/>
            <w:gridSpan w:val="5"/>
            <w:vAlign w:val="center"/>
          </w:tcPr>
          <w:p w14:paraId="7EF4ED52">
            <w:pPr>
              <w:pStyle w:val="12"/>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近____年承担项目情况</w:t>
            </w:r>
          </w:p>
        </w:tc>
      </w:tr>
      <w:tr w14:paraId="0F7B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0" w:type="dxa"/>
            <w:vAlign w:val="center"/>
          </w:tcPr>
          <w:p w14:paraId="764D5856">
            <w:pPr>
              <w:pStyle w:val="12"/>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时间</w:t>
            </w:r>
          </w:p>
        </w:tc>
        <w:tc>
          <w:tcPr>
            <w:tcW w:w="2315" w:type="dxa"/>
            <w:gridSpan w:val="2"/>
            <w:vAlign w:val="center"/>
          </w:tcPr>
          <w:p w14:paraId="17E15BD6">
            <w:pPr>
              <w:pStyle w:val="12"/>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类似项目名称</w:t>
            </w:r>
          </w:p>
        </w:tc>
        <w:tc>
          <w:tcPr>
            <w:tcW w:w="2521" w:type="dxa"/>
            <w:vAlign w:val="center"/>
          </w:tcPr>
          <w:p w14:paraId="725B1C66">
            <w:pPr>
              <w:pStyle w:val="12"/>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项目单位名称</w:t>
            </w:r>
          </w:p>
        </w:tc>
        <w:tc>
          <w:tcPr>
            <w:tcW w:w="2068" w:type="dxa"/>
            <w:vAlign w:val="center"/>
          </w:tcPr>
          <w:p w14:paraId="56A0B48E">
            <w:pPr>
              <w:pStyle w:val="12"/>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w:t>
            </w:r>
          </w:p>
        </w:tc>
      </w:tr>
      <w:tr w14:paraId="4EA5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1C2DA447">
            <w:pPr>
              <w:pStyle w:val="12"/>
              <w:spacing w:line="360" w:lineRule="auto"/>
              <w:jc w:val="center"/>
              <w:rPr>
                <w:rFonts w:ascii="仿宋" w:hAnsi="仿宋" w:eastAsia="仿宋" w:cs="仿宋"/>
                <w:color w:val="000000"/>
                <w:sz w:val="24"/>
                <w:szCs w:val="24"/>
                <w:highlight w:val="none"/>
              </w:rPr>
            </w:pPr>
          </w:p>
        </w:tc>
        <w:tc>
          <w:tcPr>
            <w:tcW w:w="2315" w:type="dxa"/>
            <w:gridSpan w:val="2"/>
            <w:vAlign w:val="center"/>
          </w:tcPr>
          <w:p w14:paraId="65EEC3B4">
            <w:pPr>
              <w:pStyle w:val="12"/>
              <w:spacing w:line="360" w:lineRule="auto"/>
              <w:jc w:val="center"/>
              <w:rPr>
                <w:rFonts w:ascii="仿宋" w:hAnsi="仿宋" w:eastAsia="仿宋" w:cs="仿宋"/>
                <w:color w:val="000000"/>
                <w:sz w:val="24"/>
                <w:szCs w:val="24"/>
                <w:highlight w:val="none"/>
              </w:rPr>
            </w:pPr>
          </w:p>
        </w:tc>
        <w:tc>
          <w:tcPr>
            <w:tcW w:w="2521" w:type="dxa"/>
            <w:vAlign w:val="center"/>
          </w:tcPr>
          <w:p w14:paraId="1E40CC26">
            <w:pPr>
              <w:pStyle w:val="12"/>
              <w:spacing w:line="360" w:lineRule="auto"/>
              <w:jc w:val="center"/>
              <w:rPr>
                <w:rFonts w:ascii="仿宋" w:hAnsi="仿宋" w:eastAsia="仿宋" w:cs="仿宋"/>
                <w:color w:val="000000"/>
                <w:sz w:val="24"/>
                <w:szCs w:val="24"/>
                <w:highlight w:val="none"/>
              </w:rPr>
            </w:pPr>
          </w:p>
        </w:tc>
        <w:tc>
          <w:tcPr>
            <w:tcW w:w="2068" w:type="dxa"/>
            <w:vAlign w:val="center"/>
          </w:tcPr>
          <w:p w14:paraId="52F618A1">
            <w:pPr>
              <w:pStyle w:val="12"/>
              <w:spacing w:line="360" w:lineRule="auto"/>
              <w:jc w:val="center"/>
              <w:rPr>
                <w:rFonts w:ascii="仿宋" w:hAnsi="仿宋" w:eastAsia="仿宋" w:cs="仿宋"/>
                <w:color w:val="000000"/>
                <w:sz w:val="24"/>
                <w:szCs w:val="24"/>
                <w:highlight w:val="none"/>
              </w:rPr>
            </w:pPr>
          </w:p>
        </w:tc>
      </w:tr>
      <w:tr w14:paraId="2C0D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2D611212">
            <w:pPr>
              <w:pStyle w:val="12"/>
              <w:spacing w:line="360" w:lineRule="auto"/>
              <w:jc w:val="center"/>
              <w:rPr>
                <w:rFonts w:ascii="仿宋" w:hAnsi="仿宋" w:eastAsia="仿宋" w:cs="仿宋"/>
                <w:color w:val="000000"/>
                <w:sz w:val="24"/>
                <w:szCs w:val="24"/>
                <w:highlight w:val="none"/>
              </w:rPr>
            </w:pPr>
          </w:p>
        </w:tc>
        <w:tc>
          <w:tcPr>
            <w:tcW w:w="2315" w:type="dxa"/>
            <w:gridSpan w:val="2"/>
            <w:vAlign w:val="center"/>
          </w:tcPr>
          <w:p w14:paraId="2DBFE8F2">
            <w:pPr>
              <w:pStyle w:val="12"/>
              <w:spacing w:line="360" w:lineRule="auto"/>
              <w:jc w:val="center"/>
              <w:rPr>
                <w:rFonts w:ascii="仿宋" w:hAnsi="仿宋" w:eastAsia="仿宋" w:cs="仿宋"/>
                <w:color w:val="000000"/>
                <w:sz w:val="24"/>
                <w:szCs w:val="24"/>
                <w:highlight w:val="none"/>
              </w:rPr>
            </w:pPr>
          </w:p>
        </w:tc>
        <w:tc>
          <w:tcPr>
            <w:tcW w:w="2521" w:type="dxa"/>
            <w:vAlign w:val="center"/>
          </w:tcPr>
          <w:p w14:paraId="1DD127FA">
            <w:pPr>
              <w:pStyle w:val="12"/>
              <w:spacing w:line="360" w:lineRule="auto"/>
              <w:jc w:val="center"/>
              <w:rPr>
                <w:rFonts w:ascii="仿宋" w:hAnsi="仿宋" w:eastAsia="仿宋" w:cs="仿宋"/>
                <w:color w:val="000000"/>
                <w:sz w:val="24"/>
                <w:szCs w:val="24"/>
                <w:highlight w:val="none"/>
              </w:rPr>
            </w:pPr>
          </w:p>
        </w:tc>
        <w:tc>
          <w:tcPr>
            <w:tcW w:w="2068" w:type="dxa"/>
            <w:vAlign w:val="center"/>
          </w:tcPr>
          <w:p w14:paraId="382D73DA">
            <w:pPr>
              <w:pStyle w:val="12"/>
              <w:spacing w:line="360" w:lineRule="auto"/>
              <w:jc w:val="center"/>
              <w:rPr>
                <w:rFonts w:ascii="仿宋" w:hAnsi="仿宋" w:eastAsia="仿宋" w:cs="仿宋"/>
                <w:color w:val="000000"/>
                <w:sz w:val="24"/>
                <w:szCs w:val="24"/>
                <w:highlight w:val="none"/>
              </w:rPr>
            </w:pPr>
          </w:p>
        </w:tc>
      </w:tr>
      <w:tr w14:paraId="5D1F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7E9430FB">
            <w:pPr>
              <w:pStyle w:val="12"/>
              <w:spacing w:line="360" w:lineRule="auto"/>
              <w:jc w:val="center"/>
              <w:rPr>
                <w:rFonts w:ascii="仿宋" w:hAnsi="仿宋" w:eastAsia="仿宋" w:cs="仿宋"/>
                <w:color w:val="000000"/>
                <w:sz w:val="24"/>
                <w:szCs w:val="24"/>
                <w:highlight w:val="none"/>
              </w:rPr>
            </w:pPr>
          </w:p>
        </w:tc>
        <w:tc>
          <w:tcPr>
            <w:tcW w:w="2315" w:type="dxa"/>
            <w:gridSpan w:val="2"/>
            <w:vAlign w:val="center"/>
          </w:tcPr>
          <w:p w14:paraId="63292140">
            <w:pPr>
              <w:pStyle w:val="12"/>
              <w:spacing w:line="360" w:lineRule="auto"/>
              <w:jc w:val="center"/>
              <w:rPr>
                <w:rFonts w:ascii="仿宋" w:hAnsi="仿宋" w:eastAsia="仿宋" w:cs="仿宋"/>
                <w:color w:val="000000"/>
                <w:sz w:val="24"/>
                <w:szCs w:val="24"/>
                <w:highlight w:val="none"/>
              </w:rPr>
            </w:pPr>
          </w:p>
        </w:tc>
        <w:tc>
          <w:tcPr>
            <w:tcW w:w="2521" w:type="dxa"/>
            <w:vAlign w:val="center"/>
          </w:tcPr>
          <w:p w14:paraId="09E50800">
            <w:pPr>
              <w:pStyle w:val="12"/>
              <w:spacing w:line="360" w:lineRule="auto"/>
              <w:jc w:val="center"/>
              <w:rPr>
                <w:rFonts w:ascii="仿宋" w:hAnsi="仿宋" w:eastAsia="仿宋" w:cs="仿宋"/>
                <w:color w:val="000000"/>
                <w:sz w:val="24"/>
                <w:szCs w:val="24"/>
                <w:highlight w:val="none"/>
              </w:rPr>
            </w:pPr>
          </w:p>
        </w:tc>
        <w:tc>
          <w:tcPr>
            <w:tcW w:w="2068" w:type="dxa"/>
            <w:vAlign w:val="center"/>
          </w:tcPr>
          <w:p w14:paraId="7F389579">
            <w:pPr>
              <w:pStyle w:val="12"/>
              <w:spacing w:line="360" w:lineRule="auto"/>
              <w:jc w:val="center"/>
              <w:rPr>
                <w:rFonts w:ascii="仿宋" w:hAnsi="仿宋" w:eastAsia="仿宋" w:cs="仿宋"/>
                <w:color w:val="000000"/>
                <w:sz w:val="24"/>
                <w:szCs w:val="24"/>
                <w:highlight w:val="none"/>
              </w:rPr>
            </w:pPr>
          </w:p>
        </w:tc>
      </w:tr>
      <w:tr w14:paraId="1824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487BB1C9">
            <w:pPr>
              <w:pStyle w:val="12"/>
              <w:spacing w:line="360" w:lineRule="auto"/>
              <w:jc w:val="center"/>
              <w:rPr>
                <w:rFonts w:ascii="仿宋" w:hAnsi="仿宋" w:eastAsia="仿宋" w:cs="仿宋"/>
                <w:color w:val="000000"/>
                <w:sz w:val="24"/>
                <w:szCs w:val="24"/>
                <w:highlight w:val="none"/>
              </w:rPr>
            </w:pPr>
          </w:p>
        </w:tc>
        <w:tc>
          <w:tcPr>
            <w:tcW w:w="2315" w:type="dxa"/>
            <w:gridSpan w:val="2"/>
            <w:vAlign w:val="center"/>
          </w:tcPr>
          <w:p w14:paraId="21409F05">
            <w:pPr>
              <w:pStyle w:val="12"/>
              <w:spacing w:line="360" w:lineRule="auto"/>
              <w:jc w:val="center"/>
              <w:rPr>
                <w:rFonts w:ascii="仿宋" w:hAnsi="仿宋" w:eastAsia="仿宋" w:cs="仿宋"/>
                <w:color w:val="000000"/>
                <w:sz w:val="24"/>
                <w:szCs w:val="24"/>
                <w:highlight w:val="none"/>
              </w:rPr>
            </w:pPr>
          </w:p>
        </w:tc>
        <w:tc>
          <w:tcPr>
            <w:tcW w:w="2521" w:type="dxa"/>
            <w:vAlign w:val="center"/>
          </w:tcPr>
          <w:p w14:paraId="69ADBDE0">
            <w:pPr>
              <w:pStyle w:val="12"/>
              <w:spacing w:line="360" w:lineRule="auto"/>
              <w:jc w:val="center"/>
              <w:rPr>
                <w:rFonts w:ascii="仿宋" w:hAnsi="仿宋" w:eastAsia="仿宋" w:cs="仿宋"/>
                <w:color w:val="000000"/>
                <w:sz w:val="24"/>
                <w:szCs w:val="24"/>
                <w:highlight w:val="none"/>
              </w:rPr>
            </w:pPr>
          </w:p>
        </w:tc>
        <w:tc>
          <w:tcPr>
            <w:tcW w:w="2068" w:type="dxa"/>
            <w:vAlign w:val="center"/>
          </w:tcPr>
          <w:p w14:paraId="6E39C245">
            <w:pPr>
              <w:pStyle w:val="12"/>
              <w:spacing w:line="360" w:lineRule="auto"/>
              <w:jc w:val="center"/>
              <w:rPr>
                <w:rFonts w:ascii="仿宋" w:hAnsi="仿宋" w:eastAsia="仿宋" w:cs="仿宋"/>
                <w:color w:val="000000"/>
                <w:sz w:val="24"/>
                <w:szCs w:val="24"/>
                <w:highlight w:val="none"/>
              </w:rPr>
            </w:pPr>
          </w:p>
        </w:tc>
      </w:tr>
      <w:tr w14:paraId="669C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4F8AEC6C">
            <w:pPr>
              <w:pStyle w:val="12"/>
              <w:spacing w:line="360" w:lineRule="auto"/>
              <w:jc w:val="center"/>
              <w:rPr>
                <w:rFonts w:ascii="仿宋" w:hAnsi="仿宋" w:eastAsia="仿宋" w:cs="仿宋"/>
                <w:color w:val="000000"/>
                <w:sz w:val="24"/>
                <w:szCs w:val="24"/>
                <w:highlight w:val="none"/>
              </w:rPr>
            </w:pPr>
          </w:p>
        </w:tc>
        <w:tc>
          <w:tcPr>
            <w:tcW w:w="2315" w:type="dxa"/>
            <w:gridSpan w:val="2"/>
            <w:vAlign w:val="center"/>
          </w:tcPr>
          <w:p w14:paraId="21DB264D">
            <w:pPr>
              <w:pStyle w:val="12"/>
              <w:spacing w:line="360" w:lineRule="auto"/>
              <w:jc w:val="center"/>
              <w:rPr>
                <w:rFonts w:ascii="仿宋" w:hAnsi="仿宋" w:eastAsia="仿宋" w:cs="仿宋"/>
                <w:color w:val="000000"/>
                <w:sz w:val="24"/>
                <w:szCs w:val="24"/>
                <w:highlight w:val="none"/>
              </w:rPr>
            </w:pPr>
          </w:p>
        </w:tc>
        <w:tc>
          <w:tcPr>
            <w:tcW w:w="2521" w:type="dxa"/>
            <w:vAlign w:val="center"/>
          </w:tcPr>
          <w:p w14:paraId="769D5B5A">
            <w:pPr>
              <w:pStyle w:val="12"/>
              <w:spacing w:line="360" w:lineRule="auto"/>
              <w:jc w:val="center"/>
              <w:rPr>
                <w:rFonts w:ascii="仿宋" w:hAnsi="仿宋" w:eastAsia="仿宋" w:cs="仿宋"/>
                <w:color w:val="000000"/>
                <w:sz w:val="24"/>
                <w:szCs w:val="24"/>
                <w:highlight w:val="none"/>
              </w:rPr>
            </w:pPr>
          </w:p>
        </w:tc>
        <w:tc>
          <w:tcPr>
            <w:tcW w:w="2068" w:type="dxa"/>
            <w:vAlign w:val="center"/>
          </w:tcPr>
          <w:p w14:paraId="45018540">
            <w:pPr>
              <w:pStyle w:val="12"/>
              <w:spacing w:line="360" w:lineRule="auto"/>
              <w:jc w:val="center"/>
              <w:rPr>
                <w:rFonts w:ascii="仿宋" w:hAnsi="仿宋" w:eastAsia="仿宋" w:cs="仿宋"/>
                <w:color w:val="000000"/>
                <w:sz w:val="24"/>
                <w:szCs w:val="24"/>
                <w:highlight w:val="none"/>
              </w:rPr>
            </w:pPr>
          </w:p>
        </w:tc>
      </w:tr>
      <w:tr w14:paraId="3CD3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52ED059B">
            <w:pPr>
              <w:pStyle w:val="12"/>
              <w:spacing w:line="360" w:lineRule="auto"/>
              <w:jc w:val="center"/>
              <w:rPr>
                <w:rFonts w:ascii="仿宋" w:hAnsi="仿宋" w:eastAsia="仿宋" w:cs="仿宋"/>
                <w:color w:val="000000"/>
                <w:sz w:val="24"/>
                <w:szCs w:val="24"/>
                <w:highlight w:val="none"/>
              </w:rPr>
            </w:pPr>
          </w:p>
        </w:tc>
        <w:tc>
          <w:tcPr>
            <w:tcW w:w="2315" w:type="dxa"/>
            <w:gridSpan w:val="2"/>
            <w:vAlign w:val="center"/>
          </w:tcPr>
          <w:p w14:paraId="54A1567E">
            <w:pPr>
              <w:pStyle w:val="12"/>
              <w:spacing w:line="360" w:lineRule="auto"/>
              <w:jc w:val="center"/>
              <w:rPr>
                <w:rFonts w:ascii="仿宋" w:hAnsi="仿宋" w:eastAsia="仿宋" w:cs="仿宋"/>
                <w:color w:val="000000"/>
                <w:sz w:val="24"/>
                <w:szCs w:val="24"/>
                <w:highlight w:val="none"/>
              </w:rPr>
            </w:pPr>
          </w:p>
        </w:tc>
        <w:tc>
          <w:tcPr>
            <w:tcW w:w="2521" w:type="dxa"/>
            <w:vAlign w:val="center"/>
          </w:tcPr>
          <w:p w14:paraId="2CD7E0ED">
            <w:pPr>
              <w:pStyle w:val="12"/>
              <w:spacing w:line="360" w:lineRule="auto"/>
              <w:jc w:val="center"/>
              <w:rPr>
                <w:rFonts w:ascii="仿宋" w:hAnsi="仿宋" w:eastAsia="仿宋" w:cs="仿宋"/>
                <w:color w:val="000000"/>
                <w:sz w:val="24"/>
                <w:szCs w:val="24"/>
                <w:highlight w:val="none"/>
              </w:rPr>
            </w:pPr>
          </w:p>
        </w:tc>
        <w:tc>
          <w:tcPr>
            <w:tcW w:w="2068" w:type="dxa"/>
            <w:vAlign w:val="center"/>
          </w:tcPr>
          <w:p w14:paraId="17895AB0">
            <w:pPr>
              <w:pStyle w:val="12"/>
              <w:spacing w:line="360" w:lineRule="auto"/>
              <w:jc w:val="center"/>
              <w:rPr>
                <w:rFonts w:ascii="仿宋" w:hAnsi="仿宋" w:eastAsia="仿宋" w:cs="仿宋"/>
                <w:color w:val="000000"/>
                <w:sz w:val="24"/>
                <w:szCs w:val="24"/>
                <w:highlight w:val="none"/>
              </w:rPr>
            </w:pPr>
          </w:p>
        </w:tc>
      </w:tr>
      <w:tr w14:paraId="1C95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2AF46DD2">
            <w:pPr>
              <w:pStyle w:val="12"/>
              <w:spacing w:line="360" w:lineRule="auto"/>
              <w:jc w:val="center"/>
              <w:rPr>
                <w:rFonts w:ascii="仿宋" w:hAnsi="仿宋" w:eastAsia="仿宋" w:cs="仿宋"/>
                <w:color w:val="000000"/>
                <w:sz w:val="24"/>
                <w:szCs w:val="24"/>
                <w:highlight w:val="none"/>
              </w:rPr>
            </w:pPr>
          </w:p>
        </w:tc>
        <w:tc>
          <w:tcPr>
            <w:tcW w:w="2315" w:type="dxa"/>
            <w:gridSpan w:val="2"/>
            <w:vAlign w:val="center"/>
          </w:tcPr>
          <w:p w14:paraId="37497E45">
            <w:pPr>
              <w:pStyle w:val="12"/>
              <w:spacing w:line="360" w:lineRule="auto"/>
              <w:jc w:val="center"/>
              <w:rPr>
                <w:rFonts w:ascii="仿宋" w:hAnsi="仿宋" w:eastAsia="仿宋" w:cs="仿宋"/>
                <w:color w:val="000000"/>
                <w:sz w:val="24"/>
                <w:szCs w:val="24"/>
                <w:highlight w:val="none"/>
              </w:rPr>
            </w:pPr>
          </w:p>
        </w:tc>
        <w:tc>
          <w:tcPr>
            <w:tcW w:w="2521" w:type="dxa"/>
            <w:vAlign w:val="center"/>
          </w:tcPr>
          <w:p w14:paraId="6E9F1078">
            <w:pPr>
              <w:pStyle w:val="12"/>
              <w:spacing w:line="360" w:lineRule="auto"/>
              <w:jc w:val="center"/>
              <w:rPr>
                <w:rFonts w:ascii="仿宋" w:hAnsi="仿宋" w:eastAsia="仿宋" w:cs="仿宋"/>
                <w:color w:val="000000"/>
                <w:sz w:val="24"/>
                <w:szCs w:val="24"/>
                <w:highlight w:val="none"/>
              </w:rPr>
            </w:pPr>
          </w:p>
        </w:tc>
        <w:tc>
          <w:tcPr>
            <w:tcW w:w="2068" w:type="dxa"/>
            <w:vAlign w:val="center"/>
          </w:tcPr>
          <w:p w14:paraId="65518AD5">
            <w:pPr>
              <w:pStyle w:val="12"/>
              <w:spacing w:line="360" w:lineRule="auto"/>
              <w:jc w:val="center"/>
              <w:rPr>
                <w:rFonts w:ascii="仿宋" w:hAnsi="仿宋" w:eastAsia="仿宋" w:cs="仿宋"/>
                <w:color w:val="000000"/>
                <w:sz w:val="24"/>
                <w:szCs w:val="24"/>
                <w:highlight w:val="none"/>
              </w:rPr>
            </w:pPr>
          </w:p>
        </w:tc>
      </w:tr>
      <w:tr w14:paraId="5EA9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7B771F21">
            <w:pPr>
              <w:pStyle w:val="12"/>
              <w:spacing w:line="360" w:lineRule="auto"/>
              <w:jc w:val="center"/>
              <w:rPr>
                <w:rFonts w:ascii="仿宋" w:hAnsi="仿宋" w:eastAsia="仿宋" w:cs="仿宋"/>
                <w:color w:val="000000"/>
                <w:sz w:val="24"/>
                <w:szCs w:val="24"/>
                <w:highlight w:val="none"/>
              </w:rPr>
            </w:pPr>
          </w:p>
        </w:tc>
        <w:tc>
          <w:tcPr>
            <w:tcW w:w="2315" w:type="dxa"/>
            <w:gridSpan w:val="2"/>
            <w:vAlign w:val="center"/>
          </w:tcPr>
          <w:p w14:paraId="13086DFC">
            <w:pPr>
              <w:pStyle w:val="12"/>
              <w:spacing w:line="360" w:lineRule="auto"/>
              <w:jc w:val="center"/>
              <w:rPr>
                <w:rFonts w:ascii="仿宋" w:hAnsi="仿宋" w:eastAsia="仿宋" w:cs="仿宋"/>
                <w:color w:val="000000"/>
                <w:sz w:val="24"/>
                <w:szCs w:val="24"/>
                <w:highlight w:val="none"/>
              </w:rPr>
            </w:pPr>
          </w:p>
        </w:tc>
        <w:tc>
          <w:tcPr>
            <w:tcW w:w="2521" w:type="dxa"/>
            <w:vAlign w:val="center"/>
          </w:tcPr>
          <w:p w14:paraId="19924578">
            <w:pPr>
              <w:pStyle w:val="12"/>
              <w:spacing w:line="360" w:lineRule="auto"/>
              <w:jc w:val="center"/>
              <w:rPr>
                <w:rFonts w:ascii="仿宋" w:hAnsi="仿宋" w:eastAsia="仿宋" w:cs="仿宋"/>
                <w:color w:val="000000"/>
                <w:sz w:val="24"/>
                <w:szCs w:val="24"/>
                <w:highlight w:val="none"/>
              </w:rPr>
            </w:pPr>
          </w:p>
        </w:tc>
        <w:tc>
          <w:tcPr>
            <w:tcW w:w="2068" w:type="dxa"/>
            <w:vAlign w:val="center"/>
          </w:tcPr>
          <w:p w14:paraId="067F6282">
            <w:pPr>
              <w:pStyle w:val="12"/>
              <w:spacing w:line="360" w:lineRule="auto"/>
              <w:jc w:val="center"/>
              <w:rPr>
                <w:rFonts w:ascii="仿宋" w:hAnsi="仿宋" w:eastAsia="仿宋" w:cs="仿宋"/>
                <w:color w:val="000000"/>
                <w:sz w:val="24"/>
                <w:szCs w:val="24"/>
                <w:highlight w:val="none"/>
              </w:rPr>
            </w:pPr>
          </w:p>
        </w:tc>
      </w:tr>
    </w:tbl>
    <w:p w14:paraId="04EF9BDE">
      <w:pPr>
        <w:pStyle w:val="12"/>
        <w:rPr>
          <w:rFonts w:ascii="仿宋" w:hAnsi="仿宋" w:eastAsia="仿宋" w:cs="仿宋"/>
          <w:b/>
          <w:bCs/>
          <w:color w:val="000000"/>
          <w:sz w:val="24"/>
          <w:szCs w:val="24"/>
          <w:highlight w:val="none"/>
        </w:rPr>
      </w:pPr>
    </w:p>
    <w:p w14:paraId="0086579E">
      <w:pPr>
        <w:widowControl/>
        <w:autoSpaceDE w:val="0"/>
        <w:autoSpaceDN w:val="0"/>
        <w:adjustRightInd w:val="0"/>
        <w:spacing w:line="360" w:lineRule="auto"/>
        <w:ind w:left="482" w:hanging="482" w:hanging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注：1、按磋商文件要求提供相应证书及社保证明等资料；</w:t>
      </w:r>
    </w:p>
    <w:p w14:paraId="78F0F987">
      <w:pPr>
        <w:pStyle w:val="12"/>
        <w:spacing w:line="360" w:lineRule="auto"/>
        <w:ind w:firstLine="480" w:firstLineChars="200"/>
        <w:rPr>
          <w:rFonts w:ascii="仿宋" w:hAnsi="仿宋" w:eastAsia="仿宋" w:cs="仿宋"/>
          <w:color w:val="000000"/>
          <w:sz w:val="24"/>
          <w:szCs w:val="24"/>
          <w:highlight w:val="none"/>
        </w:rPr>
      </w:pPr>
    </w:p>
    <w:p w14:paraId="636E1010">
      <w:pPr>
        <w:pStyle w:val="12"/>
        <w:tabs>
          <w:tab w:val="left" w:pos="5370"/>
        </w:tabs>
        <w:spacing w:line="240" w:lineRule="atLeast"/>
        <w:ind w:left="1154" w:leftChars="485" w:hanging="136" w:hangingChars="57"/>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供应商(盖单位章):</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 xml:space="preserve">    </w:t>
      </w:r>
    </w:p>
    <w:p w14:paraId="4D6D3662">
      <w:pPr>
        <w:pStyle w:val="12"/>
        <w:tabs>
          <w:tab w:val="left" w:pos="5370"/>
        </w:tabs>
        <w:spacing w:line="240" w:lineRule="atLeast"/>
        <w:ind w:left="1080" w:leftChars="257" w:hanging="540"/>
        <w:rPr>
          <w:rFonts w:ascii="仿宋" w:hAnsi="仿宋" w:eastAsia="仿宋" w:cs="仿宋"/>
          <w:color w:val="000000"/>
          <w:sz w:val="24"/>
          <w:szCs w:val="24"/>
          <w:highlight w:val="none"/>
          <w:u w:val="single"/>
        </w:rPr>
      </w:pPr>
    </w:p>
    <w:p w14:paraId="778F7DD3">
      <w:pPr>
        <w:pStyle w:val="12"/>
        <w:spacing w:line="360" w:lineRule="auto"/>
        <w:ind w:firstLine="960" w:firstLineChars="4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法定代表人或其委托代理人签字:</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 xml:space="preserve">   </w:t>
      </w:r>
    </w:p>
    <w:p w14:paraId="5F90E79B">
      <w:pPr>
        <w:rPr>
          <w:rFonts w:ascii="仿宋" w:hAnsi="仿宋" w:eastAsia="仿宋" w:cs="仿宋"/>
          <w:highlight w:val="none"/>
        </w:rPr>
      </w:pPr>
    </w:p>
    <w:p w14:paraId="2DFD1976">
      <w:pPr>
        <w:pStyle w:val="3"/>
        <w:widowControl/>
        <w:spacing w:before="0" w:line="288" w:lineRule="auto"/>
        <w:jc w:val="both"/>
        <w:textAlignment w:val="baseline"/>
        <w:rPr>
          <w:rFonts w:ascii="仿宋" w:hAnsi="仿宋" w:eastAsia="仿宋" w:cs="仿宋"/>
          <w:sz w:val="24"/>
          <w:highlight w:val="none"/>
        </w:rPr>
      </w:pPr>
      <w:bookmarkStart w:id="467" w:name="_Toc24357"/>
      <w:bookmarkStart w:id="468" w:name="_Toc32063"/>
      <w:bookmarkStart w:id="469" w:name="_Toc561"/>
      <w:bookmarkStart w:id="470" w:name="_Toc6406"/>
      <w:bookmarkStart w:id="471" w:name="_Toc1479"/>
      <w:bookmarkStart w:id="472" w:name="_Toc1711"/>
      <w:bookmarkStart w:id="473" w:name="_Toc9390"/>
    </w:p>
    <w:p w14:paraId="69F7EC8E">
      <w:pPr>
        <w:pStyle w:val="3"/>
        <w:snapToGrid w:val="0"/>
        <w:spacing w:before="0" w:line="240" w:lineRule="atLeast"/>
        <w:jc w:val="both"/>
        <w:textAlignment w:val="baseline"/>
        <w:rPr>
          <w:rFonts w:ascii="仿宋" w:hAnsi="仿宋" w:eastAsia="仿宋" w:cs="仿宋"/>
          <w:sz w:val="24"/>
          <w:highlight w:val="none"/>
        </w:rPr>
      </w:pPr>
      <w:bookmarkStart w:id="474" w:name="_Toc30694"/>
    </w:p>
    <w:p w14:paraId="314EED39">
      <w:pPr>
        <w:pStyle w:val="3"/>
        <w:snapToGrid w:val="0"/>
        <w:spacing w:before="0" w:line="240" w:lineRule="atLeast"/>
        <w:jc w:val="both"/>
        <w:textAlignment w:val="baseline"/>
        <w:rPr>
          <w:rFonts w:ascii="仿宋" w:hAnsi="仿宋" w:eastAsia="仿宋" w:cs="仿宋"/>
          <w:sz w:val="24"/>
          <w:highlight w:val="none"/>
        </w:rPr>
      </w:pPr>
    </w:p>
    <w:p w14:paraId="6B1EF0AD">
      <w:pPr>
        <w:pStyle w:val="3"/>
        <w:snapToGrid w:val="0"/>
        <w:spacing w:before="0" w:line="240" w:lineRule="atLeast"/>
        <w:textAlignment w:val="baseline"/>
        <w:rPr>
          <w:rFonts w:ascii="仿宋" w:hAnsi="仿宋" w:eastAsia="仿宋" w:cs="仿宋"/>
          <w:sz w:val="24"/>
          <w:highlight w:val="none"/>
        </w:rPr>
      </w:pPr>
    </w:p>
    <w:p w14:paraId="7A788308">
      <w:pPr>
        <w:pStyle w:val="3"/>
        <w:snapToGrid w:val="0"/>
        <w:spacing w:before="0" w:line="240" w:lineRule="atLeast"/>
        <w:textAlignment w:val="baseline"/>
        <w:rPr>
          <w:rFonts w:ascii="仿宋" w:hAnsi="仿宋" w:eastAsia="仿宋" w:cs="仿宋"/>
          <w:sz w:val="24"/>
          <w:highlight w:val="none"/>
        </w:rPr>
      </w:pPr>
    </w:p>
    <w:bookmarkEnd w:id="467"/>
    <w:bookmarkEnd w:id="468"/>
    <w:bookmarkEnd w:id="469"/>
    <w:bookmarkEnd w:id="470"/>
    <w:bookmarkEnd w:id="471"/>
    <w:bookmarkEnd w:id="472"/>
    <w:bookmarkEnd w:id="473"/>
    <w:bookmarkEnd w:id="474"/>
    <w:p w14:paraId="1123F5C4">
      <w:pPr>
        <w:widowControl/>
        <w:shd w:val="clear" w:color="auto" w:fill="FFFFFF"/>
        <w:spacing w:before="100" w:beforeAutospacing="1" w:after="100" w:afterAutospacing="1" w:line="435" w:lineRule="atLeast"/>
        <w:ind w:firstLine="480"/>
        <w:jc w:val="left"/>
        <w:rPr>
          <w:rFonts w:ascii="仿宋" w:hAnsi="仿宋" w:eastAsia="仿宋" w:cs="仿宋"/>
          <w:color w:val="333333"/>
          <w:kern w:val="0"/>
          <w:sz w:val="24"/>
          <w:highlight w:val="none"/>
          <w:shd w:val="clear" w:color="auto" w:fill="FFFFFF"/>
          <w:lang w:bidi="ar"/>
        </w:rPr>
      </w:pPr>
      <w:bookmarkStart w:id="475" w:name="_Toc2813"/>
      <w:bookmarkStart w:id="476" w:name="_Toc28310"/>
      <w:bookmarkStart w:id="477" w:name="_Toc19006"/>
      <w:bookmarkStart w:id="478" w:name="_Toc17181"/>
      <w:bookmarkStart w:id="479" w:name="_Toc8498"/>
      <w:bookmarkStart w:id="480" w:name="_Toc13378"/>
      <w:bookmarkStart w:id="481" w:name="_Toc16783"/>
      <w:bookmarkStart w:id="482" w:name="_Toc7440"/>
    </w:p>
    <w:p w14:paraId="69070747">
      <w:pPr>
        <w:widowControl/>
        <w:shd w:val="clear" w:color="auto" w:fill="FFFFFF"/>
        <w:spacing w:before="100" w:beforeAutospacing="1" w:after="100" w:afterAutospacing="1" w:line="435" w:lineRule="atLeast"/>
        <w:ind w:firstLine="5280"/>
        <w:jc w:val="left"/>
        <w:rPr>
          <w:rFonts w:ascii="仿宋" w:hAnsi="仿宋" w:eastAsia="仿宋" w:cs="仿宋"/>
          <w:b/>
          <w:bCs/>
          <w:color w:val="000000"/>
          <w:sz w:val="24"/>
          <w:highlight w:val="none"/>
        </w:rPr>
      </w:pPr>
    </w:p>
    <w:p w14:paraId="626F62CD">
      <w:pPr>
        <w:widowControl/>
        <w:shd w:val="clear" w:color="auto" w:fill="FFFFFF"/>
        <w:spacing w:before="100" w:beforeAutospacing="1" w:after="100" w:afterAutospacing="1" w:line="435" w:lineRule="atLeast"/>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5-1  </w:t>
      </w:r>
      <w:bookmarkStart w:id="483" w:name="_Toc10725"/>
      <w:bookmarkStart w:id="484" w:name="_Toc11702"/>
      <w:bookmarkStart w:id="485" w:name="_Toc11733"/>
      <w:bookmarkStart w:id="486" w:name="_Toc515647823"/>
      <w:r>
        <w:rPr>
          <w:rFonts w:hint="eastAsia" w:ascii="仿宋" w:hAnsi="仿宋" w:eastAsia="仿宋" w:cs="仿宋"/>
          <w:b/>
          <w:bCs/>
          <w:color w:val="000000"/>
          <w:sz w:val="24"/>
          <w:highlight w:val="none"/>
        </w:rPr>
        <w:t xml:space="preserve">  </w:t>
      </w:r>
      <w:bookmarkEnd w:id="483"/>
      <w:bookmarkEnd w:id="484"/>
      <w:bookmarkEnd w:id="485"/>
      <w:bookmarkEnd w:id="486"/>
      <w:bookmarkStart w:id="487" w:name="_Toc31155"/>
      <w:bookmarkStart w:id="488" w:name="_Toc25533"/>
      <w:r>
        <w:rPr>
          <w:rFonts w:hint="eastAsia" w:ascii="仿宋" w:hAnsi="仿宋" w:eastAsia="仿宋" w:cs="仿宋"/>
          <w:b/>
          <w:bCs/>
          <w:color w:val="000000"/>
          <w:sz w:val="24"/>
          <w:highlight w:val="none"/>
        </w:rPr>
        <w:t>中小企业声明函（工程、服务）</w:t>
      </w:r>
      <w:bookmarkEnd w:id="487"/>
      <w:bookmarkEnd w:id="488"/>
    </w:p>
    <w:p w14:paraId="51B6BFF0">
      <w:pPr>
        <w:widowControl/>
        <w:shd w:val="clear" w:color="auto" w:fill="FFFFFF"/>
        <w:spacing w:before="100" w:beforeAutospacing="1" w:after="100" w:afterAutospacing="1"/>
        <w:ind w:firstLine="480" w:firstLineChars="200"/>
        <w:jc w:val="left"/>
        <w:rPr>
          <w:rFonts w:ascii="仿宋" w:hAnsi="仿宋" w:eastAsia="仿宋" w:cs="仿宋"/>
          <w:color w:val="333333"/>
          <w:szCs w:val="21"/>
          <w:highlight w:val="none"/>
        </w:rPr>
      </w:pPr>
      <w:r>
        <w:rPr>
          <w:rFonts w:hint="eastAsia" w:ascii="仿宋" w:hAnsi="仿宋" w:eastAsia="仿宋" w:cs="仿宋"/>
          <w:color w:val="333333"/>
          <w:kern w:val="0"/>
          <w:sz w:val="24"/>
          <w:highlight w:val="none"/>
          <w:shd w:val="clear" w:color="auto" w:fill="FFFFFF"/>
          <w:lang w:bidi="ar"/>
        </w:rPr>
        <w:t>本公司（联合体）郑重声明，根据《政府采购促进中小企业发展管理办法》（财库﹝2020﹞46 号）的规定，本公司（联合体）参加</w:t>
      </w:r>
      <w:r>
        <w:rPr>
          <w:rFonts w:hint="eastAsia" w:ascii="仿宋" w:hAnsi="仿宋" w:eastAsia="仿宋" w:cs="仿宋"/>
          <w:color w:val="333333"/>
          <w:kern w:val="0"/>
          <w:sz w:val="24"/>
          <w:highlight w:val="none"/>
          <w:u w:val="single"/>
          <w:shd w:val="clear" w:color="auto" w:fill="FFFFFF"/>
          <w:lang w:bidi="ar"/>
        </w:rPr>
        <w:t>    （单位名称）</w:t>
      </w:r>
      <w:r>
        <w:rPr>
          <w:rFonts w:hint="eastAsia" w:ascii="仿宋" w:hAnsi="仿宋" w:eastAsia="仿宋" w:cs="仿宋"/>
          <w:color w:val="333333"/>
          <w:kern w:val="0"/>
          <w:sz w:val="24"/>
          <w:highlight w:val="none"/>
          <w:shd w:val="clear" w:color="auto" w:fill="FFFFFF"/>
          <w:lang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0ADBA9F6">
      <w:pPr>
        <w:widowControl/>
        <w:shd w:val="clear" w:color="auto" w:fill="FFFFFF"/>
        <w:spacing w:before="100" w:beforeAutospacing="1" w:after="100" w:afterAutospacing="1"/>
        <w:ind w:firstLine="480" w:firstLineChars="200"/>
        <w:jc w:val="left"/>
        <w:rPr>
          <w:rFonts w:ascii="仿宋" w:hAnsi="仿宋" w:eastAsia="仿宋" w:cs="仿宋"/>
          <w:color w:val="333333"/>
          <w:szCs w:val="21"/>
          <w:highlight w:val="none"/>
        </w:rPr>
      </w:pPr>
      <w:r>
        <w:rPr>
          <w:rFonts w:hint="eastAsia" w:ascii="仿宋" w:hAnsi="仿宋" w:eastAsia="仿宋" w:cs="仿宋"/>
          <w:color w:val="333333"/>
          <w:kern w:val="0"/>
          <w:sz w:val="24"/>
          <w:highlight w:val="none"/>
          <w:u w:val="single"/>
          <w:shd w:val="clear" w:color="auto" w:fill="FFFFFF"/>
          <w:lang w:bidi="ar"/>
        </w:rPr>
        <w:t>1.   （标的名称）</w:t>
      </w:r>
      <w:r>
        <w:rPr>
          <w:rFonts w:hint="eastAsia" w:ascii="仿宋" w:hAnsi="仿宋" w:eastAsia="仿宋" w:cs="仿宋"/>
          <w:color w:val="333333"/>
          <w:kern w:val="0"/>
          <w:sz w:val="24"/>
          <w:highlight w:val="none"/>
          <w:shd w:val="clear" w:color="auto" w:fill="FFFFFF"/>
          <w:lang w:bidi="ar"/>
        </w:rPr>
        <w:t>，属于</w:t>
      </w:r>
      <w:r>
        <w:rPr>
          <w:rFonts w:hint="eastAsia" w:ascii="仿宋" w:hAnsi="仿宋" w:eastAsia="仿宋" w:cs="仿宋"/>
          <w:color w:val="333333"/>
          <w:kern w:val="0"/>
          <w:sz w:val="24"/>
          <w:highlight w:val="none"/>
          <w:u w:val="single"/>
          <w:shd w:val="clear" w:color="auto" w:fill="FFFFFF"/>
          <w:lang w:bidi="ar"/>
        </w:rPr>
        <w:t>    （采购文件中明确的所属行业）</w:t>
      </w:r>
      <w:r>
        <w:rPr>
          <w:rFonts w:hint="eastAsia" w:ascii="仿宋" w:hAnsi="仿宋" w:eastAsia="仿宋" w:cs="仿宋"/>
          <w:color w:val="333333"/>
          <w:kern w:val="0"/>
          <w:sz w:val="24"/>
          <w:highlight w:val="none"/>
          <w:shd w:val="clear" w:color="auto" w:fill="FFFFFF"/>
          <w:lang w:bidi="ar"/>
        </w:rPr>
        <w:t>；承建（承接）企业为</w:t>
      </w:r>
      <w:r>
        <w:rPr>
          <w:rFonts w:hint="eastAsia" w:ascii="仿宋" w:hAnsi="仿宋" w:eastAsia="仿宋" w:cs="仿宋"/>
          <w:color w:val="333333"/>
          <w:kern w:val="0"/>
          <w:sz w:val="24"/>
          <w:highlight w:val="none"/>
          <w:u w:val="single"/>
          <w:shd w:val="clear" w:color="auto" w:fill="FFFFFF"/>
          <w:lang w:bidi="ar"/>
        </w:rPr>
        <w:t>    （企业名称）</w:t>
      </w:r>
      <w:r>
        <w:rPr>
          <w:rFonts w:hint="eastAsia" w:ascii="仿宋" w:hAnsi="仿宋" w:eastAsia="仿宋" w:cs="仿宋"/>
          <w:color w:val="333333"/>
          <w:kern w:val="0"/>
          <w:sz w:val="24"/>
          <w:highlight w:val="none"/>
          <w:shd w:val="clear" w:color="auto" w:fill="FFFFFF"/>
          <w:lang w:bidi="ar"/>
        </w:rPr>
        <w:t>，从业人员</w:t>
      </w:r>
      <w:r>
        <w:rPr>
          <w:rFonts w:hint="eastAsia" w:ascii="仿宋" w:hAnsi="仿宋" w:eastAsia="仿宋" w:cs="仿宋"/>
          <w:color w:val="333333"/>
          <w:kern w:val="0"/>
          <w:sz w:val="24"/>
          <w:highlight w:val="none"/>
          <w:u w:val="single"/>
          <w:shd w:val="clear" w:color="auto" w:fill="FFFFFF"/>
          <w:lang w:bidi="ar"/>
        </w:rPr>
        <w:t>    </w:t>
      </w:r>
      <w:r>
        <w:rPr>
          <w:rFonts w:hint="eastAsia" w:ascii="仿宋" w:hAnsi="仿宋" w:eastAsia="仿宋" w:cs="仿宋"/>
          <w:color w:val="333333"/>
          <w:kern w:val="0"/>
          <w:sz w:val="24"/>
          <w:highlight w:val="none"/>
          <w:shd w:val="clear" w:color="auto" w:fill="FFFFFF"/>
          <w:lang w:bidi="ar"/>
        </w:rPr>
        <w:t>人，营业收入为</w:t>
      </w:r>
      <w:r>
        <w:rPr>
          <w:rFonts w:hint="eastAsia" w:ascii="仿宋" w:hAnsi="仿宋" w:eastAsia="仿宋" w:cs="仿宋"/>
          <w:color w:val="333333"/>
          <w:kern w:val="0"/>
          <w:sz w:val="24"/>
          <w:highlight w:val="none"/>
          <w:u w:val="single"/>
          <w:shd w:val="clear" w:color="auto" w:fill="FFFFFF"/>
          <w:lang w:bidi="ar"/>
        </w:rPr>
        <w:t>    </w:t>
      </w:r>
      <w:r>
        <w:rPr>
          <w:rFonts w:hint="eastAsia" w:ascii="仿宋" w:hAnsi="仿宋" w:eastAsia="仿宋" w:cs="仿宋"/>
          <w:color w:val="333333"/>
          <w:kern w:val="0"/>
          <w:sz w:val="24"/>
          <w:highlight w:val="none"/>
          <w:shd w:val="clear" w:color="auto" w:fill="FFFFFF"/>
          <w:lang w:bidi="ar"/>
        </w:rPr>
        <w:t>万元，资产总额为</w:t>
      </w:r>
      <w:r>
        <w:rPr>
          <w:rFonts w:hint="eastAsia" w:ascii="仿宋" w:hAnsi="仿宋" w:eastAsia="仿宋" w:cs="仿宋"/>
          <w:color w:val="333333"/>
          <w:kern w:val="0"/>
          <w:sz w:val="24"/>
          <w:highlight w:val="none"/>
          <w:u w:val="single"/>
          <w:shd w:val="clear" w:color="auto" w:fill="FFFFFF"/>
          <w:lang w:bidi="ar"/>
        </w:rPr>
        <w:t>    </w:t>
      </w:r>
      <w:r>
        <w:rPr>
          <w:rFonts w:hint="eastAsia" w:ascii="仿宋" w:hAnsi="仿宋" w:eastAsia="仿宋" w:cs="仿宋"/>
          <w:color w:val="333333"/>
          <w:kern w:val="0"/>
          <w:sz w:val="24"/>
          <w:highlight w:val="none"/>
          <w:shd w:val="clear" w:color="auto" w:fill="FFFFFF"/>
          <w:lang w:bidi="ar"/>
        </w:rPr>
        <w:t>万元，属于</w:t>
      </w:r>
      <w:r>
        <w:rPr>
          <w:rFonts w:hint="eastAsia" w:ascii="仿宋" w:hAnsi="仿宋" w:eastAsia="仿宋" w:cs="仿宋"/>
          <w:color w:val="333333"/>
          <w:kern w:val="0"/>
          <w:sz w:val="24"/>
          <w:highlight w:val="none"/>
          <w:u w:val="single"/>
          <w:shd w:val="clear" w:color="auto" w:fill="FFFFFF"/>
          <w:lang w:bidi="ar"/>
        </w:rPr>
        <w:t>     （中型企业、小型企业、微型企业）</w:t>
      </w:r>
      <w:r>
        <w:rPr>
          <w:rFonts w:hint="eastAsia" w:ascii="仿宋" w:hAnsi="仿宋" w:eastAsia="仿宋" w:cs="仿宋"/>
          <w:color w:val="333333"/>
          <w:kern w:val="0"/>
          <w:sz w:val="24"/>
          <w:highlight w:val="none"/>
          <w:shd w:val="clear" w:color="auto" w:fill="FFFFFF"/>
          <w:lang w:bidi="ar"/>
        </w:rPr>
        <w:t>；</w:t>
      </w:r>
    </w:p>
    <w:p w14:paraId="6C749D3C">
      <w:pPr>
        <w:widowControl/>
        <w:shd w:val="clear" w:color="auto" w:fill="FFFFFF"/>
        <w:spacing w:before="100" w:beforeAutospacing="1" w:after="100" w:afterAutospacing="1"/>
        <w:ind w:firstLine="480" w:firstLineChars="200"/>
        <w:jc w:val="left"/>
        <w:rPr>
          <w:rFonts w:ascii="仿宋" w:hAnsi="仿宋" w:eastAsia="仿宋" w:cs="仿宋"/>
          <w:color w:val="333333"/>
          <w:szCs w:val="21"/>
          <w:highlight w:val="none"/>
        </w:rPr>
      </w:pPr>
      <w:r>
        <w:rPr>
          <w:rFonts w:hint="eastAsia" w:ascii="仿宋" w:hAnsi="仿宋" w:eastAsia="仿宋" w:cs="仿宋"/>
          <w:color w:val="333333"/>
          <w:kern w:val="0"/>
          <w:sz w:val="24"/>
          <w:highlight w:val="none"/>
          <w:shd w:val="clear" w:color="auto" w:fill="FFFFFF"/>
          <w:lang w:bidi="ar"/>
        </w:rPr>
        <w:t>2.</w:t>
      </w:r>
      <w:r>
        <w:rPr>
          <w:rFonts w:hint="eastAsia" w:ascii="仿宋" w:hAnsi="仿宋" w:eastAsia="仿宋" w:cs="仿宋"/>
          <w:color w:val="333333"/>
          <w:kern w:val="0"/>
          <w:sz w:val="24"/>
          <w:highlight w:val="none"/>
          <w:u w:val="single"/>
          <w:shd w:val="clear" w:color="auto" w:fill="FFFFFF"/>
          <w:lang w:bidi="ar"/>
        </w:rPr>
        <w:t>     （标的名称）</w:t>
      </w:r>
      <w:r>
        <w:rPr>
          <w:rFonts w:hint="eastAsia" w:ascii="仿宋" w:hAnsi="仿宋" w:eastAsia="仿宋" w:cs="仿宋"/>
          <w:color w:val="333333"/>
          <w:kern w:val="0"/>
          <w:sz w:val="24"/>
          <w:highlight w:val="none"/>
          <w:shd w:val="clear" w:color="auto" w:fill="FFFFFF"/>
          <w:lang w:bidi="ar"/>
        </w:rPr>
        <w:t>，属于</w:t>
      </w:r>
      <w:r>
        <w:rPr>
          <w:rFonts w:hint="eastAsia" w:ascii="仿宋" w:hAnsi="仿宋" w:eastAsia="仿宋" w:cs="仿宋"/>
          <w:color w:val="333333"/>
          <w:kern w:val="0"/>
          <w:sz w:val="24"/>
          <w:highlight w:val="none"/>
          <w:u w:val="single"/>
          <w:shd w:val="clear" w:color="auto" w:fill="FFFFFF"/>
          <w:lang w:bidi="ar"/>
        </w:rPr>
        <w:t>     （采购文件中明确的所属行业）</w:t>
      </w:r>
      <w:r>
        <w:rPr>
          <w:rFonts w:hint="eastAsia" w:ascii="仿宋" w:hAnsi="仿宋" w:eastAsia="仿宋" w:cs="仿宋"/>
          <w:color w:val="333333"/>
          <w:kern w:val="0"/>
          <w:sz w:val="24"/>
          <w:highlight w:val="none"/>
          <w:shd w:val="clear" w:color="auto" w:fill="FFFFFF"/>
          <w:lang w:bidi="ar"/>
        </w:rPr>
        <w:t>行业；制造商为</w:t>
      </w:r>
      <w:r>
        <w:rPr>
          <w:rFonts w:hint="eastAsia" w:ascii="仿宋" w:hAnsi="仿宋" w:eastAsia="仿宋" w:cs="仿宋"/>
          <w:color w:val="333333"/>
          <w:kern w:val="0"/>
          <w:sz w:val="24"/>
          <w:highlight w:val="none"/>
          <w:u w:val="single"/>
          <w:shd w:val="clear" w:color="auto" w:fill="FFFFFF"/>
          <w:lang w:bidi="ar"/>
        </w:rPr>
        <w:t>       （企业名称）</w:t>
      </w:r>
      <w:r>
        <w:rPr>
          <w:rFonts w:hint="eastAsia" w:ascii="仿宋" w:hAnsi="仿宋" w:eastAsia="仿宋" w:cs="仿宋"/>
          <w:color w:val="333333"/>
          <w:kern w:val="0"/>
          <w:sz w:val="24"/>
          <w:highlight w:val="none"/>
          <w:shd w:val="clear" w:color="auto" w:fill="FFFFFF"/>
          <w:lang w:bidi="ar"/>
        </w:rPr>
        <w:t>，从业人员</w:t>
      </w:r>
      <w:r>
        <w:rPr>
          <w:rFonts w:hint="eastAsia" w:ascii="仿宋" w:hAnsi="仿宋" w:eastAsia="仿宋" w:cs="仿宋"/>
          <w:color w:val="333333"/>
          <w:kern w:val="0"/>
          <w:sz w:val="24"/>
          <w:highlight w:val="none"/>
          <w:u w:val="single"/>
          <w:shd w:val="clear" w:color="auto" w:fill="FFFFFF"/>
          <w:lang w:bidi="ar"/>
        </w:rPr>
        <w:t>    </w:t>
      </w:r>
      <w:r>
        <w:rPr>
          <w:rFonts w:hint="eastAsia" w:ascii="仿宋" w:hAnsi="仿宋" w:eastAsia="仿宋" w:cs="仿宋"/>
          <w:color w:val="333333"/>
          <w:kern w:val="0"/>
          <w:sz w:val="24"/>
          <w:highlight w:val="none"/>
          <w:shd w:val="clear" w:color="auto" w:fill="FFFFFF"/>
          <w:lang w:bidi="ar"/>
        </w:rPr>
        <w:t>人，营业收入为</w:t>
      </w:r>
      <w:r>
        <w:rPr>
          <w:rFonts w:hint="eastAsia" w:ascii="仿宋" w:hAnsi="仿宋" w:eastAsia="仿宋" w:cs="仿宋"/>
          <w:color w:val="333333"/>
          <w:kern w:val="0"/>
          <w:sz w:val="24"/>
          <w:highlight w:val="none"/>
          <w:u w:val="single"/>
          <w:shd w:val="clear" w:color="auto" w:fill="FFFFFF"/>
          <w:lang w:bidi="ar"/>
        </w:rPr>
        <w:t>    </w:t>
      </w:r>
      <w:r>
        <w:rPr>
          <w:rFonts w:hint="eastAsia" w:ascii="仿宋" w:hAnsi="仿宋" w:eastAsia="仿宋" w:cs="仿宋"/>
          <w:color w:val="333333"/>
          <w:kern w:val="0"/>
          <w:sz w:val="24"/>
          <w:highlight w:val="none"/>
          <w:shd w:val="clear" w:color="auto" w:fill="FFFFFF"/>
          <w:lang w:bidi="ar"/>
        </w:rPr>
        <w:t>万元，资产总额为</w:t>
      </w:r>
      <w:r>
        <w:rPr>
          <w:rFonts w:hint="eastAsia" w:ascii="仿宋" w:hAnsi="仿宋" w:eastAsia="仿宋" w:cs="仿宋"/>
          <w:color w:val="333333"/>
          <w:kern w:val="0"/>
          <w:sz w:val="24"/>
          <w:highlight w:val="none"/>
          <w:u w:val="single"/>
          <w:shd w:val="clear" w:color="auto" w:fill="FFFFFF"/>
          <w:lang w:bidi="ar"/>
        </w:rPr>
        <w:t>   </w:t>
      </w:r>
      <w:r>
        <w:rPr>
          <w:rFonts w:hint="eastAsia" w:ascii="仿宋" w:hAnsi="仿宋" w:eastAsia="仿宋" w:cs="仿宋"/>
          <w:color w:val="333333"/>
          <w:kern w:val="0"/>
          <w:sz w:val="24"/>
          <w:highlight w:val="none"/>
          <w:shd w:val="clear" w:color="auto" w:fill="FFFFFF"/>
          <w:lang w:bidi="ar"/>
        </w:rPr>
        <w:t>万元，属于</w:t>
      </w:r>
      <w:r>
        <w:rPr>
          <w:rFonts w:hint="eastAsia" w:ascii="仿宋" w:hAnsi="仿宋" w:eastAsia="仿宋" w:cs="仿宋"/>
          <w:color w:val="333333"/>
          <w:kern w:val="0"/>
          <w:sz w:val="24"/>
          <w:highlight w:val="none"/>
          <w:u w:val="single"/>
          <w:shd w:val="clear" w:color="auto" w:fill="FFFFFF"/>
          <w:lang w:bidi="ar"/>
        </w:rPr>
        <w:t>     （中型企业、小型企业、微型企业）</w:t>
      </w:r>
      <w:r>
        <w:rPr>
          <w:rFonts w:hint="eastAsia" w:ascii="仿宋" w:hAnsi="仿宋" w:eastAsia="仿宋" w:cs="仿宋"/>
          <w:color w:val="333333"/>
          <w:kern w:val="0"/>
          <w:sz w:val="24"/>
          <w:highlight w:val="none"/>
          <w:shd w:val="clear" w:color="auto" w:fill="FFFFFF"/>
          <w:lang w:bidi="ar"/>
        </w:rPr>
        <w:t>；</w:t>
      </w:r>
    </w:p>
    <w:p w14:paraId="14F55B69">
      <w:pPr>
        <w:widowControl/>
        <w:shd w:val="clear" w:color="auto" w:fill="FFFFFF"/>
        <w:spacing w:before="100" w:beforeAutospacing="1" w:after="100" w:afterAutospacing="1"/>
        <w:ind w:firstLine="480" w:firstLineChars="200"/>
        <w:jc w:val="left"/>
        <w:rPr>
          <w:rFonts w:ascii="仿宋" w:hAnsi="仿宋" w:eastAsia="仿宋" w:cs="仿宋"/>
          <w:color w:val="333333"/>
          <w:szCs w:val="21"/>
          <w:highlight w:val="none"/>
        </w:rPr>
      </w:pPr>
      <w:r>
        <w:rPr>
          <w:rFonts w:hint="eastAsia" w:ascii="仿宋" w:hAnsi="仿宋" w:eastAsia="仿宋" w:cs="仿宋"/>
          <w:color w:val="333333"/>
          <w:kern w:val="0"/>
          <w:sz w:val="24"/>
          <w:highlight w:val="none"/>
          <w:shd w:val="clear" w:color="auto" w:fill="FFFFFF"/>
          <w:lang w:bidi="ar"/>
        </w:rPr>
        <w:t>……</w:t>
      </w:r>
    </w:p>
    <w:p w14:paraId="743DBC2D">
      <w:pPr>
        <w:widowControl/>
        <w:shd w:val="clear" w:color="auto" w:fill="FFFFFF"/>
        <w:spacing w:before="100" w:beforeAutospacing="1" w:after="100" w:afterAutospacing="1"/>
        <w:ind w:firstLine="480" w:firstLineChars="200"/>
        <w:jc w:val="left"/>
        <w:rPr>
          <w:rFonts w:ascii="仿宋" w:hAnsi="仿宋" w:eastAsia="仿宋" w:cs="仿宋"/>
          <w:color w:val="333333"/>
          <w:szCs w:val="21"/>
          <w:highlight w:val="none"/>
        </w:rPr>
      </w:pPr>
      <w:r>
        <w:rPr>
          <w:rFonts w:hint="eastAsia" w:ascii="仿宋" w:hAnsi="仿宋" w:eastAsia="仿宋" w:cs="仿宋"/>
          <w:color w:val="333333"/>
          <w:kern w:val="0"/>
          <w:sz w:val="24"/>
          <w:highlight w:val="none"/>
          <w:shd w:val="clear" w:color="auto" w:fill="FFFFFF"/>
          <w:lang w:bidi="ar"/>
        </w:rPr>
        <w:t>以上企业，不属于大企业的分支机构，不存在控股股东为大企业的情形，也不存在与大企业的负责人为同一人的情形。</w:t>
      </w:r>
    </w:p>
    <w:p w14:paraId="0F08777B">
      <w:pPr>
        <w:widowControl/>
        <w:shd w:val="clear" w:color="auto" w:fill="FFFFFF"/>
        <w:spacing w:before="100" w:beforeAutospacing="1" w:after="100" w:afterAutospacing="1"/>
        <w:ind w:firstLine="480" w:firstLineChars="200"/>
        <w:jc w:val="left"/>
        <w:rPr>
          <w:rFonts w:ascii="仿宋" w:hAnsi="仿宋" w:eastAsia="仿宋" w:cs="仿宋"/>
          <w:color w:val="333333"/>
          <w:szCs w:val="21"/>
          <w:highlight w:val="none"/>
        </w:rPr>
      </w:pPr>
      <w:r>
        <w:rPr>
          <w:rFonts w:hint="eastAsia" w:ascii="仿宋" w:hAnsi="仿宋" w:eastAsia="仿宋" w:cs="仿宋"/>
          <w:color w:val="333333"/>
          <w:kern w:val="0"/>
          <w:sz w:val="24"/>
          <w:highlight w:val="none"/>
          <w:shd w:val="clear" w:color="auto" w:fill="FFFFFF"/>
          <w:lang w:bidi="ar"/>
        </w:rPr>
        <w:t>本企业对上述声明内容的真实性负责。如有虚假，将依法承担相应责任。</w:t>
      </w:r>
    </w:p>
    <w:p w14:paraId="7882960C">
      <w:pPr>
        <w:widowControl/>
        <w:shd w:val="clear" w:color="auto" w:fill="FFFFFF"/>
        <w:spacing w:before="100" w:beforeAutospacing="1" w:after="100" w:afterAutospacing="1"/>
        <w:ind w:firstLine="480" w:firstLineChars="200"/>
        <w:jc w:val="left"/>
        <w:rPr>
          <w:rFonts w:ascii="仿宋" w:hAnsi="仿宋" w:eastAsia="仿宋" w:cs="仿宋"/>
          <w:color w:val="333333"/>
          <w:szCs w:val="21"/>
          <w:highlight w:val="none"/>
        </w:rPr>
      </w:pPr>
      <w:r>
        <w:rPr>
          <w:rFonts w:hint="eastAsia" w:ascii="仿宋" w:hAnsi="仿宋" w:eastAsia="仿宋" w:cs="仿宋"/>
          <w:color w:val="333333"/>
          <w:kern w:val="0"/>
          <w:sz w:val="24"/>
          <w:highlight w:val="none"/>
          <w:shd w:val="clear" w:color="auto" w:fill="FFFFFF"/>
          <w:lang w:bidi="ar"/>
        </w:rPr>
        <w:t>企业名称（盖章）：</w:t>
      </w:r>
    </w:p>
    <w:p w14:paraId="739392F9">
      <w:pPr>
        <w:widowControl/>
        <w:shd w:val="clear" w:color="auto" w:fill="FFFFFF"/>
        <w:spacing w:before="100" w:beforeAutospacing="1" w:after="100" w:afterAutospacing="1"/>
        <w:ind w:firstLine="480" w:firstLineChars="200"/>
        <w:jc w:val="left"/>
        <w:rPr>
          <w:rFonts w:ascii="仿宋" w:hAnsi="仿宋" w:eastAsia="仿宋" w:cs="仿宋"/>
          <w:color w:val="333333"/>
          <w:szCs w:val="21"/>
          <w:highlight w:val="none"/>
        </w:rPr>
      </w:pPr>
      <w:r>
        <w:rPr>
          <w:rFonts w:hint="eastAsia" w:ascii="仿宋" w:hAnsi="仿宋" w:eastAsia="仿宋" w:cs="仿宋"/>
          <w:color w:val="333333"/>
          <w:kern w:val="0"/>
          <w:sz w:val="24"/>
          <w:highlight w:val="none"/>
          <w:shd w:val="clear" w:color="auto" w:fill="FFFFFF"/>
          <w:lang w:bidi="ar"/>
        </w:rPr>
        <w:t>日 期：</w:t>
      </w:r>
    </w:p>
    <w:p w14:paraId="1088E35B">
      <w:pPr>
        <w:widowControl/>
        <w:spacing w:before="100" w:beforeAutospacing="1" w:after="100" w:afterAutospacing="1"/>
        <w:ind w:firstLine="480" w:firstLineChars="200"/>
        <w:jc w:val="left"/>
        <w:rPr>
          <w:rFonts w:ascii="仿宋" w:hAnsi="仿宋" w:eastAsia="仿宋" w:cs="仿宋"/>
          <w:sz w:val="24"/>
          <w:szCs w:val="20"/>
          <w:highlight w:val="none"/>
        </w:rPr>
      </w:pPr>
      <w:r>
        <w:rPr>
          <w:rFonts w:hint="eastAsia" w:ascii="仿宋" w:hAnsi="仿宋" w:eastAsia="仿宋" w:cs="仿宋"/>
          <w:sz w:val="24"/>
          <w:szCs w:val="20"/>
          <w:highlight w:val="none"/>
        </w:rPr>
        <w:t>1从业人员、营业收入、资产总额填报上一年度数据，无上一年度数据的新成立企业可不填报。</w:t>
      </w:r>
    </w:p>
    <w:p w14:paraId="1A103300">
      <w:pPr>
        <w:spacing w:after="60" w:afterLines="25"/>
        <w:ind w:firstLine="482" w:firstLineChars="200"/>
        <w:rPr>
          <w:rFonts w:ascii="仿宋" w:hAnsi="仿宋" w:eastAsia="仿宋" w:cs="仿宋"/>
          <w:b/>
          <w:bCs/>
          <w:sz w:val="24"/>
          <w:szCs w:val="20"/>
          <w:highlight w:val="none"/>
        </w:rPr>
      </w:pPr>
      <w:r>
        <w:rPr>
          <w:rFonts w:hint="eastAsia" w:ascii="仿宋" w:hAnsi="仿宋" w:eastAsia="仿宋" w:cs="仿宋"/>
          <w:b/>
          <w:bCs/>
          <w:sz w:val="24"/>
          <w:szCs w:val="20"/>
          <w:highlight w:val="none"/>
        </w:rPr>
        <w:t>注：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2FB9116A">
      <w:pPr>
        <w:pStyle w:val="8"/>
        <w:spacing w:line="240" w:lineRule="auto"/>
        <w:ind w:firstLine="482" w:firstLineChars="200"/>
        <w:rPr>
          <w:rFonts w:ascii="仿宋" w:hAnsi="仿宋" w:eastAsia="仿宋" w:cs="仿宋"/>
          <w:b/>
          <w:bCs/>
          <w:color w:val="333333"/>
          <w:kern w:val="0"/>
          <w:highlight w:val="none"/>
          <w:shd w:val="clear" w:color="auto" w:fill="FFFFFF"/>
          <w:lang w:bidi="ar"/>
        </w:rPr>
      </w:pPr>
      <w:r>
        <w:rPr>
          <w:rFonts w:hint="eastAsia" w:ascii="仿宋" w:hAnsi="仿宋" w:eastAsia="仿宋" w:cs="仿宋"/>
          <w:b/>
          <w:bCs/>
          <w:color w:val="333333"/>
          <w:kern w:val="0"/>
          <w:highlight w:val="none"/>
          <w:shd w:val="clear" w:color="auto" w:fill="FFFFFF"/>
          <w:lang w:bidi="ar"/>
        </w:rPr>
        <w:t>（3）（本项目对应的中小企业划分标准所属行业为：</w:t>
      </w:r>
      <w:r>
        <w:rPr>
          <w:rFonts w:hint="eastAsia" w:ascii="仿宋" w:hAnsi="仿宋" w:eastAsia="仿宋" w:cs="仿宋"/>
          <w:b/>
          <w:bCs/>
          <w:kern w:val="0"/>
          <w:sz w:val="24"/>
          <w:highlight w:val="none"/>
        </w:rPr>
        <w:t>其他未列明行业</w:t>
      </w:r>
      <w:r>
        <w:rPr>
          <w:rFonts w:hint="eastAsia" w:ascii="仿宋" w:hAnsi="仿宋" w:eastAsia="仿宋" w:cs="仿宋"/>
          <w:b/>
          <w:bCs/>
          <w:color w:val="333333"/>
          <w:kern w:val="0"/>
          <w:highlight w:val="none"/>
          <w:shd w:val="clear" w:color="auto" w:fill="FFFFFF"/>
          <w:lang w:bidi="ar"/>
        </w:rPr>
        <w:t>）</w:t>
      </w:r>
    </w:p>
    <w:p w14:paraId="744F1263">
      <w:pPr>
        <w:pStyle w:val="3"/>
        <w:spacing w:before="0" w:line="240" w:lineRule="atLeast"/>
        <w:ind w:left="1080" w:leftChars="257" w:hanging="540"/>
        <w:rPr>
          <w:rFonts w:ascii="仿宋" w:hAnsi="仿宋" w:eastAsia="仿宋" w:cs="仿宋"/>
          <w:bCs/>
          <w:color w:val="000000"/>
          <w:kern w:val="2"/>
          <w:sz w:val="24"/>
          <w:szCs w:val="24"/>
          <w:highlight w:val="none"/>
        </w:rPr>
      </w:pPr>
      <w:bookmarkStart w:id="489" w:name="_Toc12563"/>
    </w:p>
    <w:p w14:paraId="2F0D4CC5">
      <w:pPr>
        <w:pStyle w:val="3"/>
        <w:spacing w:before="0" w:line="240" w:lineRule="atLeast"/>
        <w:jc w:val="both"/>
        <w:rPr>
          <w:rFonts w:ascii="仿宋" w:hAnsi="仿宋" w:eastAsia="仿宋" w:cs="仿宋"/>
          <w:bCs/>
          <w:color w:val="000000"/>
          <w:kern w:val="2"/>
          <w:sz w:val="24"/>
          <w:szCs w:val="24"/>
          <w:highlight w:val="none"/>
        </w:rPr>
      </w:pPr>
    </w:p>
    <w:p w14:paraId="2B5C8AD8">
      <w:pPr>
        <w:pStyle w:val="3"/>
        <w:spacing w:before="0" w:line="240" w:lineRule="atLeast"/>
        <w:ind w:left="1080" w:leftChars="257" w:hanging="540"/>
        <w:rPr>
          <w:rFonts w:ascii="仿宋" w:hAnsi="仿宋" w:eastAsia="仿宋" w:cs="仿宋"/>
          <w:bCs/>
          <w:color w:val="000000"/>
          <w:kern w:val="2"/>
          <w:sz w:val="24"/>
          <w:szCs w:val="24"/>
          <w:highlight w:val="none"/>
        </w:rPr>
      </w:pPr>
    </w:p>
    <w:p w14:paraId="0EDBFAE8">
      <w:pPr>
        <w:rPr>
          <w:rFonts w:ascii="仿宋" w:hAnsi="仿宋" w:eastAsia="仿宋" w:cs="仿宋"/>
          <w:b/>
          <w:bCs/>
          <w:color w:val="000000"/>
          <w:sz w:val="24"/>
          <w:highlight w:val="none"/>
        </w:rPr>
      </w:pPr>
    </w:p>
    <w:p w14:paraId="7965C935">
      <w:pPr>
        <w:pStyle w:val="8"/>
        <w:rPr>
          <w:rFonts w:ascii="仿宋" w:hAnsi="仿宋" w:eastAsia="仿宋" w:cs="仿宋"/>
          <w:b/>
          <w:bCs/>
          <w:color w:val="000000"/>
          <w:highlight w:val="none"/>
        </w:rPr>
      </w:pPr>
    </w:p>
    <w:p w14:paraId="7233F976">
      <w:pPr>
        <w:rPr>
          <w:rFonts w:ascii="仿宋" w:hAnsi="仿宋" w:eastAsia="仿宋" w:cs="仿宋"/>
          <w:b/>
          <w:bCs/>
          <w:color w:val="000000"/>
          <w:sz w:val="24"/>
          <w:highlight w:val="none"/>
        </w:rPr>
      </w:pPr>
    </w:p>
    <w:p w14:paraId="3D25335A">
      <w:pPr>
        <w:pStyle w:val="8"/>
        <w:rPr>
          <w:rFonts w:ascii="仿宋" w:hAnsi="仿宋" w:eastAsia="仿宋" w:cs="仿宋"/>
          <w:highlight w:val="none"/>
        </w:rPr>
      </w:pPr>
    </w:p>
    <w:p w14:paraId="07EAEE3F">
      <w:pPr>
        <w:rPr>
          <w:highlight w:val="none"/>
        </w:rPr>
      </w:pPr>
    </w:p>
    <w:p w14:paraId="2FB58E8B">
      <w:pPr>
        <w:jc w:val="left"/>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附：</w:t>
      </w:r>
    </w:p>
    <w:p w14:paraId="70A2C7B8">
      <w:pPr>
        <w:jc w:val="center"/>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中小微企业划型标准</w:t>
      </w:r>
    </w:p>
    <w:tbl>
      <w:tblPr>
        <w:tblStyle w:val="23"/>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7FA9F14B">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14:paraId="0C14CF49">
            <w:pPr>
              <w:widowControl/>
              <w:snapToGrid w:val="0"/>
              <w:contextualSpacing/>
              <w:jc w:val="center"/>
              <w:rPr>
                <w:rFonts w:ascii="仿宋" w:hAnsi="仿宋" w:eastAsia="仿宋" w:cs="仿宋"/>
                <w:b/>
                <w:kern w:val="0"/>
                <w:sz w:val="24"/>
                <w:highlight w:val="none"/>
              </w:rPr>
            </w:pPr>
            <w:r>
              <w:rPr>
                <w:rFonts w:hint="eastAsia" w:ascii="仿宋" w:hAnsi="仿宋" w:eastAsia="仿宋" w:cs="仿宋"/>
                <w:b/>
                <w:kern w:val="0"/>
                <w:sz w:val="24"/>
                <w:highlight w:val="none"/>
              </w:rPr>
              <w:t>行业名称</w:t>
            </w:r>
          </w:p>
        </w:tc>
        <w:tc>
          <w:tcPr>
            <w:tcW w:w="1660" w:type="dxa"/>
            <w:tcBorders>
              <w:top w:val="single" w:color="auto" w:sz="4" w:space="0"/>
              <w:left w:val="nil"/>
              <w:bottom w:val="single" w:color="auto" w:sz="4" w:space="0"/>
              <w:right w:val="single" w:color="auto" w:sz="4" w:space="0"/>
            </w:tcBorders>
            <w:vAlign w:val="center"/>
          </w:tcPr>
          <w:p w14:paraId="16604B7B">
            <w:pPr>
              <w:widowControl/>
              <w:snapToGrid w:val="0"/>
              <w:contextualSpacing/>
              <w:jc w:val="center"/>
              <w:rPr>
                <w:rFonts w:ascii="仿宋" w:hAnsi="仿宋" w:eastAsia="仿宋" w:cs="仿宋"/>
                <w:b/>
                <w:kern w:val="0"/>
                <w:sz w:val="24"/>
                <w:highlight w:val="none"/>
              </w:rPr>
            </w:pPr>
            <w:r>
              <w:rPr>
                <w:rFonts w:hint="eastAsia" w:ascii="仿宋" w:hAnsi="仿宋" w:eastAsia="仿宋" w:cs="仿宋"/>
                <w:b/>
                <w:kern w:val="0"/>
                <w:sz w:val="24"/>
                <w:highlight w:val="none"/>
              </w:rPr>
              <w:t>指标名称</w:t>
            </w:r>
          </w:p>
        </w:tc>
        <w:tc>
          <w:tcPr>
            <w:tcW w:w="1466" w:type="dxa"/>
            <w:tcBorders>
              <w:top w:val="single" w:color="auto" w:sz="4" w:space="0"/>
              <w:left w:val="nil"/>
              <w:bottom w:val="single" w:color="auto" w:sz="4" w:space="0"/>
              <w:right w:val="single" w:color="auto" w:sz="4" w:space="0"/>
            </w:tcBorders>
            <w:vAlign w:val="center"/>
          </w:tcPr>
          <w:p w14:paraId="236DA626">
            <w:pPr>
              <w:widowControl/>
              <w:snapToGrid w:val="0"/>
              <w:contextualSpacing/>
              <w:jc w:val="center"/>
              <w:rPr>
                <w:rFonts w:ascii="仿宋" w:hAnsi="仿宋" w:eastAsia="仿宋" w:cs="仿宋"/>
                <w:b/>
                <w:kern w:val="0"/>
                <w:sz w:val="24"/>
                <w:highlight w:val="none"/>
              </w:rPr>
            </w:pPr>
            <w:r>
              <w:rPr>
                <w:rFonts w:hint="eastAsia" w:ascii="仿宋" w:hAnsi="仿宋" w:eastAsia="仿宋" w:cs="仿宋"/>
                <w:b/>
                <w:kern w:val="0"/>
                <w:sz w:val="24"/>
                <w:highlight w:val="none"/>
              </w:rPr>
              <w:t>计量单位</w:t>
            </w:r>
          </w:p>
        </w:tc>
        <w:tc>
          <w:tcPr>
            <w:tcW w:w="1903" w:type="dxa"/>
            <w:tcBorders>
              <w:top w:val="single" w:color="auto" w:sz="4" w:space="0"/>
              <w:left w:val="nil"/>
              <w:bottom w:val="single" w:color="auto" w:sz="4" w:space="0"/>
              <w:right w:val="single" w:color="auto" w:sz="4" w:space="0"/>
            </w:tcBorders>
            <w:vAlign w:val="center"/>
          </w:tcPr>
          <w:p w14:paraId="153B077E">
            <w:pPr>
              <w:widowControl/>
              <w:snapToGrid w:val="0"/>
              <w:contextualSpacing/>
              <w:jc w:val="center"/>
              <w:rPr>
                <w:rFonts w:ascii="仿宋" w:hAnsi="仿宋" w:eastAsia="仿宋" w:cs="仿宋"/>
                <w:b/>
                <w:kern w:val="0"/>
                <w:sz w:val="24"/>
                <w:highlight w:val="none"/>
              </w:rPr>
            </w:pPr>
            <w:r>
              <w:rPr>
                <w:rFonts w:hint="eastAsia" w:ascii="仿宋" w:hAnsi="仿宋" w:eastAsia="仿宋" w:cs="仿宋"/>
                <w:b/>
                <w:kern w:val="0"/>
                <w:sz w:val="24"/>
                <w:highlight w:val="none"/>
              </w:rPr>
              <w:t>中型</w:t>
            </w:r>
          </w:p>
        </w:tc>
        <w:tc>
          <w:tcPr>
            <w:tcW w:w="1692" w:type="dxa"/>
            <w:tcBorders>
              <w:top w:val="single" w:color="auto" w:sz="4" w:space="0"/>
              <w:left w:val="nil"/>
              <w:bottom w:val="single" w:color="auto" w:sz="4" w:space="0"/>
              <w:right w:val="single" w:color="auto" w:sz="4" w:space="0"/>
            </w:tcBorders>
            <w:vAlign w:val="center"/>
          </w:tcPr>
          <w:p w14:paraId="37693B45">
            <w:pPr>
              <w:widowControl/>
              <w:snapToGrid w:val="0"/>
              <w:contextualSpacing/>
              <w:jc w:val="center"/>
              <w:rPr>
                <w:rFonts w:ascii="仿宋" w:hAnsi="仿宋" w:eastAsia="仿宋" w:cs="仿宋"/>
                <w:b/>
                <w:kern w:val="0"/>
                <w:sz w:val="24"/>
                <w:highlight w:val="none"/>
              </w:rPr>
            </w:pPr>
            <w:r>
              <w:rPr>
                <w:rFonts w:hint="eastAsia" w:ascii="仿宋" w:hAnsi="仿宋" w:eastAsia="仿宋" w:cs="仿宋"/>
                <w:b/>
                <w:kern w:val="0"/>
                <w:sz w:val="24"/>
                <w:highlight w:val="none"/>
              </w:rPr>
              <w:t>小型</w:t>
            </w:r>
          </w:p>
        </w:tc>
        <w:tc>
          <w:tcPr>
            <w:tcW w:w="1087" w:type="dxa"/>
            <w:tcBorders>
              <w:top w:val="single" w:color="auto" w:sz="4" w:space="0"/>
              <w:left w:val="nil"/>
              <w:bottom w:val="single" w:color="auto" w:sz="4" w:space="0"/>
              <w:right w:val="single" w:color="auto" w:sz="4" w:space="0"/>
            </w:tcBorders>
            <w:vAlign w:val="center"/>
          </w:tcPr>
          <w:p w14:paraId="6E2A7C10">
            <w:pPr>
              <w:widowControl/>
              <w:snapToGrid w:val="0"/>
              <w:contextualSpacing/>
              <w:jc w:val="center"/>
              <w:rPr>
                <w:rFonts w:ascii="仿宋" w:hAnsi="仿宋" w:eastAsia="仿宋" w:cs="仿宋"/>
                <w:b/>
                <w:kern w:val="0"/>
                <w:sz w:val="24"/>
                <w:highlight w:val="none"/>
              </w:rPr>
            </w:pPr>
            <w:r>
              <w:rPr>
                <w:rFonts w:hint="eastAsia" w:ascii="仿宋" w:hAnsi="仿宋" w:eastAsia="仿宋" w:cs="仿宋"/>
                <w:b/>
                <w:kern w:val="0"/>
                <w:sz w:val="24"/>
                <w:highlight w:val="none"/>
              </w:rPr>
              <w:t>微型</w:t>
            </w:r>
          </w:p>
        </w:tc>
      </w:tr>
      <w:tr w14:paraId="176949D6">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737D9881">
            <w:pPr>
              <w:widowControl/>
              <w:snapToGrid w:val="0"/>
              <w:contextualSpacing/>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农、林、牧、渔</w:t>
            </w:r>
          </w:p>
        </w:tc>
        <w:tc>
          <w:tcPr>
            <w:tcW w:w="1660" w:type="dxa"/>
            <w:tcBorders>
              <w:top w:val="nil"/>
              <w:left w:val="nil"/>
              <w:bottom w:val="single" w:color="auto" w:sz="4" w:space="0"/>
              <w:right w:val="single" w:color="auto" w:sz="4" w:space="0"/>
            </w:tcBorders>
            <w:vAlign w:val="center"/>
          </w:tcPr>
          <w:p w14:paraId="4B0E7480">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1466" w:type="dxa"/>
            <w:tcBorders>
              <w:top w:val="nil"/>
              <w:left w:val="nil"/>
              <w:bottom w:val="single" w:color="auto" w:sz="4" w:space="0"/>
              <w:right w:val="single" w:color="auto" w:sz="4" w:space="0"/>
            </w:tcBorders>
            <w:vAlign w:val="center"/>
          </w:tcPr>
          <w:p w14:paraId="72F5DB86">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万元</w:t>
            </w:r>
          </w:p>
        </w:tc>
        <w:tc>
          <w:tcPr>
            <w:tcW w:w="1903" w:type="dxa"/>
            <w:tcBorders>
              <w:top w:val="nil"/>
              <w:left w:val="nil"/>
              <w:bottom w:val="single" w:color="auto" w:sz="4" w:space="0"/>
              <w:right w:val="single" w:color="auto" w:sz="4" w:space="0"/>
            </w:tcBorders>
            <w:vAlign w:val="center"/>
          </w:tcPr>
          <w:p w14:paraId="5C69501F">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500≤Y＜20000</w:t>
            </w:r>
          </w:p>
        </w:tc>
        <w:tc>
          <w:tcPr>
            <w:tcW w:w="1692" w:type="dxa"/>
            <w:tcBorders>
              <w:top w:val="nil"/>
              <w:left w:val="nil"/>
              <w:bottom w:val="single" w:color="auto" w:sz="4" w:space="0"/>
              <w:right w:val="single" w:color="auto" w:sz="4" w:space="0"/>
            </w:tcBorders>
            <w:vAlign w:val="center"/>
          </w:tcPr>
          <w:p w14:paraId="46B9B253">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50≤Y＜500</w:t>
            </w:r>
          </w:p>
        </w:tc>
        <w:tc>
          <w:tcPr>
            <w:tcW w:w="1087" w:type="dxa"/>
            <w:tcBorders>
              <w:top w:val="nil"/>
              <w:left w:val="nil"/>
              <w:bottom w:val="single" w:color="auto" w:sz="4" w:space="0"/>
              <w:right w:val="single" w:color="auto" w:sz="4" w:space="0"/>
            </w:tcBorders>
            <w:vAlign w:val="center"/>
          </w:tcPr>
          <w:p w14:paraId="696CD5DA">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Y＜50</w:t>
            </w:r>
          </w:p>
        </w:tc>
      </w:tr>
      <w:tr w14:paraId="1798299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D08DA2A">
            <w:pPr>
              <w:widowControl/>
              <w:snapToGrid w:val="0"/>
              <w:contextualSpacing/>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工业</w:t>
            </w:r>
          </w:p>
        </w:tc>
        <w:tc>
          <w:tcPr>
            <w:tcW w:w="1660" w:type="dxa"/>
            <w:tcBorders>
              <w:top w:val="nil"/>
              <w:left w:val="nil"/>
              <w:bottom w:val="single" w:color="auto" w:sz="4" w:space="0"/>
              <w:right w:val="single" w:color="auto" w:sz="4" w:space="0"/>
            </w:tcBorders>
            <w:vAlign w:val="center"/>
          </w:tcPr>
          <w:p w14:paraId="30373CC9">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1466" w:type="dxa"/>
            <w:tcBorders>
              <w:top w:val="nil"/>
              <w:left w:val="nil"/>
              <w:bottom w:val="single" w:color="auto" w:sz="4" w:space="0"/>
              <w:right w:val="single" w:color="auto" w:sz="4" w:space="0"/>
            </w:tcBorders>
            <w:vAlign w:val="center"/>
          </w:tcPr>
          <w:p w14:paraId="23A7C1BA">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人</w:t>
            </w:r>
          </w:p>
        </w:tc>
        <w:tc>
          <w:tcPr>
            <w:tcW w:w="1903" w:type="dxa"/>
            <w:tcBorders>
              <w:top w:val="nil"/>
              <w:left w:val="nil"/>
              <w:bottom w:val="single" w:color="auto" w:sz="4" w:space="0"/>
              <w:right w:val="single" w:color="auto" w:sz="4" w:space="0"/>
            </w:tcBorders>
            <w:vAlign w:val="center"/>
          </w:tcPr>
          <w:p w14:paraId="3A49B5CB">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300≤X＜1000</w:t>
            </w:r>
          </w:p>
        </w:tc>
        <w:tc>
          <w:tcPr>
            <w:tcW w:w="1692" w:type="dxa"/>
            <w:tcBorders>
              <w:top w:val="nil"/>
              <w:left w:val="nil"/>
              <w:bottom w:val="single" w:color="auto" w:sz="4" w:space="0"/>
              <w:right w:val="single" w:color="auto" w:sz="4" w:space="0"/>
            </w:tcBorders>
            <w:vAlign w:val="center"/>
          </w:tcPr>
          <w:p w14:paraId="27835A08">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20≤X＜300</w:t>
            </w:r>
          </w:p>
        </w:tc>
        <w:tc>
          <w:tcPr>
            <w:tcW w:w="1087" w:type="dxa"/>
            <w:tcBorders>
              <w:top w:val="nil"/>
              <w:left w:val="nil"/>
              <w:bottom w:val="single" w:color="auto" w:sz="4" w:space="0"/>
              <w:right w:val="single" w:color="auto" w:sz="4" w:space="0"/>
            </w:tcBorders>
            <w:vAlign w:val="center"/>
          </w:tcPr>
          <w:p w14:paraId="56383782">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X＜20</w:t>
            </w:r>
          </w:p>
        </w:tc>
      </w:tr>
      <w:tr w14:paraId="1A06315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9CD1069">
            <w:pPr>
              <w:widowControl/>
              <w:snapToGrid w:val="0"/>
              <w:contextualSpacing/>
              <w:jc w:val="center"/>
              <w:rPr>
                <w:rFonts w:ascii="仿宋" w:hAnsi="仿宋" w:eastAsia="仿宋" w:cs="仿宋"/>
                <w:b/>
                <w:bCs/>
                <w:kern w:val="0"/>
                <w:sz w:val="24"/>
                <w:highlight w:val="none"/>
              </w:rPr>
            </w:pPr>
          </w:p>
        </w:tc>
        <w:tc>
          <w:tcPr>
            <w:tcW w:w="1660" w:type="dxa"/>
            <w:tcBorders>
              <w:top w:val="nil"/>
              <w:left w:val="nil"/>
              <w:bottom w:val="single" w:color="auto" w:sz="4" w:space="0"/>
              <w:right w:val="single" w:color="auto" w:sz="4" w:space="0"/>
            </w:tcBorders>
            <w:vAlign w:val="center"/>
          </w:tcPr>
          <w:p w14:paraId="3F1B97D5">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1466" w:type="dxa"/>
            <w:tcBorders>
              <w:top w:val="nil"/>
              <w:left w:val="nil"/>
              <w:bottom w:val="single" w:color="auto" w:sz="4" w:space="0"/>
              <w:right w:val="single" w:color="auto" w:sz="4" w:space="0"/>
            </w:tcBorders>
            <w:vAlign w:val="center"/>
          </w:tcPr>
          <w:p w14:paraId="7EA09877">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万元</w:t>
            </w:r>
          </w:p>
        </w:tc>
        <w:tc>
          <w:tcPr>
            <w:tcW w:w="1903" w:type="dxa"/>
            <w:tcBorders>
              <w:top w:val="nil"/>
              <w:left w:val="nil"/>
              <w:bottom w:val="single" w:color="auto" w:sz="4" w:space="0"/>
              <w:right w:val="single" w:color="auto" w:sz="4" w:space="0"/>
            </w:tcBorders>
            <w:vAlign w:val="center"/>
          </w:tcPr>
          <w:p w14:paraId="4781064D">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2000≤Y＜40000</w:t>
            </w:r>
          </w:p>
        </w:tc>
        <w:tc>
          <w:tcPr>
            <w:tcW w:w="1692" w:type="dxa"/>
            <w:tcBorders>
              <w:top w:val="nil"/>
              <w:left w:val="nil"/>
              <w:bottom w:val="single" w:color="auto" w:sz="4" w:space="0"/>
              <w:right w:val="single" w:color="auto" w:sz="4" w:space="0"/>
            </w:tcBorders>
            <w:vAlign w:val="center"/>
          </w:tcPr>
          <w:p w14:paraId="6CE38E76">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300≤Y＜2000</w:t>
            </w:r>
          </w:p>
        </w:tc>
        <w:tc>
          <w:tcPr>
            <w:tcW w:w="1087" w:type="dxa"/>
            <w:tcBorders>
              <w:top w:val="nil"/>
              <w:left w:val="nil"/>
              <w:bottom w:val="single" w:color="auto" w:sz="4" w:space="0"/>
              <w:right w:val="single" w:color="auto" w:sz="4" w:space="0"/>
            </w:tcBorders>
            <w:vAlign w:val="center"/>
          </w:tcPr>
          <w:p w14:paraId="6B9EE368">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Y＜300</w:t>
            </w:r>
          </w:p>
        </w:tc>
      </w:tr>
      <w:tr w14:paraId="2C3D621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07061E6">
            <w:pPr>
              <w:widowControl/>
              <w:snapToGrid w:val="0"/>
              <w:contextualSpacing/>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建筑业</w:t>
            </w:r>
          </w:p>
        </w:tc>
        <w:tc>
          <w:tcPr>
            <w:tcW w:w="1660" w:type="dxa"/>
            <w:tcBorders>
              <w:top w:val="nil"/>
              <w:left w:val="nil"/>
              <w:bottom w:val="single" w:color="auto" w:sz="4" w:space="0"/>
              <w:right w:val="single" w:color="auto" w:sz="4" w:space="0"/>
            </w:tcBorders>
            <w:vAlign w:val="center"/>
          </w:tcPr>
          <w:p w14:paraId="188C63A0">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1466" w:type="dxa"/>
            <w:tcBorders>
              <w:top w:val="nil"/>
              <w:left w:val="nil"/>
              <w:bottom w:val="single" w:color="auto" w:sz="4" w:space="0"/>
              <w:right w:val="single" w:color="auto" w:sz="4" w:space="0"/>
            </w:tcBorders>
            <w:vAlign w:val="center"/>
          </w:tcPr>
          <w:p w14:paraId="7FC75A47">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万元</w:t>
            </w:r>
          </w:p>
        </w:tc>
        <w:tc>
          <w:tcPr>
            <w:tcW w:w="1903" w:type="dxa"/>
            <w:tcBorders>
              <w:top w:val="nil"/>
              <w:left w:val="nil"/>
              <w:bottom w:val="single" w:color="auto" w:sz="4" w:space="0"/>
              <w:right w:val="single" w:color="auto" w:sz="4" w:space="0"/>
            </w:tcBorders>
            <w:vAlign w:val="center"/>
          </w:tcPr>
          <w:p w14:paraId="32695797">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6000≤Y＜80000</w:t>
            </w:r>
          </w:p>
        </w:tc>
        <w:tc>
          <w:tcPr>
            <w:tcW w:w="1692" w:type="dxa"/>
            <w:tcBorders>
              <w:top w:val="nil"/>
              <w:left w:val="nil"/>
              <w:bottom w:val="single" w:color="auto" w:sz="4" w:space="0"/>
              <w:right w:val="single" w:color="auto" w:sz="4" w:space="0"/>
            </w:tcBorders>
            <w:vAlign w:val="center"/>
          </w:tcPr>
          <w:p w14:paraId="7399126D">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300≤Y＜6000</w:t>
            </w:r>
          </w:p>
        </w:tc>
        <w:tc>
          <w:tcPr>
            <w:tcW w:w="1087" w:type="dxa"/>
            <w:tcBorders>
              <w:top w:val="nil"/>
              <w:left w:val="nil"/>
              <w:bottom w:val="single" w:color="auto" w:sz="4" w:space="0"/>
              <w:right w:val="single" w:color="auto" w:sz="4" w:space="0"/>
            </w:tcBorders>
            <w:vAlign w:val="center"/>
          </w:tcPr>
          <w:p w14:paraId="6633D7C1">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Y＜300</w:t>
            </w:r>
          </w:p>
        </w:tc>
      </w:tr>
      <w:tr w14:paraId="1269727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0F452C1">
            <w:pPr>
              <w:widowControl/>
              <w:snapToGrid w:val="0"/>
              <w:contextualSpacing/>
              <w:jc w:val="center"/>
              <w:rPr>
                <w:rFonts w:ascii="仿宋" w:hAnsi="仿宋" w:eastAsia="仿宋" w:cs="仿宋"/>
                <w:b/>
                <w:bCs/>
                <w:kern w:val="0"/>
                <w:sz w:val="24"/>
                <w:highlight w:val="none"/>
              </w:rPr>
            </w:pPr>
          </w:p>
        </w:tc>
        <w:tc>
          <w:tcPr>
            <w:tcW w:w="1660" w:type="dxa"/>
            <w:tcBorders>
              <w:top w:val="nil"/>
              <w:left w:val="nil"/>
              <w:bottom w:val="single" w:color="auto" w:sz="4" w:space="0"/>
              <w:right w:val="single" w:color="auto" w:sz="4" w:space="0"/>
            </w:tcBorders>
            <w:vAlign w:val="center"/>
          </w:tcPr>
          <w:p w14:paraId="02E0F12C">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资产总额（Z）</w:t>
            </w:r>
          </w:p>
        </w:tc>
        <w:tc>
          <w:tcPr>
            <w:tcW w:w="1466" w:type="dxa"/>
            <w:tcBorders>
              <w:top w:val="nil"/>
              <w:left w:val="nil"/>
              <w:bottom w:val="single" w:color="auto" w:sz="4" w:space="0"/>
              <w:right w:val="single" w:color="auto" w:sz="4" w:space="0"/>
            </w:tcBorders>
            <w:vAlign w:val="center"/>
          </w:tcPr>
          <w:p w14:paraId="05DE676F">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万元</w:t>
            </w:r>
          </w:p>
        </w:tc>
        <w:tc>
          <w:tcPr>
            <w:tcW w:w="1903" w:type="dxa"/>
            <w:tcBorders>
              <w:top w:val="nil"/>
              <w:left w:val="nil"/>
              <w:bottom w:val="single" w:color="auto" w:sz="4" w:space="0"/>
              <w:right w:val="single" w:color="auto" w:sz="4" w:space="0"/>
            </w:tcBorders>
            <w:vAlign w:val="center"/>
          </w:tcPr>
          <w:p w14:paraId="5248D0CB">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5000≤Z＜80000</w:t>
            </w:r>
          </w:p>
        </w:tc>
        <w:tc>
          <w:tcPr>
            <w:tcW w:w="1692" w:type="dxa"/>
            <w:tcBorders>
              <w:top w:val="nil"/>
              <w:left w:val="nil"/>
              <w:bottom w:val="single" w:color="auto" w:sz="4" w:space="0"/>
              <w:right w:val="single" w:color="auto" w:sz="4" w:space="0"/>
            </w:tcBorders>
            <w:vAlign w:val="center"/>
          </w:tcPr>
          <w:p w14:paraId="653510A1">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300≤Z＜5000</w:t>
            </w:r>
          </w:p>
        </w:tc>
        <w:tc>
          <w:tcPr>
            <w:tcW w:w="1087" w:type="dxa"/>
            <w:tcBorders>
              <w:top w:val="nil"/>
              <w:left w:val="nil"/>
              <w:bottom w:val="single" w:color="auto" w:sz="4" w:space="0"/>
              <w:right w:val="single" w:color="auto" w:sz="4" w:space="0"/>
            </w:tcBorders>
            <w:vAlign w:val="center"/>
          </w:tcPr>
          <w:p w14:paraId="24CCA5C9">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Z＜300</w:t>
            </w:r>
          </w:p>
        </w:tc>
      </w:tr>
      <w:tr w14:paraId="750C180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67D3624">
            <w:pPr>
              <w:widowControl/>
              <w:snapToGrid w:val="0"/>
              <w:contextualSpacing/>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批发业</w:t>
            </w:r>
          </w:p>
        </w:tc>
        <w:tc>
          <w:tcPr>
            <w:tcW w:w="1660" w:type="dxa"/>
            <w:tcBorders>
              <w:top w:val="nil"/>
              <w:left w:val="nil"/>
              <w:bottom w:val="single" w:color="auto" w:sz="4" w:space="0"/>
              <w:right w:val="single" w:color="auto" w:sz="4" w:space="0"/>
            </w:tcBorders>
            <w:vAlign w:val="center"/>
          </w:tcPr>
          <w:p w14:paraId="6E26A852">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1466" w:type="dxa"/>
            <w:tcBorders>
              <w:top w:val="nil"/>
              <w:left w:val="nil"/>
              <w:bottom w:val="single" w:color="auto" w:sz="4" w:space="0"/>
              <w:right w:val="single" w:color="auto" w:sz="4" w:space="0"/>
            </w:tcBorders>
            <w:vAlign w:val="center"/>
          </w:tcPr>
          <w:p w14:paraId="4967E582">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人</w:t>
            </w:r>
          </w:p>
        </w:tc>
        <w:tc>
          <w:tcPr>
            <w:tcW w:w="1903" w:type="dxa"/>
            <w:tcBorders>
              <w:top w:val="nil"/>
              <w:left w:val="nil"/>
              <w:bottom w:val="single" w:color="auto" w:sz="4" w:space="0"/>
              <w:right w:val="single" w:color="auto" w:sz="4" w:space="0"/>
            </w:tcBorders>
            <w:vAlign w:val="center"/>
          </w:tcPr>
          <w:p w14:paraId="446159FD">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20≤X＜200</w:t>
            </w:r>
          </w:p>
        </w:tc>
        <w:tc>
          <w:tcPr>
            <w:tcW w:w="1692" w:type="dxa"/>
            <w:tcBorders>
              <w:top w:val="nil"/>
              <w:left w:val="nil"/>
              <w:bottom w:val="single" w:color="auto" w:sz="4" w:space="0"/>
              <w:right w:val="single" w:color="auto" w:sz="4" w:space="0"/>
            </w:tcBorders>
            <w:vAlign w:val="center"/>
          </w:tcPr>
          <w:p w14:paraId="5EB2C318">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5≤X＜20</w:t>
            </w:r>
          </w:p>
        </w:tc>
        <w:tc>
          <w:tcPr>
            <w:tcW w:w="1087" w:type="dxa"/>
            <w:tcBorders>
              <w:top w:val="nil"/>
              <w:left w:val="nil"/>
              <w:bottom w:val="single" w:color="auto" w:sz="4" w:space="0"/>
              <w:right w:val="single" w:color="auto" w:sz="4" w:space="0"/>
            </w:tcBorders>
            <w:vAlign w:val="center"/>
          </w:tcPr>
          <w:p w14:paraId="540E3D26">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X＜5</w:t>
            </w:r>
          </w:p>
        </w:tc>
      </w:tr>
      <w:tr w14:paraId="0A8CE4D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B024097">
            <w:pPr>
              <w:widowControl/>
              <w:snapToGrid w:val="0"/>
              <w:contextualSpacing/>
              <w:jc w:val="center"/>
              <w:rPr>
                <w:rFonts w:ascii="仿宋" w:hAnsi="仿宋" w:eastAsia="仿宋" w:cs="仿宋"/>
                <w:b/>
                <w:bCs/>
                <w:kern w:val="0"/>
                <w:sz w:val="24"/>
                <w:highlight w:val="none"/>
              </w:rPr>
            </w:pPr>
          </w:p>
        </w:tc>
        <w:tc>
          <w:tcPr>
            <w:tcW w:w="1660" w:type="dxa"/>
            <w:tcBorders>
              <w:top w:val="nil"/>
              <w:left w:val="nil"/>
              <w:bottom w:val="single" w:color="auto" w:sz="4" w:space="0"/>
              <w:right w:val="single" w:color="auto" w:sz="4" w:space="0"/>
            </w:tcBorders>
            <w:vAlign w:val="center"/>
          </w:tcPr>
          <w:p w14:paraId="1D92D203">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1466" w:type="dxa"/>
            <w:tcBorders>
              <w:top w:val="nil"/>
              <w:left w:val="nil"/>
              <w:bottom w:val="single" w:color="auto" w:sz="4" w:space="0"/>
              <w:right w:val="single" w:color="auto" w:sz="4" w:space="0"/>
            </w:tcBorders>
            <w:vAlign w:val="center"/>
          </w:tcPr>
          <w:p w14:paraId="4F18B0BB">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万元</w:t>
            </w:r>
          </w:p>
        </w:tc>
        <w:tc>
          <w:tcPr>
            <w:tcW w:w="1903" w:type="dxa"/>
            <w:tcBorders>
              <w:top w:val="nil"/>
              <w:left w:val="nil"/>
              <w:bottom w:val="single" w:color="auto" w:sz="4" w:space="0"/>
              <w:right w:val="single" w:color="auto" w:sz="4" w:space="0"/>
            </w:tcBorders>
            <w:vAlign w:val="center"/>
          </w:tcPr>
          <w:p w14:paraId="19CF437E">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5000≤Y＜40000</w:t>
            </w:r>
          </w:p>
        </w:tc>
        <w:tc>
          <w:tcPr>
            <w:tcW w:w="1692" w:type="dxa"/>
            <w:tcBorders>
              <w:top w:val="nil"/>
              <w:left w:val="nil"/>
              <w:bottom w:val="single" w:color="auto" w:sz="4" w:space="0"/>
              <w:right w:val="single" w:color="auto" w:sz="4" w:space="0"/>
            </w:tcBorders>
            <w:vAlign w:val="center"/>
          </w:tcPr>
          <w:p w14:paraId="4687B01B">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1000≤Y＜5000</w:t>
            </w:r>
          </w:p>
        </w:tc>
        <w:tc>
          <w:tcPr>
            <w:tcW w:w="1087" w:type="dxa"/>
            <w:tcBorders>
              <w:top w:val="nil"/>
              <w:left w:val="nil"/>
              <w:bottom w:val="single" w:color="auto" w:sz="4" w:space="0"/>
              <w:right w:val="single" w:color="auto" w:sz="4" w:space="0"/>
            </w:tcBorders>
            <w:vAlign w:val="center"/>
          </w:tcPr>
          <w:p w14:paraId="110B88D4">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Y＜1000</w:t>
            </w:r>
          </w:p>
        </w:tc>
      </w:tr>
      <w:tr w14:paraId="04DEF44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802F9EC">
            <w:pPr>
              <w:widowControl/>
              <w:snapToGrid w:val="0"/>
              <w:contextualSpacing/>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零售业</w:t>
            </w:r>
          </w:p>
        </w:tc>
        <w:tc>
          <w:tcPr>
            <w:tcW w:w="1660" w:type="dxa"/>
            <w:tcBorders>
              <w:top w:val="nil"/>
              <w:left w:val="nil"/>
              <w:bottom w:val="single" w:color="auto" w:sz="4" w:space="0"/>
              <w:right w:val="single" w:color="auto" w:sz="4" w:space="0"/>
            </w:tcBorders>
            <w:vAlign w:val="center"/>
          </w:tcPr>
          <w:p w14:paraId="55706ADB">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1466" w:type="dxa"/>
            <w:tcBorders>
              <w:top w:val="nil"/>
              <w:left w:val="nil"/>
              <w:bottom w:val="single" w:color="auto" w:sz="4" w:space="0"/>
              <w:right w:val="single" w:color="auto" w:sz="4" w:space="0"/>
            </w:tcBorders>
            <w:vAlign w:val="center"/>
          </w:tcPr>
          <w:p w14:paraId="068299F5">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人</w:t>
            </w:r>
          </w:p>
        </w:tc>
        <w:tc>
          <w:tcPr>
            <w:tcW w:w="1903" w:type="dxa"/>
            <w:tcBorders>
              <w:top w:val="nil"/>
              <w:left w:val="nil"/>
              <w:bottom w:val="single" w:color="auto" w:sz="4" w:space="0"/>
              <w:right w:val="single" w:color="auto" w:sz="4" w:space="0"/>
            </w:tcBorders>
            <w:vAlign w:val="center"/>
          </w:tcPr>
          <w:p w14:paraId="5B8E79E7">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50≤X＜300</w:t>
            </w:r>
          </w:p>
        </w:tc>
        <w:tc>
          <w:tcPr>
            <w:tcW w:w="1692" w:type="dxa"/>
            <w:tcBorders>
              <w:top w:val="nil"/>
              <w:left w:val="nil"/>
              <w:bottom w:val="single" w:color="auto" w:sz="4" w:space="0"/>
              <w:right w:val="single" w:color="auto" w:sz="4" w:space="0"/>
            </w:tcBorders>
            <w:vAlign w:val="center"/>
          </w:tcPr>
          <w:p w14:paraId="2AACFB0C">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10≤X＜50</w:t>
            </w:r>
          </w:p>
        </w:tc>
        <w:tc>
          <w:tcPr>
            <w:tcW w:w="1087" w:type="dxa"/>
            <w:tcBorders>
              <w:top w:val="nil"/>
              <w:left w:val="nil"/>
              <w:bottom w:val="single" w:color="auto" w:sz="4" w:space="0"/>
              <w:right w:val="single" w:color="auto" w:sz="4" w:space="0"/>
            </w:tcBorders>
            <w:vAlign w:val="center"/>
          </w:tcPr>
          <w:p w14:paraId="664658CD">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X＜10</w:t>
            </w:r>
          </w:p>
        </w:tc>
      </w:tr>
      <w:tr w14:paraId="0A37954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0FAB465">
            <w:pPr>
              <w:widowControl/>
              <w:snapToGrid w:val="0"/>
              <w:contextualSpacing/>
              <w:jc w:val="center"/>
              <w:rPr>
                <w:rFonts w:ascii="仿宋" w:hAnsi="仿宋" w:eastAsia="仿宋" w:cs="仿宋"/>
                <w:b/>
                <w:bCs/>
                <w:kern w:val="0"/>
                <w:sz w:val="24"/>
                <w:highlight w:val="none"/>
              </w:rPr>
            </w:pPr>
          </w:p>
        </w:tc>
        <w:tc>
          <w:tcPr>
            <w:tcW w:w="1660" w:type="dxa"/>
            <w:tcBorders>
              <w:top w:val="nil"/>
              <w:left w:val="nil"/>
              <w:bottom w:val="single" w:color="auto" w:sz="4" w:space="0"/>
              <w:right w:val="single" w:color="auto" w:sz="4" w:space="0"/>
            </w:tcBorders>
            <w:vAlign w:val="center"/>
          </w:tcPr>
          <w:p w14:paraId="03C0CEB0">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1466" w:type="dxa"/>
            <w:tcBorders>
              <w:top w:val="nil"/>
              <w:left w:val="nil"/>
              <w:bottom w:val="single" w:color="auto" w:sz="4" w:space="0"/>
              <w:right w:val="single" w:color="auto" w:sz="4" w:space="0"/>
            </w:tcBorders>
            <w:vAlign w:val="center"/>
          </w:tcPr>
          <w:p w14:paraId="0FE3469C">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万元</w:t>
            </w:r>
          </w:p>
        </w:tc>
        <w:tc>
          <w:tcPr>
            <w:tcW w:w="1903" w:type="dxa"/>
            <w:tcBorders>
              <w:top w:val="nil"/>
              <w:left w:val="nil"/>
              <w:bottom w:val="single" w:color="auto" w:sz="4" w:space="0"/>
              <w:right w:val="single" w:color="auto" w:sz="4" w:space="0"/>
            </w:tcBorders>
            <w:vAlign w:val="center"/>
          </w:tcPr>
          <w:p w14:paraId="0F649B92">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500≤Y＜20000</w:t>
            </w:r>
          </w:p>
        </w:tc>
        <w:tc>
          <w:tcPr>
            <w:tcW w:w="1692" w:type="dxa"/>
            <w:tcBorders>
              <w:top w:val="nil"/>
              <w:left w:val="nil"/>
              <w:bottom w:val="single" w:color="auto" w:sz="4" w:space="0"/>
              <w:right w:val="single" w:color="auto" w:sz="4" w:space="0"/>
            </w:tcBorders>
            <w:vAlign w:val="center"/>
          </w:tcPr>
          <w:p w14:paraId="10826ADE">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100≤Y＜500</w:t>
            </w:r>
          </w:p>
        </w:tc>
        <w:tc>
          <w:tcPr>
            <w:tcW w:w="1087" w:type="dxa"/>
            <w:tcBorders>
              <w:top w:val="nil"/>
              <w:left w:val="nil"/>
              <w:bottom w:val="single" w:color="auto" w:sz="4" w:space="0"/>
              <w:right w:val="single" w:color="auto" w:sz="4" w:space="0"/>
            </w:tcBorders>
            <w:vAlign w:val="center"/>
          </w:tcPr>
          <w:p w14:paraId="7357EA80">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Y＜100</w:t>
            </w:r>
          </w:p>
        </w:tc>
      </w:tr>
      <w:tr w14:paraId="75F49EC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1D4F153">
            <w:pPr>
              <w:widowControl/>
              <w:snapToGrid w:val="0"/>
              <w:contextualSpacing/>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交通运输业</w:t>
            </w:r>
          </w:p>
        </w:tc>
        <w:tc>
          <w:tcPr>
            <w:tcW w:w="1660" w:type="dxa"/>
            <w:tcBorders>
              <w:top w:val="nil"/>
              <w:left w:val="nil"/>
              <w:bottom w:val="single" w:color="auto" w:sz="4" w:space="0"/>
              <w:right w:val="single" w:color="auto" w:sz="4" w:space="0"/>
            </w:tcBorders>
            <w:vAlign w:val="center"/>
          </w:tcPr>
          <w:p w14:paraId="3BBA8ACE">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1466" w:type="dxa"/>
            <w:tcBorders>
              <w:top w:val="nil"/>
              <w:left w:val="nil"/>
              <w:bottom w:val="single" w:color="auto" w:sz="4" w:space="0"/>
              <w:right w:val="single" w:color="auto" w:sz="4" w:space="0"/>
            </w:tcBorders>
            <w:vAlign w:val="center"/>
          </w:tcPr>
          <w:p w14:paraId="3BEDD9A1">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人</w:t>
            </w:r>
          </w:p>
        </w:tc>
        <w:tc>
          <w:tcPr>
            <w:tcW w:w="1903" w:type="dxa"/>
            <w:tcBorders>
              <w:top w:val="nil"/>
              <w:left w:val="nil"/>
              <w:bottom w:val="single" w:color="auto" w:sz="4" w:space="0"/>
              <w:right w:val="single" w:color="auto" w:sz="4" w:space="0"/>
            </w:tcBorders>
            <w:vAlign w:val="center"/>
          </w:tcPr>
          <w:p w14:paraId="57C513C7">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300≤X＜1000</w:t>
            </w:r>
          </w:p>
        </w:tc>
        <w:tc>
          <w:tcPr>
            <w:tcW w:w="1692" w:type="dxa"/>
            <w:tcBorders>
              <w:top w:val="nil"/>
              <w:left w:val="nil"/>
              <w:bottom w:val="single" w:color="auto" w:sz="4" w:space="0"/>
              <w:right w:val="single" w:color="auto" w:sz="4" w:space="0"/>
            </w:tcBorders>
            <w:vAlign w:val="center"/>
          </w:tcPr>
          <w:p w14:paraId="228E2530">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20≤X＜300</w:t>
            </w:r>
          </w:p>
        </w:tc>
        <w:tc>
          <w:tcPr>
            <w:tcW w:w="1087" w:type="dxa"/>
            <w:tcBorders>
              <w:top w:val="nil"/>
              <w:left w:val="nil"/>
              <w:bottom w:val="single" w:color="auto" w:sz="4" w:space="0"/>
              <w:right w:val="single" w:color="auto" w:sz="4" w:space="0"/>
            </w:tcBorders>
            <w:vAlign w:val="center"/>
          </w:tcPr>
          <w:p w14:paraId="220E8A62">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X＜20</w:t>
            </w:r>
          </w:p>
        </w:tc>
      </w:tr>
      <w:tr w14:paraId="5E0B6AB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0F99EC5">
            <w:pPr>
              <w:widowControl/>
              <w:snapToGrid w:val="0"/>
              <w:contextualSpacing/>
              <w:jc w:val="center"/>
              <w:rPr>
                <w:rFonts w:ascii="仿宋" w:hAnsi="仿宋" w:eastAsia="仿宋" w:cs="仿宋"/>
                <w:b/>
                <w:bCs/>
                <w:kern w:val="0"/>
                <w:sz w:val="24"/>
                <w:highlight w:val="none"/>
              </w:rPr>
            </w:pPr>
          </w:p>
        </w:tc>
        <w:tc>
          <w:tcPr>
            <w:tcW w:w="1660" w:type="dxa"/>
            <w:tcBorders>
              <w:top w:val="nil"/>
              <w:left w:val="nil"/>
              <w:bottom w:val="single" w:color="auto" w:sz="4" w:space="0"/>
              <w:right w:val="single" w:color="auto" w:sz="4" w:space="0"/>
            </w:tcBorders>
            <w:vAlign w:val="center"/>
          </w:tcPr>
          <w:p w14:paraId="3B5DD27F">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1466" w:type="dxa"/>
            <w:tcBorders>
              <w:top w:val="nil"/>
              <w:left w:val="nil"/>
              <w:bottom w:val="single" w:color="auto" w:sz="4" w:space="0"/>
              <w:right w:val="single" w:color="auto" w:sz="4" w:space="0"/>
            </w:tcBorders>
            <w:vAlign w:val="center"/>
          </w:tcPr>
          <w:p w14:paraId="7F3883BC">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万元</w:t>
            </w:r>
          </w:p>
        </w:tc>
        <w:tc>
          <w:tcPr>
            <w:tcW w:w="1903" w:type="dxa"/>
            <w:tcBorders>
              <w:top w:val="nil"/>
              <w:left w:val="nil"/>
              <w:bottom w:val="single" w:color="auto" w:sz="4" w:space="0"/>
              <w:right w:val="single" w:color="auto" w:sz="4" w:space="0"/>
            </w:tcBorders>
            <w:vAlign w:val="center"/>
          </w:tcPr>
          <w:p w14:paraId="6C3008A4">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3000≤Y＜30000</w:t>
            </w:r>
          </w:p>
        </w:tc>
        <w:tc>
          <w:tcPr>
            <w:tcW w:w="1692" w:type="dxa"/>
            <w:tcBorders>
              <w:top w:val="nil"/>
              <w:left w:val="nil"/>
              <w:bottom w:val="single" w:color="auto" w:sz="4" w:space="0"/>
              <w:right w:val="single" w:color="auto" w:sz="4" w:space="0"/>
            </w:tcBorders>
            <w:vAlign w:val="center"/>
          </w:tcPr>
          <w:p w14:paraId="78D4C33F">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200≤Y＜3000</w:t>
            </w:r>
          </w:p>
        </w:tc>
        <w:tc>
          <w:tcPr>
            <w:tcW w:w="1087" w:type="dxa"/>
            <w:tcBorders>
              <w:top w:val="nil"/>
              <w:left w:val="nil"/>
              <w:bottom w:val="single" w:color="auto" w:sz="4" w:space="0"/>
              <w:right w:val="single" w:color="auto" w:sz="4" w:space="0"/>
            </w:tcBorders>
            <w:vAlign w:val="center"/>
          </w:tcPr>
          <w:p w14:paraId="213B21ED">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Y＜200</w:t>
            </w:r>
          </w:p>
        </w:tc>
      </w:tr>
      <w:tr w14:paraId="713CA98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5BF4AD6">
            <w:pPr>
              <w:widowControl/>
              <w:snapToGrid w:val="0"/>
              <w:contextualSpacing/>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仓储业</w:t>
            </w:r>
          </w:p>
        </w:tc>
        <w:tc>
          <w:tcPr>
            <w:tcW w:w="1660" w:type="dxa"/>
            <w:tcBorders>
              <w:top w:val="nil"/>
              <w:left w:val="nil"/>
              <w:bottom w:val="single" w:color="auto" w:sz="4" w:space="0"/>
              <w:right w:val="single" w:color="auto" w:sz="4" w:space="0"/>
            </w:tcBorders>
            <w:vAlign w:val="center"/>
          </w:tcPr>
          <w:p w14:paraId="6629AEF6">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1466" w:type="dxa"/>
            <w:tcBorders>
              <w:top w:val="nil"/>
              <w:left w:val="nil"/>
              <w:bottom w:val="single" w:color="auto" w:sz="4" w:space="0"/>
              <w:right w:val="single" w:color="auto" w:sz="4" w:space="0"/>
            </w:tcBorders>
            <w:vAlign w:val="center"/>
          </w:tcPr>
          <w:p w14:paraId="5BA61F26">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人</w:t>
            </w:r>
          </w:p>
        </w:tc>
        <w:tc>
          <w:tcPr>
            <w:tcW w:w="1903" w:type="dxa"/>
            <w:tcBorders>
              <w:top w:val="nil"/>
              <w:left w:val="nil"/>
              <w:bottom w:val="single" w:color="auto" w:sz="4" w:space="0"/>
              <w:right w:val="single" w:color="auto" w:sz="4" w:space="0"/>
            </w:tcBorders>
            <w:vAlign w:val="center"/>
          </w:tcPr>
          <w:p w14:paraId="23BB9B13">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100≤X＜200</w:t>
            </w:r>
          </w:p>
        </w:tc>
        <w:tc>
          <w:tcPr>
            <w:tcW w:w="1692" w:type="dxa"/>
            <w:tcBorders>
              <w:top w:val="nil"/>
              <w:left w:val="nil"/>
              <w:bottom w:val="single" w:color="auto" w:sz="4" w:space="0"/>
              <w:right w:val="single" w:color="auto" w:sz="4" w:space="0"/>
            </w:tcBorders>
            <w:vAlign w:val="center"/>
          </w:tcPr>
          <w:p w14:paraId="658064F9">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20≤X＜100</w:t>
            </w:r>
          </w:p>
        </w:tc>
        <w:tc>
          <w:tcPr>
            <w:tcW w:w="1087" w:type="dxa"/>
            <w:tcBorders>
              <w:top w:val="nil"/>
              <w:left w:val="nil"/>
              <w:bottom w:val="single" w:color="auto" w:sz="4" w:space="0"/>
              <w:right w:val="single" w:color="auto" w:sz="4" w:space="0"/>
            </w:tcBorders>
            <w:vAlign w:val="center"/>
          </w:tcPr>
          <w:p w14:paraId="201396FE">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X＜20</w:t>
            </w:r>
          </w:p>
        </w:tc>
      </w:tr>
      <w:tr w14:paraId="1918140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92944E8">
            <w:pPr>
              <w:widowControl/>
              <w:snapToGrid w:val="0"/>
              <w:contextualSpacing/>
              <w:jc w:val="center"/>
              <w:rPr>
                <w:rFonts w:ascii="仿宋" w:hAnsi="仿宋" w:eastAsia="仿宋" w:cs="仿宋"/>
                <w:b/>
                <w:bCs/>
                <w:kern w:val="0"/>
                <w:sz w:val="24"/>
                <w:highlight w:val="none"/>
              </w:rPr>
            </w:pPr>
          </w:p>
        </w:tc>
        <w:tc>
          <w:tcPr>
            <w:tcW w:w="1660" w:type="dxa"/>
            <w:tcBorders>
              <w:top w:val="nil"/>
              <w:left w:val="nil"/>
              <w:bottom w:val="single" w:color="auto" w:sz="4" w:space="0"/>
              <w:right w:val="single" w:color="auto" w:sz="4" w:space="0"/>
            </w:tcBorders>
            <w:vAlign w:val="center"/>
          </w:tcPr>
          <w:p w14:paraId="3EBC6091">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1466" w:type="dxa"/>
            <w:tcBorders>
              <w:top w:val="nil"/>
              <w:left w:val="nil"/>
              <w:bottom w:val="single" w:color="auto" w:sz="4" w:space="0"/>
              <w:right w:val="single" w:color="auto" w:sz="4" w:space="0"/>
            </w:tcBorders>
            <w:vAlign w:val="center"/>
          </w:tcPr>
          <w:p w14:paraId="3EDE6CF8">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万元</w:t>
            </w:r>
          </w:p>
        </w:tc>
        <w:tc>
          <w:tcPr>
            <w:tcW w:w="1903" w:type="dxa"/>
            <w:tcBorders>
              <w:top w:val="nil"/>
              <w:left w:val="nil"/>
              <w:bottom w:val="single" w:color="auto" w:sz="4" w:space="0"/>
              <w:right w:val="single" w:color="auto" w:sz="4" w:space="0"/>
            </w:tcBorders>
            <w:vAlign w:val="center"/>
          </w:tcPr>
          <w:p w14:paraId="45DE2B06">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1000≤Y＜30000</w:t>
            </w:r>
          </w:p>
        </w:tc>
        <w:tc>
          <w:tcPr>
            <w:tcW w:w="1692" w:type="dxa"/>
            <w:tcBorders>
              <w:top w:val="nil"/>
              <w:left w:val="nil"/>
              <w:bottom w:val="single" w:color="auto" w:sz="4" w:space="0"/>
              <w:right w:val="single" w:color="auto" w:sz="4" w:space="0"/>
            </w:tcBorders>
            <w:vAlign w:val="center"/>
          </w:tcPr>
          <w:p w14:paraId="2C24E6BA">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100≤Y＜1000</w:t>
            </w:r>
          </w:p>
        </w:tc>
        <w:tc>
          <w:tcPr>
            <w:tcW w:w="1087" w:type="dxa"/>
            <w:tcBorders>
              <w:top w:val="nil"/>
              <w:left w:val="nil"/>
              <w:bottom w:val="single" w:color="auto" w:sz="4" w:space="0"/>
              <w:right w:val="single" w:color="auto" w:sz="4" w:space="0"/>
            </w:tcBorders>
            <w:vAlign w:val="center"/>
          </w:tcPr>
          <w:p w14:paraId="336B634B">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Y＜100</w:t>
            </w:r>
          </w:p>
        </w:tc>
      </w:tr>
      <w:tr w14:paraId="5930BDA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7CFD7CB">
            <w:pPr>
              <w:widowControl/>
              <w:snapToGrid w:val="0"/>
              <w:contextualSpacing/>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邮政业</w:t>
            </w:r>
          </w:p>
        </w:tc>
        <w:tc>
          <w:tcPr>
            <w:tcW w:w="1660" w:type="dxa"/>
            <w:tcBorders>
              <w:top w:val="nil"/>
              <w:left w:val="nil"/>
              <w:bottom w:val="single" w:color="auto" w:sz="4" w:space="0"/>
              <w:right w:val="single" w:color="auto" w:sz="4" w:space="0"/>
            </w:tcBorders>
            <w:vAlign w:val="center"/>
          </w:tcPr>
          <w:p w14:paraId="7EFDCDB8">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1466" w:type="dxa"/>
            <w:tcBorders>
              <w:top w:val="nil"/>
              <w:left w:val="nil"/>
              <w:bottom w:val="single" w:color="auto" w:sz="4" w:space="0"/>
              <w:right w:val="single" w:color="auto" w:sz="4" w:space="0"/>
            </w:tcBorders>
            <w:vAlign w:val="center"/>
          </w:tcPr>
          <w:p w14:paraId="367DFD6B">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人</w:t>
            </w:r>
          </w:p>
        </w:tc>
        <w:tc>
          <w:tcPr>
            <w:tcW w:w="1903" w:type="dxa"/>
            <w:tcBorders>
              <w:top w:val="nil"/>
              <w:left w:val="nil"/>
              <w:bottom w:val="single" w:color="auto" w:sz="4" w:space="0"/>
              <w:right w:val="single" w:color="auto" w:sz="4" w:space="0"/>
            </w:tcBorders>
            <w:vAlign w:val="center"/>
          </w:tcPr>
          <w:p w14:paraId="5CCCA0BB">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300≤X＜1000</w:t>
            </w:r>
          </w:p>
        </w:tc>
        <w:tc>
          <w:tcPr>
            <w:tcW w:w="1692" w:type="dxa"/>
            <w:tcBorders>
              <w:top w:val="nil"/>
              <w:left w:val="nil"/>
              <w:bottom w:val="single" w:color="auto" w:sz="4" w:space="0"/>
              <w:right w:val="single" w:color="auto" w:sz="4" w:space="0"/>
            </w:tcBorders>
            <w:vAlign w:val="center"/>
          </w:tcPr>
          <w:p w14:paraId="48629ECD">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20≤X＜300</w:t>
            </w:r>
          </w:p>
        </w:tc>
        <w:tc>
          <w:tcPr>
            <w:tcW w:w="1087" w:type="dxa"/>
            <w:tcBorders>
              <w:top w:val="nil"/>
              <w:left w:val="nil"/>
              <w:bottom w:val="single" w:color="auto" w:sz="4" w:space="0"/>
              <w:right w:val="single" w:color="auto" w:sz="4" w:space="0"/>
            </w:tcBorders>
            <w:vAlign w:val="center"/>
          </w:tcPr>
          <w:p w14:paraId="032CEC55">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X＜20</w:t>
            </w:r>
          </w:p>
        </w:tc>
      </w:tr>
      <w:tr w14:paraId="34A2687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12A9DEF">
            <w:pPr>
              <w:widowControl/>
              <w:snapToGrid w:val="0"/>
              <w:contextualSpacing/>
              <w:jc w:val="center"/>
              <w:rPr>
                <w:rFonts w:ascii="仿宋" w:hAnsi="仿宋" w:eastAsia="仿宋" w:cs="仿宋"/>
                <w:b/>
                <w:bCs/>
                <w:kern w:val="0"/>
                <w:sz w:val="24"/>
                <w:highlight w:val="none"/>
              </w:rPr>
            </w:pPr>
          </w:p>
        </w:tc>
        <w:tc>
          <w:tcPr>
            <w:tcW w:w="1660" w:type="dxa"/>
            <w:tcBorders>
              <w:top w:val="nil"/>
              <w:left w:val="nil"/>
              <w:bottom w:val="single" w:color="auto" w:sz="4" w:space="0"/>
              <w:right w:val="single" w:color="auto" w:sz="4" w:space="0"/>
            </w:tcBorders>
            <w:vAlign w:val="center"/>
          </w:tcPr>
          <w:p w14:paraId="7D0801E2">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1466" w:type="dxa"/>
            <w:tcBorders>
              <w:top w:val="nil"/>
              <w:left w:val="nil"/>
              <w:bottom w:val="single" w:color="auto" w:sz="4" w:space="0"/>
              <w:right w:val="single" w:color="auto" w:sz="4" w:space="0"/>
            </w:tcBorders>
            <w:vAlign w:val="center"/>
          </w:tcPr>
          <w:p w14:paraId="18FE0E9F">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万元</w:t>
            </w:r>
          </w:p>
        </w:tc>
        <w:tc>
          <w:tcPr>
            <w:tcW w:w="1903" w:type="dxa"/>
            <w:tcBorders>
              <w:top w:val="nil"/>
              <w:left w:val="nil"/>
              <w:bottom w:val="single" w:color="auto" w:sz="4" w:space="0"/>
              <w:right w:val="single" w:color="auto" w:sz="4" w:space="0"/>
            </w:tcBorders>
            <w:vAlign w:val="center"/>
          </w:tcPr>
          <w:p w14:paraId="76C1D4DE">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2000≤Y＜30000</w:t>
            </w:r>
          </w:p>
        </w:tc>
        <w:tc>
          <w:tcPr>
            <w:tcW w:w="1692" w:type="dxa"/>
            <w:tcBorders>
              <w:top w:val="nil"/>
              <w:left w:val="nil"/>
              <w:bottom w:val="single" w:color="auto" w:sz="4" w:space="0"/>
              <w:right w:val="single" w:color="auto" w:sz="4" w:space="0"/>
            </w:tcBorders>
            <w:vAlign w:val="center"/>
          </w:tcPr>
          <w:p w14:paraId="60FAA1EB">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100≤Y＜2000</w:t>
            </w:r>
          </w:p>
        </w:tc>
        <w:tc>
          <w:tcPr>
            <w:tcW w:w="1087" w:type="dxa"/>
            <w:tcBorders>
              <w:top w:val="nil"/>
              <w:left w:val="nil"/>
              <w:bottom w:val="single" w:color="auto" w:sz="4" w:space="0"/>
              <w:right w:val="single" w:color="auto" w:sz="4" w:space="0"/>
            </w:tcBorders>
            <w:vAlign w:val="center"/>
          </w:tcPr>
          <w:p w14:paraId="635FD564">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Y＜100</w:t>
            </w:r>
          </w:p>
        </w:tc>
      </w:tr>
      <w:tr w14:paraId="3A4BCBA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C94DEA1">
            <w:pPr>
              <w:widowControl/>
              <w:snapToGrid w:val="0"/>
              <w:contextualSpacing/>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住宿业</w:t>
            </w:r>
          </w:p>
        </w:tc>
        <w:tc>
          <w:tcPr>
            <w:tcW w:w="1660" w:type="dxa"/>
            <w:tcBorders>
              <w:top w:val="nil"/>
              <w:left w:val="nil"/>
              <w:bottom w:val="single" w:color="auto" w:sz="4" w:space="0"/>
              <w:right w:val="single" w:color="auto" w:sz="4" w:space="0"/>
            </w:tcBorders>
            <w:vAlign w:val="center"/>
          </w:tcPr>
          <w:p w14:paraId="680E4DB5">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1466" w:type="dxa"/>
            <w:tcBorders>
              <w:top w:val="nil"/>
              <w:left w:val="nil"/>
              <w:bottom w:val="single" w:color="auto" w:sz="4" w:space="0"/>
              <w:right w:val="single" w:color="auto" w:sz="4" w:space="0"/>
            </w:tcBorders>
            <w:vAlign w:val="center"/>
          </w:tcPr>
          <w:p w14:paraId="220ED030">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人</w:t>
            </w:r>
          </w:p>
        </w:tc>
        <w:tc>
          <w:tcPr>
            <w:tcW w:w="1903" w:type="dxa"/>
            <w:tcBorders>
              <w:top w:val="nil"/>
              <w:left w:val="nil"/>
              <w:bottom w:val="single" w:color="auto" w:sz="4" w:space="0"/>
              <w:right w:val="single" w:color="auto" w:sz="4" w:space="0"/>
            </w:tcBorders>
            <w:vAlign w:val="center"/>
          </w:tcPr>
          <w:p w14:paraId="5A5B5980">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100≤X＜300</w:t>
            </w:r>
          </w:p>
        </w:tc>
        <w:tc>
          <w:tcPr>
            <w:tcW w:w="1692" w:type="dxa"/>
            <w:tcBorders>
              <w:top w:val="nil"/>
              <w:left w:val="nil"/>
              <w:bottom w:val="single" w:color="auto" w:sz="4" w:space="0"/>
              <w:right w:val="single" w:color="auto" w:sz="4" w:space="0"/>
            </w:tcBorders>
            <w:vAlign w:val="center"/>
          </w:tcPr>
          <w:p w14:paraId="234DB90B">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10≤X＜100</w:t>
            </w:r>
          </w:p>
        </w:tc>
        <w:tc>
          <w:tcPr>
            <w:tcW w:w="1087" w:type="dxa"/>
            <w:tcBorders>
              <w:top w:val="nil"/>
              <w:left w:val="nil"/>
              <w:bottom w:val="single" w:color="auto" w:sz="4" w:space="0"/>
              <w:right w:val="single" w:color="auto" w:sz="4" w:space="0"/>
            </w:tcBorders>
            <w:vAlign w:val="center"/>
          </w:tcPr>
          <w:p w14:paraId="6D2EAB54">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X＜10</w:t>
            </w:r>
          </w:p>
        </w:tc>
      </w:tr>
      <w:tr w14:paraId="076D8C8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1DDC14F">
            <w:pPr>
              <w:widowControl/>
              <w:snapToGrid w:val="0"/>
              <w:contextualSpacing/>
              <w:jc w:val="center"/>
              <w:rPr>
                <w:rFonts w:ascii="仿宋" w:hAnsi="仿宋" w:eastAsia="仿宋" w:cs="仿宋"/>
                <w:b/>
                <w:bCs/>
                <w:kern w:val="0"/>
                <w:sz w:val="24"/>
                <w:highlight w:val="none"/>
              </w:rPr>
            </w:pPr>
          </w:p>
        </w:tc>
        <w:tc>
          <w:tcPr>
            <w:tcW w:w="1660" w:type="dxa"/>
            <w:tcBorders>
              <w:top w:val="nil"/>
              <w:left w:val="nil"/>
              <w:bottom w:val="single" w:color="auto" w:sz="4" w:space="0"/>
              <w:right w:val="single" w:color="auto" w:sz="4" w:space="0"/>
            </w:tcBorders>
            <w:vAlign w:val="center"/>
          </w:tcPr>
          <w:p w14:paraId="625543D7">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1466" w:type="dxa"/>
            <w:tcBorders>
              <w:top w:val="nil"/>
              <w:left w:val="nil"/>
              <w:bottom w:val="single" w:color="auto" w:sz="4" w:space="0"/>
              <w:right w:val="single" w:color="auto" w:sz="4" w:space="0"/>
            </w:tcBorders>
            <w:vAlign w:val="center"/>
          </w:tcPr>
          <w:p w14:paraId="398E3503">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万元</w:t>
            </w:r>
          </w:p>
        </w:tc>
        <w:tc>
          <w:tcPr>
            <w:tcW w:w="1903" w:type="dxa"/>
            <w:tcBorders>
              <w:top w:val="nil"/>
              <w:left w:val="nil"/>
              <w:bottom w:val="single" w:color="auto" w:sz="4" w:space="0"/>
              <w:right w:val="single" w:color="auto" w:sz="4" w:space="0"/>
            </w:tcBorders>
            <w:vAlign w:val="center"/>
          </w:tcPr>
          <w:p w14:paraId="4AB9E62E">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2000≤Y＜10000</w:t>
            </w:r>
          </w:p>
        </w:tc>
        <w:tc>
          <w:tcPr>
            <w:tcW w:w="1692" w:type="dxa"/>
            <w:tcBorders>
              <w:top w:val="nil"/>
              <w:left w:val="nil"/>
              <w:bottom w:val="single" w:color="auto" w:sz="4" w:space="0"/>
              <w:right w:val="single" w:color="auto" w:sz="4" w:space="0"/>
            </w:tcBorders>
            <w:vAlign w:val="center"/>
          </w:tcPr>
          <w:p w14:paraId="3FA030FE">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100≤Y＜2000</w:t>
            </w:r>
          </w:p>
        </w:tc>
        <w:tc>
          <w:tcPr>
            <w:tcW w:w="1087" w:type="dxa"/>
            <w:tcBorders>
              <w:top w:val="nil"/>
              <w:left w:val="nil"/>
              <w:bottom w:val="single" w:color="auto" w:sz="4" w:space="0"/>
              <w:right w:val="single" w:color="auto" w:sz="4" w:space="0"/>
            </w:tcBorders>
            <w:vAlign w:val="center"/>
          </w:tcPr>
          <w:p w14:paraId="70106E88">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Y＜100</w:t>
            </w:r>
          </w:p>
        </w:tc>
      </w:tr>
      <w:tr w14:paraId="004759D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A817F2E">
            <w:pPr>
              <w:widowControl/>
              <w:snapToGrid w:val="0"/>
              <w:contextualSpacing/>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餐饮业</w:t>
            </w:r>
          </w:p>
        </w:tc>
        <w:tc>
          <w:tcPr>
            <w:tcW w:w="1660" w:type="dxa"/>
            <w:tcBorders>
              <w:top w:val="nil"/>
              <w:left w:val="nil"/>
              <w:bottom w:val="single" w:color="auto" w:sz="4" w:space="0"/>
              <w:right w:val="single" w:color="auto" w:sz="4" w:space="0"/>
            </w:tcBorders>
            <w:vAlign w:val="center"/>
          </w:tcPr>
          <w:p w14:paraId="5C19BD9A">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1466" w:type="dxa"/>
            <w:tcBorders>
              <w:top w:val="nil"/>
              <w:left w:val="nil"/>
              <w:bottom w:val="single" w:color="auto" w:sz="4" w:space="0"/>
              <w:right w:val="single" w:color="auto" w:sz="4" w:space="0"/>
            </w:tcBorders>
            <w:vAlign w:val="center"/>
          </w:tcPr>
          <w:p w14:paraId="7238D925">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人</w:t>
            </w:r>
          </w:p>
        </w:tc>
        <w:tc>
          <w:tcPr>
            <w:tcW w:w="1903" w:type="dxa"/>
            <w:tcBorders>
              <w:top w:val="nil"/>
              <w:left w:val="nil"/>
              <w:bottom w:val="single" w:color="auto" w:sz="4" w:space="0"/>
              <w:right w:val="single" w:color="auto" w:sz="4" w:space="0"/>
            </w:tcBorders>
            <w:vAlign w:val="center"/>
          </w:tcPr>
          <w:p w14:paraId="4C6FA733">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100≤X＜300</w:t>
            </w:r>
          </w:p>
        </w:tc>
        <w:tc>
          <w:tcPr>
            <w:tcW w:w="1692" w:type="dxa"/>
            <w:tcBorders>
              <w:top w:val="nil"/>
              <w:left w:val="nil"/>
              <w:bottom w:val="single" w:color="auto" w:sz="4" w:space="0"/>
              <w:right w:val="single" w:color="auto" w:sz="4" w:space="0"/>
            </w:tcBorders>
            <w:vAlign w:val="center"/>
          </w:tcPr>
          <w:p w14:paraId="2E951F44">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10≤X＜100</w:t>
            </w:r>
          </w:p>
        </w:tc>
        <w:tc>
          <w:tcPr>
            <w:tcW w:w="1087" w:type="dxa"/>
            <w:tcBorders>
              <w:top w:val="nil"/>
              <w:left w:val="nil"/>
              <w:bottom w:val="single" w:color="auto" w:sz="4" w:space="0"/>
              <w:right w:val="single" w:color="auto" w:sz="4" w:space="0"/>
            </w:tcBorders>
            <w:vAlign w:val="center"/>
          </w:tcPr>
          <w:p w14:paraId="21974C72">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X＜10</w:t>
            </w:r>
          </w:p>
        </w:tc>
      </w:tr>
      <w:tr w14:paraId="2D93CB8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183D480">
            <w:pPr>
              <w:widowControl/>
              <w:snapToGrid w:val="0"/>
              <w:contextualSpacing/>
              <w:jc w:val="center"/>
              <w:rPr>
                <w:rFonts w:ascii="仿宋" w:hAnsi="仿宋" w:eastAsia="仿宋" w:cs="仿宋"/>
                <w:b/>
                <w:bCs/>
                <w:kern w:val="0"/>
                <w:sz w:val="24"/>
                <w:highlight w:val="none"/>
              </w:rPr>
            </w:pPr>
          </w:p>
        </w:tc>
        <w:tc>
          <w:tcPr>
            <w:tcW w:w="1660" w:type="dxa"/>
            <w:tcBorders>
              <w:top w:val="nil"/>
              <w:left w:val="nil"/>
              <w:bottom w:val="single" w:color="auto" w:sz="4" w:space="0"/>
              <w:right w:val="single" w:color="auto" w:sz="4" w:space="0"/>
            </w:tcBorders>
            <w:vAlign w:val="center"/>
          </w:tcPr>
          <w:p w14:paraId="31F0DB7E">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1466" w:type="dxa"/>
            <w:tcBorders>
              <w:top w:val="nil"/>
              <w:left w:val="nil"/>
              <w:bottom w:val="single" w:color="auto" w:sz="4" w:space="0"/>
              <w:right w:val="single" w:color="auto" w:sz="4" w:space="0"/>
            </w:tcBorders>
            <w:vAlign w:val="center"/>
          </w:tcPr>
          <w:p w14:paraId="3E4B5A80">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万元</w:t>
            </w:r>
          </w:p>
        </w:tc>
        <w:tc>
          <w:tcPr>
            <w:tcW w:w="1903" w:type="dxa"/>
            <w:tcBorders>
              <w:top w:val="nil"/>
              <w:left w:val="nil"/>
              <w:bottom w:val="single" w:color="auto" w:sz="4" w:space="0"/>
              <w:right w:val="single" w:color="auto" w:sz="4" w:space="0"/>
            </w:tcBorders>
            <w:vAlign w:val="center"/>
          </w:tcPr>
          <w:p w14:paraId="5D808950">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2000≤Y＜10000</w:t>
            </w:r>
          </w:p>
        </w:tc>
        <w:tc>
          <w:tcPr>
            <w:tcW w:w="1692" w:type="dxa"/>
            <w:tcBorders>
              <w:top w:val="nil"/>
              <w:left w:val="nil"/>
              <w:bottom w:val="single" w:color="auto" w:sz="4" w:space="0"/>
              <w:right w:val="single" w:color="auto" w:sz="4" w:space="0"/>
            </w:tcBorders>
            <w:vAlign w:val="center"/>
          </w:tcPr>
          <w:p w14:paraId="0AE0B97F">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100≤Y＜2000</w:t>
            </w:r>
          </w:p>
        </w:tc>
        <w:tc>
          <w:tcPr>
            <w:tcW w:w="1087" w:type="dxa"/>
            <w:tcBorders>
              <w:top w:val="nil"/>
              <w:left w:val="nil"/>
              <w:bottom w:val="single" w:color="auto" w:sz="4" w:space="0"/>
              <w:right w:val="single" w:color="auto" w:sz="4" w:space="0"/>
            </w:tcBorders>
            <w:vAlign w:val="center"/>
          </w:tcPr>
          <w:p w14:paraId="0A91080B">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Y＜100</w:t>
            </w:r>
          </w:p>
        </w:tc>
      </w:tr>
      <w:tr w14:paraId="706C6E3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E7942F1">
            <w:pPr>
              <w:widowControl/>
              <w:snapToGrid w:val="0"/>
              <w:contextualSpacing/>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信息传输业</w:t>
            </w:r>
          </w:p>
        </w:tc>
        <w:tc>
          <w:tcPr>
            <w:tcW w:w="1660" w:type="dxa"/>
            <w:tcBorders>
              <w:top w:val="nil"/>
              <w:left w:val="nil"/>
              <w:bottom w:val="single" w:color="auto" w:sz="4" w:space="0"/>
              <w:right w:val="single" w:color="auto" w:sz="4" w:space="0"/>
            </w:tcBorders>
            <w:vAlign w:val="center"/>
          </w:tcPr>
          <w:p w14:paraId="70A2C576">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1466" w:type="dxa"/>
            <w:tcBorders>
              <w:top w:val="nil"/>
              <w:left w:val="nil"/>
              <w:bottom w:val="single" w:color="auto" w:sz="4" w:space="0"/>
              <w:right w:val="single" w:color="auto" w:sz="4" w:space="0"/>
            </w:tcBorders>
            <w:vAlign w:val="center"/>
          </w:tcPr>
          <w:p w14:paraId="004206B0">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人</w:t>
            </w:r>
          </w:p>
        </w:tc>
        <w:tc>
          <w:tcPr>
            <w:tcW w:w="1903" w:type="dxa"/>
            <w:tcBorders>
              <w:top w:val="nil"/>
              <w:left w:val="nil"/>
              <w:bottom w:val="single" w:color="auto" w:sz="4" w:space="0"/>
              <w:right w:val="single" w:color="auto" w:sz="4" w:space="0"/>
            </w:tcBorders>
            <w:vAlign w:val="center"/>
          </w:tcPr>
          <w:p w14:paraId="69039A9A">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100≤X＜2000</w:t>
            </w:r>
          </w:p>
        </w:tc>
        <w:tc>
          <w:tcPr>
            <w:tcW w:w="1692" w:type="dxa"/>
            <w:tcBorders>
              <w:top w:val="nil"/>
              <w:left w:val="nil"/>
              <w:bottom w:val="single" w:color="auto" w:sz="4" w:space="0"/>
              <w:right w:val="single" w:color="auto" w:sz="4" w:space="0"/>
            </w:tcBorders>
            <w:vAlign w:val="center"/>
          </w:tcPr>
          <w:p w14:paraId="134226CB">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10≤X＜100</w:t>
            </w:r>
          </w:p>
        </w:tc>
        <w:tc>
          <w:tcPr>
            <w:tcW w:w="1087" w:type="dxa"/>
            <w:tcBorders>
              <w:top w:val="nil"/>
              <w:left w:val="nil"/>
              <w:bottom w:val="single" w:color="auto" w:sz="4" w:space="0"/>
              <w:right w:val="single" w:color="auto" w:sz="4" w:space="0"/>
            </w:tcBorders>
            <w:vAlign w:val="center"/>
          </w:tcPr>
          <w:p w14:paraId="4A305F3E">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X＜10</w:t>
            </w:r>
          </w:p>
        </w:tc>
      </w:tr>
      <w:tr w14:paraId="33A483B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37350A78">
            <w:pPr>
              <w:widowControl/>
              <w:snapToGrid w:val="0"/>
              <w:contextualSpacing/>
              <w:jc w:val="center"/>
              <w:rPr>
                <w:rFonts w:ascii="仿宋" w:hAnsi="仿宋" w:eastAsia="仿宋" w:cs="仿宋"/>
                <w:b/>
                <w:bCs/>
                <w:kern w:val="0"/>
                <w:sz w:val="24"/>
                <w:highlight w:val="none"/>
              </w:rPr>
            </w:pPr>
          </w:p>
        </w:tc>
        <w:tc>
          <w:tcPr>
            <w:tcW w:w="1660" w:type="dxa"/>
            <w:tcBorders>
              <w:top w:val="nil"/>
              <w:left w:val="nil"/>
              <w:bottom w:val="single" w:color="auto" w:sz="4" w:space="0"/>
              <w:right w:val="single" w:color="auto" w:sz="4" w:space="0"/>
            </w:tcBorders>
            <w:vAlign w:val="center"/>
          </w:tcPr>
          <w:p w14:paraId="3AE5CB18">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1466" w:type="dxa"/>
            <w:tcBorders>
              <w:top w:val="nil"/>
              <w:left w:val="nil"/>
              <w:bottom w:val="single" w:color="auto" w:sz="4" w:space="0"/>
              <w:right w:val="single" w:color="auto" w:sz="4" w:space="0"/>
            </w:tcBorders>
            <w:vAlign w:val="center"/>
          </w:tcPr>
          <w:p w14:paraId="2E614195">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万元</w:t>
            </w:r>
          </w:p>
        </w:tc>
        <w:tc>
          <w:tcPr>
            <w:tcW w:w="1903" w:type="dxa"/>
            <w:tcBorders>
              <w:top w:val="nil"/>
              <w:left w:val="nil"/>
              <w:bottom w:val="single" w:color="auto" w:sz="4" w:space="0"/>
              <w:right w:val="single" w:color="auto" w:sz="4" w:space="0"/>
            </w:tcBorders>
            <w:vAlign w:val="center"/>
          </w:tcPr>
          <w:p w14:paraId="5DACA11C">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1000≤Y＜100000</w:t>
            </w:r>
          </w:p>
        </w:tc>
        <w:tc>
          <w:tcPr>
            <w:tcW w:w="1692" w:type="dxa"/>
            <w:tcBorders>
              <w:top w:val="nil"/>
              <w:left w:val="nil"/>
              <w:bottom w:val="single" w:color="auto" w:sz="4" w:space="0"/>
              <w:right w:val="single" w:color="auto" w:sz="4" w:space="0"/>
            </w:tcBorders>
            <w:vAlign w:val="center"/>
          </w:tcPr>
          <w:p w14:paraId="3F8D6674">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100≤Y＜1000</w:t>
            </w:r>
          </w:p>
        </w:tc>
        <w:tc>
          <w:tcPr>
            <w:tcW w:w="1087" w:type="dxa"/>
            <w:tcBorders>
              <w:top w:val="nil"/>
              <w:left w:val="nil"/>
              <w:bottom w:val="single" w:color="auto" w:sz="4" w:space="0"/>
              <w:right w:val="single" w:color="auto" w:sz="4" w:space="0"/>
            </w:tcBorders>
            <w:vAlign w:val="center"/>
          </w:tcPr>
          <w:p w14:paraId="12F00BBC">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Y＜100</w:t>
            </w:r>
          </w:p>
        </w:tc>
      </w:tr>
      <w:tr w14:paraId="6256809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D4B2F37">
            <w:pPr>
              <w:widowControl/>
              <w:snapToGrid w:val="0"/>
              <w:contextualSpacing/>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软件和信息技术服务业</w:t>
            </w:r>
          </w:p>
        </w:tc>
        <w:tc>
          <w:tcPr>
            <w:tcW w:w="1660" w:type="dxa"/>
            <w:tcBorders>
              <w:top w:val="nil"/>
              <w:left w:val="nil"/>
              <w:bottom w:val="single" w:color="auto" w:sz="4" w:space="0"/>
              <w:right w:val="single" w:color="auto" w:sz="4" w:space="0"/>
            </w:tcBorders>
            <w:vAlign w:val="center"/>
          </w:tcPr>
          <w:p w14:paraId="5070A749">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1466" w:type="dxa"/>
            <w:tcBorders>
              <w:top w:val="nil"/>
              <w:left w:val="nil"/>
              <w:bottom w:val="single" w:color="auto" w:sz="4" w:space="0"/>
              <w:right w:val="single" w:color="auto" w:sz="4" w:space="0"/>
            </w:tcBorders>
            <w:vAlign w:val="center"/>
          </w:tcPr>
          <w:p w14:paraId="78262444">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人</w:t>
            </w:r>
          </w:p>
        </w:tc>
        <w:tc>
          <w:tcPr>
            <w:tcW w:w="1903" w:type="dxa"/>
            <w:tcBorders>
              <w:top w:val="nil"/>
              <w:left w:val="nil"/>
              <w:bottom w:val="single" w:color="auto" w:sz="4" w:space="0"/>
              <w:right w:val="single" w:color="auto" w:sz="4" w:space="0"/>
            </w:tcBorders>
            <w:vAlign w:val="center"/>
          </w:tcPr>
          <w:p w14:paraId="7F927D13">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100≤X＜300</w:t>
            </w:r>
          </w:p>
        </w:tc>
        <w:tc>
          <w:tcPr>
            <w:tcW w:w="1692" w:type="dxa"/>
            <w:tcBorders>
              <w:top w:val="nil"/>
              <w:left w:val="nil"/>
              <w:bottom w:val="single" w:color="auto" w:sz="4" w:space="0"/>
              <w:right w:val="single" w:color="auto" w:sz="4" w:space="0"/>
            </w:tcBorders>
            <w:vAlign w:val="center"/>
          </w:tcPr>
          <w:p w14:paraId="0D5EC617">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10≤X＜100</w:t>
            </w:r>
          </w:p>
        </w:tc>
        <w:tc>
          <w:tcPr>
            <w:tcW w:w="1087" w:type="dxa"/>
            <w:tcBorders>
              <w:top w:val="nil"/>
              <w:left w:val="nil"/>
              <w:bottom w:val="single" w:color="auto" w:sz="4" w:space="0"/>
              <w:right w:val="single" w:color="auto" w:sz="4" w:space="0"/>
            </w:tcBorders>
            <w:vAlign w:val="center"/>
          </w:tcPr>
          <w:p w14:paraId="72A2DB91">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X＜10</w:t>
            </w:r>
          </w:p>
        </w:tc>
      </w:tr>
      <w:tr w14:paraId="6282E8C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48A983D">
            <w:pPr>
              <w:widowControl/>
              <w:snapToGrid w:val="0"/>
              <w:contextualSpacing/>
              <w:jc w:val="center"/>
              <w:rPr>
                <w:rFonts w:ascii="仿宋" w:hAnsi="仿宋" w:eastAsia="仿宋" w:cs="仿宋"/>
                <w:b/>
                <w:bCs/>
                <w:kern w:val="0"/>
                <w:sz w:val="24"/>
                <w:highlight w:val="none"/>
              </w:rPr>
            </w:pPr>
          </w:p>
        </w:tc>
        <w:tc>
          <w:tcPr>
            <w:tcW w:w="1660" w:type="dxa"/>
            <w:tcBorders>
              <w:top w:val="nil"/>
              <w:left w:val="nil"/>
              <w:bottom w:val="single" w:color="auto" w:sz="4" w:space="0"/>
              <w:right w:val="single" w:color="auto" w:sz="4" w:space="0"/>
            </w:tcBorders>
            <w:vAlign w:val="center"/>
          </w:tcPr>
          <w:p w14:paraId="03A1FCF3">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1466" w:type="dxa"/>
            <w:tcBorders>
              <w:top w:val="nil"/>
              <w:left w:val="nil"/>
              <w:bottom w:val="single" w:color="auto" w:sz="4" w:space="0"/>
              <w:right w:val="single" w:color="auto" w:sz="4" w:space="0"/>
            </w:tcBorders>
            <w:vAlign w:val="center"/>
          </w:tcPr>
          <w:p w14:paraId="4C9D8FBA">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万元</w:t>
            </w:r>
          </w:p>
        </w:tc>
        <w:tc>
          <w:tcPr>
            <w:tcW w:w="1903" w:type="dxa"/>
            <w:tcBorders>
              <w:top w:val="nil"/>
              <w:left w:val="nil"/>
              <w:bottom w:val="single" w:color="auto" w:sz="4" w:space="0"/>
              <w:right w:val="single" w:color="auto" w:sz="4" w:space="0"/>
            </w:tcBorders>
            <w:vAlign w:val="center"/>
          </w:tcPr>
          <w:p w14:paraId="334C8960">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1000≤Y＜10000</w:t>
            </w:r>
          </w:p>
        </w:tc>
        <w:tc>
          <w:tcPr>
            <w:tcW w:w="1692" w:type="dxa"/>
            <w:tcBorders>
              <w:top w:val="nil"/>
              <w:left w:val="nil"/>
              <w:bottom w:val="single" w:color="auto" w:sz="4" w:space="0"/>
              <w:right w:val="single" w:color="auto" w:sz="4" w:space="0"/>
            </w:tcBorders>
            <w:vAlign w:val="center"/>
          </w:tcPr>
          <w:p w14:paraId="4B3EAE1F">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50≤Y＜1000</w:t>
            </w:r>
          </w:p>
        </w:tc>
        <w:tc>
          <w:tcPr>
            <w:tcW w:w="1087" w:type="dxa"/>
            <w:tcBorders>
              <w:top w:val="nil"/>
              <w:left w:val="nil"/>
              <w:bottom w:val="single" w:color="auto" w:sz="4" w:space="0"/>
              <w:right w:val="single" w:color="auto" w:sz="4" w:space="0"/>
            </w:tcBorders>
            <w:vAlign w:val="center"/>
          </w:tcPr>
          <w:p w14:paraId="702D5B9F">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Y＜50</w:t>
            </w:r>
          </w:p>
        </w:tc>
      </w:tr>
      <w:tr w14:paraId="1674B65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77B74AE">
            <w:pPr>
              <w:widowControl/>
              <w:snapToGrid w:val="0"/>
              <w:contextualSpacing/>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房地产开发经营</w:t>
            </w:r>
          </w:p>
        </w:tc>
        <w:tc>
          <w:tcPr>
            <w:tcW w:w="1660" w:type="dxa"/>
            <w:tcBorders>
              <w:top w:val="nil"/>
              <w:left w:val="nil"/>
              <w:bottom w:val="single" w:color="auto" w:sz="4" w:space="0"/>
              <w:right w:val="single" w:color="auto" w:sz="4" w:space="0"/>
            </w:tcBorders>
            <w:vAlign w:val="center"/>
          </w:tcPr>
          <w:p w14:paraId="413E85EE">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1466" w:type="dxa"/>
            <w:tcBorders>
              <w:top w:val="nil"/>
              <w:left w:val="nil"/>
              <w:bottom w:val="single" w:color="auto" w:sz="4" w:space="0"/>
              <w:right w:val="single" w:color="auto" w:sz="4" w:space="0"/>
            </w:tcBorders>
            <w:vAlign w:val="center"/>
          </w:tcPr>
          <w:p w14:paraId="1DD8761D">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万元</w:t>
            </w:r>
          </w:p>
        </w:tc>
        <w:tc>
          <w:tcPr>
            <w:tcW w:w="1903" w:type="dxa"/>
            <w:tcBorders>
              <w:top w:val="nil"/>
              <w:left w:val="nil"/>
              <w:bottom w:val="single" w:color="auto" w:sz="4" w:space="0"/>
              <w:right w:val="single" w:color="auto" w:sz="4" w:space="0"/>
            </w:tcBorders>
            <w:vAlign w:val="center"/>
          </w:tcPr>
          <w:p w14:paraId="1F5A6199">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1000≤Y＜200000</w:t>
            </w:r>
          </w:p>
        </w:tc>
        <w:tc>
          <w:tcPr>
            <w:tcW w:w="1692" w:type="dxa"/>
            <w:tcBorders>
              <w:top w:val="nil"/>
              <w:left w:val="nil"/>
              <w:bottom w:val="single" w:color="auto" w:sz="4" w:space="0"/>
              <w:right w:val="single" w:color="auto" w:sz="4" w:space="0"/>
            </w:tcBorders>
            <w:vAlign w:val="center"/>
          </w:tcPr>
          <w:p w14:paraId="7D427BC9">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100≤X＜1000</w:t>
            </w:r>
          </w:p>
        </w:tc>
        <w:tc>
          <w:tcPr>
            <w:tcW w:w="1087" w:type="dxa"/>
            <w:tcBorders>
              <w:top w:val="nil"/>
              <w:left w:val="nil"/>
              <w:bottom w:val="single" w:color="auto" w:sz="4" w:space="0"/>
              <w:right w:val="single" w:color="auto" w:sz="4" w:space="0"/>
            </w:tcBorders>
            <w:vAlign w:val="center"/>
          </w:tcPr>
          <w:p w14:paraId="1C9A3343">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X＜100</w:t>
            </w:r>
          </w:p>
        </w:tc>
      </w:tr>
      <w:tr w14:paraId="3273350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C943BFD">
            <w:pPr>
              <w:widowControl/>
              <w:snapToGrid w:val="0"/>
              <w:contextualSpacing/>
              <w:jc w:val="center"/>
              <w:rPr>
                <w:rFonts w:ascii="仿宋" w:hAnsi="仿宋" w:eastAsia="仿宋" w:cs="仿宋"/>
                <w:b/>
                <w:bCs/>
                <w:kern w:val="0"/>
                <w:sz w:val="24"/>
                <w:highlight w:val="none"/>
              </w:rPr>
            </w:pPr>
          </w:p>
        </w:tc>
        <w:tc>
          <w:tcPr>
            <w:tcW w:w="1660" w:type="dxa"/>
            <w:tcBorders>
              <w:top w:val="nil"/>
              <w:left w:val="nil"/>
              <w:bottom w:val="single" w:color="auto" w:sz="4" w:space="0"/>
              <w:right w:val="single" w:color="auto" w:sz="4" w:space="0"/>
            </w:tcBorders>
            <w:vAlign w:val="center"/>
          </w:tcPr>
          <w:p w14:paraId="5A1F3A9D">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资产总额（Z）</w:t>
            </w:r>
          </w:p>
        </w:tc>
        <w:tc>
          <w:tcPr>
            <w:tcW w:w="1466" w:type="dxa"/>
            <w:tcBorders>
              <w:top w:val="nil"/>
              <w:left w:val="nil"/>
              <w:bottom w:val="single" w:color="auto" w:sz="4" w:space="0"/>
              <w:right w:val="single" w:color="auto" w:sz="4" w:space="0"/>
            </w:tcBorders>
            <w:vAlign w:val="center"/>
          </w:tcPr>
          <w:p w14:paraId="03AD1F0F">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万元</w:t>
            </w:r>
          </w:p>
        </w:tc>
        <w:tc>
          <w:tcPr>
            <w:tcW w:w="1903" w:type="dxa"/>
            <w:tcBorders>
              <w:top w:val="nil"/>
              <w:left w:val="nil"/>
              <w:bottom w:val="single" w:color="auto" w:sz="4" w:space="0"/>
              <w:right w:val="single" w:color="auto" w:sz="4" w:space="0"/>
            </w:tcBorders>
            <w:vAlign w:val="center"/>
          </w:tcPr>
          <w:p w14:paraId="3124C2E5">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5000≤Z＜10000</w:t>
            </w:r>
          </w:p>
        </w:tc>
        <w:tc>
          <w:tcPr>
            <w:tcW w:w="1692" w:type="dxa"/>
            <w:tcBorders>
              <w:top w:val="nil"/>
              <w:left w:val="nil"/>
              <w:bottom w:val="single" w:color="auto" w:sz="4" w:space="0"/>
              <w:right w:val="single" w:color="auto" w:sz="4" w:space="0"/>
            </w:tcBorders>
            <w:vAlign w:val="center"/>
          </w:tcPr>
          <w:p w14:paraId="72098BB8">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2000≤Y＜5000</w:t>
            </w:r>
          </w:p>
        </w:tc>
        <w:tc>
          <w:tcPr>
            <w:tcW w:w="1087" w:type="dxa"/>
            <w:tcBorders>
              <w:top w:val="nil"/>
              <w:left w:val="nil"/>
              <w:bottom w:val="single" w:color="auto" w:sz="4" w:space="0"/>
              <w:right w:val="single" w:color="auto" w:sz="4" w:space="0"/>
            </w:tcBorders>
            <w:vAlign w:val="center"/>
          </w:tcPr>
          <w:p w14:paraId="6BB28ED2">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Y＜2000</w:t>
            </w:r>
          </w:p>
        </w:tc>
      </w:tr>
      <w:tr w14:paraId="5B53674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269E981">
            <w:pPr>
              <w:widowControl/>
              <w:snapToGrid w:val="0"/>
              <w:contextualSpacing/>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物业管理</w:t>
            </w:r>
          </w:p>
        </w:tc>
        <w:tc>
          <w:tcPr>
            <w:tcW w:w="1660" w:type="dxa"/>
            <w:tcBorders>
              <w:top w:val="nil"/>
              <w:left w:val="nil"/>
              <w:bottom w:val="single" w:color="auto" w:sz="4" w:space="0"/>
              <w:right w:val="single" w:color="auto" w:sz="4" w:space="0"/>
            </w:tcBorders>
            <w:vAlign w:val="center"/>
          </w:tcPr>
          <w:p w14:paraId="27220D02">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1466" w:type="dxa"/>
            <w:tcBorders>
              <w:top w:val="nil"/>
              <w:left w:val="nil"/>
              <w:bottom w:val="single" w:color="auto" w:sz="4" w:space="0"/>
              <w:right w:val="single" w:color="auto" w:sz="4" w:space="0"/>
            </w:tcBorders>
            <w:vAlign w:val="center"/>
          </w:tcPr>
          <w:p w14:paraId="068BBA06">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人</w:t>
            </w:r>
          </w:p>
        </w:tc>
        <w:tc>
          <w:tcPr>
            <w:tcW w:w="1903" w:type="dxa"/>
            <w:tcBorders>
              <w:top w:val="nil"/>
              <w:left w:val="nil"/>
              <w:bottom w:val="single" w:color="auto" w:sz="4" w:space="0"/>
              <w:right w:val="single" w:color="auto" w:sz="4" w:space="0"/>
            </w:tcBorders>
            <w:vAlign w:val="center"/>
          </w:tcPr>
          <w:p w14:paraId="10C569BD">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300≤X＜1000</w:t>
            </w:r>
          </w:p>
        </w:tc>
        <w:tc>
          <w:tcPr>
            <w:tcW w:w="1692" w:type="dxa"/>
            <w:tcBorders>
              <w:top w:val="nil"/>
              <w:left w:val="nil"/>
              <w:bottom w:val="single" w:color="auto" w:sz="4" w:space="0"/>
              <w:right w:val="single" w:color="auto" w:sz="4" w:space="0"/>
            </w:tcBorders>
            <w:vAlign w:val="center"/>
          </w:tcPr>
          <w:p w14:paraId="202996BE">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100≤X＜300</w:t>
            </w:r>
          </w:p>
        </w:tc>
        <w:tc>
          <w:tcPr>
            <w:tcW w:w="1087" w:type="dxa"/>
            <w:tcBorders>
              <w:top w:val="nil"/>
              <w:left w:val="nil"/>
              <w:bottom w:val="single" w:color="auto" w:sz="4" w:space="0"/>
              <w:right w:val="single" w:color="auto" w:sz="4" w:space="0"/>
            </w:tcBorders>
            <w:vAlign w:val="center"/>
          </w:tcPr>
          <w:p w14:paraId="58E03ADE">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X＜100</w:t>
            </w:r>
          </w:p>
        </w:tc>
      </w:tr>
      <w:tr w14:paraId="4FB297C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6EB151D">
            <w:pPr>
              <w:widowControl/>
              <w:snapToGrid w:val="0"/>
              <w:contextualSpacing/>
              <w:jc w:val="center"/>
              <w:rPr>
                <w:rFonts w:ascii="仿宋" w:hAnsi="仿宋" w:eastAsia="仿宋" w:cs="仿宋"/>
                <w:b/>
                <w:bCs/>
                <w:kern w:val="0"/>
                <w:sz w:val="24"/>
                <w:highlight w:val="none"/>
              </w:rPr>
            </w:pPr>
          </w:p>
        </w:tc>
        <w:tc>
          <w:tcPr>
            <w:tcW w:w="1660" w:type="dxa"/>
            <w:tcBorders>
              <w:top w:val="nil"/>
              <w:left w:val="nil"/>
              <w:bottom w:val="single" w:color="auto" w:sz="4" w:space="0"/>
              <w:right w:val="single" w:color="auto" w:sz="4" w:space="0"/>
            </w:tcBorders>
            <w:vAlign w:val="center"/>
          </w:tcPr>
          <w:p w14:paraId="2ACAD0BB">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营业收入（Y）</w:t>
            </w:r>
          </w:p>
        </w:tc>
        <w:tc>
          <w:tcPr>
            <w:tcW w:w="1466" w:type="dxa"/>
            <w:tcBorders>
              <w:top w:val="nil"/>
              <w:left w:val="nil"/>
              <w:bottom w:val="single" w:color="auto" w:sz="4" w:space="0"/>
              <w:right w:val="single" w:color="auto" w:sz="4" w:space="0"/>
            </w:tcBorders>
            <w:vAlign w:val="center"/>
          </w:tcPr>
          <w:p w14:paraId="40F075C0">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万元</w:t>
            </w:r>
          </w:p>
        </w:tc>
        <w:tc>
          <w:tcPr>
            <w:tcW w:w="1903" w:type="dxa"/>
            <w:tcBorders>
              <w:top w:val="nil"/>
              <w:left w:val="nil"/>
              <w:bottom w:val="single" w:color="auto" w:sz="4" w:space="0"/>
              <w:right w:val="single" w:color="auto" w:sz="4" w:space="0"/>
            </w:tcBorders>
            <w:vAlign w:val="center"/>
          </w:tcPr>
          <w:p w14:paraId="7C9EE92A">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1000≤Y＜5000</w:t>
            </w:r>
          </w:p>
        </w:tc>
        <w:tc>
          <w:tcPr>
            <w:tcW w:w="1692" w:type="dxa"/>
            <w:tcBorders>
              <w:top w:val="nil"/>
              <w:left w:val="nil"/>
              <w:bottom w:val="single" w:color="auto" w:sz="4" w:space="0"/>
              <w:right w:val="single" w:color="auto" w:sz="4" w:space="0"/>
            </w:tcBorders>
            <w:vAlign w:val="center"/>
          </w:tcPr>
          <w:p w14:paraId="678F275D">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500≤Y＜1000</w:t>
            </w:r>
          </w:p>
        </w:tc>
        <w:tc>
          <w:tcPr>
            <w:tcW w:w="1087" w:type="dxa"/>
            <w:tcBorders>
              <w:top w:val="nil"/>
              <w:left w:val="nil"/>
              <w:bottom w:val="single" w:color="auto" w:sz="4" w:space="0"/>
              <w:right w:val="single" w:color="auto" w:sz="4" w:space="0"/>
            </w:tcBorders>
            <w:vAlign w:val="center"/>
          </w:tcPr>
          <w:p w14:paraId="535BEAC6">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Y＜500</w:t>
            </w:r>
          </w:p>
        </w:tc>
      </w:tr>
      <w:tr w14:paraId="3BBE159C">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20851EF">
            <w:pPr>
              <w:widowControl/>
              <w:snapToGrid w:val="0"/>
              <w:contextualSpacing/>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租赁和商务服务业</w:t>
            </w:r>
          </w:p>
        </w:tc>
        <w:tc>
          <w:tcPr>
            <w:tcW w:w="1660" w:type="dxa"/>
            <w:tcBorders>
              <w:top w:val="nil"/>
              <w:left w:val="nil"/>
              <w:bottom w:val="single" w:color="auto" w:sz="4" w:space="0"/>
              <w:right w:val="single" w:color="auto" w:sz="4" w:space="0"/>
            </w:tcBorders>
            <w:vAlign w:val="center"/>
          </w:tcPr>
          <w:p w14:paraId="164C5496">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1466" w:type="dxa"/>
            <w:tcBorders>
              <w:top w:val="nil"/>
              <w:left w:val="nil"/>
              <w:bottom w:val="single" w:color="auto" w:sz="4" w:space="0"/>
              <w:right w:val="single" w:color="auto" w:sz="4" w:space="0"/>
            </w:tcBorders>
            <w:vAlign w:val="center"/>
          </w:tcPr>
          <w:p w14:paraId="09C1B537">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人</w:t>
            </w:r>
          </w:p>
        </w:tc>
        <w:tc>
          <w:tcPr>
            <w:tcW w:w="1903" w:type="dxa"/>
            <w:tcBorders>
              <w:top w:val="nil"/>
              <w:left w:val="nil"/>
              <w:bottom w:val="single" w:color="auto" w:sz="4" w:space="0"/>
              <w:right w:val="single" w:color="auto" w:sz="4" w:space="0"/>
            </w:tcBorders>
            <w:vAlign w:val="center"/>
          </w:tcPr>
          <w:p w14:paraId="3B7EDEE4">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100≤X＜300</w:t>
            </w:r>
          </w:p>
        </w:tc>
        <w:tc>
          <w:tcPr>
            <w:tcW w:w="1692" w:type="dxa"/>
            <w:tcBorders>
              <w:top w:val="nil"/>
              <w:left w:val="nil"/>
              <w:bottom w:val="single" w:color="auto" w:sz="4" w:space="0"/>
              <w:right w:val="single" w:color="auto" w:sz="4" w:space="0"/>
            </w:tcBorders>
            <w:vAlign w:val="center"/>
          </w:tcPr>
          <w:p w14:paraId="5306CE1B">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10≤X＜100</w:t>
            </w:r>
          </w:p>
        </w:tc>
        <w:tc>
          <w:tcPr>
            <w:tcW w:w="1087" w:type="dxa"/>
            <w:tcBorders>
              <w:top w:val="nil"/>
              <w:left w:val="nil"/>
              <w:bottom w:val="single" w:color="auto" w:sz="4" w:space="0"/>
              <w:right w:val="single" w:color="auto" w:sz="4" w:space="0"/>
            </w:tcBorders>
            <w:vAlign w:val="center"/>
          </w:tcPr>
          <w:p w14:paraId="6CD31E5D">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X＜10</w:t>
            </w:r>
          </w:p>
        </w:tc>
      </w:tr>
      <w:tr w14:paraId="6ED374C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9DEA7FE">
            <w:pPr>
              <w:widowControl/>
              <w:snapToGrid w:val="0"/>
              <w:contextualSpacing/>
              <w:jc w:val="center"/>
              <w:rPr>
                <w:rFonts w:ascii="仿宋" w:hAnsi="仿宋" w:eastAsia="仿宋" w:cs="仿宋"/>
                <w:b/>
                <w:bCs/>
                <w:kern w:val="0"/>
                <w:sz w:val="24"/>
                <w:highlight w:val="none"/>
              </w:rPr>
            </w:pPr>
          </w:p>
        </w:tc>
        <w:tc>
          <w:tcPr>
            <w:tcW w:w="1660" w:type="dxa"/>
            <w:tcBorders>
              <w:top w:val="nil"/>
              <w:left w:val="nil"/>
              <w:bottom w:val="single" w:color="auto" w:sz="4" w:space="0"/>
              <w:right w:val="single" w:color="auto" w:sz="4" w:space="0"/>
            </w:tcBorders>
            <w:vAlign w:val="center"/>
          </w:tcPr>
          <w:p w14:paraId="18051CB4">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资产总额（Z）</w:t>
            </w:r>
          </w:p>
        </w:tc>
        <w:tc>
          <w:tcPr>
            <w:tcW w:w="1466" w:type="dxa"/>
            <w:tcBorders>
              <w:top w:val="nil"/>
              <w:left w:val="nil"/>
              <w:bottom w:val="single" w:color="auto" w:sz="4" w:space="0"/>
              <w:right w:val="single" w:color="auto" w:sz="4" w:space="0"/>
            </w:tcBorders>
            <w:vAlign w:val="center"/>
          </w:tcPr>
          <w:p w14:paraId="28C1302B">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万元</w:t>
            </w:r>
          </w:p>
        </w:tc>
        <w:tc>
          <w:tcPr>
            <w:tcW w:w="1903" w:type="dxa"/>
            <w:tcBorders>
              <w:top w:val="nil"/>
              <w:left w:val="nil"/>
              <w:bottom w:val="single" w:color="auto" w:sz="4" w:space="0"/>
              <w:right w:val="single" w:color="auto" w:sz="4" w:space="0"/>
            </w:tcBorders>
            <w:vAlign w:val="center"/>
          </w:tcPr>
          <w:p w14:paraId="57058E08">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8000≤Z＜120000</w:t>
            </w:r>
          </w:p>
        </w:tc>
        <w:tc>
          <w:tcPr>
            <w:tcW w:w="1692" w:type="dxa"/>
            <w:tcBorders>
              <w:top w:val="nil"/>
              <w:left w:val="nil"/>
              <w:bottom w:val="single" w:color="auto" w:sz="4" w:space="0"/>
              <w:right w:val="single" w:color="auto" w:sz="4" w:space="0"/>
            </w:tcBorders>
            <w:vAlign w:val="center"/>
          </w:tcPr>
          <w:p w14:paraId="7DDB49E8">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100≤Z＜8000</w:t>
            </w:r>
          </w:p>
        </w:tc>
        <w:tc>
          <w:tcPr>
            <w:tcW w:w="1087" w:type="dxa"/>
            <w:tcBorders>
              <w:top w:val="nil"/>
              <w:left w:val="nil"/>
              <w:bottom w:val="single" w:color="auto" w:sz="4" w:space="0"/>
              <w:right w:val="single" w:color="auto" w:sz="4" w:space="0"/>
            </w:tcBorders>
            <w:vAlign w:val="center"/>
          </w:tcPr>
          <w:p w14:paraId="1C0FD4E3">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Y＜100</w:t>
            </w:r>
          </w:p>
        </w:tc>
      </w:tr>
      <w:tr w14:paraId="5BD730D5">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12AE8350">
            <w:pPr>
              <w:widowControl/>
              <w:snapToGrid w:val="0"/>
              <w:contextualSpacing/>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其他未列明行业</w:t>
            </w:r>
          </w:p>
        </w:tc>
        <w:tc>
          <w:tcPr>
            <w:tcW w:w="1660" w:type="dxa"/>
            <w:tcBorders>
              <w:top w:val="nil"/>
              <w:left w:val="nil"/>
              <w:bottom w:val="single" w:color="auto" w:sz="4" w:space="0"/>
              <w:right w:val="single" w:color="auto" w:sz="4" w:space="0"/>
            </w:tcBorders>
            <w:vAlign w:val="center"/>
          </w:tcPr>
          <w:p w14:paraId="555E8D39">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从业人员（X）</w:t>
            </w:r>
          </w:p>
        </w:tc>
        <w:tc>
          <w:tcPr>
            <w:tcW w:w="1466" w:type="dxa"/>
            <w:tcBorders>
              <w:top w:val="nil"/>
              <w:left w:val="nil"/>
              <w:bottom w:val="single" w:color="auto" w:sz="4" w:space="0"/>
              <w:right w:val="single" w:color="auto" w:sz="4" w:space="0"/>
            </w:tcBorders>
            <w:vAlign w:val="center"/>
          </w:tcPr>
          <w:p w14:paraId="34857284">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人</w:t>
            </w:r>
          </w:p>
        </w:tc>
        <w:tc>
          <w:tcPr>
            <w:tcW w:w="1903" w:type="dxa"/>
            <w:tcBorders>
              <w:top w:val="nil"/>
              <w:left w:val="nil"/>
              <w:bottom w:val="single" w:color="auto" w:sz="4" w:space="0"/>
              <w:right w:val="single" w:color="auto" w:sz="4" w:space="0"/>
            </w:tcBorders>
            <w:vAlign w:val="center"/>
          </w:tcPr>
          <w:p w14:paraId="3FC6116C">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100≤X＜300</w:t>
            </w:r>
          </w:p>
        </w:tc>
        <w:tc>
          <w:tcPr>
            <w:tcW w:w="1692" w:type="dxa"/>
            <w:tcBorders>
              <w:top w:val="nil"/>
              <w:left w:val="nil"/>
              <w:bottom w:val="single" w:color="auto" w:sz="4" w:space="0"/>
              <w:right w:val="single" w:color="auto" w:sz="4" w:space="0"/>
            </w:tcBorders>
            <w:vAlign w:val="center"/>
          </w:tcPr>
          <w:p w14:paraId="21ADEFCE">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10≤X＜100</w:t>
            </w:r>
          </w:p>
        </w:tc>
        <w:tc>
          <w:tcPr>
            <w:tcW w:w="1087" w:type="dxa"/>
            <w:tcBorders>
              <w:top w:val="nil"/>
              <w:left w:val="nil"/>
              <w:bottom w:val="single" w:color="auto" w:sz="4" w:space="0"/>
              <w:right w:val="single" w:color="auto" w:sz="4" w:space="0"/>
            </w:tcBorders>
            <w:vAlign w:val="center"/>
          </w:tcPr>
          <w:p w14:paraId="7D9833CC">
            <w:pPr>
              <w:widowControl/>
              <w:snapToGrid w:val="0"/>
              <w:contextualSpacing/>
              <w:jc w:val="center"/>
              <w:rPr>
                <w:rFonts w:ascii="仿宋" w:hAnsi="仿宋" w:eastAsia="仿宋" w:cs="仿宋"/>
                <w:kern w:val="0"/>
                <w:sz w:val="24"/>
                <w:highlight w:val="none"/>
              </w:rPr>
            </w:pPr>
            <w:r>
              <w:rPr>
                <w:rFonts w:hint="eastAsia" w:ascii="仿宋" w:hAnsi="仿宋" w:eastAsia="仿宋" w:cs="仿宋"/>
                <w:kern w:val="0"/>
                <w:sz w:val="24"/>
                <w:highlight w:val="none"/>
              </w:rPr>
              <w:t>X＜10</w:t>
            </w:r>
          </w:p>
        </w:tc>
      </w:tr>
    </w:tbl>
    <w:p w14:paraId="6CAECFCC">
      <w:pPr>
        <w:widowControl/>
        <w:spacing w:line="460" w:lineRule="exact"/>
        <w:ind w:firstLine="482" w:firstLineChars="200"/>
        <w:jc w:val="left"/>
        <w:rPr>
          <w:rFonts w:ascii="仿宋" w:hAnsi="仿宋" w:eastAsia="仿宋" w:cs="仿宋"/>
          <w:kern w:val="0"/>
          <w:sz w:val="24"/>
          <w:highlight w:val="none"/>
          <w:shd w:val="clear" w:color="auto" w:fill="FFFFFF"/>
        </w:rPr>
      </w:pPr>
      <w:r>
        <w:rPr>
          <w:rFonts w:hint="eastAsia" w:ascii="仿宋" w:hAnsi="仿宋" w:eastAsia="仿宋" w:cs="仿宋"/>
          <w:b/>
          <w:bCs/>
          <w:kern w:val="0"/>
          <w:sz w:val="24"/>
          <w:highlight w:val="none"/>
          <w:shd w:val="clear" w:color="auto" w:fill="FFFFFF"/>
        </w:rPr>
        <w:t>说明：</w:t>
      </w:r>
      <w:r>
        <w:rPr>
          <w:rFonts w:hint="eastAsia" w:ascii="仿宋" w:hAnsi="仿宋" w:eastAsia="仿宋" w:cs="仿宋"/>
          <w:kern w:val="0"/>
          <w:sz w:val="24"/>
          <w:highlight w:val="none"/>
          <w:shd w:val="clear" w:color="auto" w:fill="FFFFFF"/>
        </w:rPr>
        <w:t>上述标准参照《关于印发中小企业划型标准规定的通知》（工信部联企业[2011]300号），大型、中型和小型企业须同时满足所列指标的下限，否则下划一档；微型企业只须满足所列指标中的一项即可。</w:t>
      </w:r>
    </w:p>
    <w:p w14:paraId="77D9F35E">
      <w:pPr>
        <w:widowControl/>
        <w:spacing w:line="460" w:lineRule="exact"/>
        <w:ind w:firstLine="480" w:firstLineChars="200"/>
        <w:jc w:val="left"/>
        <w:rPr>
          <w:rFonts w:ascii="仿宋" w:hAnsi="仿宋" w:eastAsia="仿宋" w:cs="仿宋"/>
          <w:kern w:val="0"/>
          <w:sz w:val="24"/>
          <w:highlight w:val="none"/>
          <w:shd w:val="clear" w:color="auto" w:fill="FFFFFF"/>
        </w:rPr>
      </w:pPr>
      <w:r>
        <w:rPr>
          <w:rFonts w:hint="eastAsia" w:ascii="仿宋" w:hAnsi="仿宋" w:eastAsia="仿宋" w:cs="仿宋"/>
          <w:kern w:val="0"/>
          <w:sz w:val="24"/>
          <w:highlight w:val="none"/>
          <w:shd w:val="clear" w:color="auto" w:fill="FFFFFF"/>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20CF627">
      <w:pPr>
        <w:widowControl/>
        <w:spacing w:line="460" w:lineRule="exact"/>
        <w:ind w:firstLine="480" w:firstLineChars="200"/>
        <w:jc w:val="left"/>
        <w:rPr>
          <w:rFonts w:ascii="仿宋" w:hAnsi="仿宋" w:eastAsia="仿宋" w:cs="仿宋"/>
          <w:kern w:val="0"/>
          <w:sz w:val="24"/>
          <w:highlight w:val="none"/>
          <w:shd w:val="clear" w:color="auto" w:fill="FFFFFF"/>
        </w:rPr>
      </w:pPr>
      <w:r>
        <w:rPr>
          <w:rFonts w:hint="eastAsia" w:ascii="仿宋" w:hAnsi="仿宋" w:eastAsia="仿宋" w:cs="仿宋"/>
          <w:kern w:val="0"/>
          <w:sz w:val="24"/>
          <w:highlight w:val="none"/>
          <w:shd w:val="clear" w:color="auto" w:fill="FFFFFF"/>
        </w:rPr>
        <w:t>（1）在货物采购项目中，货物由中小企业制造，即货物由中小企业生产且使用该中小企业商号或者注册商标，不对其中涉及的工程承建商和服务的承接商作出要求；</w:t>
      </w:r>
    </w:p>
    <w:p w14:paraId="7EEA97D2">
      <w:pPr>
        <w:widowControl/>
        <w:spacing w:line="460" w:lineRule="exact"/>
        <w:ind w:firstLine="480" w:firstLineChars="200"/>
        <w:jc w:val="left"/>
        <w:rPr>
          <w:rFonts w:ascii="仿宋" w:hAnsi="仿宋" w:eastAsia="仿宋" w:cs="仿宋"/>
          <w:kern w:val="0"/>
          <w:sz w:val="24"/>
          <w:highlight w:val="none"/>
          <w:shd w:val="clear" w:color="auto" w:fill="FFFFFF"/>
        </w:rPr>
      </w:pPr>
      <w:r>
        <w:rPr>
          <w:rFonts w:hint="eastAsia" w:ascii="仿宋" w:hAnsi="仿宋" w:eastAsia="仿宋" w:cs="仿宋"/>
          <w:kern w:val="0"/>
          <w:sz w:val="24"/>
          <w:highlight w:val="none"/>
          <w:shd w:val="clear" w:color="auto" w:fill="FFFFFF"/>
        </w:rPr>
        <w:t>（2）在工程采购项目中，工程由中小企业承建，即工程施工单位为中小企业，不对其中涉及的货物的制造商和服务的承接商作出要求；</w:t>
      </w:r>
    </w:p>
    <w:p w14:paraId="57204E85">
      <w:pPr>
        <w:widowControl/>
        <w:spacing w:line="460" w:lineRule="exact"/>
        <w:ind w:firstLine="480" w:firstLineChars="200"/>
        <w:jc w:val="left"/>
        <w:rPr>
          <w:rFonts w:ascii="仿宋" w:hAnsi="仿宋" w:eastAsia="仿宋" w:cs="仿宋"/>
          <w:kern w:val="0"/>
          <w:sz w:val="24"/>
          <w:highlight w:val="none"/>
          <w:shd w:val="clear" w:color="auto" w:fill="FFFFFF"/>
        </w:rPr>
      </w:pPr>
      <w:r>
        <w:rPr>
          <w:rFonts w:hint="eastAsia" w:ascii="仿宋" w:hAnsi="仿宋" w:eastAsia="仿宋" w:cs="仿宋"/>
          <w:kern w:val="0"/>
          <w:sz w:val="24"/>
          <w:highlight w:val="none"/>
          <w:shd w:val="clear" w:color="auto" w:fill="FFFFFF"/>
        </w:rPr>
        <w:t>（3）在服务采购项目中，服务由中小企业承接，即提供服务的人员为中小企业依照《中华人民共和国劳动合同法》订立劳动合同的从业人员，不对其中涉及的货物的制造商和工程承建商作出要求。</w:t>
      </w:r>
    </w:p>
    <w:p w14:paraId="1ED5905C">
      <w:pPr>
        <w:widowControl/>
        <w:spacing w:line="460" w:lineRule="exact"/>
        <w:ind w:firstLine="480" w:firstLineChars="200"/>
        <w:jc w:val="left"/>
        <w:rPr>
          <w:rFonts w:ascii="仿宋" w:hAnsi="仿宋" w:eastAsia="仿宋" w:cs="仿宋"/>
          <w:kern w:val="0"/>
          <w:sz w:val="24"/>
          <w:highlight w:val="none"/>
          <w:shd w:val="clear" w:color="auto" w:fill="FFFFFF"/>
        </w:rPr>
      </w:pPr>
      <w:r>
        <w:rPr>
          <w:rFonts w:hint="eastAsia" w:ascii="仿宋" w:hAnsi="仿宋" w:eastAsia="仿宋" w:cs="仿宋"/>
          <w:kern w:val="0"/>
          <w:sz w:val="24"/>
          <w:highlight w:val="none"/>
          <w:shd w:val="clear" w:color="auto" w:fill="FFFFFF"/>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7439A56">
      <w:pPr>
        <w:widowControl/>
        <w:spacing w:line="460" w:lineRule="exact"/>
        <w:ind w:firstLine="480" w:firstLineChars="200"/>
        <w:jc w:val="left"/>
        <w:rPr>
          <w:rFonts w:ascii="仿宋" w:hAnsi="仿宋" w:eastAsia="仿宋" w:cs="仿宋"/>
          <w:color w:val="000000"/>
          <w:sz w:val="24"/>
          <w:highlight w:val="none"/>
        </w:rPr>
      </w:pPr>
      <w:r>
        <w:rPr>
          <w:rFonts w:hint="eastAsia" w:ascii="仿宋" w:hAnsi="仿宋" w:eastAsia="仿宋" w:cs="仿宋"/>
          <w:kern w:val="0"/>
          <w:sz w:val="24"/>
          <w:highlight w:val="none"/>
          <w:shd w:val="clear" w:color="auto" w:fill="FFFFFF"/>
        </w:rPr>
        <w:t>依据本招标文件规定享受扶持政策获得政府采购合同的，小微企业不得将合同分包给大中型企业，中型企业不得将合同分包给大型企业。</w:t>
      </w:r>
      <w:bookmarkEnd w:id="475"/>
      <w:bookmarkEnd w:id="476"/>
      <w:bookmarkEnd w:id="477"/>
      <w:bookmarkEnd w:id="478"/>
      <w:bookmarkEnd w:id="479"/>
      <w:bookmarkEnd w:id="480"/>
      <w:bookmarkEnd w:id="481"/>
      <w:bookmarkEnd w:id="482"/>
      <w:bookmarkEnd w:id="489"/>
    </w:p>
    <w:p w14:paraId="3C8BEE05">
      <w:pPr>
        <w:pStyle w:val="3"/>
        <w:spacing w:before="0" w:line="240" w:lineRule="atLeast"/>
        <w:ind w:left="1080" w:leftChars="257" w:hanging="540"/>
        <w:rPr>
          <w:rFonts w:ascii="仿宋" w:hAnsi="仿宋" w:eastAsia="仿宋" w:cs="仿宋"/>
          <w:bCs/>
          <w:color w:val="000000"/>
          <w:kern w:val="2"/>
          <w:sz w:val="24"/>
          <w:szCs w:val="24"/>
          <w:highlight w:val="none"/>
        </w:rPr>
      </w:pPr>
      <w:bookmarkStart w:id="490" w:name="_Toc16151"/>
    </w:p>
    <w:p w14:paraId="342ABC26">
      <w:pPr>
        <w:pStyle w:val="3"/>
        <w:spacing w:before="0" w:line="240" w:lineRule="atLeast"/>
        <w:ind w:left="1080" w:leftChars="257" w:hanging="540"/>
        <w:rPr>
          <w:rFonts w:ascii="仿宋" w:hAnsi="仿宋" w:eastAsia="仿宋" w:cs="仿宋"/>
          <w:bCs/>
          <w:color w:val="000000"/>
          <w:kern w:val="2"/>
          <w:sz w:val="24"/>
          <w:szCs w:val="24"/>
          <w:highlight w:val="none"/>
        </w:rPr>
      </w:pPr>
    </w:p>
    <w:p w14:paraId="221FA0E4">
      <w:pPr>
        <w:pStyle w:val="3"/>
        <w:spacing w:before="0" w:line="240" w:lineRule="atLeast"/>
        <w:ind w:left="1080" w:leftChars="257" w:hanging="540"/>
        <w:rPr>
          <w:rFonts w:ascii="仿宋" w:hAnsi="仿宋" w:eastAsia="仿宋" w:cs="仿宋"/>
          <w:bCs/>
          <w:color w:val="000000"/>
          <w:kern w:val="2"/>
          <w:sz w:val="24"/>
          <w:szCs w:val="24"/>
          <w:highlight w:val="none"/>
        </w:rPr>
      </w:pPr>
    </w:p>
    <w:p w14:paraId="4F212A91">
      <w:pPr>
        <w:pStyle w:val="3"/>
        <w:spacing w:before="0" w:line="240" w:lineRule="atLeast"/>
        <w:ind w:left="1080" w:leftChars="257" w:hanging="540"/>
        <w:rPr>
          <w:rFonts w:ascii="仿宋" w:hAnsi="仿宋" w:eastAsia="仿宋" w:cs="仿宋"/>
          <w:bCs/>
          <w:color w:val="000000"/>
          <w:kern w:val="2"/>
          <w:sz w:val="24"/>
          <w:szCs w:val="24"/>
          <w:highlight w:val="none"/>
        </w:rPr>
      </w:pPr>
    </w:p>
    <w:p w14:paraId="1F11F364">
      <w:pPr>
        <w:pStyle w:val="3"/>
        <w:spacing w:before="0" w:line="240" w:lineRule="atLeast"/>
        <w:ind w:left="1080" w:leftChars="257" w:hanging="540"/>
        <w:rPr>
          <w:rFonts w:ascii="仿宋" w:hAnsi="仿宋" w:eastAsia="仿宋" w:cs="仿宋"/>
          <w:bCs/>
          <w:color w:val="000000"/>
          <w:kern w:val="2"/>
          <w:sz w:val="24"/>
          <w:szCs w:val="24"/>
          <w:highlight w:val="none"/>
        </w:rPr>
      </w:pPr>
    </w:p>
    <w:p w14:paraId="2E937325">
      <w:pPr>
        <w:pStyle w:val="3"/>
        <w:spacing w:before="0" w:line="240" w:lineRule="atLeast"/>
        <w:ind w:left="1080" w:leftChars="257" w:hanging="540"/>
        <w:rPr>
          <w:rFonts w:ascii="仿宋" w:hAnsi="仿宋" w:eastAsia="仿宋" w:cs="仿宋"/>
          <w:bCs/>
          <w:color w:val="000000"/>
          <w:kern w:val="2"/>
          <w:sz w:val="24"/>
          <w:szCs w:val="24"/>
          <w:highlight w:val="none"/>
        </w:rPr>
      </w:pPr>
    </w:p>
    <w:p w14:paraId="5F9459EC">
      <w:pPr>
        <w:pStyle w:val="3"/>
        <w:spacing w:before="0" w:line="240" w:lineRule="atLeast"/>
        <w:ind w:left="1080" w:leftChars="257" w:hanging="540"/>
        <w:rPr>
          <w:rFonts w:ascii="仿宋" w:hAnsi="仿宋" w:eastAsia="仿宋" w:cs="仿宋"/>
          <w:bCs/>
          <w:color w:val="000000"/>
          <w:kern w:val="2"/>
          <w:sz w:val="24"/>
          <w:szCs w:val="24"/>
          <w:highlight w:val="none"/>
        </w:rPr>
      </w:pPr>
    </w:p>
    <w:bookmarkEnd w:id="490"/>
    <w:p w14:paraId="67AC3671">
      <w:pPr>
        <w:pStyle w:val="3"/>
        <w:spacing w:before="0" w:line="240" w:lineRule="atLeast"/>
        <w:jc w:val="both"/>
        <w:rPr>
          <w:rFonts w:ascii="仿宋" w:hAnsi="仿宋" w:eastAsia="仿宋" w:cs="仿宋"/>
          <w:bCs/>
          <w:color w:val="000000"/>
          <w:kern w:val="2"/>
          <w:sz w:val="24"/>
          <w:szCs w:val="24"/>
          <w:highlight w:val="none"/>
        </w:rPr>
      </w:pPr>
    </w:p>
    <w:p w14:paraId="641898A9">
      <w:pPr>
        <w:rPr>
          <w:rFonts w:ascii="仿宋" w:hAnsi="仿宋" w:eastAsia="仿宋" w:cs="仿宋"/>
          <w:b/>
          <w:bCs/>
          <w:color w:val="000000"/>
          <w:sz w:val="24"/>
          <w:highlight w:val="none"/>
        </w:rPr>
      </w:pPr>
    </w:p>
    <w:p w14:paraId="57E45FB3">
      <w:pPr>
        <w:widowControl/>
        <w:shd w:val="clear" w:color="auto" w:fill="FFFFFF"/>
        <w:spacing w:before="100" w:beforeAutospacing="1" w:after="100" w:afterAutospacing="1" w:line="435" w:lineRule="atLeast"/>
        <w:jc w:val="center"/>
        <w:rPr>
          <w:rFonts w:ascii="仿宋" w:hAnsi="仿宋" w:eastAsia="仿宋" w:cs="仿宋"/>
          <w:b/>
          <w:bCs/>
          <w:color w:val="000000"/>
          <w:sz w:val="24"/>
          <w:highlight w:val="none"/>
        </w:rPr>
      </w:pPr>
    </w:p>
    <w:p w14:paraId="49008EFE">
      <w:pPr>
        <w:pStyle w:val="8"/>
        <w:rPr>
          <w:highlight w:val="none"/>
        </w:rPr>
      </w:pPr>
    </w:p>
    <w:p w14:paraId="48C0704B">
      <w:pPr>
        <w:widowControl/>
        <w:shd w:val="clear" w:color="auto" w:fill="FFFFFF"/>
        <w:spacing w:before="100" w:beforeAutospacing="1" w:after="100" w:afterAutospacing="1" w:line="435" w:lineRule="atLeast"/>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5-2  （监狱企业适用）</w:t>
      </w:r>
    </w:p>
    <w:p w14:paraId="60AC2951">
      <w:pPr>
        <w:pStyle w:val="21"/>
        <w:spacing w:before="75" w:beforeAutospacing="0" w:after="75" w:afterAutospacing="0" w:line="420" w:lineRule="atLeas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本公司郑重声明，根据《关于政府采购支持监狱企业发展有关问题的通知》（财库[2014]68号）的规定，本公司为监狱企业。</w:t>
      </w:r>
    </w:p>
    <w:p w14:paraId="50708995">
      <w:pPr>
        <w:pStyle w:val="21"/>
        <w:spacing w:before="75" w:beforeAutospacing="0" w:after="75" w:afterAutospacing="0" w:line="420" w:lineRule="atLeas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本公司参加______单位的______项目采购活动，采购活动提供本企业（填写制造的货物，由本企业承担工程、提供服务）。</w:t>
      </w:r>
    </w:p>
    <w:p w14:paraId="386C8ACA">
      <w:pPr>
        <w:pStyle w:val="21"/>
        <w:spacing w:before="75" w:beforeAutospacing="0" w:after="75" w:afterAutospacing="0" w:line="420" w:lineRule="atLeas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本条所称货物不包括使用大型企业注册商标的货物和服务。</w:t>
      </w:r>
    </w:p>
    <w:p w14:paraId="38F68AA3">
      <w:pPr>
        <w:pStyle w:val="21"/>
        <w:spacing w:before="75" w:beforeAutospacing="0" w:after="75" w:afterAutospacing="0" w:line="420" w:lineRule="atLeas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本公司对上述声明的真实性负责。如有虚假，将依法承担相应责任。</w:t>
      </w:r>
    </w:p>
    <w:p w14:paraId="6CDC0BA1">
      <w:pPr>
        <w:pStyle w:val="21"/>
        <w:spacing w:before="75" w:beforeAutospacing="0" w:after="75" w:afterAutospacing="0" w:line="420" w:lineRule="atLeast"/>
        <w:rPr>
          <w:rFonts w:ascii="仿宋" w:hAnsi="仿宋" w:eastAsia="仿宋" w:cs="仿宋"/>
          <w:color w:val="000000"/>
          <w:highlight w:val="none"/>
        </w:rPr>
      </w:pPr>
    </w:p>
    <w:p w14:paraId="1CBE757C">
      <w:pPr>
        <w:pStyle w:val="21"/>
        <w:spacing w:before="75" w:beforeAutospacing="0" w:after="75" w:afterAutospacing="0" w:line="420" w:lineRule="atLeas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企业名称（加盖公章）：</w:t>
      </w:r>
    </w:p>
    <w:p w14:paraId="3695E239">
      <w:pPr>
        <w:pStyle w:val="21"/>
        <w:spacing w:before="75" w:beforeAutospacing="0" w:after="75" w:afterAutospacing="0" w:line="420" w:lineRule="atLeas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法定代表人（负责人）或其授权代表(签字)：</w:t>
      </w:r>
    </w:p>
    <w:p w14:paraId="4B14495D">
      <w:pPr>
        <w:pStyle w:val="21"/>
        <w:spacing w:before="75" w:beforeAutospacing="0" w:after="75" w:afterAutospacing="0" w:line="420" w:lineRule="atLeas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日期：</w:t>
      </w:r>
    </w:p>
    <w:p w14:paraId="417ECB62">
      <w:pPr>
        <w:pStyle w:val="21"/>
        <w:spacing w:before="75" w:beforeAutospacing="0" w:after="75" w:afterAutospacing="0" w:line="420" w:lineRule="atLeast"/>
        <w:rPr>
          <w:rFonts w:ascii="仿宋" w:hAnsi="仿宋" w:eastAsia="仿宋" w:cs="仿宋"/>
          <w:color w:val="000000"/>
          <w:highlight w:val="none"/>
        </w:rPr>
      </w:pPr>
    </w:p>
    <w:p w14:paraId="6F8DBA48">
      <w:pPr>
        <w:pStyle w:val="21"/>
        <w:spacing w:before="75" w:beforeAutospacing="0" w:after="75" w:afterAutospacing="0" w:line="420" w:lineRule="atLeast"/>
        <w:rPr>
          <w:rFonts w:ascii="仿宋" w:hAnsi="仿宋" w:eastAsia="仿宋" w:cs="仿宋"/>
          <w:color w:val="000000"/>
          <w:highlight w:val="none"/>
        </w:rPr>
      </w:pPr>
      <w:r>
        <w:rPr>
          <w:rFonts w:hint="eastAsia" w:ascii="仿宋" w:hAnsi="仿宋" w:eastAsia="仿宋" w:cs="仿宋"/>
          <w:color w:val="000000"/>
          <w:highlight w:val="none"/>
        </w:rPr>
        <w:t>注：后附监狱企业资格证明文件</w:t>
      </w:r>
    </w:p>
    <w:p w14:paraId="1ADA412A">
      <w:pPr>
        <w:pStyle w:val="21"/>
        <w:spacing w:before="75" w:beforeAutospacing="0" w:after="75" w:afterAutospacing="0" w:line="420" w:lineRule="atLeast"/>
        <w:rPr>
          <w:rFonts w:ascii="仿宋" w:hAnsi="仿宋" w:eastAsia="仿宋" w:cs="仿宋"/>
          <w:color w:val="000000"/>
          <w:highlight w:val="none"/>
        </w:rPr>
      </w:pPr>
      <w:r>
        <w:rPr>
          <w:rFonts w:hint="eastAsia" w:ascii="仿宋" w:hAnsi="仿宋" w:eastAsia="仿宋" w:cs="仿宋"/>
          <w:color w:val="000000"/>
          <w:highlight w:val="none"/>
        </w:rPr>
        <w:t>1. 省级以上监狱管理局、戒毒管理局（含新疆生产建设兵团）出具的属于监狱企业的证明文件；</w:t>
      </w:r>
    </w:p>
    <w:p w14:paraId="7EB58C8B">
      <w:pPr>
        <w:pStyle w:val="21"/>
        <w:spacing w:before="75" w:beforeAutospacing="0" w:after="75" w:afterAutospacing="0" w:line="420" w:lineRule="atLeast"/>
        <w:rPr>
          <w:rFonts w:ascii="仿宋" w:hAnsi="仿宋" w:eastAsia="仿宋" w:cs="仿宋"/>
          <w:color w:val="000000"/>
          <w:highlight w:val="none"/>
        </w:rPr>
      </w:pPr>
      <w:r>
        <w:rPr>
          <w:rFonts w:hint="eastAsia" w:ascii="仿宋" w:hAnsi="仿宋" w:eastAsia="仿宋" w:cs="仿宋"/>
          <w:color w:val="000000"/>
          <w:highlight w:val="none"/>
        </w:rPr>
        <w:t>2.证明材料加盖供应商公章。</w:t>
      </w:r>
    </w:p>
    <w:p w14:paraId="678718CB">
      <w:pPr>
        <w:pStyle w:val="21"/>
        <w:spacing w:before="75" w:beforeAutospacing="0" w:after="75" w:afterAutospacing="0" w:line="420" w:lineRule="atLeast"/>
        <w:rPr>
          <w:rFonts w:ascii="仿宋" w:hAnsi="仿宋" w:eastAsia="仿宋" w:cs="仿宋"/>
          <w:color w:val="000000"/>
          <w:highlight w:val="none"/>
        </w:rPr>
      </w:pPr>
      <w:r>
        <w:rPr>
          <w:rFonts w:hint="eastAsia" w:ascii="仿宋" w:hAnsi="仿宋" w:eastAsia="仿宋" w:cs="仿宋"/>
          <w:color w:val="000000"/>
          <w:highlight w:val="none"/>
        </w:rPr>
        <w:t xml:space="preserve">（若响应文件中无上述证明文件，不视为中小微型企业，则在评审时不考虑对该监狱企业的相关优惠。） </w:t>
      </w:r>
    </w:p>
    <w:p w14:paraId="70C0B304">
      <w:pPr>
        <w:rPr>
          <w:rFonts w:ascii="仿宋" w:hAnsi="仿宋" w:eastAsia="仿宋" w:cs="仿宋"/>
          <w:color w:val="000000"/>
          <w:sz w:val="24"/>
          <w:highlight w:val="none"/>
        </w:rPr>
      </w:pPr>
    </w:p>
    <w:p w14:paraId="582DB53D">
      <w:pPr>
        <w:pStyle w:val="4"/>
        <w:rPr>
          <w:highlight w:val="none"/>
        </w:rPr>
      </w:pPr>
    </w:p>
    <w:p w14:paraId="14AD1A71">
      <w:pPr>
        <w:snapToGrid w:val="0"/>
        <w:textAlignment w:val="baseline"/>
        <w:rPr>
          <w:rFonts w:ascii="仿宋" w:hAnsi="仿宋" w:eastAsia="仿宋" w:cs="仿宋"/>
          <w:sz w:val="20"/>
          <w:highlight w:val="none"/>
        </w:rPr>
      </w:pPr>
    </w:p>
    <w:p w14:paraId="72C5E0C0">
      <w:pPr>
        <w:pStyle w:val="6"/>
        <w:rPr>
          <w:rFonts w:ascii="仿宋" w:hAnsi="仿宋" w:eastAsia="仿宋" w:cs="仿宋"/>
          <w:sz w:val="20"/>
          <w:highlight w:val="none"/>
        </w:rPr>
      </w:pPr>
    </w:p>
    <w:p w14:paraId="2B49B910">
      <w:pPr>
        <w:pStyle w:val="7"/>
        <w:rPr>
          <w:rFonts w:ascii="仿宋" w:hAnsi="仿宋" w:eastAsia="仿宋" w:cs="仿宋"/>
          <w:sz w:val="20"/>
          <w:highlight w:val="none"/>
        </w:rPr>
      </w:pPr>
    </w:p>
    <w:p w14:paraId="136AF4F2">
      <w:pPr>
        <w:rPr>
          <w:rFonts w:ascii="仿宋" w:hAnsi="仿宋" w:eastAsia="仿宋" w:cs="仿宋"/>
          <w:sz w:val="20"/>
          <w:highlight w:val="none"/>
        </w:rPr>
      </w:pPr>
    </w:p>
    <w:p w14:paraId="62D3E0BE">
      <w:pPr>
        <w:pStyle w:val="6"/>
        <w:rPr>
          <w:rFonts w:ascii="仿宋" w:hAnsi="仿宋" w:eastAsia="仿宋" w:cs="仿宋"/>
          <w:sz w:val="20"/>
          <w:highlight w:val="none"/>
        </w:rPr>
      </w:pPr>
    </w:p>
    <w:p w14:paraId="2AB43831">
      <w:pPr>
        <w:pStyle w:val="7"/>
        <w:rPr>
          <w:rFonts w:ascii="仿宋" w:hAnsi="仿宋" w:eastAsia="仿宋" w:cs="仿宋"/>
          <w:sz w:val="20"/>
          <w:highlight w:val="none"/>
        </w:rPr>
      </w:pPr>
    </w:p>
    <w:p w14:paraId="50F36067">
      <w:pPr>
        <w:rPr>
          <w:rFonts w:ascii="仿宋" w:hAnsi="仿宋" w:eastAsia="仿宋" w:cs="仿宋"/>
          <w:sz w:val="20"/>
          <w:highlight w:val="none"/>
        </w:rPr>
      </w:pPr>
    </w:p>
    <w:p w14:paraId="258EDA83">
      <w:pPr>
        <w:pStyle w:val="6"/>
        <w:rPr>
          <w:rFonts w:ascii="仿宋" w:hAnsi="仿宋" w:eastAsia="仿宋" w:cs="仿宋"/>
          <w:sz w:val="20"/>
          <w:highlight w:val="none"/>
        </w:rPr>
      </w:pPr>
    </w:p>
    <w:p w14:paraId="4E020EEB">
      <w:pPr>
        <w:pStyle w:val="7"/>
        <w:rPr>
          <w:rFonts w:ascii="仿宋" w:hAnsi="仿宋" w:eastAsia="仿宋" w:cs="仿宋"/>
          <w:sz w:val="20"/>
          <w:highlight w:val="none"/>
        </w:rPr>
      </w:pPr>
    </w:p>
    <w:p w14:paraId="4E15FC00">
      <w:pPr>
        <w:rPr>
          <w:rFonts w:ascii="仿宋" w:hAnsi="仿宋" w:eastAsia="仿宋" w:cs="仿宋"/>
          <w:sz w:val="20"/>
          <w:highlight w:val="none"/>
        </w:rPr>
      </w:pPr>
    </w:p>
    <w:p w14:paraId="52D2FD18">
      <w:pPr>
        <w:pStyle w:val="6"/>
        <w:rPr>
          <w:rFonts w:ascii="仿宋" w:hAnsi="仿宋" w:eastAsia="仿宋" w:cs="仿宋"/>
          <w:sz w:val="20"/>
          <w:highlight w:val="none"/>
        </w:rPr>
      </w:pPr>
    </w:p>
    <w:p w14:paraId="58E1CF2C">
      <w:pPr>
        <w:pStyle w:val="7"/>
        <w:rPr>
          <w:highlight w:val="none"/>
        </w:rPr>
      </w:pPr>
    </w:p>
    <w:p w14:paraId="3DFBC8A8">
      <w:pPr>
        <w:pStyle w:val="3"/>
        <w:spacing w:before="0" w:line="240" w:lineRule="atLeast"/>
        <w:ind w:left="1080" w:leftChars="257" w:hanging="540"/>
        <w:rPr>
          <w:rFonts w:ascii="仿宋" w:hAnsi="仿宋" w:eastAsia="仿宋" w:cs="仿宋"/>
          <w:bCs/>
          <w:color w:val="000000"/>
          <w:kern w:val="2"/>
          <w:sz w:val="24"/>
          <w:szCs w:val="24"/>
          <w:highlight w:val="none"/>
        </w:rPr>
      </w:pPr>
      <w:bookmarkStart w:id="491" w:name="_Toc24603"/>
      <w:bookmarkStart w:id="492" w:name="_Toc4978"/>
      <w:bookmarkStart w:id="493" w:name="_Toc24764"/>
      <w:bookmarkStart w:id="494" w:name="_Toc22731"/>
      <w:bookmarkStart w:id="495" w:name="_Toc19284"/>
      <w:bookmarkStart w:id="496" w:name="_Toc23069"/>
      <w:bookmarkStart w:id="497" w:name="_Toc972"/>
      <w:bookmarkStart w:id="498" w:name="_Toc2337"/>
      <w:bookmarkStart w:id="499" w:name="_Toc9224"/>
      <w:bookmarkStart w:id="500" w:name="_Toc31498"/>
      <w:bookmarkStart w:id="501" w:name="_Toc17001"/>
      <w:bookmarkStart w:id="502" w:name="_Toc23068"/>
      <w:bookmarkStart w:id="503" w:name="_Toc515647825"/>
      <w:bookmarkStart w:id="504" w:name="_Toc26954"/>
      <w:bookmarkStart w:id="505" w:name="_Toc15900"/>
      <w:bookmarkStart w:id="506" w:name="_Toc9254"/>
      <w:r>
        <w:rPr>
          <w:rFonts w:hint="eastAsia" w:ascii="仿宋" w:hAnsi="仿宋" w:eastAsia="仿宋" w:cs="仿宋"/>
          <w:bCs/>
          <w:color w:val="000000"/>
          <w:kern w:val="2"/>
          <w:sz w:val="24"/>
          <w:szCs w:val="24"/>
          <w:highlight w:val="none"/>
        </w:rPr>
        <w:t>5-3  残疾人福利性单位声明函</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0AB20726">
      <w:pPr>
        <w:rPr>
          <w:rFonts w:ascii="仿宋" w:hAnsi="仿宋" w:eastAsia="仿宋" w:cs="仿宋"/>
          <w:highlight w:val="none"/>
        </w:rPr>
      </w:pPr>
    </w:p>
    <w:p w14:paraId="39DDD4F2">
      <w:pPr>
        <w:spacing w:after="60" w:afterLines="25" w:line="30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本供应商郑重声明，根据《财政部民政部中国残疾人联合会关于促进残疾人就业政府采购政策的通知》（财库〔2017〕141 号）的规定，本供应商参加（采购人名称）的（项目名称）采购活动，提供的货物全部由符合政策要求的残疾人福利性单位制造。相关残疾人福利性单位的具体情况如下：</w:t>
      </w:r>
    </w:p>
    <w:p w14:paraId="351B72C2">
      <w:pPr>
        <w:spacing w:after="60" w:afterLines="25" w:line="30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 （标的名称），制造商为（单位名称），属于残疾人福利性单位；</w:t>
      </w:r>
    </w:p>
    <w:p w14:paraId="26F4C34E">
      <w:pPr>
        <w:spacing w:after="60" w:afterLines="25" w:line="30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 （标的名称），制造商为（单位名称），属于残疾人福利性单位。</w:t>
      </w:r>
    </w:p>
    <w:p w14:paraId="6234A4D3">
      <w:pPr>
        <w:spacing w:after="60" w:afterLines="25" w:line="30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w:t>
      </w:r>
    </w:p>
    <w:p w14:paraId="7EA208EE">
      <w:pPr>
        <w:spacing w:after="60" w:afterLines="25" w:line="300" w:lineRule="auto"/>
        <w:ind w:firstLine="480" w:firstLineChars="200"/>
        <w:rPr>
          <w:rFonts w:ascii="仿宋" w:hAnsi="仿宋" w:eastAsia="仿宋" w:cs="仿宋"/>
          <w:color w:val="000000"/>
          <w:kern w:val="0"/>
          <w:sz w:val="24"/>
          <w:highlight w:val="none"/>
        </w:rPr>
      </w:pPr>
      <w:bookmarkStart w:id="507" w:name="_Hlk73562331"/>
      <w:r>
        <w:rPr>
          <w:rFonts w:hint="eastAsia" w:ascii="仿宋" w:hAnsi="仿宋" w:eastAsia="仿宋" w:cs="仿宋"/>
          <w:color w:val="000000"/>
          <w:kern w:val="0"/>
          <w:sz w:val="24"/>
          <w:highlight w:val="none"/>
        </w:rPr>
        <w:t>本供应商已知悉《财政部民政部中国残疾人联合会关于促进残疾人就业政府采购政策的通知》（财库〔2017〕141 号）的规定，承诺提供的声明函内容是真实的，如提供声明函内容不实，则依法追究相关法律责任。</w:t>
      </w:r>
      <w:bookmarkEnd w:id="507"/>
    </w:p>
    <w:p w14:paraId="01A428E9">
      <w:pPr>
        <w:spacing w:after="60" w:afterLines="25" w:line="300" w:lineRule="auto"/>
        <w:rPr>
          <w:rFonts w:ascii="仿宋" w:hAnsi="仿宋" w:eastAsia="仿宋" w:cs="仿宋"/>
          <w:color w:val="000000"/>
          <w:kern w:val="0"/>
          <w:sz w:val="24"/>
          <w:highlight w:val="none"/>
        </w:rPr>
      </w:pPr>
    </w:p>
    <w:p w14:paraId="15A2C7E9">
      <w:pPr>
        <w:spacing w:after="60" w:afterLines="25" w:line="300" w:lineRule="auto"/>
        <w:ind w:right="420" w:firstLine="5040" w:firstLineChars="21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供应商（投标单位）：</w:t>
      </w:r>
    </w:p>
    <w:p w14:paraId="0A421900">
      <w:pPr>
        <w:spacing w:after="60" w:afterLines="25" w:line="300" w:lineRule="auto"/>
        <w:ind w:right="420" w:firstLine="6600" w:firstLineChars="275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日期：</w:t>
      </w:r>
    </w:p>
    <w:p w14:paraId="575F7B3A">
      <w:pPr>
        <w:spacing w:after="60" w:afterLines="25" w:line="300" w:lineRule="auto"/>
        <w:jc w:val="left"/>
        <w:rPr>
          <w:rFonts w:ascii="仿宋" w:hAnsi="仿宋" w:eastAsia="仿宋" w:cs="仿宋"/>
          <w:bCs/>
          <w:kern w:val="0"/>
          <w:sz w:val="24"/>
          <w:szCs w:val="21"/>
          <w:highlight w:val="none"/>
        </w:rPr>
      </w:pPr>
    </w:p>
    <w:p w14:paraId="6FC4F04B">
      <w:pPr>
        <w:spacing w:after="60" w:afterLines="25" w:line="30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说明：根据财库〔2017〕141号文件的规定,享受政府采购支持政策的残疾人福利性单位应当同时满足以下条件：</w:t>
      </w:r>
    </w:p>
    <w:p w14:paraId="36F219A1">
      <w:pPr>
        <w:spacing w:after="60" w:afterLines="25" w:line="30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（一）安置的残疾人占本单位在职职工人数的比例不低于25%（含25%），并且安置的残疾人人数不少于10人（含10人）；</w:t>
      </w:r>
    </w:p>
    <w:p w14:paraId="47AF55A4">
      <w:pPr>
        <w:spacing w:after="60" w:afterLines="25" w:line="30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（二）依法与安置的每位残疾人签订了一年以上（含一年）的劳动合同或服务协议；</w:t>
      </w:r>
    </w:p>
    <w:p w14:paraId="4A44D15F">
      <w:pPr>
        <w:spacing w:after="60" w:afterLines="25" w:line="30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（三）为安置的每位残疾人按月足额缴纳了基本养老保险、基本医疗保险、失业保险、工伤保险和生育保险等社会保险费；</w:t>
      </w:r>
    </w:p>
    <w:p w14:paraId="0A6CC330">
      <w:pPr>
        <w:spacing w:after="60" w:afterLines="25" w:line="30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（四）通过银行等金融机构向安置的每位残疾人，按月支付了不低于单位所在区县适用的经省级人民政府批准的月最低工资标准的工资；</w:t>
      </w:r>
    </w:p>
    <w:p w14:paraId="63F2E722">
      <w:pPr>
        <w:spacing w:after="60" w:afterLines="25" w:line="30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D55761C">
      <w:pPr>
        <w:spacing w:line="240" w:lineRule="atLeast"/>
        <w:ind w:left="1080" w:leftChars="257" w:hanging="540"/>
        <w:jc w:val="center"/>
        <w:rPr>
          <w:rFonts w:ascii="仿宋" w:hAnsi="仿宋" w:eastAsia="仿宋" w:cs="仿宋"/>
          <w:b/>
          <w:kern w:val="0"/>
          <w:sz w:val="24"/>
          <w:szCs w:val="20"/>
          <w:highlight w:val="none"/>
        </w:rPr>
      </w:pPr>
    </w:p>
    <w:p w14:paraId="3ECCE2EC">
      <w:pPr>
        <w:snapToGrid w:val="0"/>
        <w:spacing w:line="240" w:lineRule="atLeast"/>
        <w:textAlignment w:val="baseline"/>
        <w:rPr>
          <w:rFonts w:ascii="仿宋" w:hAnsi="仿宋" w:eastAsia="仿宋" w:cs="仿宋"/>
          <w:kern w:val="0"/>
          <w:sz w:val="24"/>
          <w:szCs w:val="20"/>
          <w:highlight w:val="none"/>
        </w:rPr>
      </w:pPr>
    </w:p>
    <w:p w14:paraId="39357D0D">
      <w:pPr>
        <w:pStyle w:val="4"/>
        <w:rPr>
          <w:highlight w:val="none"/>
        </w:rPr>
      </w:pPr>
    </w:p>
    <w:p w14:paraId="439A876B">
      <w:pPr>
        <w:spacing w:line="240" w:lineRule="atLeast"/>
        <w:rPr>
          <w:rFonts w:ascii="仿宋" w:hAnsi="仿宋" w:eastAsia="仿宋" w:cs="仿宋"/>
          <w:kern w:val="0"/>
          <w:sz w:val="24"/>
          <w:szCs w:val="20"/>
          <w:highlight w:val="none"/>
        </w:rPr>
      </w:pPr>
    </w:p>
    <w:p w14:paraId="55942D2D">
      <w:pPr>
        <w:spacing w:line="240" w:lineRule="atLeast"/>
        <w:ind w:left="1080" w:leftChars="257" w:hanging="540"/>
        <w:jc w:val="center"/>
        <w:rPr>
          <w:rFonts w:ascii="仿宋" w:hAnsi="仿宋" w:eastAsia="仿宋" w:cs="仿宋"/>
          <w:kern w:val="0"/>
          <w:sz w:val="24"/>
          <w:szCs w:val="20"/>
          <w:highlight w:val="none"/>
        </w:rPr>
      </w:pPr>
    </w:p>
    <w:p w14:paraId="35029F92">
      <w:pPr>
        <w:pStyle w:val="3"/>
        <w:spacing w:before="0" w:line="240" w:lineRule="atLeast"/>
        <w:ind w:left="1080" w:leftChars="257" w:hanging="540"/>
        <w:rPr>
          <w:rFonts w:ascii="仿宋" w:hAnsi="仿宋" w:eastAsia="仿宋" w:cs="仿宋"/>
          <w:bCs/>
          <w:color w:val="000000"/>
          <w:kern w:val="2"/>
          <w:sz w:val="24"/>
          <w:szCs w:val="24"/>
          <w:highlight w:val="none"/>
        </w:rPr>
      </w:pPr>
      <w:bookmarkStart w:id="508" w:name="_Toc22499"/>
      <w:bookmarkStart w:id="509" w:name="_Toc16119"/>
      <w:bookmarkStart w:id="510" w:name="_Toc15079"/>
      <w:bookmarkStart w:id="511" w:name="_Toc642"/>
      <w:bookmarkStart w:id="512" w:name="_Toc4633"/>
      <w:bookmarkStart w:id="513" w:name="_Toc27668"/>
      <w:bookmarkStart w:id="514" w:name="_Toc31497"/>
      <w:bookmarkStart w:id="515" w:name="_Toc19910"/>
      <w:bookmarkStart w:id="516" w:name="_Toc14888"/>
      <w:r>
        <w:rPr>
          <w:rFonts w:hint="eastAsia" w:ascii="仿宋" w:hAnsi="仿宋" w:eastAsia="仿宋" w:cs="仿宋"/>
          <w:bCs/>
          <w:color w:val="000000"/>
          <w:kern w:val="2"/>
          <w:sz w:val="24"/>
          <w:szCs w:val="24"/>
          <w:highlight w:val="none"/>
        </w:rPr>
        <w:t>6  响应文件还应包括第五章、综合评分表的所有技术文件</w:t>
      </w:r>
      <w:bookmarkEnd w:id="508"/>
      <w:bookmarkEnd w:id="509"/>
      <w:bookmarkEnd w:id="510"/>
      <w:bookmarkEnd w:id="511"/>
      <w:bookmarkEnd w:id="512"/>
      <w:bookmarkEnd w:id="513"/>
      <w:bookmarkEnd w:id="514"/>
      <w:bookmarkEnd w:id="515"/>
      <w:bookmarkEnd w:id="516"/>
    </w:p>
    <w:p w14:paraId="4D1172A1">
      <w:pPr>
        <w:spacing w:line="240" w:lineRule="atLeast"/>
        <w:ind w:left="1080" w:leftChars="257" w:hanging="540"/>
        <w:jc w:val="center"/>
        <w:rPr>
          <w:rFonts w:ascii="仿宋" w:hAnsi="仿宋" w:eastAsia="仿宋" w:cs="仿宋"/>
          <w:kern w:val="0"/>
          <w:sz w:val="24"/>
          <w:szCs w:val="20"/>
          <w:highlight w:val="none"/>
        </w:rPr>
      </w:pPr>
    </w:p>
    <w:p w14:paraId="3EE0E9AE">
      <w:pPr>
        <w:spacing w:line="240" w:lineRule="atLeast"/>
        <w:ind w:left="1080" w:leftChars="257" w:hanging="540"/>
        <w:jc w:val="center"/>
        <w:rPr>
          <w:rFonts w:ascii="仿宋" w:hAnsi="仿宋" w:eastAsia="仿宋" w:cs="仿宋"/>
          <w:kern w:val="0"/>
          <w:sz w:val="24"/>
          <w:szCs w:val="20"/>
          <w:highlight w:val="none"/>
        </w:rPr>
      </w:pPr>
    </w:p>
    <w:p w14:paraId="7E73A9CF">
      <w:pPr>
        <w:pStyle w:val="3"/>
        <w:rPr>
          <w:rFonts w:ascii="仿宋" w:hAnsi="仿宋" w:eastAsia="仿宋" w:cs="仿宋"/>
          <w:highlight w:val="none"/>
        </w:rPr>
      </w:pPr>
    </w:p>
    <w:p w14:paraId="7FA33205">
      <w:pPr>
        <w:pStyle w:val="3"/>
        <w:spacing w:before="0" w:line="240" w:lineRule="atLeast"/>
        <w:ind w:left="1080" w:leftChars="257" w:hanging="540"/>
        <w:rPr>
          <w:rFonts w:ascii="仿宋" w:hAnsi="仿宋" w:eastAsia="仿宋" w:cs="仿宋"/>
          <w:sz w:val="24"/>
          <w:highlight w:val="none"/>
        </w:rPr>
      </w:pPr>
      <w:bookmarkStart w:id="517" w:name="_Toc10002"/>
      <w:bookmarkStart w:id="518" w:name="_Toc28099"/>
      <w:bookmarkStart w:id="519" w:name="_Toc30795"/>
      <w:bookmarkStart w:id="520" w:name="_Toc515647827"/>
    </w:p>
    <w:p w14:paraId="55D39760">
      <w:pPr>
        <w:rPr>
          <w:rFonts w:ascii="仿宋" w:hAnsi="仿宋" w:eastAsia="仿宋" w:cs="仿宋"/>
          <w:sz w:val="24"/>
          <w:highlight w:val="none"/>
        </w:rPr>
      </w:pPr>
    </w:p>
    <w:p w14:paraId="40D0FACF">
      <w:pPr>
        <w:pStyle w:val="17"/>
        <w:rPr>
          <w:rFonts w:ascii="仿宋" w:hAnsi="仿宋" w:eastAsia="仿宋" w:cs="仿宋"/>
          <w:highlight w:val="none"/>
        </w:rPr>
      </w:pPr>
    </w:p>
    <w:p w14:paraId="2138FD7A">
      <w:pPr>
        <w:pStyle w:val="8"/>
        <w:rPr>
          <w:highlight w:val="none"/>
        </w:rPr>
      </w:pPr>
    </w:p>
    <w:p w14:paraId="466BD470">
      <w:pPr>
        <w:pStyle w:val="3"/>
        <w:spacing w:before="0" w:line="240" w:lineRule="atLeast"/>
        <w:ind w:left="1080" w:leftChars="257" w:hanging="540"/>
        <w:rPr>
          <w:rFonts w:ascii="仿宋" w:hAnsi="仿宋" w:eastAsia="仿宋" w:cs="仿宋"/>
          <w:bCs/>
          <w:color w:val="000000"/>
          <w:kern w:val="2"/>
          <w:sz w:val="24"/>
          <w:szCs w:val="24"/>
          <w:highlight w:val="none"/>
        </w:rPr>
      </w:pPr>
      <w:bookmarkStart w:id="521" w:name="_Toc22248"/>
      <w:bookmarkStart w:id="522" w:name="_Toc7250"/>
      <w:bookmarkStart w:id="523" w:name="_Toc8947"/>
      <w:bookmarkStart w:id="524" w:name="_Toc31121"/>
      <w:bookmarkStart w:id="525" w:name="_Toc14100"/>
      <w:bookmarkStart w:id="526" w:name="_Toc22918"/>
      <w:bookmarkStart w:id="527" w:name="_Toc26500"/>
      <w:bookmarkStart w:id="528" w:name="_Toc6272"/>
      <w:bookmarkStart w:id="529" w:name="_Toc6646"/>
      <w:bookmarkStart w:id="530" w:name="_Toc11558"/>
      <w:bookmarkStart w:id="531" w:name="_Toc6011"/>
      <w:bookmarkStart w:id="532" w:name="_Toc1170"/>
      <w:bookmarkStart w:id="533" w:name="_Toc20800"/>
      <w:bookmarkStart w:id="534" w:name="_Toc4373"/>
      <w:bookmarkStart w:id="535" w:name="_Toc3477"/>
      <w:bookmarkStart w:id="536" w:name="_Toc8592"/>
      <w:bookmarkStart w:id="537" w:name="_Toc28147"/>
      <w:r>
        <w:rPr>
          <w:rFonts w:hint="eastAsia" w:ascii="仿宋" w:hAnsi="仿宋" w:eastAsia="仿宋" w:cs="仿宋"/>
          <w:bCs/>
          <w:color w:val="000000"/>
          <w:kern w:val="2"/>
          <w:sz w:val="24"/>
          <w:szCs w:val="24"/>
          <w:highlight w:val="none"/>
        </w:rPr>
        <w:t>7 供应商关联单位的说明</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182E4CA6">
      <w:pPr>
        <w:pStyle w:val="6"/>
        <w:jc w:val="center"/>
        <w:rPr>
          <w:rFonts w:ascii="仿宋" w:hAnsi="仿宋" w:eastAsia="仿宋" w:cs="仿宋"/>
          <w:highlight w:val="none"/>
        </w:rPr>
      </w:pPr>
    </w:p>
    <w:p w14:paraId="4BD6EED9">
      <w:pPr>
        <w:pStyle w:val="6"/>
        <w:ind w:firstLine="480" w:firstLineChars="200"/>
        <w:rPr>
          <w:rFonts w:ascii="仿宋" w:hAnsi="仿宋" w:eastAsia="仿宋" w:cs="仿宋"/>
          <w:highlight w:val="none"/>
        </w:rPr>
      </w:pPr>
      <w:r>
        <w:rPr>
          <w:rFonts w:hint="eastAsia" w:ascii="仿宋" w:hAnsi="仿宋" w:eastAsia="仿宋" w:cs="仿宋"/>
          <w:highlight w:val="none"/>
        </w:rPr>
        <w:t>说明：供应商应当如实披露与本单位存在下列关联关系的单位名称：</w:t>
      </w:r>
    </w:p>
    <w:p w14:paraId="6BB1DF4D">
      <w:pPr>
        <w:pStyle w:val="6"/>
        <w:ind w:firstLine="480" w:firstLineChars="200"/>
        <w:rPr>
          <w:rFonts w:ascii="仿宋" w:hAnsi="仿宋" w:eastAsia="仿宋" w:cs="仿宋"/>
          <w:highlight w:val="none"/>
        </w:rPr>
      </w:pPr>
      <w:r>
        <w:rPr>
          <w:rFonts w:hint="eastAsia" w:ascii="仿宋" w:hAnsi="仿宋" w:eastAsia="仿宋" w:cs="仿宋"/>
          <w:highlight w:val="none"/>
        </w:rPr>
        <w:t>（1）与供应商单位负责人为同一人的其他单位；</w:t>
      </w:r>
    </w:p>
    <w:p w14:paraId="3F45B55B">
      <w:pPr>
        <w:pStyle w:val="6"/>
        <w:ind w:firstLine="480" w:firstLineChars="200"/>
        <w:rPr>
          <w:rFonts w:ascii="仿宋" w:hAnsi="仿宋" w:eastAsia="仿宋" w:cs="仿宋"/>
          <w:highlight w:val="none"/>
        </w:rPr>
      </w:pPr>
      <w:r>
        <w:rPr>
          <w:rFonts w:hint="eastAsia" w:ascii="仿宋" w:hAnsi="仿宋" w:eastAsia="仿宋" w:cs="仿宋"/>
          <w:highlight w:val="none"/>
        </w:rPr>
        <w:t>（2）与供应商存在直接控股、管理关系的其他单位。</w:t>
      </w:r>
    </w:p>
    <w:p w14:paraId="2B95ED6C">
      <w:pPr>
        <w:pStyle w:val="6"/>
        <w:ind w:firstLine="0"/>
        <w:rPr>
          <w:rFonts w:ascii="仿宋" w:hAnsi="仿宋" w:eastAsia="仿宋" w:cs="仿宋"/>
          <w:highlight w:val="none"/>
        </w:rPr>
      </w:pPr>
    </w:p>
    <w:p w14:paraId="25981CA6">
      <w:pPr>
        <w:spacing w:line="240" w:lineRule="atLeast"/>
        <w:ind w:left="1080" w:leftChars="257" w:hanging="540"/>
        <w:rPr>
          <w:rFonts w:ascii="仿宋" w:hAnsi="仿宋" w:eastAsia="仿宋" w:cs="仿宋"/>
          <w:b/>
          <w:kern w:val="0"/>
          <w:sz w:val="24"/>
          <w:szCs w:val="20"/>
          <w:highlight w:val="none"/>
        </w:rPr>
      </w:pPr>
    </w:p>
    <w:p w14:paraId="5FFA0FE5">
      <w:pPr>
        <w:pStyle w:val="17"/>
        <w:rPr>
          <w:rFonts w:ascii="仿宋" w:hAnsi="仿宋" w:eastAsia="仿宋" w:cs="仿宋"/>
          <w:b/>
          <w:kern w:val="0"/>
          <w:sz w:val="24"/>
          <w:szCs w:val="20"/>
          <w:highlight w:val="none"/>
        </w:rPr>
      </w:pPr>
    </w:p>
    <w:p w14:paraId="7BB5947A">
      <w:pPr>
        <w:pStyle w:val="17"/>
        <w:rPr>
          <w:rFonts w:ascii="仿宋" w:hAnsi="仿宋" w:eastAsia="仿宋" w:cs="仿宋"/>
          <w:b/>
          <w:kern w:val="0"/>
          <w:sz w:val="24"/>
          <w:szCs w:val="20"/>
          <w:highlight w:val="none"/>
        </w:rPr>
      </w:pPr>
    </w:p>
    <w:p w14:paraId="37ECCB56">
      <w:pPr>
        <w:pStyle w:val="17"/>
        <w:rPr>
          <w:rFonts w:ascii="仿宋" w:hAnsi="仿宋" w:eastAsia="仿宋" w:cs="仿宋"/>
          <w:b/>
          <w:kern w:val="0"/>
          <w:sz w:val="24"/>
          <w:szCs w:val="20"/>
          <w:highlight w:val="none"/>
        </w:rPr>
      </w:pPr>
    </w:p>
    <w:p w14:paraId="71723166">
      <w:pPr>
        <w:pStyle w:val="17"/>
        <w:rPr>
          <w:rFonts w:ascii="仿宋" w:hAnsi="仿宋" w:eastAsia="仿宋" w:cs="仿宋"/>
          <w:b/>
          <w:kern w:val="0"/>
          <w:sz w:val="24"/>
          <w:szCs w:val="20"/>
          <w:highlight w:val="none"/>
        </w:rPr>
      </w:pPr>
    </w:p>
    <w:p w14:paraId="2685C828">
      <w:pPr>
        <w:pStyle w:val="17"/>
        <w:rPr>
          <w:rFonts w:ascii="仿宋" w:hAnsi="仿宋" w:eastAsia="仿宋" w:cs="仿宋"/>
          <w:b/>
          <w:kern w:val="0"/>
          <w:sz w:val="24"/>
          <w:szCs w:val="20"/>
          <w:highlight w:val="none"/>
        </w:rPr>
      </w:pPr>
    </w:p>
    <w:p w14:paraId="1D252850">
      <w:pPr>
        <w:pStyle w:val="17"/>
        <w:rPr>
          <w:rFonts w:ascii="仿宋" w:hAnsi="仿宋" w:eastAsia="仿宋" w:cs="仿宋"/>
          <w:b/>
          <w:kern w:val="0"/>
          <w:sz w:val="24"/>
          <w:szCs w:val="20"/>
          <w:highlight w:val="none"/>
        </w:rPr>
      </w:pPr>
    </w:p>
    <w:p w14:paraId="73302115">
      <w:pPr>
        <w:pStyle w:val="17"/>
        <w:rPr>
          <w:rFonts w:ascii="仿宋" w:hAnsi="仿宋" w:eastAsia="仿宋" w:cs="仿宋"/>
          <w:b/>
          <w:kern w:val="0"/>
          <w:sz w:val="24"/>
          <w:szCs w:val="20"/>
          <w:highlight w:val="none"/>
        </w:rPr>
      </w:pPr>
    </w:p>
    <w:p w14:paraId="24CB48EE">
      <w:pPr>
        <w:pStyle w:val="17"/>
        <w:rPr>
          <w:rFonts w:ascii="仿宋" w:hAnsi="仿宋" w:eastAsia="仿宋" w:cs="仿宋"/>
          <w:b/>
          <w:kern w:val="0"/>
          <w:sz w:val="24"/>
          <w:szCs w:val="20"/>
          <w:highlight w:val="none"/>
        </w:rPr>
      </w:pPr>
    </w:p>
    <w:p w14:paraId="1A61151A">
      <w:pPr>
        <w:pStyle w:val="17"/>
        <w:rPr>
          <w:rFonts w:ascii="仿宋" w:hAnsi="仿宋" w:eastAsia="仿宋" w:cs="仿宋"/>
          <w:b/>
          <w:kern w:val="0"/>
          <w:sz w:val="24"/>
          <w:szCs w:val="20"/>
          <w:highlight w:val="none"/>
        </w:rPr>
      </w:pPr>
    </w:p>
    <w:p w14:paraId="62DE101E">
      <w:pPr>
        <w:pStyle w:val="17"/>
        <w:rPr>
          <w:rFonts w:ascii="仿宋" w:hAnsi="仿宋" w:eastAsia="仿宋" w:cs="仿宋"/>
          <w:b/>
          <w:kern w:val="0"/>
          <w:sz w:val="24"/>
          <w:szCs w:val="20"/>
          <w:highlight w:val="none"/>
        </w:rPr>
      </w:pPr>
    </w:p>
    <w:p w14:paraId="68602E66">
      <w:pPr>
        <w:pStyle w:val="17"/>
        <w:rPr>
          <w:rFonts w:ascii="仿宋" w:hAnsi="仿宋" w:eastAsia="仿宋" w:cs="仿宋"/>
          <w:b/>
          <w:kern w:val="0"/>
          <w:sz w:val="24"/>
          <w:szCs w:val="20"/>
          <w:highlight w:val="none"/>
        </w:rPr>
      </w:pPr>
    </w:p>
    <w:p w14:paraId="0C2BAC70">
      <w:pPr>
        <w:pStyle w:val="3"/>
        <w:spacing w:before="0" w:line="240" w:lineRule="atLeast"/>
        <w:ind w:left="1080" w:leftChars="257" w:hanging="540"/>
        <w:rPr>
          <w:rFonts w:ascii="仿宋" w:hAnsi="仿宋" w:eastAsia="仿宋" w:cs="仿宋"/>
          <w:bCs/>
          <w:color w:val="000000"/>
          <w:kern w:val="2"/>
          <w:sz w:val="24"/>
          <w:szCs w:val="24"/>
          <w:highlight w:val="none"/>
        </w:rPr>
      </w:pPr>
      <w:bookmarkStart w:id="538" w:name="_Toc17595"/>
      <w:bookmarkStart w:id="539" w:name="_Toc17429"/>
      <w:bookmarkStart w:id="540" w:name="_Toc17145"/>
      <w:bookmarkStart w:id="541" w:name="_Toc31670"/>
      <w:bookmarkStart w:id="542" w:name="_Toc26342"/>
      <w:bookmarkStart w:id="543" w:name="_Toc22169"/>
      <w:bookmarkStart w:id="544" w:name="_Toc32485"/>
      <w:bookmarkStart w:id="545" w:name="_Toc24098"/>
      <w:bookmarkStart w:id="546" w:name="_Toc2811"/>
      <w:bookmarkStart w:id="547" w:name="_Toc19868"/>
      <w:r>
        <w:rPr>
          <w:rFonts w:hint="eastAsia" w:ascii="仿宋" w:hAnsi="仿宋" w:eastAsia="仿宋" w:cs="仿宋"/>
          <w:bCs/>
          <w:color w:val="000000"/>
          <w:kern w:val="2"/>
          <w:sz w:val="24"/>
          <w:szCs w:val="24"/>
          <w:highlight w:val="none"/>
        </w:rPr>
        <w:t>8 其他有利于供应商的文件或证明材料</w:t>
      </w:r>
      <w:bookmarkEnd w:id="538"/>
      <w:bookmarkEnd w:id="539"/>
      <w:bookmarkEnd w:id="540"/>
      <w:bookmarkEnd w:id="541"/>
      <w:bookmarkEnd w:id="542"/>
      <w:bookmarkEnd w:id="543"/>
      <w:bookmarkEnd w:id="544"/>
      <w:bookmarkEnd w:id="545"/>
      <w:bookmarkEnd w:id="546"/>
      <w:bookmarkEnd w:id="547"/>
    </w:p>
    <w:p w14:paraId="69BF6E8F">
      <w:pPr>
        <w:pStyle w:val="17"/>
        <w:ind w:left="480" w:hanging="480" w:hangingChars="200"/>
        <w:jc w:val="left"/>
        <w:rPr>
          <w:rFonts w:ascii="仿宋" w:hAnsi="仿宋" w:eastAsia="仿宋" w:cs="仿宋"/>
          <w:b/>
          <w:kern w:val="0"/>
          <w:sz w:val="24"/>
          <w:szCs w:val="20"/>
          <w:highlight w:val="none"/>
        </w:rPr>
      </w:pPr>
      <w:r>
        <w:rPr>
          <w:rFonts w:hint="eastAsia" w:ascii="仿宋" w:hAnsi="仿宋" w:eastAsia="仿宋" w:cs="仿宋"/>
          <w:color w:val="000000"/>
          <w:sz w:val="24"/>
          <w:highlight w:val="none"/>
        </w:rPr>
        <w:t>注：参照“第六章评分方法和标准”，提供有力于供应商的其他证明文件或供货及实施方案、服务方案</w:t>
      </w:r>
    </w:p>
    <w:p w14:paraId="43A5928A">
      <w:pPr>
        <w:pStyle w:val="17"/>
        <w:rPr>
          <w:rFonts w:ascii="仿宋" w:hAnsi="仿宋" w:eastAsia="仿宋" w:cs="仿宋"/>
          <w:b/>
          <w:kern w:val="0"/>
          <w:sz w:val="24"/>
          <w:szCs w:val="20"/>
          <w:highlight w:val="none"/>
        </w:rPr>
      </w:pPr>
    </w:p>
    <w:p w14:paraId="3BCE4C0A">
      <w:pPr>
        <w:pStyle w:val="17"/>
        <w:rPr>
          <w:rFonts w:ascii="仿宋" w:hAnsi="仿宋" w:eastAsia="仿宋" w:cs="仿宋"/>
          <w:b/>
          <w:kern w:val="0"/>
          <w:sz w:val="24"/>
          <w:szCs w:val="20"/>
          <w:highlight w:val="none"/>
        </w:rPr>
      </w:pPr>
    </w:p>
    <w:p w14:paraId="7EF94276">
      <w:pPr>
        <w:pStyle w:val="3"/>
        <w:spacing w:before="0" w:line="240" w:lineRule="atLeast"/>
        <w:ind w:left="1080" w:leftChars="257" w:hanging="540"/>
        <w:rPr>
          <w:rFonts w:ascii="仿宋" w:hAnsi="仿宋" w:eastAsia="仿宋" w:cs="仿宋"/>
          <w:sz w:val="24"/>
          <w:highlight w:val="none"/>
        </w:rPr>
      </w:pPr>
      <w:bookmarkStart w:id="548" w:name="_Toc7414"/>
      <w:bookmarkStart w:id="549" w:name="_Toc14039"/>
      <w:bookmarkStart w:id="550" w:name="_Toc515647828"/>
      <w:bookmarkStart w:id="551" w:name="_Toc17333"/>
    </w:p>
    <w:p w14:paraId="27A6926C">
      <w:pPr>
        <w:pStyle w:val="3"/>
        <w:spacing w:before="0" w:line="240" w:lineRule="atLeast"/>
        <w:ind w:left="1080" w:leftChars="257" w:hanging="540"/>
        <w:rPr>
          <w:rFonts w:ascii="仿宋" w:hAnsi="仿宋" w:eastAsia="仿宋" w:cs="仿宋"/>
          <w:sz w:val="24"/>
          <w:highlight w:val="none"/>
        </w:rPr>
      </w:pPr>
    </w:p>
    <w:p w14:paraId="36A5C580">
      <w:pPr>
        <w:rPr>
          <w:rFonts w:ascii="仿宋" w:hAnsi="仿宋" w:eastAsia="仿宋" w:cs="仿宋"/>
          <w:sz w:val="24"/>
          <w:highlight w:val="none"/>
        </w:rPr>
      </w:pPr>
    </w:p>
    <w:p w14:paraId="7917C507">
      <w:pPr>
        <w:pStyle w:val="3"/>
        <w:spacing w:before="0" w:line="240" w:lineRule="atLeast"/>
        <w:jc w:val="both"/>
        <w:rPr>
          <w:rFonts w:ascii="仿宋" w:hAnsi="仿宋" w:eastAsia="仿宋" w:cs="仿宋"/>
          <w:sz w:val="24"/>
          <w:highlight w:val="none"/>
        </w:rPr>
      </w:pPr>
    </w:p>
    <w:p w14:paraId="124A425C">
      <w:pPr>
        <w:rPr>
          <w:rFonts w:ascii="仿宋" w:hAnsi="仿宋" w:eastAsia="仿宋" w:cs="仿宋"/>
          <w:highlight w:val="none"/>
        </w:rPr>
      </w:pPr>
    </w:p>
    <w:bookmarkEnd w:id="548"/>
    <w:bookmarkEnd w:id="549"/>
    <w:bookmarkEnd w:id="550"/>
    <w:bookmarkEnd w:id="551"/>
    <w:p w14:paraId="7EF8F5B7">
      <w:pPr>
        <w:pStyle w:val="4"/>
        <w:rPr>
          <w:rFonts w:ascii="仿宋" w:hAnsi="仿宋" w:eastAsia="仿宋" w:cs="仿宋"/>
          <w:bCs/>
          <w:color w:val="000000"/>
          <w:kern w:val="2"/>
          <w:szCs w:val="24"/>
          <w:highlight w:val="none"/>
        </w:rPr>
      </w:pPr>
      <w:bookmarkStart w:id="552" w:name="_Toc283"/>
      <w:bookmarkStart w:id="553" w:name="_Toc15122"/>
      <w:bookmarkStart w:id="554" w:name="_Toc6969"/>
      <w:bookmarkStart w:id="555" w:name="_Toc25424"/>
      <w:bookmarkStart w:id="556" w:name="_Toc26225"/>
      <w:bookmarkStart w:id="557" w:name="_Toc1337"/>
      <w:bookmarkStart w:id="558" w:name="_Toc9667"/>
      <w:bookmarkStart w:id="559" w:name="_Toc31553"/>
      <w:bookmarkStart w:id="560" w:name="_Toc28566"/>
      <w:bookmarkStart w:id="561" w:name="_Toc9043"/>
      <w:bookmarkStart w:id="562" w:name="_Toc6381"/>
      <w:bookmarkStart w:id="563" w:name="_Toc31304"/>
      <w:bookmarkStart w:id="564" w:name="_Toc15261"/>
      <w:bookmarkStart w:id="565" w:name="_Toc17734"/>
    </w:p>
    <w:p w14:paraId="12894F20">
      <w:pPr>
        <w:rPr>
          <w:highlight w:val="none"/>
        </w:rPr>
      </w:pPr>
    </w:p>
    <w:p w14:paraId="739BBB39">
      <w:pPr>
        <w:pStyle w:val="5"/>
        <w:numPr>
          <w:ilvl w:val="3"/>
          <w:numId w:val="0"/>
        </w:numPr>
        <w:ind w:left="864"/>
        <w:rPr>
          <w:rFonts w:ascii="仿宋" w:hAnsi="仿宋" w:eastAsia="仿宋" w:cs="仿宋"/>
          <w:highlight w:val="none"/>
        </w:rPr>
      </w:pPr>
    </w:p>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14:paraId="41EBD78E">
      <w:pPr>
        <w:pStyle w:val="3"/>
        <w:spacing w:before="0" w:line="240" w:lineRule="atLeast"/>
        <w:ind w:left="1080" w:leftChars="257" w:hanging="540"/>
        <w:rPr>
          <w:rFonts w:ascii="仿宋" w:hAnsi="仿宋" w:eastAsia="仿宋" w:cs="仿宋"/>
          <w:bCs/>
          <w:color w:val="000000"/>
          <w:kern w:val="2"/>
          <w:sz w:val="24"/>
          <w:szCs w:val="24"/>
          <w:highlight w:val="none"/>
        </w:rPr>
      </w:pPr>
    </w:p>
    <w:p w14:paraId="4D05A957">
      <w:pPr>
        <w:pStyle w:val="3"/>
        <w:spacing w:before="0" w:line="240" w:lineRule="atLeast"/>
        <w:ind w:left="1080" w:leftChars="257" w:hanging="540"/>
        <w:rPr>
          <w:rFonts w:ascii="仿宋" w:hAnsi="仿宋" w:eastAsia="仿宋" w:cs="仿宋"/>
          <w:bCs/>
          <w:color w:val="000000"/>
          <w:kern w:val="2"/>
          <w:sz w:val="24"/>
          <w:szCs w:val="24"/>
          <w:highlight w:val="none"/>
        </w:rPr>
      </w:pPr>
      <w:bookmarkStart w:id="566" w:name="_Toc30166"/>
      <w:bookmarkStart w:id="567" w:name="_Toc31176"/>
      <w:bookmarkStart w:id="568" w:name="_Toc31095"/>
      <w:r>
        <w:rPr>
          <w:rFonts w:hint="eastAsia" w:ascii="仿宋" w:hAnsi="仿宋" w:eastAsia="仿宋" w:cs="仿宋"/>
          <w:bCs/>
          <w:color w:val="000000"/>
          <w:kern w:val="2"/>
          <w:sz w:val="24"/>
          <w:szCs w:val="24"/>
          <w:highlight w:val="none"/>
        </w:rPr>
        <w:t>9 对本项目响应文件（响应文件）中资料真实性的承诺</w:t>
      </w:r>
      <w:bookmarkEnd w:id="566"/>
      <w:bookmarkEnd w:id="567"/>
      <w:bookmarkEnd w:id="568"/>
    </w:p>
    <w:p w14:paraId="15C2594D">
      <w:pPr>
        <w:rPr>
          <w:rFonts w:ascii="仿宋" w:hAnsi="仿宋" w:eastAsia="仿宋" w:cs="仿宋"/>
          <w:b/>
          <w:sz w:val="28"/>
          <w:szCs w:val="28"/>
          <w:highlight w:val="none"/>
        </w:rPr>
      </w:pPr>
    </w:p>
    <w:p w14:paraId="4E0C115D">
      <w:pPr>
        <w:pStyle w:val="5"/>
        <w:numPr>
          <w:ilvl w:val="3"/>
          <w:numId w:val="0"/>
        </w:numPr>
        <w:rPr>
          <w:rFonts w:ascii="仿宋" w:hAnsi="仿宋" w:eastAsia="仿宋" w:cs="仿宋"/>
          <w:highlight w:val="none"/>
        </w:rPr>
      </w:pPr>
      <w:r>
        <w:rPr>
          <w:rFonts w:hint="eastAsia" w:ascii="仿宋" w:hAnsi="仿宋" w:eastAsia="仿宋" w:cs="仿宋"/>
          <w:sz w:val="24"/>
          <w:highlight w:val="none"/>
        </w:rPr>
        <w:t>伽师县****项目评标委员会：</w:t>
      </w:r>
    </w:p>
    <w:p w14:paraId="07AB8CDE">
      <w:pPr>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szCs w:val="20"/>
          <w:highlight w:val="none"/>
        </w:rPr>
        <w:t>根据《中华人民共和国政府采购法》、《中华人民共和国政府采购法实施</w:t>
      </w:r>
      <w:r>
        <w:rPr>
          <w:rFonts w:hint="eastAsia" w:ascii="仿宋" w:hAnsi="仿宋" w:eastAsia="仿宋" w:cs="仿宋"/>
          <w:sz w:val="24"/>
          <w:highlight w:val="none"/>
        </w:rPr>
        <w:t>条例》等有关法律、法规的规定和</w:t>
      </w:r>
      <w:r>
        <w:rPr>
          <w:rFonts w:hint="eastAsia" w:ascii="仿宋" w:hAnsi="仿宋" w:eastAsia="仿宋" w:cs="仿宋"/>
          <w:sz w:val="24"/>
          <w:highlight w:val="none"/>
          <w:u w:val="single"/>
        </w:rPr>
        <w:t>    ***项目项目编号***、第**标段  </w:t>
      </w:r>
      <w:r>
        <w:rPr>
          <w:rFonts w:hint="eastAsia" w:ascii="仿宋" w:hAnsi="仿宋" w:eastAsia="仿宋" w:cs="仿宋"/>
          <w:sz w:val="24"/>
          <w:highlight w:val="none"/>
        </w:rPr>
        <w:t>的磋商文件（或竞争性谈判文件）的要求，我公司在参加</w:t>
      </w:r>
      <w:r>
        <w:rPr>
          <w:rFonts w:hint="eastAsia" w:ascii="仿宋" w:hAnsi="仿宋" w:eastAsia="仿宋" w:cs="仿宋"/>
          <w:sz w:val="24"/>
          <w:highlight w:val="none"/>
          <w:u w:val="single"/>
        </w:rPr>
        <w:t xml:space="preserve"> ***项目项目编号***、第**标段 </w:t>
      </w:r>
      <w:r>
        <w:rPr>
          <w:rFonts w:hint="eastAsia" w:ascii="仿宋" w:hAnsi="仿宋" w:eastAsia="仿宋" w:cs="仿宋"/>
          <w:sz w:val="24"/>
          <w:highlight w:val="none"/>
        </w:rPr>
        <w:t>响应文件（响应文件）中所提供资料真实性作如下承诺：</w:t>
      </w:r>
    </w:p>
    <w:p w14:paraId="2113553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我公司将严格按</w:t>
      </w:r>
      <w:bookmarkStart w:id="569" w:name="_Hlk5982690"/>
      <w:r>
        <w:rPr>
          <w:rFonts w:hint="eastAsia" w:ascii="仿宋" w:hAnsi="仿宋" w:eastAsia="仿宋" w:cs="仿宋"/>
          <w:sz w:val="24"/>
          <w:highlight w:val="none"/>
        </w:rPr>
        <w:t>磋商文件（或竞争性谈判）</w:t>
      </w:r>
      <w:bookmarkEnd w:id="569"/>
      <w:r>
        <w:rPr>
          <w:rFonts w:hint="eastAsia" w:ascii="仿宋" w:hAnsi="仿宋" w:eastAsia="仿宋" w:cs="仿宋"/>
          <w:sz w:val="24"/>
          <w:highlight w:val="none"/>
        </w:rPr>
        <w:t xml:space="preserve">要求，在编制本响应文件（响应文件）时，对响应文件中所提供的资料全部真实和正确，并对提供的所有资料（资格、其他材料等）的真实性负责！ </w:t>
      </w:r>
    </w:p>
    <w:p w14:paraId="5360901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对提供的全部资料中有存在不真实（伪造或租借等虚假资料）情形，将无条件接受任何处罚，自行承担由此引起的一切责任！</w:t>
      </w:r>
    </w:p>
    <w:p w14:paraId="54E301F7">
      <w:pPr>
        <w:spacing w:line="360" w:lineRule="auto"/>
        <w:ind w:firstLine="720" w:firstLineChars="300"/>
        <w:rPr>
          <w:rFonts w:ascii="仿宋" w:hAnsi="仿宋" w:eastAsia="仿宋" w:cs="仿宋"/>
          <w:sz w:val="24"/>
          <w:highlight w:val="none"/>
        </w:rPr>
      </w:pPr>
    </w:p>
    <w:p w14:paraId="01A875ED">
      <w:pPr>
        <w:spacing w:line="360" w:lineRule="auto"/>
        <w:ind w:firstLine="720" w:firstLineChars="300"/>
        <w:rPr>
          <w:rFonts w:ascii="仿宋" w:hAnsi="仿宋" w:eastAsia="仿宋" w:cs="仿宋"/>
          <w:sz w:val="24"/>
          <w:highlight w:val="none"/>
        </w:rPr>
      </w:pPr>
      <w:r>
        <w:rPr>
          <w:rFonts w:hint="eastAsia" w:ascii="仿宋" w:hAnsi="仿宋" w:eastAsia="仿宋" w:cs="仿宋"/>
          <w:sz w:val="24"/>
          <w:highlight w:val="none"/>
        </w:rPr>
        <w:t>特此承诺</w:t>
      </w:r>
    </w:p>
    <w:p w14:paraId="238A7F19">
      <w:pPr>
        <w:spacing w:line="360" w:lineRule="auto"/>
        <w:rPr>
          <w:rFonts w:ascii="仿宋" w:hAnsi="仿宋" w:eastAsia="仿宋" w:cs="仿宋"/>
          <w:sz w:val="24"/>
          <w:highlight w:val="none"/>
        </w:rPr>
      </w:pPr>
    </w:p>
    <w:p w14:paraId="34F53FD5">
      <w:pPr>
        <w:spacing w:line="360" w:lineRule="auto"/>
        <w:ind w:firstLine="720" w:firstLineChars="300"/>
        <w:rPr>
          <w:rFonts w:ascii="仿宋" w:hAnsi="仿宋" w:eastAsia="仿宋" w:cs="仿宋"/>
          <w:sz w:val="24"/>
          <w:highlight w:val="none"/>
        </w:rPr>
      </w:pPr>
    </w:p>
    <w:p w14:paraId="589D47AE">
      <w:pPr>
        <w:spacing w:line="360" w:lineRule="auto"/>
        <w:ind w:firstLine="720" w:firstLineChars="300"/>
        <w:rPr>
          <w:rFonts w:ascii="仿宋" w:hAnsi="仿宋" w:eastAsia="仿宋" w:cs="仿宋"/>
          <w:sz w:val="24"/>
          <w:highlight w:val="none"/>
        </w:rPr>
      </w:pPr>
    </w:p>
    <w:p w14:paraId="566905FD">
      <w:pPr>
        <w:spacing w:line="360" w:lineRule="auto"/>
        <w:ind w:firstLine="720" w:firstLineChars="300"/>
        <w:rPr>
          <w:rFonts w:ascii="仿宋" w:hAnsi="仿宋" w:eastAsia="仿宋" w:cs="仿宋"/>
          <w:sz w:val="24"/>
          <w:highlight w:val="none"/>
        </w:rPr>
      </w:pPr>
    </w:p>
    <w:p w14:paraId="634ACFC9">
      <w:pPr>
        <w:spacing w:line="360" w:lineRule="auto"/>
        <w:ind w:firstLine="4080" w:firstLineChars="1700"/>
        <w:rPr>
          <w:rFonts w:ascii="仿宋" w:hAnsi="仿宋" w:eastAsia="仿宋" w:cs="仿宋"/>
          <w:sz w:val="24"/>
          <w:highlight w:val="none"/>
        </w:rPr>
      </w:pPr>
      <w:r>
        <w:rPr>
          <w:rFonts w:hint="eastAsia" w:ascii="仿宋" w:hAnsi="仿宋" w:eastAsia="仿宋" w:cs="仿宋"/>
          <w:sz w:val="24"/>
          <w:highlight w:val="none"/>
        </w:rPr>
        <w:t xml:space="preserve">供应商名称（加盖盖章）：                        </w:t>
      </w:r>
    </w:p>
    <w:p w14:paraId="2121AAD2">
      <w:pPr>
        <w:spacing w:line="360" w:lineRule="auto"/>
        <w:ind w:firstLine="4080" w:firstLineChars="1700"/>
        <w:rPr>
          <w:rFonts w:ascii="仿宋" w:hAnsi="仿宋" w:eastAsia="仿宋" w:cs="仿宋"/>
          <w:sz w:val="24"/>
          <w:highlight w:val="none"/>
        </w:rPr>
      </w:pPr>
      <w:r>
        <w:rPr>
          <w:rFonts w:hint="eastAsia" w:ascii="仿宋" w:hAnsi="仿宋" w:eastAsia="仿宋" w:cs="仿宋"/>
          <w:sz w:val="24"/>
          <w:highlight w:val="none"/>
        </w:rPr>
        <w:t>法定代表人（签字）：</w:t>
      </w:r>
    </w:p>
    <w:p w14:paraId="22192084">
      <w:pPr>
        <w:spacing w:line="360" w:lineRule="auto"/>
        <w:ind w:firstLine="720" w:firstLineChars="300"/>
        <w:rPr>
          <w:rFonts w:ascii="仿宋" w:hAnsi="仿宋" w:eastAsia="仿宋" w:cs="仿宋"/>
          <w:sz w:val="24"/>
          <w:highlight w:val="none"/>
        </w:rPr>
      </w:pPr>
      <w:r>
        <w:rPr>
          <w:rFonts w:hint="eastAsia" w:ascii="仿宋" w:hAnsi="仿宋" w:eastAsia="仿宋" w:cs="仿宋"/>
          <w:sz w:val="24"/>
          <w:highlight w:val="none"/>
        </w:rPr>
        <w:t xml:space="preserve">                            联系方式：                         </w:t>
      </w:r>
    </w:p>
    <w:p w14:paraId="281C6195">
      <w:pPr>
        <w:spacing w:line="360" w:lineRule="auto"/>
        <w:ind w:firstLine="4560" w:firstLineChars="1900"/>
        <w:rPr>
          <w:rFonts w:ascii="仿宋" w:hAnsi="仿宋" w:eastAsia="仿宋" w:cs="仿宋"/>
          <w:sz w:val="24"/>
          <w:highlight w:val="none"/>
        </w:rPr>
      </w:pPr>
      <w:r>
        <w:rPr>
          <w:rFonts w:hint="eastAsia" w:ascii="仿宋" w:hAnsi="仿宋" w:eastAsia="仿宋" w:cs="仿宋"/>
          <w:sz w:val="24"/>
          <w:highlight w:val="none"/>
        </w:rPr>
        <w:t>年      月       日</w:t>
      </w:r>
    </w:p>
    <w:p w14:paraId="142A5BC1">
      <w:pPr>
        <w:spacing w:line="240" w:lineRule="atLeast"/>
        <w:ind w:left="1080" w:leftChars="257" w:hanging="540"/>
        <w:jc w:val="center"/>
        <w:rPr>
          <w:rFonts w:ascii="仿宋" w:hAnsi="仿宋" w:eastAsia="仿宋" w:cs="仿宋"/>
          <w:b/>
          <w:sz w:val="52"/>
          <w:szCs w:val="52"/>
          <w:highlight w:val="none"/>
        </w:rPr>
      </w:pPr>
    </w:p>
    <w:p w14:paraId="03371A82">
      <w:pPr>
        <w:spacing w:line="240" w:lineRule="atLeast"/>
        <w:ind w:left="1080" w:leftChars="257" w:hanging="540"/>
        <w:jc w:val="center"/>
        <w:rPr>
          <w:rFonts w:ascii="仿宋" w:hAnsi="仿宋" w:eastAsia="仿宋" w:cs="仿宋"/>
          <w:b/>
          <w:sz w:val="52"/>
          <w:szCs w:val="52"/>
          <w:highlight w:val="none"/>
        </w:rPr>
      </w:pPr>
    </w:p>
    <w:p w14:paraId="062EC429">
      <w:pPr>
        <w:spacing w:line="240" w:lineRule="atLeast"/>
        <w:ind w:left="1080" w:leftChars="257" w:hanging="540"/>
        <w:jc w:val="center"/>
        <w:rPr>
          <w:rFonts w:ascii="仿宋" w:hAnsi="仿宋" w:eastAsia="仿宋" w:cs="仿宋"/>
          <w:b/>
          <w:sz w:val="52"/>
          <w:szCs w:val="52"/>
          <w:highlight w:val="none"/>
        </w:rPr>
      </w:pPr>
    </w:p>
    <w:p w14:paraId="6D37968B">
      <w:pPr>
        <w:spacing w:line="240" w:lineRule="atLeast"/>
        <w:ind w:left="1080" w:leftChars="257" w:hanging="540"/>
        <w:jc w:val="center"/>
        <w:rPr>
          <w:rFonts w:ascii="仿宋" w:hAnsi="仿宋" w:eastAsia="仿宋" w:cs="仿宋"/>
          <w:b/>
          <w:sz w:val="52"/>
          <w:szCs w:val="52"/>
          <w:highlight w:val="none"/>
        </w:rPr>
      </w:pPr>
    </w:p>
    <w:p w14:paraId="497F0193">
      <w:pPr>
        <w:pStyle w:val="20"/>
        <w:rPr>
          <w:rFonts w:hint="eastAsia" w:ascii="仿宋" w:hAnsi="仿宋" w:eastAsia="仿宋" w:cs="仿宋"/>
          <w:b/>
          <w:sz w:val="52"/>
          <w:szCs w:val="52"/>
          <w:lang w:eastAsia="zh-CN"/>
        </w:rPr>
      </w:pPr>
    </w:p>
    <w:p w14:paraId="435ACAFB">
      <w:pPr>
        <w:pStyle w:val="8"/>
        <w:rPr>
          <w:rFonts w:hint="eastAsia"/>
          <w:lang w:eastAsia="zh-CN"/>
        </w:rPr>
      </w:pPr>
    </w:p>
    <w:p w14:paraId="4A179E3A">
      <w:pPr>
        <w:rPr>
          <w:rFonts w:hint="eastAsia"/>
          <w:lang w:eastAsia="zh-CN"/>
        </w:rPr>
      </w:pPr>
    </w:p>
    <w:p w14:paraId="4BFE6D32">
      <w:pPr>
        <w:rPr>
          <w:rFonts w:hint="eastAsia"/>
          <w:lang w:eastAsia="zh-CN"/>
        </w:rPr>
      </w:pPr>
    </w:p>
    <w:p w14:paraId="646921A9">
      <w:pPr>
        <w:keepNext w:val="0"/>
        <w:keepLines w:val="0"/>
        <w:pageBreakBefore w:val="0"/>
        <w:widowControl w:val="0"/>
        <w:kinsoku/>
        <w:wordWrap/>
        <w:overflowPunct/>
        <w:topLinePunct w:val="0"/>
        <w:bidi w:val="0"/>
        <w:snapToGrid/>
        <w:spacing w:line="240" w:lineRule="atLeast"/>
        <w:ind w:left="1080" w:leftChars="257" w:hanging="540"/>
        <w:jc w:val="center"/>
        <w:textAlignment w:val="auto"/>
        <w:rPr>
          <w:rFonts w:hint="eastAsia" w:ascii="仿宋" w:hAnsi="仿宋" w:eastAsia="仿宋" w:cs="仿宋"/>
          <w:b/>
          <w:sz w:val="52"/>
          <w:szCs w:val="52"/>
        </w:rPr>
      </w:pPr>
      <w:r>
        <w:rPr>
          <w:rFonts w:hint="eastAsia" w:ascii="仿宋" w:hAnsi="仿宋" w:eastAsia="仿宋" w:cs="仿宋"/>
          <w:b/>
          <w:sz w:val="52"/>
          <w:szCs w:val="52"/>
          <w:lang w:eastAsia="zh-CN"/>
        </w:rPr>
        <w:t>服务</w:t>
      </w:r>
      <w:r>
        <w:rPr>
          <w:rFonts w:hint="eastAsia" w:ascii="仿宋" w:hAnsi="仿宋" w:eastAsia="仿宋" w:cs="仿宋"/>
          <w:b/>
          <w:sz w:val="52"/>
          <w:szCs w:val="52"/>
        </w:rPr>
        <w:t>类</w:t>
      </w:r>
    </w:p>
    <w:p w14:paraId="2292BBF7">
      <w:pPr>
        <w:pStyle w:val="6"/>
        <w:keepNext w:val="0"/>
        <w:keepLines w:val="0"/>
        <w:pageBreakBefore w:val="0"/>
        <w:widowControl w:val="0"/>
        <w:kinsoku/>
        <w:wordWrap/>
        <w:overflowPunct/>
        <w:topLinePunct w:val="0"/>
        <w:bidi w:val="0"/>
        <w:snapToGrid/>
        <w:textAlignment w:val="auto"/>
        <w:rPr>
          <w:rFonts w:hint="eastAsia" w:ascii="仿宋" w:hAnsi="仿宋" w:eastAsia="仿宋" w:cs="仿宋"/>
        </w:rPr>
      </w:pPr>
    </w:p>
    <w:p w14:paraId="518D0D6F">
      <w:pPr>
        <w:keepNext w:val="0"/>
        <w:keepLines w:val="0"/>
        <w:pageBreakBefore w:val="0"/>
        <w:widowControl w:val="0"/>
        <w:kinsoku/>
        <w:wordWrap/>
        <w:overflowPunct/>
        <w:topLinePunct w:val="0"/>
        <w:bidi w:val="0"/>
        <w:snapToGrid/>
        <w:spacing w:line="240" w:lineRule="atLeast"/>
        <w:ind w:left="1080" w:leftChars="257" w:hanging="540"/>
        <w:jc w:val="center"/>
        <w:textAlignment w:val="auto"/>
        <w:rPr>
          <w:rFonts w:hint="eastAsia" w:ascii="仿宋" w:hAnsi="仿宋" w:eastAsia="仿宋" w:cs="仿宋"/>
          <w:b/>
          <w:sz w:val="52"/>
          <w:szCs w:val="52"/>
        </w:rPr>
      </w:pPr>
      <w:r>
        <w:rPr>
          <w:rFonts w:hint="eastAsia" w:ascii="仿宋" w:hAnsi="仿宋" w:eastAsia="仿宋" w:cs="仿宋"/>
          <w:b/>
          <w:sz w:val="52"/>
          <w:szCs w:val="52"/>
        </w:rPr>
        <w:t>政府采购</w:t>
      </w:r>
      <w:r>
        <w:rPr>
          <w:rFonts w:hint="eastAsia" w:ascii="仿宋" w:hAnsi="仿宋" w:eastAsia="仿宋" w:cs="仿宋"/>
          <w:b/>
          <w:sz w:val="52"/>
          <w:szCs w:val="52"/>
          <w:lang w:eastAsia="zh-CN"/>
        </w:rPr>
        <w:t>竞争性磋商</w:t>
      </w:r>
      <w:r>
        <w:rPr>
          <w:rFonts w:hint="eastAsia" w:ascii="仿宋" w:hAnsi="仿宋" w:eastAsia="仿宋" w:cs="仿宋"/>
          <w:b/>
          <w:sz w:val="52"/>
          <w:szCs w:val="52"/>
        </w:rPr>
        <w:t>文件</w:t>
      </w:r>
    </w:p>
    <w:p w14:paraId="711D015E">
      <w:pPr>
        <w:keepNext w:val="0"/>
        <w:keepLines w:val="0"/>
        <w:pageBreakBefore w:val="0"/>
        <w:widowControl w:val="0"/>
        <w:kinsoku/>
        <w:wordWrap/>
        <w:overflowPunct/>
        <w:topLinePunct w:val="0"/>
        <w:bidi w:val="0"/>
        <w:snapToGrid/>
        <w:spacing w:line="240" w:lineRule="atLeast"/>
        <w:ind w:left="1080" w:leftChars="257" w:hanging="540"/>
        <w:textAlignment w:val="auto"/>
        <w:rPr>
          <w:rFonts w:hint="eastAsia" w:ascii="仿宋" w:hAnsi="仿宋" w:eastAsia="仿宋" w:cs="仿宋"/>
          <w:b/>
          <w:sz w:val="28"/>
        </w:rPr>
      </w:pPr>
    </w:p>
    <w:p w14:paraId="201A584E">
      <w:pPr>
        <w:keepNext w:val="0"/>
        <w:keepLines w:val="0"/>
        <w:pageBreakBefore w:val="0"/>
        <w:widowControl w:val="0"/>
        <w:tabs>
          <w:tab w:val="left" w:pos="0"/>
        </w:tabs>
        <w:kinsoku/>
        <w:wordWrap/>
        <w:overflowPunct/>
        <w:topLinePunct w:val="0"/>
        <w:bidi w:val="0"/>
        <w:snapToGrid/>
        <w:spacing w:before="0" w:after="0" w:line="240" w:lineRule="atLeast"/>
        <w:jc w:val="center"/>
        <w:textAlignment w:val="auto"/>
        <w:outlineLvl w:val="9"/>
        <w:rPr>
          <w:rFonts w:hint="eastAsia" w:ascii="仿宋" w:hAnsi="仿宋" w:eastAsia="仿宋" w:cs="仿宋"/>
          <w:b/>
          <w:sz w:val="48"/>
          <w:szCs w:val="48"/>
        </w:rPr>
      </w:pPr>
      <w:bookmarkStart w:id="570" w:name="_Toc17159"/>
      <w:r>
        <w:rPr>
          <w:rFonts w:hint="eastAsia" w:ascii="仿宋" w:hAnsi="仿宋" w:eastAsia="仿宋" w:cs="仿宋"/>
          <w:b/>
          <w:sz w:val="48"/>
          <w:szCs w:val="48"/>
        </w:rPr>
        <w:t>第二册</w:t>
      </w:r>
      <w:bookmarkEnd w:id="570"/>
    </w:p>
    <w:p w14:paraId="349A8BCB">
      <w:pPr>
        <w:pageBreakBefore w:val="0"/>
        <w:widowControl w:val="0"/>
        <w:kinsoku/>
        <w:wordWrap/>
        <w:overflowPunct/>
        <w:topLinePunct w:val="0"/>
        <w:bidi w:val="0"/>
        <w:snapToGrid/>
        <w:textAlignment w:val="auto"/>
        <w:outlineLvl w:val="9"/>
        <w:rPr>
          <w:rFonts w:hint="eastAsia" w:ascii="仿宋" w:hAnsi="仿宋" w:eastAsia="仿宋" w:cs="仿宋"/>
          <w:b/>
          <w:sz w:val="48"/>
          <w:szCs w:val="48"/>
        </w:rPr>
      </w:pPr>
    </w:p>
    <w:p w14:paraId="41D3B5F1">
      <w:pPr>
        <w:pStyle w:val="6"/>
        <w:rPr>
          <w:rFonts w:hint="eastAsia" w:ascii="仿宋" w:hAnsi="仿宋" w:eastAsia="仿宋" w:cs="仿宋"/>
          <w:b/>
          <w:sz w:val="48"/>
          <w:szCs w:val="48"/>
        </w:rPr>
      </w:pPr>
    </w:p>
    <w:p w14:paraId="2B400C9A">
      <w:pPr>
        <w:jc w:val="center"/>
        <w:rPr>
          <w:rFonts w:hint="eastAsia" w:ascii="仿宋" w:hAnsi="仿宋" w:eastAsia="仿宋" w:cs="仿宋"/>
          <w:b/>
          <w:bCs/>
        </w:rPr>
      </w:pPr>
    </w:p>
    <w:p w14:paraId="3012D7F7">
      <w:pPr>
        <w:jc w:val="center"/>
        <w:rPr>
          <w:rFonts w:hint="eastAsia" w:ascii="仿宋" w:hAnsi="仿宋" w:eastAsia="仿宋" w:cs="仿宋"/>
          <w:b/>
          <w:bCs/>
        </w:rPr>
      </w:pPr>
    </w:p>
    <w:p w14:paraId="4E701245">
      <w:pPr>
        <w:pStyle w:val="5"/>
        <w:numPr>
          <w:ilvl w:val="3"/>
          <w:numId w:val="0"/>
        </w:numPr>
        <w:ind w:left="864" w:leftChars="0"/>
        <w:rPr>
          <w:rFonts w:hint="eastAsia" w:ascii="仿宋" w:hAnsi="仿宋" w:eastAsia="仿宋" w:cs="仿宋"/>
        </w:rPr>
      </w:pPr>
    </w:p>
    <w:p w14:paraId="7A00B426">
      <w:pPr>
        <w:rPr>
          <w:rFonts w:hint="eastAsia" w:ascii="仿宋" w:hAnsi="仿宋" w:eastAsia="仿宋" w:cs="仿宋"/>
          <w:b/>
          <w:sz w:val="48"/>
          <w:szCs w:val="48"/>
        </w:rPr>
      </w:pPr>
    </w:p>
    <w:p w14:paraId="57AF79C7">
      <w:pPr>
        <w:pStyle w:val="2"/>
        <w:tabs>
          <w:tab w:val="left" w:pos="0"/>
        </w:tabs>
        <w:spacing w:before="0" w:after="0" w:line="240" w:lineRule="atLeast"/>
        <w:jc w:val="center"/>
        <w:rPr>
          <w:rFonts w:hint="eastAsia" w:ascii="仿宋" w:hAnsi="仿宋" w:eastAsia="仿宋" w:cs="仿宋"/>
          <w:b/>
          <w:bCs/>
          <w:kern w:val="2"/>
          <w:sz w:val="36"/>
          <w:szCs w:val="36"/>
          <w:lang w:val="en-US" w:eastAsia="zh-CN" w:bidi="ar-SA"/>
        </w:rPr>
      </w:pPr>
    </w:p>
    <w:p w14:paraId="757779B6">
      <w:pPr>
        <w:pStyle w:val="2"/>
        <w:tabs>
          <w:tab w:val="left" w:pos="0"/>
        </w:tabs>
        <w:spacing w:before="0" w:after="0" w:line="240" w:lineRule="atLeast"/>
        <w:jc w:val="center"/>
        <w:rPr>
          <w:rFonts w:hint="eastAsia" w:ascii="仿宋" w:hAnsi="仿宋" w:eastAsia="仿宋" w:cs="仿宋"/>
          <w:b/>
          <w:bCs/>
          <w:kern w:val="2"/>
          <w:sz w:val="36"/>
          <w:szCs w:val="36"/>
          <w:lang w:val="en-US" w:eastAsia="zh-CN" w:bidi="ar-SA"/>
        </w:rPr>
      </w:pPr>
    </w:p>
    <w:p w14:paraId="3DB639A7">
      <w:pPr>
        <w:rPr>
          <w:rFonts w:hint="eastAsia"/>
          <w:lang w:val="en-US" w:eastAsia="zh-CN"/>
        </w:rPr>
      </w:pPr>
    </w:p>
    <w:p w14:paraId="480982B4">
      <w:pPr>
        <w:rPr>
          <w:rFonts w:hint="eastAsia" w:ascii="仿宋" w:hAnsi="仿宋" w:eastAsia="仿宋" w:cs="仿宋"/>
          <w:b/>
          <w:bCs/>
          <w:kern w:val="2"/>
          <w:sz w:val="36"/>
          <w:szCs w:val="36"/>
          <w:lang w:val="en-US" w:eastAsia="zh-CN" w:bidi="ar-SA"/>
        </w:rPr>
      </w:pPr>
    </w:p>
    <w:p w14:paraId="3A7806C0">
      <w:pPr>
        <w:pStyle w:val="8"/>
        <w:rPr>
          <w:rFonts w:hint="eastAsia" w:ascii="仿宋" w:hAnsi="仿宋" w:eastAsia="仿宋" w:cs="仿宋"/>
          <w:b/>
          <w:bCs/>
          <w:kern w:val="2"/>
          <w:sz w:val="36"/>
          <w:szCs w:val="36"/>
          <w:lang w:val="en-US" w:eastAsia="zh-CN" w:bidi="ar-SA"/>
        </w:rPr>
      </w:pPr>
    </w:p>
    <w:p w14:paraId="3C175694">
      <w:pPr>
        <w:rPr>
          <w:rFonts w:hint="eastAsia"/>
          <w:lang w:val="en-US" w:eastAsia="zh-CN"/>
        </w:rPr>
      </w:pPr>
    </w:p>
    <w:p w14:paraId="29DE0F77">
      <w:pPr>
        <w:rPr>
          <w:rFonts w:hint="eastAsia" w:ascii="仿宋" w:hAnsi="仿宋" w:eastAsia="仿宋" w:cs="仿宋"/>
          <w:b/>
          <w:bCs/>
          <w:kern w:val="2"/>
          <w:sz w:val="36"/>
          <w:szCs w:val="36"/>
          <w:lang w:val="en-US" w:eastAsia="zh-CN" w:bidi="ar-SA"/>
        </w:rPr>
      </w:pPr>
    </w:p>
    <w:p w14:paraId="45D4E568">
      <w:pPr>
        <w:pStyle w:val="2"/>
        <w:tabs>
          <w:tab w:val="left" w:pos="0"/>
        </w:tabs>
        <w:spacing w:before="0" w:after="0" w:line="240" w:lineRule="atLeast"/>
        <w:jc w:val="both"/>
        <w:rPr>
          <w:rFonts w:hint="eastAsia" w:ascii="仿宋" w:hAnsi="仿宋" w:eastAsia="仿宋" w:cs="仿宋"/>
          <w:b/>
          <w:bCs/>
          <w:kern w:val="2"/>
          <w:sz w:val="36"/>
          <w:szCs w:val="36"/>
          <w:lang w:val="en-US" w:eastAsia="zh-CN" w:bidi="ar-SA"/>
        </w:rPr>
      </w:pPr>
    </w:p>
    <w:p w14:paraId="47BD4C91">
      <w:pPr>
        <w:rPr>
          <w:rFonts w:hint="eastAsia" w:ascii="仿宋" w:hAnsi="仿宋" w:eastAsia="仿宋" w:cs="仿宋"/>
          <w:b/>
          <w:bCs/>
          <w:kern w:val="2"/>
          <w:sz w:val="36"/>
          <w:szCs w:val="36"/>
          <w:lang w:val="en-US" w:eastAsia="zh-CN" w:bidi="ar-SA"/>
        </w:rPr>
      </w:pPr>
    </w:p>
    <w:p w14:paraId="1B499DDD">
      <w:pPr>
        <w:rPr>
          <w:rFonts w:hint="eastAsia" w:ascii="仿宋" w:hAnsi="仿宋" w:eastAsia="仿宋" w:cs="仿宋"/>
          <w:b/>
          <w:bCs/>
          <w:kern w:val="2"/>
          <w:sz w:val="36"/>
          <w:szCs w:val="36"/>
          <w:lang w:val="en-US" w:eastAsia="zh-CN" w:bidi="ar-SA"/>
        </w:rPr>
      </w:pPr>
    </w:p>
    <w:p w14:paraId="45708095">
      <w:pPr>
        <w:rPr>
          <w:rFonts w:hint="eastAsia" w:ascii="仿宋" w:hAnsi="仿宋" w:eastAsia="仿宋" w:cs="仿宋"/>
          <w:b/>
          <w:bCs/>
          <w:kern w:val="2"/>
          <w:sz w:val="36"/>
          <w:szCs w:val="36"/>
          <w:lang w:val="en-US" w:eastAsia="zh-CN" w:bidi="ar-SA"/>
        </w:rPr>
      </w:pPr>
    </w:p>
    <w:p w14:paraId="1F8E76FF">
      <w:pPr>
        <w:rPr>
          <w:rFonts w:hint="eastAsia" w:ascii="仿宋" w:hAnsi="仿宋" w:eastAsia="仿宋" w:cs="仿宋"/>
          <w:b/>
          <w:bCs/>
          <w:kern w:val="2"/>
          <w:sz w:val="36"/>
          <w:szCs w:val="36"/>
          <w:lang w:val="en-US" w:eastAsia="zh-CN" w:bidi="ar-SA"/>
        </w:rPr>
      </w:pPr>
    </w:p>
    <w:p w14:paraId="59654CF4">
      <w:pPr>
        <w:rPr>
          <w:rFonts w:hint="eastAsia" w:ascii="仿宋" w:hAnsi="仿宋" w:eastAsia="仿宋" w:cs="仿宋"/>
          <w:b/>
          <w:bCs/>
          <w:kern w:val="2"/>
          <w:sz w:val="36"/>
          <w:szCs w:val="36"/>
          <w:lang w:val="en-US" w:eastAsia="zh-CN" w:bidi="ar-SA"/>
        </w:rPr>
      </w:pPr>
    </w:p>
    <w:p w14:paraId="0E9E29AD">
      <w:pPr>
        <w:rPr>
          <w:rFonts w:hint="eastAsia" w:ascii="仿宋" w:hAnsi="仿宋" w:eastAsia="仿宋" w:cs="仿宋"/>
          <w:b/>
          <w:bCs/>
          <w:kern w:val="2"/>
          <w:sz w:val="36"/>
          <w:szCs w:val="36"/>
          <w:lang w:val="en-US" w:eastAsia="zh-CN" w:bidi="ar-SA"/>
        </w:rPr>
      </w:pPr>
    </w:p>
    <w:p w14:paraId="545AB44C">
      <w:pPr>
        <w:rPr>
          <w:rFonts w:hint="eastAsia" w:ascii="仿宋" w:hAnsi="仿宋" w:eastAsia="仿宋" w:cs="仿宋"/>
          <w:b/>
          <w:bCs/>
          <w:kern w:val="2"/>
          <w:sz w:val="36"/>
          <w:szCs w:val="36"/>
          <w:lang w:val="en-US" w:eastAsia="zh-CN" w:bidi="ar-SA"/>
        </w:rPr>
      </w:pPr>
    </w:p>
    <w:p w14:paraId="55BA33FC">
      <w:pPr>
        <w:keepNext w:val="0"/>
        <w:keepLines w:val="0"/>
        <w:pageBreakBefore w:val="0"/>
        <w:kinsoku/>
        <w:wordWrap/>
        <w:overflowPunct/>
        <w:topLinePunct w:val="0"/>
        <w:bidi w:val="0"/>
        <w:spacing w:beforeAutospacing="0" w:afterAutospacing="0" w:line="400" w:lineRule="exact"/>
        <w:rPr>
          <w:rFonts w:hint="eastAsia" w:ascii="仿宋" w:hAnsi="仿宋" w:eastAsia="仿宋" w:cs="仿宋"/>
          <w:color w:val="000000"/>
          <w:sz w:val="24"/>
          <w:szCs w:val="21"/>
        </w:rPr>
      </w:pPr>
    </w:p>
    <w:p w14:paraId="03104F59">
      <w:pPr>
        <w:pStyle w:val="2"/>
        <w:tabs>
          <w:tab w:val="left" w:pos="0"/>
        </w:tabs>
        <w:spacing w:before="0" w:after="0" w:line="240" w:lineRule="atLeast"/>
        <w:jc w:val="center"/>
        <w:rPr>
          <w:rFonts w:hint="eastAsia" w:ascii="仿宋" w:hAnsi="仿宋" w:eastAsia="仿宋" w:cs="仿宋"/>
          <w:b/>
          <w:bCs/>
          <w:kern w:val="2"/>
          <w:sz w:val="36"/>
          <w:szCs w:val="36"/>
          <w:lang w:val="en-US" w:eastAsia="zh-CN" w:bidi="ar-SA"/>
        </w:rPr>
      </w:pPr>
      <w:bookmarkStart w:id="571" w:name="_Toc3104"/>
      <w:bookmarkStart w:id="572" w:name="_Toc10126"/>
      <w:bookmarkStart w:id="573" w:name="_Toc20331"/>
      <w:r>
        <w:rPr>
          <w:rFonts w:hint="eastAsia" w:ascii="仿宋" w:hAnsi="仿宋" w:eastAsia="仿宋" w:cs="仿宋"/>
          <w:b/>
          <w:bCs/>
          <w:kern w:val="2"/>
          <w:sz w:val="36"/>
          <w:szCs w:val="36"/>
          <w:lang w:val="en-US" w:eastAsia="zh-CN" w:bidi="ar-SA"/>
        </w:rPr>
        <w:t>第三章 投标邀请</w:t>
      </w:r>
      <w:bookmarkEnd w:id="571"/>
      <w:bookmarkEnd w:id="572"/>
      <w:bookmarkEnd w:id="573"/>
    </w:p>
    <w:p w14:paraId="0AD94BFA">
      <w:pPr>
        <w:pStyle w:val="17"/>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伽师县市场监督管理局食品安全抽检服务项目</w:t>
      </w:r>
    </w:p>
    <w:p w14:paraId="7A19EF30">
      <w:pPr>
        <w:pStyle w:val="17"/>
        <w:jc w:val="center"/>
        <w:rPr>
          <w:rFonts w:hint="eastAsia" w:ascii="仿宋" w:hAnsi="仿宋" w:eastAsia="仿宋" w:cs="仿宋"/>
          <w:b/>
          <w:sz w:val="32"/>
          <w:szCs w:val="32"/>
        </w:rPr>
      </w:pPr>
      <w:r>
        <w:rPr>
          <w:rFonts w:hint="eastAsia" w:ascii="仿宋" w:hAnsi="仿宋" w:eastAsia="仿宋" w:cs="仿宋"/>
          <w:b/>
          <w:bCs/>
          <w:sz w:val="36"/>
          <w:szCs w:val="36"/>
          <w:lang w:val="en-US" w:eastAsia="zh-CN"/>
        </w:rPr>
        <w:t>竞争性磋商</w:t>
      </w:r>
      <w:r>
        <w:rPr>
          <w:rFonts w:hint="eastAsia" w:ascii="仿宋" w:hAnsi="仿宋" w:eastAsia="仿宋" w:cs="仿宋"/>
          <w:b/>
          <w:bCs/>
          <w:sz w:val="36"/>
          <w:szCs w:val="36"/>
        </w:rPr>
        <w:t>公告</w:t>
      </w:r>
      <w:bookmarkStart w:id="574" w:name="_Toc460703947"/>
    </w:p>
    <w:bookmarkEnd w:id="574"/>
    <w:p w14:paraId="5AEB2485">
      <w:pPr>
        <w:pBdr>
          <w:top w:val="single" w:color="auto" w:sz="4" w:space="1"/>
          <w:left w:val="single" w:color="auto" w:sz="4" w:space="4"/>
          <w:bottom w:val="single" w:color="auto" w:sz="4" w:space="1"/>
          <w:right w:val="single" w:color="auto" w:sz="4" w:space="4"/>
        </w:pBdr>
        <w:spacing w:line="400" w:lineRule="exact"/>
        <w:rPr>
          <w:rFonts w:hint="eastAsia" w:ascii="仿宋" w:hAnsi="仿宋" w:eastAsia="仿宋" w:cs="仿宋"/>
          <w:kern w:val="0"/>
          <w:sz w:val="27"/>
          <w:szCs w:val="27"/>
        </w:rPr>
      </w:pPr>
      <w:r>
        <w:rPr>
          <w:rFonts w:hint="eastAsia" w:ascii="仿宋" w:hAnsi="仿宋" w:eastAsia="仿宋" w:cs="仿宋"/>
          <w:kern w:val="0"/>
          <w:sz w:val="27"/>
          <w:szCs w:val="27"/>
        </w:rPr>
        <w:t>项目概况：</w:t>
      </w:r>
      <w:r>
        <w:rPr>
          <w:rFonts w:hint="eastAsia" w:ascii="仿宋" w:hAnsi="仿宋" w:eastAsia="仿宋" w:cs="仿宋"/>
          <w:kern w:val="0"/>
          <w:sz w:val="27"/>
          <w:szCs w:val="27"/>
          <w:u w:val="single"/>
          <w:lang w:val="en-US" w:eastAsia="zh-CN"/>
        </w:rPr>
        <w:t>伽师县市场监督管理局食品安全抽检服务项目</w:t>
      </w:r>
      <w:r>
        <w:rPr>
          <w:rFonts w:hint="eastAsia" w:ascii="仿宋" w:hAnsi="仿宋" w:eastAsia="仿宋" w:cs="仿宋"/>
          <w:kern w:val="0"/>
          <w:sz w:val="27"/>
          <w:szCs w:val="27"/>
        </w:rPr>
        <w:t>竞争性磋商公告的潜在投标人应在</w:t>
      </w:r>
      <w:r>
        <w:rPr>
          <w:rFonts w:hint="eastAsia" w:ascii="仿宋" w:hAnsi="仿宋" w:eastAsia="仿宋" w:cs="仿宋"/>
          <w:kern w:val="0"/>
          <w:sz w:val="27"/>
          <w:szCs w:val="27"/>
          <w:u w:val="single"/>
        </w:rPr>
        <w:t>新疆政府采购网</w:t>
      </w:r>
      <w:r>
        <w:rPr>
          <w:rFonts w:hint="eastAsia" w:ascii="仿宋" w:hAnsi="仿宋" w:eastAsia="仿宋" w:cs="仿宋"/>
          <w:kern w:val="0"/>
          <w:sz w:val="27"/>
          <w:szCs w:val="27"/>
        </w:rPr>
        <w:t>获取竞争性磋商文</w:t>
      </w:r>
      <w:r>
        <w:rPr>
          <w:rFonts w:hint="eastAsia" w:ascii="仿宋" w:hAnsi="仿宋" w:eastAsia="仿宋" w:cs="仿宋"/>
          <w:color w:val="000000"/>
          <w:sz w:val="28"/>
          <w:szCs w:val="28"/>
        </w:rPr>
        <w:t>件</w:t>
      </w:r>
      <w:r>
        <w:rPr>
          <w:rFonts w:hint="eastAsia" w:ascii="仿宋" w:hAnsi="仿宋" w:eastAsia="仿宋" w:cs="仿宋"/>
          <w:kern w:val="0"/>
          <w:sz w:val="27"/>
          <w:szCs w:val="27"/>
        </w:rPr>
        <w:t>自行获取磋商文件，</w:t>
      </w:r>
      <w:r>
        <w:rPr>
          <w:rFonts w:hint="eastAsia" w:ascii="仿宋" w:hAnsi="仿宋" w:eastAsia="仿宋" w:cs="仿宋"/>
          <w:kern w:val="0"/>
          <w:sz w:val="27"/>
          <w:szCs w:val="27"/>
          <w:highlight w:val="yellow"/>
          <w:u w:val="single"/>
        </w:rPr>
        <w:t>并于 202</w:t>
      </w:r>
      <w:r>
        <w:rPr>
          <w:rFonts w:hint="eastAsia" w:ascii="仿宋" w:hAnsi="仿宋" w:eastAsia="仿宋" w:cs="仿宋"/>
          <w:kern w:val="0"/>
          <w:sz w:val="27"/>
          <w:szCs w:val="27"/>
          <w:highlight w:val="yellow"/>
          <w:u w:val="single"/>
          <w:lang w:val="en-US" w:eastAsia="zh-CN"/>
        </w:rPr>
        <w:t>5</w:t>
      </w:r>
      <w:r>
        <w:rPr>
          <w:rFonts w:hint="eastAsia" w:ascii="仿宋" w:hAnsi="仿宋" w:eastAsia="仿宋" w:cs="仿宋"/>
          <w:kern w:val="0"/>
          <w:sz w:val="27"/>
          <w:szCs w:val="27"/>
          <w:highlight w:val="yellow"/>
          <w:u w:val="single"/>
        </w:rPr>
        <w:t>年</w:t>
      </w:r>
      <w:r>
        <w:rPr>
          <w:rFonts w:hint="eastAsia" w:ascii="仿宋" w:hAnsi="仿宋" w:eastAsia="仿宋" w:cs="仿宋"/>
          <w:kern w:val="0"/>
          <w:sz w:val="27"/>
          <w:szCs w:val="27"/>
          <w:highlight w:val="yellow"/>
          <w:u w:val="single"/>
          <w:lang w:val="en-US" w:eastAsia="zh-CN"/>
        </w:rPr>
        <w:t>7</w:t>
      </w:r>
      <w:r>
        <w:rPr>
          <w:rFonts w:hint="eastAsia" w:ascii="仿宋" w:hAnsi="仿宋" w:eastAsia="仿宋" w:cs="仿宋"/>
          <w:kern w:val="0"/>
          <w:sz w:val="27"/>
          <w:szCs w:val="27"/>
          <w:highlight w:val="yellow"/>
          <w:u w:val="single"/>
        </w:rPr>
        <w:t>月</w:t>
      </w:r>
      <w:r>
        <w:rPr>
          <w:rFonts w:hint="eastAsia" w:ascii="仿宋" w:hAnsi="仿宋" w:eastAsia="仿宋" w:cs="仿宋"/>
          <w:kern w:val="0"/>
          <w:sz w:val="27"/>
          <w:szCs w:val="27"/>
          <w:highlight w:val="yellow"/>
          <w:u w:val="single"/>
          <w:lang w:val="en-US" w:eastAsia="zh-CN"/>
        </w:rPr>
        <w:t>15</w:t>
      </w:r>
      <w:r>
        <w:rPr>
          <w:rFonts w:hint="eastAsia" w:ascii="仿宋" w:hAnsi="仿宋" w:eastAsia="仿宋" w:cs="仿宋"/>
          <w:kern w:val="0"/>
          <w:sz w:val="27"/>
          <w:szCs w:val="27"/>
          <w:highlight w:val="yellow"/>
          <w:u w:val="single"/>
        </w:rPr>
        <w:t xml:space="preserve">日 </w:t>
      </w:r>
      <w:r>
        <w:rPr>
          <w:rFonts w:hint="eastAsia" w:ascii="仿宋" w:hAnsi="仿宋" w:eastAsia="仿宋" w:cs="仿宋"/>
          <w:kern w:val="0"/>
          <w:sz w:val="27"/>
          <w:szCs w:val="27"/>
          <w:highlight w:val="yellow"/>
          <w:u w:val="single"/>
          <w:lang w:val="en-US" w:eastAsia="zh-CN"/>
        </w:rPr>
        <w:t>11</w:t>
      </w:r>
      <w:r>
        <w:rPr>
          <w:rFonts w:hint="eastAsia" w:ascii="仿宋" w:hAnsi="仿宋" w:eastAsia="仿宋" w:cs="仿宋"/>
          <w:kern w:val="0"/>
          <w:sz w:val="27"/>
          <w:szCs w:val="27"/>
          <w:highlight w:val="yellow"/>
          <w:u w:val="single"/>
        </w:rPr>
        <w:t>点</w:t>
      </w:r>
      <w:r>
        <w:rPr>
          <w:rFonts w:hint="eastAsia" w:ascii="仿宋" w:hAnsi="仿宋" w:eastAsia="仿宋" w:cs="仿宋"/>
          <w:kern w:val="0"/>
          <w:sz w:val="27"/>
          <w:szCs w:val="27"/>
          <w:highlight w:val="yellow"/>
          <w:u w:val="single"/>
          <w:lang w:val="en-US" w:eastAsia="zh-CN"/>
        </w:rPr>
        <w:t>0</w:t>
      </w:r>
      <w:r>
        <w:rPr>
          <w:rFonts w:hint="eastAsia" w:ascii="仿宋" w:hAnsi="仿宋" w:eastAsia="仿宋" w:cs="仿宋"/>
          <w:kern w:val="0"/>
          <w:sz w:val="27"/>
          <w:szCs w:val="27"/>
          <w:highlight w:val="yellow"/>
          <w:u w:val="single"/>
        </w:rPr>
        <w:t>0分</w:t>
      </w:r>
      <w:r>
        <w:rPr>
          <w:rFonts w:hint="eastAsia" w:ascii="仿宋" w:hAnsi="仿宋" w:eastAsia="仿宋" w:cs="仿宋"/>
          <w:kern w:val="0"/>
          <w:sz w:val="27"/>
          <w:szCs w:val="27"/>
          <w:u w:val="single"/>
        </w:rPr>
        <w:t>（北京时间）前</w:t>
      </w:r>
      <w:r>
        <w:rPr>
          <w:rFonts w:hint="eastAsia" w:ascii="仿宋" w:hAnsi="仿宋" w:eastAsia="仿宋" w:cs="仿宋"/>
          <w:kern w:val="0"/>
          <w:sz w:val="27"/>
          <w:szCs w:val="27"/>
        </w:rPr>
        <w:t>递交响应文件。</w:t>
      </w:r>
    </w:p>
    <w:p w14:paraId="00F62D6F">
      <w:pPr>
        <w:keepNext w:val="0"/>
        <w:keepLines w:val="0"/>
        <w:pageBreakBefore w:val="0"/>
        <w:widowControl/>
        <w:kinsoku/>
        <w:wordWrap/>
        <w:overflowPunct/>
        <w:topLinePunct w:val="0"/>
        <w:bidi w:val="0"/>
        <w:spacing w:beforeAutospacing="0" w:afterAutospacing="0" w:line="400" w:lineRule="exact"/>
        <w:contextualSpacing/>
        <w:rPr>
          <w:rFonts w:hint="eastAsia" w:ascii="仿宋" w:hAnsi="仿宋" w:eastAsia="仿宋" w:cs="仿宋"/>
          <w:b/>
          <w:bCs/>
          <w:kern w:val="0"/>
          <w:sz w:val="24"/>
        </w:rPr>
      </w:pPr>
      <w:bookmarkStart w:id="575" w:name="_Toc28359002"/>
      <w:bookmarkStart w:id="576" w:name="_Toc9285"/>
      <w:bookmarkStart w:id="577" w:name="_Toc101961703"/>
      <w:bookmarkStart w:id="578" w:name="_Toc101969046"/>
      <w:bookmarkStart w:id="579" w:name="_Toc35393790"/>
      <w:bookmarkStart w:id="580" w:name="_Toc35393621"/>
      <w:bookmarkStart w:id="581" w:name="_Toc28359079"/>
      <w:r>
        <w:rPr>
          <w:rFonts w:hint="eastAsia" w:ascii="仿宋" w:hAnsi="仿宋" w:eastAsia="仿宋" w:cs="仿宋"/>
          <w:b/>
          <w:bCs/>
          <w:kern w:val="0"/>
          <w:sz w:val="24"/>
        </w:rPr>
        <w:t>一、项目基本情况</w:t>
      </w:r>
      <w:bookmarkEnd w:id="575"/>
      <w:bookmarkEnd w:id="576"/>
      <w:bookmarkEnd w:id="577"/>
      <w:bookmarkEnd w:id="578"/>
      <w:bookmarkEnd w:id="579"/>
      <w:bookmarkEnd w:id="580"/>
      <w:bookmarkEnd w:id="581"/>
    </w:p>
    <w:p w14:paraId="0810C145">
      <w:pPr>
        <w:keepNext w:val="0"/>
        <w:keepLines w:val="0"/>
        <w:pageBreakBefore w:val="0"/>
        <w:kinsoku/>
        <w:wordWrap/>
        <w:overflowPunct/>
        <w:topLinePunct w:val="0"/>
        <w:bidi w:val="0"/>
        <w:spacing w:beforeAutospacing="0" w:afterAutospacing="0" w:line="400" w:lineRule="exact"/>
        <w:ind w:firstLine="240" w:firstLineChars="100"/>
        <w:rPr>
          <w:rFonts w:hint="default" w:ascii="仿宋" w:hAnsi="仿宋" w:eastAsia="仿宋" w:cs="仿宋"/>
          <w:color w:val="000000"/>
          <w:sz w:val="24"/>
          <w:szCs w:val="24"/>
          <w:lang w:val="en-US" w:eastAsia="zh-CN"/>
        </w:rPr>
      </w:pPr>
      <w:bookmarkStart w:id="582" w:name="_Toc18987"/>
      <w:r>
        <w:rPr>
          <w:rFonts w:hint="eastAsia" w:ascii="仿宋" w:hAnsi="仿宋" w:eastAsia="仿宋" w:cs="仿宋"/>
          <w:color w:val="000000"/>
          <w:sz w:val="24"/>
          <w:szCs w:val="24"/>
        </w:rPr>
        <w:t>1.项目编号：</w:t>
      </w:r>
      <w:bookmarkEnd w:id="582"/>
      <w:r>
        <w:rPr>
          <w:rFonts w:hint="eastAsia" w:ascii="仿宋" w:hAnsi="仿宋" w:eastAsia="仿宋" w:cs="仿宋"/>
          <w:color w:val="000000"/>
          <w:sz w:val="24"/>
          <w:szCs w:val="24"/>
          <w:lang w:eastAsia="zh-CN"/>
        </w:rPr>
        <w:t>KSJSX(CS)2025-</w:t>
      </w:r>
      <w:r>
        <w:rPr>
          <w:rFonts w:hint="eastAsia" w:ascii="仿宋" w:hAnsi="仿宋" w:eastAsia="仿宋" w:cs="仿宋"/>
          <w:color w:val="000000"/>
          <w:sz w:val="24"/>
          <w:szCs w:val="24"/>
          <w:lang w:val="en-US" w:eastAsia="zh-CN"/>
        </w:rPr>
        <w:t>24</w:t>
      </w:r>
    </w:p>
    <w:p w14:paraId="0DC695C8">
      <w:pPr>
        <w:keepNext w:val="0"/>
        <w:keepLines w:val="0"/>
        <w:pageBreakBefore w:val="0"/>
        <w:kinsoku/>
        <w:wordWrap/>
        <w:overflowPunct/>
        <w:topLinePunct w:val="0"/>
        <w:bidi w:val="0"/>
        <w:spacing w:beforeAutospacing="0" w:afterAutospacing="0" w:line="400" w:lineRule="exact"/>
        <w:ind w:firstLine="240" w:firstLineChars="100"/>
        <w:rPr>
          <w:rFonts w:hint="eastAsia" w:ascii="仿宋" w:hAnsi="仿宋" w:eastAsia="仿宋" w:cs="仿宋"/>
          <w:color w:val="auto"/>
          <w:spacing w:val="7"/>
          <w:sz w:val="26"/>
          <w:szCs w:val="26"/>
          <w:highlight w:val="none"/>
          <w:lang w:val="en-US" w:eastAsia="zh-CN"/>
        </w:rPr>
      </w:pPr>
      <w:r>
        <w:rPr>
          <w:rFonts w:hint="eastAsia" w:ascii="仿宋" w:hAnsi="仿宋" w:eastAsia="仿宋" w:cs="仿宋"/>
          <w:color w:val="000000"/>
          <w:sz w:val="24"/>
          <w:szCs w:val="24"/>
        </w:rPr>
        <w:t>2.项目名称：</w:t>
      </w:r>
      <w:r>
        <w:rPr>
          <w:rFonts w:hint="eastAsia" w:ascii="仿宋" w:hAnsi="仿宋" w:eastAsia="仿宋" w:cs="仿宋"/>
          <w:kern w:val="0"/>
          <w:sz w:val="27"/>
          <w:szCs w:val="27"/>
          <w:u w:val="none"/>
          <w:lang w:val="en-US" w:eastAsia="zh-CN"/>
        </w:rPr>
        <w:t>伽师县市场监督管理局食品安全抽检服务项目</w:t>
      </w:r>
    </w:p>
    <w:p w14:paraId="6E454CFC">
      <w:pPr>
        <w:keepNext w:val="0"/>
        <w:keepLines w:val="0"/>
        <w:pageBreakBefore w:val="0"/>
        <w:kinsoku/>
        <w:wordWrap/>
        <w:overflowPunct/>
        <w:topLinePunct w:val="0"/>
        <w:bidi w:val="0"/>
        <w:spacing w:beforeAutospacing="0" w:afterAutospacing="0" w:line="400" w:lineRule="exact"/>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3.采购方式：竞争性磋商 </w:t>
      </w:r>
    </w:p>
    <w:p w14:paraId="152E7125">
      <w:pPr>
        <w:pStyle w:val="8"/>
        <w:ind w:firstLine="240" w:firstLineChars="100"/>
        <w:rPr>
          <w:rFonts w:hint="eastAsia" w:eastAsia="仿宋"/>
          <w:lang w:val="en-US" w:eastAsia="zh-CN"/>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资金来源：</w:t>
      </w:r>
      <w:r>
        <w:rPr>
          <w:rFonts w:hint="eastAsia" w:ascii="仿宋" w:hAnsi="仿宋" w:eastAsia="仿宋" w:cs="仿宋"/>
          <w:color w:val="000000"/>
          <w:sz w:val="24"/>
          <w:szCs w:val="21"/>
          <w:lang w:eastAsia="zh-CN"/>
        </w:rPr>
        <w:t>财政预算资金</w:t>
      </w:r>
    </w:p>
    <w:p w14:paraId="48DA1A8E">
      <w:pPr>
        <w:keepNext w:val="0"/>
        <w:keepLines w:val="0"/>
        <w:pageBreakBefore w:val="0"/>
        <w:kinsoku/>
        <w:wordWrap/>
        <w:overflowPunct/>
        <w:topLinePunct w:val="0"/>
        <w:bidi w:val="0"/>
        <w:spacing w:beforeAutospacing="0" w:afterAutospacing="0" w:line="400" w:lineRule="exact"/>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.预算金额（元）:</w:t>
      </w:r>
      <w:r>
        <w:rPr>
          <w:rFonts w:hint="eastAsia" w:ascii="仿宋" w:hAnsi="仿宋" w:eastAsia="仿宋" w:cs="仿宋"/>
          <w:color w:val="000000"/>
          <w:sz w:val="24"/>
          <w:szCs w:val="24"/>
          <w:lang w:val="en-US" w:eastAsia="zh-CN"/>
        </w:rPr>
        <w:t>采购</w:t>
      </w:r>
      <w:r>
        <w:rPr>
          <w:rFonts w:hint="eastAsia" w:ascii="仿宋" w:hAnsi="仿宋" w:eastAsia="仿宋" w:cs="仿宋"/>
          <w:color w:val="000000"/>
          <w:sz w:val="24"/>
          <w:szCs w:val="24"/>
          <w:lang w:eastAsia="zh-CN"/>
        </w:rPr>
        <w:t>预算</w:t>
      </w:r>
      <w:r>
        <w:rPr>
          <w:rFonts w:hint="eastAsia" w:ascii="仿宋" w:hAnsi="仿宋" w:eastAsia="仿宋" w:cs="仿宋"/>
          <w:color w:val="000000"/>
          <w:sz w:val="24"/>
          <w:szCs w:val="24"/>
          <w:lang w:val="en-US" w:eastAsia="zh-CN"/>
        </w:rPr>
        <w:t>668000</w:t>
      </w:r>
      <w:r>
        <w:rPr>
          <w:rFonts w:hint="eastAsia" w:ascii="仿宋" w:hAnsi="仿宋" w:eastAsia="仿宋" w:cs="仿宋"/>
          <w:color w:val="000000"/>
          <w:sz w:val="24"/>
          <w:szCs w:val="24"/>
        </w:rPr>
        <w:t>元</w:t>
      </w:r>
      <w:r>
        <w:rPr>
          <w:rFonts w:hint="eastAsia" w:ascii="仿宋" w:hAnsi="仿宋" w:eastAsia="仿宋" w:cs="仿宋"/>
          <w:color w:val="000000"/>
          <w:sz w:val="24"/>
          <w:szCs w:val="24"/>
          <w:lang w:eastAsia="zh-CN"/>
        </w:rPr>
        <w:t>；最高限价</w:t>
      </w:r>
      <w:r>
        <w:rPr>
          <w:rFonts w:hint="eastAsia" w:ascii="仿宋" w:hAnsi="仿宋" w:eastAsia="仿宋" w:cs="仿宋"/>
          <w:color w:val="000000"/>
          <w:sz w:val="24"/>
          <w:szCs w:val="24"/>
          <w:lang w:val="en-US" w:eastAsia="zh-CN"/>
        </w:rPr>
        <w:t>668000</w:t>
      </w:r>
      <w:r>
        <w:rPr>
          <w:rFonts w:hint="eastAsia" w:ascii="仿宋" w:hAnsi="仿宋" w:eastAsia="仿宋" w:cs="仿宋"/>
          <w:color w:val="000000"/>
          <w:sz w:val="24"/>
          <w:szCs w:val="24"/>
          <w:lang w:eastAsia="zh-CN"/>
        </w:rPr>
        <w:t>元</w:t>
      </w:r>
      <w:r>
        <w:rPr>
          <w:rFonts w:hint="eastAsia" w:ascii="仿宋" w:hAnsi="仿宋" w:eastAsia="仿宋" w:cs="仿宋"/>
          <w:color w:val="000000"/>
          <w:sz w:val="24"/>
          <w:szCs w:val="24"/>
          <w:lang w:val="en-US" w:eastAsia="zh-CN"/>
        </w:rPr>
        <w:t>；</w:t>
      </w:r>
    </w:p>
    <w:p w14:paraId="280D4418">
      <w:pPr>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仿宋" w:hAnsi="仿宋" w:eastAsia="仿宋" w:cs="仿宋"/>
          <w:color w:val="auto"/>
          <w:sz w:val="24"/>
          <w:szCs w:val="21"/>
          <w:lang w:val="en-US" w:eastAsia="zh-CN"/>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.采购需求：</w:t>
      </w:r>
      <w:r>
        <w:rPr>
          <w:rFonts w:hint="eastAsia" w:ascii="仿宋" w:hAnsi="仿宋" w:eastAsia="仿宋" w:cs="仿宋"/>
          <w:color w:val="000000"/>
          <w:sz w:val="24"/>
          <w:szCs w:val="24"/>
          <w:lang w:val="en-US" w:eastAsia="zh-CN"/>
        </w:rPr>
        <w:t>伽师县级食品安全监督抽检总任务量668批次，计划完成食用农产品抽检任务668批次。严格按照地区市场监督管理局2025年食品安全抽检监测计划要求落实，于2025年12月31日前完成所有抽检任务，完成全部数据上报，出具检验报告。具体详见附件及附表。</w:t>
      </w:r>
    </w:p>
    <w:p w14:paraId="66B10FA8">
      <w:pPr>
        <w:keepNext w:val="0"/>
        <w:keepLines w:val="0"/>
        <w:pageBreakBefore w:val="0"/>
        <w:kinsoku/>
        <w:wordWrap/>
        <w:overflowPunct/>
        <w:topLinePunct w:val="0"/>
        <w:bidi w:val="0"/>
        <w:spacing w:beforeAutospacing="0" w:afterAutospacing="0" w:line="400" w:lineRule="exact"/>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合同履约期限</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1"/>
          <w:lang w:val="en-US" w:eastAsia="zh-CN"/>
        </w:rPr>
        <w:t>2025年12月31日前</w:t>
      </w:r>
      <w:r>
        <w:rPr>
          <w:rFonts w:hint="eastAsia" w:ascii="仿宋" w:hAnsi="仿宋" w:eastAsia="仿宋" w:cs="仿宋"/>
          <w:color w:val="000000"/>
          <w:sz w:val="24"/>
          <w:szCs w:val="21"/>
        </w:rPr>
        <w:t>。</w:t>
      </w:r>
    </w:p>
    <w:p w14:paraId="4ECA3D8D">
      <w:pPr>
        <w:keepNext w:val="0"/>
        <w:keepLines w:val="0"/>
        <w:pageBreakBefore w:val="0"/>
        <w:kinsoku/>
        <w:wordWrap/>
        <w:overflowPunct/>
        <w:topLinePunct w:val="0"/>
        <w:bidi w:val="0"/>
        <w:spacing w:beforeAutospacing="0" w:afterAutospacing="0" w:line="400" w:lineRule="exact"/>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8、服务地点：喀什地区伽师县。</w:t>
      </w:r>
    </w:p>
    <w:p w14:paraId="0CB19A44">
      <w:pPr>
        <w:keepNext w:val="0"/>
        <w:keepLines w:val="0"/>
        <w:pageBreakBefore w:val="0"/>
        <w:kinsoku/>
        <w:wordWrap/>
        <w:overflowPunct/>
        <w:topLinePunct w:val="0"/>
        <w:bidi w:val="0"/>
        <w:spacing w:beforeAutospacing="0" w:afterAutospacing="0" w:line="400" w:lineRule="exact"/>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.本项目不接受联合体投标。</w:t>
      </w:r>
    </w:p>
    <w:p w14:paraId="77C192B0">
      <w:pPr>
        <w:keepNext w:val="0"/>
        <w:keepLines w:val="0"/>
        <w:pageBreakBefore w:val="0"/>
        <w:widowControl/>
        <w:kinsoku/>
        <w:wordWrap/>
        <w:overflowPunct/>
        <w:topLinePunct w:val="0"/>
        <w:bidi w:val="0"/>
        <w:spacing w:beforeAutospacing="0" w:afterAutospacing="0" w:line="400" w:lineRule="exact"/>
        <w:contextualSpacing/>
        <w:rPr>
          <w:rFonts w:hint="eastAsia" w:ascii="仿宋" w:hAnsi="仿宋" w:eastAsia="仿宋" w:cs="仿宋"/>
          <w:kern w:val="0"/>
          <w:sz w:val="27"/>
          <w:szCs w:val="27"/>
        </w:rPr>
      </w:pPr>
      <w:r>
        <w:rPr>
          <w:rFonts w:hint="eastAsia" w:ascii="仿宋" w:hAnsi="仿宋" w:eastAsia="仿宋" w:cs="仿宋"/>
          <w:b/>
          <w:bCs/>
          <w:kern w:val="0"/>
          <w:sz w:val="27"/>
        </w:rPr>
        <w:t>二、申请人的资格要求：</w:t>
      </w:r>
    </w:p>
    <w:p w14:paraId="2083EF8D">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auto"/>
          <w:sz w:val="24"/>
          <w:szCs w:val="21"/>
          <w:highlight w:val="none"/>
        </w:rPr>
      </w:pPr>
      <w:r>
        <w:rPr>
          <w:rFonts w:hint="eastAsia" w:ascii="仿宋" w:hAnsi="仿宋" w:eastAsia="仿宋" w:cs="仿宋"/>
          <w:kern w:val="0"/>
          <w:sz w:val="27"/>
          <w:szCs w:val="27"/>
        </w:rPr>
        <w:t xml:space="preserve">  </w:t>
      </w:r>
      <w:r>
        <w:rPr>
          <w:rFonts w:hint="eastAsia" w:ascii="仿宋" w:hAnsi="仿宋" w:eastAsia="仿宋" w:cs="仿宋"/>
          <w:color w:val="auto"/>
          <w:sz w:val="24"/>
          <w:szCs w:val="21"/>
          <w:highlight w:val="none"/>
        </w:rPr>
        <w:t>1.满足《中华人民共和国政府采购法》第二十二条要求：</w:t>
      </w:r>
    </w:p>
    <w:p w14:paraId="57F95645">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000000"/>
          <w:sz w:val="24"/>
          <w:szCs w:val="21"/>
          <w:highlight w:val="none"/>
          <w:lang w:val="en-US" w:eastAsia="zh-CN"/>
        </w:rPr>
      </w:pPr>
      <w:r>
        <w:rPr>
          <w:rFonts w:hint="eastAsia" w:ascii="仿宋" w:hAnsi="仿宋" w:eastAsia="仿宋" w:cs="仿宋"/>
          <w:color w:val="auto"/>
          <w:sz w:val="24"/>
          <w:szCs w:val="21"/>
          <w:highlight w:val="none"/>
        </w:rPr>
        <w:t>（1）具有独立承担</w:t>
      </w:r>
      <w:r>
        <w:rPr>
          <w:rFonts w:hint="eastAsia" w:ascii="仿宋" w:hAnsi="仿宋" w:eastAsia="仿宋" w:cs="仿宋"/>
          <w:color w:val="000000"/>
          <w:sz w:val="24"/>
          <w:szCs w:val="21"/>
          <w:highlight w:val="none"/>
        </w:rPr>
        <w:t>民事责任的能力（营业执照及法定代表人证明或法定代表人授权委托书）；</w:t>
      </w:r>
      <w:r>
        <w:rPr>
          <w:rFonts w:hint="eastAsia" w:ascii="仿宋" w:hAnsi="仿宋" w:eastAsia="仿宋" w:cs="仿宋"/>
          <w:color w:val="000000"/>
          <w:sz w:val="24"/>
          <w:szCs w:val="21"/>
          <w:highlight w:val="none"/>
          <w:lang w:val="en-US" w:eastAsia="zh-CN"/>
        </w:rPr>
        <w:t xml:space="preserve"> </w:t>
      </w:r>
    </w:p>
    <w:p w14:paraId="52883FF3">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000000"/>
          <w:sz w:val="24"/>
          <w:szCs w:val="21"/>
          <w:highlight w:val="none"/>
        </w:rPr>
      </w:pPr>
      <w:r>
        <w:rPr>
          <w:rFonts w:hint="eastAsia" w:ascii="仿宋" w:hAnsi="仿宋" w:eastAsia="仿宋" w:cs="仿宋"/>
          <w:color w:val="000000"/>
          <w:sz w:val="24"/>
          <w:szCs w:val="21"/>
          <w:highlight w:val="none"/>
        </w:rPr>
        <w:t>（2）具有健全的财务会计制度</w:t>
      </w:r>
      <w:r>
        <w:rPr>
          <w:rFonts w:hint="eastAsia" w:ascii="仿宋" w:hAnsi="仿宋" w:eastAsia="仿宋" w:cs="仿宋"/>
          <w:sz w:val="24"/>
          <w:lang w:val="en-US" w:eastAsia="zh-CN"/>
        </w:rPr>
        <w:t>(2023年度或2024年度会计师事务所出具的审计报告，2025年新办企业</w:t>
      </w:r>
      <w:r>
        <w:rPr>
          <w:rFonts w:hint="eastAsia" w:ascii="仿宋" w:hAnsi="仿宋" w:eastAsia="仿宋" w:cs="仿宋"/>
          <w:color w:val="auto"/>
          <w:spacing w:val="-1"/>
          <w:sz w:val="24"/>
          <w:szCs w:val="24"/>
          <w:lang w:eastAsia="zh-CN"/>
        </w:rPr>
        <w:t>可提供近三个月内的银行资信证明）</w:t>
      </w:r>
      <w:r>
        <w:rPr>
          <w:rFonts w:hint="eastAsia" w:ascii="仿宋" w:hAnsi="仿宋" w:eastAsia="仿宋" w:cs="仿宋"/>
          <w:color w:val="000000"/>
          <w:sz w:val="24"/>
          <w:szCs w:val="21"/>
          <w:highlight w:val="none"/>
        </w:rPr>
        <w:t>；</w:t>
      </w:r>
    </w:p>
    <w:p w14:paraId="47D9344C">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000000"/>
          <w:sz w:val="24"/>
          <w:szCs w:val="21"/>
          <w:highlight w:val="none"/>
        </w:rPr>
      </w:pPr>
      <w:r>
        <w:rPr>
          <w:rFonts w:hint="eastAsia" w:ascii="仿宋" w:hAnsi="仿宋" w:eastAsia="仿宋" w:cs="仿宋"/>
          <w:color w:val="000000"/>
          <w:sz w:val="24"/>
          <w:szCs w:val="21"/>
          <w:highlight w:val="none"/>
        </w:rPr>
        <w:t>（3）具有履行合同所必需的设备和专业技术能力；</w:t>
      </w:r>
    </w:p>
    <w:p w14:paraId="6750BAC9">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000000"/>
          <w:sz w:val="24"/>
          <w:szCs w:val="21"/>
          <w:highlight w:val="none"/>
        </w:rPr>
      </w:pPr>
      <w:r>
        <w:rPr>
          <w:rFonts w:hint="eastAsia" w:ascii="仿宋" w:hAnsi="仿宋" w:eastAsia="仿宋" w:cs="仿宋"/>
          <w:color w:val="000000"/>
          <w:sz w:val="24"/>
          <w:szCs w:val="21"/>
          <w:highlight w:val="none"/>
        </w:rPr>
        <w:t>（4）有依法缴纳税收和社会保障资金的良好记录（近三个月（任意一个月）社保证明及完税证明）；</w:t>
      </w:r>
    </w:p>
    <w:p w14:paraId="030C38AB">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000000"/>
          <w:sz w:val="24"/>
          <w:szCs w:val="21"/>
          <w:highlight w:val="none"/>
        </w:rPr>
      </w:pPr>
      <w:r>
        <w:rPr>
          <w:rFonts w:hint="eastAsia" w:ascii="仿宋" w:hAnsi="仿宋" w:eastAsia="仿宋" w:cs="仿宋"/>
          <w:color w:val="000000"/>
          <w:sz w:val="24"/>
          <w:szCs w:val="21"/>
          <w:highlight w:val="none"/>
        </w:rPr>
        <w:t>（5）参加政府采购活动前三年内，在经营活动中没有重大违法记录；</w:t>
      </w:r>
    </w:p>
    <w:p w14:paraId="566B4049">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000000"/>
          <w:kern w:val="2"/>
          <w:sz w:val="24"/>
          <w:szCs w:val="21"/>
          <w:highlight w:val="none"/>
          <w:lang w:val="en-US" w:eastAsia="zh-CN" w:bidi="ar-SA"/>
        </w:rPr>
      </w:pPr>
      <w:r>
        <w:rPr>
          <w:rFonts w:hint="eastAsia" w:ascii="仿宋" w:hAnsi="仿宋" w:eastAsia="仿宋" w:cs="仿宋"/>
          <w:color w:val="000000"/>
          <w:sz w:val="24"/>
          <w:szCs w:val="21"/>
          <w:highlight w:val="none"/>
        </w:rPr>
        <w:t>（6）法律、行政法规规定的其他条件</w:t>
      </w:r>
      <w:r>
        <w:rPr>
          <w:rFonts w:hint="eastAsia" w:ascii="仿宋" w:hAnsi="仿宋" w:eastAsia="仿宋" w:cs="仿宋"/>
          <w:color w:val="000000"/>
          <w:kern w:val="2"/>
          <w:sz w:val="24"/>
          <w:szCs w:val="21"/>
          <w:highlight w:val="none"/>
          <w:lang w:val="en-US" w:eastAsia="zh-CN" w:bidi="ar-SA"/>
        </w:rPr>
        <w:t>。</w:t>
      </w:r>
    </w:p>
    <w:p w14:paraId="4458BF38">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kern w:val="0"/>
          <w:sz w:val="27"/>
          <w:lang w:eastAsia="zh-CN"/>
        </w:rPr>
      </w:pPr>
      <w:r>
        <w:rPr>
          <w:rFonts w:hint="eastAsia" w:ascii="仿宋" w:hAnsi="仿宋" w:eastAsia="仿宋" w:cs="仿宋"/>
          <w:color w:val="000000"/>
          <w:sz w:val="24"/>
          <w:szCs w:val="21"/>
          <w:highlight w:val="none"/>
        </w:rPr>
        <w:t>2.在“信用中国”网站（www.creditchina.gov.cn）被列入失信被执行人、重大税收违法案件当事人名单、中国政府采购网（http://www.ccgp.gov.cn/search/cr/）严重违法失信行为记录名单的（尚在处罚期内的），将拒绝其参加本次招标活动</w:t>
      </w:r>
      <w:r>
        <w:rPr>
          <w:rFonts w:hint="eastAsia" w:ascii="仿宋" w:hAnsi="仿宋" w:eastAsia="仿宋" w:cs="仿宋"/>
          <w:color w:val="000000"/>
          <w:sz w:val="24"/>
          <w:szCs w:val="21"/>
          <w:highlight w:val="none"/>
          <w:lang w:eastAsia="zh-CN"/>
        </w:rPr>
        <w:t>。</w:t>
      </w:r>
    </w:p>
    <w:p w14:paraId="715EAF29">
      <w:pPr>
        <w:keepNext w:val="0"/>
        <w:keepLines w:val="0"/>
        <w:pageBreakBefore w:val="0"/>
        <w:kinsoku/>
        <w:wordWrap/>
        <w:overflowPunct/>
        <w:topLinePunct w:val="0"/>
        <w:bidi w:val="0"/>
        <w:spacing w:beforeAutospacing="0" w:afterAutospacing="0" w:line="400" w:lineRule="exact"/>
        <w:ind w:left="239" w:leftChars="114" w:firstLine="0" w:firstLineChars="0"/>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3、本项目的特定资格要求 ：详见磋商文件“投标人须知表”。</w:t>
      </w:r>
      <w:r>
        <w:rPr>
          <w:rFonts w:hint="eastAsia" w:ascii="仿宋" w:hAnsi="仿宋" w:eastAsia="仿宋" w:cs="仿宋"/>
          <w:color w:val="000000"/>
          <w:sz w:val="24"/>
          <w:szCs w:val="21"/>
          <w:lang w:val="en-US" w:eastAsia="zh-CN"/>
        </w:rPr>
        <w:br w:type="textWrapping"/>
      </w:r>
      <w:r>
        <w:rPr>
          <w:rFonts w:hint="eastAsia" w:ascii="仿宋" w:hAnsi="仿宋" w:eastAsia="仿宋" w:cs="仿宋"/>
          <w:color w:val="000000"/>
          <w:sz w:val="24"/>
          <w:szCs w:val="21"/>
          <w:lang w:val="en-US" w:eastAsia="zh-CN"/>
        </w:rPr>
        <w:t>4、本项目不接受联合体投标。</w:t>
      </w:r>
    </w:p>
    <w:p w14:paraId="5AEC79BA">
      <w:pPr>
        <w:pStyle w:val="17"/>
        <w:keepNext w:val="0"/>
        <w:keepLines w:val="0"/>
        <w:pageBreakBefore w:val="0"/>
        <w:kinsoku/>
        <w:wordWrap/>
        <w:overflowPunct/>
        <w:topLinePunct w:val="0"/>
        <w:bidi w:val="0"/>
        <w:spacing w:beforeAutospacing="0" w:afterAutospacing="0" w:line="400" w:lineRule="exact"/>
        <w:rPr>
          <w:rFonts w:hint="eastAsia" w:ascii="仿宋" w:hAnsi="仿宋" w:eastAsia="仿宋" w:cs="仿宋"/>
          <w:b/>
          <w:bCs/>
          <w:kern w:val="0"/>
          <w:sz w:val="27"/>
        </w:rPr>
      </w:pPr>
      <w:r>
        <w:rPr>
          <w:rFonts w:hint="eastAsia" w:ascii="仿宋" w:hAnsi="仿宋" w:eastAsia="仿宋" w:cs="仿宋"/>
          <w:b/>
          <w:bCs/>
          <w:kern w:val="0"/>
          <w:sz w:val="27"/>
        </w:rPr>
        <w:t>三、获取采购文件</w:t>
      </w:r>
    </w:p>
    <w:p w14:paraId="6DCB4D0C">
      <w:pPr>
        <w:spacing w:line="400" w:lineRule="exact"/>
        <w:ind w:firstLine="480" w:firstLineChars="200"/>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时间：</w:t>
      </w:r>
      <w:r>
        <w:rPr>
          <w:rFonts w:hint="eastAsia" w:ascii="仿宋" w:hAnsi="仿宋" w:eastAsia="仿宋" w:cs="仿宋"/>
          <w:color w:val="000000"/>
          <w:sz w:val="24"/>
          <w:szCs w:val="21"/>
          <w:highlight w:val="yellow"/>
        </w:rPr>
        <w:t>202</w:t>
      </w:r>
      <w:r>
        <w:rPr>
          <w:rFonts w:hint="eastAsia" w:ascii="仿宋" w:hAnsi="仿宋" w:eastAsia="仿宋" w:cs="仿宋"/>
          <w:color w:val="000000"/>
          <w:sz w:val="24"/>
          <w:szCs w:val="21"/>
          <w:highlight w:val="yellow"/>
          <w:lang w:val="en-US" w:eastAsia="zh-CN"/>
        </w:rPr>
        <w:t>5</w:t>
      </w:r>
      <w:r>
        <w:rPr>
          <w:rFonts w:hint="eastAsia" w:ascii="仿宋" w:hAnsi="仿宋" w:eastAsia="仿宋" w:cs="仿宋"/>
          <w:color w:val="000000"/>
          <w:sz w:val="24"/>
          <w:szCs w:val="21"/>
          <w:highlight w:val="yellow"/>
        </w:rPr>
        <w:t>年</w:t>
      </w:r>
      <w:r>
        <w:rPr>
          <w:rFonts w:hint="eastAsia" w:ascii="仿宋" w:hAnsi="仿宋" w:eastAsia="仿宋" w:cs="仿宋"/>
          <w:color w:val="000000"/>
          <w:sz w:val="24"/>
          <w:szCs w:val="21"/>
          <w:highlight w:val="yellow"/>
          <w:lang w:val="en-US" w:eastAsia="zh-CN"/>
        </w:rPr>
        <w:t>7</w:t>
      </w:r>
      <w:r>
        <w:rPr>
          <w:rFonts w:hint="eastAsia" w:ascii="仿宋" w:hAnsi="仿宋" w:eastAsia="仿宋" w:cs="仿宋"/>
          <w:color w:val="000000"/>
          <w:sz w:val="24"/>
          <w:szCs w:val="21"/>
          <w:highlight w:val="yellow"/>
        </w:rPr>
        <w:t>月</w:t>
      </w:r>
      <w:r>
        <w:rPr>
          <w:rFonts w:hint="eastAsia" w:ascii="仿宋" w:hAnsi="仿宋" w:eastAsia="仿宋" w:cs="仿宋"/>
          <w:color w:val="000000"/>
          <w:sz w:val="24"/>
          <w:szCs w:val="21"/>
          <w:highlight w:val="yellow"/>
          <w:lang w:val="en-US" w:eastAsia="zh-CN"/>
        </w:rPr>
        <w:t>4</w:t>
      </w:r>
      <w:r>
        <w:rPr>
          <w:rFonts w:hint="eastAsia" w:ascii="仿宋" w:hAnsi="仿宋" w:eastAsia="仿宋" w:cs="仿宋"/>
          <w:color w:val="000000"/>
          <w:sz w:val="24"/>
          <w:szCs w:val="21"/>
          <w:highlight w:val="yellow"/>
        </w:rPr>
        <w:t>日至202</w:t>
      </w:r>
      <w:r>
        <w:rPr>
          <w:rFonts w:hint="eastAsia" w:ascii="仿宋" w:hAnsi="仿宋" w:eastAsia="仿宋" w:cs="仿宋"/>
          <w:color w:val="000000"/>
          <w:sz w:val="24"/>
          <w:szCs w:val="21"/>
          <w:highlight w:val="yellow"/>
          <w:lang w:val="en-US" w:eastAsia="zh-CN"/>
        </w:rPr>
        <w:t>5</w:t>
      </w:r>
      <w:r>
        <w:rPr>
          <w:rFonts w:hint="eastAsia" w:ascii="仿宋" w:hAnsi="仿宋" w:eastAsia="仿宋" w:cs="仿宋"/>
          <w:color w:val="000000"/>
          <w:sz w:val="24"/>
          <w:szCs w:val="21"/>
          <w:highlight w:val="yellow"/>
        </w:rPr>
        <w:t>年</w:t>
      </w:r>
      <w:r>
        <w:rPr>
          <w:rFonts w:hint="eastAsia" w:ascii="仿宋" w:hAnsi="仿宋" w:eastAsia="仿宋" w:cs="仿宋"/>
          <w:color w:val="000000"/>
          <w:sz w:val="24"/>
          <w:szCs w:val="21"/>
          <w:highlight w:val="yellow"/>
          <w:lang w:val="en-US" w:eastAsia="zh-CN"/>
        </w:rPr>
        <w:t>7</w:t>
      </w:r>
      <w:r>
        <w:rPr>
          <w:rFonts w:hint="eastAsia" w:ascii="仿宋" w:hAnsi="仿宋" w:eastAsia="仿宋" w:cs="仿宋"/>
          <w:color w:val="000000"/>
          <w:sz w:val="24"/>
          <w:szCs w:val="21"/>
          <w:highlight w:val="yellow"/>
        </w:rPr>
        <w:t>月</w:t>
      </w:r>
      <w:r>
        <w:rPr>
          <w:rFonts w:hint="eastAsia" w:ascii="仿宋" w:hAnsi="仿宋" w:eastAsia="仿宋" w:cs="仿宋"/>
          <w:color w:val="000000"/>
          <w:sz w:val="24"/>
          <w:szCs w:val="21"/>
          <w:highlight w:val="yellow"/>
          <w:lang w:val="en-US" w:eastAsia="zh-CN"/>
        </w:rPr>
        <w:t>11</w:t>
      </w:r>
      <w:r>
        <w:rPr>
          <w:rFonts w:hint="eastAsia" w:ascii="仿宋" w:hAnsi="仿宋" w:eastAsia="仿宋" w:cs="仿宋"/>
          <w:color w:val="000000"/>
          <w:sz w:val="24"/>
          <w:szCs w:val="21"/>
          <w:highlight w:val="yellow"/>
        </w:rPr>
        <w:t>日</w:t>
      </w:r>
      <w:r>
        <w:rPr>
          <w:rFonts w:hint="eastAsia" w:ascii="仿宋" w:hAnsi="仿宋" w:eastAsia="仿宋" w:cs="仿宋"/>
          <w:color w:val="000000"/>
          <w:sz w:val="24"/>
          <w:szCs w:val="21"/>
        </w:rPr>
        <w:t>（提供期限自本公告发布之日起不得少于5个工作日），每天上午</w:t>
      </w:r>
      <w:r>
        <w:rPr>
          <w:rFonts w:hint="eastAsia" w:ascii="仿宋" w:hAnsi="仿宋" w:eastAsia="仿宋" w:cs="仿宋"/>
          <w:color w:val="000000"/>
          <w:sz w:val="24"/>
          <w:szCs w:val="21"/>
          <w:lang w:val="en-US" w:eastAsia="zh-CN"/>
        </w:rPr>
        <w:t>0</w:t>
      </w:r>
      <w:r>
        <w:rPr>
          <w:rFonts w:hint="eastAsia" w:ascii="仿宋" w:hAnsi="仿宋" w:eastAsia="仿宋" w:cs="仿宋"/>
          <w:color w:val="000000"/>
          <w:sz w:val="24"/>
          <w:szCs w:val="21"/>
        </w:rPr>
        <w:t>0:00至1</w:t>
      </w:r>
      <w:r>
        <w:rPr>
          <w:rFonts w:hint="eastAsia" w:ascii="仿宋" w:hAnsi="仿宋" w:eastAsia="仿宋" w:cs="仿宋"/>
          <w:color w:val="000000"/>
          <w:sz w:val="24"/>
          <w:szCs w:val="21"/>
          <w:lang w:val="en-US" w:eastAsia="zh-CN"/>
        </w:rPr>
        <w:t>4</w:t>
      </w:r>
      <w:r>
        <w:rPr>
          <w:rFonts w:hint="eastAsia" w:ascii="仿宋" w:hAnsi="仿宋" w:eastAsia="仿宋" w:cs="仿宋"/>
          <w:color w:val="000000"/>
          <w:sz w:val="24"/>
          <w:szCs w:val="21"/>
        </w:rPr>
        <w:t>:00，下午</w:t>
      </w:r>
      <w:r>
        <w:rPr>
          <w:rFonts w:hint="eastAsia" w:ascii="仿宋" w:hAnsi="仿宋" w:eastAsia="仿宋" w:cs="仿宋"/>
          <w:color w:val="000000"/>
          <w:sz w:val="24"/>
          <w:szCs w:val="21"/>
          <w:lang w:val="en-US" w:eastAsia="zh-CN"/>
        </w:rPr>
        <w:t>14</w:t>
      </w:r>
      <w:r>
        <w:rPr>
          <w:rFonts w:hint="eastAsia" w:ascii="仿宋" w:hAnsi="仿宋" w:eastAsia="仿宋" w:cs="仿宋"/>
          <w:color w:val="000000"/>
          <w:sz w:val="24"/>
          <w:szCs w:val="21"/>
        </w:rPr>
        <w:t>:</w:t>
      </w:r>
      <w:r>
        <w:rPr>
          <w:rFonts w:hint="eastAsia" w:ascii="仿宋" w:hAnsi="仿宋" w:eastAsia="仿宋" w:cs="仿宋"/>
          <w:color w:val="000000"/>
          <w:sz w:val="24"/>
          <w:szCs w:val="21"/>
          <w:lang w:val="en-US" w:eastAsia="zh-CN"/>
        </w:rPr>
        <w:t>0</w:t>
      </w:r>
      <w:r>
        <w:rPr>
          <w:rFonts w:hint="eastAsia" w:ascii="仿宋" w:hAnsi="仿宋" w:eastAsia="仿宋" w:cs="仿宋"/>
          <w:color w:val="000000"/>
          <w:sz w:val="24"/>
          <w:szCs w:val="21"/>
        </w:rPr>
        <w:t>0至</w:t>
      </w:r>
      <w:r>
        <w:rPr>
          <w:rFonts w:hint="eastAsia" w:ascii="仿宋" w:hAnsi="仿宋" w:eastAsia="仿宋" w:cs="仿宋"/>
          <w:color w:val="000000"/>
          <w:sz w:val="24"/>
          <w:szCs w:val="21"/>
          <w:lang w:val="en-US" w:eastAsia="zh-CN"/>
        </w:rPr>
        <w:t>23</w:t>
      </w:r>
      <w:r>
        <w:rPr>
          <w:rFonts w:hint="eastAsia" w:ascii="仿宋" w:hAnsi="仿宋" w:eastAsia="仿宋" w:cs="仿宋"/>
          <w:color w:val="000000"/>
          <w:sz w:val="24"/>
          <w:szCs w:val="21"/>
        </w:rPr>
        <w:t>:</w:t>
      </w:r>
      <w:r>
        <w:rPr>
          <w:rFonts w:hint="eastAsia" w:ascii="仿宋" w:hAnsi="仿宋" w:eastAsia="仿宋" w:cs="仿宋"/>
          <w:color w:val="000000"/>
          <w:sz w:val="24"/>
          <w:szCs w:val="21"/>
          <w:lang w:val="en-US" w:eastAsia="zh-CN"/>
        </w:rPr>
        <w:t>59</w:t>
      </w:r>
      <w:r>
        <w:rPr>
          <w:rFonts w:hint="eastAsia" w:ascii="仿宋" w:hAnsi="仿宋" w:eastAsia="仿宋" w:cs="仿宋"/>
          <w:color w:val="000000"/>
          <w:sz w:val="24"/>
          <w:szCs w:val="21"/>
        </w:rPr>
        <w:t>（北京时间，法定节假日除外）</w:t>
      </w:r>
    </w:p>
    <w:p w14:paraId="2E714ADF">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地点：新疆政府采购网政采云平台（http://www.ccgp-xinjiang.gov.cn/）</w:t>
      </w:r>
    </w:p>
    <w:p w14:paraId="625A4EDD">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方式：线上获取（登录政府采购云平台→项目采购→获取采购文件→申请，审核通过后可下载采购文件）</w:t>
      </w:r>
    </w:p>
    <w:p w14:paraId="49F18580">
      <w:pPr>
        <w:keepNext w:val="0"/>
        <w:keepLines w:val="0"/>
        <w:pageBreakBefore w:val="0"/>
        <w:kinsoku/>
        <w:wordWrap/>
        <w:overflowPunct/>
        <w:topLinePunct w:val="0"/>
        <w:bidi w:val="0"/>
        <w:spacing w:beforeAutospacing="0" w:afterAutospacing="0" w:line="400" w:lineRule="exact"/>
        <w:ind w:firstLine="480" w:firstLineChars="200"/>
        <w:rPr>
          <w:rFonts w:hint="eastAsia" w:ascii="仿宋" w:hAnsi="仿宋" w:eastAsia="仿宋" w:cs="仿宋"/>
          <w:kern w:val="0"/>
          <w:sz w:val="27"/>
        </w:rPr>
      </w:pPr>
      <w:r>
        <w:rPr>
          <w:rFonts w:hint="eastAsia" w:ascii="仿宋" w:hAnsi="仿宋" w:eastAsia="仿宋" w:cs="仿宋"/>
          <w:color w:val="000000"/>
          <w:sz w:val="24"/>
          <w:szCs w:val="21"/>
          <w:lang w:val="en-US" w:eastAsia="zh-CN"/>
        </w:rPr>
        <w:t>售价：0.00元</w:t>
      </w:r>
    </w:p>
    <w:p w14:paraId="44D1707E">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00" w:lineRule="exact"/>
        <w:jc w:val="left"/>
        <w:textAlignment w:val="auto"/>
        <w:rPr>
          <w:rFonts w:hint="eastAsia" w:ascii="仿宋" w:hAnsi="仿宋" w:eastAsia="仿宋" w:cs="仿宋"/>
        </w:rPr>
      </w:pPr>
      <w:r>
        <w:rPr>
          <w:rFonts w:hint="eastAsia" w:ascii="仿宋" w:hAnsi="仿宋" w:eastAsia="仿宋" w:cs="仿宋"/>
          <w:b/>
          <w:bCs/>
          <w:kern w:val="0"/>
          <w:sz w:val="27"/>
        </w:rPr>
        <w:t>四、</w:t>
      </w:r>
      <w:r>
        <w:rPr>
          <w:rFonts w:hint="eastAsia" w:ascii="仿宋" w:hAnsi="仿宋" w:eastAsia="仿宋" w:cs="仿宋"/>
          <w:b/>
          <w:bCs/>
          <w:color w:val="auto"/>
          <w:sz w:val="24"/>
          <w:szCs w:val="21"/>
        </w:rPr>
        <w:t>提交投标文件截止时间、开标时间和地点</w:t>
      </w:r>
    </w:p>
    <w:p w14:paraId="124D57C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default" w:ascii="仿宋" w:hAnsi="仿宋" w:eastAsia="仿宋" w:cs="仿宋"/>
          <w:color w:val="000000"/>
          <w:sz w:val="24"/>
          <w:szCs w:val="21"/>
          <w:highlight w:val="yellow"/>
          <w:lang w:val="en-US" w:eastAsia="zh-CN"/>
        </w:rPr>
      </w:pPr>
      <w:r>
        <w:rPr>
          <w:rFonts w:hint="eastAsia" w:ascii="仿宋" w:hAnsi="仿宋" w:eastAsia="仿宋" w:cs="仿宋"/>
          <w:color w:val="000000"/>
          <w:sz w:val="24"/>
          <w:szCs w:val="21"/>
          <w:highlight w:val="yellow"/>
          <w:lang w:val="en-US" w:eastAsia="zh-CN"/>
        </w:rPr>
        <w:t>提交投标文件截止时间：</w:t>
      </w:r>
      <w:r>
        <w:rPr>
          <w:rFonts w:hint="eastAsia" w:ascii="仿宋" w:hAnsi="仿宋" w:eastAsia="仿宋" w:cs="仿宋"/>
          <w:color w:val="000000"/>
          <w:sz w:val="24"/>
          <w:szCs w:val="21"/>
          <w:highlight w:val="yellow"/>
        </w:rPr>
        <w:t>202</w:t>
      </w:r>
      <w:r>
        <w:rPr>
          <w:rFonts w:hint="eastAsia" w:ascii="仿宋" w:hAnsi="仿宋" w:eastAsia="仿宋" w:cs="仿宋"/>
          <w:color w:val="000000"/>
          <w:sz w:val="24"/>
          <w:szCs w:val="21"/>
          <w:highlight w:val="yellow"/>
          <w:lang w:val="en-US" w:eastAsia="zh-CN"/>
        </w:rPr>
        <w:t>5</w:t>
      </w:r>
      <w:r>
        <w:rPr>
          <w:rFonts w:hint="eastAsia" w:ascii="仿宋" w:hAnsi="仿宋" w:eastAsia="仿宋" w:cs="仿宋"/>
          <w:color w:val="000000"/>
          <w:sz w:val="24"/>
          <w:szCs w:val="21"/>
          <w:highlight w:val="yellow"/>
        </w:rPr>
        <w:t>年</w:t>
      </w:r>
      <w:r>
        <w:rPr>
          <w:rFonts w:hint="eastAsia" w:ascii="仿宋" w:hAnsi="仿宋" w:eastAsia="仿宋" w:cs="仿宋"/>
          <w:color w:val="000000"/>
          <w:sz w:val="24"/>
          <w:szCs w:val="21"/>
          <w:highlight w:val="yellow"/>
          <w:lang w:val="en-US" w:eastAsia="zh-CN"/>
        </w:rPr>
        <w:t>7</w:t>
      </w:r>
      <w:r>
        <w:rPr>
          <w:rFonts w:hint="eastAsia" w:ascii="仿宋" w:hAnsi="仿宋" w:eastAsia="仿宋" w:cs="仿宋"/>
          <w:color w:val="000000"/>
          <w:sz w:val="24"/>
          <w:szCs w:val="21"/>
          <w:highlight w:val="yellow"/>
        </w:rPr>
        <w:t>月</w:t>
      </w:r>
      <w:r>
        <w:rPr>
          <w:rFonts w:hint="eastAsia" w:ascii="仿宋" w:hAnsi="仿宋" w:eastAsia="仿宋" w:cs="仿宋"/>
          <w:color w:val="000000"/>
          <w:sz w:val="24"/>
          <w:szCs w:val="21"/>
          <w:highlight w:val="yellow"/>
          <w:lang w:val="en-US" w:eastAsia="zh-CN"/>
        </w:rPr>
        <w:t>15</w:t>
      </w:r>
      <w:r>
        <w:rPr>
          <w:rFonts w:hint="eastAsia" w:ascii="仿宋" w:hAnsi="仿宋" w:eastAsia="仿宋" w:cs="仿宋"/>
          <w:color w:val="000000"/>
          <w:sz w:val="24"/>
          <w:szCs w:val="21"/>
          <w:highlight w:val="yellow"/>
        </w:rPr>
        <w:t xml:space="preserve">日 </w:t>
      </w:r>
      <w:r>
        <w:rPr>
          <w:rFonts w:hint="eastAsia" w:ascii="仿宋" w:hAnsi="仿宋" w:eastAsia="仿宋" w:cs="仿宋"/>
          <w:color w:val="000000"/>
          <w:sz w:val="24"/>
          <w:szCs w:val="21"/>
          <w:highlight w:val="yellow"/>
          <w:lang w:val="en-US" w:eastAsia="zh-CN"/>
        </w:rPr>
        <w:t>11</w:t>
      </w:r>
      <w:r>
        <w:rPr>
          <w:rFonts w:hint="eastAsia" w:ascii="仿宋" w:hAnsi="仿宋" w:eastAsia="仿宋" w:cs="仿宋"/>
          <w:color w:val="000000"/>
          <w:sz w:val="24"/>
          <w:szCs w:val="21"/>
          <w:highlight w:val="yellow"/>
        </w:rPr>
        <w:t>时</w:t>
      </w:r>
      <w:r>
        <w:rPr>
          <w:rFonts w:hint="eastAsia" w:ascii="仿宋" w:hAnsi="仿宋" w:eastAsia="仿宋" w:cs="仿宋"/>
          <w:color w:val="000000"/>
          <w:sz w:val="24"/>
          <w:szCs w:val="21"/>
          <w:highlight w:val="yellow"/>
          <w:lang w:val="en-US" w:eastAsia="zh-CN"/>
        </w:rPr>
        <w:t>00</w:t>
      </w:r>
      <w:r>
        <w:rPr>
          <w:rFonts w:hint="eastAsia" w:ascii="仿宋" w:hAnsi="仿宋" w:eastAsia="仿宋" w:cs="仿宋"/>
          <w:color w:val="000000"/>
          <w:sz w:val="24"/>
          <w:szCs w:val="21"/>
          <w:highlight w:val="yellow"/>
        </w:rPr>
        <w:t>分（北京时间）</w:t>
      </w:r>
      <w:r>
        <w:rPr>
          <w:rFonts w:hint="eastAsia" w:ascii="仿宋" w:hAnsi="仿宋" w:eastAsia="仿宋" w:cs="仿宋"/>
          <w:color w:val="000000"/>
          <w:sz w:val="24"/>
          <w:szCs w:val="21"/>
          <w:highlight w:val="yellow"/>
          <w:lang w:val="en-US" w:eastAsia="zh-CN"/>
        </w:rPr>
        <w:t xml:space="preserve">  </w:t>
      </w:r>
    </w:p>
    <w:p w14:paraId="1B06211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color w:val="000000"/>
          <w:sz w:val="24"/>
          <w:szCs w:val="21"/>
          <w:highlight w:val="yellow"/>
          <w:lang w:val="en-US" w:eastAsia="zh-CN"/>
        </w:rPr>
      </w:pPr>
      <w:r>
        <w:rPr>
          <w:rFonts w:hint="eastAsia" w:ascii="仿宋" w:hAnsi="仿宋" w:eastAsia="仿宋" w:cs="仿宋"/>
          <w:color w:val="000000"/>
          <w:sz w:val="24"/>
          <w:szCs w:val="21"/>
          <w:highlight w:val="yellow"/>
          <w:lang w:val="en-US" w:eastAsia="zh-CN"/>
        </w:rPr>
        <w:t xml:space="preserve">投标地点：政采云平台（https://login.zcygov.cn/user-login/#/login） </w:t>
      </w:r>
    </w:p>
    <w:p w14:paraId="0153E19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color w:val="000000"/>
          <w:sz w:val="24"/>
          <w:szCs w:val="21"/>
          <w:highlight w:val="yellow"/>
          <w:lang w:val="en-US" w:eastAsia="zh-CN"/>
        </w:rPr>
      </w:pPr>
      <w:r>
        <w:rPr>
          <w:rFonts w:hint="eastAsia" w:ascii="仿宋" w:hAnsi="仿宋" w:eastAsia="仿宋" w:cs="仿宋"/>
          <w:color w:val="000000"/>
          <w:sz w:val="24"/>
          <w:szCs w:val="21"/>
          <w:highlight w:val="yellow"/>
          <w:lang w:val="en-US" w:eastAsia="zh-CN"/>
        </w:rPr>
        <w:t>开标时间：</w:t>
      </w:r>
      <w:r>
        <w:rPr>
          <w:rFonts w:hint="eastAsia" w:ascii="仿宋" w:hAnsi="仿宋" w:eastAsia="仿宋" w:cs="仿宋"/>
          <w:color w:val="000000"/>
          <w:sz w:val="24"/>
          <w:szCs w:val="21"/>
          <w:highlight w:val="yellow"/>
        </w:rPr>
        <w:t>202</w:t>
      </w:r>
      <w:r>
        <w:rPr>
          <w:rFonts w:hint="eastAsia" w:ascii="仿宋" w:hAnsi="仿宋" w:eastAsia="仿宋" w:cs="仿宋"/>
          <w:color w:val="000000"/>
          <w:sz w:val="24"/>
          <w:szCs w:val="21"/>
          <w:highlight w:val="yellow"/>
          <w:lang w:val="en-US" w:eastAsia="zh-CN"/>
        </w:rPr>
        <w:t>5</w:t>
      </w:r>
      <w:r>
        <w:rPr>
          <w:rFonts w:hint="eastAsia" w:ascii="仿宋" w:hAnsi="仿宋" w:eastAsia="仿宋" w:cs="仿宋"/>
          <w:color w:val="000000"/>
          <w:sz w:val="24"/>
          <w:szCs w:val="21"/>
          <w:highlight w:val="yellow"/>
        </w:rPr>
        <w:t>年</w:t>
      </w:r>
      <w:r>
        <w:rPr>
          <w:rFonts w:hint="eastAsia" w:ascii="仿宋" w:hAnsi="仿宋" w:eastAsia="仿宋" w:cs="仿宋"/>
          <w:color w:val="000000"/>
          <w:sz w:val="24"/>
          <w:szCs w:val="21"/>
          <w:highlight w:val="yellow"/>
          <w:lang w:val="en-US" w:eastAsia="zh-CN"/>
        </w:rPr>
        <w:t>7</w:t>
      </w:r>
      <w:r>
        <w:rPr>
          <w:rFonts w:hint="eastAsia" w:ascii="仿宋" w:hAnsi="仿宋" w:eastAsia="仿宋" w:cs="仿宋"/>
          <w:color w:val="000000"/>
          <w:sz w:val="24"/>
          <w:szCs w:val="21"/>
          <w:highlight w:val="yellow"/>
        </w:rPr>
        <w:t>月</w:t>
      </w:r>
      <w:r>
        <w:rPr>
          <w:rFonts w:hint="eastAsia" w:ascii="仿宋" w:hAnsi="仿宋" w:eastAsia="仿宋" w:cs="仿宋"/>
          <w:color w:val="000000"/>
          <w:sz w:val="24"/>
          <w:szCs w:val="21"/>
          <w:highlight w:val="yellow"/>
          <w:lang w:val="en-US" w:eastAsia="zh-CN"/>
        </w:rPr>
        <w:t>15</w:t>
      </w:r>
      <w:r>
        <w:rPr>
          <w:rFonts w:hint="eastAsia" w:ascii="仿宋" w:hAnsi="仿宋" w:eastAsia="仿宋" w:cs="仿宋"/>
          <w:color w:val="000000"/>
          <w:sz w:val="24"/>
          <w:szCs w:val="21"/>
          <w:highlight w:val="yellow"/>
        </w:rPr>
        <w:t xml:space="preserve">日 </w:t>
      </w:r>
      <w:r>
        <w:rPr>
          <w:rFonts w:hint="eastAsia" w:ascii="仿宋" w:hAnsi="仿宋" w:eastAsia="仿宋" w:cs="仿宋"/>
          <w:color w:val="000000"/>
          <w:sz w:val="24"/>
          <w:szCs w:val="21"/>
          <w:highlight w:val="yellow"/>
          <w:lang w:val="en-US" w:eastAsia="zh-CN"/>
        </w:rPr>
        <w:t>11</w:t>
      </w:r>
      <w:r>
        <w:rPr>
          <w:rFonts w:hint="eastAsia" w:ascii="仿宋" w:hAnsi="仿宋" w:eastAsia="仿宋" w:cs="仿宋"/>
          <w:color w:val="000000"/>
          <w:sz w:val="24"/>
          <w:szCs w:val="21"/>
          <w:highlight w:val="yellow"/>
        </w:rPr>
        <w:t>时</w:t>
      </w:r>
      <w:r>
        <w:rPr>
          <w:rFonts w:hint="eastAsia" w:ascii="仿宋" w:hAnsi="仿宋" w:eastAsia="仿宋" w:cs="仿宋"/>
          <w:color w:val="000000"/>
          <w:sz w:val="24"/>
          <w:szCs w:val="21"/>
          <w:highlight w:val="yellow"/>
          <w:lang w:val="en-US" w:eastAsia="zh-CN"/>
        </w:rPr>
        <w:t>00</w:t>
      </w:r>
      <w:r>
        <w:rPr>
          <w:rFonts w:hint="eastAsia" w:ascii="仿宋" w:hAnsi="仿宋" w:eastAsia="仿宋" w:cs="仿宋"/>
          <w:color w:val="000000"/>
          <w:sz w:val="24"/>
          <w:szCs w:val="21"/>
          <w:highlight w:val="yellow"/>
        </w:rPr>
        <w:t>分（北京时间）</w:t>
      </w:r>
    </w:p>
    <w:p w14:paraId="52B7B199">
      <w:pPr>
        <w:keepNext w:val="0"/>
        <w:keepLines w:val="0"/>
        <w:pageBreakBefore w:val="0"/>
        <w:widowControl/>
        <w:kinsoku/>
        <w:wordWrap/>
        <w:overflowPunct/>
        <w:topLinePunct w:val="0"/>
        <w:bidi w:val="0"/>
        <w:spacing w:beforeAutospacing="0" w:afterAutospacing="0" w:line="400" w:lineRule="exact"/>
        <w:ind w:firstLine="480" w:firstLineChars="200"/>
        <w:contextualSpacing/>
        <w:jc w:val="left"/>
        <w:rPr>
          <w:rFonts w:hint="eastAsia" w:ascii="仿宋" w:hAnsi="仿宋" w:eastAsia="仿宋" w:cs="仿宋"/>
          <w:kern w:val="0"/>
          <w:sz w:val="27"/>
        </w:rPr>
      </w:pPr>
      <w:r>
        <w:rPr>
          <w:rFonts w:hint="eastAsia" w:ascii="仿宋" w:hAnsi="仿宋" w:eastAsia="仿宋" w:cs="仿宋"/>
          <w:color w:val="000000"/>
          <w:sz w:val="24"/>
          <w:szCs w:val="21"/>
          <w:lang w:val="en-US" w:eastAsia="zh-CN"/>
        </w:rPr>
        <w:t>开标地点：政采云平台（https://login.zcygov.cn/user-login/#/login）</w:t>
      </w:r>
      <w:r>
        <w:rPr>
          <w:rFonts w:hint="eastAsia" w:ascii="仿宋" w:hAnsi="仿宋" w:eastAsia="仿宋" w:cs="仿宋"/>
          <w:kern w:val="0"/>
          <w:sz w:val="27"/>
        </w:rPr>
        <w:t> </w:t>
      </w:r>
    </w:p>
    <w:p w14:paraId="45F58EBE">
      <w:pPr>
        <w:keepNext w:val="0"/>
        <w:keepLines w:val="0"/>
        <w:pageBreakBefore w:val="0"/>
        <w:widowControl/>
        <w:kinsoku/>
        <w:wordWrap/>
        <w:overflowPunct/>
        <w:topLinePunct w:val="0"/>
        <w:bidi w:val="0"/>
        <w:spacing w:beforeAutospacing="0" w:afterAutospacing="0" w:line="400" w:lineRule="exact"/>
        <w:contextualSpacing/>
        <w:rPr>
          <w:rFonts w:hint="eastAsia" w:ascii="仿宋" w:hAnsi="仿宋" w:eastAsia="仿宋" w:cs="仿宋"/>
          <w:kern w:val="0"/>
          <w:sz w:val="27"/>
          <w:szCs w:val="27"/>
        </w:rPr>
      </w:pPr>
      <w:r>
        <w:rPr>
          <w:rFonts w:hint="eastAsia" w:ascii="仿宋" w:hAnsi="仿宋" w:eastAsia="仿宋" w:cs="仿宋"/>
          <w:b/>
          <w:bCs/>
          <w:kern w:val="0"/>
          <w:sz w:val="27"/>
          <w:lang w:eastAsia="zh-CN"/>
        </w:rPr>
        <w:t>五</w:t>
      </w:r>
      <w:r>
        <w:rPr>
          <w:rFonts w:hint="eastAsia" w:ascii="仿宋" w:hAnsi="仿宋" w:eastAsia="仿宋" w:cs="仿宋"/>
          <w:b/>
          <w:bCs/>
          <w:kern w:val="0"/>
          <w:sz w:val="27"/>
        </w:rPr>
        <w:t>、公告期限</w:t>
      </w:r>
      <w:r>
        <w:rPr>
          <w:rFonts w:hint="eastAsia" w:ascii="仿宋" w:hAnsi="仿宋" w:eastAsia="仿宋" w:cs="仿宋"/>
          <w:kern w:val="0"/>
          <w:sz w:val="32"/>
          <w:szCs w:val="32"/>
        </w:rPr>
        <w:t> </w:t>
      </w:r>
      <w:r>
        <w:rPr>
          <w:rFonts w:hint="eastAsia" w:ascii="仿宋" w:hAnsi="仿宋" w:eastAsia="仿宋" w:cs="仿宋"/>
          <w:kern w:val="0"/>
          <w:sz w:val="27"/>
          <w:szCs w:val="27"/>
        </w:rPr>
        <w:t xml:space="preserve"> </w:t>
      </w:r>
    </w:p>
    <w:p w14:paraId="4248240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5ECB11D3">
      <w:pPr>
        <w:keepNext w:val="0"/>
        <w:keepLines w:val="0"/>
        <w:pageBreakBefore w:val="0"/>
        <w:widowControl/>
        <w:kinsoku/>
        <w:wordWrap/>
        <w:overflowPunct/>
        <w:topLinePunct w:val="0"/>
        <w:bidi w:val="0"/>
        <w:spacing w:beforeAutospacing="0" w:afterAutospacing="0" w:line="400" w:lineRule="exact"/>
        <w:contextualSpacing/>
        <w:rPr>
          <w:rFonts w:hint="eastAsia" w:ascii="仿宋" w:hAnsi="仿宋" w:eastAsia="仿宋" w:cs="仿宋"/>
          <w:kern w:val="0"/>
          <w:sz w:val="27"/>
          <w:szCs w:val="27"/>
        </w:rPr>
      </w:pPr>
      <w:r>
        <w:rPr>
          <w:rFonts w:hint="eastAsia" w:ascii="仿宋" w:hAnsi="仿宋" w:eastAsia="仿宋" w:cs="仿宋"/>
          <w:b/>
          <w:bCs/>
          <w:kern w:val="0"/>
          <w:sz w:val="27"/>
          <w:lang w:eastAsia="zh-CN"/>
        </w:rPr>
        <w:t>六</w:t>
      </w:r>
      <w:r>
        <w:rPr>
          <w:rFonts w:hint="eastAsia" w:ascii="仿宋" w:hAnsi="仿宋" w:eastAsia="仿宋" w:cs="仿宋"/>
          <w:b/>
          <w:bCs/>
          <w:kern w:val="0"/>
          <w:sz w:val="27"/>
        </w:rPr>
        <w:t>、其他补充事宜</w:t>
      </w:r>
      <w:r>
        <w:rPr>
          <w:rFonts w:hint="eastAsia" w:ascii="仿宋" w:hAnsi="仿宋" w:eastAsia="仿宋" w:cs="仿宋"/>
          <w:kern w:val="0"/>
          <w:sz w:val="27"/>
          <w:szCs w:val="27"/>
        </w:rPr>
        <w:t> </w:t>
      </w:r>
    </w:p>
    <w:p w14:paraId="66FDA5F5">
      <w:pPr>
        <w:keepNext w:val="0"/>
        <w:keepLines w:val="0"/>
        <w:pageBreakBefore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rFonts w:hint="eastAsia" w:ascii="仿宋" w:hAnsi="仿宋" w:eastAsia="仿宋" w:cs="仿宋"/>
          <w:sz w:val="24"/>
        </w:rPr>
      </w:pPr>
      <w:bookmarkStart w:id="583" w:name="_Toc35393795"/>
      <w:bookmarkStart w:id="584" w:name="_Toc35393626"/>
      <w:r>
        <w:rPr>
          <w:rFonts w:hint="eastAsia" w:ascii="仿宋" w:hAnsi="仿宋" w:eastAsia="仿宋" w:cs="仿宋"/>
          <w:sz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3E755EBF">
      <w:pPr>
        <w:keepNext w:val="0"/>
        <w:keepLines w:val="0"/>
        <w:pageBreakBefore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2.本项目实行网上投标，采用电子投标文件(供应商</w:t>
      </w:r>
      <w:bookmarkStart w:id="804" w:name="_GoBack"/>
      <w:bookmarkEnd w:id="804"/>
      <w:r>
        <w:rPr>
          <w:rFonts w:hint="eastAsia" w:ascii="仿宋" w:hAnsi="仿宋" w:eastAsia="仿宋" w:cs="仿宋"/>
          <w:sz w:val="24"/>
        </w:rPr>
        <w:t>须使用CA加密设备通过政采云电子投标客户端制作投标文件)。若供应商参与投标，自行承担投标一切费用。</w:t>
      </w:r>
    </w:p>
    <w:p w14:paraId="41CF29B6">
      <w:pPr>
        <w:keepNext w:val="0"/>
        <w:keepLines w:val="0"/>
        <w:pageBreakBefore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3.各供应商应在开标前应确保成为新疆政府采购网正式注册入库供应商，并完成CA数字证书申领。因未注册入库、未办理CA数字证书等原因造成无法投标或投标失败等后果由供应商自行承担。</w:t>
      </w:r>
    </w:p>
    <w:p w14:paraId="27FCE690">
      <w:pPr>
        <w:keepNext w:val="0"/>
        <w:keepLines w:val="0"/>
        <w:pageBreakBefore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4.供应商将政采云电子交易客户端下载、安装完成后，可通过账号密码或CA登录客户端进行投标文件制作。在使用政采云投标客户端时，建议使用 WIN7及以上操作系统。客户端请至新疆政府采购网</w:t>
      </w:r>
      <w:r>
        <w:rPr>
          <w:rFonts w:hint="eastAsia" w:ascii="仿宋" w:hAnsi="仿宋" w:eastAsia="仿宋" w:cs="仿宋"/>
          <w:i w:val="0"/>
          <w:iCs w:val="0"/>
          <w:caps w:val="0"/>
          <w:color w:val="333333"/>
          <w:spacing w:val="0"/>
          <w:sz w:val="21"/>
          <w:szCs w:val="21"/>
          <w:shd w:val="clear" w:color="auto" w:fill="FFFFFF"/>
        </w:rPr>
        <w:t>95763</w:t>
      </w:r>
      <w:r>
        <w:rPr>
          <w:rFonts w:hint="eastAsia" w:ascii="仿宋" w:hAnsi="仿宋" w:eastAsia="仿宋" w:cs="仿宋"/>
          <w:sz w:val="24"/>
        </w:rPr>
        <w:t>进行咨询。</w:t>
      </w:r>
    </w:p>
    <w:p w14:paraId="39F56B59">
      <w:pPr>
        <w:keepNext w:val="0"/>
        <w:keepLines w:val="0"/>
        <w:pageBreakBefore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5.供应商在开标时须使用制作加密电子投标文件所使用的CA锁及电脑，电脑须提前配置好浏览器（建议使用谷歌浏览器），以便开标时解锁。</w:t>
      </w:r>
    </w:p>
    <w:p w14:paraId="7AEDD060">
      <w:pPr>
        <w:keepNext w:val="0"/>
        <w:keepLines w:val="0"/>
        <w:pageBreakBefore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6.投标保证金缴纳及确认时间：凡拟参加本次招标项目的供应商，必须在开标前将投标保证金汇入指定账户。投标保证金汇款凭证上用途栏应注明:招标项目名称+</w:t>
      </w:r>
      <w:r>
        <w:rPr>
          <w:rFonts w:hint="eastAsia" w:ascii="仿宋" w:hAnsi="仿宋" w:eastAsia="仿宋" w:cs="仿宋"/>
          <w:sz w:val="24"/>
          <w:lang w:val="en-US" w:eastAsia="zh-CN"/>
        </w:rPr>
        <w:t>磋商</w:t>
      </w:r>
      <w:r>
        <w:rPr>
          <w:rFonts w:hint="eastAsia" w:ascii="仿宋" w:hAnsi="仿宋" w:eastAsia="仿宋" w:cs="仿宋"/>
          <w:sz w:val="24"/>
        </w:rPr>
        <w:t>保证金。否则，届时其投标将被拒绝。</w:t>
      </w:r>
    </w:p>
    <w:p w14:paraId="4597CD6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20"/>
        <w:textAlignment w:val="auto"/>
        <w:outlineLvl w:val="9"/>
        <w:rPr>
          <w:rFonts w:hint="eastAsia" w:ascii="仿宋" w:hAnsi="仿宋" w:eastAsia="仿宋" w:cs="仿宋"/>
          <w:sz w:val="24"/>
        </w:rPr>
      </w:pPr>
      <w:r>
        <w:rPr>
          <w:rFonts w:hint="eastAsia" w:ascii="仿宋" w:hAnsi="仿宋" w:eastAsia="仿宋" w:cs="仿宋"/>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 1 号群：30349928（如已加入 1-11 群，无需重复加入，十一个群联动直播），钉钉工具软件具有回放功能，直播培训结束后可在钉钉群中回放观看学习。</w:t>
      </w:r>
      <w:bookmarkEnd w:id="583"/>
      <w:bookmarkEnd w:id="584"/>
    </w:p>
    <w:p w14:paraId="252569C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outlineLvl w:val="9"/>
        <w:rPr>
          <w:rFonts w:hint="eastAsia" w:ascii="仿宋" w:hAnsi="仿宋" w:eastAsia="仿宋" w:cs="仿宋"/>
          <w:kern w:val="0"/>
          <w:sz w:val="32"/>
          <w:szCs w:val="32"/>
        </w:rPr>
      </w:pPr>
      <w:r>
        <w:rPr>
          <w:rFonts w:hint="eastAsia" w:ascii="仿宋" w:hAnsi="仿宋" w:eastAsia="仿宋" w:cs="仿宋"/>
          <w:b/>
          <w:bCs/>
          <w:kern w:val="0"/>
          <w:sz w:val="27"/>
          <w:lang w:eastAsia="zh-CN"/>
        </w:rPr>
        <w:t>七</w:t>
      </w:r>
      <w:r>
        <w:rPr>
          <w:rFonts w:hint="eastAsia" w:ascii="仿宋" w:hAnsi="仿宋" w:eastAsia="仿宋" w:cs="仿宋"/>
          <w:b/>
          <w:bCs/>
          <w:kern w:val="0"/>
          <w:sz w:val="27"/>
        </w:rPr>
        <w:t>、凡对本次招标提出询问，请按以下方式联系</w:t>
      </w:r>
    </w:p>
    <w:p w14:paraId="7E972733">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9"/>
        <w:rPr>
          <w:rFonts w:hint="eastAsia" w:ascii="仿宋" w:hAnsi="仿宋" w:eastAsia="仿宋" w:cs="仿宋"/>
          <w:b/>
          <w:bCs/>
          <w:color w:val="000000"/>
          <w:sz w:val="24"/>
          <w:szCs w:val="21"/>
        </w:rPr>
      </w:pPr>
      <w:r>
        <w:rPr>
          <w:rFonts w:hint="eastAsia" w:ascii="仿宋" w:hAnsi="仿宋" w:eastAsia="仿宋" w:cs="仿宋"/>
          <w:b/>
          <w:bCs/>
          <w:color w:val="000000"/>
          <w:sz w:val="24"/>
          <w:szCs w:val="21"/>
        </w:rPr>
        <w:t>1.采购人信息</w:t>
      </w:r>
    </w:p>
    <w:p w14:paraId="1DF47B79">
      <w:pPr>
        <w:keepNext w:val="0"/>
        <w:keepLines w:val="0"/>
        <w:pageBreakBefore w:val="0"/>
        <w:widowControl/>
        <w:kinsoku/>
        <w:wordWrap/>
        <w:overflowPunct/>
        <w:topLinePunct w:val="0"/>
        <w:autoSpaceDE/>
        <w:autoSpaceDN/>
        <w:bidi w:val="0"/>
        <w:adjustRightInd/>
        <w:snapToGrid/>
        <w:spacing w:beforeAutospacing="0" w:afterAutospacing="0" w:line="400" w:lineRule="exact"/>
        <w:contextualSpacing/>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名 称：伽师县市场监督管理局</w:t>
      </w:r>
    </w:p>
    <w:p w14:paraId="309A8823">
      <w:pPr>
        <w:keepNext w:val="0"/>
        <w:keepLines w:val="0"/>
        <w:pageBreakBefore w:val="0"/>
        <w:widowControl/>
        <w:kinsoku/>
        <w:wordWrap/>
        <w:overflowPunct/>
        <w:topLinePunct w:val="0"/>
        <w:autoSpaceDE/>
        <w:autoSpaceDN/>
        <w:bidi w:val="0"/>
        <w:adjustRightInd/>
        <w:snapToGrid/>
        <w:spacing w:beforeAutospacing="0" w:afterAutospacing="0" w:line="400" w:lineRule="exact"/>
        <w:contextualSpacing/>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联系人：胡刚强</w:t>
      </w:r>
    </w:p>
    <w:p w14:paraId="64B36F37">
      <w:pPr>
        <w:keepNext w:val="0"/>
        <w:keepLines w:val="0"/>
        <w:pageBreakBefore w:val="0"/>
        <w:widowControl/>
        <w:kinsoku/>
        <w:wordWrap/>
        <w:overflowPunct/>
        <w:topLinePunct w:val="0"/>
        <w:autoSpaceDE/>
        <w:autoSpaceDN/>
        <w:bidi w:val="0"/>
        <w:adjustRightInd/>
        <w:snapToGrid/>
        <w:spacing w:beforeAutospacing="0" w:afterAutospacing="0" w:line="400" w:lineRule="exact"/>
        <w:contextualSpacing/>
        <w:jc w:val="both"/>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联系方式：18309981654</w:t>
      </w:r>
    </w:p>
    <w:p w14:paraId="739791A5">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9"/>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地 址：</w:t>
      </w:r>
      <w:r>
        <w:rPr>
          <w:rFonts w:hint="eastAsia" w:ascii="仿宋" w:hAnsi="仿宋" w:eastAsia="仿宋" w:cs="仿宋"/>
          <w:color w:val="000000"/>
          <w:sz w:val="24"/>
          <w:szCs w:val="21"/>
          <w:lang w:val="en-US" w:eastAsia="zh-CN"/>
        </w:rPr>
        <w:t>伽师县巴仁镇园区路31号</w:t>
      </w:r>
    </w:p>
    <w:p w14:paraId="2C6B52DA">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9"/>
        <w:rPr>
          <w:rFonts w:hint="eastAsia" w:ascii="仿宋" w:hAnsi="仿宋" w:eastAsia="仿宋" w:cs="仿宋"/>
          <w:b/>
          <w:bCs/>
          <w:color w:val="000000"/>
          <w:sz w:val="24"/>
          <w:szCs w:val="21"/>
        </w:rPr>
      </w:pPr>
      <w:r>
        <w:rPr>
          <w:rFonts w:hint="eastAsia" w:ascii="仿宋" w:hAnsi="仿宋" w:eastAsia="仿宋" w:cs="仿宋"/>
          <w:b/>
          <w:bCs/>
          <w:color w:val="000000"/>
          <w:sz w:val="24"/>
          <w:szCs w:val="21"/>
        </w:rPr>
        <w:t>2.采购代理机构信息</w:t>
      </w:r>
    </w:p>
    <w:p w14:paraId="0BF6EF27">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9"/>
        <w:rPr>
          <w:rFonts w:hint="eastAsia" w:ascii="仿宋" w:hAnsi="仿宋" w:eastAsia="仿宋" w:cs="仿宋"/>
          <w:color w:val="000000"/>
          <w:sz w:val="24"/>
          <w:szCs w:val="21"/>
        </w:rPr>
      </w:pPr>
      <w:r>
        <w:rPr>
          <w:rFonts w:hint="eastAsia" w:ascii="仿宋" w:hAnsi="仿宋" w:eastAsia="仿宋" w:cs="仿宋"/>
          <w:color w:val="000000"/>
          <w:sz w:val="24"/>
          <w:szCs w:val="21"/>
        </w:rPr>
        <w:t>名 称：伽师县政府采购中心　</w:t>
      </w:r>
    </w:p>
    <w:p w14:paraId="75B6BBA2">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9"/>
        <w:rPr>
          <w:rFonts w:hint="eastAsia" w:ascii="仿宋" w:hAnsi="仿宋" w:eastAsia="仿宋" w:cs="仿宋"/>
          <w:color w:val="000000"/>
          <w:sz w:val="24"/>
          <w:szCs w:val="21"/>
        </w:rPr>
      </w:pPr>
      <w:r>
        <w:rPr>
          <w:rFonts w:hint="eastAsia" w:ascii="仿宋" w:hAnsi="仿宋" w:eastAsia="仿宋" w:cs="仿宋"/>
          <w:color w:val="000000"/>
          <w:sz w:val="24"/>
          <w:szCs w:val="21"/>
        </w:rPr>
        <w:t>地　址：伽师县行政审批局四楼（伽师县花园路3号）　</w:t>
      </w:r>
    </w:p>
    <w:p w14:paraId="3A529634">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9"/>
        <w:rPr>
          <w:rFonts w:hint="eastAsia" w:ascii="仿宋" w:hAnsi="仿宋" w:eastAsia="仿宋" w:cs="仿宋"/>
          <w:color w:val="000000"/>
          <w:sz w:val="24"/>
          <w:szCs w:val="21"/>
          <w:lang w:eastAsia="zh-CN"/>
        </w:rPr>
      </w:pPr>
      <w:r>
        <w:rPr>
          <w:rFonts w:hint="eastAsia" w:ascii="仿宋" w:hAnsi="仿宋" w:eastAsia="仿宋" w:cs="仿宋"/>
          <w:color w:val="000000"/>
          <w:sz w:val="24"/>
          <w:szCs w:val="21"/>
        </w:rPr>
        <w:t>项目联系人：陈雪</w:t>
      </w:r>
      <w:r>
        <w:rPr>
          <w:rFonts w:hint="eastAsia" w:ascii="仿宋" w:hAnsi="仿宋" w:eastAsia="仿宋" w:cs="仿宋"/>
          <w:color w:val="000000"/>
          <w:sz w:val="24"/>
          <w:szCs w:val="21"/>
          <w:lang w:eastAsia="zh-CN"/>
        </w:rPr>
        <w:t>、依明江</w:t>
      </w:r>
    </w:p>
    <w:p w14:paraId="3E5A12F2">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9"/>
        <w:rPr>
          <w:rFonts w:hint="eastAsia" w:ascii="仿宋" w:hAnsi="仿宋" w:eastAsia="仿宋" w:cs="仿宋"/>
          <w:sz w:val="24"/>
        </w:rPr>
      </w:pPr>
      <w:r>
        <w:rPr>
          <w:rFonts w:hint="eastAsia" w:ascii="仿宋" w:hAnsi="仿宋" w:eastAsia="仿宋" w:cs="仿宋"/>
          <w:color w:val="000000"/>
          <w:sz w:val="24"/>
          <w:szCs w:val="21"/>
        </w:rPr>
        <w:t>联系方式：0998-5713206</w:t>
      </w:r>
      <w:r>
        <w:rPr>
          <w:rFonts w:hint="eastAsia" w:ascii="仿宋" w:hAnsi="仿宋" w:eastAsia="仿宋" w:cs="仿宋"/>
          <w:sz w:val="24"/>
        </w:rPr>
        <w:t>　</w:t>
      </w:r>
    </w:p>
    <w:p w14:paraId="465E2FC2">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9"/>
        <w:rPr>
          <w:rFonts w:hint="eastAsia" w:ascii="仿宋" w:hAnsi="仿宋" w:eastAsia="仿宋" w:cs="仿宋"/>
          <w:color w:val="000000"/>
          <w:sz w:val="24"/>
          <w:szCs w:val="21"/>
        </w:rPr>
      </w:pPr>
      <w:r>
        <w:rPr>
          <w:rFonts w:hint="eastAsia" w:ascii="仿宋" w:hAnsi="仿宋" w:eastAsia="仿宋" w:cs="仿宋"/>
          <w:color w:val="000000"/>
          <w:sz w:val="24"/>
          <w:szCs w:val="21"/>
        </w:rPr>
        <w:t>3.同级政府采购监督管理部门名称:伽师县政府采购办</w:t>
      </w:r>
    </w:p>
    <w:p w14:paraId="1D30D7C5">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9"/>
        <w:rPr>
          <w:rFonts w:hint="eastAsia" w:ascii="仿宋" w:hAnsi="仿宋" w:eastAsia="仿宋" w:cs="仿宋"/>
          <w:color w:val="000000"/>
          <w:sz w:val="24"/>
          <w:szCs w:val="21"/>
        </w:rPr>
      </w:pPr>
      <w:r>
        <w:rPr>
          <w:rFonts w:hint="eastAsia" w:ascii="仿宋" w:hAnsi="仿宋" w:eastAsia="仿宋" w:cs="仿宋"/>
          <w:color w:val="000000"/>
          <w:sz w:val="24"/>
          <w:szCs w:val="21"/>
        </w:rPr>
        <w:t>联系人：</w:t>
      </w:r>
      <w:r>
        <w:rPr>
          <w:rFonts w:hint="eastAsia" w:ascii="仿宋" w:hAnsi="仿宋" w:eastAsia="仿宋" w:cs="仿宋"/>
          <w:color w:val="000000"/>
          <w:sz w:val="24"/>
          <w:szCs w:val="21"/>
          <w:lang w:eastAsia="zh-CN"/>
        </w:rPr>
        <w:t>阿依努尔</w:t>
      </w:r>
    </w:p>
    <w:p w14:paraId="527C59F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lang w:val="en-US" w:eastAsia="zh-CN"/>
        </w:rPr>
      </w:pPr>
      <w:r>
        <w:rPr>
          <w:rFonts w:hint="eastAsia" w:ascii="仿宋" w:hAnsi="仿宋" w:eastAsia="仿宋" w:cs="仿宋"/>
          <w:color w:val="000000"/>
          <w:sz w:val="24"/>
          <w:szCs w:val="21"/>
        </w:rPr>
        <w:t>监督投诉电话：</w:t>
      </w:r>
      <w:r>
        <w:rPr>
          <w:rFonts w:hint="eastAsia" w:ascii="仿宋" w:hAnsi="仿宋" w:eastAsia="仿宋" w:cs="仿宋"/>
          <w:color w:val="000000"/>
          <w:sz w:val="24"/>
          <w:szCs w:val="21"/>
          <w:lang w:val="en-US" w:eastAsia="zh-CN"/>
        </w:rPr>
        <w:t>15384946619</w:t>
      </w:r>
    </w:p>
    <w:p w14:paraId="635DC392">
      <w:pPr>
        <w:pStyle w:val="17"/>
        <w:rPr>
          <w:rFonts w:hint="eastAsia" w:ascii="仿宋" w:hAnsi="仿宋" w:eastAsia="仿宋" w:cs="仿宋"/>
          <w:sz w:val="24"/>
          <w:szCs w:val="24"/>
        </w:rPr>
      </w:pPr>
    </w:p>
    <w:p w14:paraId="6124A502">
      <w:pPr>
        <w:pStyle w:val="17"/>
        <w:rPr>
          <w:rFonts w:hint="eastAsia" w:ascii="仿宋" w:hAnsi="仿宋" w:eastAsia="仿宋" w:cs="仿宋"/>
          <w:sz w:val="24"/>
          <w:szCs w:val="24"/>
        </w:rPr>
      </w:pPr>
    </w:p>
    <w:p w14:paraId="71CCBABD">
      <w:pPr>
        <w:pStyle w:val="8"/>
        <w:rPr>
          <w:rFonts w:hint="eastAsia" w:ascii="仿宋" w:hAnsi="仿宋" w:eastAsia="仿宋" w:cs="仿宋"/>
          <w:sz w:val="24"/>
          <w:szCs w:val="24"/>
        </w:rPr>
      </w:pPr>
    </w:p>
    <w:p w14:paraId="1FA8BC91">
      <w:pPr>
        <w:pStyle w:val="17"/>
        <w:rPr>
          <w:rFonts w:hint="eastAsia" w:ascii="仿宋" w:hAnsi="仿宋" w:eastAsia="仿宋" w:cs="仿宋"/>
          <w:sz w:val="24"/>
          <w:szCs w:val="24"/>
        </w:rPr>
      </w:pPr>
    </w:p>
    <w:p w14:paraId="3BE00328">
      <w:pPr>
        <w:pStyle w:val="8"/>
        <w:rPr>
          <w:rFonts w:hint="eastAsia" w:ascii="仿宋" w:hAnsi="仿宋" w:eastAsia="仿宋" w:cs="仿宋"/>
          <w:sz w:val="24"/>
          <w:szCs w:val="24"/>
        </w:rPr>
      </w:pPr>
    </w:p>
    <w:p w14:paraId="3D7527A9">
      <w:pPr>
        <w:rPr>
          <w:rFonts w:hint="eastAsia" w:ascii="仿宋" w:hAnsi="仿宋" w:eastAsia="仿宋" w:cs="仿宋"/>
          <w:sz w:val="24"/>
          <w:szCs w:val="24"/>
        </w:rPr>
      </w:pPr>
    </w:p>
    <w:p w14:paraId="6378273A">
      <w:pPr>
        <w:pStyle w:val="8"/>
        <w:rPr>
          <w:rFonts w:hint="eastAsia" w:ascii="仿宋" w:hAnsi="仿宋" w:eastAsia="仿宋" w:cs="仿宋"/>
        </w:rPr>
      </w:pPr>
    </w:p>
    <w:p w14:paraId="30F478E0">
      <w:pPr>
        <w:pStyle w:val="8"/>
        <w:rPr>
          <w:rFonts w:hint="eastAsia" w:ascii="仿宋" w:hAnsi="仿宋" w:eastAsia="仿宋" w:cs="仿宋"/>
          <w:sz w:val="24"/>
          <w:szCs w:val="24"/>
        </w:rPr>
      </w:pPr>
    </w:p>
    <w:p w14:paraId="25E1EFDC">
      <w:pPr>
        <w:rPr>
          <w:rFonts w:hint="eastAsia" w:ascii="仿宋" w:hAnsi="仿宋" w:eastAsia="仿宋" w:cs="仿宋"/>
          <w:sz w:val="24"/>
          <w:szCs w:val="24"/>
        </w:rPr>
      </w:pPr>
    </w:p>
    <w:p w14:paraId="70EC4089">
      <w:pPr>
        <w:pStyle w:val="4"/>
        <w:rPr>
          <w:rFonts w:hint="eastAsia" w:ascii="仿宋" w:hAnsi="仿宋" w:eastAsia="仿宋" w:cs="仿宋"/>
          <w:sz w:val="24"/>
          <w:szCs w:val="24"/>
        </w:rPr>
      </w:pPr>
    </w:p>
    <w:p w14:paraId="410FA53B">
      <w:pPr>
        <w:rPr>
          <w:rFonts w:hint="eastAsia" w:ascii="仿宋" w:hAnsi="仿宋" w:eastAsia="仿宋" w:cs="仿宋"/>
          <w:sz w:val="24"/>
          <w:szCs w:val="24"/>
        </w:rPr>
      </w:pPr>
    </w:p>
    <w:p w14:paraId="20B690F7">
      <w:pPr>
        <w:pStyle w:val="22"/>
        <w:ind w:left="0" w:leftChars="0" w:firstLine="0" w:firstLineChars="0"/>
        <w:rPr>
          <w:rFonts w:hint="eastAsia" w:ascii="仿宋" w:hAnsi="仿宋" w:eastAsia="仿宋" w:cs="仿宋"/>
          <w:sz w:val="24"/>
          <w:szCs w:val="24"/>
        </w:rPr>
      </w:pPr>
    </w:p>
    <w:p w14:paraId="18DCD536">
      <w:pPr>
        <w:pStyle w:val="2"/>
        <w:tabs>
          <w:tab w:val="left" w:pos="0"/>
        </w:tabs>
        <w:spacing w:before="0" w:after="0" w:line="240" w:lineRule="atLeast"/>
        <w:rPr>
          <w:rFonts w:hint="eastAsia" w:ascii="仿宋" w:hAnsi="仿宋" w:eastAsia="仿宋" w:cs="仿宋"/>
          <w:b/>
          <w:bCs/>
          <w:sz w:val="44"/>
          <w:szCs w:val="44"/>
        </w:rPr>
      </w:pPr>
      <w:bookmarkStart w:id="585" w:name="_Toc14765"/>
      <w:bookmarkStart w:id="586" w:name="_Toc32236"/>
      <w:bookmarkStart w:id="587" w:name="_Toc22500"/>
      <w:bookmarkStart w:id="588" w:name="_Toc7678"/>
      <w:r>
        <w:rPr>
          <w:rFonts w:hint="eastAsia" w:ascii="仿宋" w:hAnsi="仿宋" w:eastAsia="仿宋" w:cs="仿宋"/>
          <w:b/>
          <w:bCs/>
          <w:sz w:val="44"/>
          <w:szCs w:val="44"/>
        </w:rPr>
        <w:t>第四章  投标人须知资料表</w:t>
      </w:r>
      <w:bookmarkEnd w:id="585"/>
      <w:bookmarkEnd w:id="586"/>
      <w:bookmarkEnd w:id="587"/>
      <w:bookmarkEnd w:id="588"/>
    </w:p>
    <w:p w14:paraId="59A0345F">
      <w:pPr>
        <w:spacing w:line="340" w:lineRule="exact"/>
        <w:ind w:firstLine="360" w:firstLineChars="150"/>
        <w:rPr>
          <w:rFonts w:hint="eastAsia" w:ascii="仿宋" w:hAnsi="仿宋" w:eastAsia="仿宋" w:cs="仿宋"/>
          <w:b/>
          <w:sz w:val="24"/>
        </w:rPr>
      </w:pPr>
      <w:r>
        <w:rPr>
          <w:rFonts w:hint="eastAsia" w:ascii="仿宋" w:hAnsi="仿宋" w:eastAsia="仿宋" w:cs="仿宋"/>
          <w:sz w:val="24"/>
        </w:rPr>
        <w:t xml:space="preserve"> 本表是本招标项目的具体资料，是对投标人须知的具体补充和修改，如有矛盾，应</w:t>
      </w:r>
      <w:r>
        <w:rPr>
          <w:rFonts w:hint="eastAsia" w:ascii="仿宋" w:hAnsi="仿宋" w:eastAsia="仿宋" w:cs="仿宋"/>
          <w:b/>
          <w:sz w:val="24"/>
        </w:rPr>
        <w:t>以本资料表为准</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31"/>
        <w:gridCol w:w="7436"/>
      </w:tblGrid>
      <w:tr w14:paraId="0698D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0" w:hRule="atLeast"/>
        </w:trPr>
        <w:tc>
          <w:tcPr>
            <w:tcW w:w="1231" w:type="dxa"/>
            <w:noWrap w:val="0"/>
            <w:vAlign w:val="center"/>
          </w:tcPr>
          <w:p w14:paraId="142F8D08">
            <w:pPr>
              <w:spacing w:line="240" w:lineRule="atLeast"/>
              <w:ind w:firstLine="240" w:firstLineChars="100"/>
              <w:rPr>
                <w:rFonts w:hint="eastAsia" w:ascii="仿宋" w:hAnsi="仿宋" w:eastAsia="仿宋" w:cs="仿宋"/>
                <w:sz w:val="24"/>
              </w:rPr>
            </w:pPr>
            <w:r>
              <w:rPr>
                <w:rFonts w:hint="eastAsia" w:ascii="仿宋" w:hAnsi="仿宋" w:eastAsia="仿宋" w:cs="仿宋"/>
                <w:sz w:val="24"/>
              </w:rPr>
              <w:t>条款号</w:t>
            </w:r>
          </w:p>
        </w:tc>
        <w:tc>
          <w:tcPr>
            <w:tcW w:w="7436" w:type="dxa"/>
            <w:noWrap w:val="0"/>
            <w:vAlign w:val="center"/>
          </w:tcPr>
          <w:p w14:paraId="692F8170">
            <w:pPr>
              <w:spacing w:line="240" w:lineRule="atLeast"/>
              <w:ind w:left="1080" w:leftChars="257" w:hanging="540"/>
              <w:jc w:val="center"/>
              <w:rPr>
                <w:rFonts w:hint="eastAsia" w:ascii="仿宋" w:hAnsi="仿宋" w:eastAsia="仿宋" w:cs="仿宋"/>
                <w:b/>
                <w:sz w:val="24"/>
              </w:rPr>
            </w:pPr>
            <w:r>
              <w:rPr>
                <w:rFonts w:hint="eastAsia" w:ascii="仿宋" w:hAnsi="仿宋" w:eastAsia="仿宋" w:cs="仿宋"/>
                <w:b/>
                <w:sz w:val="24"/>
              </w:rPr>
              <w:t>内      容</w:t>
            </w:r>
          </w:p>
        </w:tc>
      </w:tr>
      <w:tr w14:paraId="5D129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8" w:hRule="atLeast"/>
        </w:trPr>
        <w:tc>
          <w:tcPr>
            <w:tcW w:w="1231" w:type="dxa"/>
            <w:noWrap w:val="0"/>
            <w:vAlign w:val="center"/>
          </w:tcPr>
          <w:p w14:paraId="64ACE652">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1.1</w:t>
            </w:r>
          </w:p>
        </w:tc>
        <w:tc>
          <w:tcPr>
            <w:tcW w:w="7436" w:type="dxa"/>
            <w:noWrap w:val="0"/>
            <w:vAlign w:val="center"/>
          </w:tcPr>
          <w:p w14:paraId="25E3825F">
            <w:pPr>
              <w:spacing w:before="190" w:line="231" w:lineRule="auto"/>
              <w:ind w:left="31"/>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采购人：</w:t>
            </w:r>
            <w:r>
              <w:rPr>
                <w:rFonts w:hint="eastAsia" w:ascii="仿宋" w:hAnsi="仿宋" w:eastAsia="仿宋" w:cs="仿宋"/>
                <w:color w:val="auto"/>
                <w:spacing w:val="8"/>
                <w:sz w:val="23"/>
                <w:szCs w:val="23"/>
                <w:highlight w:val="none"/>
                <w:lang w:val="en-US" w:eastAsia="zh-CN"/>
              </w:rPr>
              <w:t>伽师县市场监督管理局</w:t>
            </w:r>
          </w:p>
          <w:p w14:paraId="77FEE880">
            <w:pPr>
              <w:rPr>
                <w:rFonts w:hint="default" w:ascii="仿宋" w:hAnsi="仿宋" w:eastAsia="仿宋" w:cs="仿宋"/>
                <w:sz w:val="24"/>
                <w:lang w:val="en-US" w:eastAsia="zh-CN"/>
              </w:rPr>
            </w:pPr>
            <w:r>
              <w:rPr>
                <w:rFonts w:ascii="仿宋" w:hAnsi="仿宋" w:eastAsia="仿宋" w:cs="仿宋"/>
                <w:color w:val="auto"/>
                <w:spacing w:val="4"/>
                <w:sz w:val="23"/>
                <w:szCs w:val="23"/>
                <w:highlight w:val="none"/>
              </w:rPr>
              <w:t>联系人：</w:t>
            </w:r>
            <w:r>
              <w:rPr>
                <w:rFonts w:hint="eastAsia" w:ascii="仿宋" w:hAnsi="仿宋" w:eastAsia="仿宋" w:cs="仿宋"/>
                <w:color w:val="auto"/>
                <w:spacing w:val="4"/>
                <w:sz w:val="23"/>
                <w:szCs w:val="23"/>
                <w:highlight w:val="none"/>
                <w:lang w:val="en-US" w:eastAsia="zh-CN"/>
              </w:rPr>
              <w:t>胡刚强</w:t>
            </w:r>
            <w:r>
              <w:rPr>
                <w:rFonts w:ascii="仿宋" w:hAnsi="仿宋" w:eastAsia="仿宋" w:cs="仿宋"/>
                <w:color w:val="auto"/>
                <w:spacing w:val="4"/>
                <w:sz w:val="23"/>
                <w:szCs w:val="23"/>
                <w:highlight w:val="none"/>
              </w:rPr>
              <w:t xml:space="preserve">     联系电话：</w:t>
            </w:r>
            <w:r>
              <w:rPr>
                <w:rFonts w:hint="eastAsia" w:ascii="仿宋" w:hAnsi="仿宋" w:eastAsia="仿宋" w:cs="仿宋"/>
                <w:color w:val="auto"/>
                <w:spacing w:val="4"/>
                <w:sz w:val="23"/>
                <w:szCs w:val="23"/>
                <w:highlight w:val="none"/>
                <w:lang w:val="en-US" w:eastAsia="zh-CN"/>
              </w:rPr>
              <w:t>18309981654</w:t>
            </w:r>
          </w:p>
        </w:tc>
      </w:tr>
      <w:tr w14:paraId="5390B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9" w:hRule="atLeast"/>
        </w:trPr>
        <w:tc>
          <w:tcPr>
            <w:tcW w:w="1231" w:type="dxa"/>
            <w:noWrap w:val="0"/>
            <w:vAlign w:val="center"/>
          </w:tcPr>
          <w:p w14:paraId="0571DCB0">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1.2</w:t>
            </w:r>
          </w:p>
        </w:tc>
        <w:tc>
          <w:tcPr>
            <w:tcW w:w="7436" w:type="dxa"/>
            <w:noWrap w:val="0"/>
            <w:vAlign w:val="center"/>
          </w:tcPr>
          <w:p w14:paraId="6A473A6C">
            <w:pPr>
              <w:spacing w:line="240" w:lineRule="atLeast"/>
              <w:rPr>
                <w:rFonts w:hint="eastAsia" w:ascii="仿宋" w:hAnsi="仿宋" w:eastAsia="仿宋" w:cs="仿宋"/>
                <w:sz w:val="24"/>
                <w:u w:val="single"/>
              </w:rPr>
            </w:pPr>
            <w:r>
              <w:rPr>
                <w:rFonts w:hint="eastAsia" w:ascii="仿宋" w:hAnsi="仿宋" w:eastAsia="仿宋" w:cs="仿宋"/>
                <w:sz w:val="24"/>
              </w:rPr>
              <w:t>采购代理机构：</w:t>
            </w:r>
            <w:r>
              <w:rPr>
                <w:rFonts w:hint="eastAsia" w:ascii="仿宋" w:hAnsi="仿宋" w:eastAsia="仿宋" w:cs="仿宋"/>
                <w:sz w:val="24"/>
                <w:u w:val="single"/>
              </w:rPr>
              <w:t>伽师县政府采购中心</w:t>
            </w:r>
          </w:p>
          <w:p w14:paraId="3E6A5DCB">
            <w:pPr>
              <w:spacing w:line="240" w:lineRule="atLeast"/>
              <w:rPr>
                <w:rFonts w:hint="eastAsia"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u w:val="single"/>
              </w:rPr>
              <w:t>伽师县行政审批局四楼（伽师县花园路3号）</w:t>
            </w:r>
          </w:p>
          <w:p w14:paraId="4004BA40">
            <w:pPr>
              <w:spacing w:line="240" w:lineRule="atLeast"/>
              <w:rPr>
                <w:rFonts w:hint="eastAsia" w:ascii="仿宋" w:hAnsi="仿宋" w:eastAsia="仿宋" w:cs="仿宋"/>
                <w:sz w:val="24"/>
              </w:rPr>
            </w:pPr>
            <w:r>
              <w:rPr>
                <w:rFonts w:hint="eastAsia" w:ascii="仿宋" w:hAnsi="仿宋" w:eastAsia="仿宋" w:cs="仿宋"/>
                <w:sz w:val="24"/>
              </w:rPr>
              <w:t>联系人：陈雪</w:t>
            </w:r>
            <w:r>
              <w:rPr>
                <w:rFonts w:hint="eastAsia" w:ascii="仿宋" w:hAnsi="仿宋" w:eastAsia="仿宋" w:cs="仿宋"/>
                <w:sz w:val="24"/>
                <w:lang w:eastAsia="zh-CN"/>
              </w:rPr>
              <w:t>、依明江</w:t>
            </w:r>
            <w:r>
              <w:rPr>
                <w:rFonts w:hint="eastAsia" w:ascii="仿宋" w:hAnsi="仿宋" w:eastAsia="仿宋" w:cs="仿宋"/>
                <w:sz w:val="24"/>
                <w:lang w:val="en-US" w:eastAsia="zh-CN"/>
              </w:rPr>
              <w:t xml:space="preserve"> </w:t>
            </w:r>
            <w:r>
              <w:rPr>
                <w:rFonts w:hint="eastAsia" w:ascii="仿宋" w:hAnsi="仿宋" w:eastAsia="仿宋" w:cs="仿宋"/>
                <w:sz w:val="24"/>
              </w:rPr>
              <w:t xml:space="preserve">        电  话：0998-5713206</w:t>
            </w:r>
          </w:p>
        </w:tc>
      </w:tr>
      <w:tr w14:paraId="24A62F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231" w:type="dxa"/>
            <w:noWrap w:val="0"/>
            <w:vAlign w:val="center"/>
          </w:tcPr>
          <w:p w14:paraId="2F4237B9">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1.3.1</w:t>
            </w:r>
          </w:p>
        </w:tc>
        <w:tc>
          <w:tcPr>
            <w:tcW w:w="7436" w:type="dxa"/>
            <w:noWrap w:val="0"/>
            <w:vAlign w:val="center"/>
          </w:tcPr>
          <w:p w14:paraId="4A39A69B">
            <w:pPr>
              <w:spacing w:line="240" w:lineRule="atLeast"/>
              <w:rPr>
                <w:rFonts w:hint="eastAsia" w:ascii="仿宋" w:hAnsi="仿宋" w:eastAsia="仿宋" w:cs="仿宋"/>
                <w:sz w:val="24"/>
                <w:lang w:eastAsia="zh-CN"/>
              </w:rPr>
            </w:pPr>
            <w:r>
              <w:rPr>
                <w:rFonts w:hint="eastAsia" w:ascii="仿宋" w:hAnsi="仿宋" w:eastAsia="仿宋" w:cs="仿宋"/>
                <w:sz w:val="24"/>
                <w:lang w:eastAsia="zh-CN"/>
              </w:rPr>
              <w:t>合格投标人开标时需提供的资格证明文件：</w:t>
            </w:r>
          </w:p>
          <w:p w14:paraId="2C3B007F">
            <w:pPr>
              <w:spacing w:line="240" w:lineRule="atLeast"/>
              <w:rPr>
                <w:rFonts w:hint="eastAsia" w:ascii="仿宋" w:hAnsi="仿宋" w:eastAsia="仿宋" w:cs="仿宋"/>
                <w:sz w:val="24"/>
                <w:lang w:eastAsia="zh-CN"/>
              </w:rPr>
            </w:pPr>
            <w:r>
              <w:rPr>
                <w:rFonts w:hint="eastAsia" w:ascii="仿宋" w:hAnsi="仿宋" w:eastAsia="仿宋" w:cs="仿宋"/>
                <w:sz w:val="24"/>
                <w:lang w:eastAsia="zh-CN"/>
              </w:rPr>
              <w:t>1.提供有效的营业执照；</w:t>
            </w:r>
          </w:p>
          <w:p w14:paraId="0947245E">
            <w:pPr>
              <w:spacing w:line="240" w:lineRule="atLeast"/>
              <w:rPr>
                <w:rFonts w:hint="eastAsia" w:ascii="仿宋" w:hAnsi="仿宋" w:eastAsia="仿宋" w:cs="仿宋"/>
                <w:sz w:val="24"/>
                <w:lang w:eastAsia="zh-CN"/>
              </w:rPr>
            </w:pPr>
            <w:r>
              <w:rPr>
                <w:rFonts w:hint="eastAsia" w:ascii="仿宋" w:hAnsi="仿宋" w:eastAsia="仿宋" w:cs="仿宋"/>
                <w:sz w:val="24"/>
                <w:lang w:eastAsia="zh-CN"/>
              </w:rPr>
              <w:t>2.法定代表人证明或法定代表人授权委托书签字（章）并加盖公章；</w:t>
            </w:r>
          </w:p>
          <w:p w14:paraId="36B19FFE">
            <w:pPr>
              <w:spacing w:line="240" w:lineRule="atLeast"/>
              <w:rPr>
                <w:rFonts w:hint="eastAsia" w:ascii="仿宋" w:hAnsi="仿宋" w:eastAsia="仿宋" w:cs="仿宋"/>
                <w:sz w:val="24"/>
                <w:lang w:val="en-US" w:eastAsia="zh-CN"/>
              </w:rPr>
            </w:pPr>
            <w:r>
              <w:rPr>
                <w:rFonts w:hint="eastAsia" w:ascii="仿宋" w:hAnsi="仿宋" w:eastAsia="仿宋" w:cs="仿宋"/>
                <w:sz w:val="24"/>
                <w:lang w:eastAsia="zh-CN"/>
              </w:rPr>
              <w:t>3.</w:t>
            </w:r>
            <w:r>
              <w:rPr>
                <w:rFonts w:hint="eastAsia" w:ascii="仿宋" w:hAnsi="仿宋" w:eastAsia="仿宋" w:cs="仿宋"/>
                <w:sz w:val="24"/>
                <w:lang w:val="en-US" w:eastAsia="zh-CN"/>
              </w:rPr>
              <w:t>提供投标单位近三个月内（任意一个月）的社保缴纳证明；</w:t>
            </w:r>
          </w:p>
          <w:p w14:paraId="34C8AAF3">
            <w:pPr>
              <w:spacing w:line="240" w:lineRule="atLeast"/>
              <w:rPr>
                <w:rFonts w:hint="eastAsia" w:ascii="仿宋" w:hAnsi="仿宋" w:eastAsia="仿宋" w:cs="仿宋"/>
                <w:sz w:val="24"/>
                <w:lang w:val="en-US" w:eastAsia="zh-CN"/>
              </w:rPr>
            </w:pPr>
            <w:r>
              <w:rPr>
                <w:rFonts w:hint="eastAsia" w:ascii="仿宋" w:hAnsi="仿宋" w:eastAsia="仿宋" w:cs="仿宋"/>
                <w:sz w:val="24"/>
                <w:lang w:val="en-US" w:eastAsia="zh-CN"/>
              </w:rPr>
              <w:t>4.近三个月所属期限内（任意一个月）依法缴纳税收的证明（税务部门出具的完税凭证或缴税证明或银行出具的“银行电子缴税付款凭证”）；</w:t>
            </w:r>
          </w:p>
          <w:p w14:paraId="289216A3">
            <w:pPr>
              <w:spacing w:line="240" w:lineRule="atLeast"/>
              <w:rPr>
                <w:rFonts w:hint="eastAsia" w:ascii="仿宋" w:hAnsi="仿宋" w:eastAsia="仿宋" w:cs="仿宋"/>
                <w:sz w:val="24"/>
                <w:lang w:val="en-US" w:eastAsia="zh-CN"/>
              </w:rPr>
            </w:pPr>
            <w:r>
              <w:rPr>
                <w:rFonts w:hint="eastAsia" w:ascii="仿宋" w:hAnsi="仿宋" w:eastAsia="仿宋" w:cs="仿宋"/>
                <w:sz w:val="24"/>
                <w:lang w:val="en-US" w:eastAsia="zh-CN"/>
              </w:rPr>
              <w:t>5.良好的商业信誉和健全的财务会计制度证明材料(2023年度或2024年度会计师事务所出具的审计报告，2025年新办企业</w:t>
            </w:r>
            <w:r>
              <w:rPr>
                <w:rFonts w:hint="eastAsia" w:ascii="仿宋" w:hAnsi="仿宋" w:eastAsia="仿宋" w:cs="仿宋"/>
                <w:color w:val="auto"/>
                <w:spacing w:val="-1"/>
                <w:sz w:val="24"/>
                <w:szCs w:val="24"/>
                <w:lang w:eastAsia="zh-CN"/>
              </w:rPr>
              <w:t>可提供近三个月内的银行资信证明</w:t>
            </w:r>
            <w:r>
              <w:rPr>
                <w:rFonts w:hint="eastAsia" w:ascii="仿宋" w:hAnsi="仿宋" w:eastAsia="仿宋" w:cs="仿宋"/>
                <w:sz w:val="24"/>
                <w:lang w:val="en-US" w:eastAsia="zh-CN"/>
              </w:rPr>
              <w:t>）；</w:t>
            </w:r>
          </w:p>
          <w:p w14:paraId="67387DFF">
            <w:pPr>
              <w:spacing w:line="240" w:lineRule="atLeast"/>
              <w:rPr>
                <w:rFonts w:hint="eastAsia" w:ascii="仿宋" w:hAnsi="仿宋" w:eastAsia="仿宋" w:cs="仿宋"/>
                <w:sz w:val="24"/>
                <w:lang w:val="en-US" w:eastAsia="zh-CN"/>
              </w:rPr>
            </w:pPr>
            <w:r>
              <w:rPr>
                <w:rFonts w:hint="eastAsia" w:ascii="仿宋" w:hAnsi="仿宋" w:eastAsia="仿宋" w:cs="仿宋"/>
                <w:sz w:val="24"/>
                <w:lang w:val="en-US" w:eastAsia="zh-CN"/>
              </w:rPr>
              <w:t>6.提供供应商按招标文件要求缴纳投标保证金的缴款凭证或金融机构、担保机构出具的保函；</w:t>
            </w:r>
          </w:p>
          <w:p w14:paraId="2EE0C64E">
            <w:pPr>
              <w:spacing w:line="240" w:lineRule="atLeast"/>
              <w:rPr>
                <w:rFonts w:hint="eastAsia" w:ascii="仿宋" w:hAnsi="仿宋" w:eastAsia="仿宋" w:cs="仿宋"/>
                <w:sz w:val="24"/>
                <w:lang w:val="en-US" w:eastAsia="zh-CN"/>
              </w:rPr>
            </w:pPr>
            <w:r>
              <w:rPr>
                <w:rFonts w:hint="eastAsia" w:ascii="仿宋" w:hAnsi="仿宋" w:eastAsia="仿宋" w:cs="仿宋"/>
                <w:sz w:val="24"/>
                <w:lang w:val="en-US" w:eastAsia="zh-CN"/>
              </w:rPr>
              <w:t>7.供应商参加本次采购活动前三年内，在经营活动中没有重大违法记录的声明及对本次项目《反商业贿赂承诺书》；</w:t>
            </w:r>
          </w:p>
          <w:p w14:paraId="1E285196">
            <w:pPr>
              <w:spacing w:line="240" w:lineRule="atLeast"/>
              <w:rPr>
                <w:rFonts w:hint="eastAsia" w:ascii="仿宋" w:hAnsi="仿宋" w:eastAsia="仿宋" w:cs="仿宋"/>
                <w:sz w:val="24"/>
                <w:lang w:val="en-US" w:eastAsia="zh-CN"/>
              </w:rPr>
            </w:pPr>
            <w:r>
              <w:rPr>
                <w:rFonts w:hint="eastAsia" w:ascii="仿宋" w:hAnsi="仿宋" w:eastAsia="仿宋" w:cs="仿宋"/>
                <w:sz w:val="24"/>
                <w:lang w:val="en-US" w:eastAsia="zh-CN"/>
              </w:rPr>
              <w:t>8.供应商须具有在有效期内的检验检测机构资质认定证书；</w:t>
            </w:r>
          </w:p>
          <w:p w14:paraId="03DE84D1">
            <w:pPr>
              <w:spacing w:line="240" w:lineRule="atLeast"/>
              <w:rPr>
                <w:rFonts w:hint="default" w:ascii="仿宋" w:hAnsi="仿宋" w:eastAsia="仿宋" w:cs="仿宋"/>
                <w:sz w:val="24"/>
                <w:lang w:val="en-US" w:eastAsia="zh-CN"/>
              </w:rPr>
            </w:pPr>
            <w:r>
              <w:rPr>
                <w:rFonts w:hint="eastAsia" w:ascii="仿宋" w:hAnsi="仿宋" w:eastAsia="仿宋" w:cs="仿宋"/>
                <w:sz w:val="24"/>
                <w:lang w:val="en-US" w:eastAsia="zh-CN"/>
              </w:rPr>
              <w:t>9.供应商为中小企业；</w:t>
            </w:r>
          </w:p>
          <w:p w14:paraId="442479D0">
            <w:pPr>
              <w:spacing w:line="240" w:lineRule="atLeast"/>
              <w:rPr>
                <w:rFonts w:hint="eastAsia" w:ascii="仿宋" w:hAnsi="仿宋" w:eastAsia="仿宋" w:cs="仿宋"/>
                <w:sz w:val="24"/>
                <w:lang w:eastAsia="zh-CN"/>
              </w:rPr>
            </w:pPr>
            <w:r>
              <w:rPr>
                <w:rFonts w:hint="eastAsia" w:ascii="仿宋" w:hAnsi="仿宋" w:eastAsia="仿宋" w:cs="仿宋"/>
                <w:sz w:val="24"/>
                <w:lang w:val="en-US" w:eastAsia="zh-CN"/>
              </w:rPr>
              <w:t>10.本项目不接受联合体投标。</w:t>
            </w:r>
          </w:p>
          <w:p w14:paraId="442417AE">
            <w:pPr>
              <w:spacing w:line="240" w:lineRule="atLeast"/>
              <w:rPr>
                <w:rFonts w:hint="eastAsia" w:ascii="仿宋" w:hAnsi="仿宋" w:eastAsia="仿宋" w:cs="仿宋"/>
                <w:sz w:val="24"/>
                <w:lang w:val="en-US" w:eastAsia="zh-CN"/>
              </w:rPr>
            </w:pPr>
            <w:r>
              <w:rPr>
                <w:rFonts w:hint="eastAsia" w:ascii="仿宋" w:hAnsi="仿宋" w:eastAsia="仿宋" w:cs="仿宋"/>
                <w:sz w:val="24"/>
                <w:lang w:val="en-US" w:eastAsia="zh-CN"/>
              </w:rPr>
              <w:t>对供应商的重大违法记录将在开标现场资格审验时在“信用中国”网站及中国政府采购网进行查询，被列入失信被执行人、重大税收违法案件当事人名单以及政府采购严重违法失信行为记录名单的供应商，将拒绝其参加本次政府采购活动。（以开标现场查询为准）</w:t>
            </w:r>
          </w:p>
          <w:p w14:paraId="28D48180">
            <w:pPr>
              <w:pStyle w:val="5"/>
              <w:numPr>
                <w:ilvl w:val="0"/>
                <w:numId w:val="0"/>
              </w:numPr>
              <w:rPr>
                <w:rFonts w:hint="eastAsia" w:ascii="仿宋" w:hAnsi="仿宋" w:eastAsia="仿宋" w:cs="仿宋"/>
              </w:rPr>
            </w:pPr>
            <w:r>
              <w:rPr>
                <w:rFonts w:hint="eastAsia" w:ascii="仿宋" w:hAnsi="仿宋" w:eastAsia="仿宋" w:cs="仿宋"/>
                <w:b/>
                <w:bCs/>
                <w:sz w:val="24"/>
                <w:szCs w:val="24"/>
              </w:rPr>
              <w:t>注：1、“提供税务部门出具的完税证明”：①若供应商某月税收为零申报，须提供当月加盖税务局公章的无欠税证明或“国家税务总局电子税务局12366.chinatax.gov.cn/bsfw/onlinetaxation/main）”的申报结果查询截图 ②完税证明中“税种”非养老保险、医疗保险、失业保险、工伤保险和生育保险。请各供应商注意！</w:t>
            </w:r>
          </w:p>
        </w:tc>
      </w:tr>
      <w:tr w14:paraId="39C1B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8" w:hRule="atLeast"/>
        </w:trPr>
        <w:tc>
          <w:tcPr>
            <w:tcW w:w="1231" w:type="dxa"/>
            <w:noWrap w:val="0"/>
            <w:vAlign w:val="center"/>
          </w:tcPr>
          <w:p w14:paraId="3EBB657A">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 xml:space="preserve">1.3.2   </w:t>
            </w:r>
          </w:p>
        </w:tc>
        <w:tc>
          <w:tcPr>
            <w:tcW w:w="7436" w:type="dxa"/>
            <w:noWrap w:val="0"/>
            <w:vAlign w:val="center"/>
          </w:tcPr>
          <w:p w14:paraId="7DAD87B0">
            <w:pPr>
              <w:spacing w:line="240" w:lineRule="atLeast"/>
              <w:rPr>
                <w:rFonts w:hint="eastAsia" w:ascii="仿宋" w:hAnsi="仿宋" w:eastAsia="仿宋" w:cs="仿宋"/>
                <w:sz w:val="24"/>
              </w:rPr>
            </w:pPr>
            <w:r>
              <w:rPr>
                <w:rFonts w:hint="eastAsia" w:ascii="仿宋" w:hAnsi="仿宋" w:eastAsia="仿宋" w:cs="仿宋"/>
                <w:sz w:val="24"/>
              </w:rPr>
              <w:t>是否允许采购进口产品：</w:t>
            </w:r>
            <w:r>
              <w:rPr>
                <w:rFonts w:hint="eastAsia" w:ascii="仿宋" w:hAnsi="仿宋" w:eastAsia="仿宋" w:cs="仿宋"/>
                <w:sz w:val="24"/>
                <w:u w:val="single"/>
              </w:rPr>
              <w:t>否</w:t>
            </w:r>
          </w:p>
        </w:tc>
      </w:tr>
      <w:tr w14:paraId="4B8EE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1231" w:type="dxa"/>
            <w:noWrap w:val="0"/>
            <w:vAlign w:val="center"/>
          </w:tcPr>
          <w:p w14:paraId="25D90610">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1.3.3</w:t>
            </w:r>
          </w:p>
        </w:tc>
        <w:tc>
          <w:tcPr>
            <w:tcW w:w="7436" w:type="dxa"/>
            <w:noWrap w:val="0"/>
            <w:vAlign w:val="center"/>
          </w:tcPr>
          <w:p w14:paraId="77818C13">
            <w:pPr>
              <w:spacing w:line="240" w:lineRule="atLeast"/>
              <w:rPr>
                <w:rFonts w:hint="eastAsia" w:ascii="仿宋" w:hAnsi="仿宋" w:eastAsia="仿宋" w:cs="仿宋"/>
                <w:sz w:val="24"/>
                <w:lang w:val="en-US" w:eastAsia="zh-CN"/>
              </w:rPr>
            </w:pPr>
            <w:r>
              <w:rPr>
                <w:rFonts w:hint="eastAsia" w:ascii="仿宋" w:hAnsi="仿宋" w:eastAsia="仿宋" w:cs="仿宋"/>
                <w:sz w:val="24"/>
                <w:highlight w:val="none"/>
              </w:rPr>
              <w:t>是</w:t>
            </w:r>
            <w:r>
              <w:rPr>
                <w:rFonts w:hint="eastAsia" w:ascii="仿宋" w:hAnsi="仿宋" w:eastAsia="仿宋" w:cs="仿宋"/>
                <w:sz w:val="24"/>
                <w:highlight w:val="none"/>
                <w:lang w:val="en-US" w:eastAsia="zh-CN"/>
              </w:rPr>
              <w:t>否为专门面向中小企业采购：</w:t>
            </w:r>
            <w:r>
              <w:rPr>
                <w:rFonts w:hint="eastAsia" w:ascii="仿宋" w:hAnsi="仿宋" w:eastAsia="仿宋" w:cs="仿宋"/>
                <w:sz w:val="24"/>
                <w:highlight w:val="none"/>
                <w:u w:val="single"/>
                <w:lang w:val="en-US" w:eastAsia="zh-CN"/>
              </w:rPr>
              <w:t>是</w:t>
            </w:r>
          </w:p>
        </w:tc>
      </w:tr>
      <w:tr w14:paraId="3191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231" w:type="dxa"/>
            <w:noWrap w:val="0"/>
            <w:vAlign w:val="center"/>
          </w:tcPr>
          <w:p w14:paraId="6586F7B8">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1.4.1</w:t>
            </w:r>
          </w:p>
        </w:tc>
        <w:tc>
          <w:tcPr>
            <w:tcW w:w="7436" w:type="dxa"/>
            <w:noWrap w:val="0"/>
            <w:vAlign w:val="center"/>
          </w:tcPr>
          <w:p w14:paraId="69336C60">
            <w:pPr>
              <w:spacing w:line="240" w:lineRule="atLeast"/>
              <w:rPr>
                <w:rFonts w:hint="eastAsia" w:ascii="仿宋" w:hAnsi="仿宋" w:eastAsia="仿宋" w:cs="仿宋"/>
                <w:sz w:val="24"/>
              </w:rPr>
            </w:pPr>
            <w:r>
              <w:rPr>
                <w:rFonts w:hint="eastAsia" w:ascii="仿宋" w:hAnsi="仿宋" w:eastAsia="仿宋" w:cs="仿宋"/>
                <w:sz w:val="24"/>
              </w:rPr>
              <w:t>是否允许联合体投标：</w:t>
            </w:r>
            <w:r>
              <w:rPr>
                <w:rFonts w:hint="eastAsia" w:ascii="仿宋" w:hAnsi="仿宋" w:eastAsia="仿宋" w:cs="仿宋"/>
                <w:sz w:val="24"/>
                <w:u w:val="single"/>
              </w:rPr>
              <w:t>否</w:t>
            </w:r>
          </w:p>
        </w:tc>
      </w:tr>
      <w:tr w14:paraId="16793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5" w:hRule="atLeast"/>
        </w:trPr>
        <w:tc>
          <w:tcPr>
            <w:tcW w:w="1231" w:type="dxa"/>
            <w:noWrap w:val="0"/>
            <w:vAlign w:val="center"/>
          </w:tcPr>
          <w:p w14:paraId="433588DA">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1.4.2</w:t>
            </w:r>
          </w:p>
        </w:tc>
        <w:tc>
          <w:tcPr>
            <w:tcW w:w="7436" w:type="dxa"/>
            <w:noWrap w:val="0"/>
            <w:vAlign w:val="center"/>
          </w:tcPr>
          <w:p w14:paraId="0E163AC0">
            <w:pPr>
              <w:spacing w:line="240" w:lineRule="atLeast"/>
              <w:rPr>
                <w:rFonts w:hint="eastAsia" w:ascii="仿宋" w:hAnsi="仿宋" w:eastAsia="仿宋" w:cs="仿宋"/>
                <w:sz w:val="24"/>
              </w:rPr>
            </w:pPr>
            <w:r>
              <w:rPr>
                <w:rFonts w:hint="eastAsia" w:ascii="仿宋" w:hAnsi="仿宋" w:eastAsia="仿宋" w:cs="仿宋"/>
                <w:sz w:val="24"/>
              </w:rPr>
              <w:t>联合体的其他资格要求：无</w:t>
            </w:r>
          </w:p>
        </w:tc>
      </w:tr>
      <w:tr w14:paraId="37774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1231" w:type="dxa"/>
            <w:noWrap w:val="0"/>
            <w:vAlign w:val="center"/>
          </w:tcPr>
          <w:p w14:paraId="4EF9E76F">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2.1</w:t>
            </w:r>
          </w:p>
        </w:tc>
        <w:tc>
          <w:tcPr>
            <w:tcW w:w="7436" w:type="dxa"/>
            <w:noWrap w:val="0"/>
            <w:vAlign w:val="center"/>
          </w:tcPr>
          <w:p w14:paraId="114E72A3">
            <w:pPr>
              <w:spacing w:line="240" w:lineRule="atLeast"/>
              <w:rPr>
                <w:rFonts w:hint="eastAsia" w:ascii="仿宋" w:hAnsi="仿宋" w:eastAsia="仿宋" w:cs="仿宋"/>
                <w:sz w:val="24"/>
              </w:rPr>
            </w:pPr>
            <w:r>
              <w:rPr>
                <w:rFonts w:hint="eastAsia" w:ascii="仿宋" w:hAnsi="仿宋" w:eastAsia="仿宋" w:cs="仿宋"/>
                <w:sz w:val="24"/>
              </w:rPr>
              <w:t>采购</w:t>
            </w:r>
            <w:r>
              <w:rPr>
                <w:rFonts w:hint="eastAsia" w:ascii="仿宋" w:hAnsi="仿宋" w:eastAsia="仿宋" w:cs="仿宋"/>
                <w:sz w:val="24"/>
                <w:highlight w:val="none"/>
                <w:lang w:val="en-US" w:eastAsia="zh-CN"/>
              </w:rPr>
              <w:t>预算：668000</w:t>
            </w:r>
            <w:r>
              <w:rPr>
                <w:rFonts w:hint="eastAsia" w:ascii="仿宋" w:hAnsi="仿宋" w:eastAsia="仿宋" w:cs="仿宋"/>
                <w:sz w:val="24"/>
                <w:highlight w:val="none"/>
                <w:lang w:val="zh-CN" w:eastAsia="zh-CN"/>
              </w:rPr>
              <w:t>元</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本包最高限价：</w:t>
            </w:r>
            <w:r>
              <w:rPr>
                <w:rFonts w:hint="eastAsia" w:ascii="仿宋" w:hAnsi="仿宋" w:eastAsia="仿宋" w:cs="仿宋"/>
                <w:sz w:val="24"/>
                <w:highlight w:val="none"/>
                <w:lang w:val="en-US" w:eastAsia="zh-CN"/>
              </w:rPr>
              <w:t>668000</w:t>
            </w:r>
            <w:r>
              <w:rPr>
                <w:rFonts w:hint="eastAsia" w:ascii="仿宋" w:hAnsi="仿宋" w:eastAsia="仿宋" w:cs="仿宋"/>
                <w:sz w:val="24"/>
                <w:lang w:val="zh-CN"/>
              </w:rPr>
              <w:t>元；</w:t>
            </w:r>
            <w:r>
              <w:rPr>
                <w:rFonts w:hint="eastAsia" w:ascii="仿宋" w:hAnsi="仿宋" w:eastAsia="仿宋" w:cs="仿宋"/>
                <w:sz w:val="24"/>
              </w:rPr>
              <w:t xml:space="preserve">    </w:t>
            </w:r>
          </w:p>
        </w:tc>
      </w:tr>
      <w:tr w14:paraId="58C91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trPr>
        <w:tc>
          <w:tcPr>
            <w:tcW w:w="1231" w:type="dxa"/>
            <w:noWrap w:val="0"/>
            <w:vAlign w:val="center"/>
          </w:tcPr>
          <w:p w14:paraId="6635ECEE">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2.2</w:t>
            </w:r>
          </w:p>
        </w:tc>
        <w:tc>
          <w:tcPr>
            <w:tcW w:w="7436" w:type="dxa"/>
            <w:noWrap w:val="0"/>
            <w:vAlign w:val="center"/>
          </w:tcPr>
          <w:p w14:paraId="3B2FD839">
            <w:pPr>
              <w:spacing w:line="240" w:lineRule="atLeast"/>
              <w:rPr>
                <w:rFonts w:hint="eastAsia" w:ascii="仿宋" w:hAnsi="仿宋" w:eastAsia="仿宋" w:cs="仿宋"/>
                <w:sz w:val="24"/>
              </w:rPr>
            </w:pPr>
            <w:r>
              <w:rPr>
                <w:rFonts w:hint="eastAsia" w:ascii="仿宋" w:hAnsi="仿宋" w:eastAsia="仿宋" w:cs="仿宋"/>
                <w:sz w:val="24"/>
              </w:rPr>
              <w:t>注：本项目不分标段</w:t>
            </w:r>
          </w:p>
        </w:tc>
      </w:tr>
      <w:tr w14:paraId="05D09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31" w:type="dxa"/>
            <w:noWrap w:val="0"/>
            <w:vAlign w:val="center"/>
          </w:tcPr>
          <w:p w14:paraId="0EEADED8">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12.1</w:t>
            </w:r>
          </w:p>
        </w:tc>
        <w:tc>
          <w:tcPr>
            <w:tcW w:w="7436" w:type="dxa"/>
            <w:noWrap w:val="0"/>
            <w:vAlign w:val="center"/>
          </w:tcPr>
          <w:p w14:paraId="1491F4F7">
            <w:pPr>
              <w:keepNext w:val="0"/>
              <w:keepLines w:val="0"/>
              <w:widowControl/>
              <w:suppressLineNumbers w:val="0"/>
              <w:jc w:val="left"/>
              <w:rPr>
                <w:rFonts w:hint="eastAsia" w:ascii="仿宋" w:hAnsi="仿宋" w:eastAsia="仿宋" w:cs="仿宋"/>
                <w:sz w:val="24"/>
                <w:highlight w:val="none"/>
                <w:lang w:val="en-US" w:eastAsia="zh-CN"/>
              </w:rPr>
            </w:pPr>
            <w:r>
              <w:rPr>
                <w:rFonts w:hint="eastAsia" w:ascii="仿宋" w:hAnsi="仿宋" w:eastAsia="仿宋" w:cs="仿宋"/>
                <w:sz w:val="24"/>
                <w:highlight w:val="none"/>
              </w:rPr>
              <w:t>投标保证金形式：</w:t>
            </w:r>
            <w:r>
              <w:rPr>
                <w:rFonts w:hint="eastAsia" w:ascii="仿宋" w:hAnsi="仿宋" w:eastAsia="仿宋" w:cs="仿宋"/>
                <w:sz w:val="24"/>
                <w:highlight w:val="none"/>
                <w:lang w:val="en-US" w:eastAsia="zh-CN"/>
              </w:rPr>
              <w:t>☑电汇☑支票☑本票☑保函☑等非现金形式提交</w:t>
            </w:r>
          </w:p>
          <w:p w14:paraId="7987CF51">
            <w:pPr>
              <w:spacing w:line="240" w:lineRule="atLeast"/>
              <w:rPr>
                <w:rFonts w:hint="eastAsia" w:ascii="仿宋" w:hAnsi="仿宋" w:eastAsia="仿宋" w:cs="仿宋"/>
                <w:b/>
                <w:bCs/>
                <w:sz w:val="24"/>
                <w:highlight w:val="none"/>
                <w:lang w:eastAsia="zh-CN"/>
              </w:rPr>
            </w:pPr>
            <w:r>
              <w:rPr>
                <w:rFonts w:hint="eastAsia" w:ascii="仿宋" w:hAnsi="仿宋" w:eastAsia="仿宋" w:cs="仿宋"/>
                <w:b/>
                <w:bCs/>
                <w:sz w:val="24"/>
                <w:highlight w:val="none"/>
              </w:rPr>
              <w:t>投标保证金数额:</w:t>
            </w:r>
            <w:r>
              <w:rPr>
                <w:rFonts w:hint="eastAsia" w:ascii="仿宋" w:hAnsi="仿宋" w:eastAsia="仿宋" w:cs="仿宋"/>
                <w:b/>
                <w:bCs/>
                <w:sz w:val="24"/>
                <w:highlight w:val="none"/>
                <w:lang w:val="en-US" w:eastAsia="zh-CN"/>
              </w:rPr>
              <w:t>1.3</w:t>
            </w:r>
            <w:r>
              <w:rPr>
                <w:rFonts w:hint="eastAsia" w:ascii="仿宋" w:hAnsi="仿宋" w:eastAsia="仿宋" w:cs="仿宋"/>
                <w:b/>
                <w:bCs/>
                <w:sz w:val="24"/>
                <w:highlight w:val="none"/>
              </w:rPr>
              <w:t xml:space="preserve">万元 </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壹</w:t>
            </w:r>
            <w:r>
              <w:rPr>
                <w:rFonts w:hint="eastAsia" w:ascii="仿宋" w:hAnsi="仿宋" w:eastAsia="仿宋" w:cs="仿宋"/>
                <w:b/>
                <w:bCs/>
                <w:sz w:val="24"/>
                <w:highlight w:val="none"/>
                <w:lang w:eastAsia="zh-CN"/>
              </w:rPr>
              <w:t>万</w:t>
            </w:r>
            <w:r>
              <w:rPr>
                <w:rFonts w:hint="eastAsia" w:ascii="仿宋" w:hAnsi="仿宋" w:eastAsia="仿宋" w:cs="仿宋"/>
                <w:b/>
                <w:bCs/>
                <w:sz w:val="24"/>
                <w:highlight w:val="none"/>
                <w:lang w:val="en-US" w:eastAsia="zh-CN"/>
              </w:rPr>
              <w:t>叁</w:t>
            </w:r>
            <w:r>
              <w:rPr>
                <w:rFonts w:hint="eastAsia" w:ascii="仿宋" w:hAnsi="仿宋" w:eastAsia="仿宋" w:cs="仿宋"/>
                <w:b/>
                <w:bCs/>
                <w:sz w:val="24"/>
                <w:highlight w:val="none"/>
                <w:lang w:eastAsia="zh-CN"/>
              </w:rPr>
              <w:t>仟元整）</w:t>
            </w:r>
          </w:p>
          <w:p w14:paraId="0F43E9ED">
            <w:pPr>
              <w:spacing w:line="240" w:lineRule="atLeast"/>
              <w:rPr>
                <w:rFonts w:hint="eastAsia" w:ascii="仿宋" w:hAnsi="仿宋" w:eastAsia="仿宋" w:cs="仿宋"/>
                <w:sz w:val="24"/>
                <w:lang w:eastAsia="zh-CN"/>
              </w:rPr>
            </w:pPr>
            <w:r>
              <w:rPr>
                <w:rFonts w:hint="eastAsia" w:ascii="仿宋" w:hAnsi="仿宋" w:eastAsia="仿宋" w:cs="仿宋"/>
                <w:sz w:val="24"/>
              </w:rPr>
              <w:t>投标保证金缴纳账户：</w:t>
            </w:r>
            <w:r>
              <w:rPr>
                <w:rFonts w:hint="eastAsia" w:ascii="仿宋" w:hAnsi="仿宋" w:eastAsia="仿宋" w:cs="仿宋"/>
                <w:sz w:val="24"/>
                <w:lang w:eastAsia="zh-CN"/>
              </w:rPr>
              <w:t>伽师县市场监督管理局</w:t>
            </w:r>
          </w:p>
          <w:p w14:paraId="64450EFE">
            <w:pPr>
              <w:spacing w:line="240" w:lineRule="atLeast"/>
              <w:rPr>
                <w:rFonts w:hint="eastAsia" w:ascii="仿宋" w:hAnsi="仿宋" w:eastAsia="仿宋" w:cs="仿宋"/>
                <w:sz w:val="24"/>
                <w:lang w:eastAsia="zh-CN"/>
              </w:rPr>
            </w:pPr>
            <w:r>
              <w:rPr>
                <w:rFonts w:hint="eastAsia" w:ascii="仿宋" w:hAnsi="仿宋" w:eastAsia="仿宋" w:cs="仿宋"/>
                <w:sz w:val="24"/>
              </w:rPr>
              <w:t>银行账号：</w:t>
            </w:r>
            <w:r>
              <w:rPr>
                <w:rFonts w:hint="eastAsia" w:ascii="仿宋" w:hAnsi="仿宋" w:eastAsia="仿宋" w:cs="仿宋"/>
                <w:sz w:val="24"/>
                <w:lang w:eastAsia="zh-CN"/>
              </w:rPr>
              <w:t>30522101040002805</w:t>
            </w:r>
          </w:p>
          <w:p w14:paraId="25F4BAAB">
            <w:pPr>
              <w:spacing w:line="240" w:lineRule="atLeast"/>
              <w:rPr>
                <w:rFonts w:hint="eastAsia" w:ascii="仿宋" w:hAnsi="仿宋" w:eastAsia="仿宋" w:cs="仿宋"/>
              </w:rPr>
            </w:pPr>
            <w:r>
              <w:rPr>
                <w:rFonts w:hint="eastAsia" w:ascii="仿宋" w:hAnsi="仿宋" w:eastAsia="仿宋" w:cs="仿宋"/>
                <w:sz w:val="24"/>
              </w:rPr>
              <w:t>开 户 行：中国农业银行伽师县支行</w:t>
            </w:r>
          </w:p>
        </w:tc>
      </w:tr>
      <w:tr w14:paraId="3E9AF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1231" w:type="dxa"/>
            <w:noWrap w:val="0"/>
            <w:vAlign w:val="center"/>
          </w:tcPr>
          <w:p w14:paraId="0FDFA01D">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13.1</w:t>
            </w:r>
          </w:p>
        </w:tc>
        <w:tc>
          <w:tcPr>
            <w:tcW w:w="7436" w:type="dxa"/>
            <w:noWrap w:val="0"/>
            <w:vAlign w:val="center"/>
          </w:tcPr>
          <w:p w14:paraId="72C4AF7D">
            <w:pPr>
              <w:spacing w:line="240" w:lineRule="atLeast"/>
              <w:rPr>
                <w:rFonts w:hint="eastAsia" w:ascii="仿宋" w:hAnsi="仿宋" w:eastAsia="仿宋" w:cs="仿宋"/>
                <w:sz w:val="24"/>
                <w:u w:val="single"/>
              </w:rPr>
            </w:pPr>
            <w:r>
              <w:rPr>
                <w:rFonts w:hint="eastAsia" w:ascii="仿宋" w:hAnsi="仿宋" w:eastAsia="仿宋" w:cs="仿宋"/>
                <w:sz w:val="24"/>
              </w:rPr>
              <w:t>投标有效期：</w:t>
            </w:r>
            <w:r>
              <w:rPr>
                <w:rFonts w:hint="eastAsia" w:ascii="仿宋" w:hAnsi="仿宋" w:eastAsia="仿宋" w:cs="仿宋"/>
                <w:sz w:val="24"/>
                <w:u w:val="single"/>
              </w:rPr>
              <w:t>90</w:t>
            </w:r>
            <w:r>
              <w:rPr>
                <w:rFonts w:hint="eastAsia" w:ascii="仿宋" w:hAnsi="仿宋" w:eastAsia="仿宋" w:cs="仿宋"/>
                <w:sz w:val="24"/>
              </w:rPr>
              <w:t>日历日</w:t>
            </w:r>
          </w:p>
        </w:tc>
      </w:tr>
      <w:tr w14:paraId="2EF83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8" w:hRule="atLeast"/>
        </w:trPr>
        <w:tc>
          <w:tcPr>
            <w:tcW w:w="1231" w:type="dxa"/>
            <w:noWrap w:val="0"/>
            <w:vAlign w:val="center"/>
          </w:tcPr>
          <w:p w14:paraId="50CADADC">
            <w:pPr>
              <w:ind w:firstLine="480" w:firstLineChars="200"/>
              <w:rPr>
                <w:rFonts w:hint="eastAsia" w:ascii="仿宋" w:hAnsi="仿宋" w:eastAsia="仿宋" w:cs="仿宋"/>
                <w:sz w:val="24"/>
              </w:rPr>
            </w:pPr>
            <w:r>
              <w:rPr>
                <w:rFonts w:hint="eastAsia" w:ascii="仿宋" w:hAnsi="仿宋" w:eastAsia="仿宋" w:cs="仿宋"/>
                <w:sz w:val="24"/>
              </w:rPr>
              <w:t>14.1</w:t>
            </w:r>
          </w:p>
        </w:tc>
        <w:tc>
          <w:tcPr>
            <w:tcW w:w="7436" w:type="dxa"/>
            <w:noWrap w:val="0"/>
            <w:vAlign w:val="center"/>
          </w:tcPr>
          <w:p w14:paraId="0B7F5172">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 </w:t>
            </w:r>
          </w:p>
          <w:p w14:paraId="38263E54">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2.本项目实行网上投标，采用电子响应文件(供应商须使用 CA 加密设备通过政采云电子投标客户端制作响应文件)。若供应商参与投标，自行承担投标一切费用。 </w:t>
            </w:r>
          </w:p>
          <w:p w14:paraId="5931C4FE">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3.各供应商应在开标前应确保成为新疆政府采购网正式注册入库供应商，并完成 CA 数字证书申领。因未注册入库、未办理 CA 数字证书等原因造成无法投标或投标失败等后果由供应商自行承担。 </w:t>
            </w:r>
          </w:p>
          <w:p w14:paraId="06A761E5">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4.供应商将政采云电子交易客户端下载、安装完成后，可通过账号密码或 CA 登录客户端进行响应文件制作。在使用政采云投标客户端时，建议 使用 WIN7 及以 上操 作系 统。 客户 端请至 新疆 政府采购网（http://www.ccgp-xinjiang.gov.cn/）下载专区查看，如有问题可拨打政采云客户服务热线95763进行咨询。 </w:t>
            </w:r>
          </w:p>
          <w:p w14:paraId="3976248C">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5.供应商在开标时须使用制作加密电子响应文件所使用的 CA 锁及电脑，电脑须提前配置好浏览器（建议使用谷歌浏览器），以便开标时解锁。</w:t>
            </w:r>
          </w:p>
          <w:p w14:paraId="3A6EE83A">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2EFB4613">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7. 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27A3214C">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8.各供应商须在投标截止时间前完成在系统上递交电子响应文件。 </w:t>
            </w:r>
          </w:p>
          <w:p w14:paraId="5CE61086">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供应商的电子响应文件是经过 CA 证书加密后上传提交的，任何单位或个人均无法在投标截止时间(即开标时间)之前查看或篡改，不存在泄密风险。（严格按照政采云电子投标流程制作并上传电子响应文件） </w:t>
            </w:r>
          </w:p>
          <w:p w14:paraId="3E14AA10">
            <w:pPr>
              <w:keepNext w:val="0"/>
              <w:keepLines w:val="0"/>
              <w:widowControl/>
              <w:suppressLineNumbers w:val="0"/>
              <w:jc w:val="left"/>
              <w:rPr>
                <w:rFonts w:hint="eastAsia" w:ascii="仿宋" w:hAnsi="仿宋" w:eastAsia="仿宋" w:cs="仿宋"/>
                <w:sz w:val="24"/>
              </w:rPr>
            </w:pPr>
            <w:r>
              <w:rPr>
                <w:rFonts w:hint="eastAsia" w:ascii="仿宋" w:hAnsi="仿宋" w:eastAsia="仿宋" w:cs="仿宋"/>
                <w:color w:val="000000"/>
                <w:kern w:val="0"/>
                <w:sz w:val="24"/>
                <w:szCs w:val="24"/>
                <w:lang w:val="en-US" w:eastAsia="zh-CN" w:bidi="ar"/>
              </w:rPr>
              <w:t>9. 解密时长为 30 分钟。</w:t>
            </w:r>
          </w:p>
        </w:tc>
      </w:tr>
      <w:tr w14:paraId="7E47F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5" w:hRule="atLeast"/>
        </w:trPr>
        <w:tc>
          <w:tcPr>
            <w:tcW w:w="1231" w:type="dxa"/>
            <w:noWrap w:val="0"/>
            <w:vAlign w:val="center"/>
          </w:tcPr>
          <w:p w14:paraId="7041814D">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16.1</w:t>
            </w:r>
          </w:p>
        </w:tc>
        <w:tc>
          <w:tcPr>
            <w:tcW w:w="7436" w:type="dxa"/>
            <w:noWrap w:val="0"/>
            <w:vAlign w:val="center"/>
          </w:tcPr>
          <w:p w14:paraId="40AA4EC8">
            <w:pPr>
              <w:spacing w:line="240" w:lineRule="atLeast"/>
              <w:rPr>
                <w:rFonts w:hint="eastAsia" w:ascii="仿宋" w:hAnsi="仿宋" w:eastAsia="仿宋" w:cs="仿宋"/>
                <w:sz w:val="24"/>
                <w:highlight w:val="none"/>
              </w:rPr>
            </w:pPr>
            <w:r>
              <w:rPr>
                <w:rFonts w:hint="eastAsia" w:ascii="仿宋" w:hAnsi="仿宋" w:eastAsia="仿宋" w:cs="仿宋"/>
                <w:color w:val="auto"/>
                <w:sz w:val="24"/>
                <w:highlight w:val="none"/>
              </w:rPr>
              <w:t>投标截止时间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000000"/>
                <w:sz w:val="24"/>
                <w:szCs w:val="21"/>
                <w:highlight w:val="yellow"/>
              </w:rPr>
              <w:t>202</w:t>
            </w:r>
            <w:r>
              <w:rPr>
                <w:rFonts w:hint="eastAsia" w:ascii="仿宋" w:hAnsi="仿宋" w:eastAsia="仿宋" w:cs="仿宋"/>
                <w:color w:val="000000"/>
                <w:sz w:val="24"/>
                <w:szCs w:val="21"/>
                <w:highlight w:val="yellow"/>
                <w:lang w:val="en-US" w:eastAsia="zh-CN"/>
              </w:rPr>
              <w:t>5</w:t>
            </w:r>
            <w:r>
              <w:rPr>
                <w:rFonts w:hint="eastAsia" w:ascii="仿宋" w:hAnsi="仿宋" w:eastAsia="仿宋" w:cs="仿宋"/>
                <w:color w:val="000000"/>
                <w:sz w:val="24"/>
                <w:szCs w:val="21"/>
                <w:highlight w:val="yellow"/>
              </w:rPr>
              <w:t>年</w:t>
            </w:r>
            <w:r>
              <w:rPr>
                <w:rFonts w:hint="eastAsia" w:ascii="仿宋" w:hAnsi="仿宋" w:eastAsia="仿宋" w:cs="仿宋"/>
                <w:color w:val="000000"/>
                <w:sz w:val="24"/>
                <w:szCs w:val="21"/>
                <w:highlight w:val="yellow"/>
                <w:lang w:val="en-US" w:eastAsia="zh-CN"/>
              </w:rPr>
              <w:t>7</w:t>
            </w:r>
            <w:r>
              <w:rPr>
                <w:rFonts w:hint="eastAsia" w:ascii="仿宋" w:hAnsi="仿宋" w:eastAsia="仿宋" w:cs="仿宋"/>
                <w:color w:val="000000"/>
                <w:sz w:val="24"/>
                <w:szCs w:val="21"/>
                <w:highlight w:val="yellow"/>
              </w:rPr>
              <w:t>月</w:t>
            </w:r>
            <w:r>
              <w:rPr>
                <w:rFonts w:hint="eastAsia" w:ascii="仿宋" w:hAnsi="仿宋" w:eastAsia="仿宋" w:cs="仿宋"/>
                <w:color w:val="000000"/>
                <w:sz w:val="24"/>
                <w:szCs w:val="21"/>
                <w:highlight w:val="yellow"/>
                <w:lang w:val="en-US" w:eastAsia="zh-CN"/>
              </w:rPr>
              <w:t>15</w:t>
            </w:r>
            <w:r>
              <w:rPr>
                <w:rFonts w:hint="eastAsia" w:ascii="仿宋" w:hAnsi="仿宋" w:eastAsia="仿宋" w:cs="仿宋"/>
                <w:color w:val="000000"/>
                <w:sz w:val="24"/>
                <w:szCs w:val="21"/>
                <w:highlight w:val="yellow"/>
              </w:rPr>
              <w:t xml:space="preserve">日 </w:t>
            </w:r>
            <w:r>
              <w:rPr>
                <w:rFonts w:hint="eastAsia" w:ascii="仿宋" w:hAnsi="仿宋" w:eastAsia="仿宋" w:cs="仿宋"/>
                <w:color w:val="000000"/>
                <w:sz w:val="24"/>
                <w:szCs w:val="21"/>
                <w:highlight w:val="yellow"/>
                <w:lang w:val="en-US" w:eastAsia="zh-CN"/>
              </w:rPr>
              <w:t>11</w:t>
            </w:r>
            <w:r>
              <w:rPr>
                <w:rFonts w:hint="eastAsia" w:ascii="仿宋" w:hAnsi="仿宋" w:eastAsia="仿宋" w:cs="仿宋"/>
                <w:color w:val="000000"/>
                <w:sz w:val="24"/>
                <w:szCs w:val="21"/>
                <w:highlight w:val="yellow"/>
              </w:rPr>
              <w:t>时</w:t>
            </w:r>
            <w:r>
              <w:rPr>
                <w:rFonts w:hint="eastAsia" w:ascii="仿宋" w:hAnsi="仿宋" w:eastAsia="仿宋" w:cs="仿宋"/>
                <w:color w:val="000000"/>
                <w:sz w:val="24"/>
                <w:szCs w:val="21"/>
                <w:highlight w:val="yellow"/>
                <w:lang w:val="en-US" w:eastAsia="zh-CN"/>
              </w:rPr>
              <w:t>00</w:t>
            </w:r>
            <w:r>
              <w:rPr>
                <w:rFonts w:hint="eastAsia" w:ascii="仿宋" w:hAnsi="仿宋" w:eastAsia="仿宋" w:cs="仿宋"/>
                <w:color w:val="000000"/>
                <w:sz w:val="24"/>
                <w:szCs w:val="21"/>
                <w:highlight w:val="yellow"/>
              </w:rPr>
              <w:t>分（北京时间）</w:t>
            </w:r>
          </w:p>
        </w:tc>
      </w:tr>
      <w:tr w14:paraId="72F2D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3" w:hRule="atLeast"/>
        </w:trPr>
        <w:tc>
          <w:tcPr>
            <w:tcW w:w="1231" w:type="dxa"/>
            <w:noWrap w:val="0"/>
            <w:vAlign w:val="center"/>
          </w:tcPr>
          <w:p w14:paraId="70ECB10A">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18.1</w:t>
            </w:r>
          </w:p>
        </w:tc>
        <w:tc>
          <w:tcPr>
            <w:tcW w:w="7436" w:type="dxa"/>
            <w:noWrap w:val="0"/>
            <w:vAlign w:val="center"/>
          </w:tcPr>
          <w:p w14:paraId="39BBBA34">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w:t>
            </w:r>
            <w:r>
              <w:rPr>
                <w:rFonts w:hint="eastAsia" w:ascii="仿宋" w:hAnsi="仿宋" w:eastAsia="仿宋" w:cs="仿宋"/>
                <w:color w:val="000000"/>
                <w:sz w:val="24"/>
                <w:szCs w:val="21"/>
                <w:highlight w:val="yellow"/>
              </w:rPr>
              <w:t>202</w:t>
            </w:r>
            <w:r>
              <w:rPr>
                <w:rFonts w:hint="eastAsia" w:ascii="仿宋" w:hAnsi="仿宋" w:eastAsia="仿宋" w:cs="仿宋"/>
                <w:color w:val="000000"/>
                <w:sz w:val="24"/>
                <w:szCs w:val="21"/>
                <w:highlight w:val="yellow"/>
                <w:lang w:val="en-US" w:eastAsia="zh-CN"/>
              </w:rPr>
              <w:t>5</w:t>
            </w:r>
            <w:r>
              <w:rPr>
                <w:rFonts w:hint="eastAsia" w:ascii="仿宋" w:hAnsi="仿宋" w:eastAsia="仿宋" w:cs="仿宋"/>
                <w:color w:val="000000"/>
                <w:sz w:val="24"/>
                <w:szCs w:val="21"/>
                <w:highlight w:val="yellow"/>
              </w:rPr>
              <w:t>年</w:t>
            </w:r>
            <w:r>
              <w:rPr>
                <w:rFonts w:hint="eastAsia" w:ascii="仿宋" w:hAnsi="仿宋" w:eastAsia="仿宋" w:cs="仿宋"/>
                <w:color w:val="000000"/>
                <w:sz w:val="24"/>
                <w:szCs w:val="21"/>
                <w:highlight w:val="yellow"/>
                <w:lang w:val="en-US" w:eastAsia="zh-CN"/>
              </w:rPr>
              <w:t>7</w:t>
            </w:r>
            <w:r>
              <w:rPr>
                <w:rFonts w:hint="eastAsia" w:ascii="仿宋" w:hAnsi="仿宋" w:eastAsia="仿宋" w:cs="仿宋"/>
                <w:color w:val="000000"/>
                <w:sz w:val="24"/>
                <w:szCs w:val="21"/>
                <w:highlight w:val="yellow"/>
              </w:rPr>
              <w:t>月</w:t>
            </w:r>
            <w:r>
              <w:rPr>
                <w:rFonts w:hint="eastAsia" w:ascii="仿宋" w:hAnsi="仿宋" w:eastAsia="仿宋" w:cs="仿宋"/>
                <w:color w:val="000000"/>
                <w:sz w:val="24"/>
                <w:szCs w:val="21"/>
                <w:highlight w:val="yellow"/>
                <w:lang w:val="en-US" w:eastAsia="zh-CN"/>
              </w:rPr>
              <w:t>15</w:t>
            </w:r>
            <w:r>
              <w:rPr>
                <w:rFonts w:hint="eastAsia" w:ascii="仿宋" w:hAnsi="仿宋" w:eastAsia="仿宋" w:cs="仿宋"/>
                <w:color w:val="000000"/>
                <w:sz w:val="24"/>
                <w:szCs w:val="21"/>
                <w:highlight w:val="yellow"/>
              </w:rPr>
              <w:t xml:space="preserve">日 </w:t>
            </w:r>
            <w:r>
              <w:rPr>
                <w:rFonts w:hint="eastAsia" w:ascii="仿宋" w:hAnsi="仿宋" w:eastAsia="仿宋" w:cs="仿宋"/>
                <w:color w:val="000000"/>
                <w:sz w:val="24"/>
                <w:szCs w:val="21"/>
                <w:highlight w:val="yellow"/>
                <w:lang w:val="en-US" w:eastAsia="zh-CN"/>
              </w:rPr>
              <w:t>11</w:t>
            </w:r>
            <w:r>
              <w:rPr>
                <w:rFonts w:hint="eastAsia" w:ascii="仿宋" w:hAnsi="仿宋" w:eastAsia="仿宋" w:cs="仿宋"/>
                <w:color w:val="000000"/>
                <w:sz w:val="24"/>
                <w:szCs w:val="21"/>
                <w:highlight w:val="yellow"/>
              </w:rPr>
              <w:t>时</w:t>
            </w:r>
            <w:r>
              <w:rPr>
                <w:rFonts w:hint="eastAsia" w:ascii="仿宋" w:hAnsi="仿宋" w:eastAsia="仿宋" w:cs="仿宋"/>
                <w:color w:val="000000"/>
                <w:sz w:val="24"/>
                <w:szCs w:val="21"/>
                <w:highlight w:val="yellow"/>
                <w:lang w:val="en-US" w:eastAsia="zh-CN"/>
              </w:rPr>
              <w:t>00</w:t>
            </w:r>
            <w:r>
              <w:rPr>
                <w:rFonts w:hint="eastAsia" w:ascii="仿宋" w:hAnsi="仿宋" w:eastAsia="仿宋" w:cs="仿宋"/>
                <w:color w:val="000000"/>
                <w:sz w:val="24"/>
                <w:szCs w:val="21"/>
                <w:highlight w:val="yellow"/>
              </w:rPr>
              <w:t>分（北京时间）</w:t>
            </w:r>
          </w:p>
          <w:p w14:paraId="6F17C62A">
            <w:pPr>
              <w:keepNext w:val="0"/>
              <w:keepLines w:val="0"/>
              <w:widowControl/>
              <w:suppressLineNumbers w:val="0"/>
              <w:jc w:val="left"/>
              <w:rPr>
                <w:rFonts w:hint="eastAsia" w:ascii="仿宋" w:hAnsi="仿宋" w:eastAsia="仿宋" w:cs="仿宋"/>
                <w:sz w:val="24"/>
                <w:highlight w:val="none"/>
              </w:rPr>
            </w:pPr>
            <w:r>
              <w:rPr>
                <w:rFonts w:hint="eastAsia" w:ascii="仿宋" w:hAnsi="仿宋" w:eastAsia="仿宋" w:cs="仿宋"/>
                <w:color w:val="auto"/>
                <w:sz w:val="24"/>
                <w:highlight w:val="none"/>
              </w:rPr>
              <w:t>开标地点：</w:t>
            </w:r>
            <w:r>
              <w:rPr>
                <w:rFonts w:hint="eastAsia" w:ascii="仿宋" w:hAnsi="仿宋" w:eastAsia="仿宋" w:cs="仿宋"/>
                <w:color w:val="000000"/>
                <w:kern w:val="0"/>
                <w:sz w:val="24"/>
                <w:szCs w:val="24"/>
                <w:highlight w:val="none"/>
                <w:lang w:val="en-US" w:eastAsia="zh-CN" w:bidi="ar"/>
              </w:rPr>
              <w:t>（https://login.zcygov.cn/user-login/#/login）</w:t>
            </w:r>
          </w:p>
        </w:tc>
      </w:tr>
      <w:tr w14:paraId="193F7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0" w:hRule="atLeast"/>
        </w:trPr>
        <w:tc>
          <w:tcPr>
            <w:tcW w:w="1231" w:type="dxa"/>
            <w:noWrap w:val="0"/>
            <w:vAlign w:val="center"/>
          </w:tcPr>
          <w:p w14:paraId="06D7182D">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23.2</w:t>
            </w:r>
          </w:p>
        </w:tc>
        <w:tc>
          <w:tcPr>
            <w:tcW w:w="7436" w:type="dxa"/>
            <w:noWrap w:val="0"/>
            <w:vAlign w:val="center"/>
          </w:tcPr>
          <w:p w14:paraId="16878AEA">
            <w:pPr>
              <w:spacing w:line="240" w:lineRule="atLeast"/>
              <w:rPr>
                <w:rFonts w:hint="eastAsia" w:ascii="仿宋" w:hAnsi="仿宋" w:eastAsia="仿宋" w:cs="仿宋"/>
                <w:sz w:val="24"/>
              </w:rPr>
            </w:pPr>
            <w:r>
              <w:rPr>
                <w:rFonts w:hint="eastAsia" w:ascii="仿宋" w:hAnsi="仿宋" w:eastAsia="仿宋" w:cs="仿宋"/>
                <w:sz w:val="24"/>
              </w:rPr>
              <w:t>本项目评标方法：1、磋商小组采用综合评分法对提交最后报价的投标人的响应文件和最后报价进行综合评分。综合评分法评审标准中的分值设置与评审因素的量化指标相对应。</w:t>
            </w:r>
          </w:p>
          <w:p w14:paraId="48794636">
            <w:pPr>
              <w:spacing w:line="240" w:lineRule="atLeast"/>
              <w:rPr>
                <w:rFonts w:hint="eastAsia" w:ascii="仿宋" w:hAnsi="仿宋" w:eastAsia="仿宋" w:cs="仿宋"/>
                <w:i/>
                <w:sz w:val="24"/>
              </w:rPr>
            </w:pPr>
            <w:r>
              <w:rPr>
                <w:rFonts w:hint="eastAsia" w:ascii="仿宋" w:hAnsi="仿宋" w:eastAsia="仿宋" w:cs="仿宋"/>
                <w:sz w:val="24"/>
              </w:rPr>
              <w:t>2、评审时，磋商小组各成员独立对每个有效响应的文件进行评价、打分，然后汇总每个投标人每项评分因素的得分。　　　　　</w:t>
            </w:r>
          </w:p>
        </w:tc>
      </w:tr>
      <w:tr w14:paraId="08288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2" w:hRule="atLeast"/>
        </w:trPr>
        <w:tc>
          <w:tcPr>
            <w:tcW w:w="1231" w:type="dxa"/>
            <w:noWrap w:val="0"/>
            <w:vAlign w:val="center"/>
          </w:tcPr>
          <w:p w14:paraId="0AFF1A1C">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27</w:t>
            </w:r>
          </w:p>
        </w:tc>
        <w:tc>
          <w:tcPr>
            <w:tcW w:w="7436" w:type="dxa"/>
            <w:noWrap w:val="0"/>
            <w:vAlign w:val="center"/>
          </w:tcPr>
          <w:p w14:paraId="4513319E">
            <w:pPr>
              <w:spacing w:line="240" w:lineRule="atLeast"/>
              <w:rPr>
                <w:rFonts w:hint="eastAsia" w:ascii="仿宋" w:hAnsi="仿宋" w:eastAsia="仿宋" w:cs="仿宋"/>
                <w:sz w:val="24"/>
              </w:rPr>
            </w:pPr>
            <w:r>
              <w:rPr>
                <w:rFonts w:hint="eastAsia" w:ascii="仿宋" w:hAnsi="仿宋" w:eastAsia="仿宋" w:cs="仿宋"/>
                <w:sz w:val="24"/>
              </w:rPr>
              <w:t>招标人委托评标委员会直接确定推荐中标候选供应商的数量：</w:t>
            </w:r>
            <w:r>
              <w:rPr>
                <w:rFonts w:hint="eastAsia" w:ascii="仿宋" w:hAnsi="仿宋" w:eastAsia="仿宋" w:cs="仿宋"/>
                <w:sz w:val="24"/>
                <w:u w:val="single"/>
              </w:rPr>
              <w:t>3家</w:t>
            </w:r>
          </w:p>
        </w:tc>
      </w:tr>
      <w:tr w14:paraId="72153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4" w:hRule="atLeast"/>
        </w:trPr>
        <w:tc>
          <w:tcPr>
            <w:tcW w:w="1231" w:type="dxa"/>
            <w:noWrap w:val="0"/>
            <w:vAlign w:val="center"/>
          </w:tcPr>
          <w:p w14:paraId="18BE4D2F">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31.1</w:t>
            </w:r>
          </w:p>
        </w:tc>
        <w:tc>
          <w:tcPr>
            <w:tcW w:w="7436" w:type="dxa"/>
            <w:noWrap w:val="0"/>
            <w:vAlign w:val="center"/>
          </w:tcPr>
          <w:p w14:paraId="16A7C8A8">
            <w:pPr>
              <w:spacing w:line="240" w:lineRule="atLeast"/>
              <w:rPr>
                <w:rFonts w:hint="eastAsia" w:ascii="仿宋" w:hAnsi="仿宋" w:eastAsia="仿宋" w:cs="仿宋"/>
                <w:sz w:val="24"/>
              </w:rPr>
            </w:pPr>
            <w:r>
              <w:rPr>
                <w:rFonts w:hint="eastAsia" w:ascii="仿宋" w:hAnsi="仿宋" w:eastAsia="仿宋" w:cs="仿宋"/>
                <w:sz w:val="24"/>
              </w:rPr>
              <w:t>履约保证金金额：不超过合同总价金额的10%</w:t>
            </w:r>
          </w:p>
          <w:p w14:paraId="78ACAEE3">
            <w:pPr>
              <w:spacing w:line="240" w:lineRule="atLeast"/>
              <w:rPr>
                <w:rFonts w:hint="eastAsia" w:ascii="仿宋" w:hAnsi="仿宋" w:eastAsia="仿宋" w:cs="仿宋"/>
                <w:sz w:val="24"/>
                <w:u w:val="single"/>
              </w:rPr>
            </w:pPr>
            <w:r>
              <w:rPr>
                <w:rFonts w:hint="eastAsia" w:ascii="仿宋" w:hAnsi="仿宋" w:eastAsia="仿宋" w:cs="仿宋"/>
                <w:sz w:val="24"/>
              </w:rPr>
              <w:t>履约保证金形式：</w:t>
            </w:r>
            <w:r>
              <w:rPr>
                <w:rFonts w:hint="eastAsia" w:ascii="仿宋" w:hAnsi="仿宋" w:eastAsia="仿宋" w:cs="仿宋"/>
                <w:sz w:val="24"/>
                <w:u w:val="single"/>
              </w:rPr>
              <w:t>公对公转账</w:t>
            </w:r>
          </w:p>
          <w:p w14:paraId="3F77287F">
            <w:pPr>
              <w:spacing w:line="240" w:lineRule="atLeast"/>
              <w:rPr>
                <w:rFonts w:hint="eastAsia" w:ascii="仿宋" w:hAnsi="仿宋" w:eastAsia="仿宋" w:cs="仿宋"/>
                <w:sz w:val="24"/>
                <w:u w:val="single"/>
              </w:rPr>
            </w:pPr>
            <w:r>
              <w:rPr>
                <w:rFonts w:hint="eastAsia" w:ascii="仿宋" w:hAnsi="仿宋" w:eastAsia="仿宋" w:cs="仿宋"/>
                <w:sz w:val="24"/>
              </w:rPr>
              <w:t>提交履约保证金的时间：</w:t>
            </w:r>
            <w:r>
              <w:rPr>
                <w:rFonts w:hint="eastAsia" w:ascii="仿宋" w:hAnsi="仿宋" w:eastAsia="仿宋" w:cs="仿宋"/>
                <w:sz w:val="24"/>
                <w:lang w:val="zh-CN"/>
              </w:rPr>
              <w:t>中标、成交通知书发放后，政府采购合同签订前。</w:t>
            </w:r>
          </w:p>
        </w:tc>
      </w:tr>
      <w:tr w14:paraId="19FB2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5" w:hRule="atLeast"/>
        </w:trPr>
        <w:tc>
          <w:tcPr>
            <w:tcW w:w="1231" w:type="dxa"/>
            <w:noWrap w:val="0"/>
            <w:vAlign w:val="center"/>
          </w:tcPr>
          <w:p w14:paraId="7D25F27C">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32</w:t>
            </w:r>
          </w:p>
        </w:tc>
        <w:tc>
          <w:tcPr>
            <w:tcW w:w="7436" w:type="dxa"/>
            <w:noWrap w:val="0"/>
            <w:vAlign w:val="center"/>
          </w:tcPr>
          <w:p w14:paraId="79A603BF">
            <w:pPr>
              <w:spacing w:line="240" w:lineRule="atLeast"/>
              <w:rPr>
                <w:rFonts w:hint="eastAsia" w:ascii="仿宋" w:hAnsi="仿宋" w:eastAsia="仿宋" w:cs="仿宋"/>
                <w:sz w:val="24"/>
              </w:rPr>
            </w:pPr>
            <w:r>
              <w:rPr>
                <w:rFonts w:hint="eastAsia" w:ascii="仿宋" w:hAnsi="仿宋" w:eastAsia="仿宋" w:cs="仿宋"/>
                <w:sz w:val="24"/>
              </w:rPr>
              <w:t>中标服务费：本项目不收取中标服务费</w:t>
            </w:r>
          </w:p>
        </w:tc>
      </w:tr>
      <w:tr w14:paraId="1AC79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5" w:hRule="atLeast"/>
        </w:trPr>
        <w:tc>
          <w:tcPr>
            <w:tcW w:w="1231" w:type="dxa"/>
            <w:noWrap w:val="0"/>
            <w:vAlign w:val="center"/>
          </w:tcPr>
          <w:p w14:paraId="7B88C834">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33.1</w:t>
            </w:r>
          </w:p>
        </w:tc>
        <w:tc>
          <w:tcPr>
            <w:tcW w:w="7436" w:type="dxa"/>
            <w:noWrap w:val="0"/>
            <w:vAlign w:val="center"/>
          </w:tcPr>
          <w:p w14:paraId="6CF87824">
            <w:pPr>
              <w:spacing w:line="240" w:lineRule="atLeast"/>
              <w:rPr>
                <w:rFonts w:hint="eastAsia" w:ascii="仿宋" w:hAnsi="仿宋" w:eastAsia="仿宋" w:cs="仿宋"/>
                <w:sz w:val="24"/>
              </w:rPr>
            </w:pPr>
            <w:r>
              <w:rPr>
                <w:rFonts w:hint="eastAsia" w:ascii="仿宋" w:hAnsi="仿宋" w:eastAsia="仿宋" w:cs="仿宋"/>
                <w:sz w:val="24"/>
              </w:rPr>
              <w:t xml:space="preserve">本项目是否属于信用担保试点范围：否 </w:t>
            </w:r>
          </w:p>
        </w:tc>
      </w:tr>
      <w:tr w14:paraId="6B3920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8" w:hRule="atLeast"/>
        </w:trPr>
        <w:tc>
          <w:tcPr>
            <w:tcW w:w="1231" w:type="dxa"/>
            <w:noWrap w:val="0"/>
            <w:vAlign w:val="center"/>
          </w:tcPr>
          <w:p w14:paraId="3F780201">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33.2</w:t>
            </w:r>
          </w:p>
        </w:tc>
        <w:tc>
          <w:tcPr>
            <w:tcW w:w="7436" w:type="dxa"/>
            <w:noWrap w:val="0"/>
            <w:vAlign w:val="center"/>
          </w:tcPr>
          <w:p w14:paraId="7B1BF6CB">
            <w:pPr>
              <w:spacing w:line="240" w:lineRule="atLeast"/>
              <w:rPr>
                <w:rFonts w:hint="eastAsia" w:ascii="仿宋" w:hAnsi="仿宋" w:eastAsia="仿宋" w:cs="仿宋"/>
                <w:sz w:val="24"/>
              </w:rPr>
            </w:pPr>
            <w:r>
              <w:rPr>
                <w:rFonts w:hint="eastAsia" w:ascii="仿宋" w:hAnsi="仿宋" w:eastAsia="仿宋" w:cs="仿宋"/>
                <w:sz w:val="24"/>
              </w:rPr>
              <w:t>政府采购专业担保机构：无</w:t>
            </w:r>
          </w:p>
          <w:p w14:paraId="171D6897">
            <w:pPr>
              <w:spacing w:line="240" w:lineRule="atLeast"/>
              <w:ind w:left="-48" w:leftChars="-23" w:firstLine="48" w:firstLineChars="20"/>
              <w:rPr>
                <w:rFonts w:hint="eastAsia" w:ascii="仿宋" w:hAnsi="仿宋" w:eastAsia="仿宋" w:cs="仿宋"/>
                <w:sz w:val="24"/>
              </w:rPr>
            </w:pPr>
            <w:r>
              <w:rPr>
                <w:rFonts w:hint="eastAsia" w:ascii="仿宋" w:hAnsi="仿宋" w:eastAsia="仿宋" w:cs="仿宋"/>
                <w:sz w:val="24"/>
              </w:rPr>
              <w:t>本项目采购人本级和上级财政部门政府采购有关规定增加的担保机构：无</w:t>
            </w:r>
          </w:p>
        </w:tc>
      </w:tr>
      <w:tr w14:paraId="4B45D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5" w:hRule="atLeast"/>
        </w:trPr>
        <w:tc>
          <w:tcPr>
            <w:tcW w:w="1231" w:type="dxa"/>
            <w:noWrap w:val="0"/>
            <w:vAlign w:val="center"/>
          </w:tcPr>
          <w:p w14:paraId="59E394DA">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34.3</w:t>
            </w:r>
          </w:p>
        </w:tc>
        <w:tc>
          <w:tcPr>
            <w:tcW w:w="7436" w:type="dxa"/>
            <w:noWrap w:val="0"/>
            <w:vAlign w:val="center"/>
          </w:tcPr>
          <w:p w14:paraId="6E3B621E">
            <w:pPr>
              <w:spacing w:line="240" w:lineRule="atLeast"/>
              <w:ind w:left="710" w:leftChars="-23" w:hanging="758" w:hangingChars="316"/>
              <w:rPr>
                <w:rFonts w:hint="eastAsia" w:ascii="仿宋" w:hAnsi="仿宋" w:eastAsia="仿宋" w:cs="仿宋"/>
                <w:sz w:val="24"/>
              </w:rPr>
            </w:pPr>
            <w:r>
              <w:rPr>
                <w:rFonts w:hint="eastAsia" w:ascii="仿宋" w:hAnsi="仿宋" w:eastAsia="仿宋" w:cs="仿宋"/>
                <w:sz w:val="24"/>
              </w:rPr>
              <w:t>反腐倡廉监督电话/邮箱：</w:t>
            </w:r>
            <w:r>
              <w:rPr>
                <w:rFonts w:hint="eastAsia" w:ascii="仿宋" w:hAnsi="仿宋" w:eastAsia="仿宋" w:cs="仿宋"/>
                <w:sz w:val="24"/>
                <w:u w:val="single"/>
              </w:rPr>
              <w:t>0998-6722230</w:t>
            </w:r>
          </w:p>
        </w:tc>
      </w:tr>
      <w:tr w14:paraId="41910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4" w:hRule="atLeast"/>
        </w:trPr>
        <w:tc>
          <w:tcPr>
            <w:tcW w:w="1231" w:type="dxa"/>
            <w:noWrap w:val="0"/>
            <w:vAlign w:val="center"/>
          </w:tcPr>
          <w:p w14:paraId="35587368">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36.3</w:t>
            </w:r>
          </w:p>
        </w:tc>
        <w:tc>
          <w:tcPr>
            <w:tcW w:w="7436" w:type="dxa"/>
            <w:noWrap w:val="0"/>
            <w:vAlign w:val="center"/>
          </w:tcPr>
          <w:p w14:paraId="6DC7EB46">
            <w:pPr>
              <w:spacing w:line="240" w:lineRule="atLeast"/>
              <w:ind w:left="710" w:leftChars="-23" w:hanging="758" w:hangingChars="316"/>
              <w:rPr>
                <w:rFonts w:hint="eastAsia" w:ascii="仿宋" w:hAnsi="仿宋" w:eastAsia="仿宋" w:cs="仿宋"/>
                <w:sz w:val="24"/>
                <w:u w:val="single"/>
              </w:rPr>
            </w:pPr>
            <w:r>
              <w:rPr>
                <w:rFonts w:hint="eastAsia" w:ascii="仿宋" w:hAnsi="仿宋" w:eastAsia="仿宋" w:cs="仿宋"/>
                <w:sz w:val="24"/>
              </w:rPr>
              <w:t>接收部门：</w:t>
            </w:r>
            <w:r>
              <w:rPr>
                <w:rFonts w:hint="eastAsia" w:ascii="仿宋" w:hAnsi="仿宋" w:eastAsia="仿宋" w:cs="仿宋"/>
                <w:sz w:val="24"/>
                <w:u w:val="single"/>
              </w:rPr>
              <w:t>伽师县政府采购管理办公室</w:t>
            </w:r>
          </w:p>
          <w:p w14:paraId="2DECE37F">
            <w:pPr>
              <w:spacing w:line="240" w:lineRule="atLeast"/>
              <w:ind w:left="710" w:leftChars="-23" w:hanging="758" w:hangingChars="316"/>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lang w:val="en-US" w:eastAsia="zh-CN"/>
              </w:rPr>
              <w:t>15384946619</w:t>
            </w:r>
          </w:p>
          <w:p w14:paraId="1909571E">
            <w:pPr>
              <w:spacing w:line="240" w:lineRule="atLeast"/>
              <w:ind w:left="710" w:leftChars="-23" w:hanging="758" w:hangingChars="316"/>
              <w:rPr>
                <w:rFonts w:hint="eastAsia" w:ascii="仿宋" w:hAnsi="仿宋" w:eastAsia="仿宋" w:cs="仿宋"/>
                <w:sz w:val="24"/>
              </w:rPr>
            </w:pPr>
            <w:r>
              <w:rPr>
                <w:rFonts w:hint="eastAsia" w:ascii="仿宋" w:hAnsi="仿宋" w:eastAsia="仿宋" w:cs="仿宋"/>
                <w:sz w:val="24"/>
              </w:rPr>
              <w:t>通讯地址：</w:t>
            </w:r>
            <w:r>
              <w:rPr>
                <w:rFonts w:hint="eastAsia" w:ascii="仿宋" w:hAnsi="仿宋" w:eastAsia="仿宋" w:cs="仿宋"/>
                <w:sz w:val="24"/>
                <w:u w:val="single"/>
              </w:rPr>
              <w:t xml:space="preserve">伽师县行政审批局四楼 </w:t>
            </w:r>
          </w:p>
        </w:tc>
      </w:tr>
    </w:tbl>
    <w:p w14:paraId="6402DB8D">
      <w:pPr>
        <w:pStyle w:val="17"/>
        <w:rPr>
          <w:rFonts w:hint="eastAsia" w:ascii="仿宋" w:hAnsi="仿宋" w:eastAsia="仿宋" w:cs="仿宋"/>
        </w:rPr>
        <w:sectPr>
          <w:headerReference r:id="rId6" w:type="default"/>
          <w:footerReference r:id="rId7" w:type="default"/>
          <w:pgSz w:w="11906" w:h="16838"/>
          <w:pgMar w:top="1440" w:right="1570" w:bottom="1440" w:left="1570" w:header="851" w:footer="992" w:gutter="0"/>
          <w:pgNumType w:fmt="decimal"/>
          <w:cols w:space="720" w:num="1"/>
          <w:docGrid w:linePitch="312" w:charSpace="0"/>
        </w:sectPr>
      </w:pPr>
      <w:bookmarkStart w:id="589" w:name="_Toc216582811"/>
      <w:bookmarkStart w:id="590" w:name="_Toc219175635"/>
      <w:bookmarkStart w:id="591" w:name="_Toc218935351"/>
      <w:bookmarkStart w:id="592" w:name="_Toc216513787"/>
    </w:p>
    <w:bookmarkEnd w:id="589"/>
    <w:bookmarkEnd w:id="590"/>
    <w:bookmarkEnd w:id="591"/>
    <w:bookmarkEnd w:id="592"/>
    <w:p w14:paraId="422EA758">
      <w:pPr>
        <w:pStyle w:val="2"/>
        <w:tabs>
          <w:tab w:val="left" w:pos="0"/>
        </w:tabs>
        <w:spacing w:before="0" w:after="0" w:line="240" w:lineRule="atLeast"/>
        <w:rPr>
          <w:rFonts w:hint="eastAsia" w:ascii="仿宋" w:hAnsi="仿宋" w:eastAsia="仿宋" w:cs="仿宋"/>
          <w:b/>
          <w:bCs/>
          <w:sz w:val="24"/>
          <w:szCs w:val="24"/>
        </w:rPr>
      </w:pPr>
      <w:bookmarkStart w:id="593" w:name="_Toc9887"/>
      <w:bookmarkStart w:id="594" w:name="_Toc9032"/>
      <w:bookmarkStart w:id="595" w:name="_Toc512937852"/>
      <w:bookmarkStart w:id="596" w:name="_Toc22779"/>
      <w:bookmarkStart w:id="597" w:name="_Toc30239"/>
      <w:bookmarkStart w:id="598" w:name="_Toc5208"/>
      <w:bookmarkStart w:id="599" w:name="_Toc507399906"/>
      <w:bookmarkStart w:id="600" w:name="_Toc219175638"/>
      <w:bookmarkStart w:id="601" w:name="_Toc218935354"/>
      <w:bookmarkStart w:id="602" w:name="_Toc19608"/>
      <w:bookmarkStart w:id="603" w:name="_Toc515647831"/>
      <w:bookmarkStart w:id="604" w:name="_Toc216582825"/>
      <w:r>
        <w:rPr>
          <w:rFonts w:hint="eastAsia" w:ascii="仿宋" w:hAnsi="仿宋" w:eastAsia="仿宋" w:cs="仿宋"/>
          <w:b/>
          <w:bCs/>
          <w:sz w:val="44"/>
          <w:szCs w:val="44"/>
        </w:rPr>
        <w:t xml:space="preserve">第五章  </w:t>
      </w:r>
      <w:r>
        <w:rPr>
          <w:rFonts w:hint="eastAsia" w:ascii="仿宋" w:hAnsi="仿宋" w:eastAsia="仿宋" w:cs="仿宋"/>
          <w:b/>
          <w:bCs/>
          <w:sz w:val="44"/>
          <w:szCs w:val="44"/>
          <w:lang w:eastAsia="zh-CN"/>
        </w:rPr>
        <w:t>服务</w:t>
      </w:r>
      <w:r>
        <w:rPr>
          <w:rFonts w:hint="eastAsia" w:ascii="仿宋" w:hAnsi="仿宋" w:eastAsia="仿宋" w:cs="仿宋"/>
          <w:b/>
          <w:bCs/>
          <w:sz w:val="44"/>
          <w:szCs w:val="44"/>
        </w:rPr>
        <w:t>需求一览表及技术规格</w:t>
      </w:r>
      <w:bookmarkEnd w:id="593"/>
      <w:bookmarkEnd w:id="594"/>
      <w:bookmarkEnd w:id="595"/>
      <w:bookmarkEnd w:id="596"/>
      <w:bookmarkEnd w:id="597"/>
      <w:bookmarkEnd w:id="598"/>
      <w:bookmarkEnd w:id="599"/>
      <w:bookmarkEnd w:id="600"/>
      <w:bookmarkEnd w:id="601"/>
      <w:bookmarkEnd w:id="602"/>
      <w:bookmarkEnd w:id="603"/>
      <w:bookmarkEnd w:id="604"/>
    </w:p>
    <w:p w14:paraId="294E964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w:t>
      </w:r>
      <w:r>
        <w:rPr>
          <w:rFonts w:hint="eastAsia" w:ascii="仿宋" w:hAnsi="仿宋" w:eastAsia="仿宋" w:cs="仿宋"/>
          <w:b/>
          <w:bCs/>
          <w:sz w:val="24"/>
          <w:szCs w:val="24"/>
        </w:rPr>
        <w:t>项目名称：</w:t>
      </w:r>
      <w:r>
        <w:rPr>
          <w:rFonts w:hint="eastAsia" w:ascii="仿宋" w:hAnsi="仿宋" w:eastAsia="仿宋" w:cs="仿宋"/>
          <w:b/>
          <w:bCs/>
          <w:sz w:val="24"/>
          <w:szCs w:val="24"/>
          <w:lang w:val="en-US" w:eastAsia="zh-CN"/>
        </w:rPr>
        <w:t>伽师县市场监督管理局食品安全抽检服务项目</w:t>
      </w:r>
    </w:p>
    <w:p w14:paraId="51ABF4C8">
      <w:pPr>
        <w:keepNext w:val="0"/>
        <w:keepLines w:val="0"/>
        <w:pageBreakBefore w:val="0"/>
        <w:widowControl w:val="0"/>
        <w:kinsoku/>
        <w:wordWrap/>
        <w:overflowPunct/>
        <w:topLinePunct w:val="0"/>
        <w:autoSpaceDE/>
        <w:autoSpaceDN/>
        <w:bidi w:val="0"/>
        <w:adjustRightInd/>
        <w:snapToGrid/>
        <w:spacing w:line="460" w:lineRule="exact"/>
        <w:ind w:left="-48" w:leftChars="-23" w:firstLine="530" w:firstLineChars="220"/>
        <w:textAlignment w:val="auto"/>
        <w:outlineLvl w:val="9"/>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项目编号：</w:t>
      </w:r>
      <w:r>
        <w:rPr>
          <w:rFonts w:hint="eastAsia" w:ascii="仿宋" w:hAnsi="仿宋" w:eastAsia="仿宋" w:cs="仿宋"/>
          <w:b/>
          <w:bCs/>
          <w:sz w:val="24"/>
          <w:szCs w:val="24"/>
          <w:lang w:val="en-US" w:eastAsia="zh-CN"/>
        </w:rPr>
        <w:t>KSJSX(CS)2025-24</w:t>
      </w:r>
    </w:p>
    <w:p w14:paraId="707F2BD4">
      <w:pPr>
        <w:keepNext/>
        <w:keepLines/>
        <w:pageBreakBefore w:val="0"/>
        <w:widowControl/>
        <w:kinsoku/>
        <w:wordWrap/>
        <w:overflowPunct/>
        <w:topLinePunct w:val="0"/>
        <w:autoSpaceDE/>
        <w:autoSpaceDN/>
        <w:bidi w:val="0"/>
        <w:adjustRightInd/>
        <w:snapToGrid/>
        <w:spacing w:before="0" w:after="0" w:line="500" w:lineRule="exact"/>
        <w:ind w:left="0" w:leftChars="0" w:firstLine="0" w:firstLineChars="0"/>
        <w:jc w:val="both"/>
        <w:textAlignment w:val="auto"/>
        <w:outlineLvl w:val="9"/>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二、采购需求：</w:t>
      </w:r>
    </w:p>
    <w:p w14:paraId="25F9401C">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00" w:lineRule="atLeast"/>
        <w:ind w:left="0" w:firstLine="560" w:firstLineChars="200"/>
        <w:jc w:val="both"/>
        <w:textAlignment w:val="auto"/>
        <w:outlineLvl w:val="9"/>
        <w:rPr>
          <w:rFonts w:hint="eastAsia" w:ascii="仿宋" w:hAnsi="仿宋" w:eastAsia="仿宋" w:cs="仿宋"/>
          <w:color w:val="000000"/>
          <w:kern w:val="0"/>
          <w:sz w:val="28"/>
          <w:szCs w:val="28"/>
          <w:highlight w:val="none"/>
          <w:lang w:val="en-US" w:eastAsia="zh-CN" w:bidi="ar-SA"/>
        </w:rPr>
      </w:pPr>
      <w:bookmarkStart w:id="605" w:name="_Toc29388"/>
      <w:bookmarkStart w:id="606" w:name="_Toc3256"/>
      <w:bookmarkStart w:id="607" w:name="_Toc22903"/>
      <w:r>
        <w:rPr>
          <w:rFonts w:hint="eastAsia" w:ascii="仿宋" w:hAnsi="仿宋" w:eastAsia="仿宋" w:cs="仿宋"/>
          <w:color w:val="000000"/>
          <w:kern w:val="0"/>
          <w:sz w:val="28"/>
          <w:szCs w:val="28"/>
          <w:highlight w:val="none"/>
          <w:lang w:val="en-US" w:eastAsia="zh-CN" w:bidi="ar-SA"/>
        </w:rPr>
        <w:t>1、伽师县级食品安全监督抽检总任务量668批次，计划完成食用农产品抽检任务668批次。严格按照地区市场监督管理局2025年食品安全抽检监测计划要求落实，于2025年12月31日前完成所有抽检任务，</w:t>
      </w:r>
      <w:r>
        <w:rPr>
          <w:rFonts w:hint="eastAsia" w:ascii="仿宋" w:hAnsi="仿宋" w:eastAsia="仿宋" w:cs="仿宋"/>
          <w:b w:val="0"/>
          <w:bCs w:val="0"/>
          <w:color w:val="000000"/>
          <w:kern w:val="0"/>
          <w:sz w:val="28"/>
          <w:szCs w:val="28"/>
          <w:highlight w:val="none"/>
          <w:lang w:val="en-US" w:eastAsia="zh-CN" w:bidi="ar-SA"/>
        </w:rPr>
        <w:t>完成全部数</w:t>
      </w:r>
      <w:r>
        <w:rPr>
          <w:rFonts w:hint="eastAsia" w:ascii="仿宋" w:hAnsi="仿宋" w:eastAsia="仿宋" w:cs="仿宋"/>
          <w:color w:val="000000"/>
          <w:kern w:val="0"/>
          <w:sz w:val="28"/>
          <w:szCs w:val="28"/>
          <w:highlight w:val="none"/>
          <w:lang w:val="en-US" w:eastAsia="zh-CN" w:bidi="ar-SA"/>
        </w:rPr>
        <w:t>据上报，出具检验报告。具体详见附件及附表。</w:t>
      </w:r>
    </w:p>
    <w:p w14:paraId="0718FC29">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00" w:lineRule="atLeast"/>
        <w:ind w:left="0" w:firstLine="560" w:firstLineChars="200"/>
        <w:jc w:val="both"/>
        <w:textAlignment w:val="auto"/>
        <w:outlineLvl w:val="9"/>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2.服务地点：伽师县。</w:t>
      </w:r>
    </w:p>
    <w:p w14:paraId="0E548CB7">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00" w:lineRule="atLeast"/>
        <w:ind w:left="0" w:firstLine="560" w:firstLineChars="200"/>
        <w:jc w:val="both"/>
        <w:textAlignment w:val="auto"/>
        <w:outlineLvl w:val="9"/>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3.付款方式：完成全部检验批次验收合格后付款。</w:t>
      </w:r>
    </w:p>
    <w:p w14:paraId="530E7D8E">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00" w:lineRule="atLeast"/>
        <w:ind w:left="0" w:firstLine="560" w:firstLineChars="200"/>
        <w:jc w:val="both"/>
        <w:textAlignment w:val="auto"/>
        <w:outlineLvl w:val="9"/>
        <w:rPr>
          <w:rFonts w:hint="default"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4.服务期：2025年12月31日前</w:t>
      </w:r>
    </w:p>
    <w:p w14:paraId="2C02747B">
      <w:pPr>
        <w:keepNext w:val="0"/>
        <w:keepLines w:val="0"/>
        <w:pageBreakBefore w:val="0"/>
        <w:kinsoku/>
        <w:wordWrap/>
        <w:overflowPunct/>
        <w:topLinePunct w:val="0"/>
        <w:bidi w:val="0"/>
        <w:spacing w:line="560" w:lineRule="exact"/>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六、合同签订时间及地点：</w:t>
      </w:r>
    </w:p>
    <w:p w14:paraId="4C1B4E2D">
      <w:pPr>
        <w:keepNext w:val="0"/>
        <w:keepLines w:val="0"/>
        <w:pageBreakBefore w:val="0"/>
        <w:kinsoku/>
        <w:wordWrap/>
        <w:overflowPunct/>
        <w:topLinePunct w:val="0"/>
        <w:bidi w:val="0"/>
        <w:spacing w:line="560" w:lineRule="exact"/>
        <w:ind w:firstLine="482" w:firstLineChars="200"/>
        <w:textAlignment w:val="auto"/>
        <w:outlineLvl w:val="9"/>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b/>
          <w:bCs/>
          <w:sz w:val="24"/>
          <w:szCs w:val="24"/>
        </w:rPr>
        <w:t>时间：</w:t>
      </w:r>
      <w:r>
        <w:rPr>
          <w:rFonts w:hint="eastAsia" w:ascii="仿宋" w:hAnsi="仿宋" w:eastAsia="仿宋" w:cs="仿宋"/>
          <w:sz w:val="24"/>
          <w:szCs w:val="24"/>
        </w:rPr>
        <w:t>采</w:t>
      </w:r>
      <w:r>
        <w:rPr>
          <w:rFonts w:hint="eastAsia" w:ascii="仿宋" w:hAnsi="仿宋" w:eastAsia="仿宋" w:cs="仿宋"/>
          <w:snapToGrid w:val="0"/>
          <w:color w:val="000000"/>
          <w:kern w:val="0"/>
          <w:sz w:val="24"/>
          <w:szCs w:val="24"/>
          <w:lang w:val="en-US" w:eastAsia="zh-CN" w:bidi="ar-SA"/>
        </w:rPr>
        <w:t>购人应当在中标公示期满后签订书面合同，按照招标文件和中标人投标文件的规定，与中标人签订书面合同。所签订的合同不得对招标文件确定的事项和中标人投标文件作实质性修改。</w:t>
      </w:r>
    </w:p>
    <w:p w14:paraId="4304F9FA">
      <w:pPr>
        <w:pStyle w:val="37"/>
        <w:keepNext w:val="0"/>
        <w:keepLines w:val="0"/>
        <w:pageBreakBefore w:val="0"/>
        <w:kinsoku/>
        <w:wordWrap/>
        <w:overflowPunct/>
        <w:topLinePunct w:val="0"/>
        <w:bidi w:val="0"/>
        <w:spacing w:line="560" w:lineRule="exact"/>
        <w:ind w:firstLine="482" w:firstLineChars="200"/>
        <w:jc w:val="both"/>
        <w:textAlignment w:val="auto"/>
        <w:outlineLvl w:val="9"/>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b/>
          <w:bCs/>
          <w:snapToGrid w:val="0"/>
          <w:color w:val="000000"/>
          <w:kern w:val="0"/>
          <w:sz w:val="24"/>
          <w:szCs w:val="24"/>
          <w:lang w:val="en-US" w:eastAsia="zh-CN" w:bidi="ar-SA"/>
        </w:rPr>
        <w:t>地点：</w:t>
      </w:r>
      <w:r>
        <w:rPr>
          <w:rFonts w:hint="eastAsia" w:ascii="仿宋" w:hAnsi="仿宋" w:eastAsia="仿宋" w:cs="仿宋"/>
          <w:snapToGrid w:val="0"/>
          <w:color w:val="000000"/>
          <w:kern w:val="0"/>
          <w:sz w:val="24"/>
          <w:szCs w:val="24"/>
          <w:lang w:val="en-US" w:eastAsia="zh-CN" w:bidi="ar-SA"/>
        </w:rPr>
        <w:t>伽师县市场监督管理局。</w:t>
      </w:r>
    </w:p>
    <w:p w14:paraId="164047F7">
      <w:pPr>
        <w:pStyle w:val="2"/>
        <w:tabs>
          <w:tab w:val="left" w:pos="0"/>
        </w:tabs>
        <w:spacing w:before="0" w:after="0" w:line="240" w:lineRule="atLeast"/>
        <w:rPr>
          <w:rFonts w:hint="eastAsia" w:ascii="仿宋" w:hAnsi="仿宋" w:eastAsia="仿宋" w:cs="仿宋"/>
          <w:b/>
          <w:bCs/>
          <w:snapToGrid w:val="0"/>
          <w:color w:val="auto"/>
          <w:kern w:val="0"/>
          <w:sz w:val="28"/>
          <w:szCs w:val="28"/>
          <w:lang w:val="en-US" w:eastAsia="zh-CN" w:bidi="ar-SA"/>
        </w:rPr>
      </w:pPr>
    </w:p>
    <w:p w14:paraId="3F574B11">
      <w:pPr>
        <w:pStyle w:val="2"/>
        <w:tabs>
          <w:tab w:val="left" w:pos="0"/>
        </w:tabs>
        <w:spacing w:before="0" w:after="0" w:line="240" w:lineRule="atLeast"/>
        <w:rPr>
          <w:rFonts w:hint="eastAsia" w:ascii="仿宋" w:hAnsi="仿宋" w:eastAsia="仿宋" w:cs="仿宋"/>
          <w:b/>
          <w:bCs/>
          <w:snapToGrid w:val="0"/>
          <w:color w:val="auto"/>
          <w:kern w:val="0"/>
          <w:sz w:val="28"/>
          <w:szCs w:val="28"/>
          <w:lang w:val="en-US" w:eastAsia="zh-CN" w:bidi="ar-SA"/>
        </w:rPr>
      </w:pPr>
    </w:p>
    <w:p w14:paraId="46519648">
      <w:pPr>
        <w:bidi w:val="0"/>
        <w:rPr>
          <w:rFonts w:hint="eastAsia"/>
          <w:lang w:val="en-US" w:eastAsia="zh-CN"/>
        </w:rPr>
      </w:pPr>
    </w:p>
    <w:p w14:paraId="74CA3BF7">
      <w:pPr>
        <w:pStyle w:val="2"/>
        <w:tabs>
          <w:tab w:val="left" w:pos="0"/>
        </w:tabs>
        <w:spacing w:before="0" w:after="0" w:line="240" w:lineRule="atLeast"/>
        <w:rPr>
          <w:rFonts w:hint="eastAsia" w:ascii="仿宋" w:hAnsi="仿宋" w:eastAsia="仿宋" w:cs="仿宋"/>
          <w:b/>
          <w:bCs/>
          <w:snapToGrid w:val="0"/>
          <w:color w:val="auto"/>
          <w:kern w:val="0"/>
          <w:sz w:val="28"/>
          <w:szCs w:val="28"/>
          <w:lang w:val="en-US" w:eastAsia="zh-CN" w:bidi="ar-SA"/>
        </w:rPr>
      </w:pPr>
    </w:p>
    <w:p w14:paraId="025FECD8">
      <w:pPr>
        <w:pStyle w:val="2"/>
        <w:tabs>
          <w:tab w:val="left" w:pos="0"/>
        </w:tabs>
        <w:spacing w:before="0" w:after="0" w:line="240" w:lineRule="atLeast"/>
        <w:rPr>
          <w:rFonts w:hint="eastAsia" w:ascii="仿宋" w:hAnsi="仿宋" w:eastAsia="仿宋" w:cs="仿宋"/>
          <w:b/>
          <w:bCs/>
          <w:snapToGrid w:val="0"/>
          <w:color w:val="auto"/>
          <w:kern w:val="0"/>
          <w:sz w:val="28"/>
          <w:szCs w:val="28"/>
          <w:lang w:val="en-US" w:eastAsia="zh-CN" w:bidi="ar-SA"/>
        </w:rPr>
      </w:pPr>
    </w:p>
    <w:p w14:paraId="6120C9C0">
      <w:pPr>
        <w:pStyle w:val="2"/>
        <w:tabs>
          <w:tab w:val="left" w:pos="0"/>
        </w:tabs>
        <w:spacing w:before="0" w:after="0" w:line="240" w:lineRule="atLeast"/>
        <w:rPr>
          <w:rFonts w:hint="eastAsia" w:ascii="仿宋" w:hAnsi="仿宋" w:eastAsia="仿宋" w:cs="仿宋"/>
          <w:b/>
          <w:bCs/>
          <w:snapToGrid w:val="0"/>
          <w:color w:val="auto"/>
          <w:kern w:val="0"/>
          <w:sz w:val="28"/>
          <w:szCs w:val="28"/>
          <w:lang w:val="en-US" w:eastAsia="zh-CN" w:bidi="ar-SA"/>
        </w:rPr>
      </w:pPr>
    </w:p>
    <w:p w14:paraId="0987A026">
      <w:pPr>
        <w:pStyle w:val="2"/>
        <w:tabs>
          <w:tab w:val="left" w:pos="0"/>
        </w:tabs>
        <w:spacing w:before="0" w:after="0" w:line="240" w:lineRule="atLeast"/>
        <w:rPr>
          <w:rFonts w:hint="eastAsia" w:ascii="仿宋" w:hAnsi="仿宋" w:eastAsia="仿宋" w:cs="仿宋"/>
          <w:b/>
          <w:bCs/>
          <w:snapToGrid w:val="0"/>
          <w:color w:val="auto"/>
          <w:kern w:val="0"/>
          <w:sz w:val="28"/>
          <w:szCs w:val="28"/>
          <w:lang w:val="en-US" w:eastAsia="zh-CN" w:bidi="ar-SA"/>
        </w:rPr>
      </w:pPr>
    </w:p>
    <w:p w14:paraId="1BE9A129">
      <w:pPr>
        <w:pStyle w:val="2"/>
        <w:tabs>
          <w:tab w:val="left" w:pos="0"/>
        </w:tabs>
        <w:spacing w:before="0" w:after="0" w:line="240" w:lineRule="atLeast"/>
        <w:rPr>
          <w:rFonts w:hint="eastAsia" w:ascii="仿宋" w:hAnsi="仿宋" w:eastAsia="仿宋" w:cs="仿宋"/>
          <w:b/>
          <w:bCs/>
          <w:sz w:val="44"/>
          <w:szCs w:val="44"/>
          <w:lang w:val="en-US" w:eastAsia="zh-CN"/>
        </w:rPr>
      </w:pPr>
    </w:p>
    <w:p w14:paraId="431B6588">
      <w:pPr>
        <w:pStyle w:val="2"/>
        <w:tabs>
          <w:tab w:val="left" w:pos="0"/>
        </w:tabs>
        <w:spacing w:before="0" w:after="0" w:line="240" w:lineRule="atLeast"/>
        <w:rPr>
          <w:rFonts w:hint="eastAsia" w:ascii="仿宋" w:hAnsi="仿宋" w:eastAsia="仿宋" w:cs="仿宋"/>
          <w:b/>
          <w:bCs/>
          <w:sz w:val="44"/>
          <w:szCs w:val="44"/>
          <w:lang w:val="en-US" w:eastAsia="zh-CN"/>
        </w:rPr>
      </w:pPr>
    </w:p>
    <w:p w14:paraId="50E2B3F3">
      <w:pPr>
        <w:rPr>
          <w:rFonts w:hint="eastAsia"/>
          <w:lang w:val="en-US" w:eastAsia="zh-CN"/>
        </w:rPr>
      </w:pPr>
    </w:p>
    <w:p w14:paraId="096C3D79">
      <w:pPr>
        <w:pStyle w:val="8"/>
        <w:rPr>
          <w:rFonts w:hint="eastAsia"/>
          <w:lang w:val="en-US" w:eastAsia="zh-CN"/>
        </w:rPr>
      </w:pPr>
    </w:p>
    <w:p w14:paraId="72357330">
      <w:pPr>
        <w:rPr>
          <w:rFonts w:hint="eastAsia"/>
          <w:lang w:val="en-US" w:eastAsia="zh-CN"/>
        </w:rPr>
      </w:pPr>
    </w:p>
    <w:p w14:paraId="1D6D7DE1">
      <w:pPr>
        <w:pStyle w:val="8"/>
        <w:rPr>
          <w:rFonts w:hint="eastAsia"/>
          <w:lang w:val="en-US" w:eastAsia="zh-CN"/>
        </w:rPr>
      </w:pPr>
    </w:p>
    <w:p w14:paraId="17C68EE6">
      <w:pPr>
        <w:rPr>
          <w:rFonts w:hint="eastAsia"/>
          <w:lang w:val="en-US" w:eastAsia="zh-CN"/>
        </w:rPr>
      </w:pPr>
    </w:p>
    <w:p w14:paraId="76663AD4">
      <w:pPr>
        <w:pStyle w:val="20"/>
        <w:rPr>
          <w:rFonts w:hint="eastAsia"/>
          <w:lang w:val="en-US" w:eastAsia="zh-CN"/>
        </w:rPr>
      </w:pPr>
    </w:p>
    <w:p w14:paraId="57C661BC">
      <w:pPr>
        <w:pStyle w:val="2"/>
        <w:tabs>
          <w:tab w:val="left" w:pos="0"/>
        </w:tabs>
        <w:spacing w:before="0" w:after="0" w:line="240" w:lineRule="atLeast"/>
        <w:rPr>
          <w:rFonts w:hint="eastAsia" w:ascii="仿宋" w:hAnsi="仿宋" w:eastAsia="仿宋" w:cs="仿宋"/>
          <w:b/>
          <w:bCs/>
          <w:sz w:val="44"/>
          <w:szCs w:val="44"/>
        </w:rPr>
      </w:pPr>
      <w:r>
        <w:rPr>
          <w:rFonts w:hint="eastAsia" w:ascii="仿宋" w:hAnsi="仿宋" w:eastAsia="仿宋" w:cs="仿宋"/>
          <w:b/>
          <w:bCs/>
          <w:sz w:val="44"/>
          <w:szCs w:val="44"/>
          <w:lang w:val="en-US" w:eastAsia="zh-CN"/>
        </w:rPr>
        <w:t xml:space="preserve">第六章  </w:t>
      </w:r>
      <w:bookmarkStart w:id="608" w:name="_Toc515647832"/>
      <w:bookmarkStart w:id="609" w:name="_Toc507399907"/>
      <w:bookmarkStart w:id="610" w:name="_Toc7971"/>
      <w:bookmarkStart w:id="611" w:name="_Toc32647"/>
      <w:bookmarkStart w:id="612" w:name="_Toc23331"/>
      <w:r>
        <w:rPr>
          <w:rFonts w:hint="eastAsia" w:ascii="仿宋" w:hAnsi="仿宋" w:eastAsia="仿宋" w:cs="仿宋"/>
          <w:b/>
          <w:bCs/>
          <w:sz w:val="44"/>
          <w:szCs w:val="44"/>
          <w:lang w:val="en-US" w:eastAsia="zh-CN"/>
        </w:rPr>
        <w:t>评标方法和标准</w:t>
      </w:r>
      <w:bookmarkEnd w:id="605"/>
      <w:bookmarkEnd w:id="606"/>
      <w:bookmarkEnd w:id="607"/>
      <w:bookmarkEnd w:id="608"/>
      <w:bookmarkEnd w:id="609"/>
      <w:bookmarkEnd w:id="610"/>
      <w:bookmarkEnd w:id="611"/>
      <w:bookmarkEnd w:id="612"/>
    </w:p>
    <w:p w14:paraId="05F5152A">
      <w:pPr>
        <w:pStyle w:val="8"/>
        <w:keepNext w:val="0"/>
        <w:keepLines w:val="0"/>
        <w:pageBreakBefore w:val="0"/>
        <w:tabs>
          <w:tab w:val="clear" w:pos="567"/>
        </w:tabs>
        <w:kinsoku/>
        <w:wordWrap/>
        <w:overflowPunct/>
        <w:topLinePunct w:val="0"/>
        <w:bidi w:val="0"/>
        <w:spacing w:before="0" w:line="360" w:lineRule="auto"/>
        <w:ind w:left="-181" w:leftChars="-86" w:firstLine="660" w:firstLineChars="275"/>
        <w:outlineLvl w:val="9"/>
        <w:rPr>
          <w:rFonts w:hint="eastAsia" w:ascii="仿宋" w:hAnsi="仿宋" w:eastAsia="仿宋" w:cs="仿宋"/>
          <w:iCs/>
        </w:rPr>
      </w:pPr>
      <w:r>
        <w:rPr>
          <w:rFonts w:hint="eastAsia" w:ascii="仿宋" w:hAnsi="仿宋" w:eastAsia="仿宋" w:cs="仿宋"/>
          <w:iCs/>
        </w:rPr>
        <w:t>1. 总则</w:t>
      </w:r>
    </w:p>
    <w:p w14:paraId="4A4F5E59">
      <w:pPr>
        <w:pStyle w:val="8"/>
        <w:keepNext w:val="0"/>
        <w:keepLines w:val="0"/>
        <w:pageBreakBefore w:val="0"/>
        <w:tabs>
          <w:tab w:val="clear" w:pos="567"/>
        </w:tabs>
        <w:kinsoku/>
        <w:wordWrap/>
        <w:overflowPunct/>
        <w:topLinePunct w:val="0"/>
        <w:bidi w:val="0"/>
        <w:spacing w:before="0" w:line="360" w:lineRule="auto"/>
        <w:ind w:left="-181" w:leftChars="-86" w:firstLine="660" w:firstLineChars="275"/>
        <w:outlineLvl w:val="9"/>
        <w:rPr>
          <w:rFonts w:hint="eastAsia" w:ascii="仿宋" w:hAnsi="仿宋" w:eastAsia="仿宋" w:cs="仿宋"/>
          <w:iCs/>
        </w:rPr>
      </w:pPr>
      <w:r>
        <w:rPr>
          <w:rFonts w:hint="eastAsia" w:ascii="仿宋" w:hAnsi="仿宋" w:eastAsia="仿宋" w:cs="仿宋"/>
          <w:iCs/>
        </w:rPr>
        <w:t>1.1 根据《中华人民共和国政府采购法》、《中华人民共和国政府采购法实施条例》、《政府采购货物和服务招标投标管理办法（财政部第87号令）》等法律制度，结合采购项目特点制定本评标办法。</w:t>
      </w:r>
    </w:p>
    <w:p w14:paraId="75EEBA98">
      <w:pPr>
        <w:pStyle w:val="8"/>
        <w:keepNext w:val="0"/>
        <w:keepLines w:val="0"/>
        <w:pageBreakBefore w:val="0"/>
        <w:tabs>
          <w:tab w:val="clear" w:pos="567"/>
        </w:tabs>
        <w:kinsoku/>
        <w:wordWrap/>
        <w:overflowPunct/>
        <w:topLinePunct w:val="0"/>
        <w:bidi w:val="0"/>
        <w:spacing w:before="0" w:line="360" w:lineRule="auto"/>
        <w:ind w:left="-181" w:leftChars="-86" w:firstLine="660" w:firstLineChars="275"/>
        <w:outlineLvl w:val="9"/>
        <w:rPr>
          <w:rFonts w:hint="eastAsia" w:ascii="仿宋" w:hAnsi="仿宋" w:eastAsia="仿宋" w:cs="仿宋"/>
          <w:iCs/>
        </w:rPr>
      </w:pPr>
      <w:r>
        <w:rPr>
          <w:rFonts w:hint="eastAsia" w:ascii="仿宋" w:hAnsi="仿宋" w:eastAsia="仿宋" w:cs="仿宋"/>
          <w:iCs/>
        </w:rPr>
        <w:t>1.2 评标工作由采购代理机构负责组织，具体评标事务由采购代理机构依法组建的评标委员会负责。评标委员会由采购人代表和有关技术、经济、法律等方面的专家组成。</w:t>
      </w:r>
    </w:p>
    <w:p w14:paraId="44E6E176">
      <w:pPr>
        <w:pStyle w:val="8"/>
        <w:keepNext w:val="0"/>
        <w:keepLines w:val="0"/>
        <w:pageBreakBefore w:val="0"/>
        <w:tabs>
          <w:tab w:val="clear" w:pos="567"/>
        </w:tabs>
        <w:kinsoku/>
        <w:wordWrap/>
        <w:overflowPunct/>
        <w:topLinePunct w:val="0"/>
        <w:bidi w:val="0"/>
        <w:spacing w:before="0" w:line="360" w:lineRule="auto"/>
        <w:ind w:left="-181" w:leftChars="-86" w:firstLine="660" w:firstLineChars="275"/>
        <w:outlineLvl w:val="9"/>
        <w:rPr>
          <w:rFonts w:hint="eastAsia" w:ascii="仿宋" w:hAnsi="仿宋" w:eastAsia="仿宋" w:cs="仿宋"/>
          <w:iCs/>
        </w:rPr>
      </w:pPr>
      <w:r>
        <w:rPr>
          <w:rFonts w:hint="eastAsia" w:ascii="仿宋" w:hAnsi="仿宋" w:eastAsia="仿宋" w:cs="仿宋"/>
          <w:iCs/>
        </w:rPr>
        <w:t>1.3 评标工作应遵循公平、公正、科学及择优的原则，并以相同的评标程序和标准对待所有的</w:t>
      </w:r>
      <w:r>
        <w:rPr>
          <w:rFonts w:hint="eastAsia" w:ascii="仿宋" w:hAnsi="仿宋" w:eastAsia="仿宋" w:cs="仿宋"/>
          <w:iCs/>
          <w:lang w:eastAsia="zh-CN"/>
        </w:rPr>
        <w:t>供应商</w:t>
      </w:r>
      <w:r>
        <w:rPr>
          <w:rFonts w:hint="eastAsia" w:ascii="仿宋" w:hAnsi="仿宋" w:eastAsia="仿宋" w:cs="仿宋"/>
          <w:iCs/>
        </w:rPr>
        <w:t>。</w:t>
      </w:r>
    </w:p>
    <w:p w14:paraId="345BBA83">
      <w:pPr>
        <w:pStyle w:val="8"/>
        <w:keepNext w:val="0"/>
        <w:keepLines w:val="0"/>
        <w:pageBreakBefore w:val="0"/>
        <w:tabs>
          <w:tab w:val="clear" w:pos="567"/>
        </w:tabs>
        <w:kinsoku/>
        <w:wordWrap/>
        <w:overflowPunct/>
        <w:topLinePunct w:val="0"/>
        <w:bidi w:val="0"/>
        <w:spacing w:before="0" w:line="360" w:lineRule="auto"/>
        <w:ind w:left="-181" w:leftChars="-86" w:firstLine="660" w:firstLineChars="275"/>
        <w:outlineLvl w:val="9"/>
        <w:rPr>
          <w:rFonts w:hint="eastAsia" w:ascii="仿宋" w:hAnsi="仿宋" w:eastAsia="仿宋" w:cs="仿宋"/>
          <w:iCs/>
        </w:rPr>
      </w:pPr>
      <w:r>
        <w:rPr>
          <w:rFonts w:hint="eastAsia" w:ascii="仿宋" w:hAnsi="仿宋" w:eastAsia="仿宋" w:cs="仿宋"/>
          <w:iCs/>
        </w:rPr>
        <w:t>1.4 评标委员会按照</w:t>
      </w:r>
      <w:r>
        <w:rPr>
          <w:rFonts w:hint="eastAsia" w:ascii="仿宋" w:hAnsi="仿宋" w:eastAsia="仿宋" w:cs="仿宋"/>
          <w:iCs/>
          <w:lang w:eastAsia="zh-CN"/>
        </w:rPr>
        <w:t>磋商文件</w:t>
      </w:r>
      <w:r>
        <w:rPr>
          <w:rFonts w:hint="eastAsia" w:ascii="仿宋" w:hAnsi="仿宋" w:eastAsia="仿宋" w:cs="仿宋"/>
          <w:iCs/>
        </w:rPr>
        <w:t>规定的评标方法和标准进行评标，并独立履行下列职责：</w:t>
      </w:r>
    </w:p>
    <w:p w14:paraId="103DCA11">
      <w:pPr>
        <w:pStyle w:val="8"/>
        <w:keepNext w:val="0"/>
        <w:keepLines w:val="0"/>
        <w:pageBreakBefore w:val="0"/>
        <w:tabs>
          <w:tab w:val="clear" w:pos="567"/>
        </w:tabs>
        <w:kinsoku/>
        <w:wordWrap/>
        <w:overflowPunct/>
        <w:topLinePunct w:val="0"/>
        <w:bidi w:val="0"/>
        <w:spacing w:before="0" w:line="360" w:lineRule="auto"/>
        <w:outlineLvl w:val="9"/>
        <w:rPr>
          <w:rFonts w:hint="eastAsia" w:ascii="仿宋" w:hAnsi="仿宋" w:eastAsia="仿宋" w:cs="仿宋"/>
          <w:iCs/>
        </w:rPr>
      </w:pPr>
      <w:r>
        <w:rPr>
          <w:rFonts w:hint="eastAsia" w:ascii="仿宋" w:hAnsi="仿宋" w:eastAsia="仿宋" w:cs="仿宋"/>
          <w:iCs/>
        </w:rPr>
        <w:t>（一）审查、评价</w:t>
      </w:r>
      <w:r>
        <w:rPr>
          <w:rFonts w:hint="eastAsia" w:ascii="仿宋" w:hAnsi="仿宋" w:eastAsia="仿宋" w:cs="仿宋"/>
          <w:iCs/>
          <w:lang w:eastAsia="zh-CN"/>
        </w:rPr>
        <w:t>响应文件</w:t>
      </w:r>
      <w:r>
        <w:rPr>
          <w:rFonts w:hint="eastAsia" w:ascii="仿宋" w:hAnsi="仿宋" w:eastAsia="仿宋" w:cs="仿宋"/>
          <w:iCs/>
        </w:rPr>
        <w:t>是否符合</w:t>
      </w:r>
      <w:r>
        <w:rPr>
          <w:rFonts w:hint="eastAsia" w:ascii="仿宋" w:hAnsi="仿宋" w:eastAsia="仿宋" w:cs="仿宋"/>
          <w:iCs/>
          <w:lang w:eastAsia="zh-CN"/>
        </w:rPr>
        <w:t>磋商文件</w:t>
      </w:r>
      <w:r>
        <w:rPr>
          <w:rFonts w:hint="eastAsia" w:ascii="仿宋" w:hAnsi="仿宋" w:eastAsia="仿宋" w:cs="仿宋"/>
          <w:iCs/>
        </w:rPr>
        <w:t>的商务、技术等实质性要求；</w:t>
      </w:r>
    </w:p>
    <w:p w14:paraId="256305AE">
      <w:pPr>
        <w:pStyle w:val="8"/>
        <w:keepNext w:val="0"/>
        <w:keepLines w:val="0"/>
        <w:pageBreakBefore w:val="0"/>
        <w:tabs>
          <w:tab w:val="clear" w:pos="567"/>
        </w:tabs>
        <w:kinsoku/>
        <w:wordWrap/>
        <w:overflowPunct/>
        <w:topLinePunct w:val="0"/>
        <w:bidi w:val="0"/>
        <w:spacing w:before="0" w:line="360" w:lineRule="auto"/>
        <w:outlineLvl w:val="9"/>
        <w:rPr>
          <w:rFonts w:hint="eastAsia" w:ascii="仿宋" w:hAnsi="仿宋" w:eastAsia="仿宋" w:cs="仿宋"/>
          <w:iCs/>
        </w:rPr>
      </w:pPr>
      <w:r>
        <w:rPr>
          <w:rFonts w:hint="eastAsia" w:ascii="仿宋" w:hAnsi="仿宋" w:eastAsia="仿宋" w:cs="仿宋"/>
          <w:iCs/>
        </w:rPr>
        <w:t>（二）要求</w:t>
      </w:r>
      <w:r>
        <w:rPr>
          <w:rFonts w:hint="eastAsia" w:ascii="仿宋" w:hAnsi="仿宋" w:eastAsia="仿宋" w:cs="仿宋"/>
          <w:iCs/>
          <w:lang w:eastAsia="zh-CN"/>
        </w:rPr>
        <w:t>供应商</w:t>
      </w:r>
      <w:r>
        <w:rPr>
          <w:rFonts w:hint="eastAsia" w:ascii="仿宋" w:hAnsi="仿宋" w:eastAsia="仿宋" w:cs="仿宋"/>
          <w:iCs/>
        </w:rPr>
        <w:t>对</w:t>
      </w:r>
      <w:r>
        <w:rPr>
          <w:rFonts w:hint="eastAsia" w:ascii="仿宋" w:hAnsi="仿宋" w:eastAsia="仿宋" w:cs="仿宋"/>
          <w:iCs/>
          <w:lang w:eastAsia="zh-CN"/>
        </w:rPr>
        <w:t>响应文件</w:t>
      </w:r>
      <w:r>
        <w:rPr>
          <w:rFonts w:hint="eastAsia" w:ascii="仿宋" w:hAnsi="仿宋" w:eastAsia="仿宋" w:cs="仿宋"/>
          <w:iCs/>
        </w:rPr>
        <w:t>有关事项作出澄清或者说明；</w:t>
      </w:r>
    </w:p>
    <w:p w14:paraId="457D8201">
      <w:pPr>
        <w:pStyle w:val="8"/>
        <w:keepNext w:val="0"/>
        <w:keepLines w:val="0"/>
        <w:pageBreakBefore w:val="0"/>
        <w:tabs>
          <w:tab w:val="clear" w:pos="567"/>
        </w:tabs>
        <w:kinsoku/>
        <w:wordWrap/>
        <w:overflowPunct/>
        <w:topLinePunct w:val="0"/>
        <w:bidi w:val="0"/>
        <w:spacing w:before="0" w:line="360" w:lineRule="auto"/>
        <w:outlineLvl w:val="9"/>
        <w:rPr>
          <w:rFonts w:hint="eastAsia" w:ascii="仿宋" w:hAnsi="仿宋" w:eastAsia="仿宋" w:cs="仿宋"/>
          <w:iCs/>
        </w:rPr>
      </w:pPr>
      <w:r>
        <w:rPr>
          <w:rFonts w:hint="eastAsia" w:ascii="仿宋" w:hAnsi="仿宋" w:eastAsia="仿宋" w:cs="仿宋"/>
          <w:iCs/>
        </w:rPr>
        <w:t>（三）对</w:t>
      </w:r>
      <w:r>
        <w:rPr>
          <w:rFonts w:hint="eastAsia" w:ascii="仿宋" w:hAnsi="仿宋" w:eastAsia="仿宋" w:cs="仿宋"/>
          <w:iCs/>
          <w:lang w:eastAsia="zh-CN"/>
        </w:rPr>
        <w:t>响应文件</w:t>
      </w:r>
      <w:r>
        <w:rPr>
          <w:rFonts w:hint="eastAsia" w:ascii="仿宋" w:hAnsi="仿宋" w:eastAsia="仿宋" w:cs="仿宋"/>
          <w:iCs/>
        </w:rPr>
        <w:t>进行比较和评价；</w:t>
      </w:r>
    </w:p>
    <w:p w14:paraId="467D236A">
      <w:pPr>
        <w:pStyle w:val="8"/>
        <w:keepNext w:val="0"/>
        <w:keepLines w:val="0"/>
        <w:pageBreakBefore w:val="0"/>
        <w:tabs>
          <w:tab w:val="clear" w:pos="567"/>
        </w:tabs>
        <w:kinsoku/>
        <w:wordWrap/>
        <w:overflowPunct/>
        <w:topLinePunct w:val="0"/>
        <w:bidi w:val="0"/>
        <w:spacing w:before="0" w:line="360" w:lineRule="auto"/>
        <w:outlineLvl w:val="9"/>
        <w:rPr>
          <w:rFonts w:hint="eastAsia" w:ascii="仿宋" w:hAnsi="仿宋" w:eastAsia="仿宋" w:cs="仿宋"/>
          <w:iCs/>
        </w:rPr>
      </w:pPr>
      <w:r>
        <w:rPr>
          <w:rFonts w:hint="eastAsia" w:ascii="仿宋" w:hAnsi="仿宋" w:eastAsia="仿宋" w:cs="仿宋"/>
          <w:iCs/>
        </w:rPr>
        <w:t>（四）确定中标候选人名单，以及根据采购人委托直接确定中标人；</w:t>
      </w:r>
    </w:p>
    <w:p w14:paraId="0234EB93">
      <w:pPr>
        <w:pStyle w:val="8"/>
        <w:keepNext w:val="0"/>
        <w:keepLines w:val="0"/>
        <w:pageBreakBefore w:val="0"/>
        <w:tabs>
          <w:tab w:val="clear" w:pos="567"/>
        </w:tabs>
        <w:kinsoku/>
        <w:wordWrap/>
        <w:overflowPunct/>
        <w:topLinePunct w:val="0"/>
        <w:bidi w:val="0"/>
        <w:spacing w:before="0" w:line="360" w:lineRule="auto"/>
        <w:outlineLvl w:val="9"/>
        <w:rPr>
          <w:rFonts w:hint="eastAsia" w:ascii="仿宋" w:hAnsi="仿宋" w:eastAsia="仿宋" w:cs="仿宋"/>
          <w:iCs/>
        </w:rPr>
      </w:pPr>
      <w:r>
        <w:rPr>
          <w:rFonts w:hint="eastAsia" w:ascii="仿宋" w:hAnsi="仿宋" w:eastAsia="仿宋" w:cs="仿宋"/>
          <w:iCs/>
        </w:rPr>
        <w:t>（五）向采购人、采购代理机构或者有关部门报告评标中发现的违法行为。</w:t>
      </w:r>
    </w:p>
    <w:p w14:paraId="78BE6FD1">
      <w:pPr>
        <w:pStyle w:val="8"/>
        <w:keepNext w:val="0"/>
        <w:keepLines w:val="0"/>
        <w:pageBreakBefore w:val="0"/>
        <w:tabs>
          <w:tab w:val="clear" w:pos="567"/>
        </w:tabs>
        <w:kinsoku/>
        <w:wordWrap/>
        <w:overflowPunct/>
        <w:topLinePunct w:val="0"/>
        <w:bidi w:val="0"/>
        <w:spacing w:before="0" w:line="360" w:lineRule="auto"/>
        <w:outlineLvl w:val="9"/>
        <w:rPr>
          <w:rFonts w:hint="eastAsia" w:ascii="仿宋" w:hAnsi="仿宋" w:eastAsia="仿宋" w:cs="仿宋"/>
          <w:iCs/>
        </w:rPr>
      </w:pPr>
      <w:r>
        <w:rPr>
          <w:rFonts w:hint="eastAsia" w:ascii="仿宋" w:hAnsi="仿宋" w:eastAsia="仿宋" w:cs="仿宋"/>
          <w:iCs/>
        </w:rPr>
        <w:t>（六）法律、法规和规章规定的其他职责。</w:t>
      </w:r>
    </w:p>
    <w:p w14:paraId="5395B552">
      <w:pPr>
        <w:pStyle w:val="8"/>
        <w:keepNext w:val="0"/>
        <w:keepLines w:val="0"/>
        <w:pageBreakBefore w:val="0"/>
        <w:tabs>
          <w:tab w:val="clear" w:pos="567"/>
        </w:tabs>
        <w:kinsoku/>
        <w:wordWrap/>
        <w:overflowPunct/>
        <w:topLinePunct w:val="0"/>
        <w:bidi w:val="0"/>
        <w:spacing w:before="0" w:line="360" w:lineRule="auto"/>
        <w:ind w:left="-181" w:leftChars="-86" w:firstLine="660" w:firstLineChars="275"/>
        <w:outlineLvl w:val="9"/>
        <w:rPr>
          <w:rFonts w:hint="eastAsia" w:ascii="仿宋" w:hAnsi="仿宋" w:eastAsia="仿宋" w:cs="仿宋"/>
          <w:iCs/>
        </w:rPr>
      </w:pPr>
      <w:r>
        <w:rPr>
          <w:rFonts w:hint="eastAsia" w:ascii="仿宋" w:hAnsi="仿宋" w:eastAsia="仿宋" w:cs="仿宋"/>
          <w:iCs/>
        </w:rPr>
        <w:t>1.5 评标过程独立、保密。</w:t>
      </w:r>
      <w:r>
        <w:rPr>
          <w:rFonts w:hint="eastAsia" w:ascii="仿宋" w:hAnsi="仿宋" w:eastAsia="仿宋" w:cs="仿宋"/>
          <w:iCs/>
          <w:lang w:eastAsia="zh-CN"/>
        </w:rPr>
        <w:t>供应商</w:t>
      </w:r>
      <w:r>
        <w:rPr>
          <w:rFonts w:hint="eastAsia" w:ascii="仿宋" w:hAnsi="仿宋" w:eastAsia="仿宋" w:cs="仿宋"/>
          <w:iCs/>
        </w:rPr>
        <w:t>非法干预评标过程的行为将导致其</w:t>
      </w:r>
      <w:r>
        <w:rPr>
          <w:rFonts w:hint="eastAsia" w:ascii="仿宋" w:hAnsi="仿宋" w:eastAsia="仿宋" w:cs="仿宋"/>
          <w:iCs/>
          <w:lang w:eastAsia="zh-CN"/>
        </w:rPr>
        <w:t>响应文件</w:t>
      </w:r>
      <w:r>
        <w:rPr>
          <w:rFonts w:hint="eastAsia" w:ascii="仿宋" w:hAnsi="仿宋" w:eastAsia="仿宋" w:cs="仿宋"/>
          <w:iCs/>
        </w:rPr>
        <w:t>作为无效处理。</w:t>
      </w:r>
    </w:p>
    <w:p w14:paraId="489FA8CE">
      <w:pPr>
        <w:pStyle w:val="8"/>
        <w:keepNext w:val="0"/>
        <w:keepLines w:val="0"/>
        <w:pageBreakBefore w:val="0"/>
        <w:tabs>
          <w:tab w:val="clear" w:pos="567"/>
        </w:tabs>
        <w:kinsoku/>
        <w:wordWrap/>
        <w:overflowPunct/>
        <w:topLinePunct w:val="0"/>
        <w:bidi w:val="0"/>
        <w:spacing w:before="0" w:line="360" w:lineRule="auto"/>
        <w:ind w:left="-181" w:leftChars="-86" w:firstLine="660" w:firstLineChars="275"/>
        <w:outlineLvl w:val="9"/>
        <w:rPr>
          <w:rFonts w:hint="eastAsia" w:ascii="仿宋" w:hAnsi="仿宋" w:eastAsia="仿宋" w:cs="仿宋"/>
          <w:iCs/>
        </w:rPr>
      </w:pPr>
      <w:r>
        <w:rPr>
          <w:rFonts w:hint="eastAsia" w:ascii="仿宋" w:hAnsi="仿宋" w:eastAsia="仿宋" w:cs="仿宋"/>
          <w:iCs/>
        </w:rPr>
        <w:t>1.6评标委员会评价</w:t>
      </w:r>
      <w:r>
        <w:rPr>
          <w:rFonts w:hint="eastAsia" w:ascii="仿宋" w:hAnsi="仿宋" w:eastAsia="仿宋" w:cs="仿宋"/>
          <w:iCs/>
          <w:lang w:eastAsia="zh-CN"/>
        </w:rPr>
        <w:t>响应文件</w:t>
      </w:r>
      <w:r>
        <w:rPr>
          <w:rFonts w:hint="eastAsia" w:ascii="仿宋" w:hAnsi="仿宋" w:eastAsia="仿宋" w:cs="仿宋"/>
          <w:iCs/>
        </w:rPr>
        <w:t>的响应性，对于</w:t>
      </w:r>
      <w:r>
        <w:rPr>
          <w:rFonts w:hint="eastAsia" w:ascii="仿宋" w:hAnsi="仿宋" w:eastAsia="仿宋" w:cs="仿宋"/>
          <w:iCs/>
          <w:lang w:eastAsia="zh-CN"/>
        </w:rPr>
        <w:t>供应商</w:t>
      </w:r>
      <w:r>
        <w:rPr>
          <w:rFonts w:hint="eastAsia" w:ascii="仿宋" w:hAnsi="仿宋" w:eastAsia="仿宋" w:cs="仿宋"/>
          <w:iCs/>
        </w:rPr>
        <w:t>而言，除评标委员会要求其澄清、说明或者更正而提供的资料外，仅依据</w:t>
      </w:r>
      <w:r>
        <w:rPr>
          <w:rFonts w:hint="eastAsia" w:ascii="仿宋" w:hAnsi="仿宋" w:eastAsia="仿宋" w:cs="仿宋"/>
          <w:iCs/>
          <w:lang w:eastAsia="zh-CN"/>
        </w:rPr>
        <w:t>响应文件</w:t>
      </w:r>
      <w:r>
        <w:rPr>
          <w:rFonts w:hint="eastAsia" w:ascii="仿宋" w:hAnsi="仿宋" w:eastAsia="仿宋" w:cs="仿宋"/>
          <w:iCs/>
        </w:rPr>
        <w:t>本身的内容，不寻求其他外部证据。</w:t>
      </w:r>
    </w:p>
    <w:p w14:paraId="57FC3F04">
      <w:pPr>
        <w:pStyle w:val="8"/>
        <w:keepNext w:val="0"/>
        <w:keepLines w:val="0"/>
        <w:pageBreakBefore w:val="0"/>
        <w:tabs>
          <w:tab w:val="clear" w:pos="567"/>
        </w:tabs>
        <w:kinsoku/>
        <w:wordWrap/>
        <w:overflowPunct/>
        <w:topLinePunct w:val="0"/>
        <w:bidi w:val="0"/>
        <w:spacing w:before="0" w:line="360" w:lineRule="auto"/>
        <w:ind w:firstLine="240" w:firstLineChars="100"/>
        <w:outlineLvl w:val="9"/>
        <w:rPr>
          <w:rFonts w:hint="eastAsia" w:ascii="仿宋" w:hAnsi="仿宋" w:eastAsia="仿宋" w:cs="仿宋"/>
          <w:iCs/>
        </w:rPr>
      </w:pPr>
      <w:r>
        <w:rPr>
          <w:rFonts w:hint="eastAsia" w:ascii="仿宋" w:hAnsi="仿宋" w:eastAsia="仿宋" w:cs="仿宋"/>
          <w:iCs/>
        </w:rPr>
        <w:t xml:space="preserve"> 1.7采购人或者采购代理机构负责组织评标工作，并履行下列职责：</w:t>
      </w:r>
    </w:p>
    <w:p w14:paraId="237F0647">
      <w:pPr>
        <w:pStyle w:val="8"/>
        <w:keepNext w:val="0"/>
        <w:keepLines w:val="0"/>
        <w:pageBreakBefore w:val="0"/>
        <w:tabs>
          <w:tab w:val="clear" w:pos="567"/>
        </w:tabs>
        <w:kinsoku/>
        <w:wordWrap/>
        <w:overflowPunct/>
        <w:topLinePunct w:val="0"/>
        <w:bidi w:val="0"/>
        <w:spacing w:before="0" w:line="360" w:lineRule="auto"/>
        <w:ind w:firstLine="240" w:firstLineChars="100"/>
        <w:outlineLvl w:val="9"/>
        <w:rPr>
          <w:rFonts w:hint="eastAsia" w:ascii="仿宋" w:hAnsi="仿宋" w:eastAsia="仿宋" w:cs="仿宋"/>
          <w:iCs/>
        </w:rPr>
      </w:pPr>
      <w:r>
        <w:rPr>
          <w:rFonts w:hint="eastAsia" w:ascii="仿宋" w:hAnsi="仿宋" w:eastAsia="仿宋" w:cs="仿宋"/>
          <w:iCs/>
        </w:rPr>
        <w:t>（一）核对评审专家身份和采购人代表信息，对评审专家在政府采购活动中的职责履行情况予以记录，并及时将有关违法违规行为向财政部门报告；</w:t>
      </w:r>
    </w:p>
    <w:p w14:paraId="35EED417">
      <w:pPr>
        <w:pStyle w:val="8"/>
        <w:keepNext w:val="0"/>
        <w:keepLines w:val="0"/>
        <w:pageBreakBefore w:val="0"/>
        <w:tabs>
          <w:tab w:val="clear" w:pos="567"/>
        </w:tabs>
        <w:kinsoku/>
        <w:wordWrap/>
        <w:overflowPunct/>
        <w:topLinePunct w:val="0"/>
        <w:bidi w:val="0"/>
        <w:spacing w:before="0" w:line="360" w:lineRule="auto"/>
        <w:ind w:firstLine="240" w:firstLineChars="100"/>
        <w:outlineLvl w:val="9"/>
        <w:rPr>
          <w:rFonts w:hint="eastAsia" w:ascii="仿宋" w:hAnsi="仿宋" w:eastAsia="仿宋" w:cs="仿宋"/>
          <w:iCs/>
        </w:rPr>
      </w:pPr>
      <w:r>
        <w:rPr>
          <w:rFonts w:hint="eastAsia" w:ascii="仿宋" w:hAnsi="仿宋" w:eastAsia="仿宋" w:cs="仿宋"/>
          <w:iCs/>
        </w:rPr>
        <w:t>（二）宣布评标纪律；</w:t>
      </w:r>
    </w:p>
    <w:p w14:paraId="248B45C7">
      <w:pPr>
        <w:pStyle w:val="8"/>
        <w:keepNext w:val="0"/>
        <w:keepLines w:val="0"/>
        <w:pageBreakBefore w:val="0"/>
        <w:tabs>
          <w:tab w:val="clear" w:pos="567"/>
        </w:tabs>
        <w:kinsoku/>
        <w:wordWrap/>
        <w:overflowPunct/>
        <w:topLinePunct w:val="0"/>
        <w:bidi w:val="0"/>
        <w:spacing w:before="0" w:line="360" w:lineRule="auto"/>
        <w:ind w:firstLine="240" w:firstLineChars="100"/>
        <w:outlineLvl w:val="9"/>
        <w:rPr>
          <w:rFonts w:hint="eastAsia" w:ascii="仿宋" w:hAnsi="仿宋" w:eastAsia="仿宋" w:cs="仿宋"/>
          <w:iCs/>
        </w:rPr>
      </w:pPr>
      <w:r>
        <w:rPr>
          <w:rFonts w:hint="eastAsia" w:ascii="仿宋" w:hAnsi="仿宋" w:eastAsia="仿宋" w:cs="仿宋"/>
          <w:iCs/>
        </w:rPr>
        <w:t>（三）公布</w:t>
      </w:r>
      <w:r>
        <w:rPr>
          <w:rFonts w:hint="eastAsia" w:ascii="仿宋" w:hAnsi="仿宋" w:eastAsia="仿宋" w:cs="仿宋"/>
          <w:iCs/>
          <w:lang w:eastAsia="zh-CN"/>
        </w:rPr>
        <w:t>供应商</w:t>
      </w:r>
      <w:r>
        <w:rPr>
          <w:rFonts w:hint="eastAsia" w:ascii="仿宋" w:hAnsi="仿宋" w:eastAsia="仿宋" w:cs="仿宋"/>
          <w:iCs/>
        </w:rPr>
        <w:t>名单，告知评审专家应当回避的情形；</w:t>
      </w:r>
    </w:p>
    <w:p w14:paraId="6FC65BF0">
      <w:pPr>
        <w:pStyle w:val="8"/>
        <w:keepNext w:val="0"/>
        <w:keepLines w:val="0"/>
        <w:pageBreakBefore w:val="0"/>
        <w:tabs>
          <w:tab w:val="clear" w:pos="567"/>
        </w:tabs>
        <w:kinsoku/>
        <w:wordWrap/>
        <w:overflowPunct/>
        <w:topLinePunct w:val="0"/>
        <w:bidi w:val="0"/>
        <w:spacing w:before="0" w:line="360" w:lineRule="auto"/>
        <w:ind w:firstLine="240" w:firstLineChars="100"/>
        <w:outlineLvl w:val="9"/>
        <w:rPr>
          <w:rFonts w:hint="eastAsia" w:ascii="仿宋" w:hAnsi="仿宋" w:eastAsia="仿宋" w:cs="仿宋"/>
          <w:iCs/>
        </w:rPr>
      </w:pPr>
      <w:r>
        <w:rPr>
          <w:rFonts w:hint="eastAsia" w:ascii="仿宋" w:hAnsi="仿宋" w:eastAsia="仿宋" w:cs="仿宋"/>
          <w:iCs/>
        </w:rPr>
        <w:t>（四）组织评标委员会推选评标组长，采购人代表不得担任组长；</w:t>
      </w:r>
    </w:p>
    <w:p w14:paraId="03C6BA07">
      <w:pPr>
        <w:pStyle w:val="8"/>
        <w:keepNext w:val="0"/>
        <w:keepLines w:val="0"/>
        <w:pageBreakBefore w:val="0"/>
        <w:tabs>
          <w:tab w:val="clear" w:pos="567"/>
        </w:tabs>
        <w:kinsoku/>
        <w:wordWrap/>
        <w:overflowPunct/>
        <w:topLinePunct w:val="0"/>
        <w:bidi w:val="0"/>
        <w:spacing w:before="0" w:line="360" w:lineRule="auto"/>
        <w:ind w:firstLine="240" w:firstLineChars="100"/>
        <w:outlineLvl w:val="9"/>
        <w:rPr>
          <w:rFonts w:hint="eastAsia" w:ascii="仿宋" w:hAnsi="仿宋" w:eastAsia="仿宋" w:cs="仿宋"/>
          <w:iCs/>
        </w:rPr>
      </w:pPr>
      <w:r>
        <w:rPr>
          <w:rFonts w:hint="eastAsia" w:ascii="仿宋" w:hAnsi="仿宋" w:eastAsia="仿宋" w:cs="仿宋"/>
          <w:iCs/>
        </w:rPr>
        <w:t>（五）在评标期间采取必要的通讯管理措施，保证评标活动不受外界干扰；</w:t>
      </w:r>
    </w:p>
    <w:p w14:paraId="171316C5">
      <w:pPr>
        <w:pStyle w:val="8"/>
        <w:keepNext w:val="0"/>
        <w:keepLines w:val="0"/>
        <w:pageBreakBefore w:val="0"/>
        <w:tabs>
          <w:tab w:val="clear" w:pos="567"/>
        </w:tabs>
        <w:kinsoku/>
        <w:wordWrap/>
        <w:overflowPunct/>
        <w:topLinePunct w:val="0"/>
        <w:bidi w:val="0"/>
        <w:spacing w:before="0" w:line="360" w:lineRule="auto"/>
        <w:ind w:firstLine="240" w:firstLineChars="100"/>
        <w:outlineLvl w:val="9"/>
        <w:rPr>
          <w:rFonts w:hint="eastAsia" w:ascii="仿宋" w:hAnsi="仿宋" w:eastAsia="仿宋" w:cs="仿宋"/>
          <w:iCs/>
        </w:rPr>
      </w:pPr>
      <w:r>
        <w:rPr>
          <w:rFonts w:hint="eastAsia" w:ascii="仿宋" w:hAnsi="仿宋" w:eastAsia="仿宋" w:cs="仿宋"/>
          <w:iCs/>
        </w:rPr>
        <w:t>（六）根据评标委员会的要求介绍政府采购相关政策法规、</w:t>
      </w:r>
      <w:r>
        <w:rPr>
          <w:rFonts w:hint="eastAsia" w:ascii="仿宋" w:hAnsi="仿宋" w:eastAsia="仿宋" w:cs="仿宋"/>
          <w:iCs/>
          <w:lang w:eastAsia="zh-CN"/>
        </w:rPr>
        <w:t>磋商文件</w:t>
      </w:r>
      <w:r>
        <w:rPr>
          <w:rFonts w:hint="eastAsia" w:ascii="仿宋" w:hAnsi="仿宋" w:eastAsia="仿宋" w:cs="仿宋"/>
          <w:iCs/>
        </w:rPr>
        <w:t>；</w:t>
      </w:r>
    </w:p>
    <w:p w14:paraId="2AADBC4D">
      <w:pPr>
        <w:pStyle w:val="8"/>
        <w:keepNext w:val="0"/>
        <w:keepLines w:val="0"/>
        <w:pageBreakBefore w:val="0"/>
        <w:tabs>
          <w:tab w:val="clear" w:pos="567"/>
        </w:tabs>
        <w:kinsoku/>
        <w:wordWrap/>
        <w:overflowPunct/>
        <w:topLinePunct w:val="0"/>
        <w:bidi w:val="0"/>
        <w:spacing w:before="0" w:line="360" w:lineRule="auto"/>
        <w:ind w:firstLine="240" w:firstLineChars="100"/>
        <w:outlineLvl w:val="9"/>
        <w:rPr>
          <w:rFonts w:hint="eastAsia" w:ascii="仿宋" w:hAnsi="仿宋" w:eastAsia="仿宋" w:cs="仿宋"/>
          <w:iCs/>
        </w:rPr>
      </w:pPr>
      <w:r>
        <w:rPr>
          <w:rFonts w:hint="eastAsia" w:ascii="仿宋" w:hAnsi="仿宋" w:eastAsia="仿宋" w:cs="仿宋"/>
          <w:iCs/>
        </w:rPr>
        <w:t>（七）维护评标秩序，监督评标委员会依照</w:t>
      </w:r>
      <w:r>
        <w:rPr>
          <w:rFonts w:hint="eastAsia" w:ascii="仿宋" w:hAnsi="仿宋" w:eastAsia="仿宋" w:cs="仿宋"/>
          <w:iCs/>
          <w:lang w:eastAsia="zh-CN"/>
        </w:rPr>
        <w:t>磋商文件</w:t>
      </w:r>
      <w:r>
        <w:rPr>
          <w:rFonts w:hint="eastAsia" w:ascii="仿宋" w:hAnsi="仿宋" w:eastAsia="仿宋" w:cs="仿宋"/>
          <w:iCs/>
        </w:rPr>
        <w:t>规定的评标程序、方法和标准进行独立评审，及时制止和纠正采购人代表、评审专家的倾向性言论或者违法违规行为；</w:t>
      </w:r>
    </w:p>
    <w:p w14:paraId="35B44798">
      <w:pPr>
        <w:pStyle w:val="8"/>
        <w:keepNext w:val="0"/>
        <w:keepLines w:val="0"/>
        <w:pageBreakBefore w:val="0"/>
        <w:tabs>
          <w:tab w:val="clear" w:pos="567"/>
        </w:tabs>
        <w:kinsoku/>
        <w:wordWrap/>
        <w:overflowPunct/>
        <w:topLinePunct w:val="0"/>
        <w:bidi w:val="0"/>
        <w:spacing w:before="0" w:line="360" w:lineRule="auto"/>
        <w:ind w:firstLine="240" w:firstLineChars="100"/>
        <w:outlineLvl w:val="9"/>
        <w:rPr>
          <w:rFonts w:hint="eastAsia" w:ascii="仿宋" w:hAnsi="仿宋" w:eastAsia="仿宋" w:cs="仿宋"/>
          <w:iCs/>
        </w:rPr>
      </w:pPr>
      <w:r>
        <w:rPr>
          <w:rFonts w:hint="eastAsia" w:ascii="仿宋" w:hAnsi="仿宋" w:eastAsia="仿宋" w:cs="仿宋"/>
          <w:iCs/>
        </w:rPr>
        <w:t>（八）核对评标结果，有财政部87号令第六十四条规定情形的，要求评标委员会复核或者书面说明理由，评标委员会拒绝的，应予记录并向本级财政部门报告；</w:t>
      </w:r>
    </w:p>
    <w:p w14:paraId="7A3BE1F0">
      <w:pPr>
        <w:pStyle w:val="8"/>
        <w:keepNext w:val="0"/>
        <w:keepLines w:val="0"/>
        <w:pageBreakBefore w:val="0"/>
        <w:tabs>
          <w:tab w:val="clear" w:pos="567"/>
        </w:tabs>
        <w:kinsoku/>
        <w:wordWrap/>
        <w:overflowPunct/>
        <w:topLinePunct w:val="0"/>
        <w:bidi w:val="0"/>
        <w:spacing w:before="0" w:line="360" w:lineRule="auto"/>
        <w:outlineLvl w:val="9"/>
        <w:rPr>
          <w:rFonts w:hint="eastAsia" w:ascii="仿宋" w:hAnsi="仿宋" w:eastAsia="仿宋" w:cs="仿宋"/>
          <w:iCs/>
        </w:rPr>
      </w:pPr>
      <w:r>
        <w:rPr>
          <w:rFonts w:hint="eastAsia" w:ascii="仿宋" w:hAnsi="仿宋" w:eastAsia="仿宋" w:cs="仿宋"/>
          <w:iCs/>
        </w:rPr>
        <w:t>　（九）处理与评标有关的其他事项。</w:t>
      </w:r>
    </w:p>
    <w:p w14:paraId="77D9F220">
      <w:pPr>
        <w:pStyle w:val="8"/>
        <w:keepNext w:val="0"/>
        <w:keepLines w:val="0"/>
        <w:pageBreakBefore w:val="0"/>
        <w:tabs>
          <w:tab w:val="clear" w:pos="567"/>
        </w:tabs>
        <w:kinsoku/>
        <w:wordWrap/>
        <w:overflowPunct/>
        <w:topLinePunct w:val="0"/>
        <w:bidi w:val="0"/>
        <w:spacing w:before="0" w:line="360" w:lineRule="auto"/>
        <w:ind w:left="-181" w:leftChars="-86" w:firstLine="660" w:firstLineChars="275"/>
        <w:outlineLvl w:val="9"/>
        <w:rPr>
          <w:rFonts w:hint="eastAsia" w:ascii="仿宋" w:hAnsi="仿宋" w:eastAsia="仿宋" w:cs="仿宋"/>
          <w:iCs/>
        </w:rPr>
      </w:pPr>
      <w:r>
        <w:rPr>
          <w:rFonts w:hint="eastAsia" w:ascii="仿宋" w:hAnsi="仿宋" w:eastAsia="仿宋" w:cs="仿宋"/>
          <w:iCs/>
        </w:rPr>
        <w:t>采购人可以在评标前说明项目背景和采购需求，说明内容不得含有歧视性、倾向性意见，不得超出</w:t>
      </w:r>
      <w:r>
        <w:rPr>
          <w:rFonts w:hint="eastAsia" w:ascii="仿宋" w:hAnsi="仿宋" w:eastAsia="仿宋" w:cs="仿宋"/>
          <w:iCs/>
          <w:lang w:eastAsia="zh-CN"/>
        </w:rPr>
        <w:t>磋商文件</w:t>
      </w:r>
      <w:r>
        <w:rPr>
          <w:rFonts w:hint="eastAsia" w:ascii="仿宋" w:hAnsi="仿宋" w:eastAsia="仿宋" w:cs="仿宋"/>
          <w:iCs/>
        </w:rPr>
        <w:t>所述范围。说明应当提交书面材料，并随采购文件一并存档。</w:t>
      </w:r>
    </w:p>
    <w:p w14:paraId="1A62EAFE">
      <w:pPr>
        <w:pStyle w:val="8"/>
        <w:keepNext w:val="0"/>
        <w:keepLines w:val="0"/>
        <w:pageBreakBefore w:val="0"/>
        <w:tabs>
          <w:tab w:val="clear" w:pos="567"/>
        </w:tabs>
        <w:kinsoku/>
        <w:wordWrap/>
        <w:overflowPunct/>
        <w:topLinePunct w:val="0"/>
        <w:bidi w:val="0"/>
        <w:spacing w:before="0" w:line="360" w:lineRule="auto"/>
        <w:ind w:left="-181" w:leftChars="-86" w:firstLine="660" w:firstLineChars="275"/>
        <w:outlineLvl w:val="9"/>
        <w:rPr>
          <w:rFonts w:hint="eastAsia" w:ascii="仿宋" w:hAnsi="仿宋" w:eastAsia="仿宋" w:cs="仿宋"/>
          <w:iCs/>
        </w:rPr>
      </w:pPr>
      <w:r>
        <w:rPr>
          <w:rFonts w:hint="eastAsia" w:ascii="仿宋" w:hAnsi="仿宋" w:eastAsia="仿宋" w:cs="仿宋"/>
          <w:iCs/>
        </w:rPr>
        <w:t>2、评标方法</w:t>
      </w:r>
    </w:p>
    <w:p w14:paraId="4E2F1CE0">
      <w:pPr>
        <w:pStyle w:val="8"/>
        <w:keepNext w:val="0"/>
        <w:keepLines w:val="0"/>
        <w:pageBreakBefore w:val="0"/>
        <w:tabs>
          <w:tab w:val="clear" w:pos="567"/>
        </w:tabs>
        <w:kinsoku/>
        <w:wordWrap/>
        <w:overflowPunct/>
        <w:topLinePunct w:val="0"/>
        <w:bidi w:val="0"/>
        <w:spacing w:before="0" w:line="360" w:lineRule="auto"/>
        <w:ind w:left="-181" w:leftChars="-86" w:firstLine="660" w:firstLineChars="275"/>
        <w:outlineLvl w:val="9"/>
        <w:rPr>
          <w:rFonts w:hint="eastAsia" w:ascii="仿宋" w:hAnsi="仿宋" w:eastAsia="仿宋" w:cs="仿宋"/>
          <w:iCs/>
        </w:rPr>
      </w:pPr>
      <w:r>
        <w:rPr>
          <w:rFonts w:hint="eastAsia" w:ascii="仿宋" w:hAnsi="仿宋" w:eastAsia="仿宋" w:cs="仿宋"/>
          <w:iCs/>
        </w:rPr>
        <w:t>本项目评标方法为：综合评分法。</w:t>
      </w:r>
    </w:p>
    <w:p w14:paraId="406DF07F">
      <w:pPr>
        <w:pStyle w:val="8"/>
        <w:keepNext w:val="0"/>
        <w:keepLines w:val="0"/>
        <w:pageBreakBefore w:val="0"/>
        <w:tabs>
          <w:tab w:val="clear" w:pos="567"/>
        </w:tabs>
        <w:kinsoku/>
        <w:wordWrap/>
        <w:overflowPunct/>
        <w:topLinePunct w:val="0"/>
        <w:bidi w:val="0"/>
        <w:spacing w:before="0" w:line="360" w:lineRule="auto"/>
        <w:ind w:firstLine="480" w:firstLineChars="200"/>
        <w:outlineLvl w:val="9"/>
        <w:rPr>
          <w:rFonts w:hint="eastAsia" w:ascii="仿宋" w:hAnsi="仿宋" w:eastAsia="仿宋" w:cs="仿宋"/>
          <w:iCs/>
        </w:rPr>
      </w:pPr>
      <w:r>
        <w:rPr>
          <w:rFonts w:hint="eastAsia" w:ascii="仿宋" w:hAnsi="仿宋" w:eastAsia="仿宋" w:cs="仿宋"/>
          <w:iCs/>
        </w:rPr>
        <w:t>3、 评标程序</w:t>
      </w:r>
    </w:p>
    <w:p w14:paraId="4F7FDA2F">
      <w:pPr>
        <w:pStyle w:val="8"/>
        <w:keepNext w:val="0"/>
        <w:keepLines w:val="0"/>
        <w:pageBreakBefore w:val="0"/>
        <w:tabs>
          <w:tab w:val="clear" w:pos="567"/>
        </w:tabs>
        <w:kinsoku/>
        <w:wordWrap/>
        <w:overflowPunct/>
        <w:topLinePunct w:val="0"/>
        <w:bidi w:val="0"/>
        <w:spacing w:before="0" w:line="360" w:lineRule="auto"/>
        <w:ind w:left="-181" w:leftChars="-86" w:firstLine="660" w:firstLineChars="275"/>
        <w:outlineLvl w:val="9"/>
        <w:rPr>
          <w:rFonts w:hint="eastAsia" w:ascii="仿宋" w:hAnsi="仿宋" w:eastAsia="仿宋" w:cs="仿宋"/>
          <w:iCs/>
        </w:rPr>
      </w:pPr>
      <w:r>
        <w:rPr>
          <w:rFonts w:hint="eastAsia" w:ascii="仿宋" w:hAnsi="仿宋" w:eastAsia="仿宋" w:cs="仿宋"/>
          <w:iCs/>
        </w:rPr>
        <w:t>3.1熟悉和理解</w:t>
      </w:r>
      <w:r>
        <w:rPr>
          <w:rFonts w:hint="eastAsia" w:ascii="仿宋" w:hAnsi="仿宋" w:eastAsia="仿宋" w:cs="仿宋"/>
          <w:iCs/>
          <w:lang w:eastAsia="zh-CN"/>
        </w:rPr>
        <w:t>磋商文件</w:t>
      </w:r>
      <w:r>
        <w:rPr>
          <w:rFonts w:hint="eastAsia" w:ascii="仿宋" w:hAnsi="仿宋" w:eastAsia="仿宋" w:cs="仿宋"/>
          <w:iCs/>
        </w:rPr>
        <w:t>和停止评标。</w:t>
      </w:r>
    </w:p>
    <w:p w14:paraId="39AAF60B">
      <w:pPr>
        <w:pStyle w:val="8"/>
        <w:keepNext w:val="0"/>
        <w:keepLines w:val="0"/>
        <w:pageBreakBefore w:val="0"/>
        <w:tabs>
          <w:tab w:val="clear" w:pos="567"/>
        </w:tabs>
        <w:kinsoku/>
        <w:wordWrap/>
        <w:overflowPunct/>
        <w:topLinePunct w:val="0"/>
        <w:bidi w:val="0"/>
        <w:spacing w:before="0" w:line="360" w:lineRule="auto"/>
        <w:ind w:left="-181" w:leftChars="-86" w:firstLine="660" w:firstLineChars="275"/>
        <w:outlineLvl w:val="9"/>
        <w:rPr>
          <w:rFonts w:hint="eastAsia" w:ascii="仿宋" w:hAnsi="仿宋" w:eastAsia="仿宋" w:cs="仿宋"/>
          <w:iCs/>
        </w:rPr>
      </w:pPr>
      <w:r>
        <w:rPr>
          <w:rFonts w:hint="eastAsia" w:ascii="仿宋" w:hAnsi="仿宋" w:eastAsia="仿宋" w:cs="仿宋"/>
          <w:iCs/>
        </w:rPr>
        <w:t>3.1.1评标委员会正式评标前，应当对</w:t>
      </w:r>
      <w:r>
        <w:rPr>
          <w:rFonts w:hint="eastAsia" w:ascii="仿宋" w:hAnsi="仿宋" w:eastAsia="仿宋" w:cs="仿宋"/>
          <w:iCs/>
          <w:lang w:eastAsia="zh-CN"/>
        </w:rPr>
        <w:t>磋商文件</w:t>
      </w:r>
      <w:r>
        <w:rPr>
          <w:rFonts w:hint="eastAsia" w:ascii="仿宋" w:hAnsi="仿宋" w:eastAsia="仿宋" w:cs="仿宋"/>
          <w:iCs/>
        </w:rPr>
        <w:t>进行熟悉和理解，内容主要包括</w:t>
      </w:r>
      <w:r>
        <w:rPr>
          <w:rFonts w:hint="eastAsia" w:ascii="仿宋" w:hAnsi="仿宋" w:eastAsia="仿宋" w:cs="仿宋"/>
          <w:iCs/>
          <w:lang w:eastAsia="zh-CN"/>
        </w:rPr>
        <w:t>磋商文件</w:t>
      </w:r>
      <w:r>
        <w:rPr>
          <w:rFonts w:hint="eastAsia" w:ascii="仿宋" w:hAnsi="仿宋" w:eastAsia="仿宋" w:cs="仿宋"/>
          <w:iCs/>
        </w:rPr>
        <w:t>中采购项目技术、服务和商务要求、评标方法和标准以及可能涉及签订政府采购合同的内容等。</w:t>
      </w:r>
    </w:p>
    <w:p w14:paraId="00F52CCE">
      <w:pPr>
        <w:pStyle w:val="8"/>
        <w:keepNext w:val="0"/>
        <w:keepLines w:val="0"/>
        <w:pageBreakBefore w:val="0"/>
        <w:tabs>
          <w:tab w:val="clear" w:pos="567"/>
        </w:tabs>
        <w:kinsoku/>
        <w:wordWrap/>
        <w:overflowPunct/>
        <w:topLinePunct w:val="0"/>
        <w:bidi w:val="0"/>
        <w:spacing w:before="0" w:line="360" w:lineRule="auto"/>
        <w:ind w:left="-199" w:leftChars="-95" w:firstLine="199" w:firstLineChars="83"/>
        <w:outlineLvl w:val="9"/>
        <w:rPr>
          <w:rFonts w:hint="eastAsia" w:ascii="仿宋" w:hAnsi="仿宋" w:eastAsia="仿宋" w:cs="仿宋"/>
          <w:iCs/>
        </w:rPr>
      </w:pPr>
      <w:r>
        <w:rPr>
          <w:rFonts w:hint="eastAsia" w:ascii="仿宋" w:hAnsi="仿宋" w:eastAsia="仿宋" w:cs="仿宋"/>
          <w:iCs/>
        </w:rPr>
        <w:t xml:space="preserve"> 评标委员会发现</w:t>
      </w:r>
      <w:r>
        <w:rPr>
          <w:rFonts w:hint="eastAsia" w:ascii="仿宋" w:hAnsi="仿宋" w:eastAsia="仿宋" w:cs="仿宋"/>
          <w:iCs/>
          <w:lang w:eastAsia="zh-CN"/>
        </w:rPr>
        <w:t>磋商文件</w:t>
      </w:r>
      <w:r>
        <w:rPr>
          <w:rFonts w:hint="eastAsia" w:ascii="仿宋" w:hAnsi="仿宋" w:eastAsia="仿宋" w:cs="仿宋"/>
          <w:iCs/>
        </w:rPr>
        <w:t>存在歧义、重大缺陷导致评标工作无法进行，或者</w:t>
      </w:r>
      <w:r>
        <w:rPr>
          <w:rFonts w:hint="eastAsia" w:ascii="仿宋" w:hAnsi="仿宋" w:eastAsia="仿宋" w:cs="仿宋"/>
          <w:iCs/>
          <w:lang w:eastAsia="zh-CN"/>
        </w:rPr>
        <w:t>磋商文件</w:t>
      </w:r>
      <w:r>
        <w:rPr>
          <w:rFonts w:hint="eastAsia" w:ascii="仿宋" w:hAnsi="仿宋" w:eastAsia="仿宋" w:cs="仿宋"/>
          <w:iCs/>
        </w:rPr>
        <w:t>内容违反国家有关强制性规定的，应当停止评标工作，与采购人或者采购代理机构沟通并作书面记录。采购人或者采购代理机构确认后，应当修改</w:t>
      </w:r>
      <w:r>
        <w:rPr>
          <w:rFonts w:hint="eastAsia" w:ascii="仿宋" w:hAnsi="仿宋" w:eastAsia="仿宋" w:cs="仿宋"/>
          <w:iCs/>
          <w:lang w:eastAsia="zh-CN"/>
        </w:rPr>
        <w:t>磋商文件</w:t>
      </w:r>
      <w:r>
        <w:rPr>
          <w:rFonts w:hint="eastAsia" w:ascii="仿宋" w:hAnsi="仿宋" w:eastAsia="仿宋" w:cs="仿宋"/>
          <w:iCs/>
        </w:rPr>
        <w:t>，重新组织采购活动。</w:t>
      </w:r>
    </w:p>
    <w:p w14:paraId="32EB1B89">
      <w:pPr>
        <w:keepNext w:val="0"/>
        <w:keepLines w:val="0"/>
        <w:pageBreakBefore w:val="0"/>
        <w:widowControl/>
        <w:kinsoku/>
        <w:wordWrap/>
        <w:overflowPunct/>
        <w:topLinePunct w:val="0"/>
        <w:autoSpaceDE/>
        <w:autoSpaceDN/>
        <w:bidi w:val="0"/>
        <w:adjustRightInd/>
        <w:snapToGrid/>
        <w:spacing w:line="360" w:lineRule="auto"/>
        <w:ind w:left="0" w:firstLine="0" w:firstLineChars="0"/>
        <w:jc w:val="both"/>
        <w:textAlignment w:val="baseline"/>
        <w:outlineLvl w:val="9"/>
        <w:rPr>
          <w:rFonts w:hint="eastAsia" w:ascii="仿宋" w:hAnsi="仿宋" w:eastAsia="仿宋" w:cs="仿宋"/>
        </w:rPr>
      </w:pPr>
      <w:r>
        <w:rPr>
          <w:rStyle w:val="28"/>
          <w:rFonts w:hint="eastAsia" w:ascii="仿宋" w:hAnsi="仿宋" w:eastAsia="仿宋" w:cs="仿宋"/>
          <w:b w:val="0"/>
          <w:i w:val="0"/>
          <w:iCs/>
          <w:caps w:val="0"/>
          <w:spacing w:val="0"/>
          <w:w w:val="100"/>
          <w:sz w:val="24"/>
        </w:rPr>
        <w:t>4.1</w:t>
      </w:r>
      <w:r>
        <w:rPr>
          <w:rFonts w:hint="eastAsia" w:ascii="仿宋" w:hAnsi="仿宋" w:eastAsia="仿宋" w:cs="仿宋"/>
          <w:b w:val="0"/>
          <w:i w:val="0"/>
          <w:iCs/>
          <w:caps w:val="0"/>
          <w:spacing w:val="0"/>
          <w:w w:val="100"/>
          <w:kern w:val="2"/>
          <w:sz w:val="24"/>
          <w:szCs w:val="24"/>
          <w:lang w:val="en-US" w:eastAsia="zh-CN" w:bidi="ar-SA"/>
        </w:rPr>
        <w:t>根据《关于落实好政府采购支持中小企业发展的通知》（新财购〔2022〕22号）、《关于进一步加大政府采购支持中小企业力度的通知》（财库(2022〕19号）、《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响应文件中提交了《供应商企业类型声明函》</w:t>
      </w:r>
      <w:r>
        <w:rPr>
          <w:rFonts w:hint="eastAsia" w:ascii="仿宋" w:hAnsi="仿宋" w:eastAsia="仿宋" w:cs="仿宋"/>
          <w:color w:val="auto"/>
          <w:sz w:val="24"/>
          <w:highlight w:val="none"/>
        </w:rPr>
        <w:t>或省级以上监狱管理局、戒毒管理局（含新疆生产建设兵团）出具的属于监狱企业的证明文件的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，其投标报价扣除</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%后参与评审。</w:t>
      </w:r>
    </w:p>
    <w:p w14:paraId="78E826BF">
      <w:pPr>
        <w:pStyle w:val="8"/>
        <w:keepNext w:val="0"/>
        <w:keepLines w:val="0"/>
        <w:pageBreakBefore w:val="0"/>
        <w:kinsoku/>
        <w:wordWrap/>
        <w:overflowPunct/>
        <w:topLinePunct w:val="0"/>
        <w:bidi w:val="0"/>
        <w:outlineLvl w:val="9"/>
        <w:rPr>
          <w:rFonts w:hint="eastAsia" w:ascii="仿宋" w:hAnsi="仿宋" w:eastAsia="仿宋" w:cs="仿宋"/>
          <w:b/>
          <w:bCs/>
          <w:iCs/>
        </w:rPr>
      </w:pPr>
      <w:r>
        <w:rPr>
          <w:rFonts w:hint="eastAsia" w:ascii="仿宋" w:hAnsi="仿宋" w:eastAsia="仿宋" w:cs="仿宋"/>
          <w:b/>
          <w:bCs/>
          <w:iCs/>
        </w:rPr>
        <w:t>3.2资格性检查。</w:t>
      </w:r>
    </w:p>
    <w:tbl>
      <w:tblPr>
        <w:tblStyle w:val="23"/>
        <w:tblW w:w="9840" w:type="dxa"/>
        <w:tblInd w:w="-127" w:type="dxa"/>
        <w:tblLayout w:type="fixed"/>
        <w:tblCellMar>
          <w:top w:w="15" w:type="dxa"/>
          <w:left w:w="15" w:type="dxa"/>
          <w:bottom w:w="15" w:type="dxa"/>
          <w:right w:w="15" w:type="dxa"/>
        </w:tblCellMar>
      </w:tblPr>
      <w:tblGrid>
        <w:gridCol w:w="349"/>
        <w:gridCol w:w="383"/>
        <w:gridCol w:w="583"/>
        <w:gridCol w:w="884"/>
        <w:gridCol w:w="1026"/>
        <w:gridCol w:w="1290"/>
        <w:gridCol w:w="1614"/>
        <w:gridCol w:w="837"/>
        <w:gridCol w:w="1266"/>
        <w:gridCol w:w="804"/>
        <w:gridCol w:w="804"/>
      </w:tblGrid>
      <w:tr w14:paraId="5CD51437">
        <w:tblPrEx>
          <w:tblCellMar>
            <w:top w:w="15" w:type="dxa"/>
            <w:left w:w="15" w:type="dxa"/>
            <w:bottom w:w="15" w:type="dxa"/>
            <w:right w:w="15" w:type="dxa"/>
          </w:tblCellMar>
        </w:tblPrEx>
        <w:trPr>
          <w:trHeight w:val="1788" w:hRule="atLeast"/>
        </w:trPr>
        <w:tc>
          <w:tcPr>
            <w:tcW w:w="349" w:type="dxa"/>
            <w:tcBorders>
              <w:top w:val="single" w:color="000000" w:sz="4" w:space="0"/>
              <w:left w:val="single" w:color="000000" w:sz="4" w:space="0"/>
              <w:bottom w:val="single" w:color="000000" w:sz="4" w:space="0"/>
              <w:right w:val="single" w:color="000000" w:sz="4" w:space="0"/>
            </w:tcBorders>
            <w:noWrap w:val="0"/>
            <w:vAlign w:val="center"/>
          </w:tcPr>
          <w:p w14:paraId="16E538E2">
            <w:pPr>
              <w:widowControl/>
              <w:jc w:val="center"/>
              <w:textAlignment w:val="center"/>
              <w:rPr>
                <w:rFonts w:hint="eastAsia" w:ascii="宋体" w:hAnsi="宋体" w:cs="宋体"/>
                <w:kern w:val="0"/>
                <w:sz w:val="15"/>
                <w:szCs w:val="15"/>
                <w:lang w:bidi="ar"/>
              </w:rPr>
            </w:pPr>
            <w:r>
              <w:rPr>
                <w:rFonts w:hint="eastAsia" w:ascii="宋体" w:hAnsi="宋体" w:eastAsia="宋体" w:cs="宋体"/>
                <w:kern w:val="0"/>
                <w:sz w:val="15"/>
                <w:szCs w:val="15"/>
                <w:lang w:val="en-US" w:eastAsia="zh-CN" w:bidi="ar"/>
              </w:rPr>
              <w:t>序号</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14:paraId="2B38E40A">
            <w:pPr>
              <w:widowControl/>
              <w:jc w:val="center"/>
              <w:textAlignment w:val="center"/>
              <w:rPr>
                <w:rFonts w:hint="eastAsia" w:ascii="宋体" w:hAnsi="宋体" w:cs="宋体"/>
                <w:kern w:val="0"/>
                <w:sz w:val="15"/>
                <w:szCs w:val="15"/>
                <w:lang w:bidi="ar"/>
              </w:rPr>
            </w:pPr>
            <w:r>
              <w:rPr>
                <w:rFonts w:hint="eastAsia" w:ascii="宋体" w:hAnsi="宋体" w:eastAsia="宋体" w:cs="宋体"/>
                <w:kern w:val="0"/>
                <w:sz w:val="15"/>
                <w:szCs w:val="15"/>
                <w:lang w:val="en-US" w:eastAsia="zh-CN" w:bidi="ar"/>
              </w:rPr>
              <w:t>投 标 单 位</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43AB9CE7">
            <w:pPr>
              <w:widowControl/>
              <w:jc w:val="center"/>
              <w:textAlignment w:val="center"/>
              <w:rPr>
                <w:rFonts w:hint="eastAsia" w:ascii="宋体" w:hAnsi="宋体" w:cs="宋体"/>
                <w:kern w:val="0"/>
                <w:sz w:val="15"/>
                <w:szCs w:val="15"/>
                <w:lang w:bidi="ar"/>
              </w:rPr>
            </w:pPr>
            <w:r>
              <w:rPr>
                <w:rFonts w:hint="eastAsia" w:ascii="宋体" w:hAnsi="宋体" w:eastAsia="宋体" w:cs="宋体"/>
                <w:kern w:val="0"/>
                <w:sz w:val="15"/>
                <w:szCs w:val="15"/>
                <w:lang w:val="en-US" w:eastAsia="zh-CN" w:bidi="ar"/>
              </w:rPr>
              <w:t>提供有效的营业执照</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3762748">
            <w:pPr>
              <w:widowControl/>
              <w:jc w:val="center"/>
              <w:textAlignment w:val="center"/>
              <w:rPr>
                <w:rFonts w:hint="eastAsia" w:ascii="宋体" w:hAnsi="宋体" w:cs="宋体"/>
                <w:kern w:val="0"/>
                <w:sz w:val="15"/>
                <w:szCs w:val="15"/>
                <w:lang w:bidi="ar"/>
              </w:rPr>
            </w:pPr>
            <w:r>
              <w:rPr>
                <w:rFonts w:hint="eastAsia" w:ascii="宋体" w:hAnsi="宋体" w:eastAsia="宋体" w:cs="宋体"/>
                <w:kern w:val="0"/>
                <w:sz w:val="15"/>
                <w:szCs w:val="15"/>
                <w:lang w:val="en-US" w:eastAsia="zh-CN" w:bidi="ar"/>
              </w:rPr>
              <w:t>法定代表人证明或法定代表人授权委托书签字（章）并加盖公章</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876AF41">
            <w:pPr>
              <w:widowControl/>
              <w:jc w:val="center"/>
              <w:textAlignment w:val="center"/>
              <w:rPr>
                <w:rFonts w:hint="eastAsia" w:ascii="宋体" w:hAnsi="宋体" w:cs="宋体"/>
                <w:kern w:val="0"/>
                <w:sz w:val="15"/>
                <w:szCs w:val="15"/>
                <w:lang w:bidi="ar"/>
              </w:rPr>
            </w:pPr>
            <w:r>
              <w:rPr>
                <w:rFonts w:hint="eastAsia" w:ascii="宋体" w:hAnsi="宋体" w:eastAsia="宋体" w:cs="宋体"/>
                <w:kern w:val="0"/>
                <w:sz w:val="15"/>
                <w:szCs w:val="15"/>
                <w:lang w:val="en-US" w:eastAsia="zh-CN" w:bidi="ar"/>
              </w:rPr>
              <w:t>提供投标单位近三个月内（任意一个月）的社保证明</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7E5CF24">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val="en-US" w:eastAsia="zh-CN" w:bidi="ar"/>
              </w:rPr>
              <w:t>近三个月所属期限内（任意一个月）依法缴纳税收的证明（税务部门出具的完税凭证或缴税证明或银行出具的“银行电子缴税付款证”）；</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14:paraId="7FE7E711">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val="en-US" w:eastAsia="zh-CN" w:bidi="ar"/>
              </w:rPr>
              <w:t>良好的商业信誉和健全的财务会计制度证明材料(2023年度或2024年度会计师事务所出具的审计报告，2025年新办企业可提供近三个月内的银行资信证明</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5BCAB05E">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val="en-US" w:eastAsia="zh-CN" w:bidi="ar"/>
              </w:rPr>
              <w:t>提供投标单位按招标文件要求缴纳投标保证金的缴款凭证或金融机构、担保机构出具的保函</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181FE4C">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val="en-US" w:eastAsia="zh-CN" w:bidi="ar"/>
              </w:rPr>
              <w:t>投标单位（供应商）其法人参加本次采购活动前三年内，在经营活动中没有重大违法记录的声明及对本次项目《反商业贿赂承诺书》</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EDEA7C8">
            <w:pPr>
              <w:widowControl/>
              <w:jc w:val="center"/>
              <w:textAlignment w:val="center"/>
              <w:rPr>
                <w:rFonts w:hint="eastAsia" w:ascii="宋体" w:hAnsi="宋体" w:cs="宋体"/>
                <w:kern w:val="0"/>
                <w:sz w:val="15"/>
                <w:szCs w:val="15"/>
                <w:lang w:bidi="ar"/>
              </w:rPr>
            </w:pPr>
            <w:r>
              <w:rPr>
                <w:rFonts w:hint="eastAsia" w:ascii="宋体" w:hAnsi="宋体" w:eastAsia="宋体" w:cs="宋体"/>
                <w:kern w:val="0"/>
                <w:sz w:val="15"/>
                <w:szCs w:val="15"/>
                <w:lang w:val="en-US" w:eastAsia="zh-CN" w:bidi="ar"/>
              </w:rPr>
              <w:t>供应商须具有在有效期内的检验检测机构资质认定证书</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04E5ABA">
            <w:pPr>
              <w:widowControl/>
              <w:jc w:val="center"/>
              <w:textAlignment w:val="center"/>
              <w:rPr>
                <w:rFonts w:hint="eastAsia" w:ascii="宋体" w:hAnsi="宋体" w:cs="宋体"/>
                <w:kern w:val="0"/>
                <w:sz w:val="15"/>
                <w:szCs w:val="15"/>
              </w:rPr>
            </w:pPr>
            <w:r>
              <w:rPr>
                <w:rFonts w:hint="eastAsia" w:ascii="宋体" w:hAnsi="宋体" w:cs="宋体"/>
                <w:kern w:val="0"/>
                <w:sz w:val="15"/>
                <w:szCs w:val="15"/>
              </w:rPr>
              <w:t>是否通过审查</w:t>
            </w:r>
          </w:p>
        </w:tc>
      </w:tr>
      <w:tr w14:paraId="05A7A912">
        <w:tblPrEx>
          <w:tblCellMar>
            <w:top w:w="15" w:type="dxa"/>
            <w:left w:w="15" w:type="dxa"/>
            <w:bottom w:w="15" w:type="dxa"/>
            <w:right w:w="15" w:type="dxa"/>
          </w:tblCellMar>
        </w:tblPrEx>
        <w:trPr>
          <w:trHeight w:val="518" w:hRule="atLeast"/>
        </w:trPr>
        <w:tc>
          <w:tcPr>
            <w:tcW w:w="349" w:type="dxa"/>
            <w:tcBorders>
              <w:top w:val="single" w:color="000000" w:sz="4" w:space="0"/>
              <w:left w:val="single" w:color="000000" w:sz="4" w:space="0"/>
              <w:bottom w:val="single" w:color="000000" w:sz="4" w:space="0"/>
              <w:right w:val="single" w:color="000000" w:sz="4" w:space="0"/>
            </w:tcBorders>
            <w:noWrap w:val="0"/>
            <w:vAlign w:val="center"/>
          </w:tcPr>
          <w:p w14:paraId="6E48DE7E">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1</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14:paraId="46AEEA21">
            <w:pPr>
              <w:jc w:val="left"/>
              <w:rPr>
                <w:rFonts w:hint="eastAsia" w:ascii="宋体" w:hAnsi="宋体" w:cs="宋体"/>
                <w:sz w:val="20"/>
                <w:szCs w:val="20"/>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4E7777FB">
            <w:pPr>
              <w:jc w:val="center"/>
              <w:rPr>
                <w:rFonts w:hint="eastAsia" w:ascii="宋体" w:hAnsi="宋体" w:cs="宋体"/>
                <w:sz w:val="20"/>
                <w:szCs w:val="2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711093B">
            <w:pPr>
              <w:jc w:val="center"/>
              <w:rPr>
                <w:rFonts w:hint="eastAsia" w:ascii="宋体" w:hAnsi="宋体" w:cs="宋体"/>
                <w:sz w:val="20"/>
                <w:szCs w:val="20"/>
              </w:rPr>
            </w:pPr>
          </w:p>
        </w:tc>
        <w:tc>
          <w:tcPr>
            <w:tcW w:w="1026" w:type="dxa"/>
            <w:tcBorders>
              <w:top w:val="single" w:color="000000" w:sz="4" w:space="0"/>
              <w:left w:val="single" w:color="000000" w:sz="4" w:space="0"/>
              <w:bottom w:val="single" w:color="000000" w:sz="4" w:space="0"/>
              <w:right w:val="single" w:color="000000" w:sz="4" w:space="0"/>
            </w:tcBorders>
            <w:noWrap w:val="0"/>
            <w:vAlign w:val="top"/>
          </w:tcPr>
          <w:p w14:paraId="46700CB9">
            <w:pPr>
              <w:jc w:val="center"/>
              <w:rPr>
                <w:rFonts w:hint="eastAsia" w:ascii="宋体" w:hAnsi="宋体" w:cs="宋体"/>
                <w:sz w:val="20"/>
                <w:szCs w:val="20"/>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B70D48B">
            <w:pPr>
              <w:jc w:val="center"/>
              <w:rPr>
                <w:rFonts w:hint="eastAsia" w:ascii="宋体" w:hAnsi="宋体" w:cs="宋体"/>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14:paraId="2985E610">
            <w:pPr>
              <w:jc w:val="center"/>
              <w:rPr>
                <w:rFonts w:hint="eastAsia" w:ascii="宋体" w:hAnsi="宋体" w:cs="宋体"/>
                <w:sz w:val="20"/>
                <w:szCs w:val="20"/>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3CD2C582">
            <w:pPr>
              <w:jc w:val="center"/>
              <w:rPr>
                <w:rFonts w:hint="eastAsia" w:ascii="宋体" w:hAnsi="宋体" w:cs="宋体"/>
                <w:sz w:val="20"/>
                <w:szCs w:val="20"/>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207DF5B">
            <w:pPr>
              <w:jc w:val="center"/>
              <w:rPr>
                <w:rFonts w:hint="eastAsia" w:ascii="宋体" w:hAnsi="宋体" w:cs="宋体"/>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75E01FE">
            <w:pPr>
              <w:jc w:val="center"/>
              <w:rPr>
                <w:rFonts w:hint="eastAsia" w:ascii="宋体" w:hAnsi="宋体" w:cs="宋体"/>
                <w:sz w:val="20"/>
                <w:szCs w:val="20"/>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64475A6">
            <w:pPr>
              <w:jc w:val="center"/>
              <w:rPr>
                <w:rFonts w:hint="eastAsia" w:ascii="宋体" w:hAnsi="宋体" w:cs="宋体"/>
                <w:sz w:val="20"/>
                <w:szCs w:val="20"/>
              </w:rPr>
            </w:pPr>
          </w:p>
        </w:tc>
      </w:tr>
    </w:tbl>
    <w:p w14:paraId="345795BC">
      <w:pPr>
        <w:pStyle w:val="8"/>
        <w:rPr>
          <w:rFonts w:hint="eastAsia" w:ascii="仿宋" w:hAnsi="仿宋" w:eastAsia="仿宋" w:cs="仿宋"/>
        </w:rPr>
      </w:pPr>
    </w:p>
    <w:p w14:paraId="61953015">
      <w:pPr>
        <w:pStyle w:val="8"/>
        <w:keepNext w:val="0"/>
        <w:keepLines w:val="0"/>
        <w:pageBreakBefore w:val="0"/>
        <w:tabs>
          <w:tab w:val="clear" w:pos="567"/>
        </w:tabs>
        <w:kinsoku/>
        <w:wordWrap/>
        <w:overflowPunct/>
        <w:topLinePunct w:val="0"/>
        <w:bidi w:val="0"/>
        <w:spacing w:before="0" w:line="360" w:lineRule="auto"/>
        <w:ind w:left="-181" w:leftChars="-86" w:firstLine="607" w:firstLineChars="275"/>
        <w:outlineLvl w:val="9"/>
        <w:rPr>
          <w:rFonts w:hint="eastAsia" w:ascii="仿宋" w:hAnsi="仿宋" w:eastAsia="仿宋" w:cs="仿宋"/>
          <w:b/>
          <w:kern w:val="0"/>
          <w:sz w:val="22"/>
          <w:szCs w:val="22"/>
          <w:lang w:bidi="ar"/>
        </w:rPr>
      </w:pPr>
      <w:r>
        <w:rPr>
          <w:rFonts w:hint="eastAsia" w:ascii="仿宋" w:hAnsi="仿宋" w:eastAsia="仿宋" w:cs="仿宋"/>
          <w:b/>
          <w:kern w:val="0"/>
          <w:sz w:val="22"/>
          <w:szCs w:val="22"/>
          <w:lang w:bidi="ar"/>
        </w:rPr>
        <w:t>注：按评审标准对上述内容评审，满足要求的在对应的框内打“√”，不满足要求的在对应的框内打“×”。对可以进入详评的</w:t>
      </w:r>
      <w:r>
        <w:rPr>
          <w:rFonts w:hint="eastAsia" w:ascii="仿宋" w:hAnsi="仿宋" w:eastAsia="仿宋" w:cs="仿宋"/>
          <w:b/>
          <w:kern w:val="0"/>
          <w:sz w:val="22"/>
          <w:szCs w:val="22"/>
          <w:lang w:eastAsia="zh-CN" w:bidi="ar"/>
        </w:rPr>
        <w:t>供应商</w:t>
      </w:r>
      <w:r>
        <w:rPr>
          <w:rFonts w:hint="eastAsia" w:ascii="仿宋" w:hAnsi="仿宋" w:eastAsia="仿宋" w:cs="仿宋"/>
          <w:b/>
          <w:kern w:val="0"/>
          <w:sz w:val="22"/>
          <w:szCs w:val="22"/>
          <w:lang w:bidi="ar"/>
        </w:rPr>
        <w:t>，在该</w:t>
      </w:r>
      <w:r>
        <w:rPr>
          <w:rFonts w:hint="eastAsia" w:ascii="仿宋" w:hAnsi="仿宋" w:eastAsia="仿宋" w:cs="仿宋"/>
          <w:b/>
          <w:kern w:val="0"/>
          <w:sz w:val="22"/>
          <w:szCs w:val="22"/>
          <w:lang w:eastAsia="zh-CN" w:bidi="ar"/>
        </w:rPr>
        <w:t>供应商</w:t>
      </w:r>
      <w:r>
        <w:rPr>
          <w:rFonts w:hint="eastAsia" w:ascii="仿宋" w:hAnsi="仿宋" w:eastAsia="仿宋" w:cs="仿宋"/>
          <w:b/>
          <w:kern w:val="0"/>
          <w:sz w:val="22"/>
          <w:szCs w:val="22"/>
          <w:lang w:bidi="ar"/>
        </w:rPr>
        <w:t>所对应的“是否通过评审“栏中打“√”。一项未提供，则不通过。</w:t>
      </w:r>
    </w:p>
    <w:p w14:paraId="4A8BBFC7">
      <w:pPr>
        <w:pStyle w:val="8"/>
        <w:keepNext w:val="0"/>
        <w:keepLines w:val="0"/>
        <w:pageBreakBefore w:val="0"/>
        <w:tabs>
          <w:tab w:val="clear" w:pos="567"/>
        </w:tabs>
        <w:kinsoku/>
        <w:wordWrap/>
        <w:overflowPunct/>
        <w:topLinePunct w:val="0"/>
        <w:bidi w:val="0"/>
        <w:spacing w:before="0" w:line="360" w:lineRule="auto"/>
        <w:ind w:left="-181" w:leftChars="-86" w:firstLine="663" w:firstLineChars="275"/>
        <w:outlineLvl w:val="9"/>
        <w:rPr>
          <w:rFonts w:hint="eastAsia" w:ascii="仿宋" w:hAnsi="仿宋" w:eastAsia="仿宋" w:cs="仿宋"/>
          <w:b/>
          <w:bCs/>
          <w:iCs/>
        </w:rPr>
      </w:pPr>
      <w:r>
        <w:rPr>
          <w:rFonts w:hint="eastAsia" w:ascii="仿宋" w:hAnsi="仿宋" w:eastAsia="仿宋" w:cs="仿宋"/>
          <w:b/>
          <w:bCs/>
          <w:iCs/>
        </w:rPr>
        <w:t>3.3符合性检查。</w:t>
      </w:r>
    </w:p>
    <w:p w14:paraId="07AA9636">
      <w:pPr>
        <w:pStyle w:val="8"/>
        <w:keepNext w:val="0"/>
        <w:keepLines w:val="0"/>
        <w:pageBreakBefore w:val="0"/>
        <w:tabs>
          <w:tab w:val="clear" w:pos="567"/>
        </w:tabs>
        <w:kinsoku/>
        <w:wordWrap/>
        <w:overflowPunct/>
        <w:topLinePunct w:val="0"/>
        <w:bidi w:val="0"/>
        <w:spacing w:before="0" w:line="360" w:lineRule="auto"/>
        <w:ind w:left="-181" w:leftChars="-86" w:firstLine="660" w:firstLineChars="275"/>
        <w:outlineLvl w:val="9"/>
        <w:rPr>
          <w:rFonts w:hint="eastAsia" w:ascii="仿宋" w:hAnsi="仿宋" w:eastAsia="仿宋" w:cs="仿宋"/>
          <w:iCs/>
        </w:rPr>
      </w:pPr>
      <w:r>
        <w:rPr>
          <w:rFonts w:hint="eastAsia" w:ascii="仿宋" w:hAnsi="仿宋" w:eastAsia="仿宋" w:cs="仿宋"/>
          <w:iCs/>
        </w:rPr>
        <w:t>3.3.1评标委员会依据本</w:t>
      </w:r>
      <w:r>
        <w:rPr>
          <w:rFonts w:hint="eastAsia" w:ascii="仿宋" w:hAnsi="仿宋" w:eastAsia="仿宋" w:cs="仿宋"/>
          <w:iCs/>
          <w:lang w:eastAsia="zh-CN"/>
        </w:rPr>
        <w:t>磋商文件</w:t>
      </w:r>
      <w:r>
        <w:rPr>
          <w:rFonts w:hint="eastAsia" w:ascii="仿宋" w:hAnsi="仿宋" w:eastAsia="仿宋" w:cs="仿宋"/>
          <w:iCs/>
        </w:rPr>
        <w:t>的实质性要求，对符合资格的</w:t>
      </w:r>
      <w:r>
        <w:rPr>
          <w:rFonts w:hint="eastAsia" w:ascii="仿宋" w:hAnsi="仿宋" w:eastAsia="仿宋" w:cs="仿宋"/>
          <w:iCs/>
          <w:lang w:eastAsia="zh-CN"/>
        </w:rPr>
        <w:t>响应文件</w:t>
      </w:r>
      <w:r>
        <w:rPr>
          <w:rFonts w:hint="eastAsia" w:ascii="仿宋" w:hAnsi="仿宋" w:eastAsia="仿宋" w:cs="仿宋"/>
          <w:iCs/>
        </w:rPr>
        <w:t>进行审查，以确定其是否满足本</w:t>
      </w:r>
      <w:r>
        <w:rPr>
          <w:rFonts w:hint="eastAsia" w:ascii="仿宋" w:hAnsi="仿宋" w:eastAsia="仿宋" w:cs="仿宋"/>
          <w:iCs/>
          <w:lang w:eastAsia="zh-CN"/>
        </w:rPr>
        <w:t>磋商文件</w:t>
      </w:r>
      <w:r>
        <w:rPr>
          <w:rFonts w:hint="eastAsia" w:ascii="仿宋" w:hAnsi="仿宋" w:eastAsia="仿宋" w:cs="仿宋"/>
          <w:iCs/>
        </w:rPr>
        <w:t>的实质性要求。</w:t>
      </w:r>
    </w:p>
    <w:p w14:paraId="4A9201DD">
      <w:pPr>
        <w:pStyle w:val="6"/>
        <w:keepNext w:val="0"/>
        <w:keepLines w:val="0"/>
        <w:pageBreakBefore w:val="0"/>
        <w:kinsoku/>
        <w:wordWrap/>
        <w:overflowPunct/>
        <w:topLinePunct w:val="0"/>
        <w:bidi w:val="0"/>
        <w:spacing w:line="300" w:lineRule="auto"/>
        <w:ind w:firstLine="0"/>
        <w:jc w:val="center"/>
        <w:outlineLvl w:val="9"/>
        <w:rPr>
          <w:rFonts w:hint="eastAsia" w:ascii="仿宋" w:hAnsi="仿宋" w:eastAsia="仿宋" w:cs="仿宋"/>
          <w:b/>
          <w:bCs/>
          <w:szCs w:val="24"/>
        </w:rPr>
      </w:pPr>
      <w:r>
        <w:rPr>
          <w:rFonts w:hint="eastAsia" w:ascii="仿宋" w:hAnsi="仿宋" w:eastAsia="仿宋" w:cs="仿宋"/>
          <w:b/>
          <w:bCs/>
          <w:szCs w:val="24"/>
        </w:rPr>
        <w:t>符合性审查表</w:t>
      </w:r>
    </w:p>
    <w:tbl>
      <w:tblPr>
        <w:tblStyle w:val="23"/>
        <w:tblpPr w:leftFromText="180" w:rightFromText="180" w:vertAnchor="text" w:horzAnchor="page" w:tblpXSpec="center" w:tblpY="2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545"/>
        <w:gridCol w:w="1647"/>
      </w:tblGrid>
      <w:tr w14:paraId="1233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73" w:type="dxa"/>
            <w:gridSpan w:val="2"/>
            <w:noWrap w:val="0"/>
            <w:vAlign w:val="center"/>
          </w:tcPr>
          <w:p w14:paraId="18CE3950">
            <w:pPr>
              <w:keepNext w:val="0"/>
              <w:keepLines w:val="0"/>
              <w:pageBreakBefore w:val="0"/>
              <w:kinsoku/>
              <w:wordWrap/>
              <w:overflowPunct/>
              <w:topLinePunct w:val="0"/>
              <w:bidi w:val="0"/>
              <w:spacing w:line="300" w:lineRule="auto"/>
              <w:jc w:val="center"/>
              <w:outlineLvl w:val="9"/>
              <w:rPr>
                <w:rFonts w:hint="eastAsia" w:ascii="仿宋" w:hAnsi="仿宋" w:eastAsia="仿宋" w:cs="仿宋"/>
                <w:spacing w:val="-2"/>
                <w:szCs w:val="21"/>
              </w:rPr>
            </w:pPr>
            <w:r>
              <w:rPr>
                <w:rFonts w:hint="eastAsia" w:ascii="仿宋" w:hAnsi="仿宋" w:eastAsia="仿宋" w:cs="仿宋"/>
                <w:spacing w:val="-2"/>
                <w:szCs w:val="21"/>
              </w:rPr>
              <w:t>评审内容</w:t>
            </w:r>
          </w:p>
        </w:tc>
        <w:tc>
          <w:tcPr>
            <w:tcW w:w="1647" w:type="dxa"/>
            <w:noWrap w:val="0"/>
            <w:vAlign w:val="center"/>
          </w:tcPr>
          <w:p w14:paraId="2CDFBE35">
            <w:pPr>
              <w:keepNext w:val="0"/>
              <w:keepLines w:val="0"/>
              <w:pageBreakBefore w:val="0"/>
              <w:kinsoku/>
              <w:wordWrap/>
              <w:overflowPunct/>
              <w:topLinePunct w:val="0"/>
              <w:bidi w:val="0"/>
              <w:spacing w:line="300" w:lineRule="auto"/>
              <w:jc w:val="center"/>
              <w:outlineLvl w:val="9"/>
              <w:rPr>
                <w:rFonts w:hint="eastAsia" w:ascii="仿宋" w:hAnsi="仿宋" w:eastAsia="仿宋" w:cs="仿宋"/>
                <w:spacing w:val="-2"/>
                <w:szCs w:val="21"/>
              </w:rPr>
            </w:pPr>
            <w:r>
              <w:rPr>
                <w:rFonts w:hint="eastAsia" w:ascii="仿宋" w:hAnsi="仿宋" w:eastAsia="仿宋" w:cs="仿宋"/>
                <w:b/>
                <w:szCs w:val="21"/>
              </w:rPr>
              <w:t>评审意见</w:t>
            </w:r>
          </w:p>
        </w:tc>
      </w:tr>
      <w:tr w14:paraId="6626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8" w:type="dxa"/>
            <w:noWrap w:val="0"/>
            <w:vAlign w:val="center"/>
          </w:tcPr>
          <w:p w14:paraId="7FB7E2EA">
            <w:pPr>
              <w:keepNext w:val="0"/>
              <w:keepLines w:val="0"/>
              <w:pageBreakBefore w:val="0"/>
              <w:kinsoku/>
              <w:wordWrap/>
              <w:overflowPunct/>
              <w:topLinePunct w:val="0"/>
              <w:bidi w:val="0"/>
              <w:spacing w:line="300" w:lineRule="auto"/>
              <w:jc w:val="center"/>
              <w:outlineLvl w:val="9"/>
              <w:rPr>
                <w:rFonts w:hint="eastAsia" w:ascii="仿宋" w:hAnsi="仿宋" w:eastAsia="仿宋" w:cs="仿宋"/>
                <w:szCs w:val="21"/>
              </w:rPr>
            </w:pPr>
            <w:r>
              <w:rPr>
                <w:rFonts w:hint="eastAsia" w:ascii="仿宋" w:hAnsi="仿宋" w:eastAsia="仿宋" w:cs="仿宋"/>
                <w:szCs w:val="21"/>
              </w:rPr>
              <w:t>序号</w:t>
            </w:r>
          </w:p>
        </w:tc>
        <w:tc>
          <w:tcPr>
            <w:tcW w:w="6545" w:type="dxa"/>
            <w:noWrap w:val="0"/>
            <w:vAlign w:val="center"/>
          </w:tcPr>
          <w:p w14:paraId="55A5B2E5">
            <w:pPr>
              <w:keepNext w:val="0"/>
              <w:keepLines w:val="0"/>
              <w:pageBreakBefore w:val="0"/>
              <w:kinsoku/>
              <w:wordWrap/>
              <w:overflowPunct/>
              <w:topLinePunct w:val="0"/>
              <w:bidi w:val="0"/>
              <w:spacing w:line="300" w:lineRule="auto"/>
              <w:jc w:val="center"/>
              <w:outlineLvl w:val="9"/>
              <w:rPr>
                <w:rFonts w:hint="eastAsia" w:ascii="仿宋" w:hAnsi="仿宋" w:eastAsia="仿宋" w:cs="仿宋"/>
                <w:spacing w:val="-2"/>
                <w:szCs w:val="21"/>
              </w:rPr>
            </w:pPr>
          </w:p>
        </w:tc>
        <w:tc>
          <w:tcPr>
            <w:tcW w:w="1647" w:type="dxa"/>
            <w:noWrap w:val="0"/>
            <w:vAlign w:val="center"/>
          </w:tcPr>
          <w:p w14:paraId="10DED60C">
            <w:pPr>
              <w:keepNext w:val="0"/>
              <w:keepLines w:val="0"/>
              <w:pageBreakBefore w:val="0"/>
              <w:kinsoku/>
              <w:wordWrap/>
              <w:overflowPunct/>
              <w:topLinePunct w:val="0"/>
              <w:bidi w:val="0"/>
              <w:spacing w:line="300" w:lineRule="auto"/>
              <w:jc w:val="center"/>
              <w:outlineLvl w:val="9"/>
              <w:rPr>
                <w:rFonts w:hint="eastAsia" w:ascii="仿宋" w:hAnsi="仿宋" w:eastAsia="仿宋" w:cs="仿宋"/>
                <w:spacing w:val="-2"/>
                <w:szCs w:val="21"/>
              </w:rPr>
            </w:pPr>
            <w:r>
              <w:rPr>
                <w:rFonts w:hint="eastAsia" w:ascii="仿宋" w:hAnsi="仿宋" w:eastAsia="仿宋" w:cs="仿宋"/>
                <w:spacing w:val="-2"/>
                <w:szCs w:val="21"/>
              </w:rPr>
              <w:t>是否合格</w:t>
            </w:r>
          </w:p>
        </w:tc>
      </w:tr>
      <w:tr w14:paraId="7141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0"/>
            <w:vAlign w:val="center"/>
          </w:tcPr>
          <w:p w14:paraId="3BF98800">
            <w:pPr>
              <w:keepNext w:val="0"/>
              <w:keepLines w:val="0"/>
              <w:pageBreakBefore w:val="0"/>
              <w:kinsoku/>
              <w:wordWrap/>
              <w:overflowPunct/>
              <w:topLinePunct w:val="0"/>
              <w:bidi w:val="0"/>
              <w:spacing w:line="300" w:lineRule="auto"/>
              <w:jc w:val="center"/>
              <w:outlineLvl w:val="9"/>
              <w:rPr>
                <w:rFonts w:hint="eastAsia" w:ascii="仿宋" w:hAnsi="仿宋" w:eastAsia="仿宋" w:cs="仿宋"/>
                <w:szCs w:val="21"/>
              </w:rPr>
            </w:pPr>
            <w:r>
              <w:rPr>
                <w:rFonts w:hint="eastAsia" w:ascii="仿宋" w:hAnsi="仿宋" w:eastAsia="仿宋" w:cs="仿宋"/>
                <w:szCs w:val="21"/>
              </w:rPr>
              <w:t>1</w:t>
            </w:r>
          </w:p>
        </w:tc>
        <w:tc>
          <w:tcPr>
            <w:tcW w:w="6545" w:type="dxa"/>
            <w:noWrap w:val="0"/>
            <w:vAlign w:val="center"/>
          </w:tcPr>
          <w:p w14:paraId="75A6BA8A">
            <w:pPr>
              <w:keepNext w:val="0"/>
              <w:keepLines w:val="0"/>
              <w:pageBreakBefore w:val="0"/>
              <w:widowControl/>
              <w:kinsoku/>
              <w:wordWrap/>
              <w:overflowPunct/>
              <w:topLinePunct w:val="0"/>
              <w:bidi w:val="0"/>
              <w:spacing w:line="300" w:lineRule="auto"/>
              <w:jc w:val="left"/>
              <w:textAlignment w:val="center"/>
              <w:outlineLvl w:val="9"/>
              <w:rPr>
                <w:rFonts w:hint="eastAsia" w:ascii="仿宋" w:hAnsi="仿宋" w:eastAsia="微软雅黑" w:cs="仿宋"/>
                <w:spacing w:val="-2"/>
                <w:szCs w:val="21"/>
                <w:lang w:eastAsia="zh-CN"/>
              </w:rPr>
            </w:pPr>
            <w:r>
              <w:rPr>
                <w:rFonts w:ascii="微软雅黑" w:hAnsi="微软雅黑" w:eastAsia="微软雅黑" w:cs="微软雅黑"/>
                <w:i w:val="0"/>
                <w:iCs w:val="0"/>
                <w:caps w:val="0"/>
                <w:color w:val="232323"/>
                <w:spacing w:val="0"/>
                <w:sz w:val="21"/>
                <w:szCs w:val="21"/>
              </w:rPr>
              <w:t>投标报价高于预算金额</w:t>
            </w:r>
            <w:r>
              <w:rPr>
                <w:rFonts w:hint="eastAsia" w:ascii="微软雅黑" w:hAnsi="微软雅黑" w:eastAsia="微软雅黑" w:cs="微软雅黑"/>
                <w:i w:val="0"/>
                <w:iCs w:val="0"/>
                <w:caps w:val="0"/>
                <w:color w:val="232323"/>
                <w:spacing w:val="0"/>
                <w:sz w:val="21"/>
                <w:szCs w:val="21"/>
                <w:lang w:eastAsia="zh-CN"/>
              </w:rPr>
              <w:t>的；</w:t>
            </w:r>
          </w:p>
        </w:tc>
        <w:tc>
          <w:tcPr>
            <w:tcW w:w="1647" w:type="dxa"/>
            <w:noWrap w:val="0"/>
            <w:vAlign w:val="center"/>
          </w:tcPr>
          <w:p w14:paraId="43239CF9">
            <w:pPr>
              <w:keepNext w:val="0"/>
              <w:keepLines w:val="0"/>
              <w:pageBreakBefore w:val="0"/>
              <w:kinsoku/>
              <w:wordWrap/>
              <w:overflowPunct/>
              <w:topLinePunct w:val="0"/>
              <w:bidi w:val="0"/>
              <w:spacing w:line="300" w:lineRule="auto"/>
              <w:outlineLvl w:val="9"/>
              <w:rPr>
                <w:rFonts w:hint="eastAsia" w:ascii="仿宋" w:hAnsi="仿宋" w:eastAsia="仿宋" w:cs="仿宋"/>
                <w:spacing w:val="-2"/>
                <w:szCs w:val="21"/>
              </w:rPr>
            </w:pPr>
          </w:p>
        </w:tc>
      </w:tr>
      <w:tr w14:paraId="5D69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0"/>
            <w:vAlign w:val="center"/>
          </w:tcPr>
          <w:p w14:paraId="073EC2AC">
            <w:pPr>
              <w:keepNext w:val="0"/>
              <w:keepLines w:val="0"/>
              <w:pageBreakBefore w:val="0"/>
              <w:kinsoku/>
              <w:wordWrap/>
              <w:overflowPunct/>
              <w:topLinePunct w:val="0"/>
              <w:bidi w:val="0"/>
              <w:spacing w:line="300" w:lineRule="auto"/>
              <w:jc w:val="center"/>
              <w:outlineLvl w:val="9"/>
              <w:rPr>
                <w:rFonts w:hint="eastAsia" w:ascii="仿宋" w:hAnsi="仿宋" w:eastAsia="仿宋" w:cs="仿宋"/>
                <w:szCs w:val="21"/>
              </w:rPr>
            </w:pPr>
            <w:r>
              <w:rPr>
                <w:rFonts w:hint="eastAsia" w:ascii="仿宋" w:hAnsi="仿宋" w:eastAsia="仿宋" w:cs="仿宋"/>
                <w:szCs w:val="21"/>
              </w:rPr>
              <w:t>2</w:t>
            </w:r>
          </w:p>
        </w:tc>
        <w:tc>
          <w:tcPr>
            <w:tcW w:w="6545" w:type="dxa"/>
            <w:noWrap w:val="0"/>
            <w:vAlign w:val="center"/>
          </w:tcPr>
          <w:p w14:paraId="2D02E103">
            <w:pPr>
              <w:keepNext w:val="0"/>
              <w:keepLines w:val="0"/>
              <w:pageBreakBefore w:val="0"/>
              <w:widowControl/>
              <w:kinsoku/>
              <w:wordWrap/>
              <w:overflowPunct/>
              <w:topLinePunct w:val="0"/>
              <w:bidi w:val="0"/>
              <w:spacing w:line="300" w:lineRule="auto"/>
              <w:jc w:val="left"/>
              <w:textAlignment w:val="center"/>
              <w:outlineLvl w:val="9"/>
              <w:rPr>
                <w:rFonts w:hint="eastAsia" w:ascii="仿宋" w:hAnsi="仿宋" w:eastAsia="微软雅黑" w:cs="仿宋"/>
                <w:spacing w:val="-2"/>
                <w:szCs w:val="21"/>
                <w:lang w:eastAsia="zh-CN"/>
              </w:rPr>
            </w:pPr>
            <w:r>
              <w:rPr>
                <w:rFonts w:ascii="微软雅黑" w:hAnsi="微软雅黑" w:eastAsia="微软雅黑" w:cs="微软雅黑"/>
                <w:i w:val="0"/>
                <w:iCs w:val="0"/>
                <w:caps w:val="0"/>
                <w:color w:val="232323"/>
                <w:spacing w:val="0"/>
                <w:sz w:val="21"/>
                <w:szCs w:val="21"/>
              </w:rPr>
              <w:t>投标人之间或者投标人与采购人串通投标的</w:t>
            </w:r>
            <w:r>
              <w:rPr>
                <w:rFonts w:hint="eastAsia" w:ascii="微软雅黑" w:hAnsi="微软雅黑" w:eastAsia="微软雅黑" w:cs="微软雅黑"/>
                <w:i w:val="0"/>
                <w:iCs w:val="0"/>
                <w:caps w:val="0"/>
                <w:color w:val="232323"/>
                <w:spacing w:val="0"/>
                <w:sz w:val="21"/>
                <w:szCs w:val="21"/>
                <w:lang w:eastAsia="zh-CN"/>
              </w:rPr>
              <w:t>；</w:t>
            </w:r>
          </w:p>
        </w:tc>
        <w:tc>
          <w:tcPr>
            <w:tcW w:w="1647" w:type="dxa"/>
            <w:noWrap w:val="0"/>
            <w:vAlign w:val="center"/>
          </w:tcPr>
          <w:p w14:paraId="1A66A6AE">
            <w:pPr>
              <w:keepNext w:val="0"/>
              <w:keepLines w:val="0"/>
              <w:pageBreakBefore w:val="0"/>
              <w:kinsoku/>
              <w:wordWrap/>
              <w:overflowPunct/>
              <w:topLinePunct w:val="0"/>
              <w:bidi w:val="0"/>
              <w:spacing w:line="300" w:lineRule="auto"/>
              <w:outlineLvl w:val="9"/>
              <w:rPr>
                <w:rFonts w:hint="eastAsia" w:ascii="仿宋" w:hAnsi="仿宋" w:eastAsia="仿宋" w:cs="仿宋"/>
                <w:spacing w:val="-2"/>
                <w:szCs w:val="21"/>
              </w:rPr>
            </w:pPr>
          </w:p>
        </w:tc>
      </w:tr>
      <w:tr w14:paraId="534F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0"/>
            <w:vAlign w:val="center"/>
          </w:tcPr>
          <w:p w14:paraId="15647DD6">
            <w:pPr>
              <w:keepNext w:val="0"/>
              <w:keepLines w:val="0"/>
              <w:pageBreakBefore w:val="0"/>
              <w:kinsoku/>
              <w:wordWrap/>
              <w:overflowPunct/>
              <w:topLinePunct w:val="0"/>
              <w:bidi w:val="0"/>
              <w:spacing w:line="300" w:lineRule="auto"/>
              <w:jc w:val="center"/>
              <w:outlineLvl w:val="9"/>
              <w:rPr>
                <w:rFonts w:hint="eastAsia" w:ascii="仿宋" w:hAnsi="仿宋" w:eastAsia="仿宋" w:cs="仿宋"/>
                <w:szCs w:val="21"/>
              </w:rPr>
            </w:pPr>
            <w:r>
              <w:rPr>
                <w:rFonts w:hint="eastAsia" w:ascii="仿宋" w:hAnsi="仿宋" w:eastAsia="仿宋" w:cs="仿宋"/>
                <w:szCs w:val="21"/>
              </w:rPr>
              <w:t>3</w:t>
            </w:r>
          </w:p>
        </w:tc>
        <w:tc>
          <w:tcPr>
            <w:tcW w:w="6545" w:type="dxa"/>
            <w:noWrap w:val="0"/>
            <w:vAlign w:val="center"/>
          </w:tcPr>
          <w:p w14:paraId="51F997AD">
            <w:pPr>
              <w:keepNext w:val="0"/>
              <w:keepLines w:val="0"/>
              <w:pageBreakBefore w:val="0"/>
              <w:widowControl/>
              <w:kinsoku/>
              <w:wordWrap/>
              <w:overflowPunct/>
              <w:topLinePunct w:val="0"/>
              <w:bidi w:val="0"/>
              <w:spacing w:line="300" w:lineRule="auto"/>
              <w:jc w:val="left"/>
              <w:textAlignment w:val="center"/>
              <w:outlineLvl w:val="9"/>
              <w:rPr>
                <w:rFonts w:hint="eastAsia" w:ascii="仿宋" w:hAnsi="仿宋" w:eastAsia="微软雅黑" w:cs="仿宋"/>
                <w:szCs w:val="21"/>
                <w:lang w:eastAsia="zh-CN"/>
              </w:rPr>
            </w:pPr>
            <w:r>
              <w:rPr>
                <w:rFonts w:ascii="微软雅黑" w:hAnsi="微软雅黑" w:eastAsia="微软雅黑" w:cs="微软雅黑"/>
                <w:i w:val="0"/>
                <w:iCs w:val="0"/>
                <w:caps w:val="0"/>
                <w:color w:val="232323"/>
                <w:spacing w:val="0"/>
                <w:sz w:val="21"/>
                <w:szCs w:val="21"/>
              </w:rPr>
              <w:t>以行贿手段谋取中标或者未以其他弄虚作假方式投标的</w:t>
            </w:r>
            <w:r>
              <w:rPr>
                <w:rFonts w:hint="eastAsia" w:ascii="微软雅黑" w:hAnsi="微软雅黑" w:eastAsia="微软雅黑" w:cs="微软雅黑"/>
                <w:i w:val="0"/>
                <w:iCs w:val="0"/>
                <w:caps w:val="0"/>
                <w:color w:val="232323"/>
                <w:spacing w:val="0"/>
                <w:sz w:val="21"/>
                <w:szCs w:val="21"/>
                <w:lang w:eastAsia="zh-CN"/>
              </w:rPr>
              <w:t>；</w:t>
            </w:r>
          </w:p>
        </w:tc>
        <w:tc>
          <w:tcPr>
            <w:tcW w:w="1647" w:type="dxa"/>
            <w:noWrap w:val="0"/>
            <w:vAlign w:val="center"/>
          </w:tcPr>
          <w:p w14:paraId="4E7B1A42">
            <w:pPr>
              <w:keepNext w:val="0"/>
              <w:keepLines w:val="0"/>
              <w:pageBreakBefore w:val="0"/>
              <w:kinsoku/>
              <w:wordWrap/>
              <w:overflowPunct/>
              <w:topLinePunct w:val="0"/>
              <w:bidi w:val="0"/>
              <w:spacing w:line="300" w:lineRule="auto"/>
              <w:outlineLvl w:val="9"/>
              <w:rPr>
                <w:rFonts w:hint="eastAsia" w:ascii="仿宋" w:hAnsi="仿宋" w:eastAsia="仿宋" w:cs="仿宋"/>
                <w:szCs w:val="21"/>
              </w:rPr>
            </w:pPr>
          </w:p>
        </w:tc>
      </w:tr>
      <w:tr w14:paraId="0B2E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0"/>
            <w:vAlign w:val="center"/>
          </w:tcPr>
          <w:p w14:paraId="5455ECB3">
            <w:pPr>
              <w:keepNext w:val="0"/>
              <w:keepLines w:val="0"/>
              <w:pageBreakBefore w:val="0"/>
              <w:kinsoku/>
              <w:wordWrap/>
              <w:overflowPunct/>
              <w:topLinePunct w:val="0"/>
              <w:bidi w:val="0"/>
              <w:spacing w:line="300" w:lineRule="auto"/>
              <w:jc w:val="center"/>
              <w:outlineLvl w:val="9"/>
              <w:rPr>
                <w:rFonts w:hint="eastAsia" w:ascii="仿宋" w:hAnsi="仿宋" w:eastAsia="仿宋" w:cs="仿宋"/>
                <w:szCs w:val="21"/>
              </w:rPr>
            </w:pPr>
            <w:r>
              <w:rPr>
                <w:rFonts w:hint="eastAsia" w:ascii="仿宋" w:hAnsi="仿宋" w:eastAsia="仿宋" w:cs="仿宋"/>
                <w:szCs w:val="21"/>
              </w:rPr>
              <w:t>4</w:t>
            </w:r>
          </w:p>
        </w:tc>
        <w:tc>
          <w:tcPr>
            <w:tcW w:w="6545" w:type="dxa"/>
            <w:noWrap w:val="0"/>
            <w:vAlign w:val="center"/>
          </w:tcPr>
          <w:p w14:paraId="77195E4B">
            <w:pPr>
              <w:keepNext w:val="0"/>
              <w:keepLines w:val="0"/>
              <w:pageBreakBefore w:val="0"/>
              <w:widowControl/>
              <w:kinsoku/>
              <w:wordWrap/>
              <w:overflowPunct/>
              <w:topLinePunct w:val="0"/>
              <w:bidi w:val="0"/>
              <w:spacing w:line="300" w:lineRule="auto"/>
              <w:jc w:val="left"/>
              <w:textAlignment w:val="center"/>
              <w:outlineLvl w:val="9"/>
              <w:rPr>
                <w:rFonts w:hint="eastAsia" w:ascii="仿宋" w:hAnsi="仿宋" w:eastAsia="微软雅黑" w:cs="仿宋"/>
                <w:spacing w:val="-2"/>
                <w:szCs w:val="21"/>
                <w:lang w:eastAsia="zh-CN"/>
              </w:rPr>
            </w:pPr>
            <w:r>
              <w:rPr>
                <w:rFonts w:ascii="微软雅黑" w:hAnsi="微软雅黑" w:eastAsia="微软雅黑" w:cs="微软雅黑"/>
                <w:i w:val="0"/>
                <w:iCs w:val="0"/>
                <w:caps w:val="0"/>
                <w:color w:val="232323"/>
                <w:spacing w:val="0"/>
                <w:sz w:val="21"/>
                <w:szCs w:val="21"/>
              </w:rPr>
              <w:t>评标委员会共同确定实质上不响应招标文件要求的</w:t>
            </w:r>
            <w:r>
              <w:rPr>
                <w:rFonts w:hint="eastAsia" w:ascii="微软雅黑" w:hAnsi="微软雅黑" w:eastAsia="微软雅黑" w:cs="微软雅黑"/>
                <w:i w:val="0"/>
                <w:iCs w:val="0"/>
                <w:caps w:val="0"/>
                <w:color w:val="232323"/>
                <w:spacing w:val="0"/>
                <w:sz w:val="21"/>
                <w:szCs w:val="21"/>
                <w:lang w:eastAsia="zh-CN"/>
              </w:rPr>
              <w:t>；</w:t>
            </w:r>
          </w:p>
        </w:tc>
        <w:tc>
          <w:tcPr>
            <w:tcW w:w="1647" w:type="dxa"/>
            <w:noWrap w:val="0"/>
            <w:vAlign w:val="center"/>
          </w:tcPr>
          <w:p w14:paraId="2B31598E">
            <w:pPr>
              <w:keepNext w:val="0"/>
              <w:keepLines w:val="0"/>
              <w:pageBreakBefore w:val="0"/>
              <w:kinsoku/>
              <w:wordWrap/>
              <w:overflowPunct/>
              <w:topLinePunct w:val="0"/>
              <w:bidi w:val="0"/>
              <w:spacing w:line="300" w:lineRule="auto"/>
              <w:outlineLvl w:val="9"/>
              <w:rPr>
                <w:rFonts w:hint="eastAsia" w:ascii="仿宋" w:hAnsi="仿宋" w:eastAsia="仿宋" w:cs="仿宋"/>
                <w:spacing w:val="-2"/>
                <w:szCs w:val="21"/>
              </w:rPr>
            </w:pPr>
          </w:p>
        </w:tc>
      </w:tr>
      <w:tr w14:paraId="08EC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0"/>
            <w:vAlign w:val="center"/>
          </w:tcPr>
          <w:p w14:paraId="01678E7B">
            <w:pPr>
              <w:keepNext w:val="0"/>
              <w:keepLines w:val="0"/>
              <w:pageBreakBefore w:val="0"/>
              <w:kinsoku/>
              <w:wordWrap/>
              <w:overflowPunct/>
              <w:topLinePunct w:val="0"/>
              <w:bidi w:val="0"/>
              <w:spacing w:line="300" w:lineRule="auto"/>
              <w:jc w:val="center"/>
              <w:outlineLvl w:val="9"/>
              <w:rPr>
                <w:rFonts w:hint="eastAsia" w:ascii="仿宋" w:hAnsi="仿宋" w:eastAsia="仿宋" w:cs="仿宋"/>
                <w:szCs w:val="21"/>
              </w:rPr>
            </w:pPr>
            <w:r>
              <w:rPr>
                <w:rFonts w:hint="eastAsia" w:ascii="仿宋" w:hAnsi="仿宋" w:eastAsia="仿宋" w:cs="仿宋"/>
                <w:szCs w:val="21"/>
              </w:rPr>
              <w:t>5</w:t>
            </w:r>
          </w:p>
        </w:tc>
        <w:tc>
          <w:tcPr>
            <w:tcW w:w="6545" w:type="dxa"/>
            <w:noWrap w:val="0"/>
            <w:vAlign w:val="center"/>
          </w:tcPr>
          <w:p w14:paraId="32E752B5">
            <w:pPr>
              <w:keepNext w:val="0"/>
              <w:keepLines w:val="0"/>
              <w:pageBreakBefore w:val="0"/>
              <w:widowControl/>
              <w:kinsoku/>
              <w:wordWrap/>
              <w:overflowPunct/>
              <w:topLinePunct w:val="0"/>
              <w:bidi w:val="0"/>
              <w:spacing w:line="300" w:lineRule="auto"/>
              <w:jc w:val="left"/>
              <w:textAlignment w:val="center"/>
              <w:outlineLvl w:val="9"/>
              <w:rPr>
                <w:rFonts w:hint="eastAsia" w:ascii="仿宋" w:hAnsi="仿宋" w:eastAsia="仿宋" w:cs="仿宋"/>
                <w:spacing w:val="-2"/>
                <w:szCs w:val="21"/>
              </w:rPr>
            </w:pPr>
            <w:r>
              <w:rPr>
                <w:rFonts w:hint="eastAsia" w:ascii="微软雅黑" w:hAnsi="微软雅黑" w:eastAsia="微软雅黑" w:cs="微软雅黑"/>
                <w:i w:val="0"/>
                <w:iCs w:val="0"/>
                <w:caps w:val="0"/>
                <w:color w:val="232323"/>
                <w:spacing w:val="0"/>
                <w:sz w:val="21"/>
                <w:szCs w:val="21"/>
                <w:lang w:eastAsia="zh-CN"/>
              </w:rPr>
              <w:t>响应文件</w:t>
            </w:r>
            <w:r>
              <w:rPr>
                <w:rFonts w:hint="eastAsia" w:ascii="微软雅黑" w:hAnsi="微软雅黑" w:eastAsia="微软雅黑" w:cs="微软雅黑"/>
                <w:i w:val="0"/>
                <w:iCs w:val="0"/>
                <w:caps w:val="0"/>
                <w:color w:val="232323"/>
                <w:spacing w:val="0"/>
                <w:sz w:val="21"/>
                <w:szCs w:val="21"/>
              </w:rPr>
              <w:t>没有投标单位法定代表人或其授权代表签字（章）和加盖投标单位公章的；</w:t>
            </w:r>
          </w:p>
        </w:tc>
        <w:tc>
          <w:tcPr>
            <w:tcW w:w="1647" w:type="dxa"/>
            <w:noWrap w:val="0"/>
            <w:vAlign w:val="center"/>
          </w:tcPr>
          <w:p w14:paraId="2812F2BA">
            <w:pPr>
              <w:keepNext w:val="0"/>
              <w:keepLines w:val="0"/>
              <w:pageBreakBefore w:val="0"/>
              <w:kinsoku/>
              <w:wordWrap/>
              <w:overflowPunct/>
              <w:topLinePunct w:val="0"/>
              <w:bidi w:val="0"/>
              <w:spacing w:line="300" w:lineRule="auto"/>
              <w:outlineLvl w:val="9"/>
              <w:rPr>
                <w:rFonts w:hint="eastAsia" w:ascii="仿宋" w:hAnsi="仿宋" w:eastAsia="仿宋" w:cs="仿宋"/>
                <w:spacing w:val="-2"/>
                <w:szCs w:val="21"/>
              </w:rPr>
            </w:pPr>
          </w:p>
        </w:tc>
      </w:tr>
      <w:tr w14:paraId="0641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0"/>
            <w:vAlign w:val="center"/>
          </w:tcPr>
          <w:p w14:paraId="7529D75F">
            <w:pPr>
              <w:keepNext w:val="0"/>
              <w:keepLines w:val="0"/>
              <w:pageBreakBefore w:val="0"/>
              <w:kinsoku/>
              <w:wordWrap/>
              <w:overflowPunct/>
              <w:topLinePunct w:val="0"/>
              <w:bidi w:val="0"/>
              <w:spacing w:line="300" w:lineRule="auto"/>
              <w:jc w:val="center"/>
              <w:outlineLvl w:val="9"/>
              <w:rPr>
                <w:rFonts w:hint="eastAsia" w:ascii="仿宋" w:hAnsi="仿宋" w:eastAsia="仿宋" w:cs="仿宋"/>
                <w:szCs w:val="21"/>
              </w:rPr>
            </w:pPr>
            <w:r>
              <w:rPr>
                <w:rFonts w:hint="eastAsia" w:ascii="仿宋" w:hAnsi="仿宋" w:eastAsia="仿宋" w:cs="仿宋"/>
                <w:szCs w:val="21"/>
              </w:rPr>
              <w:t>6</w:t>
            </w:r>
          </w:p>
        </w:tc>
        <w:tc>
          <w:tcPr>
            <w:tcW w:w="6545" w:type="dxa"/>
            <w:noWrap w:val="0"/>
            <w:vAlign w:val="center"/>
          </w:tcPr>
          <w:p w14:paraId="0E042DFD">
            <w:pPr>
              <w:keepNext w:val="0"/>
              <w:keepLines w:val="0"/>
              <w:pageBreakBefore w:val="0"/>
              <w:widowControl/>
              <w:kinsoku/>
              <w:wordWrap/>
              <w:overflowPunct/>
              <w:topLinePunct w:val="0"/>
              <w:bidi w:val="0"/>
              <w:spacing w:line="300" w:lineRule="auto"/>
              <w:jc w:val="left"/>
              <w:textAlignment w:val="center"/>
              <w:outlineLvl w:val="9"/>
              <w:rPr>
                <w:rFonts w:hint="eastAsia" w:ascii="仿宋" w:hAnsi="仿宋" w:eastAsia="仿宋" w:cs="仿宋"/>
                <w:spacing w:val="-2"/>
                <w:szCs w:val="21"/>
              </w:rPr>
            </w:pPr>
            <w:r>
              <w:rPr>
                <w:rFonts w:hint="eastAsia" w:ascii="微软雅黑" w:hAnsi="微软雅黑" w:eastAsia="微软雅黑" w:cs="微软雅黑"/>
                <w:i w:val="0"/>
                <w:iCs w:val="0"/>
                <w:caps w:val="0"/>
                <w:color w:val="232323"/>
                <w:spacing w:val="0"/>
                <w:sz w:val="21"/>
                <w:szCs w:val="21"/>
              </w:rPr>
              <w:t>投标的政府采购项目完成期限超过</w:t>
            </w:r>
            <w:r>
              <w:rPr>
                <w:rFonts w:hint="eastAsia" w:ascii="微软雅黑" w:hAnsi="微软雅黑" w:eastAsia="微软雅黑" w:cs="微软雅黑"/>
                <w:i w:val="0"/>
                <w:iCs w:val="0"/>
                <w:caps w:val="0"/>
                <w:color w:val="232323"/>
                <w:spacing w:val="0"/>
                <w:sz w:val="21"/>
                <w:szCs w:val="21"/>
                <w:lang w:eastAsia="zh-CN"/>
              </w:rPr>
              <w:t>磋商文件</w:t>
            </w:r>
            <w:r>
              <w:rPr>
                <w:rFonts w:hint="eastAsia" w:ascii="微软雅黑" w:hAnsi="微软雅黑" w:eastAsia="微软雅黑" w:cs="微软雅黑"/>
                <w:i w:val="0"/>
                <w:iCs w:val="0"/>
                <w:caps w:val="0"/>
                <w:color w:val="232323"/>
                <w:spacing w:val="0"/>
                <w:sz w:val="21"/>
                <w:szCs w:val="21"/>
              </w:rPr>
              <w:t>规定期限的；</w:t>
            </w:r>
          </w:p>
        </w:tc>
        <w:tc>
          <w:tcPr>
            <w:tcW w:w="1647" w:type="dxa"/>
            <w:noWrap w:val="0"/>
            <w:vAlign w:val="center"/>
          </w:tcPr>
          <w:p w14:paraId="044B7821">
            <w:pPr>
              <w:keepNext w:val="0"/>
              <w:keepLines w:val="0"/>
              <w:pageBreakBefore w:val="0"/>
              <w:kinsoku/>
              <w:wordWrap/>
              <w:overflowPunct/>
              <w:topLinePunct w:val="0"/>
              <w:bidi w:val="0"/>
              <w:spacing w:line="300" w:lineRule="auto"/>
              <w:outlineLvl w:val="9"/>
              <w:rPr>
                <w:rFonts w:hint="eastAsia" w:ascii="仿宋" w:hAnsi="仿宋" w:eastAsia="仿宋" w:cs="仿宋"/>
                <w:spacing w:val="-2"/>
                <w:szCs w:val="21"/>
              </w:rPr>
            </w:pPr>
          </w:p>
        </w:tc>
      </w:tr>
      <w:tr w14:paraId="0F44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0"/>
            <w:vAlign w:val="center"/>
          </w:tcPr>
          <w:p w14:paraId="34E86787">
            <w:pPr>
              <w:keepNext w:val="0"/>
              <w:keepLines w:val="0"/>
              <w:pageBreakBefore w:val="0"/>
              <w:kinsoku/>
              <w:wordWrap/>
              <w:overflowPunct/>
              <w:topLinePunct w:val="0"/>
              <w:bidi w:val="0"/>
              <w:spacing w:line="300" w:lineRule="auto"/>
              <w:jc w:val="center"/>
              <w:outlineLvl w:val="9"/>
              <w:rPr>
                <w:rFonts w:hint="eastAsia" w:ascii="仿宋" w:hAnsi="仿宋" w:eastAsia="仿宋" w:cs="仿宋"/>
                <w:szCs w:val="21"/>
              </w:rPr>
            </w:pPr>
            <w:r>
              <w:rPr>
                <w:rFonts w:hint="eastAsia" w:ascii="仿宋" w:hAnsi="仿宋" w:eastAsia="仿宋" w:cs="仿宋"/>
                <w:szCs w:val="21"/>
              </w:rPr>
              <w:t>7</w:t>
            </w:r>
          </w:p>
        </w:tc>
        <w:tc>
          <w:tcPr>
            <w:tcW w:w="6545" w:type="dxa"/>
            <w:noWrap w:val="0"/>
            <w:vAlign w:val="center"/>
          </w:tcPr>
          <w:p w14:paraId="5F0DA043">
            <w:pPr>
              <w:keepNext w:val="0"/>
              <w:keepLines w:val="0"/>
              <w:pageBreakBefore w:val="0"/>
              <w:widowControl/>
              <w:kinsoku/>
              <w:wordWrap/>
              <w:overflowPunct/>
              <w:topLinePunct w:val="0"/>
              <w:bidi w:val="0"/>
              <w:spacing w:line="300" w:lineRule="auto"/>
              <w:jc w:val="left"/>
              <w:textAlignment w:val="center"/>
              <w:outlineLvl w:val="9"/>
              <w:rPr>
                <w:rFonts w:hint="eastAsia" w:ascii="仿宋" w:hAnsi="仿宋" w:eastAsia="微软雅黑" w:cs="仿宋"/>
                <w:spacing w:val="-2"/>
                <w:szCs w:val="21"/>
                <w:lang w:eastAsia="zh-CN"/>
              </w:rPr>
            </w:pPr>
            <w:r>
              <w:rPr>
                <w:rFonts w:ascii="微软雅黑" w:hAnsi="微软雅黑" w:eastAsia="微软雅黑" w:cs="微软雅黑"/>
                <w:i w:val="0"/>
                <w:iCs w:val="0"/>
                <w:caps w:val="0"/>
                <w:color w:val="232323"/>
                <w:spacing w:val="0"/>
                <w:sz w:val="21"/>
                <w:szCs w:val="21"/>
              </w:rPr>
              <w:t>投标文件附有采购人不能接受条件的</w:t>
            </w:r>
            <w:r>
              <w:rPr>
                <w:rFonts w:hint="eastAsia" w:ascii="微软雅黑" w:hAnsi="微软雅黑" w:eastAsia="微软雅黑" w:cs="微软雅黑"/>
                <w:i w:val="0"/>
                <w:iCs w:val="0"/>
                <w:caps w:val="0"/>
                <w:color w:val="232323"/>
                <w:spacing w:val="0"/>
                <w:sz w:val="21"/>
                <w:szCs w:val="21"/>
                <w:lang w:eastAsia="zh-CN"/>
              </w:rPr>
              <w:t>；</w:t>
            </w:r>
          </w:p>
        </w:tc>
        <w:tc>
          <w:tcPr>
            <w:tcW w:w="1647" w:type="dxa"/>
            <w:noWrap w:val="0"/>
            <w:vAlign w:val="center"/>
          </w:tcPr>
          <w:p w14:paraId="5E2CB0E7">
            <w:pPr>
              <w:keepNext w:val="0"/>
              <w:keepLines w:val="0"/>
              <w:pageBreakBefore w:val="0"/>
              <w:kinsoku/>
              <w:wordWrap/>
              <w:overflowPunct/>
              <w:topLinePunct w:val="0"/>
              <w:bidi w:val="0"/>
              <w:spacing w:line="300" w:lineRule="auto"/>
              <w:outlineLvl w:val="9"/>
              <w:rPr>
                <w:rFonts w:hint="eastAsia" w:ascii="仿宋" w:hAnsi="仿宋" w:eastAsia="仿宋" w:cs="仿宋"/>
                <w:spacing w:val="-2"/>
                <w:szCs w:val="21"/>
              </w:rPr>
            </w:pPr>
          </w:p>
        </w:tc>
      </w:tr>
      <w:tr w14:paraId="7A36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0"/>
            <w:vAlign w:val="center"/>
          </w:tcPr>
          <w:p w14:paraId="36CB94DD">
            <w:pPr>
              <w:keepNext w:val="0"/>
              <w:keepLines w:val="0"/>
              <w:pageBreakBefore w:val="0"/>
              <w:kinsoku/>
              <w:wordWrap/>
              <w:overflowPunct/>
              <w:topLinePunct w:val="0"/>
              <w:bidi w:val="0"/>
              <w:spacing w:line="300" w:lineRule="auto"/>
              <w:jc w:val="center"/>
              <w:outlineLvl w:val="9"/>
              <w:rPr>
                <w:rFonts w:hint="eastAsia" w:ascii="仿宋" w:hAnsi="仿宋" w:eastAsia="仿宋" w:cs="仿宋"/>
                <w:szCs w:val="21"/>
              </w:rPr>
            </w:pPr>
            <w:r>
              <w:rPr>
                <w:rFonts w:hint="eastAsia" w:ascii="仿宋" w:hAnsi="仿宋" w:eastAsia="仿宋" w:cs="仿宋"/>
                <w:szCs w:val="21"/>
              </w:rPr>
              <w:t>8</w:t>
            </w:r>
          </w:p>
        </w:tc>
        <w:tc>
          <w:tcPr>
            <w:tcW w:w="6545" w:type="dxa"/>
            <w:noWrap w:val="0"/>
            <w:vAlign w:val="center"/>
          </w:tcPr>
          <w:p w14:paraId="6D09B39F">
            <w:pPr>
              <w:keepNext w:val="0"/>
              <w:keepLines w:val="0"/>
              <w:pageBreakBefore w:val="0"/>
              <w:widowControl/>
              <w:kinsoku/>
              <w:wordWrap/>
              <w:overflowPunct/>
              <w:topLinePunct w:val="0"/>
              <w:bidi w:val="0"/>
              <w:spacing w:line="300" w:lineRule="auto"/>
              <w:textAlignment w:val="center"/>
              <w:outlineLvl w:val="9"/>
              <w:rPr>
                <w:rFonts w:hint="eastAsia" w:ascii="仿宋" w:hAnsi="仿宋" w:eastAsia="微软雅黑" w:cs="仿宋"/>
                <w:szCs w:val="21"/>
                <w:lang w:eastAsia="zh-CN"/>
              </w:rPr>
            </w:pPr>
            <w:r>
              <w:rPr>
                <w:rFonts w:hint="eastAsia" w:ascii="微软雅黑" w:hAnsi="微软雅黑" w:eastAsia="微软雅黑" w:cs="微软雅黑"/>
                <w:i w:val="0"/>
                <w:iCs w:val="0"/>
                <w:caps w:val="0"/>
                <w:color w:val="232323"/>
                <w:spacing w:val="0"/>
                <w:sz w:val="21"/>
                <w:szCs w:val="21"/>
                <w:lang w:eastAsia="zh-CN"/>
              </w:rPr>
              <w:t>不</w:t>
            </w:r>
            <w:r>
              <w:rPr>
                <w:rFonts w:ascii="微软雅黑" w:hAnsi="微软雅黑" w:eastAsia="微软雅黑" w:cs="微软雅黑"/>
                <w:i w:val="0"/>
                <w:iCs w:val="0"/>
                <w:caps w:val="0"/>
                <w:color w:val="232323"/>
                <w:spacing w:val="0"/>
                <w:sz w:val="21"/>
                <w:szCs w:val="21"/>
              </w:rPr>
              <w:t>满足招标文件实质性要求的其他情形</w:t>
            </w:r>
            <w:r>
              <w:rPr>
                <w:rFonts w:hint="eastAsia" w:ascii="微软雅黑" w:hAnsi="微软雅黑" w:eastAsia="微软雅黑" w:cs="微软雅黑"/>
                <w:i w:val="0"/>
                <w:iCs w:val="0"/>
                <w:caps w:val="0"/>
                <w:color w:val="232323"/>
                <w:spacing w:val="0"/>
                <w:sz w:val="21"/>
                <w:szCs w:val="21"/>
                <w:lang w:eastAsia="zh-CN"/>
              </w:rPr>
              <w:t>；</w:t>
            </w:r>
          </w:p>
        </w:tc>
        <w:tc>
          <w:tcPr>
            <w:tcW w:w="1647" w:type="dxa"/>
            <w:noWrap w:val="0"/>
            <w:vAlign w:val="center"/>
          </w:tcPr>
          <w:p w14:paraId="221ABD9F">
            <w:pPr>
              <w:keepNext w:val="0"/>
              <w:keepLines w:val="0"/>
              <w:pageBreakBefore w:val="0"/>
              <w:kinsoku/>
              <w:wordWrap/>
              <w:overflowPunct/>
              <w:topLinePunct w:val="0"/>
              <w:bidi w:val="0"/>
              <w:spacing w:line="300" w:lineRule="auto"/>
              <w:outlineLvl w:val="9"/>
              <w:rPr>
                <w:rFonts w:hint="eastAsia" w:ascii="仿宋" w:hAnsi="仿宋" w:eastAsia="仿宋" w:cs="仿宋"/>
                <w:szCs w:val="21"/>
              </w:rPr>
            </w:pPr>
          </w:p>
        </w:tc>
      </w:tr>
      <w:tr w14:paraId="3082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8" w:type="dxa"/>
            <w:noWrap w:val="0"/>
            <w:vAlign w:val="center"/>
          </w:tcPr>
          <w:p w14:paraId="7571045B">
            <w:pPr>
              <w:keepNext w:val="0"/>
              <w:keepLines w:val="0"/>
              <w:pageBreakBefore w:val="0"/>
              <w:kinsoku/>
              <w:wordWrap/>
              <w:overflowPunct/>
              <w:topLinePunct w:val="0"/>
              <w:bidi w:val="0"/>
              <w:spacing w:line="300" w:lineRule="auto"/>
              <w:jc w:val="center"/>
              <w:outlineLvl w:val="9"/>
              <w:rPr>
                <w:rFonts w:hint="eastAsia" w:ascii="仿宋" w:hAnsi="仿宋" w:eastAsia="仿宋" w:cs="仿宋"/>
                <w:szCs w:val="21"/>
              </w:rPr>
            </w:pPr>
            <w:r>
              <w:rPr>
                <w:rFonts w:hint="eastAsia" w:ascii="仿宋" w:hAnsi="仿宋" w:eastAsia="仿宋" w:cs="仿宋"/>
                <w:szCs w:val="21"/>
              </w:rPr>
              <w:t>9</w:t>
            </w:r>
          </w:p>
        </w:tc>
        <w:tc>
          <w:tcPr>
            <w:tcW w:w="6545" w:type="dxa"/>
            <w:noWrap w:val="0"/>
            <w:vAlign w:val="center"/>
          </w:tcPr>
          <w:p w14:paraId="5B70B36D">
            <w:pPr>
              <w:keepNext w:val="0"/>
              <w:keepLines w:val="0"/>
              <w:pageBreakBefore w:val="0"/>
              <w:widowControl/>
              <w:kinsoku/>
              <w:wordWrap/>
              <w:overflowPunct/>
              <w:topLinePunct w:val="0"/>
              <w:bidi w:val="0"/>
              <w:spacing w:line="300" w:lineRule="auto"/>
              <w:jc w:val="left"/>
              <w:textAlignment w:val="center"/>
              <w:outlineLvl w:val="9"/>
              <w:rPr>
                <w:rFonts w:hint="eastAsia" w:ascii="仿宋" w:hAnsi="仿宋" w:eastAsia="微软雅黑" w:cs="仿宋"/>
                <w:spacing w:val="-2"/>
                <w:szCs w:val="21"/>
                <w:lang w:eastAsia="zh-CN"/>
              </w:rPr>
            </w:pPr>
            <w:r>
              <w:rPr>
                <w:rFonts w:ascii="微软雅黑" w:hAnsi="微软雅黑" w:eastAsia="微软雅黑" w:cs="微软雅黑"/>
                <w:i w:val="0"/>
                <w:iCs w:val="0"/>
                <w:caps w:val="0"/>
                <w:color w:val="232323"/>
                <w:spacing w:val="0"/>
                <w:sz w:val="21"/>
                <w:szCs w:val="21"/>
              </w:rPr>
              <w:t>本项目不接受联合体投标</w:t>
            </w:r>
            <w:r>
              <w:rPr>
                <w:rFonts w:hint="eastAsia" w:ascii="微软雅黑" w:hAnsi="微软雅黑" w:eastAsia="微软雅黑" w:cs="微软雅黑"/>
                <w:i w:val="0"/>
                <w:iCs w:val="0"/>
                <w:caps w:val="0"/>
                <w:color w:val="232323"/>
                <w:spacing w:val="0"/>
                <w:sz w:val="21"/>
                <w:szCs w:val="21"/>
                <w:lang w:eastAsia="zh-CN"/>
              </w:rPr>
              <w:t>；</w:t>
            </w:r>
          </w:p>
        </w:tc>
        <w:tc>
          <w:tcPr>
            <w:tcW w:w="1647" w:type="dxa"/>
            <w:noWrap w:val="0"/>
            <w:vAlign w:val="center"/>
          </w:tcPr>
          <w:p w14:paraId="5EE466AC">
            <w:pPr>
              <w:keepNext w:val="0"/>
              <w:keepLines w:val="0"/>
              <w:pageBreakBefore w:val="0"/>
              <w:kinsoku/>
              <w:wordWrap/>
              <w:overflowPunct/>
              <w:topLinePunct w:val="0"/>
              <w:bidi w:val="0"/>
              <w:spacing w:line="300" w:lineRule="auto"/>
              <w:outlineLvl w:val="9"/>
              <w:rPr>
                <w:rFonts w:hint="eastAsia" w:ascii="仿宋" w:hAnsi="仿宋" w:eastAsia="仿宋" w:cs="仿宋"/>
                <w:spacing w:val="-2"/>
                <w:szCs w:val="21"/>
              </w:rPr>
            </w:pPr>
          </w:p>
        </w:tc>
      </w:tr>
      <w:tr w14:paraId="2422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8" w:type="dxa"/>
            <w:noWrap w:val="0"/>
            <w:vAlign w:val="center"/>
          </w:tcPr>
          <w:p w14:paraId="4A63D410">
            <w:pPr>
              <w:keepNext w:val="0"/>
              <w:keepLines w:val="0"/>
              <w:pageBreakBefore w:val="0"/>
              <w:kinsoku/>
              <w:wordWrap/>
              <w:overflowPunct/>
              <w:topLinePunct w:val="0"/>
              <w:bidi w:val="0"/>
              <w:spacing w:line="300" w:lineRule="auto"/>
              <w:jc w:val="center"/>
              <w:outlineLvl w:val="9"/>
              <w:rPr>
                <w:rFonts w:hint="default" w:ascii="仿宋" w:hAnsi="仿宋" w:eastAsia="仿宋" w:cs="仿宋"/>
                <w:szCs w:val="21"/>
                <w:lang w:val="en-US" w:eastAsia="zh-CN"/>
              </w:rPr>
            </w:pPr>
            <w:r>
              <w:rPr>
                <w:rFonts w:hint="eastAsia" w:ascii="仿宋" w:hAnsi="仿宋" w:eastAsia="仿宋" w:cs="仿宋"/>
                <w:szCs w:val="21"/>
                <w:lang w:val="en-US" w:eastAsia="zh-CN"/>
              </w:rPr>
              <w:t>10</w:t>
            </w:r>
          </w:p>
        </w:tc>
        <w:tc>
          <w:tcPr>
            <w:tcW w:w="6545" w:type="dxa"/>
            <w:noWrap w:val="0"/>
            <w:vAlign w:val="center"/>
          </w:tcPr>
          <w:p w14:paraId="2AD04BC0">
            <w:pPr>
              <w:keepNext w:val="0"/>
              <w:keepLines w:val="0"/>
              <w:pageBreakBefore w:val="0"/>
              <w:kinsoku/>
              <w:wordWrap/>
              <w:overflowPunct/>
              <w:topLinePunct w:val="0"/>
              <w:bidi w:val="0"/>
              <w:spacing w:line="300" w:lineRule="auto"/>
              <w:outlineLvl w:val="9"/>
              <w:rPr>
                <w:rFonts w:hint="eastAsia" w:ascii="微软雅黑" w:hAnsi="微软雅黑" w:eastAsia="微软雅黑" w:cs="微软雅黑"/>
                <w:i w:val="0"/>
                <w:iCs w:val="0"/>
                <w:caps w:val="0"/>
                <w:color w:val="232323"/>
                <w:spacing w:val="0"/>
                <w:sz w:val="21"/>
                <w:szCs w:val="21"/>
                <w:shd w:val="clear" w:fill="EBF4FF"/>
                <w:lang w:eastAsia="zh-CN"/>
              </w:rPr>
            </w:pPr>
            <w:r>
              <w:rPr>
                <w:rFonts w:ascii="微软雅黑" w:hAnsi="微软雅黑" w:eastAsia="微软雅黑" w:cs="微软雅黑"/>
                <w:i w:val="0"/>
                <w:iCs w:val="0"/>
                <w:caps w:val="0"/>
                <w:color w:val="232323"/>
                <w:spacing w:val="0"/>
                <w:sz w:val="21"/>
                <w:szCs w:val="21"/>
              </w:rPr>
              <w:t>在同一标包内，单位负责人非同一人或者不存在直接控股、管理关系的不同供应商</w:t>
            </w:r>
            <w:r>
              <w:rPr>
                <w:rFonts w:hint="eastAsia" w:ascii="微软雅黑" w:hAnsi="微软雅黑" w:eastAsia="微软雅黑" w:cs="微软雅黑"/>
                <w:i w:val="0"/>
                <w:iCs w:val="0"/>
                <w:caps w:val="0"/>
                <w:color w:val="232323"/>
                <w:spacing w:val="0"/>
                <w:sz w:val="21"/>
                <w:szCs w:val="21"/>
                <w:lang w:eastAsia="zh-CN"/>
              </w:rPr>
              <w:t>；</w:t>
            </w:r>
          </w:p>
        </w:tc>
        <w:tc>
          <w:tcPr>
            <w:tcW w:w="1647" w:type="dxa"/>
            <w:noWrap w:val="0"/>
            <w:vAlign w:val="center"/>
          </w:tcPr>
          <w:p w14:paraId="696A5201">
            <w:pPr>
              <w:keepNext w:val="0"/>
              <w:keepLines w:val="0"/>
              <w:pageBreakBefore w:val="0"/>
              <w:kinsoku/>
              <w:wordWrap/>
              <w:overflowPunct/>
              <w:topLinePunct w:val="0"/>
              <w:bidi w:val="0"/>
              <w:spacing w:line="300" w:lineRule="auto"/>
              <w:outlineLvl w:val="9"/>
              <w:rPr>
                <w:rFonts w:hint="eastAsia" w:ascii="仿宋" w:hAnsi="仿宋" w:eastAsia="仿宋" w:cs="仿宋"/>
                <w:spacing w:val="-2"/>
                <w:szCs w:val="21"/>
              </w:rPr>
            </w:pPr>
          </w:p>
        </w:tc>
      </w:tr>
      <w:tr w14:paraId="48FE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8" w:type="dxa"/>
            <w:noWrap w:val="0"/>
            <w:vAlign w:val="center"/>
          </w:tcPr>
          <w:p w14:paraId="3D8EA191">
            <w:pPr>
              <w:keepNext w:val="0"/>
              <w:keepLines w:val="0"/>
              <w:pageBreakBefore w:val="0"/>
              <w:kinsoku/>
              <w:wordWrap/>
              <w:overflowPunct/>
              <w:topLinePunct w:val="0"/>
              <w:bidi w:val="0"/>
              <w:spacing w:line="300" w:lineRule="auto"/>
              <w:jc w:val="center"/>
              <w:outlineLvl w:val="9"/>
              <w:rPr>
                <w:rFonts w:hint="default" w:ascii="仿宋" w:hAnsi="仿宋" w:eastAsia="仿宋" w:cs="仿宋"/>
                <w:szCs w:val="21"/>
                <w:lang w:val="en-US" w:eastAsia="zh-CN"/>
              </w:rPr>
            </w:pPr>
            <w:r>
              <w:rPr>
                <w:rFonts w:hint="eastAsia" w:ascii="仿宋" w:hAnsi="仿宋" w:eastAsia="仿宋" w:cs="仿宋"/>
                <w:szCs w:val="21"/>
                <w:lang w:val="en-US" w:eastAsia="zh-CN"/>
              </w:rPr>
              <w:t>11</w:t>
            </w:r>
          </w:p>
        </w:tc>
        <w:tc>
          <w:tcPr>
            <w:tcW w:w="6545" w:type="dxa"/>
            <w:noWrap w:val="0"/>
            <w:vAlign w:val="center"/>
          </w:tcPr>
          <w:p w14:paraId="0D1539A9">
            <w:pPr>
              <w:keepNext w:val="0"/>
              <w:keepLines w:val="0"/>
              <w:pageBreakBefore w:val="0"/>
              <w:kinsoku/>
              <w:wordWrap/>
              <w:overflowPunct/>
              <w:topLinePunct w:val="0"/>
              <w:bidi w:val="0"/>
              <w:spacing w:line="300" w:lineRule="auto"/>
              <w:outlineLvl w:val="9"/>
              <w:rPr>
                <w:rFonts w:hint="eastAsia" w:ascii="微软雅黑" w:hAnsi="微软雅黑" w:eastAsia="微软雅黑" w:cs="微软雅黑"/>
                <w:i w:val="0"/>
                <w:iCs w:val="0"/>
                <w:caps w:val="0"/>
                <w:color w:val="232323"/>
                <w:spacing w:val="0"/>
                <w:sz w:val="21"/>
                <w:szCs w:val="21"/>
                <w:shd w:val="clear" w:fill="EBF4FF"/>
                <w:lang w:eastAsia="zh-CN"/>
              </w:rPr>
            </w:pPr>
            <w:r>
              <w:rPr>
                <w:rFonts w:ascii="微软雅黑" w:hAnsi="微软雅黑" w:eastAsia="微软雅黑" w:cs="微软雅黑"/>
                <w:i w:val="0"/>
                <w:iCs w:val="0"/>
                <w:caps w:val="0"/>
                <w:color w:val="232323"/>
                <w:spacing w:val="0"/>
                <w:sz w:val="21"/>
                <w:szCs w:val="21"/>
              </w:rPr>
              <w:t>投标人在投标过程中向采购人提供、给予任何有价值的物品，影响其正常决策行为</w:t>
            </w:r>
            <w:r>
              <w:rPr>
                <w:rFonts w:hint="eastAsia" w:ascii="微软雅黑" w:hAnsi="微软雅黑" w:eastAsia="微软雅黑" w:cs="微软雅黑"/>
                <w:i w:val="0"/>
                <w:iCs w:val="0"/>
                <w:caps w:val="0"/>
                <w:color w:val="232323"/>
                <w:spacing w:val="0"/>
                <w:sz w:val="21"/>
                <w:szCs w:val="21"/>
                <w:lang w:eastAsia="zh-CN"/>
              </w:rPr>
              <w:t>的；</w:t>
            </w:r>
          </w:p>
        </w:tc>
        <w:tc>
          <w:tcPr>
            <w:tcW w:w="1647" w:type="dxa"/>
            <w:noWrap w:val="0"/>
            <w:vAlign w:val="center"/>
          </w:tcPr>
          <w:p w14:paraId="78C7EDFB">
            <w:pPr>
              <w:keepNext w:val="0"/>
              <w:keepLines w:val="0"/>
              <w:pageBreakBefore w:val="0"/>
              <w:kinsoku/>
              <w:wordWrap/>
              <w:overflowPunct/>
              <w:topLinePunct w:val="0"/>
              <w:bidi w:val="0"/>
              <w:spacing w:line="300" w:lineRule="auto"/>
              <w:outlineLvl w:val="9"/>
              <w:rPr>
                <w:rFonts w:hint="eastAsia" w:ascii="仿宋" w:hAnsi="仿宋" w:eastAsia="仿宋" w:cs="仿宋"/>
                <w:spacing w:val="-2"/>
                <w:szCs w:val="21"/>
              </w:rPr>
            </w:pPr>
          </w:p>
        </w:tc>
      </w:tr>
      <w:tr w14:paraId="7A48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8" w:type="dxa"/>
            <w:noWrap w:val="0"/>
            <w:vAlign w:val="center"/>
          </w:tcPr>
          <w:p w14:paraId="0ECB9076">
            <w:pPr>
              <w:keepNext w:val="0"/>
              <w:keepLines w:val="0"/>
              <w:pageBreakBefore w:val="0"/>
              <w:kinsoku/>
              <w:wordWrap/>
              <w:overflowPunct/>
              <w:topLinePunct w:val="0"/>
              <w:bidi w:val="0"/>
              <w:spacing w:line="300" w:lineRule="auto"/>
              <w:jc w:val="center"/>
              <w:outlineLvl w:val="9"/>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6545" w:type="dxa"/>
            <w:noWrap w:val="0"/>
            <w:vAlign w:val="center"/>
          </w:tcPr>
          <w:p w14:paraId="48444255">
            <w:pPr>
              <w:keepNext w:val="0"/>
              <w:keepLines w:val="0"/>
              <w:pageBreakBefore w:val="0"/>
              <w:kinsoku/>
              <w:wordWrap/>
              <w:overflowPunct/>
              <w:topLinePunct w:val="0"/>
              <w:bidi w:val="0"/>
              <w:spacing w:line="300" w:lineRule="auto"/>
              <w:outlineLvl w:val="9"/>
              <w:rPr>
                <w:rFonts w:hint="eastAsia" w:ascii="微软雅黑" w:hAnsi="微软雅黑" w:eastAsia="微软雅黑" w:cs="微软雅黑"/>
                <w:i w:val="0"/>
                <w:iCs w:val="0"/>
                <w:caps w:val="0"/>
                <w:color w:val="232323"/>
                <w:spacing w:val="0"/>
                <w:sz w:val="21"/>
                <w:szCs w:val="21"/>
                <w:shd w:val="clear" w:fill="EBF4FF"/>
                <w:lang w:eastAsia="zh-CN"/>
              </w:rPr>
            </w:pPr>
            <w:r>
              <w:rPr>
                <w:rFonts w:ascii="微软雅黑" w:hAnsi="微软雅黑" w:eastAsia="微软雅黑" w:cs="微软雅黑"/>
                <w:i w:val="0"/>
                <w:iCs w:val="0"/>
                <w:caps w:val="0"/>
                <w:color w:val="232323"/>
                <w:spacing w:val="0"/>
                <w:sz w:val="21"/>
                <w:szCs w:val="21"/>
              </w:rPr>
              <w:t>投标人对所投分包招标文件中所列的所有服务内容进行投标</w:t>
            </w:r>
            <w:r>
              <w:rPr>
                <w:rFonts w:hint="eastAsia" w:ascii="微软雅黑" w:hAnsi="微软雅黑" w:eastAsia="微软雅黑" w:cs="微软雅黑"/>
                <w:i w:val="0"/>
                <w:iCs w:val="0"/>
                <w:caps w:val="0"/>
                <w:color w:val="232323"/>
                <w:spacing w:val="0"/>
                <w:sz w:val="21"/>
                <w:szCs w:val="21"/>
                <w:lang w:eastAsia="zh-CN"/>
              </w:rPr>
              <w:t>的；</w:t>
            </w:r>
          </w:p>
        </w:tc>
        <w:tc>
          <w:tcPr>
            <w:tcW w:w="1647" w:type="dxa"/>
            <w:noWrap w:val="0"/>
            <w:vAlign w:val="center"/>
          </w:tcPr>
          <w:p w14:paraId="21A84303">
            <w:pPr>
              <w:keepNext w:val="0"/>
              <w:keepLines w:val="0"/>
              <w:pageBreakBefore w:val="0"/>
              <w:kinsoku/>
              <w:wordWrap/>
              <w:overflowPunct/>
              <w:topLinePunct w:val="0"/>
              <w:bidi w:val="0"/>
              <w:spacing w:line="300" w:lineRule="auto"/>
              <w:outlineLvl w:val="9"/>
              <w:rPr>
                <w:rFonts w:hint="eastAsia" w:ascii="仿宋" w:hAnsi="仿宋" w:eastAsia="仿宋" w:cs="仿宋"/>
                <w:spacing w:val="-2"/>
                <w:szCs w:val="21"/>
              </w:rPr>
            </w:pPr>
          </w:p>
        </w:tc>
      </w:tr>
      <w:tr w14:paraId="611F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8" w:type="dxa"/>
            <w:noWrap w:val="0"/>
            <w:vAlign w:val="center"/>
          </w:tcPr>
          <w:p w14:paraId="3A0549AB">
            <w:pPr>
              <w:keepNext w:val="0"/>
              <w:keepLines w:val="0"/>
              <w:pageBreakBefore w:val="0"/>
              <w:kinsoku/>
              <w:wordWrap/>
              <w:overflowPunct/>
              <w:topLinePunct w:val="0"/>
              <w:bidi w:val="0"/>
              <w:spacing w:line="300" w:lineRule="auto"/>
              <w:jc w:val="center"/>
              <w:outlineLvl w:val="9"/>
              <w:rPr>
                <w:rFonts w:hint="default" w:ascii="仿宋" w:hAnsi="仿宋" w:eastAsia="仿宋" w:cs="仿宋"/>
                <w:szCs w:val="21"/>
                <w:lang w:val="en-US" w:eastAsia="zh-CN"/>
              </w:rPr>
            </w:pPr>
            <w:r>
              <w:rPr>
                <w:rFonts w:hint="eastAsia" w:ascii="仿宋" w:hAnsi="仿宋" w:eastAsia="仿宋" w:cs="仿宋"/>
                <w:szCs w:val="21"/>
                <w:lang w:val="en-US" w:eastAsia="zh-CN"/>
              </w:rPr>
              <w:t>13</w:t>
            </w:r>
          </w:p>
        </w:tc>
        <w:tc>
          <w:tcPr>
            <w:tcW w:w="6545" w:type="dxa"/>
            <w:shd w:val="clear" w:color="auto" w:fill="auto"/>
            <w:noWrap w:val="0"/>
            <w:vAlign w:val="center"/>
          </w:tcPr>
          <w:p w14:paraId="3A4631D9">
            <w:pPr>
              <w:keepNext w:val="0"/>
              <w:keepLines w:val="0"/>
              <w:pageBreakBefore w:val="0"/>
              <w:kinsoku/>
              <w:wordWrap/>
              <w:overflowPunct/>
              <w:topLinePunct w:val="0"/>
              <w:bidi w:val="0"/>
              <w:spacing w:line="300" w:lineRule="auto"/>
              <w:outlineLvl w:val="9"/>
              <w:rPr>
                <w:rFonts w:hint="eastAsia" w:ascii="仿宋" w:hAnsi="仿宋" w:eastAsia="仿宋" w:cs="仿宋"/>
                <w:spacing w:val="-2"/>
                <w:kern w:val="2"/>
                <w:sz w:val="21"/>
                <w:szCs w:val="21"/>
                <w:lang w:val="en-US" w:eastAsia="zh-CN" w:bidi="ar-SA"/>
              </w:rPr>
            </w:pPr>
            <w:r>
              <w:rPr>
                <w:rFonts w:ascii="微软雅黑" w:hAnsi="微软雅黑" w:eastAsia="微软雅黑" w:cs="微软雅黑"/>
                <w:i w:val="0"/>
                <w:iCs w:val="0"/>
                <w:caps w:val="0"/>
                <w:color w:val="232323"/>
                <w:spacing w:val="0"/>
                <w:sz w:val="21"/>
                <w:szCs w:val="21"/>
              </w:rPr>
              <w:t>投标人所报的各分项投标报价在合同履行过程中是固定不变的，不得以任何理由予以变更。</w:t>
            </w:r>
          </w:p>
        </w:tc>
        <w:tc>
          <w:tcPr>
            <w:tcW w:w="1647" w:type="dxa"/>
            <w:noWrap w:val="0"/>
            <w:vAlign w:val="center"/>
          </w:tcPr>
          <w:p w14:paraId="37C9F21F">
            <w:pPr>
              <w:keepNext w:val="0"/>
              <w:keepLines w:val="0"/>
              <w:pageBreakBefore w:val="0"/>
              <w:kinsoku/>
              <w:wordWrap/>
              <w:overflowPunct/>
              <w:topLinePunct w:val="0"/>
              <w:bidi w:val="0"/>
              <w:spacing w:line="300" w:lineRule="auto"/>
              <w:outlineLvl w:val="9"/>
              <w:rPr>
                <w:rFonts w:hint="eastAsia" w:ascii="仿宋" w:hAnsi="仿宋" w:eastAsia="仿宋" w:cs="仿宋"/>
                <w:spacing w:val="-2"/>
                <w:szCs w:val="21"/>
              </w:rPr>
            </w:pPr>
          </w:p>
        </w:tc>
      </w:tr>
      <w:tr w14:paraId="3881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8" w:type="dxa"/>
            <w:noWrap w:val="0"/>
            <w:vAlign w:val="center"/>
          </w:tcPr>
          <w:p w14:paraId="6D2F86A8">
            <w:pPr>
              <w:keepNext w:val="0"/>
              <w:keepLines w:val="0"/>
              <w:pageBreakBefore w:val="0"/>
              <w:kinsoku/>
              <w:wordWrap/>
              <w:overflowPunct/>
              <w:topLinePunct w:val="0"/>
              <w:bidi w:val="0"/>
              <w:spacing w:line="300" w:lineRule="auto"/>
              <w:jc w:val="center"/>
              <w:outlineLvl w:val="9"/>
              <w:rPr>
                <w:rFonts w:hint="default" w:ascii="仿宋" w:hAnsi="仿宋" w:eastAsia="仿宋" w:cs="仿宋"/>
                <w:szCs w:val="21"/>
                <w:lang w:val="en-US" w:eastAsia="zh-CN"/>
              </w:rPr>
            </w:pPr>
            <w:r>
              <w:rPr>
                <w:rFonts w:hint="eastAsia" w:ascii="仿宋" w:hAnsi="仿宋" w:eastAsia="仿宋" w:cs="仿宋"/>
                <w:szCs w:val="21"/>
                <w:lang w:val="en-US" w:eastAsia="zh-CN"/>
              </w:rPr>
              <w:t>14</w:t>
            </w:r>
          </w:p>
        </w:tc>
        <w:tc>
          <w:tcPr>
            <w:tcW w:w="6545" w:type="dxa"/>
            <w:shd w:val="clear" w:color="auto" w:fill="auto"/>
            <w:noWrap w:val="0"/>
            <w:vAlign w:val="center"/>
          </w:tcPr>
          <w:p w14:paraId="68B4AA31">
            <w:pPr>
              <w:keepNext w:val="0"/>
              <w:keepLines w:val="0"/>
              <w:pageBreakBefore w:val="0"/>
              <w:kinsoku/>
              <w:wordWrap/>
              <w:overflowPunct/>
              <w:topLinePunct w:val="0"/>
              <w:bidi w:val="0"/>
              <w:spacing w:line="300" w:lineRule="auto"/>
              <w:outlineLvl w:val="9"/>
              <w:rPr>
                <w:rFonts w:hint="eastAsia" w:ascii="仿宋" w:hAnsi="仿宋" w:eastAsia="仿宋" w:cs="仿宋"/>
                <w:spacing w:val="-2"/>
                <w:kern w:val="2"/>
                <w:sz w:val="21"/>
                <w:szCs w:val="21"/>
                <w:lang w:val="en-US" w:eastAsia="zh-CN" w:bidi="ar-SA"/>
              </w:rPr>
            </w:pPr>
            <w:r>
              <w:rPr>
                <w:rFonts w:ascii="微软雅黑" w:hAnsi="微软雅黑" w:eastAsia="微软雅黑" w:cs="微软雅黑"/>
                <w:i w:val="0"/>
                <w:iCs w:val="0"/>
                <w:caps w:val="0"/>
                <w:color w:val="232323"/>
                <w:spacing w:val="0"/>
                <w:sz w:val="21"/>
                <w:szCs w:val="21"/>
              </w:rPr>
              <w:t>自提交投标文件截止之日起90日历日内</w:t>
            </w:r>
          </w:p>
        </w:tc>
        <w:tc>
          <w:tcPr>
            <w:tcW w:w="1647" w:type="dxa"/>
            <w:noWrap w:val="0"/>
            <w:vAlign w:val="center"/>
          </w:tcPr>
          <w:p w14:paraId="7B91D775">
            <w:pPr>
              <w:keepNext w:val="0"/>
              <w:keepLines w:val="0"/>
              <w:pageBreakBefore w:val="0"/>
              <w:kinsoku/>
              <w:wordWrap/>
              <w:overflowPunct/>
              <w:topLinePunct w:val="0"/>
              <w:bidi w:val="0"/>
              <w:spacing w:line="300" w:lineRule="auto"/>
              <w:outlineLvl w:val="9"/>
              <w:rPr>
                <w:rFonts w:hint="eastAsia" w:ascii="仿宋" w:hAnsi="仿宋" w:eastAsia="仿宋" w:cs="仿宋"/>
                <w:spacing w:val="-2"/>
                <w:szCs w:val="21"/>
              </w:rPr>
            </w:pPr>
          </w:p>
        </w:tc>
      </w:tr>
      <w:tr w14:paraId="7E37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8" w:type="dxa"/>
            <w:noWrap w:val="0"/>
            <w:vAlign w:val="center"/>
          </w:tcPr>
          <w:p w14:paraId="60ED4B6E">
            <w:pPr>
              <w:keepNext w:val="0"/>
              <w:keepLines w:val="0"/>
              <w:pageBreakBefore w:val="0"/>
              <w:kinsoku/>
              <w:wordWrap/>
              <w:overflowPunct/>
              <w:topLinePunct w:val="0"/>
              <w:bidi w:val="0"/>
              <w:spacing w:line="300" w:lineRule="auto"/>
              <w:jc w:val="center"/>
              <w:outlineLvl w:val="9"/>
              <w:rPr>
                <w:rFonts w:hint="default" w:ascii="仿宋" w:hAnsi="仿宋" w:eastAsia="仿宋" w:cs="仿宋"/>
                <w:szCs w:val="21"/>
                <w:lang w:val="en-US" w:eastAsia="zh-CN"/>
              </w:rPr>
            </w:pPr>
            <w:r>
              <w:rPr>
                <w:rFonts w:hint="eastAsia" w:ascii="仿宋" w:hAnsi="仿宋" w:eastAsia="仿宋" w:cs="仿宋"/>
                <w:szCs w:val="21"/>
                <w:lang w:val="en-US" w:eastAsia="zh-CN"/>
              </w:rPr>
              <w:t>15</w:t>
            </w:r>
          </w:p>
        </w:tc>
        <w:tc>
          <w:tcPr>
            <w:tcW w:w="6545" w:type="dxa"/>
            <w:shd w:val="clear" w:color="auto" w:fill="auto"/>
            <w:noWrap w:val="0"/>
            <w:vAlign w:val="center"/>
          </w:tcPr>
          <w:p w14:paraId="2810317D">
            <w:pPr>
              <w:keepNext w:val="0"/>
              <w:keepLines w:val="0"/>
              <w:pageBreakBefore w:val="0"/>
              <w:kinsoku/>
              <w:wordWrap/>
              <w:overflowPunct/>
              <w:topLinePunct w:val="0"/>
              <w:bidi w:val="0"/>
              <w:spacing w:line="300" w:lineRule="auto"/>
              <w:outlineLvl w:val="9"/>
              <w:rPr>
                <w:rFonts w:hint="eastAsia" w:ascii="仿宋" w:hAnsi="仿宋" w:eastAsia="微软雅黑" w:cs="仿宋"/>
                <w:spacing w:val="-2"/>
                <w:kern w:val="2"/>
                <w:sz w:val="21"/>
                <w:szCs w:val="21"/>
                <w:lang w:val="en-US" w:eastAsia="zh-CN" w:bidi="ar-SA"/>
              </w:rPr>
            </w:pPr>
            <w:r>
              <w:rPr>
                <w:rFonts w:ascii="微软雅黑" w:hAnsi="微软雅黑" w:eastAsia="微软雅黑" w:cs="微软雅黑"/>
                <w:i w:val="0"/>
                <w:iCs w:val="0"/>
                <w:caps w:val="0"/>
                <w:color w:val="232323"/>
                <w:spacing w:val="0"/>
                <w:sz w:val="21"/>
                <w:szCs w:val="21"/>
              </w:rPr>
              <w:t>投标文件报价出现前后不一致的，应按照招标文件规定的顺序修正</w:t>
            </w:r>
            <w:r>
              <w:rPr>
                <w:rFonts w:hint="eastAsia" w:ascii="微软雅黑" w:hAnsi="微软雅黑" w:eastAsia="微软雅黑" w:cs="微软雅黑"/>
                <w:i w:val="0"/>
                <w:iCs w:val="0"/>
                <w:caps w:val="0"/>
                <w:color w:val="232323"/>
                <w:spacing w:val="0"/>
                <w:sz w:val="21"/>
                <w:szCs w:val="21"/>
                <w:lang w:eastAsia="zh-CN"/>
              </w:rPr>
              <w:t>；</w:t>
            </w:r>
          </w:p>
        </w:tc>
        <w:tc>
          <w:tcPr>
            <w:tcW w:w="1647" w:type="dxa"/>
            <w:noWrap w:val="0"/>
            <w:vAlign w:val="center"/>
          </w:tcPr>
          <w:p w14:paraId="0B4DC86A">
            <w:pPr>
              <w:keepNext w:val="0"/>
              <w:keepLines w:val="0"/>
              <w:pageBreakBefore w:val="0"/>
              <w:kinsoku/>
              <w:wordWrap/>
              <w:overflowPunct/>
              <w:topLinePunct w:val="0"/>
              <w:bidi w:val="0"/>
              <w:spacing w:line="300" w:lineRule="auto"/>
              <w:outlineLvl w:val="9"/>
              <w:rPr>
                <w:rFonts w:hint="eastAsia" w:ascii="仿宋" w:hAnsi="仿宋" w:eastAsia="仿宋" w:cs="仿宋"/>
                <w:spacing w:val="-2"/>
                <w:szCs w:val="21"/>
              </w:rPr>
            </w:pPr>
          </w:p>
        </w:tc>
      </w:tr>
      <w:tr w14:paraId="68B9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8" w:type="dxa"/>
            <w:noWrap w:val="0"/>
            <w:vAlign w:val="center"/>
          </w:tcPr>
          <w:p w14:paraId="3DAF3FB6">
            <w:pPr>
              <w:keepNext w:val="0"/>
              <w:keepLines w:val="0"/>
              <w:pageBreakBefore w:val="0"/>
              <w:kinsoku/>
              <w:wordWrap/>
              <w:overflowPunct/>
              <w:topLinePunct w:val="0"/>
              <w:bidi w:val="0"/>
              <w:spacing w:line="300" w:lineRule="auto"/>
              <w:jc w:val="center"/>
              <w:outlineLvl w:val="9"/>
              <w:rPr>
                <w:rFonts w:hint="default" w:ascii="仿宋" w:hAnsi="仿宋" w:eastAsia="仿宋" w:cs="仿宋"/>
                <w:szCs w:val="21"/>
                <w:lang w:val="en-US" w:eastAsia="zh-CN"/>
              </w:rPr>
            </w:pPr>
            <w:r>
              <w:rPr>
                <w:rFonts w:hint="eastAsia" w:ascii="仿宋" w:hAnsi="仿宋" w:eastAsia="仿宋" w:cs="仿宋"/>
                <w:szCs w:val="21"/>
                <w:lang w:val="en-US" w:eastAsia="zh-CN"/>
              </w:rPr>
              <w:t>16</w:t>
            </w:r>
          </w:p>
        </w:tc>
        <w:tc>
          <w:tcPr>
            <w:tcW w:w="6545" w:type="dxa"/>
            <w:shd w:val="clear" w:color="auto" w:fill="auto"/>
            <w:noWrap w:val="0"/>
            <w:vAlign w:val="center"/>
          </w:tcPr>
          <w:p w14:paraId="28F2C6C9">
            <w:pPr>
              <w:keepNext w:val="0"/>
              <w:keepLines w:val="0"/>
              <w:pageBreakBefore w:val="0"/>
              <w:kinsoku/>
              <w:wordWrap/>
              <w:overflowPunct/>
              <w:topLinePunct w:val="0"/>
              <w:bidi w:val="0"/>
              <w:spacing w:line="300" w:lineRule="auto"/>
              <w:outlineLvl w:val="9"/>
              <w:rPr>
                <w:rFonts w:hint="eastAsia" w:ascii="仿宋" w:hAnsi="仿宋" w:eastAsia="仿宋" w:cs="仿宋"/>
                <w:spacing w:val="-2"/>
                <w:kern w:val="2"/>
                <w:sz w:val="21"/>
                <w:szCs w:val="21"/>
                <w:lang w:val="en-US" w:eastAsia="zh-CN" w:bidi="ar-SA"/>
              </w:rPr>
            </w:pPr>
            <w:r>
              <w:rPr>
                <w:rFonts w:ascii="微软雅黑" w:hAnsi="微软雅黑" w:eastAsia="微软雅黑" w:cs="微软雅黑"/>
                <w:i w:val="0"/>
                <w:iCs w:val="0"/>
                <w:caps w:val="0"/>
                <w:color w:val="232323"/>
                <w:spacing w:val="0"/>
                <w:sz w:val="21"/>
                <w:szCs w:val="21"/>
              </w:rPr>
              <w:t>投标人的报价明显低于其他通过符合性审查投标人的报价，有可能影响履约的，投标人能按照规定证明其报价合理性。</w:t>
            </w:r>
          </w:p>
        </w:tc>
        <w:tc>
          <w:tcPr>
            <w:tcW w:w="1647" w:type="dxa"/>
            <w:noWrap w:val="0"/>
            <w:vAlign w:val="center"/>
          </w:tcPr>
          <w:p w14:paraId="22923034">
            <w:pPr>
              <w:keepNext w:val="0"/>
              <w:keepLines w:val="0"/>
              <w:pageBreakBefore w:val="0"/>
              <w:kinsoku/>
              <w:wordWrap/>
              <w:overflowPunct/>
              <w:topLinePunct w:val="0"/>
              <w:bidi w:val="0"/>
              <w:spacing w:line="300" w:lineRule="auto"/>
              <w:outlineLvl w:val="9"/>
              <w:rPr>
                <w:rFonts w:hint="eastAsia" w:ascii="仿宋" w:hAnsi="仿宋" w:eastAsia="仿宋" w:cs="仿宋"/>
                <w:spacing w:val="-2"/>
                <w:szCs w:val="21"/>
              </w:rPr>
            </w:pPr>
          </w:p>
        </w:tc>
      </w:tr>
      <w:tr w14:paraId="4AA8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373" w:type="dxa"/>
            <w:gridSpan w:val="2"/>
            <w:noWrap w:val="0"/>
            <w:vAlign w:val="center"/>
          </w:tcPr>
          <w:p w14:paraId="4AC83AF9">
            <w:pPr>
              <w:keepNext w:val="0"/>
              <w:keepLines w:val="0"/>
              <w:pageBreakBefore w:val="0"/>
              <w:kinsoku/>
              <w:wordWrap/>
              <w:overflowPunct/>
              <w:topLinePunct w:val="0"/>
              <w:bidi w:val="0"/>
              <w:spacing w:line="300" w:lineRule="auto"/>
              <w:ind w:firstLine="370" w:firstLineChars="180"/>
              <w:outlineLvl w:val="9"/>
              <w:rPr>
                <w:rFonts w:hint="eastAsia" w:ascii="仿宋" w:hAnsi="仿宋" w:eastAsia="仿宋" w:cs="仿宋"/>
                <w:spacing w:val="-2"/>
                <w:szCs w:val="21"/>
              </w:rPr>
            </w:pPr>
            <w:r>
              <w:rPr>
                <w:rFonts w:hint="eastAsia" w:ascii="仿宋" w:hAnsi="仿宋" w:eastAsia="仿宋" w:cs="仿宋"/>
                <w:spacing w:val="-2"/>
                <w:szCs w:val="21"/>
              </w:rPr>
              <w:t>结论：通过评审打“√”，未通过评审打“×”</w:t>
            </w:r>
          </w:p>
        </w:tc>
        <w:tc>
          <w:tcPr>
            <w:tcW w:w="1647" w:type="dxa"/>
            <w:noWrap w:val="0"/>
            <w:vAlign w:val="center"/>
          </w:tcPr>
          <w:p w14:paraId="739806F8">
            <w:pPr>
              <w:keepNext w:val="0"/>
              <w:keepLines w:val="0"/>
              <w:pageBreakBefore w:val="0"/>
              <w:kinsoku/>
              <w:wordWrap/>
              <w:overflowPunct/>
              <w:topLinePunct w:val="0"/>
              <w:bidi w:val="0"/>
              <w:spacing w:line="300" w:lineRule="auto"/>
              <w:ind w:firstLine="370" w:firstLineChars="180"/>
              <w:outlineLvl w:val="9"/>
              <w:rPr>
                <w:rFonts w:hint="eastAsia" w:ascii="仿宋" w:hAnsi="仿宋" w:eastAsia="仿宋" w:cs="仿宋"/>
                <w:spacing w:val="-2"/>
                <w:szCs w:val="21"/>
              </w:rPr>
            </w:pPr>
          </w:p>
        </w:tc>
      </w:tr>
    </w:tbl>
    <w:p w14:paraId="1B1D65D1">
      <w:pPr>
        <w:keepNext w:val="0"/>
        <w:keepLines w:val="0"/>
        <w:pageBreakBefore w:val="0"/>
        <w:kinsoku/>
        <w:wordWrap/>
        <w:overflowPunct/>
        <w:topLinePunct w:val="0"/>
        <w:bidi w:val="0"/>
        <w:spacing w:line="300" w:lineRule="auto"/>
        <w:ind w:left="60"/>
        <w:outlineLvl w:val="9"/>
        <w:rPr>
          <w:rFonts w:hint="eastAsia" w:ascii="仿宋" w:hAnsi="仿宋" w:eastAsia="仿宋" w:cs="仿宋"/>
          <w:szCs w:val="21"/>
        </w:rPr>
      </w:pPr>
      <w:r>
        <w:rPr>
          <w:rFonts w:hint="eastAsia" w:ascii="仿宋" w:hAnsi="仿宋" w:eastAsia="仿宋" w:cs="仿宋"/>
          <w:szCs w:val="21"/>
        </w:rPr>
        <w:t>说明：</w:t>
      </w:r>
    </w:p>
    <w:p w14:paraId="78E332E3">
      <w:pPr>
        <w:keepNext w:val="0"/>
        <w:keepLines w:val="0"/>
        <w:pageBreakBefore w:val="0"/>
        <w:numPr>
          <w:ilvl w:val="1"/>
          <w:numId w:val="7"/>
        </w:numPr>
        <w:kinsoku/>
        <w:wordWrap/>
        <w:overflowPunct/>
        <w:topLinePunct w:val="0"/>
        <w:bidi w:val="0"/>
        <w:spacing w:line="300" w:lineRule="auto"/>
        <w:outlineLvl w:val="9"/>
        <w:rPr>
          <w:rFonts w:hint="eastAsia" w:ascii="仿宋" w:hAnsi="仿宋" w:eastAsia="仿宋" w:cs="仿宋"/>
          <w:szCs w:val="21"/>
        </w:rPr>
      </w:pPr>
      <w:r>
        <w:rPr>
          <w:rFonts w:hint="eastAsia" w:ascii="仿宋" w:hAnsi="仿宋" w:eastAsia="仿宋" w:cs="仿宋"/>
          <w:szCs w:val="21"/>
        </w:rPr>
        <w:t>上述各项中用“√”表示通过，“×”表示不通过；</w:t>
      </w:r>
    </w:p>
    <w:p w14:paraId="709F1D6A">
      <w:pPr>
        <w:keepNext w:val="0"/>
        <w:keepLines w:val="0"/>
        <w:pageBreakBefore w:val="0"/>
        <w:numPr>
          <w:ilvl w:val="1"/>
          <w:numId w:val="7"/>
        </w:numPr>
        <w:kinsoku/>
        <w:wordWrap/>
        <w:overflowPunct/>
        <w:topLinePunct w:val="0"/>
        <w:bidi w:val="0"/>
        <w:spacing w:line="300" w:lineRule="auto"/>
        <w:outlineLvl w:val="9"/>
        <w:rPr>
          <w:rFonts w:hint="eastAsia" w:ascii="仿宋" w:hAnsi="仿宋" w:eastAsia="仿宋" w:cs="仿宋"/>
          <w:szCs w:val="21"/>
        </w:rPr>
      </w:pPr>
      <w:r>
        <w:rPr>
          <w:rFonts w:hint="eastAsia" w:ascii="仿宋" w:hAnsi="仿宋" w:eastAsia="仿宋" w:cs="仿宋"/>
          <w:szCs w:val="21"/>
        </w:rPr>
        <w:t>上述各项中如有一项为“×”，则结论为“×”，表示该</w:t>
      </w:r>
      <w:r>
        <w:rPr>
          <w:rFonts w:hint="eastAsia" w:ascii="仿宋" w:hAnsi="仿宋" w:eastAsia="仿宋" w:cs="仿宋"/>
          <w:szCs w:val="21"/>
          <w:lang w:eastAsia="zh-CN"/>
        </w:rPr>
        <w:t>响应文件</w:t>
      </w:r>
      <w:r>
        <w:rPr>
          <w:rFonts w:hint="eastAsia" w:ascii="仿宋" w:hAnsi="仿宋" w:eastAsia="仿宋" w:cs="仿宋"/>
          <w:szCs w:val="21"/>
        </w:rPr>
        <w:t>中存在重大偏差，不能通过初步评审；评委对某一分项评审认为不合格时，必须要写明原因。</w:t>
      </w:r>
    </w:p>
    <w:p w14:paraId="6445457E">
      <w:pPr>
        <w:keepNext w:val="0"/>
        <w:keepLines w:val="0"/>
        <w:pageBreakBefore w:val="0"/>
        <w:numPr>
          <w:ilvl w:val="1"/>
          <w:numId w:val="7"/>
        </w:numPr>
        <w:kinsoku/>
        <w:wordWrap/>
        <w:overflowPunct/>
        <w:topLinePunct w:val="0"/>
        <w:bidi w:val="0"/>
        <w:spacing w:line="300" w:lineRule="auto"/>
        <w:outlineLvl w:val="9"/>
        <w:rPr>
          <w:rFonts w:hint="eastAsia" w:ascii="仿宋" w:hAnsi="仿宋" w:eastAsia="仿宋" w:cs="仿宋"/>
          <w:szCs w:val="21"/>
        </w:rPr>
      </w:pPr>
      <w:r>
        <w:rPr>
          <w:rFonts w:hint="eastAsia" w:ascii="仿宋" w:hAnsi="仿宋" w:eastAsia="仿宋" w:cs="仿宋"/>
          <w:szCs w:val="21"/>
          <w:lang w:eastAsia="zh-CN"/>
        </w:rPr>
        <w:t>响应文件</w:t>
      </w:r>
      <w:r>
        <w:rPr>
          <w:rFonts w:hint="eastAsia" w:ascii="仿宋" w:hAnsi="仿宋" w:eastAsia="仿宋" w:cs="仿宋"/>
          <w:szCs w:val="21"/>
        </w:rPr>
        <w:t>最终合格与否，以所有评委的评审意见中少数服从多数为原则定论。</w:t>
      </w:r>
    </w:p>
    <w:p w14:paraId="6348E67B">
      <w:pPr>
        <w:keepNext w:val="0"/>
        <w:keepLines w:val="0"/>
        <w:pageBreakBefore w:val="0"/>
        <w:kinsoku/>
        <w:wordWrap/>
        <w:overflowPunct/>
        <w:topLinePunct w:val="0"/>
        <w:bidi w:val="0"/>
        <w:spacing w:line="300" w:lineRule="auto"/>
        <w:outlineLvl w:val="9"/>
        <w:rPr>
          <w:rFonts w:hint="eastAsia" w:ascii="仿宋" w:hAnsi="仿宋" w:eastAsia="仿宋" w:cs="仿宋"/>
          <w:szCs w:val="21"/>
        </w:rPr>
      </w:pPr>
    </w:p>
    <w:p w14:paraId="3E169451">
      <w:pPr>
        <w:keepNext w:val="0"/>
        <w:keepLines w:val="0"/>
        <w:pageBreakBefore w:val="0"/>
        <w:kinsoku/>
        <w:wordWrap/>
        <w:overflowPunct/>
        <w:topLinePunct w:val="0"/>
        <w:bidi w:val="0"/>
        <w:spacing w:line="300" w:lineRule="auto"/>
        <w:outlineLvl w:val="9"/>
        <w:rPr>
          <w:rFonts w:hint="eastAsia" w:ascii="仿宋" w:hAnsi="仿宋" w:eastAsia="仿宋" w:cs="仿宋"/>
          <w:b/>
          <w:bCs/>
          <w:sz w:val="28"/>
          <w:szCs w:val="28"/>
        </w:rPr>
      </w:pPr>
      <w:r>
        <w:rPr>
          <w:rFonts w:hint="eastAsia" w:ascii="仿宋" w:hAnsi="仿宋" w:eastAsia="仿宋" w:cs="仿宋"/>
          <w:b/>
          <w:bCs/>
          <w:sz w:val="28"/>
          <w:szCs w:val="28"/>
        </w:rPr>
        <w:t>注：如果</w:t>
      </w:r>
      <w:r>
        <w:rPr>
          <w:rFonts w:hint="eastAsia" w:ascii="仿宋" w:hAnsi="仿宋" w:eastAsia="仿宋" w:cs="仿宋"/>
          <w:b/>
          <w:bCs/>
          <w:sz w:val="28"/>
          <w:szCs w:val="28"/>
          <w:lang w:eastAsia="zh-CN"/>
        </w:rPr>
        <w:t>响应文件</w:t>
      </w:r>
      <w:r>
        <w:rPr>
          <w:rFonts w:hint="eastAsia" w:ascii="仿宋" w:hAnsi="仿宋" w:eastAsia="仿宋" w:cs="仿宋"/>
          <w:b/>
          <w:bCs/>
          <w:sz w:val="28"/>
          <w:szCs w:val="28"/>
        </w:rPr>
        <w:t>中有一项未通过上述审查标准，评标委员会将认定整个</w:t>
      </w:r>
      <w:r>
        <w:rPr>
          <w:rFonts w:hint="eastAsia" w:ascii="仿宋" w:hAnsi="仿宋" w:eastAsia="仿宋" w:cs="仿宋"/>
          <w:b/>
          <w:bCs/>
          <w:sz w:val="28"/>
          <w:szCs w:val="28"/>
          <w:lang w:eastAsia="zh-CN"/>
        </w:rPr>
        <w:t>响应文件</w:t>
      </w:r>
      <w:r>
        <w:rPr>
          <w:rFonts w:hint="eastAsia" w:ascii="仿宋" w:hAnsi="仿宋" w:eastAsia="仿宋" w:cs="仿宋"/>
          <w:b/>
          <w:bCs/>
          <w:sz w:val="28"/>
          <w:szCs w:val="28"/>
        </w:rPr>
        <w:t>未响应</w:t>
      </w:r>
      <w:r>
        <w:rPr>
          <w:rFonts w:hint="eastAsia" w:ascii="仿宋" w:hAnsi="仿宋" w:eastAsia="仿宋" w:cs="仿宋"/>
          <w:b/>
          <w:bCs/>
          <w:sz w:val="28"/>
          <w:szCs w:val="28"/>
          <w:lang w:eastAsia="zh-CN"/>
        </w:rPr>
        <w:t>磋商文件</w:t>
      </w:r>
      <w:r>
        <w:rPr>
          <w:rFonts w:hint="eastAsia" w:ascii="仿宋" w:hAnsi="仿宋" w:eastAsia="仿宋" w:cs="仿宋"/>
          <w:b/>
          <w:bCs/>
          <w:sz w:val="28"/>
          <w:szCs w:val="28"/>
        </w:rPr>
        <w:t>而予以废标处理。</w:t>
      </w:r>
    </w:p>
    <w:p w14:paraId="2597F70D">
      <w:pPr>
        <w:keepNext w:val="0"/>
        <w:keepLines w:val="0"/>
        <w:pageBreakBefore w:val="0"/>
        <w:kinsoku/>
        <w:wordWrap/>
        <w:overflowPunct/>
        <w:topLinePunct w:val="0"/>
        <w:bidi w:val="0"/>
        <w:outlineLvl w:val="9"/>
        <w:rPr>
          <w:rFonts w:hint="eastAsia" w:ascii="仿宋" w:hAnsi="仿宋" w:eastAsia="仿宋" w:cs="仿宋"/>
        </w:rPr>
      </w:pPr>
    </w:p>
    <w:p w14:paraId="7C0F11A7">
      <w:pPr>
        <w:pStyle w:val="8"/>
        <w:keepNext w:val="0"/>
        <w:keepLines w:val="0"/>
        <w:pageBreakBefore w:val="0"/>
        <w:tabs>
          <w:tab w:val="clear" w:pos="567"/>
        </w:tabs>
        <w:kinsoku/>
        <w:wordWrap/>
        <w:overflowPunct/>
        <w:topLinePunct w:val="0"/>
        <w:bidi w:val="0"/>
        <w:spacing w:before="0" w:line="360" w:lineRule="auto"/>
        <w:ind w:left="-181" w:leftChars="-86" w:firstLine="660" w:firstLineChars="275"/>
        <w:outlineLvl w:val="9"/>
        <w:rPr>
          <w:rFonts w:hint="eastAsia" w:ascii="仿宋" w:hAnsi="仿宋" w:eastAsia="仿宋" w:cs="仿宋"/>
          <w:iCs/>
        </w:rPr>
      </w:pPr>
      <w:r>
        <w:rPr>
          <w:rFonts w:hint="eastAsia" w:ascii="仿宋" w:hAnsi="仿宋" w:eastAsia="仿宋" w:cs="仿宋"/>
          <w:iCs/>
        </w:rPr>
        <w:t>3.3.2本项目符合性审查事项仅限于本</w:t>
      </w:r>
      <w:r>
        <w:rPr>
          <w:rFonts w:hint="eastAsia" w:ascii="仿宋" w:hAnsi="仿宋" w:eastAsia="仿宋" w:cs="仿宋"/>
          <w:iCs/>
          <w:lang w:eastAsia="zh-CN"/>
        </w:rPr>
        <w:t>磋商文件</w:t>
      </w:r>
      <w:r>
        <w:rPr>
          <w:rFonts w:hint="eastAsia" w:ascii="仿宋" w:hAnsi="仿宋" w:eastAsia="仿宋" w:cs="仿宋"/>
          <w:iCs/>
        </w:rPr>
        <w:t>的明确规定。</w:t>
      </w:r>
      <w:r>
        <w:rPr>
          <w:rFonts w:hint="eastAsia" w:ascii="仿宋" w:hAnsi="仿宋" w:eastAsia="仿宋" w:cs="仿宋"/>
          <w:iCs/>
          <w:lang w:eastAsia="zh-CN"/>
        </w:rPr>
        <w:t>响应文件</w:t>
      </w:r>
      <w:r>
        <w:rPr>
          <w:rFonts w:hint="eastAsia" w:ascii="仿宋" w:hAnsi="仿宋" w:eastAsia="仿宋" w:cs="仿宋"/>
          <w:iCs/>
        </w:rPr>
        <w:t>是否满足</w:t>
      </w:r>
      <w:r>
        <w:rPr>
          <w:rFonts w:hint="eastAsia" w:ascii="仿宋" w:hAnsi="仿宋" w:eastAsia="仿宋" w:cs="仿宋"/>
          <w:iCs/>
          <w:lang w:eastAsia="zh-CN"/>
        </w:rPr>
        <w:t>磋商文件</w:t>
      </w:r>
      <w:r>
        <w:rPr>
          <w:rFonts w:hint="eastAsia" w:ascii="仿宋" w:hAnsi="仿宋" w:eastAsia="仿宋" w:cs="仿宋"/>
          <w:iCs/>
        </w:rPr>
        <w:t>的实质性要求，必须以本</w:t>
      </w:r>
      <w:r>
        <w:rPr>
          <w:rFonts w:hint="eastAsia" w:ascii="仿宋" w:hAnsi="仿宋" w:eastAsia="仿宋" w:cs="仿宋"/>
          <w:iCs/>
          <w:lang w:eastAsia="zh-CN"/>
        </w:rPr>
        <w:t>磋商文件</w:t>
      </w:r>
      <w:r>
        <w:rPr>
          <w:rFonts w:hint="eastAsia" w:ascii="仿宋" w:hAnsi="仿宋" w:eastAsia="仿宋" w:cs="仿宋"/>
          <w:iCs/>
        </w:rPr>
        <w:t>的明确规定作为依据，否则，不能对</w:t>
      </w:r>
      <w:r>
        <w:rPr>
          <w:rFonts w:hint="eastAsia" w:ascii="仿宋" w:hAnsi="仿宋" w:eastAsia="仿宋" w:cs="仿宋"/>
          <w:iCs/>
          <w:lang w:eastAsia="zh-CN"/>
        </w:rPr>
        <w:t>响应文件</w:t>
      </w:r>
      <w:r>
        <w:rPr>
          <w:rFonts w:hint="eastAsia" w:ascii="仿宋" w:hAnsi="仿宋" w:eastAsia="仿宋" w:cs="仿宋"/>
          <w:iCs/>
        </w:rPr>
        <w:t>作为无效处理，评标委员会不得臆测符合性审查事项。</w:t>
      </w:r>
    </w:p>
    <w:p w14:paraId="62F62AC1">
      <w:pPr>
        <w:pStyle w:val="8"/>
        <w:keepNext w:val="0"/>
        <w:keepLines w:val="0"/>
        <w:pageBreakBefore w:val="0"/>
        <w:tabs>
          <w:tab w:val="clear" w:pos="567"/>
        </w:tabs>
        <w:kinsoku/>
        <w:wordWrap/>
        <w:overflowPunct/>
        <w:topLinePunct w:val="0"/>
        <w:bidi w:val="0"/>
        <w:spacing w:before="0" w:line="360" w:lineRule="auto"/>
        <w:ind w:left="-181" w:leftChars="-86" w:firstLine="660" w:firstLineChars="275"/>
        <w:outlineLvl w:val="9"/>
        <w:rPr>
          <w:rFonts w:hint="eastAsia" w:ascii="仿宋" w:hAnsi="仿宋" w:eastAsia="仿宋" w:cs="仿宋"/>
          <w:iCs/>
        </w:rPr>
      </w:pPr>
      <w:r>
        <w:rPr>
          <w:rFonts w:hint="eastAsia" w:ascii="仿宋" w:hAnsi="仿宋" w:eastAsia="仿宋" w:cs="仿宋"/>
          <w:iCs/>
        </w:rPr>
        <w:t>3.3.3</w:t>
      </w:r>
      <w:r>
        <w:rPr>
          <w:rFonts w:hint="eastAsia" w:ascii="仿宋" w:hAnsi="仿宋" w:eastAsia="仿宋" w:cs="仿宋"/>
          <w:iCs/>
          <w:lang w:eastAsia="zh-CN"/>
        </w:rPr>
        <w:t>响应文件</w:t>
      </w:r>
      <w:r>
        <w:rPr>
          <w:rFonts w:hint="eastAsia" w:ascii="仿宋" w:hAnsi="仿宋" w:eastAsia="仿宋" w:cs="仿宋"/>
          <w:iCs/>
        </w:rPr>
        <w:t>正本、副本以骑缝章的形式代替</w:t>
      </w:r>
      <w:r>
        <w:rPr>
          <w:rFonts w:hint="eastAsia" w:ascii="仿宋" w:hAnsi="仿宋" w:eastAsia="仿宋" w:cs="仿宋"/>
          <w:iCs/>
          <w:lang w:eastAsia="zh-CN"/>
        </w:rPr>
        <w:t>响应文件</w:t>
      </w:r>
      <w:r>
        <w:rPr>
          <w:rFonts w:hint="eastAsia" w:ascii="仿宋" w:hAnsi="仿宋" w:eastAsia="仿宋" w:cs="仿宋"/>
          <w:iCs/>
        </w:rPr>
        <w:t>内容逐页盖章的（但是骑缝章模糊不清，印章名称无法辨认的除外）本项目不作为实质性要求进行规定，即不作为符合性审查事项，不得作为无效投标处理：</w:t>
      </w:r>
    </w:p>
    <w:p w14:paraId="7C531A96">
      <w:pPr>
        <w:pStyle w:val="8"/>
        <w:keepNext w:val="0"/>
        <w:keepLines w:val="0"/>
        <w:pageBreakBefore w:val="0"/>
        <w:tabs>
          <w:tab w:val="clear" w:pos="567"/>
        </w:tabs>
        <w:kinsoku/>
        <w:wordWrap/>
        <w:overflowPunct/>
        <w:topLinePunct w:val="0"/>
        <w:bidi w:val="0"/>
        <w:spacing w:before="0" w:line="360" w:lineRule="auto"/>
        <w:ind w:left="-181" w:leftChars="-86" w:firstLine="660" w:firstLineChars="275"/>
        <w:outlineLvl w:val="9"/>
        <w:rPr>
          <w:rFonts w:hint="eastAsia" w:ascii="仿宋" w:hAnsi="仿宋" w:eastAsia="仿宋" w:cs="仿宋"/>
          <w:iCs/>
        </w:rPr>
      </w:pPr>
      <w:r>
        <w:rPr>
          <w:rFonts w:hint="eastAsia" w:ascii="仿宋" w:hAnsi="仿宋" w:eastAsia="仿宋" w:cs="仿宋"/>
          <w:iCs/>
        </w:rPr>
        <w:t>3.3.4</w:t>
      </w:r>
      <w:r>
        <w:rPr>
          <w:rFonts w:hint="eastAsia" w:ascii="仿宋" w:hAnsi="仿宋" w:eastAsia="仿宋" w:cs="仿宋"/>
          <w:iCs/>
          <w:lang w:eastAsia="zh-CN"/>
        </w:rPr>
        <w:t>供应商</w:t>
      </w:r>
      <w:r>
        <w:rPr>
          <w:rFonts w:hint="eastAsia" w:ascii="仿宋" w:hAnsi="仿宋" w:eastAsia="仿宋" w:cs="仿宋"/>
          <w:iCs/>
        </w:rPr>
        <w:t>有下列情形之一的,评标委员会认定为</w:t>
      </w:r>
      <w:r>
        <w:rPr>
          <w:rFonts w:hint="eastAsia" w:ascii="仿宋" w:hAnsi="仿宋" w:eastAsia="仿宋" w:cs="仿宋"/>
          <w:iCs/>
          <w:lang w:eastAsia="zh-CN"/>
        </w:rPr>
        <w:t>供应商</w:t>
      </w:r>
      <w:r>
        <w:rPr>
          <w:rFonts w:hint="eastAsia" w:ascii="仿宋" w:hAnsi="仿宋" w:eastAsia="仿宋" w:cs="仿宋"/>
          <w:iCs/>
        </w:rPr>
        <w:t>串通投标，其投标无效，书面报告财政部门：</w:t>
      </w:r>
    </w:p>
    <w:p w14:paraId="5A1769EE">
      <w:pPr>
        <w:pStyle w:val="8"/>
        <w:keepNext w:val="0"/>
        <w:keepLines w:val="0"/>
        <w:pageBreakBefore w:val="0"/>
        <w:tabs>
          <w:tab w:val="clear" w:pos="567"/>
        </w:tabs>
        <w:kinsoku/>
        <w:wordWrap/>
        <w:overflowPunct/>
        <w:topLinePunct w:val="0"/>
        <w:bidi w:val="0"/>
        <w:spacing w:before="0" w:line="360" w:lineRule="auto"/>
        <w:ind w:firstLine="240" w:firstLineChars="100"/>
        <w:outlineLvl w:val="9"/>
        <w:rPr>
          <w:rFonts w:hint="eastAsia" w:ascii="仿宋" w:hAnsi="仿宋" w:eastAsia="仿宋" w:cs="仿宋"/>
          <w:iCs/>
        </w:rPr>
      </w:pPr>
      <w:r>
        <w:rPr>
          <w:rFonts w:hint="eastAsia" w:ascii="仿宋" w:hAnsi="仿宋" w:eastAsia="仿宋" w:cs="仿宋"/>
          <w:iCs/>
        </w:rPr>
        <w:t>（1）不同</w:t>
      </w:r>
      <w:r>
        <w:rPr>
          <w:rFonts w:hint="eastAsia" w:ascii="仿宋" w:hAnsi="仿宋" w:eastAsia="仿宋" w:cs="仿宋"/>
          <w:iCs/>
          <w:lang w:eastAsia="zh-CN"/>
        </w:rPr>
        <w:t>供应商</w:t>
      </w:r>
      <w:r>
        <w:rPr>
          <w:rFonts w:hint="eastAsia" w:ascii="仿宋" w:hAnsi="仿宋" w:eastAsia="仿宋" w:cs="仿宋"/>
          <w:iCs/>
        </w:rPr>
        <w:t>的</w:t>
      </w:r>
      <w:r>
        <w:rPr>
          <w:rFonts w:hint="eastAsia" w:ascii="仿宋" w:hAnsi="仿宋" w:eastAsia="仿宋" w:cs="仿宋"/>
          <w:iCs/>
          <w:lang w:eastAsia="zh-CN"/>
        </w:rPr>
        <w:t>响应文件</w:t>
      </w:r>
      <w:r>
        <w:rPr>
          <w:rFonts w:hint="eastAsia" w:ascii="仿宋" w:hAnsi="仿宋" w:eastAsia="仿宋" w:cs="仿宋"/>
          <w:iCs/>
        </w:rPr>
        <w:t>由同一单位或者个人编制；</w:t>
      </w:r>
    </w:p>
    <w:p w14:paraId="5795C046">
      <w:pPr>
        <w:pStyle w:val="8"/>
        <w:keepNext w:val="0"/>
        <w:keepLines w:val="0"/>
        <w:pageBreakBefore w:val="0"/>
        <w:tabs>
          <w:tab w:val="clear" w:pos="567"/>
        </w:tabs>
        <w:kinsoku/>
        <w:wordWrap/>
        <w:overflowPunct/>
        <w:topLinePunct w:val="0"/>
        <w:bidi w:val="0"/>
        <w:spacing w:before="0" w:line="360" w:lineRule="auto"/>
        <w:ind w:firstLine="240" w:firstLineChars="100"/>
        <w:outlineLvl w:val="9"/>
        <w:rPr>
          <w:rFonts w:hint="eastAsia" w:ascii="仿宋" w:hAnsi="仿宋" w:eastAsia="仿宋" w:cs="仿宋"/>
          <w:iCs/>
        </w:rPr>
      </w:pPr>
      <w:r>
        <w:rPr>
          <w:rFonts w:hint="eastAsia" w:ascii="仿宋" w:hAnsi="仿宋" w:eastAsia="仿宋" w:cs="仿宋"/>
          <w:iCs/>
        </w:rPr>
        <w:t>（2）不同</w:t>
      </w:r>
      <w:r>
        <w:rPr>
          <w:rFonts w:hint="eastAsia" w:ascii="仿宋" w:hAnsi="仿宋" w:eastAsia="仿宋" w:cs="仿宋"/>
          <w:iCs/>
          <w:lang w:eastAsia="zh-CN"/>
        </w:rPr>
        <w:t>供应商</w:t>
      </w:r>
      <w:r>
        <w:rPr>
          <w:rFonts w:hint="eastAsia" w:ascii="仿宋" w:hAnsi="仿宋" w:eastAsia="仿宋" w:cs="仿宋"/>
          <w:iCs/>
        </w:rPr>
        <w:t>委托同一单位或者个人办理投标事宜；</w:t>
      </w:r>
    </w:p>
    <w:p w14:paraId="7D9C0A62">
      <w:pPr>
        <w:pStyle w:val="8"/>
        <w:keepNext w:val="0"/>
        <w:keepLines w:val="0"/>
        <w:pageBreakBefore w:val="0"/>
        <w:tabs>
          <w:tab w:val="clear" w:pos="567"/>
        </w:tabs>
        <w:kinsoku/>
        <w:wordWrap/>
        <w:overflowPunct/>
        <w:topLinePunct w:val="0"/>
        <w:bidi w:val="0"/>
        <w:spacing w:before="0" w:line="360" w:lineRule="auto"/>
        <w:ind w:firstLine="240" w:firstLineChars="100"/>
        <w:outlineLvl w:val="9"/>
        <w:rPr>
          <w:rFonts w:hint="eastAsia" w:ascii="仿宋" w:hAnsi="仿宋" w:eastAsia="仿宋" w:cs="仿宋"/>
          <w:iCs/>
        </w:rPr>
      </w:pPr>
      <w:r>
        <w:rPr>
          <w:rFonts w:hint="eastAsia" w:ascii="仿宋" w:hAnsi="仿宋" w:eastAsia="仿宋" w:cs="仿宋"/>
          <w:iCs/>
        </w:rPr>
        <w:t>（3）不同</w:t>
      </w:r>
      <w:r>
        <w:rPr>
          <w:rFonts w:hint="eastAsia" w:ascii="仿宋" w:hAnsi="仿宋" w:eastAsia="仿宋" w:cs="仿宋"/>
          <w:iCs/>
          <w:lang w:eastAsia="zh-CN"/>
        </w:rPr>
        <w:t>供应商</w:t>
      </w:r>
      <w:r>
        <w:rPr>
          <w:rFonts w:hint="eastAsia" w:ascii="仿宋" w:hAnsi="仿宋" w:eastAsia="仿宋" w:cs="仿宋"/>
          <w:iCs/>
        </w:rPr>
        <w:t>的</w:t>
      </w:r>
      <w:r>
        <w:rPr>
          <w:rFonts w:hint="eastAsia" w:ascii="仿宋" w:hAnsi="仿宋" w:eastAsia="仿宋" w:cs="仿宋"/>
          <w:iCs/>
          <w:lang w:eastAsia="zh-CN"/>
        </w:rPr>
        <w:t>响应文件</w:t>
      </w:r>
      <w:r>
        <w:rPr>
          <w:rFonts w:hint="eastAsia" w:ascii="仿宋" w:hAnsi="仿宋" w:eastAsia="仿宋" w:cs="仿宋"/>
          <w:iCs/>
        </w:rPr>
        <w:t>载明的项目管理成员或者联系人员为同一人；</w:t>
      </w:r>
    </w:p>
    <w:p w14:paraId="2D0718DC">
      <w:pPr>
        <w:pStyle w:val="8"/>
        <w:keepNext w:val="0"/>
        <w:keepLines w:val="0"/>
        <w:pageBreakBefore w:val="0"/>
        <w:tabs>
          <w:tab w:val="clear" w:pos="567"/>
        </w:tabs>
        <w:kinsoku/>
        <w:wordWrap/>
        <w:overflowPunct/>
        <w:topLinePunct w:val="0"/>
        <w:bidi w:val="0"/>
        <w:spacing w:before="0" w:line="360" w:lineRule="auto"/>
        <w:ind w:firstLine="240" w:firstLineChars="100"/>
        <w:outlineLvl w:val="9"/>
        <w:rPr>
          <w:rFonts w:hint="eastAsia" w:ascii="仿宋" w:hAnsi="仿宋" w:eastAsia="仿宋" w:cs="仿宋"/>
          <w:iCs/>
        </w:rPr>
      </w:pPr>
      <w:r>
        <w:rPr>
          <w:rFonts w:hint="eastAsia" w:ascii="仿宋" w:hAnsi="仿宋" w:eastAsia="仿宋" w:cs="仿宋"/>
          <w:iCs/>
        </w:rPr>
        <w:t>（4）不同</w:t>
      </w:r>
      <w:r>
        <w:rPr>
          <w:rFonts w:hint="eastAsia" w:ascii="仿宋" w:hAnsi="仿宋" w:eastAsia="仿宋" w:cs="仿宋"/>
          <w:iCs/>
          <w:lang w:eastAsia="zh-CN"/>
        </w:rPr>
        <w:t>供应商</w:t>
      </w:r>
      <w:r>
        <w:rPr>
          <w:rFonts w:hint="eastAsia" w:ascii="仿宋" w:hAnsi="仿宋" w:eastAsia="仿宋" w:cs="仿宋"/>
          <w:iCs/>
        </w:rPr>
        <w:t>的</w:t>
      </w:r>
      <w:r>
        <w:rPr>
          <w:rFonts w:hint="eastAsia" w:ascii="仿宋" w:hAnsi="仿宋" w:eastAsia="仿宋" w:cs="仿宋"/>
          <w:iCs/>
          <w:lang w:eastAsia="zh-CN"/>
        </w:rPr>
        <w:t>响应文件</w:t>
      </w:r>
      <w:r>
        <w:rPr>
          <w:rFonts w:hint="eastAsia" w:ascii="仿宋" w:hAnsi="仿宋" w:eastAsia="仿宋" w:cs="仿宋"/>
          <w:iCs/>
        </w:rPr>
        <w:t>异常一致或者投标报价呈规律性差异；</w:t>
      </w:r>
    </w:p>
    <w:p w14:paraId="7FCDC61C">
      <w:pPr>
        <w:pStyle w:val="8"/>
        <w:keepNext w:val="0"/>
        <w:keepLines w:val="0"/>
        <w:pageBreakBefore w:val="0"/>
        <w:tabs>
          <w:tab w:val="clear" w:pos="567"/>
        </w:tabs>
        <w:kinsoku/>
        <w:wordWrap/>
        <w:overflowPunct/>
        <w:topLinePunct w:val="0"/>
        <w:bidi w:val="0"/>
        <w:spacing w:before="0" w:line="360" w:lineRule="auto"/>
        <w:ind w:firstLine="240" w:firstLineChars="100"/>
        <w:outlineLvl w:val="9"/>
        <w:rPr>
          <w:rFonts w:hint="eastAsia" w:ascii="仿宋" w:hAnsi="仿宋" w:eastAsia="仿宋" w:cs="仿宋"/>
          <w:iCs/>
        </w:rPr>
      </w:pPr>
      <w:r>
        <w:rPr>
          <w:rFonts w:hint="eastAsia" w:ascii="仿宋" w:hAnsi="仿宋" w:eastAsia="仿宋" w:cs="仿宋"/>
          <w:iCs/>
        </w:rPr>
        <w:t>（5）不同</w:t>
      </w:r>
      <w:r>
        <w:rPr>
          <w:rFonts w:hint="eastAsia" w:ascii="仿宋" w:hAnsi="仿宋" w:eastAsia="仿宋" w:cs="仿宋"/>
          <w:iCs/>
          <w:lang w:eastAsia="zh-CN"/>
        </w:rPr>
        <w:t>供应商</w:t>
      </w:r>
      <w:r>
        <w:rPr>
          <w:rFonts w:hint="eastAsia" w:ascii="仿宋" w:hAnsi="仿宋" w:eastAsia="仿宋" w:cs="仿宋"/>
          <w:iCs/>
        </w:rPr>
        <w:t>的</w:t>
      </w:r>
      <w:r>
        <w:rPr>
          <w:rFonts w:hint="eastAsia" w:ascii="仿宋" w:hAnsi="仿宋" w:eastAsia="仿宋" w:cs="仿宋"/>
          <w:iCs/>
          <w:lang w:eastAsia="zh-CN"/>
        </w:rPr>
        <w:t>响应文件</w:t>
      </w:r>
      <w:r>
        <w:rPr>
          <w:rFonts w:hint="eastAsia" w:ascii="仿宋" w:hAnsi="仿宋" w:eastAsia="仿宋" w:cs="仿宋"/>
          <w:iCs/>
        </w:rPr>
        <w:t>相互混装；</w:t>
      </w:r>
    </w:p>
    <w:p w14:paraId="1CE0DBDE">
      <w:pPr>
        <w:pStyle w:val="8"/>
        <w:keepNext w:val="0"/>
        <w:keepLines w:val="0"/>
        <w:pageBreakBefore w:val="0"/>
        <w:tabs>
          <w:tab w:val="clear" w:pos="567"/>
        </w:tabs>
        <w:kinsoku/>
        <w:wordWrap/>
        <w:overflowPunct/>
        <w:topLinePunct w:val="0"/>
        <w:bidi w:val="0"/>
        <w:spacing w:before="0" w:line="360" w:lineRule="auto"/>
        <w:ind w:left="-181" w:leftChars="-86" w:firstLine="660" w:firstLineChars="275"/>
        <w:outlineLvl w:val="9"/>
        <w:rPr>
          <w:rFonts w:hint="eastAsia" w:ascii="仿宋" w:hAnsi="仿宋" w:eastAsia="仿宋" w:cs="仿宋"/>
          <w:iCs/>
        </w:rPr>
      </w:pPr>
      <w:r>
        <w:rPr>
          <w:rFonts w:hint="eastAsia" w:ascii="仿宋" w:hAnsi="仿宋" w:eastAsia="仿宋" w:cs="仿宋"/>
          <w:iCs/>
        </w:rPr>
        <w:t>3.4比较与评价。按</w:t>
      </w:r>
      <w:r>
        <w:rPr>
          <w:rFonts w:hint="eastAsia" w:ascii="仿宋" w:hAnsi="仿宋" w:eastAsia="仿宋" w:cs="仿宋"/>
          <w:iCs/>
          <w:lang w:eastAsia="zh-CN"/>
        </w:rPr>
        <w:t>磋商文件</w:t>
      </w:r>
      <w:r>
        <w:rPr>
          <w:rFonts w:hint="eastAsia" w:ascii="仿宋" w:hAnsi="仿宋" w:eastAsia="仿宋" w:cs="仿宋"/>
          <w:iCs/>
        </w:rPr>
        <w:t>中规定的评标方法和标准，对未作无效投标处理的</w:t>
      </w:r>
      <w:r>
        <w:rPr>
          <w:rFonts w:hint="eastAsia" w:ascii="仿宋" w:hAnsi="仿宋" w:eastAsia="仿宋" w:cs="仿宋"/>
          <w:iCs/>
          <w:lang w:eastAsia="zh-CN"/>
        </w:rPr>
        <w:t>响应文件</w:t>
      </w:r>
      <w:r>
        <w:rPr>
          <w:rFonts w:hint="eastAsia" w:ascii="仿宋" w:hAnsi="仿宋" w:eastAsia="仿宋" w:cs="仿宋"/>
          <w:iCs/>
        </w:rPr>
        <w:t>进行技术、服务、商务等方面评估，综合比较与评价。</w:t>
      </w:r>
    </w:p>
    <w:p w14:paraId="304505BE">
      <w:pPr>
        <w:pStyle w:val="6"/>
        <w:keepNext w:val="0"/>
        <w:keepLines w:val="0"/>
        <w:pageBreakBefore w:val="0"/>
        <w:kinsoku/>
        <w:wordWrap/>
        <w:overflowPunct/>
        <w:topLinePunct w:val="0"/>
        <w:bidi w:val="0"/>
        <w:ind w:left="0" w:leftChars="0" w:firstLine="0" w:firstLineChars="0"/>
        <w:outlineLvl w:val="9"/>
        <w:rPr>
          <w:rFonts w:hint="eastAsia" w:ascii="仿宋" w:hAnsi="仿宋" w:eastAsia="仿宋" w:cs="仿宋"/>
          <w:iCs/>
          <w:kern w:val="2"/>
          <w:sz w:val="24"/>
          <w:szCs w:val="24"/>
          <w:lang w:val="en-US" w:eastAsia="zh-CN" w:bidi="ar-SA"/>
        </w:rPr>
      </w:pPr>
      <w:r>
        <w:rPr>
          <w:rFonts w:hint="eastAsia" w:ascii="仿宋" w:hAnsi="仿宋" w:eastAsia="仿宋" w:cs="仿宋"/>
          <w:iCs/>
          <w:kern w:val="2"/>
          <w:sz w:val="24"/>
          <w:szCs w:val="24"/>
          <w:lang w:val="en-US" w:eastAsia="zh-CN" w:bidi="ar-SA"/>
        </w:rPr>
        <w:t>3.4.1评标委员会首先按照磋商文件要求对响应文件中的供应商资格、供应商资格证明文件、重要技术指标以及技术和商务上要求的其它重要内容进行审核，审核合格后即视为实质性响应的响应文件，除考虑投标价格外，还应考虑以下因素：响应文件中所报交货期及付款方式；货物的技术水平、性能和供货能力；货物的质量和适用性；配套产品的安全性、先进性；投标方为其所供货物提供零备件及售后服务的可能性；零备件、专用工具及相关服务的费用；磋商文件中所要求的有关服务费用；发货到最终目的地的内陆运输、保险及其他费用；其他特殊要求因素（如节能、安全和环保等）。</w:t>
      </w:r>
    </w:p>
    <w:p w14:paraId="7171763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rPr>
      </w:pPr>
      <w:r>
        <w:rPr>
          <w:rFonts w:hint="eastAsia" w:ascii="仿宋" w:hAnsi="仿宋" w:eastAsia="仿宋" w:cs="仿宋"/>
          <w:b/>
          <w:bCs/>
          <w:iCs/>
          <w:kern w:val="2"/>
          <w:sz w:val="24"/>
        </w:rPr>
        <w:t>评分细则</w:t>
      </w:r>
      <w:r>
        <w:rPr>
          <w:rFonts w:hint="eastAsia" w:ascii="仿宋" w:hAnsi="仿宋" w:eastAsia="仿宋" w:cs="仿宋"/>
          <w:b/>
          <w:bCs/>
          <w:iCs/>
          <w:kern w:val="2"/>
          <w:sz w:val="24"/>
          <w:lang w:eastAsia="zh-CN"/>
        </w:rPr>
        <w:t>：</w:t>
      </w:r>
      <w:r>
        <w:rPr>
          <w:rFonts w:hint="eastAsia" w:ascii="仿宋" w:hAnsi="仿宋" w:eastAsia="仿宋" w:cs="仿宋"/>
          <w:sz w:val="24"/>
        </w:rPr>
        <w:t>商务、技术评分标准（满分100分）</w:t>
      </w:r>
    </w:p>
    <w:p w14:paraId="411924D2">
      <w:pPr>
        <w:keepNext w:val="0"/>
        <w:keepLines w:val="0"/>
        <w:pageBreakBefore w:val="0"/>
        <w:widowControl w:val="0"/>
        <w:kinsoku/>
        <w:wordWrap/>
        <w:overflowPunct/>
        <w:topLinePunct w:val="0"/>
        <w:autoSpaceDE/>
        <w:autoSpaceDN/>
        <w:bidi w:val="0"/>
        <w:adjustRightInd/>
        <w:snapToGrid/>
        <w:spacing w:before="318" w:beforeLines="100" w:afterLines="50" w:line="400" w:lineRule="exact"/>
        <w:textAlignment w:val="auto"/>
        <w:outlineLvl w:val="2"/>
        <w:rPr>
          <w:rFonts w:ascii="仿宋" w:hAnsi="仿宋" w:eastAsia="仿宋" w:cs="仿宋"/>
          <w:spacing w:val="5"/>
          <w:sz w:val="23"/>
          <w:szCs w:val="23"/>
        </w:rPr>
      </w:pPr>
      <w:r>
        <w:rPr>
          <w:rFonts w:hint="eastAsia" w:ascii="楷体" w:hAnsi="楷体" w:eastAsia="楷体"/>
          <w:sz w:val="24"/>
          <w:szCs w:val="24"/>
          <w:lang w:eastAsia="zh-CN"/>
        </w:rPr>
        <w:t>报价</w:t>
      </w:r>
      <w:r>
        <w:rPr>
          <w:rFonts w:hint="eastAsia" w:ascii="楷体" w:hAnsi="楷体" w:eastAsia="楷体"/>
          <w:sz w:val="24"/>
          <w:szCs w:val="24"/>
        </w:rPr>
        <w:t>部分</w:t>
      </w:r>
    </w:p>
    <w:tbl>
      <w:tblPr>
        <w:tblStyle w:val="23"/>
        <w:tblW w:w="99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63"/>
        <w:gridCol w:w="6761"/>
      </w:tblGrid>
      <w:tr w14:paraId="372EC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163" w:type="dxa"/>
            <w:tcBorders>
              <w:top w:val="single" w:color="auto" w:sz="4" w:space="0"/>
              <w:left w:val="single" w:color="auto" w:sz="4" w:space="0"/>
              <w:bottom w:val="single" w:color="auto" w:sz="4" w:space="0"/>
              <w:right w:val="single" w:color="auto" w:sz="4" w:space="0"/>
            </w:tcBorders>
            <w:noWrap w:val="0"/>
            <w:vAlign w:val="center"/>
          </w:tcPr>
          <w:p w14:paraId="70B1DD3D">
            <w:pPr>
              <w:spacing w:beforeLines="30" w:line="312" w:lineRule="auto"/>
              <w:jc w:val="center"/>
              <w:rPr>
                <w:rFonts w:hint="eastAsia" w:ascii="仿宋" w:hAnsi="仿宋" w:eastAsia="仿宋" w:cs="仿宋"/>
                <w:b/>
                <w:bCs/>
                <w:sz w:val="24"/>
                <w:szCs w:val="24"/>
              </w:rPr>
            </w:pPr>
            <w:bookmarkStart w:id="613" w:name="_Toc5207"/>
            <w:r>
              <w:rPr>
                <w:rFonts w:hint="eastAsia" w:ascii="仿宋" w:hAnsi="仿宋" w:eastAsia="仿宋" w:cs="仿宋"/>
                <w:b/>
                <w:bCs/>
                <w:sz w:val="24"/>
                <w:szCs w:val="24"/>
              </w:rPr>
              <w:t>条款号</w:t>
            </w:r>
          </w:p>
        </w:tc>
        <w:tc>
          <w:tcPr>
            <w:tcW w:w="6761" w:type="dxa"/>
            <w:tcBorders>
              <w:top w:val="single" w:color="auto" w:sz="4" w:space="0"/>
              <w:left w:val="single" w:color="auto" w:sz="4" w:space="0"/>
              <w:bottom w:val="single" w:color="auto" w:sz="4" w:space="0"/>
              <w:right w:val="single" w:color="auto" w:sz="4" w:space="0"/>
            </w:tcBorders>
            <w:noWrap w:val="0"/>
            <w:vAlign w:val="center"/>
          </w:tcPr>
          <w:p w14:paraId="70F0365E">
            <w:pPr>
              <w:spacing w:beforeLines="30" w:line="312" w:lineRule="auto"/>
              <w:jc w:val="center"/>
              <w:rPr>
                <w:rFonts w:hint="eastAsia" w:ascii="仿宋" w:hAnsi="仿宋" w:eastAsia="仿宋" w:cs="仿宋"/>
                <w:b/>
                <w:bCs/>
                <w:sz w:val="24"/>
                <w:szCs w:val="24"/>
              </w:rPr>
            </w:pPr>
            <w:r>
              <w:rPr>
                <w:rFonts w:hint="eastAsia" w:ascii="仿宋" w:hAnsi="仿宋" w:eastAsia="仿宋" w:cs="仿宋"/>
                <w:b/>
                <w:bCs/>
                <w:sz w:val="24"/>
                <w:szCs w:val="24"/>
              </w:rPr>
              <w:t>评审标准</w:t>
            </w:r>
          </w:p>
        </w:tc>
      </w:tr>
      <w:tr w14:paraId="438B6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2" w:hRule="atLeast"/>
          <w:jc w:val="center"/>
        </w:trPr>
        <w:tc>
          <w:tcPr>
            <w:tcW w:w="3163" w:type="dxa"/>
            <w:tcBorders>
              <w:top w:val="single" w:color="auto" w:sz="4" w:space="0"/>
              <w:left w:val="single" w:color="auto" w:sz="4" w:space="0"/>
              <w:bottom w:val="single" w:color="auto" w:sz="4" w:space="0"/>
              <w:right w:val="single" w:color="auto" w:sz="4" w:space="0"/>
            </w:tcBorders>
            <w:noWrap w:val="0"/>
            <w:vAlign w:val="center"/>
          </w:tcPr>
          <w:p w14:paraId="77602997">
            <w:pPr>
              <w:keepNext w:val="0"/>
              <w:keepLines w:val="0"/>
              <w:pageBreakBefore w:val="0"/>
              <w:widowControl w:val="0"/>
              <w:kinsoku/>
              <w:wordWrap/>
              <w:overflowPunct/>
              <w:topLinePunct w:val="0"/>
              <w:autoSpaceDE/>
              <w:autoSpaceDN/>
              <w:bidi w:val="0"/>
              <w:adjustRightInd/>
              <w:snapToGrid/>
              <w:spacing w:beforeLines="30" w:line="260" w:lineRule="exact"/>
              <w:jc w:val="center"/>
              <w:textAlignment w:val="auto"/>
              <w:rPr>
                <w:rFonts w:hint="eastAsia" w:ascii="仿宋" w:hAnsi="仿宋" w:eastAsia="仿宋" w:cs="仿宋"/>
                <w:sz w:val="21"/>
                <w:szCs w:val="21"/>
                <w:highlight w:val="none"/>
                <w:lang w:val="zh-CN"/>
              </w:rPr>
            </w:pPr>
            <w:r>
              <w:rPr>
                <w:rFonts w:hint="eastAsia" w:ascii="仿宋" w:hAnsi="仿宋" w:eastAsia="仿宋" w:cs="仿宋"/>
                <w:sz w:val="24"/>
                <w:szCs w:val="24"/>
                <w:lang w:val="zh-CN"/>
              </w:rPr>
              <w:t>报价得分（</w:t>
            </w:r>
            <w:r>
              <w:rPr>
                <w:rFonts w:hint="eastAsia" w:ascii="仿宋" w:hAnsi="仿宋" w:eastAsia="仿宋" w:cs="仿宋"/>
                <w:sz w:val="24"/>
                <w:szCs w:val="24"/>
                <w:lang w:val="en-US" w:eastAsia="zh-CN"/>
              </w:rPr>
              <w:t>20</w:t>
            </w:r>
            <w:r>
              <w:rPr>
                <w:rFonts w:hint="eastAsia" w:ascii="仿宋" w:hAnsi="仿宋" w:eastAsia="仿宋" w:cs="仿宋"/>
                <w:sz w:val="24"/>
                <w:szCs w:val="24"/>
                <w:lang w:val="zh-CN"/>
              </w:rPr>
              <w:t>分）</w:t>
            </w:r>
          </w:p>
        </w:tc>
        <w:tc>
          <w:tcPr>
            <w:tcW w:w="6761" w:type="dxa"/>
            <w:tcBorders>
              <w:top w:val="single" w:color="auto" w:sz="4" w:space="0"/>
              <w:left w:val="nil"/>
              <w:bottom w:val="single" w:color="auto" w:sz="4" w:space="0"/>
              <w:right w:val="single" w:color="auto" w:sz="4" w:space="0"/>
            </w:tcBorders>
            <w:noWrap w:val="0"/>
            <w:vAlign w:val="center"/>
          </w:tcPr>
          <w:p w14:paraId="595CB612">
            <w:pPr>
              <w:spacing w:before="93" w:beforeLines="30" w:line="312" w:lineRule="auto"/>
              <w:rPr>
                <w:rFonts w:hint="eastAsia" w:ascii="仿宋" w:hAnsi="仿宋" w:eastAsia="仿宋" w:cs="仿宋"/>
                <w:sz w:val="21"/>
                <w:szCs w:val="21"/>
                <w:highlight w:val="none"/>
                <w:lang w:val="en-US" w:eastAsia="zh-CN"/>
              </w:rPr>
            </w:pPr>
            <w:r>
              <w:rPr>
                <w:rFonts w:hint="eastAsia" w:ascii="仿宋" w:hAnsi="仿宋" w:eastAsia="仿宋" w:cs="仿宋"/>
                <w:sz w:val="24"/>
                <w:szCs w:val="24"/>
                <w:highlight w:val="none"/>
                <w:lang w:val="en-US" w:eastAsia="zh-CN"/>
              </w:rPr>
              <w:t>磋商小组只对符合性检查合格的响应文件进行价格评议，报价分采用低价优先法计算，即满足磋商文件要求且最终报价最低为评审基准价，其价格分为满分。其他供应商的价格分按照下列公式计算：磋商报价得分=(磋商基准价／最后磋商报价)×价格权值。</w:t>
            </w:r>
          </w:p>
        </w:tc>
      </w:tr>
    </w:tbl>
    <w:p w14:paraId="03DB7CB8">
      <w:pPr>
        <w:spacing w:beforeLines="50" w:afterLines="50" w:line="400" w:lineRule="exact"/>
        <w:ind w:firstLine="480" w:firstLineChars="200"/>
        <w:outlineLvl w:val="2"/>
        <w:rPr>
          <w:rFonts w:hint="eastAsia" w:ascii="楷体" w:hAnsi="楷体" w:eastAsia="楷体"/>
          <w:sz w:val="24"/>
          <w:szCs w:val="24"/>
        </w:rPr>
      </w:pPr>
      <w:r>
        <w:rPr>
          <w:rFonts w:hint="eastAsia" w:ascii="楷体" w:hAnsi="楷体" w:eastAsia="楷体"/>
          <w:sz w:val="24"/>
          <w:szCs w:val="24"/>
          <w:lang w:eastAsia="zh-CN"/>
        </w:rPr>
        <w:t>商务、</w:t>
      </w:r>
      <w:r>
        <w:rPr>
          <w:rFonts w:hint="eastAsia" w:ascii="楷体" w:hAnsi="楷体" w:eastAsia="楷体"/>
          <w:sz w:val="24"/>
          <w:szCs w:val="24"/>
        </w:rPr>
        <w:t>技术部分</w:t>
      </w:r>
      <w:bookmarkEnd w:id="613"/>
    </w:p>
    <w:tbl>
      <w:tblPr>
        <w:tblStyle w:val="23"/>
        <w:tblW w:w="10159" w:type="dxa"/>
        <w:tblInd w:w="-5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0"/>
        <w:gridCol w:w="1778"/>
        <w:gridCol w:w="7611"/>
      </w:tblGrid>
      <w:tr w14:paraId="213F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770" w:type="dxa"/>
            <w:noWrap w:val="0"/>
            <w:vAlign w:val="center"/>
          </w:tcPr>
          <w:p w14:paraId="4EBA20B1">
            <w:pPr>
              <w:pStyle w:val="39"/>
              <w:spacing w:line="360" w:lineRule="auto"/>
              <w:ind w:firstLine="0" w:firstLineChars="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778" w:type="dxa"/>
            <w:noWrap w:val="0"/>
            <w:vAlign w:val="center"/>
          </w:tcPr>
          <w:p w14:paraId="78623A5B">
            <w:pPr>
              <w:pStyle w:val="39"/>
              <w:spacing w:line="360" w:lineRule="auto"/>
              <w:ind w:firstLine="0" w:firstLineChars="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评分</w:t>
            </w:r>
            <w:r>
              <w:rPr>
                <w:rFonts w:hint="eastAsia" w:ascii="仿宋" w:hAnsi="仿宋" w:eastAsia="仿宋" w:cs="仿宋"/>
                <w:b w:val="0"/>
                <w:bCs/>
                <w:color w:val="auto"/>
                <w:sz w:val="24"/>
                <w:szCs w:val="24"/>
                <w:highlight w:val="none"/>
                <w:lang w:val="en-US" w:eastAsia="zh-CN"/>
              </w:rPr>
              <w:t>内容</w:t>
            </w:r>
          </w:p>
        </w:tc>
        <w:tc>
          <w:tcPr>
            <w:tcW w:w="7611" w:type="dxa"/>
            <w:noWrap w:val="0"/>
            <w:vAlign w:val="center"/>
          </w:tcPr>
          <w:p w14:paraId="42C721C1">
            <w:pPr>
              <w:pStyle w:val="39"/>
              <w:spacing w:line="360" w:lineRule="auto"/>
              <w:ind w:firstLine="0" w:firstLineChars="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评分方法</w:t>
            </w:r>
          </w:p>
        </w:tc>
      </w:tr>
      <w:tr w14:paraId="58DF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trPr>
        <w:tc>
          <w:tcPr>
            <w:tcW w:w="770" w:type="dxa"/>
            <w:noWrap w:val="0"/>
            <w:vAlign w:val="center"/>
          </w:tcPr>
          <w:p w14:paraId="797AD8E6">
            <w:pPr>
              <w:pStyle w:val="39"/>
              <w:spacing w:line="360" w:lineRule="auto"/>
              <w:ind w:firstLine="0"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778" w:type="dxa"/>
            <w:noWrap w:val="0"/>
            <w:vAlign w:val="center"/>
          </w:tcPr>
          <w:p w14:paraId="2781B991">
            <w:pPr>
              <w:keepNext w:val="0"/>
              <w:keepLines w:val="0"/>
              <w:widowControl/>
              <w:suppressLineNumbers w:val="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000000"/>
                <w:kern w:val="0"/>
                <w:sz w:val="24"/>
                <w:szCs w:val="24"/>
                <w:lang w:val="en-US" w:eastAsia="zh-CN" w:bidi="ar"/>
              </w:rPr>
              <w:t>食品监测项目资质覆盖能力占全部采购抽检品种、项目标的响应程度（5分）</w:t>
            </w:r>
          </w:p>
        </w:tc>
        <w:tc>
          <w:tcPr>
            <w:tcW w:w="7611" w:type="dxa"/>
            <w:noWrap w:val="0"/>
            <w:vAlign w:val="center"/>
          </w:tcPr>
          <w:p w14:paraId="7764B75E">
            <w:pPr>
              <w:keepNext w:val="0"/>
              <w:keepLines w:val="0"/>
              <w:widowControl/>
              <w:suppressLineNumbers w:val="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 xml:space="preserve">投标人应当完全响应招标文件规定，完全响应得5分，负偏离一项扣1分，扣完为止，未提供偏离表不得分。 </w:t>
            </w:r>
          </w:p>
          <w:p w14:paraId="7696DFAE">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注：投标人提供的所投包组项目的资质附表复印件必须与原件附表内容一致，如不一致按负偏离处理。</w:t>
            </w:r>
          </w:p>
        </w:tc>
      </w:tr>
      <w:tr w14:paraId="3184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rPr>
        <w:tc>
          <w:tcPr>
            <w:tcW w:w="770" w:type="dxa"/>
            <w:noWrap w:val="0"/>
            <w:vAlign w:val="center"/>
          </w:tcPr>
          <w:p w14:paraId="213CCCD5">
            <w:pPr>
              <w:pStyle w:val="39"/>
              <w:spacing w:line="360" w:lineRule="auto"/>
              <w:ind w:firstLine="0" w:firstLineChars="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2</w:t>
            </w:r>
          </w:p>
        </w:tc>
        <w:tc>
          <w:tcPr>
            <w:tcW w:w="1778" w:type="dxa"/>
            <w:noWrap w:val="0"/>
            <w:vAlign w:val="center"/>
          </w:tcPr>
          <w:p w14:paraId="17A1A24E">
            <w:pPr>
              <w:keepNext w:val="0"/>
              <w:keepLines w:val="0"/>
              <w:widowControl/>
              <w:suppressLineNumbers w:val="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bidi="ar"/>
              </w:rPr>
              <w:t>管理制度（6分）</w:t>
            </w:r>
          </w:p>
        </w:tc>
        <w:tc>
          <w:tcPr>
            <w:tcW w:w="7611" w:type="dxa"/>
            <w:noWrap w:val="0"/>
            <w:vAlign w:val="center"/>
          </w:tcPr>
          <w:p w14:paraId="6C58E516">
            <w:pPr>
              <w:keepNext w:val="0"/>
              <w:keepLines w:val="0"/>
              <w:widowControl/>
              <w:suppressLineNumbers w:val="0"/>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000000"/>
                <w:kern w:val="0"/>
                <w:sz w:val="24"/>
                <w:szCs w:val="24"/>
                <w:lang w:val="en-US" w:eastAsia="zh-CN" w:bidi="ar"/>
              </w:rPr>
              <w:t>根据投标人针对本项目提供的管理制度进行综合评分，内容包含但不限于：①质量管理体系完善、健全；②管理制度完善、健全；③食品安全检验检测制度特别是抽样检验法规规范及知识培训制度完善（有相应的培训记录佐证材料）、健全；④责任追究制度完善、健全；⑤检验档案管理制度完善、健全；⑥财务会计制度完善、健全。以上6项内容进行综合打分，每项完善内容得1分，存在缺陷不得分，最高得6分。</w:t>
            </w:r>
          </w:p>
        </w:tc>
      </w:tr>
      <w:tr w14:paraId="0A34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trPr>
        <w:tc>
          <w:tcPr>
            <w:tcW w:w="770" w:type="dxa"/>
            <w:noWrap w:val="0"/>
            <w:vAlign w:val="center"/>
          </w:tcPr>
          <w:p w14:paraId="2E33A279">
            <w:pPr>
              <w:pStyle w:val="39"/>
              <w:spacing w:line="360" w:lineRule="auto"/>
              <w:ind w:firstLine="0" w:firstLineChars="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3</w:t>
            </w:r>
          </w:p>
        </w:tc>
        <w:tc>
          <w:tcPr>
            <w:tcW w:w="1778" w:type="dxa"/>
            <w:noWrap w:val="0"/>
            <w:vAlign w:val="center"/>
          </w:tcPr>
          <w:p w14:paraId="29F6CC46">
            <w:pPr>
              <w:keepNext w:val="0"/>
              <w:keepLines w:val="0"/>
              <w:widowControl/>
              <w:suppressLineNumbers w:val="0"/>
              <w:jc w:val="center"/>
              <w:rPr>
                <w:rFonts w:hint="eastAsia" w:ascii="仿宋" w:hAnsi="仿宋" w:eastAsia="仿宋" w:cs="仿宋"/>
                <w:b w:val="0"/>
                <w:bCs/>
                <w:color w:val="auto"/>
                <w:sz w:val="24"/>
                <w:szCs w:val="24"/>
                <w:highlight w:val="none"/>
              </w:rPr>
            </w:pPr>
            <w:r>
              <w:rPr>
                <w:rFonts w:hint="eastAsia" w:ascii="仿宋" w:hAnsi="仿宋" w:eastAsia="仿宋" w:cs="仿宋"/>
                <w:color w:val="000000"/>
                <w:kern w:val="0"/>
                <w:sz w:val="24"/>
                <w:szCs w:val="24"/>
                <w:lang w:val="en-US" w:eastAsia="zh-CN" w:bidi="ar"/>
              </w:rPr>
              <w:t>突发事件的应急响应方案（7分）</w:t>
            </w:r>
          </w:p>
        </w:tc>
        <w:tc>
          <w:tcPr>
            <w:tcW w:w="7611" w:type="dxa"/>
            <w:noWrap w:val="0"/>
            <w:vAlign w:val="center"/>
          </w:tcPr>
          <w:p w14:paraId="44E27999">
            <w:pPr>
              <w:keepNext w:val="0"/>
              <w:keepLines w:val="0"/>
              <w:widowControl/>
              <w:suppressLineNumbers w:val="0"/>
              <w:jc w:val="left"/>
              <w:rPr>
                <w:rFonts w:hint="eastAsia" w:ascii="仿宋" w:hAnsi="仿宋" w:eastAsia="仿宋" w:cs="仿宋"/>
                <w:b w:val="0"/>
                <w:bCs/>
                <w:color w:val="auto"/>
                <w:sz w:val="24"/>
                <w:szCs w:val="24"/>
                <w:highlight w:val="none"/>
              </w:rPr>
            </w:pPr>
            <w:r>
              <w:rPr>
                <w:rFonts w:hint="eastAsia" w:ascii="仿宋" w:hAnsi="仿宋" w:eastAsia="仿宋" w:cs="仿宋"/>
                <w:color w:val="000000"/>
                <w:kern w:val="0"/>
                <w:sz w:val="24"/>
                <w:szCs w:val="24"/>
                <w:lang w:val="en-US" w:eastAsia="zh-CN" w:bidi="ar"/>
              </w:rPr>
              <w:t>根据承担抽检任务提供的事前、事中、事后应急预防处理措施，内容包含但不限于：①检测应急预案；②实验室对食品检测安全事故；③突发安全事件；④实验室开展的检验检测；⑤数据上报工作；⑥应急后勤保障措施；⑦出现重大安全失误的处理办法等。以上7项内容进行综合打分，每项完善内容得1分，存在缺陷不得分，最高得7分。</w:t>
            </w:r>
          </w:p>
        </w:tc>
      </w:tr>
      <w:tr w14:paraId="100C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trPr>
        <w:tc>
          <w:tcPr>
            <w:tcW w:w="770" w:type="dxa"/>
            <w:noWrap w:val="0"/>
            <w:vAlign w:val="center"/>
          </w:tcPr>
          <w:p w14:paraId="535251F1">
            <w:pPr>
              <w:pStyle w:val="39"/>
              <w:spacing w:line="360" w:lineRule="auto"/>
              <w:ind w:firstLine="0" w:firstLineChars="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1778" w:type="dxa"/>
            <w:noWrap w:val="0"/>
            <w:vAlign w:val="center"/>
          </w:tcPr>
          <w:p w14:paraId="1E437488">
            <w:pPr>
              <w:keepNext w:val="0"/>
              <w:keepLines w:val="0"/>
              <w:widowControl/>
              <w:suppressLineNumbers w:val="0"/>
              <w:jc w:val="center"/>
              <w:rPr>
                <w:rFonts w:hint="eastAsia" w:ascii="仿宋" w:hAnsi="仿宋" w:eastAsia="仿宋" w:cs="仿宋"/>
                <w:b w:val="0"/>
                <w:bCs/>
                <w:snapToGrid w:val="0"/>
                <w:color w:val="auto"/>
                <w:sz w:val="24"/>
                <w:szCs w:val="24"/>
                <w:highlight w:val="none"/>
                <w:lang w:val="en-US" w:eastAsia="zh-CN" w:bidi="ar-SA"/>
              </w:rPr>
            </w:pPr>
            <w:r>
              <w:rPr>
                <w:rFonts w:hint="eastAsia" w:ascii="仿宋" w:hAnsi="仿宋" w:eastAsia="仿宋" w:cs="仿宋"/>
                <w:color w:val="000000"/>
                <w:kern w:val="0"/>
                <w:sz w:val="24"/>
                <w:szCs w:val="24"/>
                <w:lang w:val="en-US" w:eastAsia="zh-CN" w:bidi="ar"/>
              </w:rPr>
              <w:t>采样服务整体方案（6分）</w:t>
            </w:r>
          </w:p>
        </w:tc>
        <w:tc>
          <w:tcPr>
            <w:tcW w:w="7611" w:type="dxa"/>
            <w:noWrap w:val="0"/>
            <w:vAlign w:val="center"/>
          </w:tcPr>
          <w:p w14:paraId="479B2296">
            <w:pPr>
              <w:keepNext w:val="0"/>
              <w:keepLines w:val="0"/>
              <w:widowControl/>
              <w:suppressLineNumbers w:val="0"/>
              <w:jc w:val="left"/>
              <w:rPr>
                <w:rFonts w:hint="eastAsia" w:ascii="仿宋" w:hAnsi="仿宋" w:eastAsia="仿宋" w:cs="仿宋"/>
                <w:b w:val="0"/>
                <w:bCs/>
                <w:snapToGrid w:val="0"/>
                <w:color w:val="auto"/>
                <w:sz w:val="24"/>
                <w:szCs w:val="24"/>
                <w:highlight w:val="none"/>
                <w:lang w:val="en-US" w:eastAsia="zh-CN" w:bidi="ar-SA"/>
              </w:rPr>
            </w:pPr>
            <w:r>
              <w:rPr>
                <w:rFonts w:hint="eastAsia" w:ascii="仿宋" w:hAnsi="仿宋" w:eastAsia="仿宋" w:cs="仿宋"/>
                <w:color w:val="000000"/>
                <w:kern w:val="0"/>
                <w:sz w:val="24"/>
                <w:szCs w:val="24"/>
                <w:lang w:val="en-US" w:eastAsia="zh-CN" w:bidi="ar"/>
              </w:rPr>
              <w:t>投标人须详细阐述针对本项目的采样服务方案，内容包含但不限于①服务团队方案②工作制度（含培训）方案③采样工作方案④进度安排方案⑤采样结果质量保障措施方案⑥应急预案方案等。以上6项内容进行综合打分，每项完善内容得1分，存在缺陷不得分，最高得6分。</w:t>
            </w:r>
          </w:p>
        </w:tc>
      </w:tr>
      <w:tr w14:paraId="356D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trPr>
        <w:tc>
          <w:tcPr>
            <w:tcW w:w="770" w:type="dxa"/>
            <w:noWrap w:val="0"/>
            <w:vAlign w:val="center"/>
          </w:tcPr>
          <w:p w14:paraId="0BF8E7F2">
            <w:pPr>
              <w:pStyle w:val="39"/>
              <w:spacing w:line="360" w:lineRule="auto"/>
              <w:ind w:firstLine="0" w:firstLineChars="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1778" w:type="dxa"/>
            <w:noWrap w:val="0"/>
            <w:vAlign w:val="center"/>
          </w:tcPr>
          <w:p w14:paraId="2B36DCF1">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检测服务方案（8分）</w:t>
            </w:r>
          </w:p>
        </w:tc>
        <w:tc>
          <w:tcPr>
            <w:tcW w:w="7611" w:type="dxa"/>
            <w:noWrap w:val="0"/>
            <w:vAlign w:val="center"/>
          </w:tcPr>
          <w:p w14:paraId="1748DC89">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投标人须详细阐述针对本项目的检测服务方案,内容包含但不限于①服务团队方案；②工作制度方案；③检测管理方案；④进度安排方案；⑤检测质量控制方案及质量保障措施方案；⑥检测数据处理及结果异议处置方案；⑦数据分析报送机制方案；⑧检测及监测信息保密机制及档案管理机制方案等。以上8项内容进行综合打分，每项完善内容得1分，存在缺陷不得分，最高得8分。</w:t>
            </w:r>
          </w:p>
        </w:tc>
      </w:tr>
      <w:tr w14:paraId="2DEA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trPr>
        <w:tc>
          <w:tcPr>
            <w:tcW w:w="770" w:type="dxa"/>
            <w:noWrap w:val="0"/>
            <w:vAlign w:val="center"/>
          </w:tcPr>
          <w:p w14:paraId="0B48DE54">
            <w:pPr>
              <w:pStyle w:val="39"/>
              <w:spacing w:line="360" w:lineRule="auto"/>
              <w:ind w:firstLine="0"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1778" w:type="dxa"/>
            <w:noWrap w:val="0"/>
            <w:vAlign w:val="center"/>
          </w:tcPr>
          <w:p w14:paraId="421A0D6F">
            <w:pPr>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项目实施时间进度（4分）</w:t>
            </w:r>
          </w:p>
        </w:tc>
        <w:tc>
          <w:tcPr>
            <w:tcW w:w="7611" w:type="dxa"/>
            <w:noWrap w:val="0"/>
            <w:vAlign w:val="center"/>
          </w:tcPr>
          <w:p w14:paraId="62A94EF4">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根据投标人项目实施时间进度（合同规定期限内应均衡完成抽检任务），内容包含但不限于：①实施时间的进度；②实施时间的保障措施等。以上2项内容进行综合打分，</w:t>
            </w:r>
            <w:r>
              <w:rPr>
                <w:rFonts w:hint="eastAsia" w:ascii="仿宋" w:hAnsi="仿宋" w:eastAsia="仿宋" w:cs="仿宋"/>
                <w:snapToGrid w:val="0"/>
                <w:color w:val="auto"/>
                <w:spacing w:val="-3"/>
                <w:kern w:val="0"/>
                <w:sz w:val="24"/>
                <w:szCs w:val="24"/>
                <w:highlight w:val="none"/>
                <w:lang w:val="en-US" w:eastAsia="zh-CN" w:bidi="ar-SA"/>
              </w:rPr>
              <w:t>每提供一项完善内容得2分，每项内容中有一处内容缺陷得1分，不提供不得分。</w:t>
            </w:r>
            <w:r>
              <w:rPr>
                <w:rFonts w:hint="eastAsia" w:ascii="仿宋" w:hAnsi="仿宋" w:eastAsia="仿宋" w:cs="仿宋"/>
                <w:color w:val="000000"/>
                <w:kern w:val="0"/>
                <w:sz w:val="24"/>
                <w:szCs w:val="24"/>
                <w:lang w:val="en-US" w:eastAsia="zh-CN" w:bidi="ar"/>
              </w:rPr>
              <w:t>最高得4分。</w:t>
            </w:r>
          </w:p>
        </w:tc>
      </w:tr>
      <w:tr w14:paraId="4EA2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trPr>
        <w:tc>
          <w:tcPr>
            <w:tcW w:w="770" w:type="dxa"/>
            <w:vMerge w:val="restart"/>
            <w:noWrap w:val="0"/>
            <w:vAlign w:val="center"/>
          </w:tcPr>
          <w:p w14:paraId="4D77C51E">
            <w:pPr>
              <w:pStyle w:val="39"/>
              <w:spacing w:line="360" w:lineRule="auto"/>
              <w:ind w:firstLine="0" w:firstLineChars="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7</w:t>
            </w:r>
          </w:p>
        </w:tc>
        <w:tc>
          <w:tcPr>
            <w:tcW w:w="1778" w:type="dxa"/>
            <w:vMerge w:val="restart"/>
            <w:noWrap w:val="0"/>
            <w:vAlign w:val="center"/>
          </w:tcPr>
          <w:p w14:paraId="03AEF230">
            <w:pPr>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检验设备设施（8分）</w:t>
            </w:r>
          </w:p>
        </w:tc>
        <w:tc>
          <w:tcPr>
            <w:tcW w:w="7611" w:type="dxa"/>
            <w:noWrap w:val="0"/>
            <w:vAlign w:val="center"/>
          </w:tcPr>
          <w:p w14:paraId="162C5F0B">
            <w:pPr>
              <w:keepNext w:val="0"/>
              <w:keepLines w:val="0"/>
              <w:widowControl/>
              <w:suppressLineNumbers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highlight w:val="none"/>
                <w:lang w:val="en-US" w:eastAsia="zh-CN"/>
              </w:rPr>
              <w:t>投标人须具备满足项目要求的检测设备，数量多者为优：</w:t>
            </w:r>
          </w:p>
          <w:p w14:paraId="5F3F4ECD">
            <w:pPr>
              <w:keepNext w:val="0"/>
              <w:keepLines w:val="0"/>
              <w:widowControl/>
              <w:suppressLineNumbers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①HPLC（高效液相色谱仪）；</w:t>
            </w:r>
          </w:p>
          <w:p w14:paraId="06C25419">
            <w:pPr>
              <w:keepNext w:val="0"/>
              <w:keepLines w:val="0"/>
              <w:widowControl/>
              <w:suppressLineNumbers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②GC（气相色谱仪）；</w:t>
            </w:r>
          </w:p>
          <w:p w14:paraId="0FEBD9B6">
            <w:pPr>
              <w:keepNext w:val="0"/>
              <w:keepLines w:val="0"/>
              <w:widowControl/>
              <w:suppressLineNumbers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③UV（紫外分光光度计）；</w:t>
            </w:r>
          </w:p>
          <w:p w14:paraId="36FDF6DD">
            <w:pPr>
              <w:keepNext w:val="0"/>
              <w:keepLines w:val="0"/>
              <w:widowControl/>
              <w:suppressLineNumbers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④AFS（原子荧光分光光度计）；</w:t>
            </w:r>
          </w:p>
          <w:p w14:paraId="44275695">
            <w:pPr>
              <w:keepNext w:val="0"/>
              <w:keepLines w:val="0"/>
              <w:widowControl/>
              <w:suppressLineNumbers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⑤AAS（原子吸收光谱仪）；</w:t>
            </w:r>
          </w:p>
          <w:p w14:paraId="35C3DFB1">
            <w:pPr>
              <w:keepNext w:val="0"/>
              <w:keepLines w:val="0"/>
              <w:widowControl/>
              <w:suppressLineNumbers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⑥GC/MS（气相色谱/质谱联用仪）</w:t>
            </w:r>
          </w:p>
          <w:p w14:paraId="71B5E3EB">
            <w:pPr>
              <w:keepNext w:val="0"/>
              <w:keepLines w:val="0"/>
              <w:widowControl/>
              <w:suppressLineNumbers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⑦LC/MS（液相色谱/串联质谱联用仪）；</w:t>
            </w:r>
          </w:p>
          <w:p w14:paraId="79A2A7A8">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⑧液相-原子荧光联用仪（LC-AFS）；</w:t>
            </w:r>
          </w:p>
          <w:p w14:paraId="61BB1E38">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⑨IC（离子色谱仪）</w:t>
            </w:r>
            <w:r>
              <w:rPr>
                <w:rFonts w:hint="eastAsia" w:ascii="仿宋" w:hAnsi="仿宋" w:eastAsia="仿宋" w:cs="仿宋"/>
                <w:sz w:val="24"/>
                <w:szCs w:val="24"/>
                <w:highlight w:val="none"/>
                <w:lang w:val="en-US" w:eastAsia="zh-CN"/>
              </w:rPr>
              <w:t>；</w:t>
            </w:r>
          </w:p>
          <w:p w14:paraId="1B46232E">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⑩微波消解仪等（或同功能设备）；</w:t>
            </w:r>
          </w:p>
          <w:p w14:paraId="615DCE2F">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投标人每具有以上1种设备的得0.5分，最高5分。</w:t>
            </w:r>
          </w:p>
          <w:p w14:paraId="6DA135A2">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备注：提供仪器设备清单、设备购置发票、相关实验室放置图片证明等相关材料，未提供证明材料不得分。</w:t>
            </w:r>
          </w:p>
        </w:tc>
      </w:tr>
      <w:tr w14:paraId="0A3D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770" w:type="dxa"/>
            <w:vMerge w:val="continue"/>
            <w:noWrap w:val="0"/>
            <w:vAlign w:val="center"/>
          </w:tcPr>
          <w:p w14:paraId="12D858CC">
            <w:pPr>
              <w:pStyle w:val="39"/>
              <w:spacing w:line="360" w:lineRule="auto"/>
              <w:ind w:firstLine="0" w:firstLineChars="0"/>
              <w:rPr>
                <w:rFonts w:hint="eastAsia" w:ascii="仿宋" w:hAnsi="仿宋" w:eastAsia="仿宋" w:cs="仿宋"/>
                <w:b w:val="0"/>
                <w:bCs/>
                <w:color w:val="auto"/>
                <w:sz w:val="24"/>
                <w:szCs w:val="24"/>
                <w:highlight w:val="none"/>
                <w:lang w:val="en-US" w:eastAsia="zh-CN"/>
              </w:rPr>
            </w:pPr>
          </w:p>
        </w:tc>
        <w:tc>
          <w:tcPr>
            <w:tcW w:w="1778" w:type="dxa"/>
            <w:vMerge w:val="continue"/>
            <w:noWrap w:val="0"/>
            <w:vAlign w:val="center"/>
          </w:tcPr>
          <w:p w14:paraId="5A5F7B78">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7611" w:type="dxa"/>
            <w:noWrap w:val="0"/>
            <w:vAlign w:val="center"/>
          </w:tcPr>
          <w:p w14:paraId="3277A1E5">
            <w:pPr>
              <w:keepNext w:val="0"/>
              <w:keepLines w:val="0"/>
              <w:widowControl/>
              <w:numPr>
                <w:ilvl w:val="0"/>
                <w:numId w:val="8"/>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根据具备以上设备综合评定：</w:t>
            </w:r>
          </w:p>
          <w:p w14:paraId="141BD588">
            <w:pPr>
              <w:keepNext w:val="0"/>
              <w:keepLines w:val="0"/>
              <w:widowControl/>
              <w:numPr>
                <w:ilvl w:val="0"/>
                <w:numId w:val="0"/>
              </w:numPr>
              <w:suppressLineNumbers w:val="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如果具备以上设备有10台，且GC/MS或LC/MS各2台以上（含）得1分；每增加2台以上其他设备，且GC/MS、LC/MS各增加1台的加1分，</w:t>
            </w:r>
            <w:r>
              <w:rPr>
                <w:rFonts w:hint="eastAsia" w:ascii="仿宋" w:hAnsi="仿宋" w:eastAsia="仿宋" w:cs="仿宋"/>
                <w:sz w:val="24"/>
                <w:szCs w:val="24"/>
                <w:lang w:val="en-US" w:eastAsia="zh-CN"/>
              </w:rPr>
              <w:t>最多加2分。本项最高得3分。</w:t>
            </w:r>
          </w:p>
          <w:p w14:paraId="32E59DDB">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备注：提供仪器设备清单、设备购置发票、相关实验室放置图片证明、仪器计量检定校准认证证书、购销合同或售后服务保障证明，未提供证明材料不得分。</w:t>
            </w:r>
          </w:p>
        </w:tc>
      </w:tr>
      <w:tr w14:paraId="1567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770" w:type="dxa"/>
            <w:vMerge w:val="restart"/>
            <w:noWrap w:val="0"/>
            <w:vAlign w:val="center"/>
          </w:tcPr>
          <w:p w14:paraId="657EEA22">
            <w:pPr>
              <w:pStyle w:val="39"/>
              <w:spacing w:line="360" w:lineRule="auto"/>
              <w:ind w:firstLine="0" w:firstLineChars="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w:t>
            </w:r>
          </w:p>
        </w:tc>
        <w:tc>
          <w:tcPr>
            <w:tcW w:w="1778" w:type="dxa"/>
            <w:vMerge w:val="restart"/>
            <w:noWrap w:val="0"/>
            <w:vAlign w:val="center"/>
          </w:tcPr>
          <w:p w14:paraId="4E9B433C">
            <w:pPr>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样品运输、冷藏设备及备份样品储存（8分）</w:t>
            </w:r>
          </w:p>
        </w:tc>
        <w:tc>
          <w:tcPr>
            <w:tcW w:w="7611" w:type="dxa"/>
            <w:noWrap w:val="0"/>
            <w:vAlign w:val="center"/>
          </w:tcPr>
          <w:p w14:paraId="66577F3A">
            <w:pPr>
              <w:keepNext w:val="0"/>
              <w:keepLines w:val="0"/>
              <w:widowControl/>
              <w:numPr>
                <w:ilvl w:val="0"/>
                <w:numId w:val="9"/>
              </w:numPr>
              <w:suppressLineNumbers w:val="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根据样品运输设备，如冷藏设备及车辆配置等情况进行评分：提供2辆车辆、2台冷藏设备的得1分；</w:t>
            </w:r>
            <w:r>
              <w:rPr>
                <w:rFonts w:hint="eastAsia" w:ascii="仿宋" w:hAnsi="仿宋" w:eastAsia="仿宋" w:cs="仿宋"/>
                <w:sz w:val="24"/>
                <w:szCs w:val="24"/>
                <w:lang w:val="en-US" w:eastAsia="zh-CN"/>
              </w:rPr>
              <w:t>每增加</w:t>
            </w:r>
            <w:r>
              <w:rPr>
                <w:rFonts w:hint="eastAsia" w:ascii="仿宋" w:hAnsi="仿宋" w:eastAsia="仿宋" w:cs="仿宋"/>
                <w:color w:val="000000"/>
                <w:kern w:val="0"/>
                <w:sz w:val="24"/>
                <w:szCs w:val="24"/>
                <w:lang w:val="en-US" w:eastAsia="zh-CN" w:bidi="ar"/>
              </w:rPr>
              <w:t>1辆车辆、1台冷藏设备</w:t>
            </w:r>
            <w:r>
              <w:rPr>
                <w:rFonts w:hint="eastAsia" w:ascii="仿宋" w:hAnsi="仿宋" w:eastAsia="仿宋" w:cs="仿宋"/>
                <w:sz w:val="24"/>
                <w:szCs w:val="24"/>
                <w:lang w:val="en-US" w:eastAsia="zh-CN"/>
              </w:rPr>
              <w:t>加1分，最多加4分。本项最高得5分。</w:t>
            </w:r>
          </w:p>
          <w:p w14:paraId="6D9DECF7">
            <w:pPr>
              <w:pStyle w:val="9"/>
              <w:numPr>
                <w:ilvl w:val="0"/>
                <w:numId w:val="0"/>
              </w:numPr>
              <w:ind w:right="0" w:rightChars="0"/>
              <w:rPr>
                <w:rFonts w:hint="default" w:ascii="仿宋" w:hAnsi="仿宋" w:eastAsia="仿宋" w:cs="仿宋"/>
                <w:sz w:val="24"/>
                <w:szCs w:val="24"/>
                <w:lang w:val="en-US" w:eastAsia="zh-CN"/>
              </w:rPr>
            </w:pPr>
            <w:r>
              <w:rPr>
                <w:rFonts w:hint="default" w:ascii="仿宋" w:hAnsi="仿宋" w:eastAsia="仿宋" w:cs="仿宋"/>
                <w:snapToGrid w:val="0"/>
                <w:color w:val="000000"/>
                <w:kern w:val="0"/>
                <w:sz w:val="24"/>
                <w:szCs w:val="24"/>
                <w:lang w:val="en-US" w:eastAsia="zh-CN" w:bidi="ar"/>
              </w:rPr>
              <w:t>注：</w:t>
            </w:r>
            <w:r>
              <w:rPr>
                <w:rFonts w:hint="eastAsia" w:ascii="仿宋" w:hAnsi="仿宋" w:eastAsia="仿宋" w:cs="仿宋"/>
                <w:snapToGrid w:val="0"/>
                <w:color w:val="000000"/>
                <w:kern w:val="0"/>
                <w:sz w:val="24"/>
                <w:szCs w:val="24"/>
                <w:lang w:val="en-US" w:eastAsia="zh-CN" w:bidi="ar"/>
              </w:rPr>
              <w:t>需</w:t>
            </w:r>
            <w:r>
              <w:rPr>
                <w:rFonts w:hint="default" w:ascii="仿宋" w:hAnsi="仿宋" w:eastAsia="仿宋" w:cs="仿宋"/>
                <w:snapToGrid w:val="0"/>
                <w:color w:val="000000"/>
                <w:kern w:val="0"/>
                <w:sz w:val="24"/>
                <w:szCs w:val="24"/>
                <w:lang w:val="en-US" w:eastAsia="zh-CN" w:bidi="ar"/>
              </w:rPr>
              <w:t>提供车辆及设备清单，自有车辆提供车辆登记证书原件扫描件（租赁车辆提供车辆租赁合同原件扫描件），</w:t>
            </w:r>
            <w:r>
              <w:rPr>
                <w:rFonts w:hint="eastAsia" w:ascii="仿宋" w:hAnsi="仿宋" w:eastAsia="仿宋" w:cs="仿宋"/>
                <w:color w:val="000000"/>
                <w:kern w:val="0"/>
                <w:sz w:val="24"/>
                <w:szCs w:val="24"/>
                <w:lang w:val="en-US" w:eastAsia="zh-CN" w:bidi="ar"/>
              </w:rPr>
              <w:t>冷藏设备的图片证明材料</w:t>
            </w:r>
            <w:r>
              <w:rPr>
                <w:rFonts w:hint="eastAsia" w:ascii="仿宋" w:hAnsi="仿宋" w:eastAsia="仿宋" w:cs="仿宋"/>
                <w:snapToGrid w:val="0"/>
                <w:color w:val="000000"/>
                <w:kern w:val="0"/>
                <w:sz w:val="24"/>
                <w:szCs w:val="24"/>
                <w:lang w:val="en-US" w:eastAsia="zh-CN" w:bidi="ar"/>
              </w:rPr>
              <w:t>或</w:t>
            </w:r>
            <w:r>
              <w:rPr>
                <w:rFonts w:hint="default" w:ascii="仿宋" w:hAnsi="仿宋" w:eastAsia="仿宋" w:cs="仿宋"/>
                <w:snapToGrid w:val="0"/>
                <w:color w:val="000000"/>
                <w:kern w:val="0"/>
                <w:sz w:val="24"/>
                <w:szCs w:val="24"/>
                <w:lang w:val="en-US" w:eastAsia="zh-CN" w:bidi="ar"/>
              </w:rPr>
              <w:t>发票原件扫描件，未提供不得分。</w:t>
            </w:r>
          </w:p>
        </w:tc>
      </w:tr>
      <w:tr w14:paraId="50C0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770" w:type="dxa"/>
            <w:vMerge w:val="continue"/>
            <w:noWrap w:val="0"/>
            <w:vAlign w:val="center"/>
          </w:tcPr>
          <w:p w14:paraId="791C6C71">
            <w:pPr>
              <w:pStyle w:val="39"/>
              <w:spacing w:line="360" w:lineRule="auto"/>
              <w:ind w:firstLine="0" w:firstLineChars="0"/>
              <w:rPr>
                <w:rFonts w:hint="eastAsia" w:ascii="仿宋" w:hAnsi="仿宋" w:eastAsia="仿宋" w:cs="仿宋"/>
                <w:b w:val="0"/>
                <w:bCs/>
                <w:color w:val="auto"/>
                <w:sz w:val="24"/>
                <w:szCs w:val="24"/>
                <w:highlight w:val="none"/>
                <w:lang w:val="en-US" w:eastAsia="zh-CN"/>
              </w:rPr>
            </w:pPr>
          </w:p>
        </w:tc>
        <w:tc>
          <w:tcPr>
            <w:tcW w:w="1778" w:type="dxa"/>
            <w:vMerge w:val="continue"/>
            <w:noWrap w:val="0"/>
            <w:vAlign w:val="center"/>
          </w:tcPr>
          <w:p w14:paraId="7FA7B066">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7611" w:type="dxa"/>
            <w:noWrap w:val="0"/>
            <w:vAlign w:val="center"/>
          </w:tcPr>
          <w:p w14:paraId="3E3CCF10">
            <w:pPr>
              <w:keepNext w:val="0"/>
              <w:keepLines w:val="0"/>
              <w:widowControl/>
              <w:numPr>
                <w:ilvl w:val="0"/>
                <w:numId w:val="9"/>
              </w:numPr>
              <w:suppressLineNumbers w:val="0"/>
              <w:ind w:left="0" w:leftChars="0" w:firstLine="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投标人自有或者租赁冷库面积20㎡-50㎡（含）得2分；</w:t>
            </w:r>
          </w:p>
          <w:p w14:paraId="06010DDB">
            <w:pPr>
              <w:keepNext w:val="0"/>
              <w:keepLines w:val="0"/>
              <w:widowControl/>
              <w:numPr>
                <w:ilvl w:val="0"/>
                <w:numId w:val="0"/>
              </w:numPr>
              <w:suppressLineNumbers w:val="0"/>
              <w:ind w:firstLine="240" w:firstLineChars="1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自有或者租赁冷库面积50㎡以上得3分。</w:t>
            </w:r>
          </w:p>
          <w:p w14:paraId="33F7F375">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注：需提供房屋产权证书或者租赁合同等</w:t>
            </w:r>
            <w:r>
              <w:rPr>
                <w:rFonts w:hint="eastAsia" w:ascii="仿宋" w:hAnsi="仿宋" w:eastAsia="仿宋" w:cs="仿宋"/>
                <w:sz w:val="24"/>
                <w:szCs w:val="24"/>
                <w:lang w:val="en-US" w:eastAsia="zh-CN"/>
              </w:rPr>
              <w:t>其他证明性材料</w:t>
            </w:r>
            <w:r>
              <w:rPr>
                <w:rFonts w:hint="eastAsia" w:ascii="仿宋" w:hAnsi="仿宋" w:eastAsia="仿宋" w:cs="仿宋"/>
                <w:color w:val="000000"/>
                <w:kern w:val="0"/>
                <w:sz w:val="24"/>
                <w:szCs w:val="24"/>
                <w:lang w:val="en-US" w:eastAsia="zh-CN" w:bidi="ar"/>
              </w:rPr>
              <w:t>。</w:t>
            </w:r>
          </w:p>
        </w:tc>
      </w:tr>
      <w:tr w14:paraId="588B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trPr>
        <w:tc>
          <w:tcPr>
            <w:tcW w:w="770" w:type="dxa"/>
            <w:noWrap w:val="0"/>
            <w:vAlign w:val="center"/>
          </w:tcPr>
          <w:p w14:paraId="014B7E94">
            <w:pPr>
              <w:pStyle w:val="39"/>
              <w:spacing w:line="360" w:lineRule="auto"/>
              <w:ind w:firstLine="0" w:firstLineChars="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w:t>
            </w:r>
          </w:p>
        </w:tc>
        <w:tc>
          <w:tcPr>
            <w:tcW w:w="1778" w:type="dxa"/>
            <w:noWrap w:val="0"/>
            <w:vAlign w:val="center"/>
          </w:tcPr>
          <w:p w14:paraId="3784214F">
            <w:pPr>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项目负责人及证书（4分）</w:t>
            </w:r>
          </w:p>
        </w:tc>
        <w:tc>
          <w:tcPr>
            <w:tcW w:w="7611" w:type="dxa"/>
            <w:noWrap w:val="0"/>
            <w:vAlign w:val="center"/>
          </w:tcPr>
          <w:p w14:paraId="3D008350">
            <w:pPr>
              <w:keepNext w:val="0"/>
              <w:keepLines w:val="0"/>
              <w:widowControl/>
              <w:suppressLineNumbers w:val="0"/>
              <w:jc w:val="left"/>
              <w:rPr>
                <w:rFonts w:hint="eastAsia" w:ascii="仿宋" w:hAnsi="仿宋" w:eastAsia="仿宋" w:cs="仿宋"/>
                <w:sz w:val="24"/>
                <w:szCs w:val="24"/>
                <w:highlight w:val="yellow"/>
                <w:lang w:val="en-US" w:eastAsia="zh-CN"/>
              </w:rPr>
            </w:pPr>
            <w:r>
              <w:rPr>
                <w:rFonts w:hint="eastAsia" w:ascii="仿宋" w:hAnsi="仿宋" w:eastAsia="仿宋" w:cs="仿宋"/>
                <w:color w:val="000000"/>
                <w:kern w:val="0"/>
                <w:sz w:val="24"/>
                <w:szCs w:val="24"/>
                <w:highlight w:val="none"/>
                <w:lang w:val="en-US" w:eastAsia="zh-CN" w:bidi="ar"/>
              </w:rPr>
              <w:t>项目负责人具有工程系列质量技术监督专业或实验技术系列实验技术专业高级以上职称，得4分；具有工程系列质量技术监督专业或实验技术系列实验技术专业中级职称，得2分。未提供不得分。（需提供职称证书和近三个月的社保证明）</w:t>
            </w:r>
          </w:p>
        </w:tc>
      </w:tr>
      <w:tr w14:paraId="1494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trPr>
        <w:tc>
          <w:tcPr>
            <w:tcW w:w="770" w:type="dxa"/>
            <w:vMerge w:val="restart"/>
            <w:noWrap w:val="0"/>
            <w:vAlign w:val="center"/>
          </w:tcPr>
          <w:p w14:paraId="00B2949B">
            <w:pPr>
              <w:pStyle w:val="39"/>
              <w:spacing w:line="360" w:lineRule="auto"/>
              <w:ind w:firstLine="0" w:firstLineChars="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w:t>
            </w:r>
          </w:p>
        </w:tc>
        <w:tc>
          <w:tcPr>
            <w:tcW w:w="1778" w:type="dxa"/>
            <w:vMerge w:val="restart"/>
            <w:noWrap w:val="0"/>
            <w:vAlign w:val="center"/>
          </w:tcPr>
          <w:p w14:paraId="298399FD">
            <w:pPr>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项目实施团队能力（10分）</w:t>
            </w:r>
          </w:p>
        </w:tc>
        <w:tc>
          <w:tcPr>
            <w:tcW w:w="7611" w:type="dxa"/>
            <w:noWrap w:val="0"/>
            <w:vAlign w:val="center"/>
          </w:tcPr>
          <w:p w14:paraId="38E0CD84">
            <w:pPr>
              <w:keepNext w:val="0"/>
              <w:keepLines w:val="0"/>
              <w:widowControl/>
              <w:suppressLineNumbers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因项目任务量大时间紧，抽检监测品类众多，投标人须配备充足的食品检验人员团队来完成本项目工作。</w:t>
            </w:r>
          </w:p>
          <w:p w14:paraId="0710C268">
            <w:pPr>
              <w:keepNext w:val="0"/>
              <w:keepLines w:val="0"/>
              <w:widowControl/>
              <w:suppressLineNumbers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（1）投标人所配本单位独立抽样人员至少为12人，且需包含具有省级市场监督管理局培训且获得结业证书的独立抽样人员3人的得1分；获得结业证书的独立抽样人员每增加1人加1分，最多加4分。本项最高得5分。</w:t>
            </w:r>
          </w:p>
          <w:p w14:paraId="0B3DDDED">
            <w:pPr>
              <w:keepNext w:val="0"/>
              <w:keepLines w:val="0"/>
              <w:widowControl/>
              <w:suppressLineNumbers w:val="0"/>
              <w:jc w:val="left"/>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none"/>
                <w:lang w:val="en-US" w:eastAsia="zh-CN"/>
              </w:rPr>
              <w:t>注：需提供抽样工作人员名单及抽样员培训结业证书（或其他证明性材料）复印件</w:t>
            </w:r>
            <w:r>
              <w:rPr>
                <w:rFonts w:hint="default" w:ascii="仿宋" w:hAnsi="仿宋" w:eastAsia="仿宋" w:cs="仿宋"/>
                <w:snapToGrid w:val="0"/>
                <w:color w:val="000000"/>
                <w:kern w:val="0"/>
                <w:sz w:val="24"/>
                <w:szCs w:val="24"/>
                <w:highlight w:val="none"/>
                <w:lang w:val="en-US" w:eastAsia="zh-CN" w:bidi="ar"/>
              </w:rPr>
              <w:t>，未提供不得分。</w:t>
            </w:r>
          </w:p>
        </w:tc>
      </w:tr>
      <w:tr w14:paraId="6677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770" w:type="dxa"/>
            <w:vMerge w:val="continue"/>
            <w:noWrap w:val="0"/>
            <w:vAlign w:val="center"/>
          </w:tcPr>
          <w:p w14:paraId="03731F73">
            <w:pPr>
              <w:pStyle w:val="39"/>
              <w:spacing w:line="360" w:lineRule="auto"/>
              <w:ind w:firstLine="0" w:firstLineChars="0"/>
              <w:rPr>
                <w:rFonts w:hint="eastAsia" w:ascii="仿宋" w:hAnsi="仿宋" w:eastAsia="仿宋" w:cs="仿宋"/>
                <w:b w:val="0"/>
                <w:bCs/>
                <w:color w:val="auto"/>
                <w:sz w:val="24"/>
                <w:szCs w:val="24"/>
                <w:highlight w:val="none"/>
                <w:lang w:val="en-US" w:eastAsia="zh-CN"/>
              </w:rPr>
            </w:pPr>
          </w:p>
        </w:tc>
        <w:tc>
          <w:tcPr>
            <w:tcW w:w="1778" w:type="dxa"/>
            <w:vMerge w:val="continue"/>
            <w:noWrap w:val="0"/>
            <w:vAlign w:val="center"/>
          </w:tcPr>
          <w:p w14:paraId="4C047184">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7611" w:type="dxa"/>
            <w:noWrap w:val="0"/>
            <w:vAlign w:val="center"/>
          </w:tcPr>
          <w:p w14:paraId="6BD1BEB8">
            <w:pPr>
              <w:keepNext w:val="0"/>
              <w:keepLines w:val="0"/>
              <w:widowControl/>
              <w:numPr>
                <w:ilvl w:val="0"/>
                <w:numId w:val="10"/>
              </w:numPr>
              <w:suppressLineNumbers w:val="0"/>
              <w:ind w:left="0" w:lef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所配检验人员为专职从事食品检验人员至少为10人，且有1名工程系列质量技术监督专业或实验技术系列实验技术专业高级工程师得1分；每增加5名检验人员及1名工程系列质量技术监督专业或实验技术系列实验技术专业高级工程师的加2分，最多加4分。本项最高得5分。</w:t>
            </w:r>
          </w:p>
          <w:p w14:paraId="30D4360A">
            <w:pPr>
              <w:keepNext w:val="0"/>
              <w:keepLines w:val="0"/>
              <w:widowControl/>
              <w:numPr>
                <w:ilvl w:val="0"/>
                <w:numId w:val="0"/>
              </w:numPr>
              <w:suppressLineNumbers w:val="0"/>
              <w:ind w:left="0" w:leftChars="0" w:firstLine="0" w:firstLineChars="0"/>
              <w:jc w:val="left"/>
              <w:rPr>
                <w:rFonts w:hint="default" w:ascii="仿宋" w:hAnsi="仿宋" w:eastAsia="仿宋" w:cs="仿宋"/>
                <w:sz w:val="24"/>
                <w:szCs w:val="24"/>
                <w:highlight w:val="yellow"/>
                <w:lang w:val="en-US" w:eastAsia="zh-CN"/>
              </w:rPr>
            </w:pPr>
            <w:r>
              <w:rPr>
                <w:rFonts w:hint="eastAsia" w:ascii="仿宋" w:hAnsi="仿宋" w:eastAsia="仿宋" w:cs="仿宋"/>
                <w:sz w:val="24"/>
                <w:szCs w:val="24"/>
                <w:highlight w:val="none"/>
                <w:lang w:val="en-US" w:eastAsia="zh-CN"/>
              </w:rPr>
              <w:t>注：需提供食品检验人员上岗证（或其他证明性材料）复印件</w:t>
            </w:r>
            <w:r>
              <w:rPr>
                <w:rFonts w:hint="default" w:ascii="仿宋" w:hAnsi="仿宋" w:eastAsia="仿宋" w:cs="仿宋"/>
                <w:snapToGrid w:val="0"/>
                <w:color w:val="000000"/>
                <w:kern w:val="0"/>
                <w:sz w:val="24"/>
                <w:szCs w:val="24"/>
                <w:highlight w:val="none"/>
                <w:lang w:val="en-US" w:eastAsia="zh-CN" w:bidi="ar"/>
              </w:rPr>
              <w:t>，未提供不得分。</w:t>
            </w:r>
          </w:p>
        </w:tc>
      </w:tr>
      <w:tr w14:paraId="7C22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trPr>
        <w:tc>
          <w:tcPr>
            <w:tcW w:w="770" w:type="dxa"/>
            <w:vMerge w:val="restart"/>
            <w:noWrap w:val="0"/>
            <w:vAlign w:val="center"/>
          </w:tcPr>
          <w:p w14:paraId="7276B60A">
            <w:pPr>
              <w:pStyle w:val="39"/>
              <w:spacing w:line="360" w:lineRule="auto"/>
              <w:ind w:firstLine="0" w:firstLineChars="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w:t>
            </w:r>
          </w:p>
        </w:tc>
        <w:tc>
          <w:tcPr>
            <w:tcW w:w="1778" w:type="dxa"/>
            <w:vMerge w:val="restart"/>
            <w:noWrap w:val="0"/>
            <w:vAlign w:val="center"/>
          </w:tcPr>
          <w:p w14:paraId="5F77ABEF">
            <w:pPr>
              <w:keepNext w:val="0"/>
              <w:keepLines w:val="0"/>
              <w:widowControl/>
              <w:suppressLineNumbers w:val="0"/>
              <w:jc w:val="center"/>
              <w:rPr>
                <w:rFonts w:hint="eastAsia" w:ascii="仿宋" w:hAnsi="仿宋" w:eastAsia="仿宋" w:cs="仿宋"/>
                <w:color w:val="0000FF"/>
                <w:kern w:val="0"/>
                <w:sz w:val="24"/>
                <w:szCs w:val="24"/>
                <w:lang w:val="en-US" w:eastAsia="zh-CN" w:bidi="ar"/>
              </w:rPr>
            </w:pPr>
            <w:r>
              <w:rPr>
                <w:rFonts w:hint="eastAsia" w:ascii="仿宋" w:hAnsi="仿宋" w:eastAsia="仿宋" w:cs="仿宋"/>
                <w:color w:val="000000"/>
                <w:kern w:val="0"/>
                <w:sz w:val="24"/>
                <w:szCs w:val="24"/>
                <w:lang w:val="en-US" w:eastAsia="zh-CN" w:bidi="ar"/>
              </w:rPr>
              <w:t>服务承诺（8分）</w:t>
            </w:r>
          </w:p>
        </w:tc>
        <w:tc>
          <w:tcPr>
            <w:tcW w:w="7611" w:type="dxa"/>
            <w:noWrap w:val="0"/>
            <w:vAlign w:val="center"/>
          </w:tcPr>
          <w:p w14:paraId="425398F6">
            <w:pPr>
              <w:keepNext w:val="0"/>
              <w:keepLines w:val="0"/>
              <w:widowControl/>
              <w:suppressLineNumbers w:val="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根据项目情况</w:t>
            </w:r>
            <w:r>
              <w:rPr>
                <w:rFonts w:hint="default" w:ascii="仿宋" w:hAnsi="仿宋" w:eastAsia="仿宋" w:cs="仿宋"/>
                <w:color w:val="auto"/>
                <w:sz w:val="24"/>
                <w:szCs w:val="24"/>
                <w:lang w:val="en-US" w:eastAsia="zh-CN"/>
              </w:rPr>
              <w:t>承诺方案中</w:t>
            </w:r>
            <w:r>
              <w:rPr>
                <w:rFonts w:hint="eastAsia" w:ascii="仿宋" w:hAnsi="仿宋" w:eastAsia="仿宋" w:cs="仿宋"/>
                <w:color w:val="auto"/>
                <w:sz w:val="24"/>
                <w:szCs w:val="24"/>
                <w:lang w:val="en-US" w:eastAsia="zh-CN"/>
              </w:rPr>
              <w:t>提供</w:t>
            </w:r>
            <w:r>
              <w:rPr>
                <w:rFonts w:hint="default" w:ascii="仿宋" w:hAnsi="仿宋" w:eastAsia="仿宋" w:cs="仿宋"/>
                <w:color w:val="auto"/>
                <w:sz w:val="24"/>
                <w:szCs w:val="24"/>
                <w:lang w:val="en-US" w:eastAsia="zh-CN"/>
              </w:rPr>
              <w:t>事故救援时间、维护响应时间、问题解决时间</w:t>
            </w:r>
            <w:r>
              <w:rPr>
                <w:rFonts w:hint="eastAsia" w:ascii="仿宋" w:hAnsi="仿宋" w:eastAsia="仿宋" w:cs="仿宋"/>
                <w:color w:val="auto"/>
                <w:sz w:val="24"/>
                <w:szCs w:val="24"/>
                <w:lang w:val="en-US" w:eastAsia="zh-CN"/>
              </w:rPr>
              <w:t>等情况6小时内响应并安排人员、设备到场解决处理问题得4分，8小时内响应得2分，8小时以上响应得1分，未提供不得分。</w:t>
            </w:r>
          </w:p>
        </w:tc>
      </w:tr>
      <w:tr w14:paraId="6B40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trPr>
        <w:tc>
          <w:tcPr>
            <w:tcW w:w="770" w:type="dxa"/>
            <w:vMerge w:val="continue"/>
            <w:noWrap w:val="0"/>
            <w:vAlign w:val="center"/>
          </w:tcPr>
          <w:p w14:paraId="3C99CD33">
            <w:pPr>
              <w:pStyle w:val="39"/>
              <w:spacing w:line="360" w:lineRule="auto"/>
              <w:ind w:firstLine="0" w:firstLineChars="0"/>
              <w:rPr>
                <w:rFonts w:hint="eastAsia" w:ascii="仿宋" w:hAnsi="仿宋" w:eastAsia="仿宋" w:cs="仿宋"/>
                <w:b w:val="0"/>
                <w:bCs/>
                <w:color w:val="auto"/>
                <w:sz w:val="24"/>
                <w:szCs w:val="24"/>
                <w:highlight w:val="none"/>
                <w:lang w:val="en-US" w:eastAsia="zh-CN"/>
              </w:rPr>
            </w:pPr>
          </w:p>
        </w:tc>
        <w:tc>
          <w:tcPr>
            <w:tcW w:w="1778" w:type="dxa"/>
            <w:vMerge w:val="continue"/>
            <w:noWrap w:val="0"/>
            <w:vAlign w:val="center"/>
          </w:tcPr>
          <w:p w14:paraId="2DB8BDA6">
            <w:pPr>
              <w:keepNext w:val="0"/>
              <w:keepLines w:val="0"/>
              <w:widowControl/>
              <w:suppressLineNumbers w:val="0"/>
              <w:jc w:val="center"/>
              <w:rPr>
                <w:rFonts w:hint="eastAsia" w:ascii="仿宋" w:hAnsi="仿宋" w:eastAsia="仿宋" w:cs="仿宋"/>
                <w:color w:val="0000FF"/>
                <w:kern w:val="0"/>
                <w:sz w:val="24"/>
                <w:szCs w:val="24"/>
                <w:lang w:val="en-US" w:eastAsia="zh-CN" w:bidi="ar"/>
              </w:rPr>
            </w:pPr>
          </w:p>
        </w:tc>
        <w:tc>
          <w:tcPr>
            <w:tcW w:w="7611" w:type="dxa"/>
            <w:noWrap w:val="0"/>
            <w:vAlign w:val="center"/>
          </w:tcPr>
          <w:p w14:paraId="10BA3442">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投标人针对本项目能够承诺保证有足够的人力、物力，保证按时按 质完成委托的任务,能提供优质服务,并对提供成果的真实性、准确性负责，并有质量控制措施、违约责任及经济赔偿承诺，提供得2分，未提供不得分。</w:t>
            </w:r>
          </w:p>
        </w:tc>
      </w:tr>
      <w:tr w14:paraId="6C6E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trPr>
        <w:tc>
          <w:tcPr>
            <w:tcW w:w="770" w:type="dxa"/>
            <w:vMerge w:val="continue"/>
            <w:noWrap w:val="0"/>
            <w:vAlign w:val="center"/>
          </w:tcPr>
          <w:p w14:paraId="49A0AAB5">
            <w:pPr>
              <w:pStyle w:val="39"/>
              <w:spacing w:line="360" w:lineRule="auto"/>
              <w:ind w:firstLine="0" w:firstLineChars="0"/>
              <w:rPr>
                <w:rFonts w:hint="eastAsia" w:ascii="仿宋" w:hAnsi="仿宋" w:eastAsia="仿宋" w:cs="仿宋"/>
                <w:b w:val="0"/>
                <w:bCs/>
                <w:color w:val="auto"/>
                <w:sz w:val="24"/>
                <w:szCs w:val="24"/>
                <w:highlight w:val="none"/>
                <w:lang w:val="en-US" w:eastAsia="zh-CN"/>
              </w:rPr>
            </w:pPr>
          </w:p>
        </w:tc>
        <w:tc>
          <w:tcPr>
            <w:tcW w:w="1778" w:type="dxa"/>
            <w:vMerge w:val="continue"/>
            <w:noWrap w:val="0"/>
            <w:vAlign w:val="center"/>
          </w:tcPr>
          <w:p w14:paraId="1B9A7C55">
            <w:pPr>
              <w:keepNext w:val="0"/>
              <w:keepLines w:val="0"/>
              <w:widowControl/>
              <w:suppressLineNumbers w:val="0"/>
              <w:jc w:val="center"/>
              <w:rPr>
                <w:rFonts w:hint="eastAsia" w:ascii="仿宋" w:hAnsi="仿宋" w:eastAsia="仿宋" w:cs="仿宋"/>
                <w:color w:val="0000FF"/>
                <w:kern w:val="0"/>
                <w:sz w:val="24"/>
                <w:szCs w:val="24"/>
                <w:lang w:val="en-US" w:eastAsia="zh-CN" w:bidi="ar"/>
              </w:rPr>
            </w:pPr>
          </w:p>
        </w:tc>
        <w:tc>
          <w:tcPr>
            <w:tcW w:w="7611" w:type="dxa"/>
            <w:noWrap w:val="0"/>
            <w:vAlign w:val="center"/>
          </w:tcPr>
          <w:p w14:paraId="6AEBE550">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根据投标人能够提供食品安全监督抽检分析报告及派遣人员协助抽检监测数据汇总和信息公示进行打分，承诺两项均能做到得2分，提供1项得1分，未提供不得分。</w:t>
            </w:r>
          </w:p>
        </w:tc>
      </w:tr>
      <w:tr w14:paraId="04CA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trPr>
        <w:tc>
          <w:tcPr>
            <w:tcW w:w="770" w:type="dxa"/>
            <w:noWrap w:val="0"/>
            <w:vAlign w:val="center"/>
          </w:tcPr>
          <w:p w14:paraId="14912670">
            <w:pPr>
              <w:pStyle w:val="39"/>
              <w:spacing w:line="360" w:lineRule="auto"/>
              <w:ind w:firstLine="0" w:firstLineChars="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12</w:t>
            </w:r>
          </w:p>
        </w:tc>
        <w:tc>
          <w:tcPr>
            <w:tcW w:w="1778" w:type="dxa"/>
            <w:noWrap w:val="0"/>
            <w:vAlign w:val="center"/>
          </w:tcPr>
          <w:p w14:paraId="54D1F63F">
            <w:pPr>
              <w:keepNext w:val="0"/>
              <w:keepLines w:val="0"/>
              <w:widowControl/>
              <w:suppressLineNumbers w:val="0"/>
              <w:jc w:val="center"/>
              <w:rPr>
                <w:rFonts w:hint="default" w:ascii="仿宋" w:hAnsi="仿宋" w:eastAsia="仿宋" w:cs="仿宋"/>
                <w:color w:val="0000FF"/>
                <w:kern w:val="0"/>
                <w:sz w:val="24"/>
                <w:szCs w:val="24"/>
                <w:lang w:val="en-US" w:eastAsia="zh-CN" w:bidi="ar"/>
              </w:rPr>
            </w:pPr>
            <w:r>
              <w:rPr>
                <w:rFonts w:hint="eastAsia" w:ascii="仿宋" w:hAnsi="仿宋" w:eastAsia="仿宋" w:cs="仿宋"/>
                <w:color w:val="auto"/>
                <w:kern w:val="0"/>
                <w:sz w:val="24"/>
                <w:szCs w:val="24"/>
                <w:lang w:val="en-US" w:eastAsia="zh-CN" w:bidi="ar"/>
              </w:rPr>
              <w:t>实验室场地（6分）</w:t>
            </w:r>
          </w:p>
        </w:tc>
        <w:tc>
          <w:tcPr>
            <w:tcW w:w="7611" w:type="dxa"/>
            <w:noWrap w:val="0"/>
            <w:vAlign w:val="center"/>
          </w:tcPr>
          <w:p w14:paraId="3F1F5559">
            <w:pPr>
              <w:pStyle w:val="38"/>
              <w:spacing w:before="163" w:line="219" w:lineRule="auto"/>
              <w:ind w:left="113"/>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供应商具备独立开展食品安全检验实验室，环境良好，布局合理：</w:t>
            </w:r>
          </w:p>
          <w:p w14:paraId="25D0A8CE">
            <w:pPr>
              <w:pStyle w:val="38"/>
              <w:spacing w:before="60" w:line="220" w:lineRule="auto"/>
              <w:ind w:left="12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（1）2000平方米及以上，得6分；</w:t>
            </w:r>
          </w:p>
          <w:p w14:paraId="71F5508A">
            <w:pPr>
              <w:pStyle w:val="38"/>
              <w:spacing w:before="37" w:line="220" w:lineRule="auto"/>
              <w:ind w:left="12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（2）1500（含）-2000平方米（不含），得4分；</w:t>
            </w:r>
          </w:p>
          <w:p w14:paraId="56020D6C">
            <w:pPr>
              <w:pStyle w:val="38"/>
              <w:spacing w:before="37" w:line="220" w:lineRule="auto"/>
              <w:ind w:left="12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（3）1000（含）-1500平方米（不含），得2分；</w:t>
            </w:r>
          </w:p>
          <w:p w14:paraId="30741DC7">
            <w:pPr>
              <w:pStyle w:val="38"/>
              <w:spacing w:before="117" w:line="220" w:lineRule="auto"/>
              <w:ind w:left="12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（4）不符合上述要求的，得 0 分。</w:t>
            </w:r>
          </w:p>
          <w:p w14:paraId="4F8C1C56">
            <w:pPr>
              <w:pStyle w:val="38"/>
              <w:spacing w:before="140" w:line="335" w:lineRule="auto"/>
              <w:ind w:left="131" w:right="107" w:hanging="18"/>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注：须提供房屋租赁合同复印件或房屋产权证书复印件或上级主管部门出具 的场所证明材料（租房合同须为供应商签署或房屋产权证书产权人为供应商）未提供或提供不齐全的不得分。</w:t>
            </w:r>
          </w:p>
        </w:tc>
      </w:tr>
      <w:tr w14:paraId="5233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trPr>
        <w:tc>
          <w:tcPr>
            <w:tcW w:w="2548" w:type="dxa"/>
            <w:gridSpan w:val="2"/>
            <w:noWrap w:val="0"/>
            <w:vAlign w:val="center"/>
          </w:tcPr>
          <w:p w14:paraId="778F37FD">
            <w:pPr>
              <w:pStyle w:val="39"/>
              <w:spacing w:line="360" w:lineRule="auto"/>
              <w:ind w:firstLine="0" w:firstLineChars="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合计</w:t>
            </w:r>
          </w:p>
        </w:tc>
        <w:tc>
          <w:tcPr>
            <w:tcW w:w="7611" w:type="dxa"/>
            <w:noWrap w:val="0"/>
            <w:vAlign w:val="center"/>
          </w:tcPr>
          <w:p w14:paraId="69DD262D">
            <w:pPr>
              <w:pStyle w:val="39"/>
              <w:spacing w:line="360" w:lineRule="auto"/>
              <w:ind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80分</w:t>
            </w:r>
          </w:p>
        </w:tc>
      </w:tr>
    </w:tbl>
    <w:p w14:paraId="1AEAACE5">
      <w:pPr>
        <w:pStyle w:val="18"/>
        <w:keepNext w:val="0"/>
        <w:keepLines w:val="0"/>
        <w:pageBreakBefore w:val="0"/>
        <w:kinsoku/>
        <w:wordWrap/>
        <w:overflowPunct/>
        <w:topLinePunct w:val="0"/>
        <w:bidi w:val="0"/>
        <w:spacing w:line="500" w:lineRule="exact"/>
        <w:ind w:left="0" w:leftChars="0" w:firstLine="480" w:firstLineChars="200"/>
        <w:outlineLvl w:val="9"/>
        <w:rPr>
          <w:rFonts w:hint="eastAsia" w:ascii="仿宋" w:hAnsi="仿宋" w:eastAsia="仿宋" w:cs="仿宋"/>
          <w:iCs/>
          <w:kern w:val="2"/>
          <w:szCs w:val="24"/>
          <w:lang w:eastAsia="zh-CN"/>
        </w:rPr>
      </w:pPr>
      <w:r>
        <w:rPr>
          <w:rFonts w:hint="eastAsia" w:ascii="仿宋" w:hAnsi="仿宋" w:eastAsia="仿宋" w:cs="仿宋"/>
          <w:iCs/>
          <w:kern w:val="2"/>
          <w:szCs w:val="24"/>
          <w:lang w:eastAsia="zh-CN"/>
        </w:rPr>
        <w:t>注：以上资料复印件清晰可见，否则视为未提供。</w:t>
      </w:r>
    </w:p>
    <w:p w14:paraId="1F7CE529">
      <w:pPr>
        <w:pStyle w:val="18"/>
        <w:keepNext w:val="0"/>
        <w:keepLines w:val="0"/>
        <w:pageBreakBefore w:val="0"/>
        <w:kinsoku/>
        <w:wordWrap/>
        <w:overflowPunct/>
        <w:topLinePunct w:val="0"/>
        <w:bidi w:val="0"/>
        <w:spacing w:line="500" w:lineRule="exact"/>
        <w:ind w:left="0" w:leftChars="0" w:firstLine="480" w:firstLineChars="200"/>
        <w:outlineLvl w:val="9"/>
        <w:rPr>
          <w:rFonts w:hint="eastAsia" w:ascii="仿宋" w:hAnsi="仿宋" w:eastAsia="仿宋" w:cs="仿宋"/>
          <w:iCs/>
          <w:kern w:val="2"/>
          <w:szCs w:val="24"/>
        </w:rPr>
      </w:pPr>
      <w:r>
        <w:rPr>
          <w:rFonts w:hint="eastAsia" w:ascii="仿宋" w:hAnsi="仿宋" w:eastAsia="仿宋" w:cs="仿宋"/>
          <w:iCs/>
          <w:kern w:val="2"/>
          <w:szCs w:val="24"/>
        </w:rPr>
        <w:t>评审完毕，评标委员会根据汇总各投标企业的综合得分，按照得分高低进行排序，取前三名作为中标候选人推荐给招标委员会。如果两</w:t>
      </w:r>
      <w:r>
        <w:rPr>
          <w:rFonts w:hint="eastAsia" w:ascii="仿宋" w:hAnsi="仿宋" w:eastAsia="仿宋" w:cs="仿宋"/>
          <w:iCs/>
          <w:kern w:val="2"/>
          <w:szCs w:val="24"/>
          <w:lang w:eastAsia="zh-CN"/>
        </w:rPr>
        <w:t>供应商</w:t>
      </w:r>
      <w:r>
        <w:rPr>
          <w:rFonts w:hint="eastAsia" w:ascii="仿宋" w:hAnsi="仿宋" w:eastAsia="仿宋" w:cs="仿宋"/>
          <w:iCs/>
          <w:kern w:val="2"/>
          <w:szCs w:val="24"/>
        </w:rPr>
        <w:t>的得分相同，投标价格低者排在前。</w:t>
      </w:r>
    </w:p>
    <w:p w14:paraId="3A423247">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szCs w:val="24"/>
        </w:rPr>
      </w:pPr>
      <w:r>
        <w:rPr>
          <w:rFonts w:hint="eastAsia" w:ascii="仿宋" w:hAnsi="仿宋" w:eastAsia="仿宋" w:cs="仿宋"/>
          <w:iCs/>
          <w:szCs w:val="24"/>
        </w:rPr>
        <w:t>本项目参数要求、评审内容如有指向性，仅作为招标参考，投标产品不应低于招标要求，如有不符合要求，视为不响应</w:t>
      </w:r>
      <w:r>
        <w:rPr>
          <w:rFonts w:hint="eastAsia" w:ascii="仿宋" w:hAnsi="仿宋" w:eastAsia="仿宋" w:cs="仿宋"/>
          <w:iCs/>
          <w:szCs w:val="24"/>
          <w:lang w:eastAsia="zh-CN"/>
        </w:rPr>
        <w:t>磋商文件</w:t>
      </w:r>
      <w:r>
        <w:rPr>
          <w:rFonts w:hint="eastAsia" w:ascii="仿宋" w:hAnsi="仿宋" w:eastAsia="仿宋" w:cs="仿宋"/>
          <w:iCs/>
          <w:szCs w:val="24"/>
        </w:rPr>
        <w:t>规定。</w:t>
      </w:r>
    </w:p>
    <w:p w14:paraId="4CB0C413">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3.5复核。评分汇总结束后，评标委员会应当进行复核，特别要对拟推荐为中标候选供应商的、报价最低的、</w:t>
      </w:r>
      <w:r>
        <w:rPr>
          <w:rFonts w:hint="eastAsia" w:ascii="仿宋" w:hAnsi="仿宋" w:eastAsia="仿宋" w:cs="仿宋"/>
          <w:iCs/>
          <w:kern w:val="2"/>
          <w:szCs w:val="24"/>
          <w:lang w:eastAsia="zh-CN"/>
        </w:rPr>
        <w:t>响应文件</w:t>
      </w:r>
      <w:r>
        <w:rPr>
          <w:rFonts w:hint="eastAsia" w:ascii="仿宋" w:hAnsi="仿宋" w:eastAsia="仿宋" w:cs="仿宋"/>
          <w:iCs/>
          <w:kern w:val="2"/>
          <w:szCs w:val="24"/>
        </w:rPr>
        <w:t>被认定为无效的进行重点复核。</w:t>
      </w:r>
    </w:p>
    <w:p w14:paraId="7F44137F">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3.6推荐中标候选供应商。中标候选供应商应当排序。</w:t>
      </w:r>
    </w:p>
    <w:p w14:paraId="78EB7F2F">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3.7出具评标报告。评标委员会推荐中标候选供应商后，应当向招标采购单位出具评标报告。评标报告应当包括下列内容：</w:t>
      </w:r>
    </w:p>
    <w:p w14:paraId="77B4A52F">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（一）招标公告刊登的媒体名称、开标日期和地点；</w:t>
      </w:r>
    </w:p>
    <w:p w14:paraId="0325BC90">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（二）评标委员会成员名单；</w:t>
      </w:r>
    </w:p>
    <w:p w14:paraId="55457E91">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（三）评标方法和标准；</w:t>
      </w:r>
    </w:p>
    <w:p w14:paraId="150623B4">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（四）开标记录和评标情况及说明，包括无效</w:t>
      </w:r>
      <w:r>
        <w:rPr>
          <w:rFonts w:hint="eastAsia" w:ascii="仿宋" w:hAnsi="仿宋" w:eastAsia="仿宋" w:cs="仿宋"/>
          <w:iCs/>
          <w:kern w:val="2"/>
          <w:szCs w:val="24"/>
          <w:lang w:eastAsia="zh-CN"/>
        </w:rPr>
        <w:t>供应商</w:t>
      </w:r>
      <w:r>
        <w:rPr>
          <w:rFonts w:hint="eastAsia" w:ascii="仿宋" w:hAnsi="仿宋" w:eastAsia="仿宋" w:cs="仿宋"/>
          <w:iCs/>
          <w:kern w:val="2"/>
          <w:szCs w:val="24"/>
        </w:rPr>
        <w:t>名单及原因；</w:t>
      </w:r>
    </w:p>
    <w:p w14:paraId="5893F6D7">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（五）评标结果，确定的中标候选人名单或者经采购人委托直接确定的中标人；</w:t>
      </w:r>
    </w:p>
    <w:p w14:paraId="4B9D5BD6">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（六）其他需要说明的情况，包括评标过程中</w:t>
      </w:r>
      <w:r>
        <w:rPr>
          <w:rFonts w:hint="eastAsia" w:ascii="仿宋" w:hAnsi="仿宋" w:eastAsia="仿宋" w:cs="仿宋"/>
          <w:iCs/>
          <w:kern w:val="2"/>
          <w:szCs w:val="24"/>
          <w:lang w:eastAsia="zh-CN"/>
        </w:rPr>
        <w:t>供应商</w:t>
      </w:r>
      <w:r>
        <w:rPr>
          <w:rFonts w:hint="eastAsia" w:ascii="仿宋" w:hAnsi="仿宋" w:eastAsia="仿宋" w:cs="仿宋"/>
          <w:iCs/>
          <w:kern w:val="2"/>
          <w:szCs w:val="24"/>
        </w:rPr>
        <w:t>根据评标委员会要求进行的澄清、说明或者补正，评标委员会成员的更换等。</w:t>
      </w:r>
    </w:p>
    <w:p w14:paraId="59E89AE1">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D06195E">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3.8评标争议处理规则。评标委员会在评审过程中，对于符合性审查、对供应商</w:t>
      </w:r>
      <w:r>
        <w:rPr>
          <w:rFonts w:hint="eastAsia" w:ascii="仿宋" w:hAnsi="仿宋" w:eastAsia="仿宋" w:cs="仿宋"/>
          <w:iCs/>
          <w:kern w:val="2"/>
          <w:szCs w:val="24"/>
          <w:lang w:eastAsia="zh-CN"/>
        </w:rPr>
        <w:t>响应文件</w:t>
      </w:r>
      <w:r>
        <w:rPr>
          <w:rFonts w:hint="eastAsia" w:ascii="仿宋" w:hAnsi="仿宋" w:eastAsia="仿宋" w:cs="仿宋"/>
          <w:iCs/>
          <w:kern w:val="2"/>
          <w:szCs w:val="24"/>
        </w:rPr>
        <w:t>做无效投标处理及其他需要共同认定的事项存在争议的，应当以少数服从多数的原则做出结论，但不得违背法律法规和</w:t>
      </w:r>
      <w:r>
        <w:rPr>
          <w:rFonts w:hint="eastAsia" w:ascii="仿宋" w:hAnsi="仿宋" w:eastAsia="仿宋" w:cs="仿宋"/>
          <w:iCs/>
          <w:kern w:val="2"/>
          <w:szCs w:val="24"/>
          <w:lang w:eastAsia="zh-CN"/>
        </w:rPr>
        <w:t>磋商文件</w:t>
      </w:r>
      <w:r>
        <w:rPr>
          <w:rFonts w:hint="eastAsia" w:ascii="仿宋" w:hAnsi="仿宋" w:eastAsia="仿宋" w:cs="仿宋"/>
          <w:iCs/>
          <w:kern w:val="2"/>
          <w:szCs w:val="24"/>
        </w:rPr>
        <w:t>规定。有不同意见的评标委员会成员认为认定过程和结果不符合法律法规或者</w:t>
      </w:r>
      <w:r>
        <w:rPr>
          <w:rFonts w:hint="eastAsia" w:ascii="仿宋" w:hAnsi="仿宋" w:eastAsia="仿宋" w:cs="仿宋"/>
          <w:iCs/>
          <w:kern w:val="2"/>
          <w:szCs w:val="24"/>
          <w:lang w:eastAsia="zh-CN"/>
        </w:rPr>
        <w:t>磋商文件</w:t>
      </w:r>
      <w:r>
        <w:rPr>
          <w:rFonts w:hint="eastAsia" w:ascii="仿宋" w:hAnsi="仿宋" w:eastAsia="仿宋" w:cs="仿宋"/>
          <w:iCs/>
          <w:kern w:val="2"/>
          <w:szCs w:val="24"/>
        </w:rPr>
        <w:t>规定的，应当及时向招标采购单位书面反映。招标采购单位收到书面反映后，应当书面报告采购项目同级财政部门依法处理。</w:t>
      </w:r>
    </w:p>
    <w:p w14:paraId="6291B7ED">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3.9供应商应当书面澄清、说明或者更正。</w:t>
      </w:r>
    </w:p>
    <w:p w14:paraId="2D2CC819">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3.9.1在评标过程中，评标委员会对</w:t>
      </w:r>
      <w:r>
        <w:rPr>
          <w:rFonts w:hint="eastAsia" w:ascii="仿宋" w:hAnsi="仿宋" w:eastAsia="仿宋" w:cs="仿宋"/>
          <w:iCs/>
          <w:kern w:val="2"/>
          <w:szCs w:val="24"/>
          <w:lang w:eastAsia="zh-CN"/>
        </w:rPr>
        <w:t>响应文件</w:t>
      </w:r>
      <w:r>
        <w:rPr>
          <w:rFonts w:hint="eastAsia" w:ascii="仿宋" w:hAnsi="仿宋" w:eastAsia="仿宋" w:cs="仿宋"/>
          <w:iCs/>
          <w:kern w:val="2"/>
          <w:szCs w:val="24"/>
        </w:rPr>
        <w:t>中含义不明确、同类问题表述不一致或者有明显文字和计算错误的内容，应当以书面形式（须由评标委员会全体成员签字）要求供应商作出必要的书面澄清、说明或者更正，并给予供应商必要的反馈时间。</w:t>
      </w:r>
    </w:p>
    <w:p w14:paraId="5617C9CC">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 xml:space="preserve">  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w:t>
      </w:r>
      <w:r>
        <w:rPr>
          <w:rFonts w:hint="eastAsia" w:ascii="仿宋" w:hAnsi="仿宋" w:eastAsia="仿宋" w:cs="仿宋"/>
          <w:iCs/>
          <w:kern w:val="2"/>
          <w:szCs w:val="24"/>
          <w:lang w:eastAsia="zh-CN"/>
        </w:rPr>
        <w:t>响应文件</w:t>
      </w:r>
      <w:r>
        <w:rPr>
          <w:rFonts w:hint="eastAsia" w:ascii="仿宋" w:hAnsi="仿宋" w:eastAsia="仿宋" w:cs="仿宋"/>
          <w:iCs/>
          <w:kern w:val="2"/>
          <w:szCs w:val="24"/>
        </w:rPr>
        <w:t>的效力，有效的澄清、说明或者更正材料，是</w:t>
      </w:r>
      <w:r>
        <w:rPr>
          <w:rFonts w:hint="eastAsia" w:ascii="仿宋" w:hAnsi="仿宋" w:eastAsia="仿宋" w:cs="仿宋"/>
          <w:iCs/>
          <w:kern w:val="2"/>
          <w:szCs w:val="24"/>
          <w:lang w:eastAsia="zh-CN"/>
        </w:rPr>
        <w:t>响应文件</w:t>
      </w:r>
      <w:r>
        <w:rPr>
          <w:rFonts w:hint="eastAsia" w:ascii="仿宋" w:hAnsi="仿宋" w:eastAsia="仿宋" w:cs="仿宋"/>
          <w:iCs/>
          <w:kern w:val="2"/>
          <w:szCs w:val="24"/>
        </w:rPr>
        <w:t>的组成部分。但</w:t>
      </w:r>
      <w:r>
        <w:rPr>
          <w:rFonts w:hint="eastAsia" w:ascii="仿宋" w:hAnsi="仿宋" w:eastAsia="仿宋" w:cs="仿宋"/>
          <w:iCs/>
          <w:kern w:val="2"/>
          <w:szCs w:val="24"/>
          <w:lang w:eastAsia="zh-CN"/>
        </w:rPr>
        <w:t>供应商</w:t>
      </w:r>
      <w:r>
        <w:rPr>
          <w:rFonts w:hint="eastAsia" w:ascii="仿宋" w:hAnsi="仿宋" w:eastAsia="仿宋" w:cs="仿宋"/>
          <w:iCs/>
          <w:kern w:val="2"/>
          <w:szCs w:val="24"/>
        </w:rPr>
        <w:t>的澄清、说明或者补正不得超出</w:t>
      </w:r>
      <w:r>
        <w:rPr>
          <w:rFonts w:hint="eastAsia" w:ascii="仿宋" w:hAnsi="仿宋" w:eastAsia="仿宋" w:cs="仿宋"/>
          <w:iCs/>
          <w:kern w:val="2"/>
          <w:szCs w:val="24"/>
          <w:lang w:eastAsia="zh-CN"/>
        </w:rPr>
        <w:t>响应文件</w:t>
      </w:r>
      <w:r>
        <w:rPr>
          <w:rFonts w:hint="eastAsia" w:ascii="仿宋" w:hAnsi="仿宋" w:eastAsia="仿宋" w:cs="仿宋"/>
          <w:iCs/>
          <w:kern w:val="2"/>
          <w:szCs w:val="24"/>
        </w:rPr>
        <w:t>的范围或者改变</w:t>
      </w:r>
      <w:r>
        <w:rPr>
          <w:rFonts w:hint="eastAsia" w:ascii="仿宋" w:hAnsi="仿宋" w:eastAsia="仿宋" w:cs="仿宋"/>
          <w:iCs/>
          <w:kern w:val="2"/>
          <w:szCs w:val="24"/>
          <w:lang w:eastAsia="zh-CN"/>
        </w:rPr>
        <w:t>响应文件</w:t>
      </w:r>
      <w:r>
        <w:rPr>
          <w:rFonts w:hint="eastAsia" w:ascii="仿宋" w:hAnsi="仿宋" w:eastAsia="仿宋" w:cs="仿宋"/>
          <w:iCs/>
          <w:kern w:val="2"/>
          <w:szCs w:val="24"/>
        </w:rPr>
        <w:t>的实质性内容。</w:t>
      </w:r>
    </w:p>
    <w:p w14:paraId="225984AD">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3.9.3评标委员会要求供应商澄清、说明或者更正，不得超出</w:t>
      </w:r>
      <w:r>
        <w:rPr>
          <w:rFonts w:hint="eastAsia" w:ascii="仿宋" w:hAnsi="仿宋" w:eastAsia="仿宋" w:cs="仿宋"/>
          <w:iCs/>
          <w:kern w:val="2"/>
          <w:szCs w:val="24"/>
          <w:lang w:eastAsia="zh-CN"/>
        </w:rPr>
        <w:t>磋商文件</w:t>
      </w:r>
      <w:r>
        <w:rPr>
          <w:rFonts w:hint="eastAsia" w:ascii="仿宋" w:hAnsi="仿宋" w:eastAsia="仿宋" w:cs="仿宋"/>
          <w:iCs/>
          <w:kern w:val="2"/>
          <w:szCs w:val="24"/>
        </w:rPr>
        <w:t>的范围，不得以此让供应商实质改变</w:t>
      </w:r>
      <w:r>
        <w:rPr>
          <w:rFonts w:hint="eastAsia" w:ascii="仿宋" w:hAnsi="仿宋" w:eastAsia="仿宋" w:cs="仿宋"/>
          <w:iCs/>
          <w:kern w:val="2"/>
          <w:szCs w:val="24"/>
          <w:lang w:eastAsia="zh-CN"/>
        </w:rPr>
        <w:t>响应文件</w:t>
      </w:r>
      <w:r>
        <w:rPr>
          <w:rFonts w:hint="eastAsia" w:ascii="仿宋" w:hAnsi="仿宋" w:eastAsia="仿宋" w:cs="仿宋"/>
          <w:iCs/>
          <w:kern w:val="2"/>
          <w:szCs w:val="24"/>
        </w:rPr>
        <w:t>的内容，不得影响供应商公平竞争。本项目下列内容不得澄清：</w:t>
      </w:r>
    </w:p>
    <w:p w14:paraId="46FBCDC8">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（一）按财政部规定应当在评标时不予承认的</w:t>
      </w:r>
      <w:r>
        <w:rPr>
          <w:rFonts w:hint="eastAsia" w:ascii="仿宋" w:hAnsi="仿宋" w:eastAsia="仿宋" w:cs="仿宋"/>
          <w:iCs/>
          <w:kern w:val="2"/>
          <w:szCs w:val="24"/>
          <w:lang w:eastAsia="zh-CN"/>
        </w:rPr>
        <w:t>响应文件</w:t>
      </w:r>
      <w:r>
        <w:rPr>
          <w:rFonts w:hint="eastAsia" w:ascii="仿宋" w:hAnsi="仿宋" w:eastAsia="仿宋" w:cs="仿宋"/>
          <w:iCs/>
          <w:kern w:val="2"/>
          <w:szCs w:val="24"/>
        </w:rPr>
        <w:t>内容事项；</w:t>
      </w:r>
    </w:p>
    <w:p w14:paraId="06144A01">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（二）</w:t>
      </w:r>
      <w:r>
        <w:rPr>
          <w:rFonts w:hint="eastAsia" w:ascii="仿宋" w:hAnsi="仿宋" w:eastAsia="仿宋" w:cs="仿宋"/>
          <w:iCs/>
          <w:kern w:val="2"/>
          <w:szCs w:val="24"/>
          <w:lang w:eastAsia="zh-CN"/>
        </w:rPr>
        <w:t>响应文件</w:t>
      </w:r>
      <w:r>
        <w:rPr>
          <w:rFonts w:hint="eastAsia" w:ascii="仿宋" w:hAnsi="仿宋" w:eastAsia="仿宋" w:cs="仿宋"/>
          <w:iCs/>
          <w:kern w:val="2"/>
          <w:szCs w:val="24"/>
        </w:rPr>
        <w:t>中已经明确的内容事项；</w:t>
      </w:r>
    </w:p>
    <w:p w14:paraId="18AC153B">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（三）</w:t>
      </w:r>
      <w:r>
        <w:rPr>
          <w:rFonts w:hint="eastAsia" w:ascii="仿宋" w:hAnsi="仿宋" w:eastAsia="仿宋" w:cs="仿宋"/>
          <w:iCs/>
          <w:kern w:val="2"/>
          <w:szCs w:val="24"/>
          <w:lang w:eastAsia="zh-CN"/>
        </w:rPr>
        <w:t>响应文件</w:t>
      </w:r>
      <w:r>
        <w:rPr>
          <w:rFonts w:hint="eastAsia" w:ascii="仿宋" w:hAnsi="仿宋" w:eastAsia="仿宋" w:cs="仿宋"/>
          <w:iCs/>
          <w:kern w:val="2"/>
          <w:szCs w:val="24"/>
        </w:rPr>
        <w:t>未提供的材料。</w:t>
      </w:r>
    </w:p>
    <w:p w14:paraId="64102D73">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3.10评标委员会认为</w:t>
      </w:r>
      <w:r>
        <w:rPr>
          <w:rFonts w:hint="eastAsia" w:ascii="仿宋" w:hAnsi="仿宋" w:eastAsia="仿宋" w:cs="仿宋"/>
          <w:iCs/>
          <w:kern w:val="2"/>
          <w:szCs w:val="24"/>
          <w:lang w:eastAsia="zh-CN"/>
        </w:rPr>
        <w:t>供应商</w:t>
      </w:r>
      <w:r>
        <w:rPr>
          <w:rFonts w:hint="eastAsia" w:ascii="仿宋" w:hAnsi="仿宋" w:eastAsia="仿宋" w:cs="仿宋"/>
          <w:iCs/>
          <w:kern w:val="2"/>
          <w:szCs w:val="24"/>
        </w:rPr>
        <w:t>的报价明显低于其他通过符合性审查</w:t>
      </w:r>
      <w:r>
        <w:rPr>
          <w:rFonts w:hint="eastAsia" w:ascii="仿宋" w:hAnsi="仿宋" w:eastAsia="仿宋" w:cs="仿宋"/>
          <w:iCs/>
          <w:kern w:val="2"/>
          <w:szCs w:val="24"/>
          <w:lang w:eastAsia="zh-CN"/>
        </w:rPr>
        <w:t>供应商</w:t>
      </w:r>
      <w:r>
        <w:rPr>
          <w:rFonts w:hint="eastAsia" w:ascii="仿宋" w:hAnsi="仿宋" w:eastAsia="仿宋" w:cs="仿宋"/>
          <w:iCs/>
          <w:kern w:val="2"/>
          <w:szCs w:val="24"/>
        </w:rPr>
        <w:t>的报价，有可能影响产品质量或者不能诚信履约的，应当要求其在评标现场合理的时间内提供书面说明，必要时提交相关证明材料；</w:t>
      </w:r>
      <w:r>
        <w:rPr>
          <w:rFonts w:hint="eastAsia" w:ascii="仿宋" w:hAnsi="仿宋" w:eastAsia="仿宋" w:cs="仿宋"/>
          <w:iCs/>
          <w:kern w:val="2"/>
          <w:szCs w:val="24"/>
          <w:lang w:eastAsia="zh-CN"/>
        </w:rPr>
        <w:t>供应商</w:t>
      </w:r>
      <w:r>
        <w:rPr>
          <w:rFonts w:hint="eastAsia" w:ascii="仿宋" w:hAnsi="仿宋" w:eastAsia="仿宋" w:cs="仿宋"/>
          <w:iCs/>
          <w:kern w:val="2"/>
          <w:szCs w:val="24"/>
        </w:rPr>
        <w:t>不能证明其报价合理性的，评标委员会应当将其作为无效投标处理。</w:t>
      </w:r>
    </w:p>
    <w:p w14:paraId="4A3629A3">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6D6ECEBC">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3.11招标采购单位现场复核评标结果。</w:t>
      </w:r>
    </w:p>
    <w:p w14:paraId="2D81972C">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3.11.1评标结果汇总完成后，评标委员会拟出具评标报告前，招标采购单位应当组织本单位工作人员，在采购现场监督人员的监督之下，依据有关的法律制度和采购文件对评标结果进行复核，提出复核意见。</w:t>
      </w:r>
    </w:p>
    <w:p w14:paraId="575D8072">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51C5F9E">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5、 废 标</w:t>
      </w:r>
    </w:p>
    <w:p w14:paraId="68FA56B9">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废标后，采购代理机构应在网上公告。</w:t>
      </w:r>
      <w:r>
        <w:rPr>
          <w:rFonts w:hint="eastAsia" w:ascii="仿宋" w:hAnsi="仿宋" w:eastAsia="仿宋" w:cs="仿宋"/>
          <w:iCs/>
          <w:kern w:val="2"/>
          <w:szCs w:val="24"/>
          <w:lang w:eastAsia="zh-CN"/>
        </w:rPr>
        <w:t>供应商</w:t>
      </w:r>
      <w:r>
        <w:rPr>
          <w:rFonts w:hint="eastAsia" w:ascii="仿宋" w:hAnsi="仿宋" w:eastAsia="仿宋" w:cs="仿宋"/>
          <w:iCs/>
          <w:kern w:val="2"/>
          <w:szCs w:val="24"/>
        </w:rPr>
        <w:t>需要知晓导致废标情形的具体原因和理由的，可以通过书面形式询问招标采购单位。</w:t>
      </w:r>
    </w:p>
    <w:p w14:paraId="75D60B10">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对于评标过程中废标的采购项目，评标委员会应当对</w:t>
      </w:r>
      <w:r>
        <w:rPr>
          <w:rFonts w:hint="eastAsia" w:ascii="仿宋" w:hAnsi="仿宋" w:eastAsia="仿宋" w:cs="仿宋"/>
          <w:iCs/>
          <w:kern w:val="2"/>
          <w:szCs w:val="24"/>
          <w:lang w:eastAsia="zh-CN"/>
        </w:rPr>
        <w:t>磋商文件</w:t>
      </w:r>
      <w:r>
        <w:rPr>
          <w:rFonts w:hint="eastAsia" w:ascii="仿宋" w:hAnsi="仿宋" w:eastAsia="仿宋" w:cs="仿宋"/>
          <w:iCs/>
          <w:kern w:val="2"/>
          <w:szCs w:val="24"/>
        </w:rPr>
        <w:t>是否存在倾向性和歧视性、是否存在不合理条款进行论证，并出具书面论证意见。</w:t>
      </w:r>
    </w:p>
    <w:p w14:paraId="4BC979E7">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6、定标</w:t>
      </w:r>
    </w:p>
    <w:p w14:paraId="7789557A">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6.1. 定标原则：由采购人根据评标委员会的推荐意见确定中标供应商。</w:t>
      </w:r>
    </w:p>
    <w:p w14:paraId="3DE3C550">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6.2. 定标程序</w:t>
      </w:r>
    </w:p>
    <w:p w14:paraId="7FCE4FFB">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6.2.1 评标委员会将评标情况写出书面报告，推荐中标候选供应商。</w:t>
      </w:r>
    </w:p>
    <w:p w14:paraId="3E4520F2">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6.2.2 采购代理机构在评标结束后2个工作日内将评标报告送采购人。</w:t>
      </w:r>
    </w:p>
    <w:p w14:paraId="229417BC">
      <w:pPr>
        <w:pStyle w:val="21"/>
        <w:widowControl/>
        <w:spacing w:beforeAutospacing="0" w:afterAutospacing="0" w:line="520" w:lineRule="atLeast"/>
        <w:ind w:left="147" w:firstLine="240" w:firstLineChars="100"/>
        <w:jc w:val="both"/>
        <w:rPr>
          <w:rFonts w:hint="eastAsia" w:ascii="仿宋" w:hAnsi="仿宋" w:eastAsia="仿宋" w:cs="仿宋"/>
          <w:iCs/>
          <w:kern w:val="2"/>
          <w:sz w:val="24"/>
          <w:szCs w:val="24"/>
          <w:lang w:val="en-US" w:eastAsia="zh-CN" w:bidi="ar-SA"/>
        </w:rPr>
      </w:pPr>
      <w:r>
        <w:rPr>
          <w:rFonts w:hint="eastAsia" w:ascii="仿宋" w:hAnsi="仿宋" w:eastAsia="仿宋" w:cs="仿宋"/>
          <w:iCs/>
          <w:kern w:val="2"/>
          <w:sz w:val="24"/>
          <w:szCs w:val="24"/>
          <w:lang w:val="en-US" w:eastAsia="zh-CN" w:bidi="ar-SA"/>
        </w:rPr>
        <w:t>6.2.3 采购人在收到评标报告后5个工作日内，按照评标报告中推荐的中标候选供应商顺序确定中标供应商。</w:t>
      </w:r>
    </w:p>
    <w:p w14:paraId="350CE6FD">
      <w:pPr>
        <w:pStyle w:val="21"/>
        <w:widowControl/>
        <w:spacing w:beforeAutospacing="0" w:afterAutospacing="0" w:line="520" w:lineRule="atLeast"/>
        <w:ind w:left="147" w:firstLine="480" w:firstLineChars="200"/>
        <w:jc w:val="both"/>
        <w:rPr>
          <w:rFonts w:hint="eastAsia" w:ascii="仿宋" w:hAnsi="仿宋" w:eastAsia="仿宋" w:cs="仿宋"/>
          <w:iCs/>
          <w:kern w:val="2"/>
          <w:sz w:val="24"/>
          <w:szCs w:val="24"/>
          <w:lang w:val="en-US" w:eastAsia="zh-CN" w:bidi="ar-SA"/>
        </w:rPr>
      </w:pPr>
      <w:r>
        <w:rPr>
          <w:rFonts w:hint="eastAsia" w:ascii="仿宋" w:hAnsi="仿宋" w:eastAsia="仿宋" w:cs="仿宋"/>
          <w:iCs/>
          <w:kern w:val="2"/>
          <w:sz w:val="24"/>
          <w:szCs w:val="24"/>
          <w:lang w:val="en-US" w:eastAsia="zh-CN" w:bidi="ar-SA"/>
        </w:rPr>
        <w:t>采用最低评标价法的，评标结果按投标报价由低到高顺序排列。投标报价相同的并列。投标文件满足招标文件全部实质性要求且投标报价最低的投标人为排名第一的中标候选人。</w:t>
      </w:r>
    </w:p>
    <w:p w14:paraId="647CBE28">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 w:val="24"/>
          <w:szCs w:val="24"/>
          <w:lang w:val="en-US" w:eastAsia="zh-CN" w:bidi="ar-S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iCs/>
          <w:kern w:val="2"/>
          <w:szCs w:val="24"/>
        </w:rPr>
        <w:t>6.2.4 根据采购人确定的中标供应商，采购代理机构在新疆政府采购网上发布中标公告，并自采购人确定中标之日起3个工作日内向中标供应商发出中标通知书。</w:t>
      </w:r>
    </w:p>
    <w:p w14:paraId="38FB7C61">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r>
        <w:rPr>
          <w:rFonts w:hint="eastAsia" w:ascii="仿宋" w:hAnsi="仿宋" w:eastAsia="仿宋" w:cs="仿宋"/>
          <w:iCs/>
          <w:kern w:val="2"/>
          <w:szCs w:val="24"/>
        </w:rPr>
        <w:t>6.2.5 招标采购单位不退回</w:t>
      </w:r>
      <w:r>
        <w:rPr>
          <w:rFonts w:hint="eastAsia" w:ascii="仿宋" w:hAnsi="仿宋" w:eastAsia="仿宋" w:cs="仿宋"/>
          <w:iCs/>
          <w:kern w:val="2"/>
          <w:szCs w:val="24"/>
          <w:lang w:eastAsia="zh-CN"/>
        </w:rPr>
        <w:t>供应商响应文件</w:t>
      </w:r>
      <w:r>
        <w:rPr>
          <w:rFonts w:hint="eastAsia" w:ascii="仿宋" w:hAnsi="仿宋" w:eastAsia="仿宋" w:cs="仿宋"/>
          <w:iCs/>
          <w:kern w:val="2"/>
          <w:szCs w:val="24"/>
        </w:rPr>
        <w:t>和其他投标资料。</w:t>
      </w:r>
    </w:p>
    <w:p w14:paraId="14C06DD4">
      <w:pPr>
        <w:pStyle w:val="6"/>
        <w:keepNext w:val="0"/>
        <w:keepLines w:val="0"/>
        <w:pageBreakBefore w:val="0"/>
        <w:kinsoku/>
        <w:wordWrap/>
        <w:overflowPunct/>
        <w:topLinePunct w:val="0"/>
        <w:bidi w:val="0"/>
        <w:ind w:left="0" w:leftChars="0" w:firstLine="0" w:firstLineChars="0"/>
        <w:outlineLvl w:val="9"/>
        <w:rPr>
          <w:rFonts w:hint="eastAsia" w:ascii="仿宋" w:hAnsi="仿宋" w:eastAsia="仿宋" w:cs="仿宋"/>
          <w:color w:val="00B0F0"/>
          <w:kern w:val="2"/>
          <w:sz w:val="22"/>
          <w:szCs w:val="22"/>
        </w:rPr>
      </w:pPr>
    </w:p>
    <w:p w14:paraId="26FA1F99">
      <w:pPr>
        <w:keepNext w:val="0"/>
        <w:keepLines w:val="0"/>
        <w:pageBreakBefore w:val="0"/>
        <w:kinsoku/>
        <w:wordWrap/>
        <w:overflowPunct/>
        <w:topLinePunct w:val="0"/>
        <w:bidi w:val="0"/>
        <w:spacing w:line="240" w:lineRule="atLeast"/>
        <w:jc w:val="center"/>
        <w:outlineLvl w:val="9"/>
        <w:rPr>
          <w:rFonts w:hint="eastAsia" w:ascii="仿宋" w:hAnsi="仿宋" w:eastAsia="仿宋" w:cs="仿宋"/>
          <w:b/>
          <w:sz w:val="52"/>
          <w:szCs w:val="52"/>
          <w:lang w:eastAsia="zh-CN"/>
        </w:rPr>
      </w:pPr>
    </w:p>
    <w:p w14:paraId="2B408E92">
      <w:pPr>
        <w:keepNext w:val="0"/>
        <w:keepLines w:val="0"/>
        <w:pageBreakBefore w:val="0"/>
        <w:kinsoku/>
        <w:wordWrap/>
        <w:overflowPunct/>
        <w:topLinePunct w:val="0"/>
        <w:bidi w:val="0"/>
        <w:spacing w:line="240" w:lineRule="atLeast"/>
        <w:jc w:val="center"/>
        <w:outlineLvl w:val="9"/>
        <w:rPr>
          <w:rFonts w:hint="eastAsia" w:ascii="仿宋" w:hAnsi="仿宋" w:eastAsia="仿宋" w:cs="仿宋"/>
          <w:b/>
          <w:sz w:val="52"/>
          <w:szCs w:val="52"/>
          <w:lang w:eastAsia="zh-CN"/>
        </w:rPr>
      </w:pPr>
    </w:p>
    <w:p w14:paraId="1E756D1F">
      <w:pPr>
        <w:pStyle w:val="8"/>
        <w:rPr>
          <w:rFonts w:hint="eastAsia" w:ascii="仿宋" w:hAnsi="仿宋" w:eastAsia="仿宋" w:cs="仿宋"/>
          <w:b/>
          <w:sz w:val="52"/>
          <w:szCs w:val="52"/>
          <w:lang w:eastAsia="zh-CN"/>
        </w:rPr>
      </w:pPr>
    </w:p>
    <w:p w14:paraId="5192596C">
      <w:pPr>
        <w:rPr>
          <w:rFonts w:hint="eastAsia" w:ascii="仿宋" w:hAnsi="仿宋" w:eastAsia="仿宋" w:cs="仿宋"/>
          <w:b/>
          <w:sz w:val="52"/>
          <w:szCs w:val="52"/>
          <w:lang w:eastAsia="zh-CN"/>
        </w:rPr>
      </w:pPr>
    </w:p>
    <w:p w14:paraId="2FB44D0A">
      <w:pPr>
        <w:pStyle w:val="8"/>
        <w:rPr>
          <w:rFonts w:hint="eastAsia" w:ascii="仿宋" w:hAnsi="仿宋" w:eastAsia="仿宋" w:cs="仿宋"/>
          <w:b/>
          <w:sz w:val="52"/>
          <w:szCs w:val="52"/>
          <w:lang w:eastAsia="zh-CN"/>
        </w:rPr>
      </w:pPr>
    </w:p>
    <w:p w14:paraId="6B4EC19E">
      <w:pPr>
        <w:rPr>
          <w:rFonts w:hint="eastAsia" w:ascii="仿宋" w:hAnsi="仿宋" w:eastAsia="仿宋" w:cs="仿宋"/>
          <w:b/>
          <w:sz w:val="52"/>
          <w:szCs w:val="52"/>
          <w:lang w:eastAsia="zh-CN"/>
        </w:rPr>
      </w:pPr>
    </w:p>
    <w:p w14:paraId="2562B483">
      <w:pPr>
        <w:rPr>
          <w:rFonts w:hint="eastAsia" w:ascii="仿宋" w:hAnsi="仿宋" w:eastAsia="仿宋" w:cs="仿宋"/>
          <w:b/>
          <w:sz w:val="52"/>
          <w:szCs w:val="52"/>
          <w:lang w:eastAsia="zh-CN"/>
        </w:rPr>
      </w:pPr>
    </w:p>
    <w:p w14:paraId="5F763FAA">
      <w:pPr>
        <w:rPr>
          <w:rFonts w:hint="eastAsia" w:ascii="仿宋" w:hAnsi="仿宋" w:eastAsia="仿宋" w:cs="仿宋"/>
          <w:b/>
          <w:sz w:val="52"/>
          <w:szCs w:val="52"/>
          <w:lang w:eastAsia="zh-CN"/>
        </w:rPr>
      </w:pPr>
    </w:p>
    <w:p w14:paraId="5A0ED0CF">
      <w:pPr>
        <w:rPr>
          <w:rFonts w:hint="eastAsia" w:ascii="仿宋" w:hAnsi="仿宋" w:eastAsia="仿宋" w:cs="仿宋"/>
          <w:b/>
          <w:sz w:val="52"/>
          <w:szCs w:val="52"/>
          <w:lang w:eastAsia="zh-CN"/>
        </w:rPr>
      </w:pPr>
    </w:p>
    <w:p w14:paraId="399F28B5">
      <w:pPr>
        <w:rPr>
          <w:rFonts w:hint="eastAsia" w:ascii="仿宋" w:hAnsi="仿宋" w:eastAsia="仿宋" w:cs="仿宋"/>
          <w:b/>
          <w:sz w:val="52"/>
          <w:szCs w:val="52"/>
          <w:lang w:eastAsia="zh-CN"/>
        </w:rPr>
      </w:pPr>
    </w:p>
    <w:p w14:paraId="06F42253">
      <w:pPr>
        <w:rPr>
          <w:rFonts w:hint="eastAsia" w:ascii="仿宋" w:hAnsi="仿宋" w:eastAsia="仿宋" w:cs="仿宋"/>
          <w:b/>
          <w:sz w:val="52"/>
          <w:szCs w:val="52"/>
          <w:lang w:eastAsia="zh-CN"/>
        </w:rPr>
      </w:pPr>
    </w:p>
    <w:p w14:paraId="270DE0C8">
      <w:pPr>
        <w:rPr>
          <w:rFonts w:hint="eastAsia" w:ascii="仿宋" w:hAnsi="仿宋" w:eastAsia="仿宋" w:cs="仿宋"/>
          <w:b/>
          <w:sz w:val="52"/>
          <w:szCs w:val="52"/>
          <w:lang w:eastAsia="zh-CN"/>
        </w:rPr>
      </w:pPr>
    </w:p>
    <w:p w14:paraId="290ECF6A">
      <w:pPr>
        <w:rPr>
          <w:rFonts w:hint="eastAsia" w:ascii="仿宋" w:hAnsi="仿宋" w:eastAsia="仿宋" w:cs="仿宋"/>
          <w:b/>
          <w:sz w:val="52"/>
          <w:szCs w:val="52"/>
          <w:lang w:eastAsia="zh-CN"/>
        </w:rPr>
      </w:pPr>
    </w:p>
    <w:p w14:paraId="16B13BCA">
      <w:pPr>
        <w:rPr>
          <w:rFonts w:hint="eastAsia" w:ascii="仿宋" w:hAnsi="仿宋" w:eastAsia="仿宋" w:cs="仿宋"/>
          <w:b/>
          <w:sz w:val="52"/>
          <w:szCs w:val="52"/>
          <w:lang w:eastAsia="zh-CN"/>
        </w:rPr>
      </w:pPr>
    </w:p>
    <w:p w14:paraId="37D05E26">
      <w:pPr>
        <w:rPr>
          <w:rFonts w:hint="eastAsia" w:ascii="仿宋" w:hAnsi="仿宋" w:eastAsia="仿宋" w:cs="仿宋"/>
          <w:b/>
          <w:sz w:val="52"/>
          <w:szCs w:val="52"/>
          <w:lang w:eastAsia="zh-CN"/>
        </w:rPr>
      </w:pPr>
    </w:p>
    <w:p w14:paraId="01B75F55">
      <w:pPr>
        <w:rPr>
          <w:rFonts w:hint="eastAsia" w:ascii="仿宋" w:hAnsi="仿宋" w:eastAsia="仿宋" w:cs="仿宋"/>
          <w:b/>
          <w:sz w:val="52"/>
          <w:szCs w:val="52"/>
          <w:lang w:eastAsia="zh-CN"/>
        </w:rPr>
      </w:pPr>
    </w:p>
    <w:p w14:paraId="1B517855">
      <w:pPr>
        <w:pStyle w:val="8"/>
        <w:rPr>
          <w:rFonts w:hint="eastAsia"/>
          <w:lang w:eastAsia="zh-CN"/>
        </w:rPr>
      </w:pPr>
    </w:p>
    <w:p w14:paraId="350D9263">
      <w:pPr>
        <w:keepNext w:val="0"/>
        <w:keepLines w:val="0"/>
        <w:pageBreakBefore w:val="0"/>
        <w:kinsoku/>
        <w:wordWrap/>
        <w:overflowPunct/>
        <w:topLinePunct w:val="0"/>
        <w:bidi w:val="0"/>
        <w:spacing w:line="240" w:lineRule="atLeast"/>
        <w:jc w:val="center"/>
        <w:outlineLvl w:val="9"/>
        <w:rPr>
          <w:rFonts w:hint="eastAsia" w:ascii="仿宋" w:hAnsi="仿宋" w:eastAsia="仿宋" w:cs="仿宋"/>
          <w:b/>
          <w:sz w:val="52"/>
          <w:szCs w:val="52"/>
        </w:rPr>
      </w:pPr>
      <w:r>
        <w:rPr>
          <w:rFonts w:hint="eastAsia" w:ascii="仿宋" w:hAnsi="仿宋" w:eastAsia="仿宋" w:cs="仿宋"/>
          <w:b/>
          <w:sz w:val="52"/>
          <w:szCs w:val="52"/>
          <w:lang w:eastAsia="zh-CN"/>
        </w:rPr>
        <w:t>服务</w:t>
      </w:r>
      <w:r>
        <w:rPr>
          <w:rFonts w:hint="eastAsia" w:ascii="仿宋" w:hAnsi="仿宋" w:eastAsia="仿宋" w:cs="仿宋"/>
          <w:b/>
          <w:sz w:val="52"/>
          <w:szCs w:val="52"/>
        </w:rPr>
        <w:t>类</w:t>
      </w:r>
    </w:p>
    <w:p w14:paraId="3253586D">
      <w:pPr>
        <w:pStyle w:val="18"/>
        <w:keepNext w:val="0"/>
        <w:keepLines w:val="0"/>
        <w:pageBreakBefore w:val="0"/>
        <w:kinsoku/>
        <w:wordWrap/>
        <w:overflowPunct/>
        <w:topLinePunct w:val="0"/>
        <w:bidi w:val="0"/>
        <w:spacing w:line="500" w:lineRule="exact"/>
        <w:ind w:left="0" w:firstLineChars="200"/>
        <w:outlineLvl w:val="9"/>
        <w:rPr>
          <w:rFonts w:hint="eastAsia" w:ascii="仿宋" w:hAnsi="仿宋" w:eastAsia="仿宋" w:cs="仿宋"/>
          <w:iCs/>
          <w:kern w:val="2"/>
          <w:szCs w:val="24"/>
        </w:rPr>
      </w:pPr>
    </w:p>
    <w:p w14:paraId="6CE156AA">
      <w:pPr>
        <w:keepNext w:val="0"/>
        <w:keepLines w:val="0"/>
        <w:pageBreakBefore w:val="0"/>
        <w:kinsoku/>
        <w:wordWrap/>
        <w:overflowPunct/>
        <w:topLinePunct w:val="0"/>
        <w:bidi w:val="0"/>
        <w:spacing w:line="240" w:lineRule="atLeast"/>
        <w:ind w:left="1080" w:leftChars="257" w:hanging="540"/>
        <w:jc w:val="center"/>
        <w:outlineLvl w:val="9"/>
        <w:rPr>
          <w:rFonts w:hint="eastAsia" w:ascii="仿宋" w:hAnsi="仿宋" w:eastAsia="仿宋" w:cs="仿宋"/>
          <w:b/>
          <w:sz w:val="52"/>
          <w:szCs w:val="52"/>
        </w:rPr>
      </w:pPr>
    </w:p>
    <w:p w14:paraId="0E37B1B0">
      <w:pPr>
        <w:keepNext w:val="0"/>
        <w:keepLines w:val="0"/>
        <w:pageBreakBefore w:val="0"/>
        <w:kinsoku/>
        <w:wordWrap/>
        <w:overflowPunct/>
        <w:topLinePunct w:val="0"/>
        <w:bidi w:val="0"/>
        <w:spacing w:line="240" w:lineRule="atLeast"/>
        <w:ind w:left="1080" w:leftChars="257" w:hanging="540"/>
        <w:jc w:val="center"/>
        <w:outlineLvl w:val="9"/>
        <w:rPr>
          <w:rFonts w:hint="eastAsia" w:ascii="仿宋" w:hAnsi="仿宋" w:eastAsia="仿宋" w:cs="仿宋"/>
          <w:b/>
          <w:sz w:val="52"/>
          <w:szCs w:val="52"/>
          <w:lang w:eastAsia="zh-CN"/>
        </w:rPr>
      </w:pPr>
      <w:r>
        <w:rPr>
          <w:rFonts w:hint="eastAsia" w:ascii="仿宋" w:hAnsi="仿宋" w:eastAsia="仿宋" w:cs="仿宋"/>
          <w:b/>
          <w:sz w:val="52"/>
          <w:szCs w:val="52"/>
        </w:rPr>
        <w:t>政府采购公开</w:t>
      </w:r>
      <w:r>
        <w:rPr>
          <w:rFonts w:hint="eastAsia" w:ascii="仿宋" w:hAnsi="仿宋" w:eastAsia="仿宋" w:cs="仿宋"/>
          <w:b/>
          <w:sz w:val="52"/>
          <w:szCs w:val="52"/>
          <w:lang w:eastAsia="zh-CN"/>
        </w:rPr>
        <w:t>磋商文件</w:t>
      </w:r>
    </w:p>
    <w:p w14:paraId="57A9D631">
      <w:pPr>
        <w:keepNext w:val="0"/>
        <w:keepLines w:val="0"/>
        <w:pageBreakBefore w:val="0"/>
        <w:kinsoku/>
        <w:wordWrap/>
        <w:overflowPunct/>
        <w:topLinePunct w:val="0"/>
        <w:bidi w:val="0"/>
        <w:spacing w:line="240" w:lineRule="atLeast"/>
        <w:ind w:left="1080" w:leftChars="257" w:hanging="540"/>
        <w:jc w:val="center"/>
        <w:outlineLvl w:val="9"/>
        <w:rPr>
          <w:rFonts w:hint="eastAsia" w:ascii="仿宋" w:hAnsi="仿宋" w:eastAsia="仿宋" w:cs="仿宋"/>
          <w:b/>
          <w:sz w:val="32"/>
          <w:szCs w:val="32"/>
        </w:rPr>
      </w:pPr>
    </w:p>
    <w:p w14:paraId="326578E9">
      <w:pPr>
        <w:keepNext w:val="0"/>
        <w:keepLines w:val="0"/>
        <w:pageBreakBefore w:val="0"/>
        <w:kinsoku/>
        <w:wordWrap/>
        <w:overflowPunct/>
        <w:topLinePunct w:val="0"/>
        <w:bidi w:val="0"/>
        <w:spacing w:line="240" w:lineRule="atLeast"/>
        <w:ind w:left="1080" w:leftChars="257" w:hanging="540"/>
        <w:jc w:val="center"/>
        <w:outlineLvl w:val="9"/>
        <w:rPr>
          <w:rFonts w:hint="eastAsia" w:ascii="仿宋" w:hAnsi="仿宋" w:eastAsia="仿宋" w:cs="仿宋"/>
          <w:b/>
          <w:sz w:val="32"/>
          <w:szCs w:val="32"/>
        </w:rPr>
      </w:pPr>
    </w:p>
    <w:p w14:paraId="35EDB6B7">
      <w:pPr>
        <w:keepNext w:val="0"/>
        <w:keepLines w:val="0"/>
        <w:pageBreakBefore w:val="0"/>
        <w:kinsoku/>
        <w:wordWrap/>
        <w:overflowPunct/>
        <w:topLinePunct w:val="0"/>
        <w:bidi w:val="0"/>
        <w:spacing w:line="240" w:lineRule="atLeast"/>
        <w:ind w:left="1080" w:leftChars="257" w:hanging="540"/>
        <w:jc w:val="center"/>
        <w:outlineLvl w:val="9"/>
        <w:rPr>
          <w:rFonts w:hint="eastAsia" w:ascii="仿宋" w:hAnsi="仿宋" w:eastAsia="仿宋" w:cs="仿宋"/>
          <w:b/>
          <w:sz w:val="32"/>
          <w:szCs w:val="32"/>
        </w:rPr>
      </w:pPr>
    </w:p>
    <w:p w14:paraId="20B09C06">
      <w:pPr>
        <w:keepNext w:val="0"/>
        <w:keepLines w:val="0"/>
        <w:pageBreakBefore w:val="0"/>
        <w:kinsoku/>
        <w:wordWrap/>
        <w:overflowPunct/>
        <w:topLinePunct w:val="0"/>
        <w:bidi w:val="0"/>
        <w:spacing w:line="240" w:lineRule="atLeast"/>
        <w:ind w:left="1080" w:leftChars="257" w:hanging="540"/>
        <w:jc w:val="center"/>
        <w:outlineLvl w:val="9"/>
        <w:rPr>
          <w:rFonts w:hint="eastAsia" w:ascii="仿宋" w:hAnsi="仿宋" w:eastAsia="仿宋" w:cs="仿宋"/>
          <w:b/>
          <w:sz w:val="32"/>
          <w:szCs w:val="32"/>
        </w:rPr>
      </w:pPr>
    </w:p>
    <w:p w14:paraId="1C1AEEA2">
      <w:pPr>
        <w:keepNext w:val="0"/>
        <w:keepLines w:val="0"/>
        <w:pageBreakBefore w:val="0"/>
        <w:kinsoku/>
        <w:wordWrap/>
        <w:overflowPunct/>
        <w:topLinePunct w:val="0"/>
        <w:bidi w:val="0"/>
        <w:spacing w:line="240" w:lineRule="atLeast"/>
        <w:ind w:left="1080" w:leftChars="257" w:hanging="540"/>
        <w:jc w:val="center"/>
        <w:outlineLvl w:val="9"/>
        <w:rPr>
          <w:rFonts w:hint="eastAsia" w:ascii="仿宋" w:hAnsi="仿宋" w:eastAsia="仿宋" w:cs="仿宋"/>
          <w:b/>
          <w:sz w:val="32"/>
          <w:szCs w:val="32"/>
        </w:rPr>
      </w:pPr>
    </w:p>
    <w:p w14:paraId="0A77809E">
      <w:pPr>
        <w:keepNext w:val="0"/>
        <w:keepLines w:val="0"/>
        <w:pageBreakBefore w:val="0"/>
        <w:kinsoku/>
        <w:wordWrap/>
        <w:overflowPunct/>
        <w:topLinePunct w:val="0"/>
        <w:bidi w:val="0"/>
        <w:spacing w:line="240" w:lineRule="atLeast"/>
        <w:ind w:left="1080" w:leftChars="257" w:hanging="540"/>
        <w:jc w:val="center"/>
        <w:outlineLvl w:val="9"/>
        <w:rPr>
          <w:rFonts w:hint="eastAsia" w:ascii="仿宋" w:hAnsi="仿宋" w:eastAsia="仿宋" w:cs="仿宋"/>
          <w:b/>
          <w:sz w:val="32"/>
          <w:szCs w:val="32"/>
        </w:rPr>
      </w:pPr>
    </w:p>
    <w:p w14:paraId="041BF9CC">
      <w:pPr>
        <w:keepNext w:val="0"/>
        <w:keepLines w:val="0"/>
        <w:pageBreakBefore w:val="0"/>
        <w:kinsoku/>
        <w:wordWrap/>
        <w:overflowPunct/>
        <w:topLinePunct w:val="0"/>
        <w:bidi w:val="0"/>
        <w:spacing w:line="240" w:lineRule="atLeast"/>
        <w:ind w:left="1080" w:leftChars="257" w:hanging="540"/>
        <w:outlineLvl w:val="9"/>
        <w:rPr>
          <w:rFonts w:hint="eastAsia" w:ascii="仿宋" w:hAnsi="仿宋" w:eastAsia="仿宋" w:cs="仿宋"/>
          <w:b/>
          <w:sz w:val="28"/>
        </w:rPr>
      </w:pPr>
    </w:p>
    <w:p w14:paraId="6A97C9E3">
      <w:pPr>
        <w:keepNext w:val="0"/>
        <w:keepLines w:val="0"/>
        <w:pageBreakBefore w:val="0"/>
        <w:kinsoku/>
        <w:wordWrap/>
        <w:overflowPunct/>
        <w:topLinePunct w:val="0"/>
        <w:bidi w:val="0"/>
        <w:spacing w:line="240" w:lineRule="atLeast"/>
        <w:ind w:left="1080" w:leftChars="257" w:hanging="540"/>
        <w:jc w:val="center"/>
        <w:outlineLvl w:val="9"/>
        <w:rPr>
          <w:rFonts w:hint="eastAsia" w:ascii="仿宋" w:hAnsi="仿宋" w:eastAsia="仿宋" w:cs="仿宋"/>
          <w:b/>
          <w:sz w:val="48"/>
          <w:szCs w:val="48"/>
        </w:rPr>
      </w:pPr>
      <w:r>
        <w:rPr>
          <w:rFonts w:hint="eastAsia" w:ascii="仿宋" w:hAnsi="仿宋" w:eastAsia="仿宋" w:cs="仿宋"/>
          <w:b/>
          <w:sz w:val="48"/>
          <w:szCs w:val="48"/>
        </w:rPr>
        <w:t>第三册</w:t>
      </w:r>
    </w:p>
    <w:p w14:paraId="77F92C44">
      <w:pPr>
        <w:keepNext w:val="0"/>
        <w:keepLines w:val="0"/>
        <w:pageBreakBefore w:val="0"/>
        <w:kinsoku/>
        <w:wordWrap/>
        <w:overflowPunct/>
        <w:topLinePunct w:val="0"/>
        <w:bidi w:val="0"/>
        <w:spacing w:line="240" w:lineRule="atLeast"/>
        <w:ind w:left="1080" w:leftChars="257" w:hanging="540"/>
        <w:jc w:val="center"/>
        <w:outlineLvl w:val="9"/>
        <w:rPr>
          <w:rFonts w:hint="eastAsia" w:ascii="仿宋" w:hAnsi="仿宋" w:eastAsia="仿宋" w:cs="仿宋"/>
          <w:b/>
          <w:sz w:val="52"/>
        </w:rPr>
      </w:pPr>
    </w:p>
    <w:p w14:paraId="1AA2A921">
      <w:pPr>
        <w:pStyle w:val="6"/>
        <w:keepNext w:val="0"/>
        <w:keepLines w:val="0"/>
        <w:pageBreakBefore w:val="0"/>
        <w:kinsoku/>
        <w:wordWrap/>
        <w:overflowPunct/>
        <w:topLinePunct w:val="0"/>
        <w:bidi w:val="0"/>
        <w:outlineLvl w:val="9"/>
        <w:rPr>
          <w:rFonts w:hint="eastAsia" w:ascii="仿宋" w:hAnsi="仿宋" w:eastAsia="仿宋" w:cs="仿宋"/>
          <w:b/>
          <w:bCs/>
          <w:sz w:val="32"/>
          <w:szCs w:val="32"/>
          <w:u w:val="single"/>
        </w:rPr>
      </w:pPr>
    </w:p>
    <w:p w14:paraId="08177CAE">
      <w:pPr>
        <w:keepNext w:val="0"/>
        <w:keepLines w:val="0"/>
        <w:pageBreakBefore w:val="0"/>
        <w:kinsoku/>
        <w:wordWrap/>
        <w:overflowPunct/>
        <w:topLinePunct w:val="0"/>
        <w:bidi w:val="0"/>
        <w:spacing w:line="340" w:lineRule="exact"/>
        <w:jc w:val="center"/>
        <w:outlineLvl w:val="9"/>
        <w:rPr>
          <w:rFonts w:hint="eastAsia" w:ascii="仿宋" w:hAnsi="仿宋" w:eastAsia="仿宋" w:cs="仿宋"/>
          <w:sz w:val="24"/>
        </w:rPr>
      </w:pPr>
    </w:p>
    <w:p w14:paraId="3413F09D">
      <w:pPr>
        <w:keepNext w:val="0"/>
        <w:keepLines w:val="0"/>
        <w:pageBreakBefore w:val="0"/>
        <w:kinsoku/>
        <w:wordWrap/>
        <w:overflowPunct/>
        <w:topLinePunct w:val="0"/>
        <w:bidi w:val="0"/>
        <w:spacing w:line="340" w:lineRule="exact"/>
        <w:jc w:val="center"/>
        <w:outlineLvl w:val="9"/>
        <w:rPr>
          <w:rFonts w:hint="eastAsia" w:ascii="仿宋" w:hAnsi="仿宋" w:eastAsia="仿宋" w:cs="仿宋"/>
          <w:b/>
          <w:sz w:val="24"/>
        </w:rPr>
      </w:pPr>
    </w:p>
    <w:p w14:paraId="0C447016">
      <w:pPr>
        <w:pStyle w:val="6"/>
        <w:keepNext w:val="0"/>
        <w:keepLines w:val="0"/>
        <w:pageBreakBefore w:val="0"/>
        <w:kinsoku/>
        <w:wordWrap/>
        <w:overflowPunct/>
        <w:topLinePunct w:val="0"/>
        <w:bidi w:val="0"/>
        <w:outlineLvl w:val="9"/>
        <w:rPr>
          <w:rFonts w:hint="eastAsia" w:ascii="仿宋" w:hAnsi="仿宋" w:eastAsia="仿宋" w:cs="仿宋"/>
          <w:b/>
          <w:sz w:val="24"/>
        </w:rPr>
      </w:pPr>
    </w:p>
    <w:p w14:paraId="0F8592F9">
      <w:pPr>
        <w:pStyle w:val="7"/>
        <w:keepNext w:val="0"/>
        <w:keepLines w:val="0"/>
        <w:pageBreakBefore w:val="0"/>
        <w:kinsoku/>
        <w:wordWrap/>
        <w:overflowPunct/>
        <w:topLinePunct w:val="0"/>
        <w:bidi w:val="0"/>
        <w:outlineLvl w:val="9"/>
        <w:rPr>
          <w:rFonts w:hint="eastAsia" w:ascii="仿宋" w:hAnsi="仿宋" w:eastAsia="仿宋" w:cs="仿宋"/>
          <w:b/>
          <w:sz w:val="24"/>
        </w:rPr>
      </w:pPr>
    </w:p>
    <w:p w14:paraId="0EA4B634">
      <w:pPr>
        <w:keepNext w:val="0"/>
        <w:keepLines w:val="0"/>
        <w:pageBreakBefore w:val="0"/>
        <w:kinsoku/>
        <w:wordWrap/>
        <w:overflowPunct/>
        <w:topLinePunct w:val="0"/>
        <w:bidi w:val="0"/>
        <w:outlineLvl w:val="9"/>
        <w:rPr>
          <w:rFonts w:hint="eastAsia" w:ascii="仿宋" w:hAnsi="仿宋" w:eastAsia="仿宋" w:cs="仿宋"/>
          <w:b/>
          <w:sz w:val="24"/>
        </w:rPr>
      </w:pPr>
    </w:p>
    <w:p w14:paraId="591534BB">
      <w:pPr>
        <w:pStyle w:val="6"/>
        <w:keepNext w:val="0"/>
        <w:keepLines w:val="0"/>
        <w:pageBreakBefore w:val="0"/>
        <w:kinsoku/>
        <w:wordWrap/>
        <w:overflowPunct/>
        <w:topLinePunct w:val="0"/>
        <w:bidi w:val="0"/>
        <w:outlineLvl w:val="9"/>
        <w:rPr>
          <w:rFonts w:hint="eastAsia" w:ascii="仿宋" w:hAnsi="仿宋" w:eastAsia="仿宋" w:cs="仿宋"/>
          <w:b/>
          <w:sz w:val="24"/>
        </w:rPr>
      </w:pPr>
    </w:p>
    <w:p w14:paraId="52DE513A">
      <w:pPr>
        <w:pStyle w:val="7"/>
        <w:keepNext w:val="0"/>
        <w:keepLines w:val="0"/>
        <w:pageBreakBefore w:val="0"/>
        <w:kinsoku/>
        <w:wordWrap/>
        <w:overflowPunct/>
        <w:topLinePunct w:val="0"/>
        <w:bidi w:val="0"/>
        <w:outlineLvl w:val="9"/>
        <w:rPr>
          <w:rFonts w:hint="eastAsia" w:ascii="仿宋" w:hAnsi="仿宋" w:eastAsia="仿宋" w:cs="仿宋"/>
          <w:b/>
          <w:sz w:val="24"/>
        </w:rPr>
      </w:pPr>
    </w:p>
    <w:p w14:paraId="3F3A3726">
      <w:pPr>
        <w:keepNext w:val="0"/>
        <w:keepLines w:val="0"/>
        <w:pageBreakBefore w:val="0"/>
        <w:kinsoku/>
        <w:wordWrap/>
        <w:overflowPunct/>
        <w:topLinePunct w:val="0"/>
        <w:bidi w:val="0"/>
        <w:outlineLvl w:val="9"/>
        <w:rPr>
          <w:rFonts w:hint="eastAsia" w:ascii="仿宋" w:hAnsi="仿宋" w:eastAsia="仿宋" w:cs="仿宋"/>
          <w:b/>
          <w:sz w:val="24"/>
        </w:rPr>
      </w:pPr>
    </w:p>
    <w:p w14:paraId="02EEFDE1">
      <w:pPr>
        <w:pStyle w:val="6"/>
        <w:keepNext w:val="0"/>
        <w:keepLines w:val="0"/>
        <w:pageBreakBefore w:val="0"/>
        <w:kinsoku/>
        <w:wordWrap/>
        <w:overflowPunct/>
        <w:topLinePunct w:val="0"/>
        <w:bidi w:val="0"/>
        <w:outlineLvl w:val="9"/>
        <w:rPr>
          <w:rFonts w:hint="eastAsia" w:ascii="仿宋" w:hAnsi="仿宋" w:eastAsia="仿宋" w:cs="仿宋"/>
          <w:b/>
          <w:sz w:val="24"/>
        </w:rPr>
      </w:pPr>
    </w:p>
    <w:p w14:paraId="4BA36E19">
      <w:pPr>
        <w:pStyle w:val="7"/>
        <w:keepNext w:val="0"/>
        <w:keepLines w:val="0"/>
        <w:pageBreakBefore w:val="0"/>
        <w:kinsoku/>
        <w:wordWrap/>
        <w:overflowPunct/>
        <w:topLinePunct w:val="0"/>
        <w:bidi w:val="0"/>
        <w:outlineLvl w:val="9"/>
        <w:rPr>
          <w:rFonts w:hint="eastAsia" w:ascii="仿宋" w:hAnsi="仿宋" w:eastAsia="仿宋" w:cs="仿宋"/>
          <w:b/>
          <w:sz w:val="24"/>
        </w:rPr>
      </w:pPr>
    </w:p>
    <w:p w14:paraId="5988D48A">
      <w:pPr>
        <w:rPr>
          <w:rFonts w:hint="eastAsia" w:ascii="仿宋" w:hAnsi="仿宋" w:eastAsia="仿宋" w:cs="仿宋"/>
          <w:b/>
          <w:sz w:val="24"/>
        </w:rPr>
      </w:pPr>
    </w:p>
    <w:p w14:paraId="4D0F1126">
      <w:pPr>
        <w:pStyle w:val="6"/>
        <w:rPr>
          <w:rFonts w:hint="eastAsia"/>
        </w:rPr>
      </w:pPr>
    </w:p>
    <w:p w14:paraId="2BC4E7F7">
      <w:pPr>
        <w:keepNext w:val="0"/>
        <w:keepLines w:val="0"/>
        <w:pageBreakBefore w:val="0"/>
        <w:kinsoku/>
        <w:wordWrap/>
        <w:overflowPunct/>
        <w:topLinePunct w:val="0"/>
        <w:bidi w:val="0"/>
        <w:spacing w:line="340" w:lineRule="exact"/>
        <w:jc w:val="both"/>
        <w:outlineLvl w:val="9"/>
        <w:rPr>
          <w:rFonts w:hint="eastAsia" w:ascii="仿宋" w:hAnsi="仿宋" w:eastAsia="仿宋" w:cs="仿宋"/>
          <w:b/>
          <w:sz w:val="24"/>
        </w:rPr>
      </w:pPr>
    </w:p>
    <w:p w14:paraId="55E05FE8">
      <w:pPr>
        <w:pStyle w:val="8"/>
        <w:rPr>
          <w:rFonts w:hint="eastAsia" w:ascii="仿宋" w:hAnsi="仿宋" w:eastAsia="仿宋" w:cs="仿宋"/>
          <w:b/>
          <w:sz w:val="24"/>
        </w:rPr>
      </w:pPr>
    </w:p>
    <w:p w14:paraId="5DF517DA">
      <w:pPr>
        <w:rPr>
          <w:rFonts w:hint="eastAsia" w:ascii="仿宋" w:hAnsi="仿宋" w:eastAsia="仿宋" w:cs="仿宋"/>
          <w:b/>
          <w:sz w:val="24"/>
        </w:rPr>
      </w:pPr>
    </w:p>
    <w:p w14:paraId="43DA8443">
      <w:pPr>
        <w:pStyle w:val="8"/>
        <w:rPr>
          <w:rFonts w:hint="eastAsia"/>
        </w:rPr>
      </w:pPr>
    </w:p>
    <w:p w14:paraId="7BE6B9FC">
      <w:pPr>
        <w:spacing w:line="340" w:lineRule="exact"/>
        <w:jc w:val="center"/>
        <w:rPr>
          <w:rFonts w:hint="eastAsia" w:ascii="仿宋" w:hAnsi="仿宋" w:eastAsia="仿宋" w:cs="仿宋"/>
          <w:b/>
          <w:sz w:val="24"/>
        </w:rPr>
      </w:pPr>
    </w:p>
    <w:p w14:paraId="3913C9F5">
      <w:pPr>
        <w:pStyle w:val="2"/>
        <w:keepNext/>
        <w:keepLines/>
        <w:pageBreakBefore w:val="0"/>
        <w:widowControl w:val="0"/>
        <w:tabs>
          <w:tab w:val="left" w:pos="0"/>
        </w:tabs>
        <w:kinsoku/>
        <w:wordWrap/>
        <w:overflowPunct/>
        <w:topLinePunct w:val="0"/>
        <w:autoSpaceDE w:val="0"/>
        <w:autoSpaceDN w:val="0"/>
        <w:bidi w:val="0"/>
        <w:adjustRightInd w:val="0"/>
        <w:snapToGrid/>
        <w:spacing w:before="0" w:after="0" w:line="240" w:lineRule="atLeast"/>
        <w:textAlignment w:val="auto"/>
        <w:rPr>
          <w:rFonts w:hint="eastAsia" w:ascii="仿宋" w:hAnsi="仿宋" w:eastAsia="仿宋" w:cs="仿宋"/>
          <w:b/>
          <w:bCs/>
          <w:sz w:val="44"/>
          <w:szCs w:val="44"/>
          <w:lang w:val="en-US" w:eastAsia="zh-CN"/>
        </w:rPr>
      </w:pPr>
      <w:bookmarkStart w:id="614" w:name="_Toc6865"/>
      <w:bookmarkStart w:id="615" w:name="_Toc8925"/>
      <w:bookmarkStart w:id="616" w:name="_Toc973"/>
      <w:bookmarkStart w:id="617" w:name="_Toc22495"/>
      <w:bookmarkStart w:id="618" w:name="_Toc4796"/>
      <w:bookmarkStart w:id="619" w:name="_Toc515647833"/>
      <w:bookmarkStart w:id="620" w:name="_Toc12802"/>
      <w:bookmarkStart w:id="621" w:name="_Toc4337"/>
      <w:r>
        <w:rPr>
          <w:rFonts w:hint="eastAsia" w:ascii="仿宋" w:hAnsi="仿宋" w:eastAsia="仿宋" w:cs="仿宋"/>
          <w:b/>
          <w:bCs/>
          <w:sz w:val="44"/>
          <w:szCs w:val="44"/>
          <w:lang w:val="en-US" w:eastAsia="zh-CN"/>
        </w:rPr>
        <w:t>第七章  政府采购合同</w:t>
      </w:r>
      <w:bookmarkEnd w:id="614"/>
      <w:bookmarkEnd w:id="615"/>
      <w:bookmarkEnd w:id="616"/>
      <w:bookmarkEnd w:id="617"/>
      <w:bookmarkEnd w:id="618"/>
      <w:bookmarkEnd w:id="619"/>
      <w:bookmarkEnd w:id="620"/>
      <w:bookmarkEnd w:id="621"/>
      <w:bookmarkStart w:id="622" w:name="_Hlt487972895"/>
      <w:bookmarkEnd w:id="622"/>
      <w:bookmarkStart w:id="623" w:name="_Toc216513788"/>
      <w:bookmarkStart w:id="624" w:name="_Toc487900382"/>
    </w:p>
    <w:bookmarkEnd w:id="623"/>
    <w:bookmarkEnd w:id="624"/>
    <w:p w14:paraId="0407AE92">
      <w:pPr>
        <w:pageBreakBefore w:val="0"/>
        <w:kinsoku/>
        <w:wordWrap/>
        <w:overflowPunct/>
        <w:topLinePunct w:val="0"/>
        <w:bidi w:val="0"/>
        <w:snapToGrid/>
        <w:spacing w:line="240" w:lineRule="atLeast"/>
        <w:textAlignment w:val="auto"/>
        <w:outlineLvl w:val="9"/>
        <w:rPr>
          <w:rFonts w:hint="eastAsia" w:ascii="仿宋" w:hAnsi="仿宋" w:eastAsia="仿宋" w:cs="仿宋"/>
          <w:b/>
          <w:kern w:val="44"/>
          <w:sz w:val="32"/>
          <w:szCs w:val="20"/>
        </w:rPr>
      </w:pPr>
    </w:p>
    <w:p w14:paraId="00CB9AC2">
      <w:pPr>
        <w:pageBreakBefore w:val="0"/>
        <w:kinsoku/>
        <w:wordWrap/>
        <w:overflowPunct/>
        <w:topLinePunct w:val="0"/>
        <w:bidi w:val="0"/>
        <w:snapToGrid/>
        <w:textAlignment w:val="auto"/>
        <w:outlineLvl w:val="9"/>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2801BC35">
      <w:pPr>
        <w:pageBreakBefore w:val="0"/>
        <w:kinsoku/>
        <w:wordWrap/>
        <w:overflowPunct/>
        <w:topLinePunct w:val="0"/>
        <w:bidi w:val="0"/>
        <w:snapToGrid/>
        <w:spacing w:line="480" w:lineRule="auto"/>
        <w:jc w:val="center"/>
        <w:textAlignment w:val="auto"/>
        <w:outlineLvl w:val="9"/>
        <w:rPr>
          <w:rFonts w:hint="eastAsia" w:ascii="仿宋" w:hAnsi="仿宋" w:eastAsia="仿宋" w:cs="仿宋"/>
          <w:b/>
          <w:sz w:val="28"/>
          <w:szCs w:val="28"/>
        </w:rPr>
      </w:pPr>
    </w:p>
    <w:p w14:paraId="60DD6A56">
      <w:pPr>
        <w:pageBreakBefore w:val="0"/>
        <w:kinsoku/>
        <w:wordWrap/>
        <w:overflowPunct/>
        <w:topLinePunct w:val="0"/>
        <w:bidi w:val="0"/>
        <w:snapToGrid/>
        <w:spacing w:line="340" w:lineRule="exact"/>
        <w:jc w:val="center"/>
        <w:textAlignment w:val="auto"/>
        <w:outlineLvl w:val="9"/>
        <w:rPr>
          <w:rFonts w:hint="eastAsia" w:ascii="仿宋" w:hAnsi="仿宋" w:eastAsia="仿宋" w:cs="仿宋"/>
          <w:b/>
          <w:sz w:val="24"/>
        </w:rPr>
      </w:pPr>
    </w:p>
    <w:p w14:paraId="21C6F712">
      <w:pPr>
        <w:pageBreakBefore w:val="0"/>
        <w:kinsoku/>
        <w:wordWrap/>
        <w:overflowPunct/>
        <w:topLinePunct w:val="0"/>
        <w:bidi w:val="0"/>
        <w:snapToGrid/>
        <w:spacing w:line="340" w:lineRule="exact"/>
        <w:jc w:val="center"/>
        <w:textAlignment w:val="auto"/>
        <w:outlineLvl w:val="9"/>
        <w:rPr>
          <w:rFonts w:hint="eastAsia" w:ascii="仿宋" w:hAnsi="仿宋" w:eastAsia="仿宋" w:cs="仿宋"/>
          <w:b/>
          <w:sz w:val="24"/>
        </w:rPr>
      </w:pPr>
      <w:r>
        <w:rPr>
          <w:rFonts w:hint="eastAsia" w:ascii="仿宋" w:hAnsi="仿宋" w:eastAsia="仿宋" w:cs="仿宋"/>
          <w:b/>
          <w:sz w:val="24"/>
        </w:rPr>
        <w:t>政府采购合同参考范本</w:t>
      </w:r>
    </w:p>
    <w:p w14:paraId="21D68278">
      <w:pPr>
        <w:pageBreakBefore w:val="0"/>
        <w:kinsoku/>
        <w:wordWrap/>
        <w:overflowPunct/>
        <w:topLinePunct w:val="0"/>
        <w:bidi w:val="0"/>
        <w:snapToGrid/>
        <w:spacing w:line="340" w:lineRule="exact"/>
        <w:jc w:val="center"/>
        <w:textAlignment w:val="auto"/>
        <w:outlineLvl w:val="9"/>
        <w:rPr>
          <w:rFonts w:hint="eastAsia" w:ascii="仿宋" w:hAnsi="仿宋" w:eastAsia="仿宋" w:cs="仿宋"/>
          <w:b/>
          <w:sz w:val="24"/>
        </w:rPr>
      </w:pPr>
      <w:r>
        <w:rPr>
          <w:rFonts w:hint="eastAsia" w:ascii="仿宋" w:hAnsi="仿宋" w:eastAsia="仿宋" w:cs="仿宋"/>
          <w:b/>
          <w:sz w:val="24"/>
        </w:rPr>
        <w:t>（服务类）</w:t>
      </w:r>
    </w:p>
    <w:p w14:paraId="66C11894">
      <w:pPr>
        <w:pStyle w:val="25"/>
        <w:pageBreakBefore w:val="0"/>
        <w:kinsoku/>
        <w:wordWrap/>
        <w:overflowPunct/>
        <w:topLinePunct w:val="0"/>
        <w:bidi w:val="0"/>
        <w:snapToGrid/>
        <w:spacing w:line="340" w:lineRule="exact"/>
        <w:ind w:firstLine="0"/>
        <w:textAlignment w:val="auto"/>
        <w:outlineLvl w:val="9"/>
        <w:rPr>
          <w:rFonts w:hint="eastAsia" w:ascii="仿宋" w:hAnsi="仿宋" w:eastAsia="仿宋" w:cs="仿宋"/>
          <w:szCs w:val="24"/>
        </w:rPr>
      </w:pPr>
    </w:p>
    <w:p w14:paraId="1AECF963">
      <w:pPr>
        <w:pStyle w:val="25"/>
        <w:pageBreakBefore w:val="0"/>
        <w:kinsoku/>
        <w:wordWrap/>
        <w:overflowPunct/>
        <w:topLinePunct w:val="0"/>
        <w:bidi w:val="0"/>
        <w:snapToGrid/>
        <w:spacing w:line="340" w:lineRule="exact"/>
        <w:ind w:firstLine="0"/>
        <w:textAlignment w:val="auto"/>
        <w:outlineLvl w:val="9"/>
        <w:rPr>
          <w:rFonts w:hint="eastAsia" w:ascii="仿宋" w:hAnsi="仿宋" w:eastAsia="仿宋" w:cs="仿宋"/>
          <w:szCs w:val="24"/>
        </w:rPr>
      </w:pPr>
    </w:p>
    <w:p w14:paraId="6D19F993">
      <w:pPr>
        <w:pStyle w:val="25"/>
        <w:pageBreakBefore w:val="0"/>
        <w:kinsoku/>
        <w:wordWrap/>
        <w:overflowPunct/>
        <w:topLinePunct w:val="0"/>
        <w:bidi w:val="0"/>
        <w:snapToGrid/>
        <w:spacing w:line="340" w:lineRule="exact"/>
        <w:ind w:firstLine="0"/>
        <w:textAlignment w:val="auto"/>
        <w:outlineLvl w:val="9"/>
        <w:rPr>
          <w:rFonts w:hint="eastAsia" w:ascii="仿宋" w:hAnsi="仿宋" w:eastAsia="仿宋" w:cs="仿宋"/>
          <w:szCs w:val="24"/>
        </w:rPr>
      </w:pPr>
    </w:p>
    <w:p w14:paraId="307B6074">
      <w:pPr>
        <w:pStyle w:val="25"/>
        <w:pageBreakBefore w:val="0"/>
        <w:kinsoku/>
        <w:wordWrap/>
        <w:overflowPunct/>
        <w:topLinePunct w:val="0"/>
        <w:bidi w:val="0"/>
        <w:snapToGrid/>
        <w:spacing w:line="340" w:lineRule="exact"/>
        <w:ind w:firstLine="0"/>
        <w:jc w:val="center"/>
        <w:textAlignment w:val="auto"/>
        <w:outlineLvl w:val="9"/>
        <w:rPr>
          <w:rFonts w:hint="eastAsia" w:ascii="仿宋" w:hAnsi="仿宋" w:eastAsia="仿宋" w:cs="仿宋"/>
          <w:b/>
          <w:szCs w:val="24"/>
        </w:rPr>
      </w:pPr>
      <w:r>
        <w:rPr>
          <w:rFonts w:hint="eastAsia" w:ascii="仿宋" w:hAnsi="仿宋" w:eastAsia="仿宋" w:cs="仿宋"/>
          <w:b/>
          <w:szCs w:val="24"/>
        </w:rPr>
        <w:t>第一部分 合同书</w:t>
      </w:r>
    </w:p>
    <w:p w14:paraId="321D5BCD">
      <w:pPr>
        <w:pStyle w:val="25"/>
        <w:pageBreakBefore w:val="0"/>
        <w:kinsoku/>
        <w:wordWrap/>
        <w:overflowPunct/>
        <w:topLinePunct w:val="0"/>
        <w:bidi w:val="0"/>
        <w:snapToGrid/>
        <w:spacing w:line="340" w:lineRule="exact"/>
        <w:ind w:firstLine="0"/>
        <w:textAlignment w:val="auto"/>
        <w:outlineLvl w:val="9"/>
        <w:rPr>
          <w:rFonts w:hint="eastAsia" w:ascii="仿宋" w:hAnsi="仿宋" w:eastAsia="仿宋" w:cs="仿宋"/>
          <w:szCs w:val="24"/>
        </w:rPr>
      </w:pPr>
    </w:p>
    <w:p w14:paraId="7395B324">
      <w:pPr>
        <w:pStyle w:val="25"/>
        <w:pageBreakBefore w:val="0"/>
        <w:kinsoku/>
        <w:wordWrap/>
        <w:overflowPunct/>
        <w:topLinePunct w:val="0"/>
        <w:bidi w:val="0"/>
        <w:snapToGrid/>
        <w:spacing w:line="340" w:lineRule="exact"/>
        <w:ind w:firstLine="0"/>
        <w:textAlignment w:val="auto"/>
        <w:outlineLvl w:val="9"/>
        <w:rPr>
          <w:rFonts w:hint="eastAsia" w:ascii="仿宋" w:hAnsi="仿宋" w:eastAsia="仿宋" w:cs="仿宋"/>
          <w:szCs w:val="24"/>
        </w:rPr>
      </w:pPr>
    </w:p>
    <w:p w14:paraId="48690236">
      <w:pPr>
        <w:pageBreakBefore w:val="0"/>
        <w:kinsoku/>
        <w:wordWrap/>
        <w:overflowPunct/>
        <w:topLinePunct w:val="0"/>
        <w:bidi w:val="0"/>
        <w:snapToGrid/>
        <w:spacing w:before="120" w:line="340" w:lineRule="exact"/>
        <w:textAlignment w:val="auto"/>
        <w:outlineLvl w:val="9"/>
        <w:rPr>
          <w:rFonts w:hint="eastAsia" w:ascii="仿宋" w:hAnsi="仿宋" w:eastAsia="仿宋" w:cs="仿宋"/>
          <w:sz w:val="24"/>
        </w:rPr>
      </w:pPr>
    </w:p>
    <w:p w14:paraId="1971692F">
      <w:pPr>
        <w:pageBreakBefore w:val="0"/>
        <w:kinsoku/>
        <w:wordWrap/>
        <w:overflowPunct/>
        <w:topLinePunct w:val="0"/>
        <w:bidi w:val="0"/>
        <w:snapToGrid/>
        <w:spacing w:before="120" w:line="340" w:lineRule="exact"/>
        <w:ind w:left="960"/>
        <w:textAlignment w:val="auto"/>
        <w:outlineLvl w:val="9"/>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53AA5773">
      <w:pPr>
        <w:pStyle w:val="30"/>
        <w:pageBreakBefore w:val="0"/>
        <w:kinsoku/>
        <w:wordWrap/>
        <w:overflowPunct/>
        <w:topLinePunct w:val="0"/>
        <w:bidi w:val="0"/>
        <w:snapToGrid/>
        <w:spacing w:before="120" w:line="340" w:lineRule="exact"/>
        <w:textAlignment w:val="auto"/>
        <w:outlineLvl w:val="9"/>
        <w:rPr>
          <w:rFonts w:hint="eastAsia" w:ascii="仿宋" w:hAnsi="仿宋" w:eastAsia="仿宋" w:cs="仿宋"/>
          <w:szCs w:val="24"/>
        </w:rPr>
      </w:pPr>
    </w:p>
    <w:p w14:paraId="6658FC71">
      <w:pPr>
        <w:pStyle w:val="30"/>
        <w:pageBreakBefore w:val="0"/>
        <w:kinsoku/>
        <w:wordWrap/>
        <w:overflowPunct/>
        <w:topLinePunct w:val="0"/>
        <w:bidi w:val="0"/>
        <w:snapToGrid/>
        <w:spacing w:before="120" w:line="340" w:lineRule="exact"/>
        <w:textAlignment w:val="auto"/>
        <w:outlineLvl w:val="9"/>
        <w:rPr>
          <w:rFonts w:hint="eastAsia" w:ascii="仿宋" w:hAnsi="仿宋" w:eastAsia="仿宋" w:cs="仿宋"/>
          <w:szCs w:val="24"/>
        </w:rPr>
      </w:pPr>
    </w:p>
    <w:p w14:paraId="4542BB89">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p w14:paraId="1B63AEEB">
      <w:pPr>
        <w:pageBreakBefore w:val="0"/>
        <w:kinsoku/>
        <w:wordWrap/>
        <w:overflowPunct/>
        <w:topLinePunct w:val="0"/>
        <w:bidi w:val="0"/>
        <w:snapToGrid/>
        <w:spacing w:before="120" w:line="340" w:lineRule="exact"/>
        <w:ind w:left="960"/>
        <w:textAlignment w:val="auto"/>
        <w:outlineLvl w:val="9"/>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3B02466">
      <w:pPr>
        <w:pageBreakBefore w:val="0"/>
        <w:kinsoku/>
        <w:wordWrap/>
        <w:overflowPunct/>
        <w:topLinePunct w:val="0"/>
        <w:bidi w:val="0"/>
        <w:snapToGrid/>
        <w:spacing w:before="120" w:line="340" w:lineRule="exact"/>
        <w:textAlignment w:val="auto"/>
        <w:outlineLvl w:val="9"/>
        <w:rPr>
          <w:rFonts w:hint="eastAsia" w:ascii="仿宋" w:hAnsi="仿宋" w:eastAsia="仿宋" w:cs="仿宋"/>
          <w:sz w:val="24"/>
        </w:rPr>
      </w:pPr>
    </w:p>
    <w:p w14:paraId="16BECFD4">
      <w:pPr>
        <w:pageBreakBefore w:val="0"/>
        <w:kinsoku/>
        <w:wordWrap/>
        <w:overflowPunct/>
        <w:topLinePunct w:val="0"/>
        <w:bidi w:val="0"/>
        <w:snapToGrid/>
        <w:spacing w:before="120" w:line="340" w:lineRule="exact"/>
        <w:ind w:left="960"/>
        <w:textAlignment w:val="auto"/>
        <w:outlineLvl w:val="9"/>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FDC9783">
      <w:pPr>
        <w:pageBreakBefore w:val="0"/>
        <w:kinsoku/>
        <w:wordWrap/>
        <w:overflowPunct/>
        <w:topLinePunct w:val="0"/>
        <w:bidi w:val="0"/>
        <w:snapToGrid/>
        <w:spacing w:before="120" w:line="340" w:lineRule="exact"/>
        <w:textAlignment w:val="auto"/>
        <w:outlineLvl w:val="9"/>
        <w:rPr>
          <w:rFonts w:hint="eastAsia" w:ascii="仿宋" w:hAnsi="仿宋" w:eastAsia="仿宋" w:cs="仿宋"/>
          <w:sz w:val="24"/>
        </w:rPr>
      </w:pPr>
    </w:p>
    <w:p w14:paraId="5783E9C3">
      <w:pPr>
        <w:pageBreakBefore w:val="0"/>
        <w:kinsoku/>
        <w:wordWrap/>
        <w:overflowPunct/>
        <w:topLinePunct w:val="0"/>
        <w:bidi w:val="0"/>
        <w:snapToGrid/>
        <w:spacing w:before="120" w:line="340" w:lineRule="exact"/>
        <w:ind w:firstLine="960" w:firstLineChars="400"/>
        <w:textAlignment w:val="auto"/>
        <w:outlineLvl w:val="9"/>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114D8AE0">
      <w:pPr>
        <w:pageBreakBefore w:val="0"/>
        <w:kinsoku/>
        <w:wordWrap/>
        <w:overflowPunct/>
        <w:topLinePunct w:val="0"/>
        <w:bidi w:val="0"/>
        <w:snapToGrid/>
        <w:spacing w:before="120" w:line="340" w:lineRule="exact"/>
        <w:textAlignment w:val="auto"/>
        <w:outlineLvl w:val="9"/>
        <w:rPr>
          <w:rFonts w:hint="eastAsia" w:ascii="仿宋" w:hAnsi="仿宋" w:eastAsia="仿宋" w:cs="仿宋"/>
          <w:sz w:val="24"/>
        </w:rPr>
      </w:pPr>
    </w:p>
    <w:p w14:paraId="6A18CC57">
      <w:pPr>
        <w:pageBreakBefore w:val="0"/>
        <w:kinsoku/>
        <w:wordWrap/>
        <w:overflowPunct/>
        <w:topLinePunct w:val="0"/>
        <w:bidi w:val="0"/>
        <w:snapToGrid/>
        <w:spacing w:before="120" w:line="340" w:lineRule="exact"/>
        <w:ind w:firstLine="960" w:firstLineChars="400"/>
        <w:textAlignment w:val="auto"/>
        <w:outlineLvl w:val="9"/>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6B973D7">
      <w:pPr>
        <w:pageBreakBefore w:val="0"/>
        <w:kinsoku/>
        <w:wordWrap/>
        <w:overflowPunct/>
        <w:topLinePunct w:val="0"/>
        <w:autoSpaceDE w:val="0"/>
        <w:autoSpaceDN w:val="0"/>
        <w:bidi w:val="0"/>
        <w:adjustRightInd w:val="0"/>
        <w:snapToGrid/>
        <w:spacing w:line="340" w:lineRule="exact"/>
        <w:ind w:firstLine="640"/>
        <w:jc w:val="center"/>
        <w:textAlignment w:val="auto"/>
        <w:outlineLvl w:val="9"/>
        <w:rPr>
          <w:rFonts w:hint="eastAsia" w:ascii="仿宋" w:hAnsi="仿宋" w:eastAsia="仿宋" w:cs="仿宋"/>
          <w:sz w:val="24"/>
        </w:rPr>
        <w:sectPr>
          <w:headerReference r:id="rId8" w:type="default"/>
          <w:footerReference r:id="rId9" w:type="default"/>
          <w:pgSz w:w="11907" w:h="16840"/>
          <w:pgMar w:top="1474" w:right="1361" w:bottom="1474" w:left="1361" w:header="851" w:footer="851" w:gutter="0"/>
          <w:pgNumType w:fmt="decimal"/>
          <w:cols w:space="720" w:num="1"/>
          <w:docGrid w:linePitch="462" w:charSpace="0"/>
        </w:sectPr>
      </w:pPr>
    </w:p>
    <w:p w14:paraId="09B0B1EB">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为该项目中标供应商。现于中标通知书发出之日起三十日内，按照采购文件确定的事项签订本合同。</w:t>
      </w:r>
    </w:p>
    <w:p w14:paraId="410DCE83">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0965D903">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sz w:val="24"/>
        </w:rPr>
      </w:pPr>
      <w:bookmarkStart w:id="625" w:name="_Toc20421"/>
      <w:bookmarkStart w:id="626" w:name="_Toc19273"/>
      <w:bookmarkStart w:id="627" w:name="_Toc15367"/>
      <w:bookmarkStart w:id="628" w:name="_Toc22967"/>
      <w:bookmarkStart w:id="629" w:name="_Toc28855"/>
      <w:r>
        <w:rPr>
          <w:rFonts w:hint="eastAsia" w:ascii="仿宋" w:hAnsi="仿宋" w:eastAsia="仿宋" w:cs="仿宋"/>
          <w:b/>
          <w:sz w:val="24"/>
        </w:rPr>
        <w:t>1.1 合同组成部分</w:t>
      </w:r>
      <w:bookmarkEnd w:id="625"/>
      <w:bookmarkEnd w:id="626"/>
      <w:bookmarkEnd w:id="627"/>
      <w:bookmarkEnd w:id="628"/>
      <w:bookmarkEnd w:id="629"/>
    </w:p>
    <w:p w14:paraId="0B254BC6">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46C029E">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1.1.1 本合同及其补充合同、变更协议；</w:t>
      </w:r>
    </w:p>
    <w:p w14:paraId="6E276BAF">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1.1.2 中标通知书；</w:t>
      </w:r>
    </w:p>
    <w:p w14:paraId="7CBFBC91">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 xml:space="preserve">1.1.3 </w:t>
      </w:r>
      <w:r>
        <w:rPr>
          <w:rFonts w:hint="eastAsia" w:ascii="仿宋" w:hAnsi="仿宋" w:eastAsia="仿宋" w:cs="仿宋"/>
          <w:sz w:val="24"/>
          <w:lang w:eastAsia="zh-CN"/>
        </w:rPr>
        <w:t>响应文件</w:t>
      </w:r>
      <w:r>
        <w:rPr>
          <w:rFonts w:hint="eastAsia" w:ascii="仿宋" w:hAnsi="仿宋" w:eastAsia="仿宋" w:cs="仿宋"/>
          <w:sz w:val="24"/>
        </w:rPr>
        <w:t>（含澄清或者说明文件）；</w:t>
      </w:r>
    </w:p>
    <w:p w14:paraId="4FEEB031">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 xml:space="preserve">1.1.4 </w:t>
      </w:r>
      <w:r>
        <w:rPr>
          <w:rFonts w:hint="eastAsia" w:ascii="仿宋" w:hAnsi="仿宋" w:eastAsia="仿宋" w:cs="仿宋"/>
          <w:sz w:val="24"/>
          <w:lang w:eastAsia="zh-CN"/>
        </w:rPr>
        <w:t>磋商文件</w:t>
      </w:r>
      <w:r>
        <w:rPr>
          <w:rFonts w:hint="eastAsia" w:ascii="仿宋" w:hAnsi="仿宋" w:eastAsia="仿宋" w:cs="仿宋"/>
          <w:sz w:val="24"/>
        </w:rPr>
        <w:t>（含澄清或者修改文件）；</w:t>
      </w:r>
    </w:p>
    <w:p w14:paraId="73A023A9">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1.1.5 其他相关采购文件。</w:t>
      </w:r>
    </w:p>
    <w:p w14:paraId="7CBFF823">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630" w:name="_Toc6311"/>
      <w:bookmarkStart w:id="631" w:name="_Toc6773"/>
      <w:bookmarkStart w:id="632" w:name="_Toc18585"/>
      <w:bookmarkStart w:id="633" w:name="_Toc2918"/>
      <w:bookmarkStart w:id="634" w:name="_Toc22185"/>
      <w:r>
        <w:rPr>
          <w:rFonts w:hint="eastAsia" w:ascii="仿宋" w:hAnsi="仿宋" w:eastAsia="仿宋" w:cs="仿宋"/>
          <w:b/>
          <w:sz w:val="24"/>
        </w:rPr>
        <w:t>1.2 标的</w:t>
      </w:r>
      <w:bookmarkEnd w:id="630"/>
      <w:bookmarkEnd w:id="631"/>
      <w:bookmarkEnd w:id="632"/>
      <w:bookmarkEnd w:id="633"/>
      <w:bookmarkEnd w:id="634"/>
    </w:p>
    <w:p w14:paraId="18DB4210">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14:paraId="0D1D98DE">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14:paraId="053104C0">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14:paraId="7D442193">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635" w:name="_Toc4929"/>
      <w:bookmarkStart w:id="636" w:name="_Toc21124"/>
      <w:bookmarkStart w:id="637" w:name="_Toc1386"/>
      <w:bookmarkStart w:id="638" w:name="_Toc5635"/>
      <w:bookmarkStart w:id="639" w:name="_Toc13918"/>
      <w:r>
        <w:rPr>
          <w:rFonts w:hint="eastAsia" w:ascii="仿宋" w:hAnsi="仿宋" w:eastAsia="仿宋" w:cs="仿宋"/>
          <w:b/>
          <w:sz w:val="24"/>
        </w:rPr>
        <w:t>1.3 价款</w:t>
      </w:r>
      <w:bookmarkEnd w:id="635"/>
      <w:bookmarkEnd w:id="636"/>
      <w:bookmarkEnd w:id="637"/>
      <w:bookmarkEnd w:id="638"/>
      <w:bookmarkEnd w:id="639"/>
    </w:p>
    <w:p w14:paraId="501956A3">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47C2C0BD">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u w:val="single"/>
        </w:rPr>
      </w:pPr>
      <w:r>
        <w:rPr>
          <w:rFonts w:hint="eastAsia" w:ascii="仿宋" w:hAnsi="仿宋" w:eastAsia="仿宋" w:cs="仿宋"/>
          <w:sz w:val="24"/>
        </w:rPr>
        <w:t>分项价格：</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080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0D2B4B8">
            <w:pPr>
              <w:pStyle w:val="31"/>
              <w:pageBreakBefore w:val="0"/>
              <w:kinsoku/>
              <w:wordWrap/>
              <w:overflowPunct/>
              <w:topLinePunct w:val="0"/>
              <w:bidi w:val="0"/>
              <w:snapToGrid/>
              <w:spacing w:line="340" w:lineRule="exact"/>
              <w:jc w:val="center"/>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序号</w:t>
            </w:r>
          </w:p>
        </w:tc>
        <w:tc>
          <w:tcPr>
            <w:tcW w:w="3402" w:type="dxa"/>
            <w:noWrap w:val="0"/>
            <w:vAlign w:val="center"/>
          </w:tcPr>
          <w:p w14:paraId="1A691B9E">
            <w:pPr>
              <w:pStyle w:val="31"/>
              <w:pageBreakBefore w:val="0"/>
              <w:kinsoku/>
              <w:wordWrap/>
              <w:overflowPunct/>
              <w:topLinePunct w:val="0"/>
              <w:bidi w:val="0"/>
              <w:snapToGrid/>
              <w:spacing w:line="340" w:lineRule="exact"/>
              <w:ind w:firstLine="200"/>
              <w:jc w:val="center"/>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分项名称</w:t>
            </w:r>
          </w:p>
        </w:tc>
        <w:tc>
          <w:tcPr>
            <w:tcW w:w="2552" w:type="dxa"/>
            <w:noWrap w:val="0"/>
            <w:vAlign w:val="center"/>
          </w:tcPr>
          <w:p w14:paraId="5EAFB436">
            <w:pPr>
              <w:pStyle w:val="31"/>
              <w:pageBreakBefore w:val="0"/>
              <w:kinsoku/>
              <w:wordWrap/>
              <w:overflowPunct/>
              <w:topLinePunct w:val="0"/>
              <w:bidi w:val="0"/>
              <w:snapToGrid/>
              <w:spacing w:line="340" w:lineRule="exact"/>
              <w:jc w:val="center"/>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分项价格</w:t>
            </w:r>
          </w:p>
        </w:tc>
      </w:tr>
      <w:tr w14:paraId="72E0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2C14621">
            <w:pPr>
              <w:pStyle w:val="31"/>
              <w:pageBreakBefore w:val="0"/>
              <w:kinsoku/>
              <w:wordWrap/>
              <w:overflowPunct/>
              <w:topLinePunct w:val="0"/>
              <w:bidi w:val="0"/>
              <w:snapToGrid/>
              <w:spacing w:line="340" w:lineRule="exact"/>
              <w:ind w:firstLine="200"/>
              <w:jc w:val="center"/>
              <w:textAlignment w:val="auto"/>
              <w:outlineLvl w:val="9"/>
              <w:rPr>
                <w:rFonts w:hint="eastAsia" w:ascii="仿宋" w:hAnsi="仿宋" w:eastAsia="仿宋" w:cs="仿宋"/>
                <w:kern w:val="2"/>
                <w:sz w:val="24"/>
                <w:szCs w:val="24"/>
              </w:rPr>
            </w:pPr>
          </w:p>
        </w:tc>
        <w:tc>
          <w:tcPr>
            <w:tcW w:w="3402" w:type="dxa"/>
            <w:noWrap w:val="0"/>
            <w:vAlign w:val="center"/>
          </w:tcPr>
          <w:p w14:paraId="028653A2">
            <w:pPr>
              <w:pStyle w:val="31"/>
              <w:pageBreakBefore w:val="0"/>
              <w:kinsoku/>
              <w:wordWrap/>
              <w:overflowPunct/>
              <w:topLinePunct w:val="0"/>
              <w:bidi w:val="0"/>
              <w:snapToGrid/>
              <w:spacing w:line="340" w:lineRule="exact"/>
              <w:ind w:firstLine="200"/>
              <w:jc w:val="center"/>
              <w:textAlignment w:val="auto"/>
              <w:outlineLvl w:val="9"/>
              <w:rPr>
                <w:rFonts w:hint="eastAsia" w:ascii="仿宋" w:hAnsi="仿宋" w:eastAsia="仿宋" w:cs="仿宋"/>
                <w:kern w:val="2"/>
                <w:sz w:val="24"/>
                <w:szCs w:val="24"/>
              </w:rPr>
            </w:pPr>
          </w:p>
        </w:tc>
        <w:tc>
          <w:tcPr>
            <w:tcW w:w="2552" w:type="dxa"/>
            <w:noWrap w:val="0"/>
            <w:vAlign w:val="center"/>
          </w:tcPr>
          <w:p w14:paraId="6F9E31A4">
            <w:pPr>
              <w:pStyle w:val="31"/>
              <w:pageBreakBefore w:val="0"/>
              <w:kinsoku/>
              <w:wordWrap/>
              <w:overflowPunct/>
              <w:topLinePunct w:val="0"/>
              <w:bidi w:val="0"/>
              <w:snapToGrid/>
              <w:spacing w:line="340" w:lineRule="exact"/>
              <w:ind w:firstLine="200"/>
              <w:jc w:val="center"/>
              <w:textAlignment w:val="auto"/>
              <w:outlineLvl w:val="9"/>
              <w:rPr>
                <w:rFonts w:hint="eastAsia" w:ascii="仿宋" w:hAnsi="仿宋" w:eastAsia="仿宋" w:cs="仿宋"/>
                <w:kern w:val="2"/>
                <w:sz w:val="24"/>
                <w:szCs w:val="24"/>
              </w:rPr>
            </w:pPr>
          </w:p>
        </w:tc>
      </w:tr>
      <w:tr w14:paraId="7B37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7CAB19B">
            <w:pPr>
              <w:pStyle w:val="31"/>
              <w:pageBreakBefore w:val="0"/>
              <w:kinsoku/>
              <w:wordWrap/>
              <w:overflowPunct/>
              <w:topLinePunct w:val="0"/>
              <w:bidi w:val="0"/>
              <w:snapToGrid/>
              <w:spacing w:line="340" w:lineRule="exact"/>
              <w:ind w:firstLine="200"/>
              <w:jc w:val="center"/>
              <w:textAlignment w:val="auto"/>
              <w:outlineLvl w:val="9"/>
              <w:rPr>
                <w:rFonts w:hint="eastAsia" w:ascii="仿宋" w:hAnsi="仿宋" w:eastAsia="仿宋" w:cs="仿宋"/>
                <w:kern w:val="2"/>
                <w:sz w:val="24"/>
                <w:szCs w:val="24"/>
              </w:rPr>
            </w:pPr>
          </w:p>
        </w:tc>
        <w:tc>
          <w:tcPr>
            <w:tcW w:w="3402" w:type="dxa"/>
            <w:noWrap w:val="0"/>
            <w:vAlign w:val="center"/>
          </w:tcPr>
          <w:p w14:paraId="1CA0FA31">
            <w:pPr>
              <w:pStyle w:val="31"/>
              <w:pageBreakBefore w:val="0"/>
              <w:kinsoku/>
              <w:wordWrap/>
              <w:overflowPunct/>
              <w:topLinePunct w:val="0"/>
              <w:bidi w:val="0"/>
              <w:snapToGrid/>
              <w:spacing w:line="340" w:lineRule="exact"/>
              <w:ind w:firstLine="200"/>
              <w:jc w:val="center"/>
              <w:textAlignment w:val="auto"/>
              <w:outlineLvl w:val="9"/>
              <w:rPr>
                <w:rFonts w:hint="eastAsia" w:ascii="仿宋" w:hAnsi="仿宋" w:eastAsia="仿宋" w:cs="仿宋"/>
                <w:kern w:val="2"/>
                <w:sz w:val="24"/>
                <w:szCs w:val="24"/>
              </w:rPr>
            </w:pPr>
          </w:p>
        </w:tc>
        <w:tc>
          <w:tcPr>
            <w:tcW w:w="2552" w:type="dxa"/>
            <w:noWrap w:val="0"/>
            <w:vAlign w:val="center"/>
          </w:tcPr>
          <w:p w14:paraId="040AE99E">
            <w:pPr>
              <w:pStyle w:val="31"/>
              <w:pageBreakBefore w:val="0"/>
              <w:kinsoku/>
              <w:wordWrap/>
              <w:overflowPunct/>
              <w:topLinePunct w:val="0"/>
              <w:bidi w:val="0"/>
              <w:snapToGrid/>
              <w:spacing w:line="340" w:lineRule="exact"/>
              <w:ind w:firstLine="200"/>
              <w:jc w:val="center"/>
              <w:textAlignment w:val="auto"/>
              <w:outlineLvl w:val="9"/>
              <w:rPr>
                <w:rFonts w:hint="eastAsia" w:ascii="仿宋" w:hAnsi="仿宋" w:eastAsia="仿宋" w:cs="仿宋"/>
                <w:kern w:val="2"/>
                <w:sz w:val="24"/>
                <w:szCs w:val="24"/>
              </w:rPr>
            </w:pPr>
          </w:p>
        </w:tc>
      </w:tr>
      <w:tr w14:paraId="2463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23E6CBE">
            <w:pPr>
              <w:pStyle w:val="31"/>
              <w:pageBreakBefore w:val="0"/>
              <w:kinsoku/>
              <w:wordWrap/>
              <w:overflowPunct/>
              <w:topLinePunct w:val="0"/>
              <w:bidi w:val="0"/>
              <w:snapToGrid/>
              <w:spacing w:line="340" w:lineRule="exact"/>
              <w:ind w:firstLine="200"/>
              <w:jc w:val="center"/>
              <w:textAlignment w:val="auto"/>
              <w:outlineLvl w:val="9"/>
              <w:rPr>
                <w:rFonts w:hint="eastAsia" w:ascii="仿宋" w:hAnsi="仿宋" w:eastAsia="仿宋" w:cs="仿宋"/>
                <w:kern w:val="2"/>
                <w:sz w:val="24"/>
                <w:szCs w:val="24"/>
              </w:rPr>
            </w:pPr>
          </w:p>
        </w:tc>
        <w:tc>
          <w:tcPr>
            <w:tcW w:w="3402" w:type="dxa"/>
            <w:noWrap w:val="0"/>
            <w:vAlign w:val="center"/>
          </w:tcPr>
          <w:p w14:paraId="683E7369">
            <w:pPr>
              <w:pStyle w:val="31"/>
              <w:pageBreakBefore w:val="0"/>
              <w:kinsoku/>
              <w:wordWrap/>
              <w:overflowPunct/>
              <w:topLinePunct w:val="0"/>
              <w:bidi w:val="0"/>
              <w:snapToGrid/>
              <w:spacing w:line="340" w:lineRule="exact"/>
              <w:ind w:firstLine="200"/>
              <w:jc w:val="center"/>
              <w:textAlignment w:val="auto"/>
              <w:outlineLvl w:val="9"/>
              <w:rPr>
                <w:rFonts w:hint="eastAsia" w:ascii="仿宋" w:hAnsi="仿宋" w:eastAsia="仿宋" w:cs="仿宋"/>
                <w:kern w:val="2"/>
                <w:sz w:val="24"/>
                <w:szCs w:val="24"/>
              </w:rPr>
            </w:pPr>
          </w:p>
        </w:tc>
        <w:tc>
          <w:tcPr>
            <w:tcW w:w="2552" w:type="dxa"/>
            <w:noWrap w:val="0"/>
            <w:vAlign w:val="center"/>
          </w:tcPr>
          <w:p w14:paraId="4ED41563">
            <w:pPr>
              <w:pStyle w:val="31"/>
              <w:pageBreakBefore w:val="0"/>
              <w:kinsoku/>
              <w:wordWrap/>
              <w:overflowPunct/>
              <w:topLinePunct w:val="0"/>
              <w:bidi w:val="0"/>
              <w:snapToGrid/>
              <w:spacing w:line="340" w:lineRule="exact"/>
              <w:ind w:firstLine="200"/>
              <w:jc w:val="center"/>
              <w:textAlignment w:val="auto"/>
              <w:outlineLvl w:val="9"/>
              <w:rPr>
                <w:rFonts w:hint="eastAsia" w:ascii="仿宋" w:hAnsi="仿宋" w:eastAsia="仿宋" w:cs="仿宋"/>
                <w:kern w:val="2"/>
                <w:sz w:val="24"/>
                <w:szCs w:val="24"/>
              </w:rPr>
            </w:pPr>
          </w:p>
        </w:tc>
      </w:tr>
      <w:tr w14:paraId="24E0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B6A517C">
            <w:pPr>
              <w:pStyle w:val="31"/>
              <w:pageBreakBefore w:val="0"/>
              <w:kinsoku/>
              <w:wordWrap/>
              <w:overflowPunct/>
              <w:topLinePunct w:val="0"/>
              <w:bidi w:val="0"/>
              <w:snapToGrid/>
              <w:spacing w:line="340" w:lineRule="exact"/>
              <w:ind w:firstLine="200"/>
              <w:jc w:val="center"/>
              <w:textAlignment w:val="auto"/>
              <w:outlineLvl w:val="9"/>
              <w:rPr>
                <w:rFonts w:hint="eastAsia" w:ascii="仿宋" w:hAnsi="仿宋" w:eastAsia="仿宋" w:cs="仿宋"/>
                <w:kern w:val="2"/>
                <w:sz w:val="24"/>
                <w:szCs w:val="24"/>
              </w:rPr>
            </w:pPr>
          </w:p>
        </w:tc>
        <w:tc>
          <w:tcPr>
            <w:tcW w:w="3402" w:type="dxa"/>
            <w:noWrap w:val="0"/>
            <w:vAlign w:val="center"/>
          </w:tcPr>
          <w:p w14:paraId="054C0C07">
            <w:pPr>
              <w:pStyle w:val="31"/>
              <w:pageBreakBefore w:val="0"/>
              <w:kinsoku/>
              <w:wordWrap/>
              <w:overflowPunct/>
              <w:topLinePunct w:val="0"/>
              <w:bidi w:val="0"/>
              <w:snapToGrid/>
              <w:spacing w:line="340" w:lineRule="exact"/>
              <w:ind w:firstLine="200"/>
              <w:jc w:val="center"/>
              <w:textAlignment w:val="auto"/>
              <w:outlineLvl w:val="9"/>
              <w:rPr>
                <w:rFonts w:hint="eastAsia" w:ascii="仿宋" w:hAnsi="仿宋" w:eastAsia="仿宋" w:cs="仿宋"/>
                <w:kern w:val="2"/>
                <w:sz w:val="24"/>
                <w:szCs w:val="24"/>
              </w:rPr>
            </w:pPr>
          </w:p>
        </w:tc>
        <w:tc>
          <w:tcPr>
            <w:tcW w:w="2552" w:type="dxa"/>
            <w:noWrap w:val="0"/>
            <w:vAlign w:val="center"/>
          </w:tcPr>
          <w:p w14:paraId="7FD21A5B">
            <w:pPr>
              <w:pStyle w:val="31"/>
              <w:pageBreakBefore w:val="0"/>
              <w:kinsoku/>
              <w:wordWrap/>
              <w:overflowPunct/>
              <w:topLinePunct w:val="0"/>
              <w:bidi w:val="0"/>
              <w:snapToGrid/>
              <w:spacing w:line="340" w:lineRule="exact"/>
              <w:ind w:firstLine="200"/>
              <w:jc w:val="center"/>
              <w:textAlignment w:val="auto"/>
              <w:outlineLvl w:val="9"/>
              <w:rPr>
                <w:rFonts w:hint="eastAsia" w:ascii="仿宋" w:hAnsi="仿宋" w:eastAsia="仿宋" w:cs="仿宋"/>
                <w:kern w:val="2"/>
                <w:sz w:val="24"/>
                <w:szCs w:val="24"/>
              </w:rPr>
            </w:pPr>
          </w:p>
        </w:tc>
      </w:tr>
      <w:tr w14:paraId="769B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2EBCF99">
            <w:pPr>
              <w:pStyle w:val="31"/>
              <w:pageBreakBefore w:val="0"/>
              <w:kinsoku/>
              <w:wordWrap/>
              <w:overflowPunct/>
              <w:topLinePunct w:val="0"/>
              <w:bidi w:val="0"/>
              <w:snapToGrid/>
              <w:spacing w:line="340" w:lineRule="exact"/>
              <w:ind w:firstLine="200"/>
              <w:jc w:val="center"/>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总价</w:t>
            </w:r>
          </w:p>
        </w:tc>
        <w:tc>
          <w:tcPr>
            <w:tcW w:w="2552" w:type="dxa"/>
            <w:noWrap w:val="0"/>
            <w:vAlign w:val="center"/>
          </w:tcPr>
          <w:p w14:paraId="29C4FE53">
            <w:pPr>
              <w:pStyle w:val="31"/>
              <w:pageBreakBefore w:val="0"/>
              <w:kinsoku/>
              <w:wordWrap/>
              <w:overflowPunct/>
              <w:topLinePunct w:val="0"/>
              <w:bidi w:val="0"/>
              <w:snapToGrid/>
              <w:spacing w:line="340" w:lineRule="exact"/>
              <w:ind w:firstLine="200"/>
              <w:jc w:val="center"/>
              <w:textAlignment w:val="auto"/>
              <w:outlineLvl w:val="9"/>
              <w:rPr>
                <w:rFonts w:hint="eastAsia" w:ascii="仿宋" w:hAnsi="仿宋" w:eastAsia="仿宋" w:cs="仿宋"/>
                <w:kern w:val="2"/>
                <w:sz w:val="24"/>
                <w:szCs w:val="24"/>
              </w:rPr>
            </w:pPr>
          </w:p>
        </w:tc>
      </w:tr>
    </w:tbl>
    <w:p w14:paraId="39F6F7D7">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640" w:name="_Toc30158"/>
      <w:bookmarkStart w:id="641" w:name="_Toc14993"/>
      <w:bookmarkStart w:id="642" w:name="_Toc30506"/>
      <w:bookmarkStart w:id="643" w:name="_Toc26916"/>
      <w:bookmarkStart w:id="644" w:name="_Toc3654"/>
      <w:r>
        <w:rPr>
          <w:rFonts w:hint="eastAsia" w:ascii="仿宋" w:hAnsi="仿宋" w:eastAsia="仿宋" w:cs="仿宋"/>
          <w:b/>
          <w:sz w:val="24"/>
        </w:rPr>
        <w:t>1.4 付款方式和发票开具方式</w:t>
      </w:r>
      <w:bookmarkEnd w:id="640"/>
      <w:bookmarkEnd w:id="641"/>
      <w:bookmarkEnd w:id="642"/>
      <w:bookmarkEnd w:id="643"/>
      <w:bookmarkEnd w:id="644"/>
    </w:p>
    <w:p w14:paraId="069656BF">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1.4.1付款方式：</w:t>
      </w:r>
      <w:r>
        <w:rPr>
          <w:rFonts w:hint="eastAsia" w:ascii="仿宋" w:hAnsi="仿宋" w:eastAsia="仿宋" w:cs="仿宋"/>
          <w:sz w:val="24"/>
          <w:u w:val="single"/>
        </w:rPr>
        <w:t xml:space="preserve">                                                </w:t>
      </w:r>
      <w:r>
        <w:rPr>
          <w:rFonts w:hint="eastAsia" w:ascii="仿宋" w:hAnsi="仿宋" w:eastAsia="仿宋" w:cs="仿宋"/>
          <w:sz w:val="24"/>
        </w:rPr>
        <w:t>；</w:t>
      </w:r>
    </w:p>
    <w:p w14:paraId="7BCBFEF2">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1.4.2 发票开具方式：</w:t>
      </w:r>
      <w:r>
        <w:rPr>
          <w:rFonts w:hint="eastAsia" w:ascii="仿宋" w:hAnsi="仿宋" w:eastAsia="仿宋" w:cs="仿宋"/>
          <w:sz w:val="24"/>
          <w:u w:val="single"/>
        </w:rPr>
        <w:t xml:space="preserve">                                            </w:t>
      </w:r>
      <w:r>
        <w:rPr>
          <w:rFonts w:hint="eastAsia" w:ascii="仿宋" w:hAnsi="仿宋" w:eastAsia="仿宋" w:cs="仿宋"/>
          <w:sz w:val="24"/>
        </w:rPr>
        <w:t>。</w:t>
      </w:r>
    </w:p>
    <w:p w14:paraId="23B684CE">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645" w:name="_Toc31421"/>
      <w:bookmarkStart w:id="646" w:name="_Toc3625"/>
      <w:bookmarkStart w:id="647" w:name="_Toc8772"/>
      <w:bookmarkStart w:id="648" w:name="_Toc11108"/>
      <w:bookmarkStart w:id="649" w:name="_Toc4760"/>
      <w:r>
        <w:rPr>
          <w:rFonts w:hint="eastAsia" w:ascii="仿宋" w:hAnsi="仿宋" w:eastAsia="仿宋" w:cs="仿宋"/>
          <w:b/>
          <w:sz w:val="24"/>
        </w:rPr>
        <w:t>1.5 履行期限、地点和方式</w:t>
      </w:r>
      <w:bookmarkEnd w:id="645"/>
      <w:bookmarkEnd w:id="646"/>
      <w:bookmarkEnd w:id="647"/>
      <w:bookmarkEnd w:id="648"/>
      <w:bookmarkEnd w:id="649"/>
    </w:p>
    <w:p w14:paraId="6FB29009">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sz w:val="24"/>
          <w:u w:val="single"/>
        </w:rPr>
        <w:t xml:space="preserve">                                                </w:t>
      </w:r>
      <w:r>
        <w:rPr>
          <w:rFonts w:hint="eastAsia" w:ascii="仿宋" w:hAnsi="仿宋" w:eastAsia="仿宋" w:cs="仿宋"/>
          <w:sz w:val="24"/>
        </w:rPr>
        <w:t>；</w:t>
      </w:r>
    </w:p>
    <w:p w14:paraId="2FE8D40B">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sz w:val="24"/>
          <w:u w:val="single"/>
        </w:rPr>
        <w:t xml:space="preserve">                                                </w:t>
      </w:r>
      <w:r>
        <w:rPr>
          <w:rFonts w:hint="eastAsia" w:ascii="仿宋" w:hAnsi="仿宋" w:eastAsia="仿宋" w:cs="仿宋"/>
          <w:sz w:val="24"/>
        </w:rPr>
        <w:t>；</w:t>
      </w:r>
    </w:p>
    <w:p w14:paraId="2FBE2871">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sz w:val="24"/>
          <w:u w:val="single"/>
        </w:rPr>
        <w:t xml:space="preserve">　　　　　　　　　                      　      </w:t>
      </w:r>
      <w:r>
        <w:rPr>
          <w:rFonts w:hint="eastAsia" w:ascii="仿宋" w:hAnsi="仿宋" w:eastAsia="仿宋" w:cs="仿宋"/>
          <w:sz w:val="24"/>
        </w:rPr>
        <w:t>。</w:t>
      </w:r>
    </w:p>
    <w:p w14:paraId="5EA91D42">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sz w:val="24"/>
          <w:u w:val="single"/>
        </w:rPr>
      </w:pPr>
      <w:bookmarkStart w:id="650" w:name="_Toc2375"/>
      <w:bookmarkStart w:id="651" w:name="_Toc24662"/>
      <w:bookmarkStart w:id="652" w:name="_Toc8586"/>
      <w:bookmarkStart w:id="653" w:name="_Toc5698"/>
      <w:bookmarkStart w:id="654" w:name="_Toc3079"/>
      <w:r>
        <w:rPr>
          <w:rFonts w:hint="eastAsia" w:ascii="仿宋" w:hAnsi="仿宋" w:eastAsia="仿宋" w:cs="仿宋"/>
          <w:b/>
          <w:sz w:val="24"/>
        </w:rPr>
        <w:t>1.6 违约责任</w:t>
      </w:r>
      <w:bookmarkEnd w:id="650"/>
      <w:bookmarkEnd w:id="651"/>
      <w:bookmarkEnd w:id="652"/>
      <w:bookmarkEnd w:id="653"/>
      <w:bookmarkEnd w:id="654"/>
    </w:p>
    <w:p w14:paraId="35770731">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45355D94">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4BD6CA7E">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9485581">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D5512E7">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5A3C999">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14:paraId="03B4EF5E">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655" w:name="_Toc32454"/>
      <w:bookmarkStart w:id="656" w:name="_Toc9497"/>
      <w:bookmarkStart w:id="657" w:name="_Toc18683"/>
      <w:bookmarkStart w:id="658" w:name="_Toc30329"/>
      <w:bookmarkStart w:id="659" w:name="_Toc26807"/>
      <w:r>
        <w:rPr>
          <w:rFonts w:hint="eastAsia" w:ascii="仿宋" w:hAnsi="仿宋" w:eastAsia="仿宋" w:cs="仿宋"/>
          <w:b/>
          <w:sz w:val="24"/>
        </w:rPr>
        <w:t>1.7 合同争议的解决</w:t>
      </w:r>
      <w:bookmarkEnd w:id="655"/>
      <w:bookmarkEnd w:id="656"/>
      <w:bookmarkEnd w:id="657"/>
      <w:bookmarkEnd w:id="658"/>
      <w:bookmarkEnd w:id="659"/>
    </w:p>
    <w:p w14:paraId="5F4706D0">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本合同履行过程中发生的任何争议，双方当事人均可通过和解或者调解解决；不愿和解、调解或者和解、调解不成的，可以选择下列第</w:t>
      </w:r>
      <w:r>
        <w:rPr>
          <w:rFonts w:hint="eastAsia" w:ascii="仿宋" w:hAnsi="仿宋" w:eastAsia="仿宋" w:cs="仿宋"/>
          <w:sz w:val="24"/>
          <w:u w:val="single"/>
        </w:rPr>
        <w:t xml:space="preserve">    </w:t>
      </w:r>
      <w:r>
        <w:rPr>
          <w:rFonts w:hint="eastAsia" w:ascii="仿宋" w:hAnsi="仿宋" w:eastAsia="仿宋" w:cs="仿宋"/>
          <w:sz w:val="24"/>
        </w:rPr>
        <w:t>种方式解决：</w:t>
      </w:r>
    </w:p>
    <w:p w14:paraId="7F8C175C">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sz w:val="24"/>
          <w:u w:val="single"/>
        </w:rPr>
        <w:t xml:space="preserve">              </w:t>
      </w:r>
      <w:r>
        <w:rPr>
          <w:rFonts w:hint="eastAsia" w:ascii="仿宋" w:hAnsi="仿宋" w:eastAsia="仿宋" w:cs="仿宋"/>
          <w:sz w:val="24"/>
        </w:rPr>
        <w:t>仲裁委员会依申请仲裁时其现行有效的仲裁规则裁决；</w:t>
      </w:r>
    </w:p>
    <w:p w14:paraId="062E4E5D">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rPr>
        <w:t>人民法院起诉。</w:t>
      </w:r>
    </w:p>
    <w:p w14:paraId="2E0D9B7E">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660" w:name="_Toc16417"/>
      <w:bookmarkStart w:id="661" w:name="_Toc23784"/>
      <w:bookmarkStart w:id="662" w:name="_Toc15827"/>
      <w:bookmarkStart w:id="663" w:name="_Toc12273"/>
      <w:bookmarkStart w:id="664" w:name="_Toc26227"/>
      <w:r>
        <w:rPr>
          <w:rFonts w:hint="eastAsia" w:ascii="仿宋" w:hAnsi="仿宋" w:eastAsia="仿宋" w:cs="仿宋"/>
          <w:b/>
          <w:sz w:val="24"/>
        </w:rPr>
        <w:t>1.8 合同生效</w:t>
      </w:r>
      <w:bookmarkEnd w:id="660"/>
      <w:bookmarkEnd w:id="661"/>
      <w:bookmarkEnd w:id="662"/>
      <w:bookmarkEnd w:id="663"/>
      <w:bookmarkEnd w:id="664"/>
    </w:p>
    <w:p w14:paraId="21819B4A">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b/>
          <w:sz w:val="24"/>
        </w:rPr>
      </w:pPr>
      <w:r>
        <w:rPr>
          <w:rFonts w:hint="eastAsia" w:ascii="仿宋" w:hAnsi="仿宋" w:eastAsia="仿宋" w:cs="仿宋"/>
          <w:sz w:val="24"/>
        </w:rPr>
        <w:t>本合同自双方当事人盖章或者签字时生效。</w:t>
      </w:r>
    </w:p>
    <w:p w14:paraId="3F3F746B">
      <w:pPr>
        <w:pageBreakBefore w:val="0"/>
        <w:kinsoku/>
        <w:wordWrap/>
        <w:overflowPunct/>
        <w:topLinePunct w:val="0"/>
        <w:autoSpaceDE w:val="0"/>
        <w:autoSpaceDN w:val="0"/>
        <w:bidi w:val="0"/>
        <w:adjustRightInd w:val="0"/>
        <w:snapToGrid/>
        <w:spacing w:line="340" w:lineRule="exact"/>
        <w:textAlignment w:val="auto"/>
        <w:outlineLvl w:val="9"/>
        <w:rPr>
          <w:rFonts w:hint="eastAsia" w:ascii="仿宋" w:hAnsi="仿宋" w:eastAsia="仿宋" w:cs="仿宋"/>
          <w:sz w:val="24"/>
          <w:lang w:val="zh-CN"/>
        </w:rPr>
      </w:pPr>
    </w:p>
    <w:p w14:paraId="16930CB1">
      <w:pPr>
        <w:pageBreakBefore w:val="0"/>
        <w:kinsoku/>
        <w:wordWrap/>
        <w:overflowPunct/>
        <w:topLinePunct w:val="0"/>
        <w:autoSpaceDE w:val="0"/>
        <w:autoSpaceDN w:val="0"/>
        <w:bidi w:val="0"/>
        <w:adjustRightInd w:val="0"/>
        <w:snapToGrid/>
        <w:spacing w:line="340" w:lineRule="exact"/>
        <w:textAlignment w:val="auto"/>
        <w:outlineLvl w:val="9"/>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2FE947CF">
      <w:pPr>
        <w:pageBreakBefore w:val="0"/>
        <w:kinsoku/>
        <w:wordWrap/>
        <w:overflowPunct/>
        <w:topLinePunct w:val="0"/>
        <w:autoSpaceDE w:val="0"/>
        <w:autoSpaceDN w:val="0"/>
        <w:bidi w:val="0"/>
        <w:adjustRightInd w:val="0"/>
        <w:snapToGrid/>
        <w:spacing w:line="340" w:lineRule="exact"/>
        <w:textAlignment w:val="auto"/>
        <w:outlineLvl w:val="9"/>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7397E8D9">
      <w:pPr>
        <w:pageBreakBefore w:val="0"/>
        <w:kinsoku/>
        <w:wordWrap/>
        <w:overflowPunct/>
        <w:topLinePunct w:val="0"/>
        <w:autoSpaceDE w:val="0"/>
        <w:autoSpaceDN w:val="0"/>
        <w:bidi w:val="0"/>
        <w:adjustRightInd w:val="0"/>
        <w:snapToGrid/>
        <w:spacing w:line="340" w:lineRule="exact"/>
        <w:textAlignment w:val="auto"/>
        <w:outlineLvl w:val="9"/>
        <w:rPr>
          <w:rFonts w:hint="eastAsia" w:ascii="仿宋" w:hAnsi="仿宋" w:eastAsia="仿宋" w:cs="仿宋"/>
          <w:sz w:val="24"/>
          <w:lang w:val="zh-CN"/>
        </w:rPr>
      </w:pPr>
    </w:p>
    <w:p w14:paraId="0A48D670">
      <w:pPr>
        <w:pageBreakBefore w:val="0"/>
        <w:kinsoku/>
        <w:wordWrap/>
        <w:overflowPunct/>
        <w:topLinePunct w:val="0"/>
        <w:autoSpaceDE w:val="0"/>
        <w:autoSpaceDN w:val="0"/>
        <w:bidi w:val="0"/>
        <w:adjustRightInd w:val="0"/>
        <w:snapToGrid/>
        <w:spacing w:line="340" w:lineRule="exact"/>
        <w:textAlignment w:val="auto"/>
        <w:outlineLvl w:val="9"/>
        <w:rPr>
          <w:rFonts w:hint="eastAsia" w:ascii="仿宋" w:hAnsi="仿宋" w:eastAsia="仿宋" w:cs="仿宋"/>
          <w:sz w:val="24"/>
          <w:lang w:val="zh-CN"/>
        </w:rPr>
      </w:pPr>
      <w:r>
        <w:rPr>
          <w:rFonts w:hint="eastAsia" w:ascii="仿宋" w:hAnsi="仿宋" w:eastAsia="仿宋" w:cs="仿宋"/>
          <w:sz w:val="24"/>
          <w:lang w:val="zh-CN"/>
        </w:rPr>
        <w:t>住所：                                   住所：</w:t>
      </w:r>
    </w:p>
    <w:p w14:paraId="1FE37127">
      <w:pPr>
        <w:pageBreakBefore w:val="0"/>
        <w:kinsoku/>
        <w:wordWrap/>
        <w:overflowPunct/>
        <w:topLinePunct w:val="0"/>
        <w:autoSpaceDE w:val="0"/>
        <w:autoSpaceDN w:val="0"/>
        <w:bidi w:val="0"/>
        <w:adjustRightInd w:val="0"/>
        <w:snapToGrid/>
        <w:spacing w:line="340" w:lineRule="exact"/>
        <w:textAlignment w:val="auto"/>
        <w:outlineLvl w:val="9"/>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50F1E744">
      <w:pPr>
        <w:pageBreakBefore w:val="0"/>
        <w:kinsoku/>
        <w:wordWrap/>
        <w:overflowPunct/>
        <w:topLinePunct w:val="0"/>
        <w:autoSpaceDE w:val="0"/>
        <w:autoSpaceDN w:val="0"/>
        <w:bidi w:val="0"/>
        <w:adjustRightInd w:val="0"/>
        <w:snapToGrid/>
        <w:spacing w:line="340" w:lineRule="exact"/>
        <w:textAlignment w:val="auto"/>
        <w:outlineLvl w:val="9"/>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777FBD69">
      <w:pPr>
        <w:pageBreakBefore w:val="0"/>
        <w:kinsoku/>
        <w:wordWrap/>
        <w:overflowPunct/>
        <w:topLinePunct w:val="0"/>
        <w:autoSpaceDE w:val="0"/>
        <w:autoSpaceDN w:val="0"/>
        <w:bidi w:val="0"/>
        <w:adjustRightInd w:val="0"/>
        <w:snapToGrid/>
        <w:spacing w:line="340" w:lineRule="exact"/>
        <w:textAlignment w:val="auto"/>
        <w:outlineLvl w:val="9"/>
        <w:rPr>
          <w:rFonts w:hint="eastAsia" w:ascii="仿宋" w:hAnsi="仿宋" w:eastAsia="仿宋" w:cs="仿宋"/>
          <w:sz w:val="24"/>
          <w:lang w:val="zh-CN"/>
        </w:rPr>
      </w:pPr>
      <w:r>
        <w:rPr>
          <w:rFonts w:hint="eastAsia" w:ascii="仿宋" w:hAnsi="仿宋" w:eastAsia="仿宋" w:cs="仿宋"/>
          <w:sz w:val="24"/>
          <w:lang w:val="zh-CN"/>
        </w:rPr>
        <w:t>联系人：                                 联系人：</w:t>
      </w:r>
    </w:p>
    <w:p w14:paraId="36A15D55">
      <w:pPr>
        <w:pageBreakBefore w:val="0"/>
        <w:kinsoku/>
        <w:wordWrap/>
        <w:overflowPunct/>
        <w:topLinePunct w:val="0"/>
        <w:autoSpaceDE w:val="0"/>
        <w:autoSpaceDN w:val="0"/>
        <w:bidi w:val="0"/>
        <w:adjustRightInd w:val="0"/>
        <w:snapToGrid/>
        <w:spacing w:line="340" w:lineRule="exact"/>
        <w:textAlignment w:val="auto"/>
        <w:outlineLvl w:val="9"/>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30F5FBF9">
      <w:pPr>
        <w:pageBreakBefore w:val="0"/>
        <w:kinsoku/>
        <w:wordWrap/>
        <w:overflowPunct/>
        <w:topLinePunct w:val="0"/>
        <w:autoSpaceDE w:val="0"/>
        <w:autoSpaceDN w:val="0"/>
        <w:bidi w:val="0"/>
        <w:adjustRightInd w:val="0"/>
        <w:snapToGrid/>
        <w:spacing w:line="340" w:lineRule="exact"/>
        <w:textAlignment w:val="auto"/>
        <w:outlineLvl w:val="9"/>
        <w:rPr>
          <w:rFonts w:hint="eastAsia" w:ascii="仿宋" w:hAnsi="仿宋" w:eastAsia="仿宋" w:cs="仿宋"/>
          <w:sz w:val="24"/>
          <w:lang w:val="zh-CN"/>
        </w:rPr>
      </w:pPr>
      <w:r>
        <w:rPr>
          <w:rFonts w:hint="eastAsia" w:ascii="仿宋" w:hAnsi="仿宋" w:eastAsia="仿宋" w:cs="仿宋"/>
          <w:sz w:val="24"/>
          <w:lang w:val="zh-CN"/>
        </w:rPr>
        <w:t>邮政编码：                               邮政编码：</w:t>
      </w:r>
    </w:p>
    <w:p w14:paraId="236BDC69">
      <w:pPr>
        <w:pageBreakBefore w:val="0"/>
        <w:kinsoku/>
        <w:wordWrap/>
        <w:overflowPunct/>
        <w:topLinePunct w:val="0"/>
        <w:autoSpaceDE w:val="0"/>
        <w:autoSpaceDN w:val="0"/>
        <w:bidi w:val="0"/>
        <w:adjustRightInd w:val="0"/>
        <w:snapToGrid/>
        <w:spacing w:line="340" w:lineRule="exact"/>
        <w:textAlignment w:val="auto"/>
        <w:outlineLvl w:val="9"/>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394E0B19">
      <w:pPr>
        <w:pageBreakBefore w:val="0"/>
        <w:kinsoku/>
        <w:wordWrap/>
        <w:overflowPunct/>
        <w:topLinePunct w:val="0"/>
        <w:autoSpaceDE w:val="0"/>
        <w:autoSpaceDN w:val="0"/>
        <w:bidi w:val="0"/>
        <w:adjustRightInd w:val="0"/>
        <w:snapToGrid/>
        <w:spacing w:line="340" w:lineRule="exact"/>
        <w:textAlignment w:val="auto"/>
        <w:outlineLvl w:val="9"/>
        <w:rPr>
          <w:rFonts w:hint="eastAsia" w:ascii="仿宋" w:hAnsi="仿宋" w:eastAsia="仿宋" w:cs="仿宋"/>
          <w:sz w:val="24"/>
          <w:lang w:val="zh-CN"/>
        </w:rPr>
      </w:pPr>
      <w:r>
        <w:rPr>
          <w:rFonts w:hint="eastAsia" w:ascii="仿宋" w:hAnsi="仿宋" w:eastAsia="仿宋" w:cs="仿宋"/>
          <w:sz w:val="24"/>
          <w:lang w:val="zh-CN"/>
        </w:rPr>
        <w:t>传真:                                    传真:</w:t>
      </w:r>
    </w:p>
    <w:p w14:paraId="4D1E3789">
      <w:pPr>
        <w:pageBreakBefore w:val="0"/>
        <w:kinsoku/>
        <w:wordWrap/>
        <w:overflowPunct/>
        <w:topLinePunct w:val="0"/>
        <w:autoSpaceDE w:val="0"/>
        <w:autoSpaceDN w:val="0"/>
        <w:bidi w:val="0"/>
        <w:adjustRightInd w:val="0"/>
        <w:snapToGrid/>
        <w:spacing w:line="340" w:lineRule="exact"/>
        <w:textAlignment w:val="auto"/>
        <w:outlineLvl w:val="9"/>
        <w:rPr>
          <w:rFonts w:hint="eastAsia" w:ascii="仿宋" w:hAnsi="仿宋" w:eastAsia="仿宋" w:cs="仿宋"/>
          <w:sz w:val="24"/>
        </w:rPr>
      </w:pPr>
      <w:r>
        <w:rPr>
          <w:rFonts w:hint="eastAsia" w:ascii="仿宋" w:hAnsi="仿宋" w:eastAsia="仿宋" w:cs="仿宋"/>
          <w:sz w:val="24"/>
          <w:lang w:val="zh-CN"/>
        </w:rPr>
        <w:t>电子邮箱：                               电子邮箱：</w:t>
      </w:r>
    </w:p>
    <w:p w14:paraId="2DE482E2">
      <w:pPr>
        <w:pageBreakBefore w:val="0"/>
        <w:kinsoku/>
        <w:wordWrap/>
        <w:overflowPunct/>
        <w:topLinePunct w:val="0"/>
        <w:autoSpaceDE w:val="0"/>
        <w:autoSpaceDN w:val="0"/>
        <w:bidi w:val="0"/>
        <w:adjustRightInd w:val="0"/>
        <w:snapToGrid/>
        <w:spacing w:line="340" w:lineRule="exact"/>
        <w:textAlignment w:val="auto"/>
        <w:outlineLvl w:val="9"/>
        <w:rPr>
          <w:rFonts w:hint="eastAsia" w:ascii="仿宋" w:hAnsi="仿宋" w:eastAsia="仿宋" w:cs="仿宋"/>
          <w:sz w:val="24"/>
        </w:rPr>
      </w:pPr>
      <w:r>
        <w:rPr>
          <w:rFonts w:hint="eastAsia" w:ascii="仿宋" w:hAnsi="仿宋" w:eastAsia="仿宋" w:cs="仿宋"/>
          <w:sz w:val="24"/>
        </w:rPr>
        <w:t xml:space="preserve">开户银行：                               开户银行： </w:t>
      </w:r>
    </w:p>
    <w:p w14:paraId="689BD086">
      <w:pPr>
        <w:pageBreakBefore w:val="0"/>
        <w:kinsoku/>
        <w:wordWrap/>
        <w:overflowPunct/>
        <w:topLinePunct w:val="0"/>
        <w:autoSpaceDE w:val="0"/>
        <w:autoSpaceDN w:val="0"/>
        <w:bidi w:val="0"/>
        <w:adjustRightInd w:val="0"/>
        <w:snapToGrid/>
        <w:spacing w:line="340" w:lineRule="exact"/>
        <w:textAlignment w:val="auto"/>
        <w:outlineLvl w:val="9"/>
        <w:rPr>
          <w:rFonts w:hint="eastAsia" w:ascii="仿宋" w:hAnsi="仿宋" w:eastAsia="仿宋" w:cs="仿宋"/>
          <w:sz w:val="24"/>
        </w:rPr>
      </w:pPr>
      <w:r>
        <w:rPr>
          <w:rFonts w:hint="eastAsia" w:ascii="仿宋" w:hAnsi="仿宋" w:eastAsia="仿宋" w:cs="仿宋"/>
          <w:sz w:val="24"/>
        </w:rPr>
        <w:t xml:space="preserve">开户名称：                               开户名称： </w:t>
      </w:r>
    </w:p>
    <w:p w14:paraId="424933EE">
      <w:pPr>
        <w:pageBreakBefore w:val="0"/>
        <w:kinsoku/>
        <w:wordWrap/>
        <w:overflowPunct/>
        <w:topLinePunct w:val="0"/>
        <w:autoSpaceDE w:val="0"/>
        <w:autoSpaceDN w:val="0"/>
        <w:bidi w:val="0"/>
        <w:adjustRightInd w:val="0"/>
        <w:snapToGrid/>
        <w:spacing w:line="340" w:lineRule="exact"/>
        <w:textAlignment w:val="auto"/>
        <w:outlineLvl w:val="9"/>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37998955">
      <w:pPr>
        <w:pageBreakBefore w:val="0"/>
        <w:widowControl/>
        <w:kinsoku/>
        <w:wordWrap/>
        <w:overflowPunct/>
        <w:topLinePunct w:val="0"/>
        <w:bidi w:val="0"/>
        <w:snapToGrid/>
        <w:spacing w:line="340" w:lineRule="exact"/>
        <w:jc w:val="left"/>
        <w:textAlignment w:val="auto"/>
        <w:outlineLvl w:val="9"/>
        <w:rPr>
          <w:rFonts w:hint="eastAsia" w:ascii="仿宋" w:hAnsi="仿宋" w:eastAsia="仿宋" w:cs="仿宋"/>
          <w:b/>
          <w:sz w:val="24"/>
        </w:rPr>
      </w:pPr>
      <w:bookmarkStart w:id="665" w:name="_Toc331685783"/>
    </w:p>
    <w:p w14:paraId="35FE9F56">
      <w:pPr>
        <w:pageBreakBefore w:val="0"/>
        <w:widowControl/>
        <w:kinsoku/>
        <w:wordWrap/>
        <w:overflowPunct/>
        <w:topLinePunct w:val="0"/>
        <w:bidi w:val="0"/>
        <w:snapToGrid/>
        <w:spacing w:line="340" w:lineRule="exact"/>
        <w:jc w:val="left"/>
        <w:textAlignment w:val="auto"/>
        <w:outlineLvl w:val="9"/>
        <w:rPr>
          <w:rFonts w:hint="eastAsia" w:ascii="仿宋" w:hAnsi="仿宋" w:eastAsia="仿宋" w:cs="仿宋"/>
          <w:b/>
          <w:sz w:val="24"/>
        </w:rPr>
      </w:pPr>
    </w:p>
    <w:p w14:paraId="0ABFE034">
      <w:pPr>
        <w:pStyle w:val="25"/>
        <w:pageBreakBefore w:val="0"/>
        <w:kinsoku/>
        <w:wordWrap/>
        <w:overflowPunct/>
        <w:topLinePunct w:val="0"/>
        <w:bidi w:val="0"/>
        <w:snapToGrid/>
        <w:spacing w:line="340" w:lineRule="exact"/>
        <w:ind w:firstLine="200"/>
        <w:jc w:val="center"/>
        <w:textAlignment w:val="auto"/>
        <w:outlineLvl w:val="9"/>
        <w:rPr>
          <w:rFonts w:hint="eastAsia" w:ascii="仿宋" w:hAnsi="仿宋" w:eastAsia="仿宋" w:cs="仿宋"/>
          <w:b/>
          <w:szCs w:val="24"/>
        </w:rPr>
      </w:pPr>
      <w:r>
        <w:rPr>
          <w:rFonts w:hint="eastAsia" w:ascii="仿宋" w:hAnsi="仿宋" w:eastAsia="仿宋" w:cs="仿宋"/>
          <w:b/>
          <w:szCs w:val="24"/>
        </w:rPr>
        <w:t>第二部分 合同一般条款</w:t>
      </w:r>
      <w:bookmarkEnd w:id="665"/>
    </w:p>
    <w:p w14:paraId="54C02295">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666" w:name="_Ref467378404"/>
      <w:bookmarkStart w:id="667" w:name="_Toc279701240"/>
      <w:bookmarkStart w:id="668" w:name="_Toc14021"/>
      <w:bookmarkStart w:id="669" w:name="_Ref467379195"/>
      <w:bookmarkStart w:id="670" w:name="_Toc25079"/>
      <w:bookmarkStart w:id="671" w:name="_Ref467378463"/>
      <w:bookmarkStart w:id="672" w:name="_Ref467379101"/>
      <w:bookmarkStart w:id="673" w:name="_Toc487900349"/>
      <w:bookmarkStart w:id="674" w:name="_Ref467379094"/>
      <w:bookmarkStart w:id="675" w:name="_Toc259093669"/>
      <w:bookmarkStart w:id="676" w:name="_Ref467378499"/>
      <w:bookmarkStart w:id="677" w:name="_Toc19680"/>
      <w:bookmarkStart w:id="678" w:name="_Toc5228"/>
      <w:bookmarkStart w:id="679" w:name="_Ref467379225"/>
      <w:bookmarkStart w:id="680" w:name="_Ref467379109"/>
      <w:bookmarkStart w:id="681" w:name="_Ref467379214"/>
      <w:bookmarkStart w:id="682" w:name="_Ref467379205"/>
      <w:bookmarkStart w:id="683" w:name="_Toc31297"/>
      <w:r>
        <w:rPr>
          <w:rFonts w:hint="eastAsia" w:ascii="仿宋" w:hAnsi="仿宋" w:eastAsia="仿宋" w:cs="仿宋"/>
          <w:b/>
          <w:sz w:val="24"/>
        </w:rPr>
        <w:t>2.1 定义</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47BEFC08">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本合同中的下列词语应按以下内容进行解释：</w:t>
      </w:r>
    </w:p>
    <w:p w14:paraId="1A86E2D6">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14:paraId="5A823FE8">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14:paraId="2370CF3E">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14:paraId="1D4D5740">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bookmarkStart w:id="684" w:name="_Ref467378840"/>
      <w:r>
        <w:rPr>
          <w:rFonts w:hint="eastAsia" w:ascii="仿宋" w:hAnsi="仿宋" w:eastAsia="仿宋" w:cs="仿宋"/>
          <w:sz w:val="24"/>
        </w:rPr>
        <w:t>2.1.4 “甲方”系指与中标供应商签署合同的采购人</w:t>
      </w:r>
      <w:bookmarkEnd w:id="684"/>
      <w:r>
        <w:rPr>
          <w:rFonts w:hint="eastAsia" w:ascii="仿宋" w:hAnsi="仿宋" w:eastAsia="仿宋" w:cs="仿宋"/>
          <w:sz w:val="24"/>
        </w:rPr>
        <w:t>；采购人委托采购代理机构代表其与乙方签订合同的，采购人的授权委托书作为合同附件。</w:t>
      </w:r>
    </w:p>
    <w:p w14:paraId="6DA6FDA0">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bookmarkStart w:id="685" w:name="_Ref467379400"/>
      <w:r>
        <w:rPr>
          <w:rFonts w:hint="eastAsia" w:ascii="仿宋" w:hAnsi="仿宋" w:eastAsia="仿宋" w:cs="仿宋"/>
          <w:sz w:val="24"/>
        </w:rPr>
        <w:t>2.1.5 “乙方”系指根据合同约定提供服务的中标供应商</w:t>
      </w:r>
      <w:bookmarkEnd w:id="685"/>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05247F1">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bookmarkStart w:id="686" w:name="_Ref467379436"/>
      <w:r>
        <w:rPr>
          <w:rFonts w:hint="eastAsia" w:ascii="仿宋" w:hAnsi="仿宋" w:eastAsia="仿宋" w:cs="仿宋"/>
          <w:sz w:val="24"/>
        </w:rPr>
        <w:t>2.1.6 “现场”系指合同约定提供服务的地点。</w:t>
      </w:r>
      <w:bookmarkEnd w:id="686"/>
    </w:p>
    <w:p w14:paraId="787E0AFD">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687" w:name="_Toc23289"/>
      <w:bookmarkStart w:id="688" w:name="_Toc487900350"/>
      <w:bookmarkStart w:id="689" w:name="_Toc279701241"/>
      <w:bookmarkStart w:id="690" w:name="_Toc19539"/>
      <w:bookmarkStart w:id="691" w:name="_Toc31402"/>
      <w:bookmarkStart w:id="692" w:name="_Toc259093670"/>
      <w:bookmarkStart w:id="693" w:name="_Toc3769"/>
      <w:bookmarkStart w:id="694" w:name="_Toc16752"/>
      <w:r>
        <w:rPr>
          <w:rFonts w:hint="eastAsia" w:ascii="仿宋" w:hAnsi="仿宋" w:eastAsia="仿宋" w:cs="仿宋"/>
          <w:b/>
          <w:sz w:val="24"/>
        </w:rPr>
        <w:t>2.2 技术规范</w:t>
      </w:r>
      <w:bookmarkEnd w:id="687"/>
      <w:bookmarkEnd w:id="688"/>
      <w:bookmarkEnd w:id="689"/>
      <w:bookmarkEnd w:id="690"/>
      <w:bookmarkEnd w:id="691"/>
      <w:bookmarkEnd w:id="692"/>
      <w:bookmarkEnd w:id="693"/>
      <w:bookmarkEnd w:id="694"/>
    </w:p>
    <w:p w14:paraId="4E668ACF">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736A4C7">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695" w:name="_Toc279701242"/>
      <w:bookmarkStart w:id="696" w:name="_Toc259093671"/>
      <w:bookmarkStart w:id="697" w:name="_Toc27945"/>
      <w:bookmarkStart w:id="698" w:name="_Toc12412"/>
      <w:bookmarkStart w:id="699" w:name="_Toc4133"/>
      <w:bookmarkStart w:id="700" w:name="_Toc9161"/>
      <w:bookmarkStart w:id="701" w:name="_Toc487900351"/>
      <w:bookmarkStart w:id="702" w:name="_Toc13673"/>
      <w:r>
        <w:rPr>
          <w:rFonts w:hint="eastAsia" w:ascii="仿宋" w:hAnsi="仿宋" w:eastAsia="仿宋" w:cs="仿宋"/>
          <w:b/>
          <w:sz w:val="24"/>
        </w:rPr>
        <w:t>2.3 知识产权</w:t>
      </w:r>
      <w:bookmarkEnd w:id="695"/>
      <w:bookmarkEnd w:id="696"/>
      <w:bookmarkEnd w:id="697"/>
      <w:bookmarkEnd w:id="698"/>
      <w:bookmarkEnd w:id="699"/>
      <w:bookmarkEnd w:id="700"/>
      <w:bookmarkEnd w:id="701"/>
      <w:bookmarkEnd w:id="702"/>
    </w:p>
    <w:p w14:paraId="201C21AC">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D1ECAB0">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39008905">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r>
        <w:rPr>
          <w:rFonts w:hint="eastAsia" w:ascii="仿宋" w:hAnsi="仿宋" w:eastAsia="仿宋" w:cs="仿宋"/>
          <w:b/>
          <w:sz w:val="24"/>
        </w:rPr>
        <w:t>2.4 履约检查和问题反馈</w:t>
      </w:r>
    </w:p>
    <w:p w14:paraId="5BF00968">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bookmarkStart w:id="703" w:name="_Ref467379657"/>
      <w:r>
        <w:rPr>
          <w:rFonts w:hint="eastAsia" w:ascii="仿宋" w:hAnsi="仿宋" w:eastAsia="仿宋" w:cs="仿宋"/>
          <w:sz w:val="24"/>
        </w:rPr>
        <w:t>2.4.1</w:t>
      </w:r>
      <w:bookmarkEnd w:id="703"/>
      <w:bookmarkStart w:id="704" w:name="_Toc186431854"/>
      <w:bookmarkStart w:id="705" w:name="_Toc259093676"/>
      <w:bookmarkStart w:id="706" w:name="_Toc487900357"/>
      <w:bookmarkStart w:id="707" w:name="_Ref467379807"/>
      <w:bookmarkStart w:id="708" w:name="_Ref467379793"/>
      <w:bookmarkStart w:id="709" w:name="_Toc279701247"/>
      <w:r>
        <w:rPr>
          <w:rFonts w:hint="eastAsia" w:ascii="仿宋" w:hAnsi="仿宋" w:eastAsia="仿宋" w:cs="仿宋"/>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41375B76">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bookmarkEnd w:id="704"/>
      <w:bookmarkStart w:id="710" w:name="_Toc186431855"/>
      <w:r>
        <w:rPr>
          <w:rFonts w:hint="eastAsia" w:ascii="仿宋" w:hAnsi="仿宋" w:eastAsia="仿宋" w:cs="仿宋"/>
          <w:sz w:val="24"/>
        </w:rPr>
        <w:t>。</w:t>
      </w:r>
    </w:p>
    <w:bookmarkEnd w:id="710"/>
    <w:p w14:paraId="7C32C5AF">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711" w:name="_Toc22011"/>
      <w:bookmarkStart w:id="712" w:name="_Toc26555"/>
      <w:bookmarkStart w:id="713" w:name="_Toc32670"/>
      <w:bookmarkStart w:id="714" w:name="_Toc15447"/>
      <w:bookmarkStart w:id="715" w:name="_Toc31233"/>
      <w:r>
        <w:rPr>
          <w:rFonts w:hint="eastAsia" w:ascii="仿宋" w:hAnsi="仿宋" w:eastAsia="仿宋" w:cs="仿宋"/>
          <w:b/>
          <w:sz w:val="24"/>
        </w:rPr>
        <w:t>2.5 结算方式和付款条件</w:t>
      </w:r>
      <w:bookmarkEnd w:id="705"/>
      <w:bookmarkEnd w:id="706"/>
      <w:bookmarkEnd w:id="707"/>
      <w:bookmarkEnd w:id="708"/>
      <w:bookmarkEnd w:id="709"/>
      <w:bookmarkEnd w:id="711"/>
      <w:bookmarkEnd w:id="712"/>
      <w:bookmarkEnd w:id="713"/>
      <w:bookmarkEnd w:id="714"/>
      <w:bookmarkEnd w:id="715"/>
    </w:p>
    <w:p w14:paraId="7531A1AE">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34B29A00">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716" w:name="_Ref467379852"/>
      <w:bookmarkStart w:id="717" w:name="_Toc279701248"/>
      <w:bookmarkStart w:id="718" w:name="_Toc487900358"/>
      <w:bookmarkStart w:id="719" w:name="_Toc259093677"/>
      <w:bookmarkStart w:id="720" w:name="_Ref467379863"/>
      <w:bookmarkStart w:id="721" w:name="_Ref467379923"/>
      <w:bookmarkStart w:id="722" w:name="_Toc13467"/>
      <w:bookmarkStart w:id="723" w:name="_Toc13154"/>
      <w:bookmarkStart w:id="724" w:name="_Toc18990"/>
      <w:bookmarkStart w:id="725" w:name="_Toc30507"/>
      <w:bookmarkStart w:id="726" w:name="_Toc16163"/>
      <w:r>
        <w:rPr>
          <w:rFonts w:hint="eastAsia" w:ascii="仿宋" w:hAnsi="仿宋" w:eastAsia="仿宋" w:cs="仿宋"/>
          <w:b/>
          <w:sz w:val="24"/>
        </w:rPr>
        <w:t>2.6 技术资料</w:t>
      </w:r>
      <w:bookmarkEnd w:id="716"/>
      <w:bookmarkEnd w:id="717"/>
      <w:bookmarkEnd w:id="718"/>
      <w:bookmarkEnd w:id="719"/>
      <w:bookmarkEnd w:id="720"/>
      <w:bookmarkEnd w:id="721"/>
      <w:r>
        <w:rPr>
          <w:rFonts w:hint="eastAsia" w:ascii="仿宋" w:hAnsi="仿宋" w:eastAsia="仿宋" w:cs="仿宋"/>
          <w:b/>
          <w:sz w:val="24"/>
        </w:rPr>
        <w:t>和保密义务</w:t>
      </w:r>
      <w:bookmarkEnd w:id="722"/>
      <w:bookmarkEnd w:id="723"/>
      <w:bookmarkEnd w:id="724"/>
      <w:bookmarkEnd w:id="725"/>
      <w:bookmarkEnd w:id="726"/>
    </w:p>
    <w:p w14:paraId="16554802">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3AFB7EFB">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7D4D3ECA">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15A8BED">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727" w:name="_Toc19069"/>
      <w:bookmarkStart w:id="728" w:name="_Toc487900362"/>
      <w:bookmarkStart w:id="729" w:name="_Toc279701252"/>
      <w:bookmarkStart w:id="730" w:name="_Toc259093681"/>
      <w:r>
        <w:rPr>
          <w:rFonts w:hint="eastAsia" w:ascii="仿宋" w:hAnsi="仿宋" w:eastAsia="仿宋" w:cs="仿宋"/>
          <w:b/>
          <w:sz w:val="24"/>
        </w:rPr>
        <w:t>2.7 质量保证</w:t>
      </w:r>
      <w:bookmarkEnd w:id="727"/>
    </w:p>
    <w:p w14:paraId="28988252">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679A8C71">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11B83EF0">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731" w:name="_Toc22267"/>
      <w:r>
        <w:rPr>
          <w:rFonts w:hint="eastAsia" w:ascii="仿宋" w:hAnsi="仿宋" w:eastAsia="仿宋" w:cs="仿宋"/>
          <w:b/>
          <w:sz w:val="24"/>
        </w:rPr>
        <w:t>2.8 延迟</w:t>
      </w:r>
      <w:bookmarkEnd w:id="728"/>
      <w:bookmarkEnd w:id="729"/>
      <w:bookmarkEnd w:id="730"/>
      <w:r>
        <w:rPr>
          <w:rFonts w:hint="eastAsia" w:ascii="仿宋" w:hAnsi="仿宋" w:eastAsia="仿宋" w:cs="仿宋"/>
          <w:b/>
          <w:sz w:val="24"/>
        </w:rPr>
        <w:t>履行</w:t>
      </w:r>
      <w:bookmarkEnd w:id="731"/>
    </w:p>
    <w:p w14:paraId="379B9E32">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1846196">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732" w:name="_Toc10611"/>
      <w:bookmarkStart w:id="733" w:name="_Toc279701254"/>
      <w:bookmarkStart w:id="734" w:name="_Ref467378121"/>
      <w:bookmarkStart w:id="735" w:name="_Toc487900364"/>
      <w:bookmarkStart w:id="736" w:name="_Toc259093683"/>
      <w:r>
        <w:rPr>
          <w:rFonts w:hint="eastAsia" w:ascii="仿宋" w:hAnsi="仿宋" w:eastAsia="仿宋" w:cs="仿宋"/>
          <w:b/>
          <w:sz w:val="24"/>
        </w:rPr>
        <w:t>2.9 合同变更</w:t>
      </w:r>
      <w:bookmarkEnd w:id="732"/>
    </w:p>
    <w:p w14:paraId="5C4CB6E3">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7AB16394">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2.9.2 合同继续履行将损害国家利益和社会公共利益的，双方当事人应当以书面形式变更合同。有过错的一方应当承担赔偿责任，双方当事人都有过错的，各自承担相应的责任。</w:t>
      </w:r>
      <w:bookmarkStart w:id="737" w:name="_Toc487900369"/>
      <w:bookmarkStart w:id="738" w:name="_Toc279701259"/>
      <w:bookmarkStart w:id="739" w:name="_Toc259093688"/>
    </w:p>
    <w:p w14:paraId="6CC33E30">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740" w:name="_Toc21830"/>
      <w:bookmarkStart w:id="741" w:name="_Toc10663"/>
      <w:bookmarkStart w:id="742" w:name="_Toc26689"/>
      <w:bookmarkStart w:id="743" w:name="_Toc23368"/>
      <w:bookmarkStart w:id="744" w:name="_Toc42"/>
      <w:r>
        <w:rPr>
          <w:rFonts w:hint="eastAsia" w:ascii="仿宋" w:hAnsi="仿宋" w:eastAsia="仿宋" w:cs="仿宋"/>
          <w:b/>
          <w:sz w:val="24"/>
        </w:rPr>
        <w:t>2.10 合同转让</w:t>
      </w:r>
      <w:bookmarkEnd w:id="737"/>
      <w:bookmarkEnd w:id="738"/>
      <w:bookmarkEnd w:id="739"/>
      <w:r>
        <w:rPr>
          <w:rFonts w:hint="eastAsia" w:ascii="仿宋" w:hAnsi="仿宋" w:eastAsia="仿宋" w:cs="仿宋"/>
          <w:b/>
          <w:sz w:val="24"/>
        </w:rPr>
        <w:t>和分包</w:t>
      </w:r>
      <w:bookmarkEnd w:id="740"/>
      <w:bookmarkEnd w:id="741"/>
      <w:bookmarkEnd w:id="742"/>
      <w:bookmarkEnd w:id="743"/>
      <w:bookmarkEnd w:id="744"/>
    </w:p>
    <w:p w14:paraId="58616410">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68816E0">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745" w:name="_Toc25571"/>
      <w:bookmarkStart w:id="746" w:name="_Toc14371"/>
      <w:bookmarkStart w:id="747" w:name="_Toc32494"/>
      <w:bookmarkStart w:id="748" w:name="_Toc4720"/>
      <w:bookmarkStart w:id="749" w:name="_Toc26633"/>
      <w:r>
        <w:rPr>
          <w:rFonts w:hint="eastAsia" w:ascii="仿宋" w:hAnsi="仿宋" w:eastAsia="仿宋" w:cs="仿宋"/>
          <w:b/>
          <w:sz w:val="24"/>
        </w:rPr>
        <w:t>2.11 不可抗力</w:t>
      </w:r>
      <w:bookmarkEnd w:id="745"/>
      <w:bookmarkEnd w:id="746"/>
      <w:bookmarkEnd w:id="747"/>
      <w:bookmarkEnd w:id="748"/>
      <w:bookmarkEnd w:id="749"/>
    </w:p>
    <w:p w14:paraId="7C8FD135">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30315411">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74BB98C5">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0E4C1DDE">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6DE0AA45">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750" w:name="_Toc24465"/>
      <w:bookmarkStart w:id="751" w:name="_Toc3638"/>
      <w:bookmarkStart w:id="752" w:name="_Toc487900365"/>
      <w:bookmarkStart w:id="753" w:name="_Toc14115"/>
      <w:bookmarkStart w:id="754" w:name="_Toc259093684"/>
      <w:bookmarkStart w:id="755" w:name="_Toc279701255"/>
      <w:bookmarkStart w:id="756" w:name="_Toc25783"/>
      <w:bookmarkStart w:id="757" w:name="_Toc23854"/>
      <w:r>
        <w:rPr>
          <w:rFonts w:hint="eastAsia" w:ascii="仿宋" w:hAnsi="仿宋" w:eastAsia="仿宋" w:cs="仿宋"/>
          <w:b/>
          <w:sz w:val="24"/>
        </w:rPr>
        <w:t>2.12 税费</w:t>
      </w:r>
      <w:bookmarkEnd w:id="750"/>
      <w:bookmarkEnd w:id="751"/>
      <w:bookmarkEnd w:id="752"/>
      <w:bookmarkEnd w:id="753"/>
      <w:bookmarkEnd w:id="754"/>
      <w:bookmarkEnd w:id="755"/>
      <w:bookmarkEnd w:id="756"/>
      <w:bookmarkEnd w:id="757"/>
    </w:p>
    <w:p w14:paraId="7D937F7A">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306C7D12">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758" w:name="_Toc487900368"/>
      <w:bookmarkStart w:id="759" w:name="_Toc259093687"/>
      <w:bookmarkStart w:id="760" w:name="_Toc26883"/>
      <w:bookmarkStart w:id="761" w:name="_Toc14814"/>
      <w:bookmarkStart w:id="762" w:name="_Toc25525"/>
      <w:bookmarkStart w:id="763" w:name="_Toc30105"/>
      <w:bookmarkStart w:id="764" w:name="_Toc7315"/>
      <w:bookmarkStart w:id="765" w:name="_Toc279701258"/>
      <w:r>
        <w:rPr>
          <w:rFonts w:hint="eastAsia" w:ascii="仿宋" w:hAnsi="仿宋" w:eastAsia="仿宋" w:cs="仿宋"/>
          <w:b/>
          <w:sz w:val="24"/>
        </w:rPr>
        <w:t>2.13 乙方破产</w:t>
      </w:r>
      <w:bookmarkEnd w:id="758"/>
      <w:bookmarkEnd w:id="759"/>
      <w:bookmarkEnd w:id="760"/>
      <w:bookmarkEnd w:id="761"/>
      <w:bookmarkEnd w:id="762"/>
      <w:bookmarkEnd w:id="763"/>
      <w:bookmarkEnd w:id="764"/>
      <w:bookmarkEnd w:id="765"/>
    </w:p>
    <w:p w14:paraId="7A056705">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417A4EA">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766" w:name="_Toc1123"/>
      <w:bookmarkStart w:id="767" w:name="_Toc2016"/>
      <w:bookmarkStart w:id="768" w:name="_Toc23323"/>
      <w:r>
        <w:rPr>
          <w:rFonts w:hint="eastAsia" w:ascii="仿宋" w:hAnsi="仿宋" w:eastAsia="仿宋" w:cs="仿宋"/>
          <w:b/>
          <w:sz w:val="24"/>
        </w:rPr>
        <w:t>2.14 合同中止、终止</w:t>
      </w:r>
      <w:bookmarkEnd w:id="766"/>
      <w:bookmarkEnd w:id="767"/>
      <w:bookmarkEnd w:id="768"/>
    </w:p>
    <w:p w14:paraId="38D41132">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2.14.1 双方当事人不得擅自中止或者终止合同；</w:t>
      </w:r>
    </w:p>
    <w:p w14:paraId="1C891B17">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0AD5D1CE">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769" w:name="_Toc14525"/>
      <w:bookmarkStart w:id="770" w:name="_Toc17363"/>
      <w:bookmarkStart w:id="771" w:name="_Toc1969"/>
      <w:r>
        <w:rPr>
          <w:rFonts w:hint="eastAsia" w:ascii="仿宋" w:hAnsi="仿宋" w:eastAsia="仿宋" w:cs="仿宋"/>
          <w:b/>
          <w:sz w:val="24"/>
        </w:rPr>
        <w:t>2.15 检验和验收</w:t>
      </w:r>
      <w:bookmarkEnd w:id="769"/>
      <w:bookmarkEnd w:id="770"/>
      <w:bookmarkEnd w:id="771"/>
    </w:p>
    <w:p w14:paraId="200CC710">
      <w:pPr>
        <w:pageBreakBefore w:val="0"/>
        <w:tabs>
          <w:tab w:val="left" w:pos="360"/>
          <w:tab w:val="left" w:pos="540"/>
          <w:tab w:val="left" w:pos="1080"/>
        </w:tabs>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31E1C68F">
      <w:pPr>
        <w:pageBreakBefore w:val="0"/>
        <w:tabs>
          <w:tab w:val="left" w:pos="360"/>
          <w:tab w:val="left" w:pos="540"/>
          <w:tab w:val="left" w:pos="1080"/>
        </w:tabs>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11A085E">
      <w:pPr>
        <w:pageBreakBefore w:val="0"/>
        <w:tabs>
          <w:tab w:val="left" w:pos="360"/>
          <w:tab w:val="left" w:pos="540"/>
          <w:tab w:val="left" w:pos="1080"/>
        </w:tabs>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733"/>
    <w:bookmarkEnd w:id="734"/>
    <w:bookmarkEnd w:id="735"/>
    <w:bookmarkEnd w:id="736"/>
    <w:p w14:paraId="7281A1F2">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772" w:name="_Toc279701261"/>
      <w:bookmarkStart w:id="773" w:name="_Toc259093690"/>
      <w:bookmarkStart w:id="774" w:name="_Toc487900371"/>
      <w:bookmarkStart w:id="775" w:name="_Toc25198"/>
      <w:bookmarkStart w:id="776" w:name="_Toc2308"/>
      <w:bookmarkStart w:id="777" w:name="_Toc12666"/>
      <w:bookmarkStart w:id="778" w:name="_Toc31892"/>
      <w:bookmarkStart w:id="779" w:name="_Toc9808"/>
      <w:r>
        <w:rPr>
          <w:rFonts w:hint="eastAsia" w:ascii="仿宋" w:hAnsi="仿宋" w:eastAsia="仿宋" w:cs="仿宋"/>
          <w:b/>
          <w:sz w:val="24"/>
        </w:rPr>
        <w:t>2.16 通知</w:t>
      </w:r>
      <w:bookmarkEnd w:id="772"/>
      <w:bookmarkEnd w:id="773"/>
      <w:bookmarkEnd w:id="774"/>
      <w:r>
        <w:rPr>
          <w:rFonts w:hint="eastAsia" w:ascii="仿宋" w:hAnsi="仿宋" w:eastAsia="仿宋" w:cs="仿宋"/>
          <w:b/>
          <w:sz w:val="24"/>
        </w:rPr>
        <w:t>和送达</w:t>
      </w:r>
      <w:bookmarkEnd w:id="775"/>
      <w:bookmarkEnd w:id="776"/>
      <w:bookmarkEnd w:id="777"/>
      <w:bookmarkEnd w:id="778"/>
      <w:bookmarkEnd w:id="779"/>
    </w:p>
    <w:p w14:paraId="30DE56F4">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bookmarkStart w:id="780" w:name="_Toc7073"/>
      <w:bookmarkStart w:id="781" w:name="_Toc29220"/>
      <w:bookmarkStart w:id="782" w:name="_Toc279701262"/>
      <w:bookmarkStart w:id="783" w:name="_Toc259093691"/>
      <w:bookmarkStart w:id="784" w:name="_Toc487900372"/>
      <w:r>
        <w:rPr>
          <w:rFonts w:hint="eastAsia" w:ascii="仿宋" w:hAnsi="仿宋" w:eastAsia="仿宋" w:cs="仿宋"/>
          <w:sz w:val="24"/>
        </w:rPr>
        <w:t>2.16.1 任何一方因履行合同而以合同第一部分尾部所列明的</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 xml:space="preserve">   </w:t>
      </w:r>
      <w:r>
        <w:rPr>
          <w:rFonts w:hint="eastAsia" w:ascii="仿宋" w:hAnsi="仿宋" w:eastAsia="仿宋" w:cs="仿宋"/>
          <w:sz w:val="24"/>
        </w:rPr>
        <w:t>个工作日内书面通知对方当事人，在对方当事人收到有关变更通知之前，变更前的约定送达方式或者地址仍视为有效。</w:t>
      </w:r>
      <w:bookmarkEnd w:id="780"/>
      <w:bookmarkEnd w:id="781"/>
    </w:p>
    <w:p w14:paraId="09B950F5">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bookmarkStart w:id="785" w:name="_Toc27674"/>
      <w:bookmarkStart w:id="786" w:name="_Toc18401"/>
      <w:r>
        <w:rPr>
          <w:rFonts w:hint="eastAsia" w:ascii="仿宋" w:hAnsi="仿宋" w:eastAsia="仿宋" w:cs="仿宋"/>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785"/>
      <w:bookmarkEnd w:id="786"/>
    </w:p>
    <w:bookmarkEnd w:id="782"/>
    <w:bookmarkEnd w:id="783"/>
    <w:bookmarkEnd w:id="784"/>
    <w:p w14:paraId="23658D41">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787" w:name="_Toc20808"/>
      <w:bookmarkStart w:id="788" w:name="_Toc27644"/>
      <w:bookmarkStart w:id="789" w:name="_Toc5063"/>
      <w:bookmarkStart w:id="790" w:name="_Toc279701263"/>
      <w:bookmarkStart w:id="791" w:name="_Toc12254"/>
      <w:bookmarkStart w:id="792" w:name="_Toc28906"/>
      <w:bookmarkStart w:id="793" w:name="_Toc487900373"/>
      <w:bookmarkStart w:id="794" w:name="_Toc259093692"/>
      <w:r>
        <w:rPr>
          <w:rFonts w:hint="eastAsia" w:ascii="仿宋" w:hAnsi="仿宋" w:eastAsia="仿宋" w:cs="仿宋"/>
          <w:b/>
          <w:sz w:val="24"/>
        </w:rPr>
        <w:t>2.17 合同使用的文字和适用的法律</w:t>
      </w:r>
      <w:bookmarkEnd w:id="787"/>
      <w:bookmarkEnd w:id="788"/>
      <w:bookmarkEnd w:id="789"/>
      <w:bookmarkEnd w:id="790"/>
      <w:bookmarkEnd w:id="791"/>
      <w:bookmarkEnd w:id="792"/>
      <w:bookmarkEnd w:id="793"/>
      <w:bookmarkEnd w:id="794"/>
    </w:p>
    <w:p w14:paraId="6FEEF327">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2.17.1 合同使用汉语书就、变更和解释；</w:t>
      </w:r>
    </w:p>
    <w:p w14:paraId="13E01919">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2.17.2 合同适用中华人民共和国法律。</w:t>
      </w:r>
    </w:p>
    <w:p w14:paraId="2E4F9FF3">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bookmarkStart w:id="795" w:name="_Toc27403"/>
      <w:bookmarkStart w:id="796" w:name="_Toc1492"/>
      <w:bookmarkStart w:id="797" w:name="_Toc30096"/>
      <w:bookmarkStart w:id="798" w:name="_Toc259093693"/>
      <w:bookmarkStart w:id="799" w:name="_Toc22266"/>
      <w:bookmarkStart w:id="800" w:name="_Toc27127"/>
      <w:bookmarkStart w:id="801" w:name="_Toc279701264"/>
      <w:bookmarkStart w:id="802" w:name="_Toc487900374"/>
      <w:r>
        <w:rPr>
          <w:rFonts w:hint="eastAsia" w:ascii="仿宋" w:hAnsi="仿宋" w:eastAsia="仿宋" w:cs="仿宋"/>
          <w:b/>
          <w:sz w:val="24"/>
        </w:rPr>
        <w:t>2.18 履约保证金</w:t>
      </w:r>
      <w:bookmarkEnd w:id="795"/>
      <w:bookmarkEnd w:id="796"/>
      <w:bookmarkEnd w:id="797"/>
      <w:bookmarkEnd w:id="798"/>
      <w:bookmarkEnd w:id="799"/>
      <w:bookmarkEnd w:id="800"/>
      <w:bookmarkEnd w:id="801"/>
    </w:p>
    <w:p w14:paraId="68E21E7E">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2.18.1 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约定的方式，以支票、汇票、本票或者金融机构、担保机构出具的保函等非现金形式，提交不超过合同价10%的履约保证金；</w:t>
      </w:r>
    </w:p>
    <w:p w14:paraId="0931929F">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2.18.2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约定期间内不予退还或者应完全有效，前述约定期间届满之日起</w:t>
      </w:r>
      <w:r>
        <w:rPr>
          <w:rFonts w:hint="eastAsia" w:ascii="仿宋" w:hAnsi="仿宋" w:eastAsia="仿宋" w:cs="仿宋"/>
          <w:sz w:val="24"/>
          <w:u w:val="single"/>
        </w:rPr>
        <w:t xml:space="preserve">    </w:t>
      </w:r>
      <w:r>
        <w:rPr>
          <w:rFonts w:hint="eastAsia" w:ascii="仿宋" w:hAnsi="仿宋" w:eastAsia="仿宋" w:cs="仿宋"/>
          <w:sz w:val="24"/>
        </w:rPr>
        <w:t>个工作日内，甲方应将履约保证金退还乙方；</w:t>
      </w:r>
    </w:p>
    <w:p w14:paraId="5CE09C77">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802"/>
    <w:p w14:paraId="3EFDAE06">
      <w:pPr>
        <w:pageBreakBefore w:val="0"/>
        <w:kinsoku/>
        <w:wordWrap/>
        <w:overflowPunct/>
        <w:topLinePunct w:val="0"/>
        <w:bidi w:val="0"/>
        <w:snapToGrid/>
        <w:spacing w:line="340" w:lineRule="exact"/>
        <w:ind w:firstLine="482" w:firstLineChars="200"/>
        <w:textAlignment w:val="auto"/>
        <w:outlineLvl w:val="9"/>
        <w:rPr>
          <w:rFonts w:hint="eastAsia" w:ascii="仿宋" w:hAnsi="仿宋" w:eastAsia="仿宋" w:cs="仿宋"/>
          <w:b/>
          <w:sz w:val="24"/>
        </w:rPr>
      </w:pPr>
      <w:r>
        <w:rPr>
          <w:rFonts w:hint="eastAsia" w:ascii="仿宋" w:hAnsi="仿宋" w:eastAsia="仿宋" w:cs="仿宋"/>
          <w:b/>
          <w:sz w:val="24"/>
        </w:rPr>
        <w:t>2.19 合同份数</w:t>
      </w:r>
    </w:p>
    <w:p w14:paraId="3C7E3135">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3DFCEDB7">
      <w:pPr>
        <w:pStyle w:val="25"/>
        <w:pageBreakBefore w:val="0"/>
        <w:kinsoku/>
        <w:wordWrap/>
        <w:overflowPunct/>
        <w:topLinePunct w:val="0"/>
        <w:bidi w:val="0"/>
        <w:snapToGrid/>
        <w:spacing w:line="340" w:lineRule="exact"/>
        <w:ind w:firstLine="0"/>
        <w:jc w:val="both"/>
        <w:textAlignment w:val="auto"/>
        <w:outlineLvl w:val="9"/>
        <w:rPr>
          <w:rFonts w:hint="eastAsia" w:ascii="仿宋" w:hAnsi="仿宋" w:eastAsia="仿宋" w:cs="仿宋"/>
          <w:b/>
          <w:szCs w:val="24"/>
        </w:rPr>
      </w:pPr>
      <w:bookmarkStart w:id="803" w:name="_Toc331685784"/>
      <w:r>
        <w:rPr>
          <w:rFonts w:hint="eastAsia" w:ascii="仿宋" w:hAnsi="仿宋" w:eastAsia="仿宋" w:cs="仿宋"/>
          <w:b/>
          <w:szCs w:val="24"/>
        </w:rPr>
        <w:t>第三部分  合同专用条款</w:t>
      </w:r>
      <w:bookmarkEnd w:id="803"/>
    </w:p>
    <w:p w14:paraId="3B0CF46B">
      <w:pPr>
        <w:pageBreakBefore w:val="0"/>
        <w:kinsoku/>
        <w:wordWrap/>
        <w:overflowPunct/>
        <w:topLinePunct w:val="0"/>
        <w:bidi w:val="0"/>
        <w:snapToGrid/>
        <w:spacing w:line="3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2B463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178233F9">
            <w:pPr>
              <w:pageBreakBefore w:val="0"/>
              <w:kinsoku/>
              <w:wordWrap/>
              <w:overflowPunct/>
              <w:topLinePunct w:val="0"/>
              <w:bidi w:val="0"/>
              <w:snapToGrid/>
              <w:spacing w:line="340" w:lineRule="exact"/>
              <w:jc w:val="center"/>
              <w:textAlignment w:val="auto"/>
              <w:outlineLvl w:val="9"/>
              <w:rPr>
                <w:rFonts w:hint="eastAsia" w:ascii="仿宋" w:hAnsi="仿宋" w:eastAsia="仿宋" w:cs="仿宋"/>
                <w:b/>
                <w:sz w:val="24"/>
              </w:rPr>
            </w:pPr>
            <w:r>
              <w:rPr>
                <w:rFonts w:hint="eastAsia" w:ascii="仿宋" w:hAnsi="仿宋" w:eastAsia="仿宋" w:cs="仿宋"/>
                <w:b/>
                <w:sz w:val="24"/>
              </w:rPr>
              <w:t>条款号</w:t>
            </w:r>
          </w:p>
        </w:tc>
        <w:tc>
          <w:tcPr>
            <w:tcW w:w="7633" w:type="dxa"/>
            <w:noWrap w:val="0"/>
            <w:vAlign w:val="center"/>
          </w:tcPr>
          <w:p w14:paraId="0E38AA58">
            <w:pPr>
              <w:pageBreakBefore w:val="0"/>
              <w:kinsoku/>
              <w:wordWrap/>
              <w:overflowPunct/>
              <w:topLinePunct w:val="0"/>
              <w:bidi w:val="0"/>
              <w:snapToGrid/>
              <w:spacing w:line="340" w:lineRule="exact"/>
              <w:jc w:val="center"/>
              <w:textAlignment w:val="auto"/>
              <w:outlineLvl w:val="9"/>
              <w:rPr>
                <w:rFonts w:hint="eastAsia" w:ascii="仿宋" w:hAnsi="仿宋" w:eastAsia="仿宋" w:cs="仿宋"/>
                <w:b/>
                <w:sz w:val="24"/>
              </w:rPr>
            </w:pPr>
            <w:r>
              <w:rPr>
                <w:rFonts w:hint="eastAsia" w:ascii="仿宋" w:hAnsi="仿宋" w:eastAsia="仿宋" w:cs="仿宋"/>
                <w:b/>
                <w:sz w:val="24"/>
              </w:rPr>
              <w:t>约定内容</w:t>
            </w:r>
          </w:p>
        </w:tc>
      </w:tr>
      <w:tr w14:paraId="21A1C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6DDEBE87">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c>
          <w:tcPr>
            <w:tcW w:w="7633" w:type="dxa"/>
            <w:noWrap w:val="0"/>
            <w:vAlign w:val="center"/>
          </w:tcPr>
          <w:p w14:paraId="05B16402">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r>
      <w:tr w14:paraId="5AD24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77AD025">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c>
          <w:tcPr>
            <w:tcW w:w="7633" w:type="dxa"/>
            <w:noWrap w:val="0"/>
            <w:vAlign w:val="center"/>
          </w:tcPr>
          <w:p w14:paraId="1960A58A">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r>
      <w:tr w14:paraId="0743A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4CF9CE7">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c>
          <w:tcPr>
            <w:tcW w:w="7633" w:type="dxa"/>
            <w:noWrap w:val="0"/>
            <w:vAlign w:val="center"/>
          </w:tcPr>
          <w:p w14:paraId="0E11379C">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r>
      <w:tr w14:paraId="1BD4B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E576877">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c>
          <w:tcPr>
            <w:tcW w:w="7633" w:type="dxa"/>
            <w:noWrap w:val="0"/>
            <w:vAlign w:val="center"/>
          </w:tcPr>
          <w:p w14:paraId="206D5FBA">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r>
      <w:tr w14:paraId="1D819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D4A7C5C">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c>
          <w:tcPr>
            <w:tcW w:w="7633" w:type="dxa"/>
            <w:noWrap w:val="0"/>
            <w:vAlign w:val="center"/>
          </w:tcPr>
          <w:p w14:paraId="4A353F75">
            <w:pPr>
              <w:pageBreakBefore w:val="0"/>
              <w:kinsoku/>
              <w:wordWrap/>
              <w:overflowPunct/>
              <w:topLinePunct w:val="0"/>
              <w:bidi w:val="0"/>
              <w:snapToGrid/>
              <w:spacing w:line="340" w:lineRule="exact"/>
              <w:textAlignment w:val="auto"/>
              <w:outlineLvl w:val="9"/>
              <w:rPr>
                <w:rFonts w:hint="eastAsia" w:ascii="仿宋" w:hAnsi="仿宋" w:eastAsia="仿宋" w:cs="仿宋"/>
                <w:sz w:val="24"/>
                <w:u w:val="single"/>
              </w:rPr>
            </w:pPr>
          </w:p>
        </w:tc>
      </w:tr>
      <w:tr w14:paraId="5906B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135E0B0">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c>
          <w:tcPr>
            <w:tcW w:w="7633" w:type="dxa"/>
            <w:noWrap w:val="0"/>
            <w:vAlign w:val="center"/>
          </w:tcPr>
          <w:p w14:paraId="32E81854">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r>
      <w:tr w14:paraId="7BE21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ECDEC53">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c>
          <w:tcPr>
            <w:tcW w:w="7633" w:type="dxa"/>
            <w:noWrap w:val="0"/>
            <w:vAlign w:val="center"/>
          </w:tcPr>
          <w:p w14:paraId="4572E1B9">
            <w:pPr>
              <w:pageBreakBefore w:val="0"/>
              <w:kinsoku/>
              <w:wordWrap/>
              <w:overflowPunct/>
              <w:topLinePunct w:val="0"/>
              <w:bidi w:val="0"/>
              <w:snapToGrid/>
              <w:spacing w:line="340" w:lineRule="exact"/>
              <w:textAlignment w:val="auto"/>
              <w:outlineLvl w:val="9"/>
              <w:rPr>
                <w:rFonts w:hint="eastAsia" w:ascii="仿宋" w:hAnsi="仿宋" w:eastAsia="仿宋" w:cs="仿宋"/>
                <w:sz w:val="24"/>
                <w:u w:val="single"/>
              </w:rPr>
            </w:pPr>
          </w:p>
        </w:tc>
      </w:tr>
      <w:tr w14:paraId="6727E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CA41A99">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c>
          <w:tcPr>
            <w:tcW w:w="7633" w:type="dxa"/>
            <w:noWrap w:val="0"/>
            <w:vAlign w:val="center"/>
          </w:tcPr>
          <w:p w14:paraId="7A5AA9C6">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r>
      <w:tr w14:paraId="45C1C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24E502BF">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c>
          <w:tcPr>
            <w:tcW w:w="7633" w:type="dxa"/>
            <w:noWrap w:val="0"/>
            <w:vAlign w:val="center"/>
          </w:tcPr>
          <w:p w14:paraId="1746FF56">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r>
      <w:tr w14:paraId="2891B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5610533">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c>
          <w:tcPr>
            <w:tcW w:w="7633" w:type="dxa"/>
            <w:noWrap w:val="0"/>
            <w:vAlign w:val="center"/>
          </w:tcPr>
          <w:p w14:paraId="5857838D">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r>
      <w:tr w14:paraId="5E5BC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49C5945">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c>
          <w:tcPr>
            <w:tcW w:w="7633" w:type="dxa"/>
            <w:noWrap w:val="0"/>
            <w:vAlign w:val="center"/>
          </w:tcPr>
          <w:p w14:paraId="3C834724">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r>
      <w:tr w14:paraId="4A92B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68FE2AD">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c>
          <w:tcPr>
            <w:tcW w:w="7633" w:type="dxa"/>
            <w:noWrap w:val="0"/>
            <w:vAlign w:val="center"/>
          </w:tcPr>
          <w:p w14:paraId="09738A50">
            <w:pPr>
              <w:pageBreakBefore w:val="0"/>
              <w:kinsoku/>
              <w:wordWrap/>
              <w:overflowPunct/>
              <w:topLinePunct w:val="0"/>
              <w:bidi w:val="0"/>
              <w:snapToGrid/>
              <w:spacing w:line="340" w:lineRule="exact"/>
              <w:textAlignment w:val="auto"/>
              <w:outlineLvl w:val="9"/>
              <w:rPr>
                <w:rFonts w:hint="eastAsia" w:ascii="仿宋" w:hAnsi="仿宋" w:eastAsia="仿宋" w:cs="仿宋"/>
                <w:sz w:val="24"/>
              </w:rPr>
            </w:pPr>
          </w:p>
        </w:tc>
      </w:tr>
    </w:tbl>
    <w:p w14:paraId="1C07D037">
      <w:pPr>
        <w:pageBreakBefore w:val="0"/>
        <w:kinsoku/>
        <w:wordWrap/>
        <w:overflowPunct/>
        <w:topLinePunct w:val="0"/>
        <w:bidi w:val="0"/>
        <w:snapToGrid/>
        <w:spacing w:after="156" w:line="340" w:lineRule="exact"/>
        <w:ind w:firstLine="480"/>
        <w:textAlignment w:val="auto"/>
        <w:outlineLvl w:val="9"/>
        <w:rPr>
          <w:rFonts w:hint="eastAsia" w:ascii="仿宋" w:hAnsi="仿宋" w:eastAsia="仿宋" w:cs="仿宋"/>
          <w:sz w:val="24"/>
        </w:rPr>
      </w:pPr>
    </w:p>
    <w:p w14:paraId="50AE02AF">
      <w:pPr>
        <w:pageBreakBefore w:val="0"/>
        <w:kinsoku/>
        <w:wordWrap/>
        <w:overflowPunct/>
        <w:topLinePunct w:val="0"/>
        <w:bidi w:val="0"/>
        <w:snapToGrid/>
        <w:spacing w:before="0" w:line="340" w:lineRule="exact"/>
        <w:ind w:left="1080" w:leftChars="257" w:hanging="540"/>
        <w:textAlignment w:val="auto"/>
        <w:outlineLvl w:val="9"/>
        <w:rPr>
          <w:rFonts w:hint="eastAsia" w:ascii="仿宋_GB2312" w:hAnsi="仿宋_GB2312" w:eastAsia="仿宋_GB2312" w:cs="仿宋_GB2312"/>
          <w:sz w:val="24"/>
          <w:szCs w:val="24"/>
        </w:rPr>
      </w:pPr>
    </w:p>
    <w:p w14:paraId="493B85FC">
      <w:pPr>
        <w:pageBreakBefore w:val="0"/>
        <w:kinsoku/>
        <w:wordWrap/>
        <w:overflowPunct/>
        <w:topLinePunct w:val="0"/>
        <w:bidi w:val="0"/>
        <w:snapToGrid/>
        <w:spacing w:line="340" w:lineRule="exact"/>
        <w:textAlignment w:val="auto"/>
        <w:outlineLvl w:val="9"/>
        <w:rPr>
          <w:rFonts w:hint="eastAsia" w:ascii="仿宋_GB2312" w:hAnsi="仿宋_GB2312" w:eastAsia="仿宋_GB2312" w:cs="仿宋_GB2312"/>
          <w:sz w:val="24"/>
        </w:rPr>
      </w:pPr>
    </w:p>
    <w:p w14:paraId="35F57645">
      <w:pPr>
        <w:pageBreakBefore w:val="0"/>
        <w:kinsoku/>
        <w:wordWrap/>
        <w:overflowPunct/>
        <w:topLinePunct w:val="0"/>
        <w:bidi w:val="0"/>
        <w:snapToGrid/>
        <w:spacing w:before="0" w:line="340" w:lineRule="exact"/>
        <w:ind w:left="1080" w:leftChars="257" w:hanging="540"/>
        <w:textAlignment w:val="auto"/>
        <w:outlineLvl w:val="9"/>
        <w:rPr>
          <w:rFonts w:hint="eastAsia" w:ascii="仿宋_GB2312" w:hAnsi="仿宋_GB2312" w:eastAsia="仿宋_GB2312" w:cs="仿宋_GB2312"/>
          <w:sz w:val="24"/>
          <w:szCs w:val="24"/>
        </w:rPr>
      </w:pPr>
    </w:p>
    <w:p w14:paraId="0F6E5ABE">
      <w:pPr>
        <w:pageBreakBefore w:val="0"/>
        <w:numPr>
          <w:ilvl w:val="3"/>
          <w:numId w:val="0"/>
        </w:numPr>
        <w:kinsoku/>
        <w:wordWrap/>
        <w:overflowPunct/>
        <w:topLinePunct w:val="0"/>
        <w:bidi w:val="0"/>
        <w:snapToGrid/>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1" w:fontKey="{65384FA9-BD2A-4BBC-A556-78D49C8A697F}"/>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5384300-0C23-4D94-B85C-204BB1BC7E7B}"/>
  </w:font>
  <w:font w:name="微软雅黑">
    <w:panose1 w:val="020B0503020204020204"/>
    <w:charset w:val="86"/>
    <w:family w:val="auto"/>
    <w:pitch w:val="default"/>
    <w:sig w:usb0="80000287" w:usb1="280F3C52" w:usb2="00000016" w:usb3="00000000" w:csb0="0004001F" w:csb1="00000000"/>
    <w:embedRegular r:id="rId3" w:fontKey="{A010326D-823E-4DF5-8613-CE9E187DD9DD}"/>
  </w:font>
  <w:font w:name="楷体">
    <w:panose1 w:val="02010609060101010101"/>
    <w:charset w:val="86"/>
    <w:family w:val="modern"/>
    <w:pitch w:val="default"/>
    <w:sig w:usb0="800002BF" w:usb1="38CF7CFA" w:usb2="00000016" w:usb3="00000000" w:csb0="00040001" w:csb1="00000000"/>
    <w:embedRegular r:id="rId4" w:fontKey="{790E2E0A-B200-42E5-8B51-EDA3D235F5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335CE">
    <w:pPr>
      <w:pStyle w:val="13"/>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6525D">
    <w:pPr>
      <w:pStyle w:val="13"/>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B6BC">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E45186">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3E45186">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146B2">
    <w:pPr>
      <w:pStyle w:val="13"/>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09EE70">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5F09EE70">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p w14:paraId="479F9182">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0BA2">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3E65A">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C3C46">
    <w:pPr>
      <w:pStyle w:val="14"/>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FFFCF"/>
    <w:multiLevelType w:val="singleLevel"/>
    <w:tmpl w:val="877FFFCF"/>
    <w:lvl w:ilvl="0" w:tentative="0">
      <w:start w:val="2"/>
      <w:numFmt w:val="decimal"/>
      <w:lvlText w:val="%1."/>
      <w:lvlJc w:val="left"/>
      <w:pPr>
        <w:tabs>
          <w:tab w:val="left" w:pos="312"/>
        </w:tabs>
      </w:pPr>
    </w:lvl>
  </w:abstractNum>
  <w:abstractNum w:abstractNumId="1">
    <w:nsid w:val="B5FE0A23"/>
    <w:multiLevelType w:val="singleLevel"/>
    <w:tmpl w:val="B5FE0A23"/>
    <w:lvl w:ilvl="0" w:tentative="0">
      <w:start w:val="2"/>
      <w:numFmt w:val="decimal"/>
      <w:suff w:val="nothing"/>
      <w:lvlText w:val="（%1）"/>
      <w:lvlJc w:val="left"/>
    </w:lvl>
  </w:abstractNum>
  <w:abstractNum w:abstractNumId="2">
    <w:nsid w:val="EA58F7FF"/>
    <w:multiLevelType w:val="singleLevel"/>
    <w:tmpl w:val="EA58F7FF"/>
    <w:lvl w:ilvl="0" w:tentative="0">
      <w:start w:val="8"/>
      <w:numFmt w:val="decimal"/>
      <w:suff w:val="nothing"/>
      <w:lvlText w:val="%1、"/>
      <w:lvlJc w:val="left"/>
      <w:pPr>
        <w:ind w:left="30"/>
      </w:pPr>
    </w:lvl>
  </w:abstractNum>
  <w:abstractNum w:abstractNumId="3">
    <w:nsid w:val="00000009"/>
    <w:multiLevelType w:val="multilevel"/>
    <w:tmpl w:val="00000009"/>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4">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5"/>
      <w:lvlText w:val="%1.%2.%3.%4"/>
      <w:lvlJc w:val="left"/>
      <w:pPr>
        <w:ind w:left="864"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44DD0909"/>
    <w:multiLevelType w:val="multilevel"/>
    <w:tmpl w:val="44DD0909"/>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8">
    <w:nsid w:val="7B60876E"/>
    <w:multiLevelType w:val="singleLevel"/>
    <w:tmpl w:val="7B60876E"/>
    <w:lvl w:ilvl="0" w:tentative="0">
      <w:start w:val="1"/>
      <w:numFmt w:val="decimal"/>
      <w:lvlText w:val="%1."/>
      <w:lvlJc w:val="left"/>
      <w:pPr>
        <w:tabs>
          <w:tab w:val="left" w:pos="312"/>
        </w:tabs>
      </w:pPr>
    </w:lvl>
  </w:abstractNum>
  <w:abstractNum w:abstractNumId="9">
    <w:nsid w:val="7B93E4CB"/>
    <w:multiLevelType w:val="singleLevel"/>
    <w:tmpl w:val="7B93E4CB"/>
    <w:lvl w:ilvl="0" w:tentative="0">
      <w:start w:val="1"/>
      <w:numFmt w:val="decimal"/>
      <w:suff w:val="nothing"/>
      <w:lvlText w:val="%1、"/>
      <w:lvlJc w:val="left"/>
    </w:lvl>
  </w:abstractNum>
  <w:num w:numId="1">
    <w:abstractNumId w:val="4"/>
  </w:num>
  <w:num w:numId="2">
    <w:abstractNumId w:val="5"/>
  </w:num>
  <w:num w:numId="3">
    <w:abstractNumId w:val="7"/>
  </w:num>
  <w:num w:numId="4">
    <w:abstractNumId w:val="3"/>
  </w:num>
  <w:num w:numId="5">
    <w:abstractNumId w:val="9"/>
  </w:num>
  <w:num w:numId="6">
    <w:abstractNumId w:val="2"/>
  </w:num>
  <w:num w:numId="7">
    <w:abstractNumId w:val="6"/>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lhZWYxYzUxMjlkMDAwNmUxMDhiZDQxMzZmYjcifQ=="/>
    <w:docVar w:name="KSO_WPS_MARK_KEY" w:val="51830fc3-79a5-440d-93e7-bde8df710931"/>
  </w:docVars>
  <w:rsids>
    <w:rsidRoot w:val="08A2496A"/>
    <w:rsid w:val="00175917"/>
    <w:rsid w:val="005C6ADC"/>
    <w:rsid w:val="009A358D"/>
    <w:rsid w:val="00C0713E"/>
    <w:rsid w:val="00DE5071"/>
    <w:rsid w:val="00DF14BB"/>
    <w:rsid w:val="00FB62F5"/>
    <w:rsid w:val="012375FA"/>
    <w:rsid w:val="01326460"/>
    <w:rsid w:val="014063FE"/>
    <w:rsid w:val="01776B07"/>
    <w:rsid w:val="01F54172"/>
    <w:rsid w:val="02052AB2"/>
    <w:rsid w:val="0219028B"/>
    <w:rsid w:val="022E44A8"/>
    <w:rsid w:val="023962CD"/>
    <w:rsid w:val="024A45CE"/>
    <w:rsid w:val="026872FD"/>
    <w:rsid w:val="02820350"/>
    <w:rsid w:val="028642E4"/>
    <w:rsid w:val="02922C89"/>
    <w:rsid w:val="02A43451"/>
    <w:rsid w:val="02AE55E9"/>
    <w:rsid w:val="02D41AE9"/>
    <w:rsid w:val="02DA6B3A"/>
    <w:rsid w:val="02F32FFC"/>
    <w:rsid w:val="030558D3"/>
    <w:rsid w:val="03195028"/>
    <w:rsid w:val="03836A76"/>
    <w:rsid w:val="038A1BB2"/>
    <w:rsid w:val="03BE3EAC"/>
    <w:rsid w:val="03D472D2"/>
    <w:rsid w:val="03DB7A3C"/>
    <w:rsid w:val="04274F29"/>
    <w:rsid w:val="042A3BCC"/>
    <w:rsid w:val="04357D70"/>
    <w:rsid w:val="0439796C"/>
    <w:rsid w:val="043B4C5B"/>
    <w:rsid w:val="04447FB3"/>
    <w:rsid w:val="046B7569"/>
    <w:rsid w:val="04810D90"/>
    <w:rsid w:val="048F60A5"/>
    <w:rsid w:val="04A53628"/>
    <w:rsid w:val="04C62E03"/>
    <w:rsid w:val="04E42305"/>
    <w:rsid w:val="04E43544"/>
    <w:rsid w:val="05062BF7"/>
    <w:rsid w:val="050C6F30"/>
    <w:rsid w:val="05116A62"/>
    <w:rsid w:val="055B3DBE"/>
    <w:rsid w:val="0574546E"/>
    <w:rsid w:val="05861206"/>
    <w:rsid w:val="05EA2DDC"/>
    <w:rsid w:val="05F9301F"/>
    <w:rsid w:val="064429BB"/>
    <w:rsid w:val="06527432"/>
    <w:rsid w:val="06543D6E"/>
    <w:rsid w:val="065B649A"/>
    <w:rsid w:val="066E30C6"/>
    <w:rsid w:val="067E7091"/>
    <w:rsid w:val="06905732"/>
    <w:rsid w:val="06B50CF4"/>
    <w:rsid w:val="06DA0A19"/>
    <w:rsid w:val="06DA673B"/>
    <w:rsid w:val="06EF7337"/>
    <w:rsid w:val="06F35CC1"/>
    <w:rsid w:val="06F51A39"/>
    <w:rsid w:val="07192206"/>
    <w:rsid w:val="071C39CB"/>
    <w:rsid w:val="072E0AA7"/>
    <w:rsid w:val="073C033A"/>
    <w:rsid w:val="07414C7E"/>
    <w:rsid w:val="075F2797"/>
    <w:rsid w:val="077B0190"/>
    <w:rsid w:val="07C66F31"/>
    <w:rsid w:val="07C952DF"/>
    <w:rsid w:val="07D11C3D"/>
    <w:rsid w:val="07D42973"/>
    <w:rsid w:val="07DB0C2F"/>
    <w:rsid w:val="08362F87"/>
    <w:rsid w:val="083732B2"/>
    <w:rsid w:val="084367D4"/>
    <w:rsid w:val="085D18E6"/>
    <w:rsid w:val="08662156"/>
    <w:rsid w:val="087A0269"/>
    <w:rsid w:val="089A665F"/>
    <w:rsid w:val="089B216C"/>
    <w:rsid w:val="08A2496A"/>
    <w:rsid w:val="08AF7A81"/>
    <w:rsid w:val="08C732E6"/>
    <w:rsid w:val="08D154CD"/>
    <w:rsid w:val="08D4742C"/>
    <w:rsid w:val="090221EB"/>
    <w:rsid w:val="0907014F"/>
    <w:rsid w:val="091612DA"/>
    <w:rsid w:val="09167A44"/>
    <w:rsid w:val="095A5B83"/>
    <w:rsid w:val="095F2F2D"/>
    <w:rsid w:val="09707B14"/>
    <w:rsid w:val="09744251"/>
    <w:rsid w:val="09CE784F"/>
    <w:rsid w:val="0A137C85"/>
    <w:rsid w:val="0A1613E5"/>
    <w:rsid w:val="0A1A13F8"/>
    <w:rsid w:val="0A334D52"/>
    <w:rsid w:val="0A3960E0"/>
    <w:rsid w:val="0A4932D1"/>
    <w:rsid w:val="0A717628"/>
    <w:rsid w:val="0A786C09"/>
    <w:rsid w:val="0A870BFA"/>
    <w:rsid w:val="0A8B2A00"/>
    <w:rsid w:val="0AA90BEF"/>
    <w:rsid w:val="0ABE2142"/>
    <w:rsid w:val="0AE573D4"/>
    <w:rsid w:val="0AF06BB4"/>
    <w:rsid w:val="0AF227AB"/>
    <w:rsid w:val="0B0245EA"/>
    <w:rsid w:val="0B0B70F8"/>
    <w:rsid w:val="0B21265F"/>
    <w:rsid w:val="0B4938E9"/>
    <w:rsid w:val="0B4B7944"/>
    <w:rsid w:val="0B5D4E4D"/>
    <w:rsid w:val="0B5F6B14"/>
    <w:rsid w:val="0B770C6E"/>
    <w:rsid w:val="0B984A85"/>
    <w:rsid w:val="0BAC182A"/>
    <w:rsid w:val="0BB72F99"/>
    <w:rsid w:val="0BC55E7E"/>
    <w:rsid w:val="0BE84015"/>
    <w:rsid w:val="0C236700"/>
    <w:rsid w:val="0C3D1EB8"/>
    <w:rsid w:val="0C60239E"/>
    <w:rsid w:val="0C621C6A"/>
    <w:rsid w:val="0C6978C8"/>
    <w:rsid w:val="0C817115"/>
    <w:rsid w:val="0C8816E0"/>
    <w:rsid w:val="0CB832EC"/>
    <w:rsid w:val="0CF14A50"/>
    <w:rsid w:val="0CF80754"/>
    <w:rsid w:val="0D077DD0"/>
    <w:rsid w:val="0D246BD4"/>
    <w:rsid w:val="0D420C25"/>
    <w:rsid w:val="0D4728C2"/>
    <w:rsid w:val="0D4775AB"/>
    <w:rsid w:val="0D5F3A09"/>
    <w:rsid w:val="0D7F7652"/>
    <w:rsid w:val="0D8C6527"/>
    <w:rsid w:val="0E0E4D43"/>
    <w:rsid w:val="0E207955"/>
    <w:rsid w:val="0E2A0563"/>
    <w:rsid w:val="0E567261"/>
    <w:rsid w:val="0E69532F"/>
    <w:rsid w:val="0E6B25E0"/>
    <w:rsid w:val="0E720A37"/>
    <w:rsid w:val="0E8548DB"/>
    <w:rsid w:val="0EB57CB3"/>
    <w:rsid w:val="0EC56195"/>
    <w:rsid w:val="0F083F13"/>
    <w:rsid w:val="0F1B5329"/>
    <w:rsid w:val="0F4470B9"/>
    <w:rsid w:val="0F453C6F"/>
    <w:rsid w:val="0F49270A"/>
    <w:rsid w:val="0F670FFA"/>
    <w:rsid w:val="0F6A2898"/>
    <w:rsid w:val="0F6E6537"/>
    <w:rsid w:val="0F9242C9"/>
    <w:rsid w:val="0FB93B55"/>
    <w:rsid w:val="0FF15D64"/>
    <w:rsid w:val="0FFD04FB"/>
    <w:rsid w:val="0FFD337C"/>
    <w:rsid w:val="10043E2B"/>
    <w:rsid w:val="100C1473"/>
    <w:rsid w:val="101F3682"/>
    <w:rsid w:val="10256E5E"/>
    <w:rsid w:val="103A226A"/>
    <w:rsid w:val="105E0B6C"/>
    <w:rsid w:val="106043C7"/>
    <w:rsid w:val="106D224D"/>
    <w:rsid w:val="10751784"/>
    <w:rsid w:val="1076765F"/>
    <w:rsid w:val="1098743D"/>
    <w:rsid w:val="10A04065"/>
    <w:rsid w:val="10E548CC"/>
    <w:rsid w:val="11147DD3"/>
    <w:rsid w:val="111A34E7"/>
    <w:rsid w:val="11230F50"/>
    <w:rsid w:val="112866AF"/>
    <w:rsid w:val="114E2471"/>
    <w:rsid w:val="11592BC4"/>
    <w:rsid w:val="115A3519"/>
    <w:rsid w:val="115B2DE0"/>
    <w:rsid w:val="11603F53"/>
    <w:rsid w:val="116C660E"/>
    <w:rsid w:val="118A06B2"/>
    <w:rsid w:val="118F65E6"/>
    <w:rsid w:val="119B4F8B"/>
    <w:rsid w:val="11A449D2"/>
    <w:rsid w:val="11B76268"/>
    <w:rsid w:val="11B85B3D"/>
    <w:rsid w:val="12064AFA"/>
    <w:rsid w:val="1260452E"/>
    <w:rsid w:val="127777A6"/>
    <w:rsid w:val="127C300E"/>
    <w:rsid w:val="129862AB"/>
    <w:rsid w:val="12A63501"/>
    <w:rsid w:val="12AB3166"/>
    <w:rsid w:val="12C1179B"/>
    <w:rsid w:val="12C8747B"/>
    <w:rsid w:val="12D46509"/>
    <w:rsid w:val="12ED1816"/>
    <w:rsid w:val="13047C53"/>
    <w:rsid w:val="130C6140"/>
    <w:rsid w:val="133B6A25"/>
    <w:rsid w:val="134019B5"/>
    <w:rsid w:val="13426006"/>
    <w:rsid w:val="137D5290"/>
    <w:rsid w:val="13860951"/>
    <w:rsid w:val="138A470A"/>
    <w:rsid w:val="13AA7707"/>
    <w:rsid w:val="13AB7B4F"/>
    <w:rsid w:val="13AD12CB"/>
    <w:rsid w:val="13CC58CF"/>
    <w:rsid w:val="13D82C45"/>
    <w:rsid w:val="13E01BCD"/>
    <w:rsid w:val="14042E51"/>
    <w:rsid w:val="14060911"/>
    <w:rsid w:val="14074B59"/>
    <w:rsid w:val="140C2170"/>
    <w:rsid w:val="140D6614"/>
    <w:rsid w:val="14417AA1"/>
    <w:rsid w:val="1445373B"/>
    <w:rsid w:val="144E2540"/>
    <w:rsid w:val="14611E4B"/>
    <w:rsid w:val="148B7538"/>
    <w:rsid w:val="148C0501"/>
    <w:rsid w:val="14C12F5A"/>
    <w:rsid w:val="14C447F8"/>
    <w:rsid w:val="14E57157"/>
    <w:rsid w:val="150F167D"/>
    <w:rsid w:val="152021E6"/>
    <w:rsid w:val="15202377"/>
    <w:rsid w:val="1530464E"/>
    <w:rsid w:val="15307B27"/>
    <w:rsid w:val="155A46F0"/>
    <w:rsid w:val="155E2E9F"/>
    <w:rsid w:val="15655FDB"/>
    <w:rsid w:val="15686B23"/>
    <w:rsid w:val="158226E9"/>
    <w:rsid w:val="158A6C3A"/>
    <w:rsid w:val="158B2C3B"/>
    <w:rsid w:val="15C25FD4"/>
    <w:rsid w:val="15C650A3"/>
    <w:rsid w:val="15C65A7F"/>
    <w:rsid w:val="15D8061A"/>
    <w:rsid w:val="15EF1F20"/>
    <w:rsid w:val="16097142"/>
    <w:rsid w:val="16117F11"/>
    <w:rsid w:val="161B48EC"/>
    <w:rsid w:val="16257519"/>
    <w:rsid w:val="16296DF2"/>
    <w:rsid w:val="16585FD7"/>
    <w:rsid w:val="166167A3"/>
    <w:rsid w:val="166F114C"/>
    <w:rsid w:val="167F08EC"/>
    <w:rsid w:val="16CE195E"/>
    <w:rsid w:val="16D43419"/>
    <w:rsid w:val="16D8458B"/>
    <w:rsid w:val="16EB42BE"/>
    <w:rsid w:val="16F07B27"/>
    <w:rsid w:val="16F75359"/>
    <w:rsid w:val="16FD393C"/>
    <w:rsid w:val="171E4928"/>
    <w:rsid w:val="172B6DB1"/>
    <w:rsid w:val="173248BB"/>
    <w:rsid w:val="175D340E"/>
    <w:rsid w:val="176D5FB9"/>
    <w:rsid w:val="177545D0"/>
    <w:rsid w:val="179021FC"/>
    <w:rsid w:val="17920BDE"/>
    <w:rsid w:val="179856A0"/>
    <w:rsid w:val="17AA1DF9"/>
    <w:rsid w:val="18095344"/>
    <w:rsid w:val="18111E80"/>
    <w:rsid w:val="183F0D66"/>
    <w:rsid w:val="184C2F1D"/>
    <w:rsid w:val="18591CDB"/>
    <w:rsid w:val="1869193F"/>
    <w:rsid w:val="186E32AA"/>
    <w:rsid w:val="187C3C12"/>
    <w:rsid w:val="18850CDB"/>
    <w:rsid w:val="189F6361"/>
    <w:rsid w:val="18D07033"/>
    <w:rsid w:val="18D55BBF"/>
    <w:rsid w:val="18D6503E"/>
    <w:rsid w:val="18DF2487"/>
    <w:rsid w:val="18EB0819"/>
    <w:rsid w:val="18F03E0E"/>
    <w:rsid w:val="18F97167"/>
    <w:rsid w:val="190B2D72"/>
    <w:rsid w:val="19461C80"/>
    <w:rsid w:val="195645B9"/>
    <w:rsid w:val="198B234D"/>
    <w:rsid w:val="198D47FC"/>
    <w:rsid w:val="19A1335A"/>
    <w:rsid w:val="19B038F7"/>
    <w:rsid w:val="19B52664"/>
    <w:rsid w:val="19C04BEB"/>
    <w:rsid w:val="19D054E5"/>
    <w:rsid w:val="19DF1348"/>
    <w:rsid w:val="19EA67AC"/>
    <w:rsid w:val="19EA7D09"/>
    <w:rsid w:val="19FA6872"/>
    <w:rsid w:val="1A0D2AFE"/>
    <w:rsid w:val="1A1E49AB"/>
    <w:rsid w:val="1A265B60"/>
    <w:rsid w:val="1A6836E2"/>
    <w:rsid w:val="1A9A1B4D"/>
    <w:rsid w:val="1AA570CD"/>
    <w:rsid w:val="1AA828D7"/>
    <w:rsid w:val="1ABD53DD"/>
    <w:rsid w:val="1ABF003B"/>
    <w:rsid w:val="1AE70EF8"/>
    <w:rsid w:val="1B2D759B"/>
    <w:rsid w:val="1B60717B"/>
    <w:rsid w:val="1B674112"/>
    <w:rsid w:val="1B710AE5"/>
    <w:rsid w:val="1B75684C"/>
    <w:rsid w:val="1B982ED9"/>
    <w:rsid w:val="1BA535D6"/>
    <w:rsid w:val="1BA93953"/>
    <w:rsid w:val="1BBC26CD"/>
    <w:rsid w:val="1BC7354C"/>
    <w:rsid w:val="1BD4349D"/>
    <w:rsid w:val="1BEF10C0"/>
    <w:rsid w:val="1C055E22"/>
    <w:rsid w:val="1C093B64"/>
    <w:rsid w:val="1C0C0F5F"/>
    <w:rsid w:val="1C1147C7"/>
    <w:rsid w:val="1C1B3898"/>
    <w:rsid w:val="1C1E6EE4"/>
    <w:rsid w:val="1C2308E0"/>
    <w:rsid w:val="1C4905E7"/>
    <w:rsid w:val="1C7672C1"/>
    <w:rsid w:val="1C7A5892"/>
    <w:rsid w:val="1CA53161"/>
    <w:rsid w:val="1CBB2985"/>
    <w:rsid w:val="1CC53017"/>
    <w:rsid w:val="1CD63E95"/>
    <w:rsid w:val="1CD72F4A"/>
    <w:rsid w:val="1CE95744"/>
    <w:rsid w:val="1CEC0413"/>
    <w:rsid w:val="1CF12D03"/>
    <w:rsid w:val="1D13017F"/>
    <w:rsid w:val="1D146DDC"/>
    <w:rsid w:val="1D247EFE"/>
    <w:rsid w:val="1D2E13A9"/>
    <w:rsid w:val="1D363510"/>
    <w:rsid w:val="1D376A6E"/>
    <w:rsid w:val="1D3C1582"/>
    <w:rsid w:val="1D457D3E"/>
    <w:rsid w:val="1D4806BC"/>
    <w:rsid w:val="1D4A273D"/>
    <w:rsid w:val="1D61177E"/>
    <w:rsid w:val="1D721FA8"/>
    <w:rsid w:val="1D7414B2"/>
    <w:rsid w:val="1D7B11BB"/>
    <w:rsid w:val="1D8334A3"/>
    <w:rsid w:val="1D8A2A83"/>
    <w:rsid w:val="1D8C500E"/>
    <w:rsid w:val="1D973A1D"/>
    <w:rsid w:val="1DC67833"/>
    <w:rsid w:val="1DDC7057"/>
    <w:rsid w:val="1DFC07D1"/>
    <w:rsid w:val="1DFE6C89"/>
    <w:rsid w:val="1E005EF4"/>
    <w:rsid w:val="1E0A7720"/>
    <w:rsid w:val="1E1D11B0"/>
    <w:rsid w:val="1E3A4B76"/>
    <w:rsid w:val="1E3D60DD"/>
    <w:rsid w:val="1E5615A5"/>
    <w:rsid w:val="1EB4469D"/>
    <w:rsid w:val="1ED61CF8"/>
    <w:rsid w:val="1EDC124B"/>
    <w:rsid w:val="1EDE4293"/>
    <w:rsid w:val="1EEB6940"/>
    <w:rsid w:val="1EEE7443"/>
    <w:rsid w:val="1EFB52BB"/>
    <w:rsid w:val="1F264A2D"/>
    <w:rsid w:val="1F6868C8"/>
    <w:rsid w:val="1F781F91"/>
    <w:rsid w:val="1FA02B5E"/>
    <w:rsid w:val="1FA0658E"/>
    <w:rsid w:val="1FA53BA4"/>
    <w:rsid w:val="1FA91915"/>
    <w:rsid w:val="1FB5439E"/>
    <w:rsid w:val="1FB96028"/>
    <w:rsid w:val="1FC34F96"/>
    <w:rsid w:val="1FCF23F5"/>
    <w:rsid w:val="1FD62287"/>
    <w:rsid w:val="1FE65F6B"/>
    <w:rsid w:val="1FF22B62"/>
    <w:rsid w:val="1FF266BE"/>
    <w:rsid w:val="1FFC19E8"/>
    <w:rsid w:val="20087F36"/>
    <w:rsid w:val="203C020F"/>
    <w:rsid w:val="20647FCF"/>
    <w:rsid w:val="206A6B9C"/>
    <w:rsid w:val="208348C7"/>
    <w:rsid w:val="20A51982"/>
    <w:rsid w:val="20A702B3"/>
    <w:rsid w:val="20B24606"/>
    <w:rsid w:val="20BB73F7"/>
    <w:rsid w:val="20F052F3"/>
    <w:rsid w:val="20F756A2"/>
    <w:rsid w:val="20FD356C"/>
    <w:rsid w:val="20FD531A"/>
    <w:rsid w:val="210A7827"/>
    <w:rsid w:val="211800C5"/>
    <w:rsid w:val="21291ABE"/>
    <w:rsid w:val="213B4094"/>
    <w:rsid w:val="21430E37"/>
    <w:rsid w:val="214958CD"/>
    <w:rsid w:val="214F1260"/>
    <w:rsid w:val="21573BD0"/>
    <w:rsid w:val="21CB5418"/>
    <w:rsid w:val="21E205B6"/>
    <w:rsid w:val="21F54321"/>
    <w:rsid w:val="222739D6"/>
    <w:rsid w:val="22316F25"/>
    <w:rsid w:val="226E0461"/>
    <w:rsid w:val="227A3410"/>
    <w:rsid w:val="228224E9"/>
    <w:rsid w:val="229972C4"/>
    <w:rsid w:val="22E83BA8"/>
    <w:rsid w:val="23045086"/>
    <w:rsid w:val="23052DFE"/>
    <w:rsid w:val="231E07D2"/>
    <w:rsid w:val="234436D4"/>
    <w:rsid w:val="2379444D"/>
    <w:rsid w:val="2397260F"/>
    <w:rsid w:val="23A10B26"/>
    <w:rsid w:val="23BE0B79"/>
    <w:rsid w:val="23C227CC"/>
    <w:rsid w:val="23C44815"/>
    <w:rsid w:val="23CE0EFB"/>
    <w:rsid w:val="23D36806"/>
    <w:rsid w:val="23D902C0"/>
    <w:rsid w:val="23E427C1"/>
    <w:rsid w:val="240510B5"/>
    <w:rsid w:val="240D2C22"/>
    <w:rsid w:val="24547947"/>
    <w:rsid w:val="246102B6"/>
    <w:rsid w:val="246170B4"/>
    <w:rsid w:val="246F4781"/>
    <w:rsid w:val="24850ADC"/>
    <w:rsid w:val="248D0979"/>
    <w:rsid w:val="24AF7D79"/>
    <w:rsid w:val="24D96DB1"/>
    <w:rsid w:val="24DE36B4"/>
    <w:rsid w:val="24E26EEA"/>
    <w:rsid w:val="24E707BB"/>
    <w:rsid w:val="25085C0C"/>
    <w:rsid w:val="253251F7"/>
    <w:rsid w:val="255D5400"/>
    <w:rsid w:val="257564E2"/>
    <w:rsid w:val="25A50ADA"/>
    <w:rsid w:val="25A8619C"/>
    <w:rsid w:val="25A9094A"/>
    <w:rsid w:val="25BC39F6"/>
    <w:rsid w:val="25BC7006"/>
    <w:rsid w:val="25D54AB7"/>
    <w:rsid w:val="25D724DE"/>
    <w:rsid w:val="25E82A3D"/>
    <w:rsid w:val="2604399F"/>
    <w:rsid w:val="262325D7"/>
    <w:rsid w:val="262D48F3"/>
    <w:rsid w:val="263C6D9D"/>
    <w:rsid w:val="263F160A"/>
    <w:rsid w:val="26BA73D8"/>
    <w:rsid w:val="26BC1AA5"/>
    <w:rsid w:val="26C2328E"/>
    <w:rsid w:val="26DF573E"/>
    <w:rsid w:val="27206AF0"/>
    <w:rsid w:val="27253C8E"/>
    <w:rsid w:val="27313F6F"/>
    <w:rsid w:val="27422038"/>
    <w:rsid w:val="27462BA9"/>
    <w:rsid w:val="274A6DDF"/>
    <w:rsid w:val="274E5110"/>
    <w:rsid w:val="275163C0"/>
    <w:rsid w:val="27965C2C"/>
    <w:rsid w:val="279C7453"/>
    <w:rsid w:val="279F35CF"/>
    <w:rsid w:val="27AE3812"/>
    <w:rsid w:val="27B54BA0"/>
    <w:rsid w:val="27B62886"/>
    <w:rsid w:val="27C070A1"/>
    <w:rsid w:val="27C23811"/>
    <w:rsid w:val="27E97BAD"/>
    <w:rsid w:val="28351463"/>
    <w:rsid w:val="28357A8F"/>
    <w:rsid w:val="284E3CE7"/>
    <w:rsid w:val="28B13FCE"/>
    <w:rsid w:val="28C46526"/>
    <w:rsid w:val="28DE3C83"/>
    <w:rsid w:val="28E86B18"/>
    <w:rsid w:val="28EE6A51"/>
    <w:rsid w:val="29153159"/>
    <w:rsid w:val="29183639"/>
    <w:rsid w:val="291C47AB"/>
    <w:rsid w:val="29272709"/>
    <w:rsid w:val="293D309F"/>
    <w:rsid w:val="295108F9"/>
    <w:rsid w:val="295A520A"/>
    <w:rsid w:val="29824F56"/>
    <w:rsid w:val="29906B91"/>
    <w:rsid w:val="29A3615C"/>
    <w:rsid w:val="29B60BDA"/>
    <w:rsid w:val="29D378AB"/>
    <w:rsid w:val="29D6573D"/>
    <w:rsid w:val="29E654E5"/>
    <w:rsid w:val="29EE6AB4"/>
    <w:rsid w:val="2A001565"/>
    <w:rsid w:val="2A16744D"/>
    <w:rsid w:val="2A1D07DB"/>
    <w:rsid w:val="2A1F5E59"/>
    <w:rsid w:val="2A4342D8"/>
    <w:rsid w:val="2A4F2958"/>
    <w:rsid w:val="2A5561C7"/>
    <w:rsid w:val="2A765907"/>
    <w:rsid w:val="2A8A0D3F"/>
    <w:rsid w:val="2A9211C9"/>
    <w:rsid w:val="2A970351"/>
    <w:rsid w:val="2AA131BA"/>
    <w:rsid w:val="2AD01CF1"/>
    <w:rsid w:val="2B2F4C6A"/>
    <w:rsid w:val="2B314BC8"/>
    <w:rsid w:val="2B326508"/>
    <w:rsid w:val="2B465CF5"/>
    <w:rsid w:val="2B830B12"/>
    <w:rsid w:val="2BB807BB"/>
    <w:rsid w:val="2BCA2A61"/>
    <w:rsid w:val="2BD941E1"/>
    <w:rsid w:val="2BE1053D"/>
    <w:rsid w:val="2BF0180A"/>
    <w:rsid w:val="2BF0419B"/>
    <w:rsid w:val="2C0003B4"/>
    <w:rsid w:val="2C002162"/>
    <w:rsid w:val="2C3C0AB4"/>
    <w:rsid w:val="2C3C763E"/>
    <w:rsid w:val="2C4A63C1"/>
    <w:rsid w:val="2C5735C8"/>
    <w:rsid w:val="2C5D7F0B"/>
    <w:rsid w:val="2C792640"/>
    <w:rsid w:val="2CB06359"/>
    <w:rsid w:val="2CCA2E9C"/>
    <w:rsid w:val="2CD07314"/>
    <w:rsid w:val="2CE37ABA"/>
    <w:rsid w:val="2D095047"/>
    <w:rsid w:val="2D24485B"/>
    <w:rsid w:val="2D2B6D0E"/>
    <w:rsid w:val="2D2F04AA"/>
    <w:rsid w:val="2D4204D1"/>
    <w:rsid w:val="2D5F4DF5"/>
    <w:rsid w:val="2D71626A"/>
    <w:rsid w:val="2D742E08"/>
    <w:rsid w:val="2D88494B"/>
    <w:rsid w:val="2D8E14A9"/>
    <w:rsid w:val="2DAA682A"/>
    <w:rsid w:val="2DCB12F8"/>
    <w:rsid w:val="2DCC3F17"/>
    <w:rsid w:val="2DCD7AFD"/>
    <w:rsid w:val="2DD64A92"/>
    <w:rsid w:val="2DDB69E3"/>
    <w:rsid w:val="2DE615E3"/>
    <w:rsid w:val="2E1343CF"/>
    <w:rsid w:val="2E1F157D"/>
    <w:rsid w:val="2E3A7EDA"/>
    <w:rsid w:val="2E3E6990"/>
    <w:rsid w:val="2E4B68FB"/>
    <w:rsid w:val="2E5C3FC8"/>
    <w:rsid w:val="2E7E7CCE"/>
    <w:rsid w:val="2E9F0D33"/>
    <w:rsid w:val="2EA414CB"/>
    <w:rsid w:val="2EAD65D1"/>
    <w:rsid w:val="2EC0568F"/>
    <w:rsid w:val="2EE423DD"/>
    <w:rsid w:val="2EE42B62"/>
    <w:rsid w:val="2EF57CFE"/>
    <w:rsid w:val="2EFC4F48"/>
    <w:rsid w:val="2F4F4B8D"/>
    <w:rsid w:val="2F587873"/>
    <w:rsid w:val="2F6518B1"/>
    <w:rsid w:val="2F6636FB"/>
    <w:rsid w:val="2F7378F5"/>
    <w:rsid w:val="2F770868"/>
    <w:rsid w:val="2FAA7DED"/>
    <w:rsid w:val="2FAF45CB"/>
    <w:rsid w:val="2FB6159C"/>
    <w:rsid w:val="2FD67A7A"/>
    <w:rsid w:val="2FEB553F"/>
    <w:rsid w:val="30226B4B"/>
    <w:rsid w:val="30451521"/>
    <w:rsid w:val="309061AB"/>
    <w:rsid w:val="30C85944"/>
    <w:rsid w:val="30C916BD"/>
    <w:rsid w:val="30E81031"/>
    <w:rsid w:val="30ED761C"/>
    <w:rsid w:val="30F143BD"/>
    <w:rsid w:val="30FB7732"/>
    <w:rsid w:val="31091E25"/>
    <w:rsid w:val="31157723"/>
    <w:rsid w:val="312710CF"/>
    <w:rsid w:val="312B7E30"/>
    <w:rsid w:val="31350B00"/>
    <w:rsid w:val="31497B22"/>
    <w:rsid w:val="315B1DA7"/>
    <w:rsid w:val="31642D36"/>
    <w:rsid w:val="316867E0"/>
    <w:rsid w:val="317A50AD"/>
    <w:rsid w:val="31886E82"/>
    <w:rsid w:val="319E0453"/>
    <w:rsid w:val="31E814C3"/>
    <w:rsid w:val="31F47C3B"/>
    <w:rsid w:val="32092026"/>
    <w:rsid w:val="32100D17"/>
    <w:rsid w:val="32140715"/>
    <w:rsid w:val="32307744"/>
    <w:rsid w:val="32380371"/>
    <w:rsid w:val="324910F7"/>
    <w:rsid w:val="325F4087"/>
    <w:rsid w:val="328C29A2"/>
    <w:rsid w:val="32A55811"/>
    <w:rsid w:val="32A57209"/>
    <w:rsid w:val="32AB429E"/>
    <w:rsid w:val="32B97C87"/>
    <w:rsid w:val="32BA6D4C"/>
    <w:rsid w:val="32C4041A"/>
    <w:rsid w:val="3307027A"/>
    <w:rsid w:val="332C7181"/>
    <w:rsid w:val="33323FCE"/>
    <w:rsid w:val="3342113B"/>
    <w:rsid w:val="33556D19"/>
    <w:rsid w:val="3363553D"/>
    <w:rsid w:val="337C47C4"/>
    <w:rsid w:val="33D91C40"/>
    <w:rsid w:val="34081CBE"/>
    <w:rsid w:val="34116A84"/>
    <w:rsid w:val="34153E2E"/>
    <w:rsid w:val="34266660"/>
    <w:rsid w:val="342D5ABF"/>
    <w:rsid w:val="342E51F6"/>
    <w:rsid w:val="34450291"/>
    <w:rsid w:val="344A041F"/>
    <w:rsid w:val="345A50B2"/>
    <w:rsid w:val="345C4F28"/>
    <w:rsid w:val="347147B1"/>
    <w:rsid w:val="34B8370C"/>
    <w:rsid w:val="34B955A4"/>
    <w:rsid w:val="34CA77B1"/>
    <w:rsid w:val="34FC3F4D"/>
    <w:rsid w:val="35092088"/>
    <w:rsid w:val="350A4FC7"/>
    <w:rsid w:val="351B1B5F"/>
    <w:rsid w:val="352D221A"/>
    <w:rsid w:val="35613C72"/>
    <w:rsid w:val="35694159"/>
    <w:rsid w:val="35780E86"/>
    <w:rsid w:val="358A688E"/>
    <w:rsid w:val="35916A7B"/>
    <w:rsid w:val="35956011"/>
    <w:rsid w:val="35B3638F"/>
    <w:rsid w:val="35CD2797"/>
    <w:rsid w:val="360B4563"/>
    <w:rsid w:val="360D5C34"/>
    <w:rsid w:val="365657A0"/>
    <w:rsid w:val="366B28CE"/>
    <w:rsid w:val="367D3DA3"/>
    <w:rsid w:val="369D517D"/>
    <w:rsid w:val="369E17A8"/>
    <w:rsid w:val="36DE01F7"/>
    <w:rsid w:val="36E25286"/>
    <w:rsid w:val="36FA6567"/>
    <w:rsid w:val="374F37BA"/>
    <w:rsid w:val="37647A49"/>
    <w:rsid w:val="37667C65"/>
    <w:rsid w:val="376932B2"/>
    <w:rsid w:val="37732382"/>
    <w:rsid w:val="3781684D"/>
    <w:rsid w:val="37A60D53"/>
    <w:rsid w:val="37A662B4"/>
    <w:rsid w:val="37C52BDE"/>
    <w:rsid w:val="37CA44AD"/>
    <w:rsid w:val="37CD3840"/>
    <w:rsid w:val="37D526F5"/>
    <w:rsid w:val="37E33064"/>
    <w:rsid w:val="37E926B3"/>
    <w:rsid w:val="3818038B"/>
    <w:rsid w:val="382A22FA"/>
    <w:rsid w:val="382F0057"/>
    <w:rsid w:val="38397021"/>
    <w:rsid w:val="386E7268"/>
    <w:rsid w:val="38710670"/>
    <w:rsid w:val="387D5266"/>
    <w:rsid w:val="38855EC9"/>
    <w:rsid w:val="388F6D48"/>
    <w:rsid w:val="389205E6"/>
    <w:rsid w:val="38A52EA6"/>
    <w:rsid w:val="38AC5B60"/>
    <w:rsid w:val="38C764E2"/>
    <w:rsid w:val="3914658F"/>
    <w:rsid w:val="395D0BF4"/>
    <w:rsid w:val="396077DC"/>
    <w:rsid w:val="397228F1"/>
    <w:rsid w:val="39844475"/>
    <w:rsid w:val="39935117"/>
    <w:rsid w:val="399565E0"/>
    <w:rsid w:val="39967B6A"/>
    <w:rsid w:val="39C62C3D"/>
    <w:rsid w:val="39CE3C83"/>
    <w:rsid w:val="39F07CBA"/>
    <w:rsid w:val="39F95894"/>
    <w:rsid w:val="39FA39AE"/>
    <w:rsid w:val="3A0A4B9D"/>
    <w:rsid w:val="3A0B3112"/>
    <w:rsid w:val="3A277F29"/>
    <w:rsid w:val="3A3000B7"/>
    <w:rsid w:val="3A3053DE"/>
    <w:rsid w:val="3A341B3E"/>
    <w:rsid w:val="3A520FF6"/>
    <w:rsid w:val="3A8A01B8"/>
    <w:rsid w:val="3AC87718"/>
    <w:rsid w:val="3ADF3B5F"/>
    <w:rsid w:val="3AE55345"/>
    <w:rsid w:val="3AF33668"/>
    <w:rsid w:val="3AFA6FD7"/>
    <w:rsid w:val="3B041E40"/>
    <w:rsid w:val="3B2C4D22"/>
    <w:rsid w:val="3B480E2A"/>
    <w:rsid w:val="3B4847A0"/>
    <w:rsid w:val="3B4C2CCE"/>
    <w:rsid w:val="3B6C10A1"/>
    <w:rsid w:val="3B7C32EB"/>
    <w:rsid w:val="3B8303F3"/>
    <w:rsid w:val="3B940ED0"/>
    <w:rsid w:val="3B9603ED"/>
    <w:rsid w:val="3B9A2A34"/>
    <w:rsid w:val="3B9D177C"/>
    <w:rsid w:val="3B9F5D2E"/>
    <w:rsid w:val="3BAA0AC8"/>
    <w:rsid w:val="3BAC19BF"/>
    <w:rsid w:val="3BD13322"/>
    <w:rsid w:val="3BD556B3"/>
    <w:rsid w:val="3BFC247F"/>
    <w:rsid w:val="3C095063"/>
    <w:rsid w:val="3C2F4ACA"/>
    <w:rsid w:val="3C3E2F5F"/>
    <w:rsid w:val="3C65581F"/>
    <w:rsid w:val="3C76333F"/>
    <w:rsid w:val="3C853CFA"/>
    <w:rsid w:val="3CA0532F"/>
    <w:rsid w:val="3CAA05F4"/>
    <w:rsid w:val="3CBE5E4E"/>
    <w:rsid w:val="3CC07C1F"/>
    <w:rsid w:val="3CEF24AA"/>
    <w:rsid w:val="3CF878EB"/>
    <w:rsid w:val="3D22018A"/>
    <w:rsid w:val="3D25536C"/>
    <w:rsid w:val="3D2874FB"/>
    <w:rsid w:val="3D5F5C4B"/>
    <w:rsid w:val="3D874491"/>
    <w:rsid w:val="3D8E3A72"/>
    <w:rsid w:val="3DAC0897"/>
    <w:rsid w:val="3DCE2BC0"/>
    <w:rsid w:val="3DEC4562"/>
    <w:rsid w:val="3E077C17"/>
    <w:rsid w:val="3E104FCC"/>
    <w:rsid w:val="3E4022B9"/>
    <w:rsid w:val="3E497999"/>
    <w:rsid w:val="3E5662FD"/>
    <w:rsid w:val="3E5B115B"/>
    <w:rsid w:val="3E614CE2"/>
    <w:rsid w:val="3E6171BC"/>
    <w:rsid w:val="3E6F5651"/>
    <w:rsid w:val="3EC82FB3"/>
    <w:rsid w:val="3ED93410"/>
    <w:rsid w:val="3EF52B33"/>
    <w:rsid w:val="3EF859D6"/>
    <w:rsid w:val="3F075D41"/>
    <w:rsid w:val="3F19380F"/>
    <w:rsid w:val="3F394E7F"/>
    <w:rsid w:val="3F493BFA"/>
    <w:rsid w:val="3F65395C"/>
    <w:rsid w:val="3F6727CC"/>
    <w:rsid w:val="3F8E5FAB"/>
    <w:rsid w:val="3FA86C76"/>
    <w:rsid w:val="3FAF3DEC"/>
    <w:rsid w:val="3FBA7D39"/>
    <w:rsid w:val="3FBF5B60"/>
    <w:rsid w:val="3FC01EDD"/>
    <w:rsid w:val="3FCE31BA"/>
    <w:rsid w:val="3FD634AE"/>
    <w:rsid w:val="3FEF631E"/>
    <w:rsid w:val="402661E4"/>
    <w:rsid w:val="40345E53"/>
    <w:rsid w:val="4037219F"/>
    <w:rsid w:val="40527C51"/>
    <w:rsid w:val="40695173"/>
    <w:rsid w:val="408818DE"/>
    <w:rsid w:val="409F1AF2"/>
    <w:rsid w:val="40D43E92"/>
    <w:rsid w:val="40D914A8"/>
    <w:rsid w:val="40DD03E1"/>
    <w:rsid w:val="40EB11DB"/>
    <w:rsid w:val="41052CF3"/>
    <w:rsid w:val="410F2584"/>
    <w:rsid w:val="41250B35"/>
    <w:rsid w:val="413620BE"/>
    <w:rsid w:val="4142704D"/>
    <w:rsid w:val="414575D4"/>
    <w:rsid w:val="415C79E3"/>
    <w:rsid w:val="41601281"/>
    <w:rsid w:val="41636FC4"/>
    <w:rsid w:val="417702EA"/>
    <w:rsid w:val="4182569C"/>
    <w:rsid w:val="418825C5"/>
    <w:rsid w:val="418E3BE2"/>
    <w:rsid w:val="419024D4"/>
    <w:rsid w:val="41AA69A0"/>
    <w:rsid w:val="41B33AA7"/>
    <w:rsid w:val="41B62169"/>
    <w:rsid w:val="41DB1250"/>
    <w:rsid w:val="42083CE0"/>
    <w:rsid w:val="422449A5"/>
    <w:rsid w:val="42413C03"/>
    <w:rsid w:val="424469B0"/>
    <w:rsid w:val="42515D15"/>
    <w:rsid w:val="42664FBD"/>
    <w:rsid w:val="42A258CA"/>
    <w:rsid w:val="42A47894"/>
    <w:rsid w:val="42AE06BB"/>
    <w:rsid w:val="42DC527F"/>
    <w:rsid w:val="42F70F6C"/>
    <w:rsid w:val="43351005"/>
    <w:rsid w:val="433B01F8"/>
    <w:rsid w:val="4357717F"/>
    <w:rsid w:val="436037BB"/>
    <w:rsid w:val="437C0210"/>
    <w:rsid w:val="437D56FB"/>
    <w:rsid w:val="4397040F"/>
    <w:rsid w:val="43974D3B"/>
    <w:rsid w:val="439C33FC"/>
    <w:rsid w:val="43A833B4"/>
    <w:rsid w:val="43C10346"/>
    <w:rsid w:val="43C51EE3"/>
    <w:rsid w:val="43F54508"/>
    <w:rsid w:val="440E387B"/>
    <w:rsid w:val="44250560"/>
    <w:rsid w:val="44380557"/>
    <w:rsid w:val="44781916"/>
    <w:rsid w:val="44782D86"/>
    <w:rsid w:val="447B67DA"/>
    <w:rsid w:val="44A678F3"/>
    <w:rsid w:val="44CB55AC"/>
    <w:rsid w:val="44CD5CF0"/>
    <w:rsid w:val="44E51A60"/>
    <w:rsid w:val="44F43DD3"/>
    <w:rsid w:val="45090911"/>
    <w:rsid w:val="450B1918"/>
    <w:rsid w:val="450E7246"/>
    <w:rsid w:val="45101918"/>
    <w:rsid w:val="45143AE1"/>
    <w:rsid w:val="451E56DB"/>
    <w:rsid w:val="453E18DA"/>
    <w:rsid w:val="45542E8F"/>
    <w:rsid w:val="455B692F"/>
    <w:rsid w:val="455E1F7C"/>
    <w:rsid w:val="4575533A"/>
    <w:rsid w:val="457C263C"/>
    <w:rsid w:val="457E261E"/>
    <w:rsid w:val="45830520"/>
    <w:rsid w:val="45C142B9"/>
    <w:rsid w:val="45C31A31"/>
    <w:rsid w:val="45CB2D7A"/>
    <w:rsid w:val="45E22BAD"/>
    <w:rsid w:val="45EF2912"/>
    <w:rsid w:val="45F05111"/>
    <w:rsid w:val="45F210F6"/>
    <w:rsid w:val="460B176E"/>
    <w:rsid w:val="4646302A"/>
    <w:rsid w:val="46480BE5"/>
    <w:rsid w:val="465B25C2"/>
    <w:rsid w:val="46773B36"/>
    <w:rsid w:val="467852BF"/>
    <w:rsid w:val="46853538"/>
    <w:rsid w:val="469E06EA"/>
    <w:rsid w:val="46C73652"/>
    <w:rsid w:val="46D019C3"/>
    <w:rsid w:val="47013507"/>
    <w:rsid w:val="47064FBB"/>
    <w:rsid w:val="47165CFB"/>
    <w:rsid w:val="474812F3"/>
    <w:rsid w:val="4763056C"/>
    <w:rsid w:val="4763658A"/>
    <w:rsid w:val="47671959"/>
    <w:rsid w:val="47AB15AD"/>
    <w:rsid w:val="47B029AC"/>
    <w:rsid w:val="47B13EAC"/>
    <w:rsid w:val="47B6609F"/>
    <w:rsid w:val="47C439B9"/>
    <w:rsid w:val="47CD33E9"/>
    <w:rsid w:val="47ED723B"/>
    <w:rsid w:val="480C16A5"/>
    <w:rsid w:val="48300C2F"/>
    <w:rsid w:val="48651873"/>
    <w:rsid w:val="48AC2FFE"/>
    <w:rsid w:val="48B44239"/>
    <w:rsid w:val="48DD13A9"/>
    <w:rsid w:val="48FA7503"/>
    <w:rsid w:val="491B5D01"/>
    <w:rsid w:val="49342F51"/>
    <w:rsid w:val="49385C0C"/>
    <w:rsid w:val="493C4382"/>
    <w:rsid w:val="494F5AA8"/>
    <w:rsid w:val="497B48D9"/>
    <w:rsid w:val="49825388"/>
    <w:rsid w:val="49BE748D"/>
    <w:rsid w:val="49C64D4C"/>
    <w:rsid w:val="49CA2FE2"/>
    <w:rsid w:val="49E5301D"/>
    <w:rsid w:val="49FD6207"/>
    <w:rsid w:val="4A0976B6"/>
    <w:rsid w:val="4A0F2284"/>
    <w:rsid w:val="4A42092F"/>
    <w:rsid w:val="4A4F6337"/>
    <w:rsid w:val="4A6A3171"/>
    <w:rsid w:val="4A742241"/>
    <w:rsid w:val="4A98140A"/>
    <w:rsid w:val="4A9F500F"/>
    <w:rsid w:val="4ACE54AE"/>
    <w:rsid w:val="4AD945C7"/>
    <w:rsid w:val="4AE03433"/>
    <w:rsid w:val="4AEC7A6E"/>
    <w:rsid w:val="4B1F3F5B"/>
    <w:rsid w:val="4B2067EE"/>
    <w:rsid w:val="4B207CA7"/>
    <w:rsid w:val="4B411DCB"/>
    <w:rsid w:val="4B922640"/>
    <w:rsid w:val="4BA12BC2"/>
    <w:rsid w:val="4BA72142"/>
    <w:rsid w:val="4BA91A77"/>
    <w:rsid w:val="4BBB399B"/>
    <w:rsid w:val="4BF340E9"/>
    <w:rsid w:val="4BF47196"/>
    <w:rsid w:val="4C12586E"/>
    <w:rsid w:val="4C134FA4"/>
    <w:rsid w:val="4C2F4672"/>
    <w:rsid w:val="4C3B38BA"/>
    <w:rsid w:val="4C3F6DB6"/>
    <w:rsid w:val="4C502380"/>
    <w:rsid w:val="4C511FB9"/>
    <w:rsid w:val="4C6A38FC"/>
    <w:rsid w:val="4C76267F"/>
    <w:rsid w:val="4C7D7357"/>
    <w:rsid w:val="4C817358"/>
    <w:rsid w:val="4C983FC5"/>
    <w:rsid w:val="4C9D5F78"/>
    <w:rsid w:val="4CAB7C5C"/>
    <w:rsid w:val="4CC01F49"/>
    <w:rsid w:val="4CDD4686"/>
    <w:rsid w:val="4CFB04EF"/>
    <w:rsid w:val="4D1A2C2C"/>
    <w:rsid w:val="4D235409"/>
    <w:rsid w:val="4D317F76"/>
    <w:rsid w:val="4D393D62"/>
    <w:rsid w:val="4D6335D6"/>
    <w:rsid w:val="4D6B12BC"/>
    <w:rsid w:val="4D8E01DB"/>
    <w:rsid w:val="4DF9613C"/>
    <w:rsid w:val="4DFC0584"/>
    <w:rsid w:val="4E061402"/>
    <w:rsid w:val="4E0F0B9A"/>
    <w:rsid w:val="4E1753BE"/>
    <w:rsid w:val="4E1F4272"/>
    <w:rsid w:val="4E304FF4"/>
    <w:rsid w:val="4E32510B"/>
    <w:rsid w:val="4E440B63"/>
    <w:rsid w:val="4E4D3000"/>
    <w:rsid w:val="4E5403C0"/>
    <w:rsid w:val="4E606D65"/>
    <w:rsid w:val="4E6C5709"/>
    <w:rsid w:val="4E793282"/>
    <w:rsid w:val="4EA34EA3"/>
    <w:rsid w:val="4EA669A2"/>
    <w:rsid w:val="4EBE7F2F"/>
    <w:rsid w:val="4ED42E28"/>
    <w:rsid w:val="4EF53705"/>
    <w:rsid w:val="4F045135"/>
    <w:rsid w:val="4F1E3153"/>
    <w:rsid w:val="4F5D14F6"/>
    <w:rsid w:val="4F5E2D6C"/>
    <w:rsid w:val="4F6B4C56"/>
    <w:rsid w:val="4F876573"/>
    <w:rsid w:val="4FAA2BBC"/>
    <w:rsid w:val="4FB934E2"/>
    <w:rsid w:val="4FBB7FCB"/>
    <w:rsid w:val="4FC22109"/>
    <w:rsid w:val="4FC652ED"/>
    <w:rsid w:val="4FEA1145"/>
    <w:rsid w:val="4FF260E2"/>
    <w:rsid w:val="4FF27E90"/>
    <w:rsid w:val="4FFA6D45"/>
    <w:rsid w:val="50245B70"/>
    <w:rsid w:val="50257533"/>
    <w:rsid w:val="50261A3B"/>
    <w:rsid w:val="504B57F2"/>
    <w:rsid w:val="505E1082"/>
    <w:rsid w:val="506F0D66"/>
    <w:rsid w:val="50720FD1"/>
    <w:rsid w:val="507727D0"/>
    <w:rsid w:val="50773816"/>
    <w:rsid w:val="50774A3B"/>
    <w:rsid w:val="507C2DDD"/>
    <w:rsid w:val="507E34D2"/>
    <w:rsid w:val="50B0523D"/>
    <w:rsid w:val="510369BD"/>
    <w:rsid w:val="510A2D68"/>
    <w:rsid w:val="511571CD"/>
    <w:rsid w:val="51200241"/>
    <w:rsid w:val="513444D8"/>
    <w:rsid w:val="5139389D"/>
    <w:rsid w:val="513E2C61"/>
    <w:rsid w:val="514C4141"/>
    <w:rsid w:val="515F0BDD"/>
    <w:rsid w:val="51606BC2"/>
    <w:rsid w:val="51A36755"/>
    <w:rsid w:val="51D4441A"/>
    <w:rsid w:val="51DF3926"/>
    <w:rsid w:val="51E55E79"/>
    <w:rsid w:val="52043E8B"/>
    <w:rsid w:val="52065E75"/>
    <w:rsid w:val="521D4F6D"/>
    <w:rsid w:val="52271F75"/>
    <w:rsid w:val="522F2253"/>
    <w:rsid w:val="52342B80"/>
    <w:rsid w:val="52426781"/>
    <w:rsid w:val="524D00B7"/>
    <w:rsid w:val="5262474A"/>
    <w:rsid w:val="527A34BD"/>
    <w:rsid w:val="529A036B"/>
    <w:rsid w:val="52A82A88"/>
    <w:rsid w:val="52AA4A52"/>
    <w:rsid w:val="52B23907"/>
    <w:rsid w:val="52CE55DF"/>
    <w:rsid w:val="52D71FC3"/>
    <w:rsid w:val="52EC789F"/>
    <w:rsid w:val="53016EFE"/>
    <w:rsid w:val="5305612D"/>
    <w:rsid w:val="53206AC2"/>
    <w:rsid w:val="5331057C"/>
    <w:rsid w:val="535F3A8F"/>
    <w:rsid w:val="53650979"/>
    <w:rsid w:val="538B43FC"/>
    <w:rsid w:val="538E6122"/>
    <w:rsid w:val="5396035E"/>
    <w:rsid w:val="53BF159F"/>
    <w:rsid w:val="53DD2CA6"/>
    <w:rsid w:val="541212FB"/>
    <w:rsid w:val="54456DC1"/>
    <w:rsid w:val="546649A9"/>
    <w:rsid w:val="548743DB"/>
    <w:rsid w:val="548C2663"/>
    <w:rsid w:val="54AE1860"/>
    <w:rsid w:val="54CA13DC"/>
    <w:rsid w:val="54D20290"/>
    <w:rsid w:val="54E104D3"/>
    <w:rsid w:val="54FC6995"/>
    <w:rsid w:val="550542F8"/>
    <w:rsid w:val="550729B8"/>
    <w:rsid w:val="55504425"/>
    <w:rsid w:val="5559450E"/>
    <w:rsid w:val="55DA7E81"/>
    <w:rsid w:val="55E369A5"/>
    <w:rsid w:val="55F53950"/>
    <w:rsid w:val="55FA68D6"/>
    <w:rsid w:val="5621502B"/>
    <w:rsid w:val="5626538E"/>
    <w:rsid w:val="56301712"/>
    <w:rsid w:val="563958B2"/>
    <w:rsid w:val="563C1E65"/>
    <w:rsid w:val="564E1B99"/>
    <w:rsid w:val="565842E5"/>
    <w:rsid w:val="565E08FB"/>
    <w:rsid w:val="56705B33"/>
    <w:rsid w:val="567E1200"/>
    <w:rsid w:val="56AE3EDF"/>
    <w:rsid w:val="56E61F62"/>
    <w:rsid w:val="56ED7603"/>
    <w:rsid w:val="56F867C0"/>
    <w:rsid w:val="570A25C0"/>
    <w:rsid w:val="570C16B1"/>
    <w:rsid w:val="57376C55"/>
    <w:rsid w:val="574511ED"/>
    <w:rsid w:val="575379E4"/>
    <w:rsid w:val="575A18DB"/>
    <w:rsid w:val="575C2093"/>
    <w:rsid w:val="577218B7"/>
    <w:rsid w:val="57853A97"/>
    <w:rsid w:val="578D50EF"/>
    <w:rsid w:val="57B02100"/>
    <w:rsid w:val="57CF2865"/>
    <w:rsid w:val="57EE3633"/>
    <w:rsid w:val="580274C0"/>
    <w:rsid w:val="580A59C7"/>
    <w:rsid w:val="58263136"/>
    <w:rsid w:val="583E1130"/>
    <w:rsid w:val="584D65AC"/>
    <w:rsid w:val="58566198"/>
    <w:rsid w:val="5862192B"/>
    <w:rsid w:val="58661D39"/>
    <w:rsid w:val="58B71C77"/>
    <w:rsid w:val="58C417D7"/>
    <w:rsid w:val="58C83E84"/>
    <w:rsid w:val="58D75E75"/>
    <w:rsid w:val="58DB151A"/>
    <w:rsid w:val="58FA6008"/>
    <w:rsid w:val="59081FCD"/>
    <w:rsid w:val="59205EDA"/>
    <w:rsid w:val="592F7A5F"/>
    <w:rsid w:val="594D25DB"/>
    <w:rsid w:val="598E476E"/>
    <w:rsid w:val="59B70A87"/>
    <w:rsid w:val="59BB5797"/>
    <w:rsid w:val="59C363FA"/>
    <w:rsid w:val="59C9705D"/>
    <w:rsid w:val="59FA0944"/>
    <w:rsid w:val="5A0A227A"/>
    <w:rsid w:val="5A0E3B19"/>
    <w:rsid w:val="5A3A2B60"/>
    <w:rsid w:val="5A615AEF"/>
    <w:rsid w:val="5A6B6577"/>
    <w:rsid w:val="5A757712"/>
    <w:rsid w:val="5A871B1D"/>
    <w:rsid w:val="5A8C0EE1"/>
    <w:rsid w:val="5A905467"/>
    <w:rsid w:val="5AAD1584"/>
    <w:rsid w:val="5AD96274"/>
    <w:rsid w:val="5AE8436A"/>
    <w:rsid w:val="5AEE7721"/>
    <w:rsid w:val="5AF50177"/>
    <w:rsid w:val="5AF57337"/>
    <w:rsid w:val="5B1813A4"/>
    <w:rsid w:val="5B4D68C3"/>
    <w:rsid w:val="5B5C5DC6"/>
    <w:rsid w:val="5BA11A61"/>
    <w:rsid w:val="5BBA55DA"/>
    <w:rsid w:val="5BBC1594"/>
    <w:rsid w:val="5BD927C6"/>
    <w:rsid w:val="5C142F3C"/>
    <w:rsid w:val="5C7177F8"/>
    <w:rsid w:val="5C8B76A2"/>
    <w:rsid w:val="5C98444D"/>
    <w:rsid w:val="5CB67869"/>
    <w:rsid w:val="5CFD1C22"/>
    <w:rsid w:val="5D06561F"/>
    <w:rsid w:val="5D067E69"/>
    <w:rsid w:val="5D0E33CC"/>
    <w:rsid w:val="5D1A27D4"/>
    <w:rsid w:val="5D26561D"/>
    <w:rsid w:val="5D2F234D"/>
    <w:rsid w:val="5D30024A"/>
    <w:rsid w:val="5D53444F"/>
    <w:rsid w:val="5D6A375C"/>
    <w:rsid w:val="5D8F31C2"/>
    <w:rsid w:val="5D925801"/>
    <w:rsid w:val="5D94425E"/>
    <w:rsid w:val="5D9462E0"/>
    <w:rsid w:val="5DA43224"/>
    <w:rsid w:val="5DB9023F"/>
    <w:rsid w:val="5DC2236D"/>
    <w:rsid w:val="5DCF1875"/>
    <w:rsid w:val="5DF64FF0"/>
    <w:rsid w:val="5DFD6A50"/>
    <w:rsid w:val="5E14191A"/>
    <w:rsid w:val="5E213592"/>
    <w:rsid w:val="5E2F405E"/>
    <w:rsid w:val="5E343D6A"/>
    <w:rsid w:val="5E524C74"/>
    <w:rsid w:val="5E6301AB"/>
    <w:rsid w:val="5E677FA5"/>
    <w:rsid w:val="5E736640"/>
    <w:rsid w:val="5E7A1709"/>
    <w:rsid w:val="5E7E5A19"/>
    <w:rsid w:val="5E876AA6"/>
    <w:rsid w:val="5E8A5738"/>
    <w:rsid w:val="5EA902B4"/>
    <w:rsid w:val="5ED361E9"/>
    <w:rsid w:val="5EE91204"/>
    <w:rsid w:val="5F155949"/>
    <w:rsid w:val="5F1C6CD8"/>
    <w:rsid w:val="5F1F40D2"/>
    <w:rsid w:val="5F271AFC"/>
    <w:rsid w:val="5F294A69"/>
    <w:rsid w:val="5F2D2ABD"/>
    <w:rsid w:val="5F2D2C93"/>
    <w:rsid w:val="5F394F73"/>
    <w:rsid w:val="5F6E4126"/>
    <w:rsid w:val="5F940D9A"/>
    <w:rsid w:val="5FA32F55"/>
    <w:rsid w:val="5FBC7B73"/>
    <w:rsid w:val="5FC5145A"/>
    <w:rsid w:val="5FCD1D80"/>
    <w:rsid w:val="60046E25"/>
    <w:rsid w:val="60180ADE"/>
    <w:rsid w:val="601C2C19"/>
    <w:rsid w:val="601E6AF9"/>
    <w:rsid w:val="60211D05"/>
    <w:rsid w:val="602816AC"/>
    <w:rsid w:val="602E6906"/>
    <w:rsid w:val="603E3C00"/>
    <w:rsid w:val="604C7149"/>
    <w:rsid w:val="6054424F"/>
    <w:rsid w:val="605B738C"/>
    <w:rsid w:val="608C5797"/>
    <w:rsid w:val="60975059"/>
    <w:rsid w:val="60A32AE1"/>
    <w:rsid w:val="61064443"/>
    <w:rsid w:val="610B29DF"/>
    <w:rsid w:val="61302BB0"/>
    <w:rsid w:val="614A474A"/>
    <w:rsid w:val="615F2DC7"/>
    <w:rsid w:val="616F01C7"/>
    <w:rsid w:val="617978AA"/>
    <w:rsid w:val="619568CD"/>
    <w:rsid w:val="61AC7872"/>
    <w:rsid w:val="61B2747F"/>
    <w:rsid w:val="61D03DA9"/>
    <w:rsid w:val="61F46755"/>
    <w:rsid w:val="62051361"/>
    <w:rsid w:val="621517BC"/>
    <w:rsid w:val="62355AEA"/>
    <w:rsid w:val="623B4B9D"/>
    <w:rsid w:val="62520829"/>
    <w:rsid w:val="62595AAB"/>
    <w:rsid w:val="6271733B"/>
    <w:rsid w:val="627210A5"/>
    <w:rsid w:val="6283457C"/>
    <w:rsid w:val="62C51434"/>
    <w:rsid w:val="62CD073C"/>
    <w:rsid w:val="62EC27AC"/>
    <w:rsid w:val="63272EBA"/>
    <w:rsid w:val="63437E93"/>
    <w:rsid w:val="634A1DC2"/>
    <w:rsid w:val="636C7B02"/>
    <w:rsid w:val="63967FD9"/>
    <w:rsid w:val="639C725E"/>
    <w:rsid w:val="63BA0C08"/>
    <w:rsid w:val="63DF02D4"/>
    <w:rsid w:val="63E1229E"/>
    <w:rsid w:val="64012DCD"/>
    <w:rsid w:val="64236413"/>
    <w:rsid w:val="64265F03"/>
    <w:rsid w:val="644D348F"/>
    <w:rsid w:val="64646457"/>
    <w:rsid w:val="646A410B"/>
    <w:rsid w:val="646A762D"/>
    <w:rsid w:val="646D768E"/>
    <w:rsid w:val="64915A72"/>
    <w:rsid w:val="64B1353F"/>
    <w:rsid w:val="64C25C2B"/>
    <w:rsid w:val="64C96FF6"/>
    <w:rsid w:val="64CE0E3C"/>
    <w:rsid w:val="64D12312"/>
    <w:rsid w:val="64DF4A2F"/>
    <w:rsid w:val="64FD143A"/>
    <w:rsid w:val="650200A8"/>
    <w:rsid w:val="650332E7"/>
    <w:rsid w:val="65197815"/>
    <w:rsid w:val="65200BA4"/>
    <w:rsid w:val="65785BCE"/>
    <w:rsid w:val="6593581A"/>
    <w:rsid w:val="65B06B83"/>
    <w:rsid w:val="65B17AC9"/>
    <w:rsid w:val="65B26997"/>
    <w:rsid w:val="65B30982"/>
    <w:rsid w:val="65EB2F60"/>
    <w:rsid w:val="6610503A"/>
    <w:rsid w:val="6643416A"/>
    <w:rsid w:val="664F7993"/>
    <w:rsid w:val="66707909"/>
    <w:rsid w:val="668877D1"/>
    <w:rsid w:val="668B37FA"/>
    <w:rsid w:val="66D103A8"/>
    <w:rsid w:val="66ED6C61"/>
    <w:rsid w:val="66F4413B"/>
    <w:rsid w:val="671B5AC7"/>
    <w:rsid w:val="674C5C92"/>
    <w:rsid w:val="674D2AA4"/>
    <w:rsid w:val="6753700F"/>
    <w:rsid w:val="67572894"/>
    <w:rsid w:val="678305B2"/>
    <w:rsid w:val="67845E9E"/>
    <w:rsid w:val="67907C81"/>
    <w:rsid w:val="67C721F6"/>
    <w:rsid w:val="67E7517D"/>
    <w:rsid w:val="68024591"/>
    <w:rsid w:val="68030A35"/>
    <w:rsid w:val="680C5410"/>
    <w:rsid w:val="68437083"/>
    <w:rsid w:val="6848469A"/>
    <w:rsid w:val="684A6664"/>
    <w:rsid w:val="68581F34"/>
    <w:rsid w:val="6870599E"/>
    <w:rsid w:val="68722505"/>
    <w:rsid w:val="68AE6CB8"/>
    <w:rsid w:val="68B97345"/>
    <w:rsid w:val="68D0468F"/>
    <w:rsid w:val="68D67EF7"/>
    <w:rsid w:val="68DC4DE2"/>
    <w:rsid w:val="690E1D46"/>
    <w:rsid w:val="692F7608"/>
    <w:rsid w:val="6978582A"/>
    <w:rsid w:val="69821E2D"/>
    <w:rsid w:val="6982672A"/>
    <w:rsid w:val="69961585"/>
    <w:rsid w:val="69B04A7A"/>
    <w:rsid w:val="69B31FE7"/>
    <w:rsid w:val="69C271C2"/>
    <w:rsid w:val="69C72FA1"/>
    <w:rsid w:val="69CD0FEB"/>
    <w:rsid w:val="69D02B99"/>
    <w:rsid w:val="69DD6A83"/>
    <w:rsid w:val="69E711FA"/>
    <w:rsid w:val="69F6406B"/>
    <w:rsid w:val="6A03038A"/>
    <w:rsid w:val="6A152CA1"/>
    <w:rsid w:val="6A174936"/>
    <w:rsid w:val="6A1E1BE1"/>
    <w:rsid w:val="6A333406"/>
    <w:rsid w:val="6A3B3D8A"/>
    <w:rsid w:val="6A3F333A"/>
    <w:rsid w:val="6A484E25"/>
    <w:rsid w:val="6A507835"/>
    <w:rsid w:val="6A5D01A4"/>
    <w:rsid w:val="6A627569"/>
    <w:rsid w:val="6A6F1098"/>
    <w:rsid w:val="6A7D41CC"/>
    <w:rsid w:val="6AA52231"/>
    <w:rsid w:val="6AB029CA"/>
    <w:rsid w:val="6AD14EFC"/>
    <w:rsid w:val="6AD2040A"/>
    <w:rsid w:val="6AD55F8D"/>
    <w:rsid w:val="6ADF7B8E"/>
    <w:rsid w:val="6AFC176B"/>
    <w:rsid w:val="6AFE0C17"/>
    <w:rsid w:val="6B036F9E"/>
    <w:rsid w:val="6B1116BB"/>
    <w:rsid w:val="6B296B72"/>
    <w:rsid w:val="6B3222C4"/>
    <w:rsid w:val="6B3344D1"/>
    <w:rsid w:val="6B3D24B0"/>
    <w:rsid w:val="6B476E8A"/>
    <w:rsid w:val="6B601CFA"/>
    <w:rsid w:val="6B6C46F0"/>
    <w:rsid w:val="6B6F018F"/>
    <w:rsid w:val="6B930BEB"/>
    <w:rsid w:val="6B970C2F"/>
    <w:rsid w:val="6BBA3B00"/>
    <w:rsid w:val="6BC75964"/>
    <w:rsid w:val="6BCA0A25"/>
    <w:rsid w:val="6BE0108D"/>
    <w:rsid w:val="6BE40B7D"/>
    <w:rsid w:val="6BE82C87"/>
    <w:rsid w:val="6C042424"/>
    <w:rsid w:val="6C0703C8"/>
    <w:rsid w:val="6C081715"/>
    <w:rsid w:val="6C2642E1"/>
    <w:rsid w:val="6C364507"/>
    <w:rsid w:val="6C383D9C"/>
    <w:rsid w:val="6C5850C7"/>
    <w:rsid w:val="6C933351"/>
    <w:rsid w:val="6C984818"/>
    <w:rsid w:val="6CA52DCB"/>
    <w:rsid w:val="6CB3771F"/>
    <w:rsid w:val="6CC03B84"/>
    <w:rsid w:val="6CF14895"/>
    <w:rsid w:val="6CF22E26"/>
    <w:rsid w:val="6D01170B"/>
    <w:rsid w:val="6D062D75"/>
    <w:rsid w:val="6D1159A2"/>
    <w:rsid w:val="6D272A1B"/>
    <w:rsid w:val="6D2A3B45"/>
    <w:rsid w:val="6D4D3BB2"/>
    <w:rsid w:val="6D5E2269"/>
    <w:rsid w:val="6D635AD2"/>
    <w:rsid w:val="6DC508D9"/>
    <w:rsid w:val="6DD37246"/>
    <w:rsid w:val="6DE85FD7"/>
    <w:rsid w:val="6E1F7C4B"/>
    <w:rsid w:val="6E200A3D"/>
    <w:rsid w:val="6E2A33F9"/>
    <w:rsid w:val="6E66587A"/>
    <w:rsid w:val="6E674024"/>
    <w:rsid w:val="6E6C4F7B"/>
    <w:rsid w:val="6E8158A8"/>
    <w:rsid w:val="6E900B48"/>
    <w:rsid w:val="6E9566FE"/>
    <w:rsid w:val="6EA42846"/>
    <w:rsid w:val="6EB14E9F"/>
    <w:rsid w:val="6ED47B01"/>
    <w:rsid w:val="6ED72162"/>
    <w:rsid w:val="6F0B4673"/>
    <w:rsid w:val="6F114E2C"/>
    <w:rsid w:val="6F4D4C8B"/>
    <w:rsid w:val="6F4F27B2"/>
    <w:rsid w:val="6F593630"/>
    <w:rsid w:val="6F6742A4"/>
    <w:rsid w:val="6F7A732F"/>
    <w:rsid w:val="6F7E597E"/>
    <w:rsid w:val="6F8A6D9E"/>
    <w:rsid w:val="6FBA4112"/>
    <w:rsid w:val="6FD1766A"/>
    <w:rsid w:val="6FD76303"/>
    <w:rsid w:val="6FFB0243"/>
    <w:rsid w:val="70443956"/>
    <w:rsid w:val="704C2BA1"/>
    <w:rsid w:val="705B5639"/>
    <w:rsid w:val="7060279C"/>
    <w:rsid w:val="70B825D8"/>
    <w:rsid w:val="70DB5EED"/>
    <w:rsid w:val="70E80504"/>
    <w:rsid w:val="70EB6AB5"/>
    <w:rsid w:val="70F07835"/>
    <w:rsid w:val="710C3D9F"/>
    <w:rsid w:val="712522F9"/>
    <w:rsid w:val="712D267F"/>
    <w:rsid w:val="713A123F"/>
    <w:rsid w:val="714F59E1"/>
    <w:rsid w:val="71662034"/>
    <w:rsid w:val="718129CA"/>
    <w:rsid w:val="718D136F"/>
    <w:rsid w:val="71A117D5"/>
    <w:rsid w:val="71D1703C"/>
    <w:rsid w:val="71D950CC"/>
    <w:rsid w:val="71DA3698"/>
    <w:rsid w:val="72007D93"/>
    <w:rsid w:val="722A4E10"/>
    <w:rsid w:val="724F7014"/>
    <w:rsid w:val="72557996"/>
    <w:rsid w:val="72750781"/>
    <w:rsid w:val="72A12A20"/>
    <w:rsid w:val="72BA43E6"/>
    <w:rsid w:val="72BE7D8D"/>
    <w:rsid w:val="72DC5392"/>
    <w:rsid w:val="72DD5D58"/>
    <w:rsid w:val="72DF3E4C"/>
    <w:rsid w:val="72E21A89"/>
    <w:rsid w:val="72E80848"/>
    <w:rsid w:val="732C4E6D"/>
    <w:rsid w:val="733777E5"/>
    <w:rsid w:val="73390591"/>
    <w:rsid w:val="73471404"/>
    <w:rsid w:val="73881440"/>
    <w:rsid w:val="739764D5"/>
    <w:rsid w:val="73A33B75"/>
    <w:rsid w:val="73AA67ED"/>
    <w:rsid w:val="73BA21C4"/>
    <w:rsid w:val="73CB1DE7"/>
    <w:rsid w:val="745A70D0"/>
    <w:rsid w:val="747B6F40"/>
    <w:rsid w:val="74942BE2"/>
    <w:rsid w:val="74A23383"/>
    <w:rsid w:val="74AB66DC"/>
    <w:rsid w:val="74B65081"/>
    <w:rsid w:val="74C50E20"/>
    <w:rsid w:val="74CE7351"/>
    <w:rsid w:val="74D039CC"/>
    <w:rsid w:val="74D84FF7"/>
    <w:rsid w:val="74DA4BC3"/>
    <w:rsid w:val="74E219D2"/>
    <w:rsid w:val="74F00593"/>
    <w:rsid w:val="75173924"/>
    <w:rsid w:val="7524023C"/>
    <w:rsid w:val="75397C72"/>
    <w:rsid w:val="753A7A60"/>
    <w:rsid w:val="758D193E"/>
    <w:rsid w:val="75930F1E"/>
    <w:rsid w:val="75B710B1"/>
    <w:rsid w:val="75CD0221"/>
    <w:rsid w:val="75DC0B17"/>
    <w:rsid w:val="760C31C7"/>
    <w:rsid w:val="761B4D50"/>
    <w:rsid w:val="761D6344"/>
    <w:rsid w:val="762914CB"/>
    <w:rsid w:val="76465F91"/>
    <w:rsid w:val="765D2908"/>
    <w:rsid w:val="767973B3"/>
    <w:rsid w:val="767A162F"/>
    <w:rsid w:val="767F3DD7"/>
    <w:rsid w:val="768B2201"/>
    <w:rsid w:val="76CE5585"/>
    <w:rsid w:val="76E71522"/>
    <w:rsid w:val="76F854DD"/>
    <w:rsid w:val="77091498"/>
    <w:rsid w:val="770C0F88"/>
    <w:rsid w:val="771E46E9"/>
    <w:rsid w:val="771F0CBB"/>
    <w:rsid w:val="77421848"/>
    <w:rsid w:val="77562203"/>
    <w:rsid w:val="775E3AA2"/>
    <w:rsid w:val="77620472"/>
    <w:rsid w:val="77E17FAE"/>
    <w:rsid w:val="77F162D0"/>
    <w:rsid w:val="77F75D83"/>
    <w:rsid w:val="783B7D77"/>
    <w:rsid w:val="78542BE7"/>
    <w:rsid w:val="78564BB1"/>
    <w:rsid w:val="785F62A8"/>
    <w:rsid w:val="786170B2"/>
    <w:rsid w:val="786A065C"/>
    <w:rsid w:val="786B5A9C"/>
    <w:rsid w:val="788E15B1"/>
    <w:rsid w:val="789B724D"/>
    <w:rsid w:val="78D8372F"/>
    <w:rsid w:val="791462E9"/>
    <w:rsid w:val="791A5BDE"/>
    <w:rsid w:val="791B3704"/>
    <w:rsid w:val="79295E21"/>
    <w:rsid w:val="794A5D98"/>
    <w:rsid w:val="79574D2C"/>
    <w:rsid w:val="79981557"/>
    <w:rsid w:val="799817A9"/>
    <w:rsid w:val="79AD3F1E"/>
    <w:rsid w:val="79C93160"/>
    <w:rsid w:val="79E70E35"/>
    <w:rsid w:val="79FE23DD"/>
    <w:rsid w:val="7A0D5B55"/>
    <w:rsid w:val="7A2D36EF"/>
    <w:rsid w:val="7A345163"/>
    <w:rsid w:val="7A396722"/>
    <w:rsid w:val="7A3C6F39"/>
    <w:rsid w:val="7A440DA5"/>
    <w:rsid w:val="7A4D5B40"/>
    <w:rsid w:val="7AB94F83"/>
    <w:rsid w:val="7AC255F2"/>
    <w:rsid w:val="7B0E1522"/>
    <w:rsid w:val="7B0E386D"/>
    <w:rsid w:val="7B0F7BFF"/>
    <w:rsid w:val="7B140EAF"/>
    <w:rsid w:val="7B1B5C3E"/>
    <w:rsid w:val="7B2E2F14"/>
    <w:rsid w:val="7B340AAD"/>
    <w:rsid w:val="7B443D8C"/>
    <w:rsid w:val="7B5B24DE"/>
    <w:rsid w:val="7B66335D"/>
    <w:rsid w:val="7B68570A"/>
    <w:rsid w:val="7B690757"/>
    <w:rsid w:val="7B810197"/>
    <w:rsid w:val="7B916684"/>
    <w:rsid w:val="7B9C7330"/>
    <w:rsid w:val="7BBF2736"/>
    <w:rsid w:val="7BC938EC"/>
    <w:rsid w:val="7BCB03A5"/>
    <w:rsid w:val="7BE75B20"/>
    <w:rsid w:val="7BEC1A68"/>
    <w:rsid w:val="7BEC43CB"/>
    <w:rsid w:val="7BF721C0"/>
    <w:rsid w:val="7C072C56"/>
    <w:rsid w:val="7C0F6C70"/>
    <w:rsid w:val="7C106951"/>
    <w:rsid w:val="7C136915"/>
    <w:rsid w:val="7C2A4A9C"/>
    <w:rsid w:val="7C330D65"/>
    <w:rsid w:val="7C64315A"/>
    <w:rsid w:val="7C8A0734"/>
    <w:rsid w:val="7CCC4D1F"/>
    <w:rsid w:val="7CD9190C"/>
    <w:rsid w:val="7CF95B0B"/>
    <w:rsid w:val="7D24185F"/>
    <w:rsid w:val="7D3857DB"/>
    <w:rsid w:val="7D3C5699"/>
    <w:rsid w:val="7D52346D"/>
    <w:rsid w:val="7D5471E5"/>
    <w:rsid w:val="7D5947FB"/>
    <w:rsid w:val="7D865AA6"/>
    <w:rsid w:val="7D8B3EE3"/>
    <w:rsid w:val="7D926EA8"/>
    <w:rsid w:val="7DB008BF"/>
    <w:rsid w:val="7DC720AD"/>
    <w:rsid w:val="7E06473A"/>
    <w:rsid w:val="7E0852E1"/>
    <w:rsid w:val="7E0D3F64"/>
    <w:rsid w:val="7E4E6327"/>
    <w:rsid w:val="7E5751DF"/>
    <w:rsid w:val="7E726B7F"/>
    <w:rsid w:val="7EAC3E7F"/>
    <w:rsid w:val="7EAD75A2"/>
    <w:rsid w:val="7EAF6DC9"/>
    <w:rsid w:val="7ED56104"/>
    <w:rsid w:val="7F0451CD"/>
    <w:rsid w:val="7F08472B"/>
    <w:rsid w:val="7F1840BB"/>
    <w:rsid w:val="7F1906E6"/>
    <w:rsid w:val="7F1A4874"/>
    <w:rsid w:val="7F3217A8"/>
    <w:rsid w:val="7F3A5F42"/>
    <w:rsid w:val="7F436966"/>
    <w:rsid w:val="7F6829E0"/>
    <w:rsid w:val="7F710522"/>
    <w:rsid w:val="7F791211"/>
    <w:rsid w:val="7F8416BA"/>
    <w:rsid w:val="7F8856D7"/>
    <w:rsid w:val="7F967713"/>
    <w:rsid w:val="7F9D3340"/>
    <w:rsid w:val="7FA54D57"/>
    <w:rsid w:val="7FB81CAD"/>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0"/>
    <w:pPr>
      <w:keepNext/>
      <w:keepLines/>
      <w:numPr>
        <w:ilvl w:val="3"/>
        <w:numId w:val="1"/>
      </w:numPr>
      <w:ind w:firstLine="0" w:firstLineChars="0"/>
      <w:outlineLvl w:val="3"/>
    </w:pPr>
    <w:rPr>
      <w:b/>
      <w:bCs/>
      <w:szCs w:val="28"/>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unhideWhenUsed/>
    <w:qFormat/>
    <w:uiPriority w:val="99"/>
    <w:pPr>
      <w:spacing w:before="120"/>
    </w:pPr>
    <w:rPr>
      <w:rFonts w:ascii="Cambria" w:hAnsi="Cambria" w:cs="Times New Roman"/>
      <w:sz w:val="24"/>
      <w:szCs w:val="24"/>
    </w:rPr>
  </w:style>
  <w:style w:type="paragraph" w:styleId="8">
    <w:name w:val="Body Text"/>
    <w:basedOn w:val="1"/>
    <w:next w:val="1"/>
    <w:qFormat/>
    <w:uiPriority w:val="0"/>
    <w:pPr>
      <w:tabs>
        <w:tab w:val="left" w:pos="567"/>
      </w:tabs>
      <w:spacing w:before="120" w:line="22" w:lineRule="atLeast"/>
    </w:pPr>
    <w:rPr>
      <w:rFonts w:ascii="宋体" w:hAnsi="宋体"/>
      <w:sz w:val="24"/>
    </w:rPr>
  </w:style>
  <w:style w:type="paragraph" w:styleId="9">
    <w:name w:val="Body Text Indent"/>
    <w:basedOn w:val="1"/>
    <w:next w:val="10"/>
    <w:qFormat/>
    <w:uiPriority w:val="0"/>
    <w:pPr>
      <w:spacing w:line="360" w:lineRule="auto"/>
      <w:ind w:firstLine="570"/>
    </w:pPr>
    <w:rPr>
      <w:sz w:val="24"/>
    </w:rPr>
  </w:style>
  <w:style w:type="paragraph" w:styleId="10">
    <w:name w:val="toc 5"/>
    <w:basedOn w:val="1"/>
    <w:next w:val="1"/>
    <w:qFormat/>
    <w:uiPriority w:val="0"/>
    <w:pPr>
      <w:widowControl w:val="0"/>
      <w:autoSpaceDE w:val="0"/>
      <w:autoSpaceDN w:val="0"/>
      <w:ind w:left="840"/>
    </w:pPr>
    <w:rPr>
      <w:rFonts w:ascii="Calibri" w:hAnsi="Calibri" w:eastAsia="宋体" w:cs="宋体"/>
      <w:sz w:val="18"/>
      <w:szCs w:val="18"/>
      <w:lang w:val="zh-CN" w:eastAsia="zh-CN" w:bidi="zh-CN"/>
    </w:r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List"/>
    <w:basedOn w:val="1"/>
    <w:qFormat/>
    <w:uiPriority w:val="0"/>
    <w:pPr>
      <w:widowControl/>
      <w:adjustRightInd w:val="0"/>
      <w:snapToGrid w:val="0"/>
      <w:spacing w:line="312" w:lineRule="auto"/>
      <w:jc w:val="center"/>
    </w:pPr>
    <w:rPr>
      <w:rFonts w:ascii="黑体" w:hAnsi="宋体" w:eastAsia="黑体" w:cs="宋体"/>
      <w:snapToGrid w:val="0"/>
      <w:sz w:val="24"/>
    </w:rPr>
  </w:style>
  <w:style w:type="paragraph" w:styleId="17">
    <w:name w:val="footnote text"/>
    <w:basedOn w:val="1"/>
    <w:next w:val="8"/>
    <w:qFormat/>
    <w:uiPriority w:val="0"/>
    <w:pPr>
      <w:widowControl w:val="0"/>
      <w:adjustRightInd w:val="0"/>
      <w:spacing w:line="315" w:lineRule="atLeast"/>
      <w:jc w:val="both"/>
      <w:textAlignment w:val="baseline"/>
    </w:pPr>
    <w:rPr>
      <w:rFonts w:ascii="宋体" w:hAnsi="宋体"/>
      <w:sz w:val="18"/>
      <w:szCs w:val="18"/>
    </w:rPr>
  </w:style>
  <w:style w:type="paragraph" w:styleId="18">
    <w:name w:val="Body Text Indent 3"/>
    <w:basedOn w:val="1"/>
    <w:next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19">
    <w:name w:val="toc 2"/>
    <w:basedOn w:val="1"/>
    <w:next w:val="1"/>
    <w:qFormat/>
    <w:uiPriority w:val="39"/>
    <w:pPr>
      <w:ind w:left="420" w:leftChars="200"/>
    </w:pPr>
  </w:style>
  <w:style w:type="paragraph" w:styleId="20">
    <w:name w:val="Body Text 2"/>
    <w:basedOn w:val="1"/>
    <w:unhideWhenUsed/>
    <w:qFormat/>
    <w:uiPriority w:val="99"/>
    <w:pPr>
      <w:spacing w:after="120" w:line="480" w:lineRule="auto"/>
    </w:pPr>
  </w:style>
  <w:style w:type="paragraph" w:styleId="21">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8"/>
    <w:next w:val="1"/>
    <w:unhideWhenUsed/>
    <w:qFormat/>
    <w:uiPriority w:val="99"/>
    <w:pPr>
      <w:ind w:firstLine="420" w:firstLineChars="100"/>
    </w:pPr>
  </w:style>
  <w:style w:type="paragraph" w:customStyle="1" w:styleId="25">
    <w:name w:val="正文缩进1"/>
    <w:basedOn w:val="26"/>
    <w:next w:val="9"/>
    <w:qFormat/>
    <w:uiPriority w:val="0"/>
    <w:pPr>
      <w:autoSpaceDE w:val="0"/>
      <w:autoSpaceDN w:val="0"/>
      <w:adjustRightInd w:val="0"/>
      <w:ind w:firstLine="420"/>
      <w:jc w:val="left"/>
    </w:pPr>
    <w:rPr>
      <w:rFonts w:ascii="宋体"/>
      <w:kern w:val="0"/>
      <w:sz w:val="24"/>
      <w:szCs w:val="20"/>
    </w:rPr>
  </w:style>
  <w:style w:type="paragraph" w:customStyle="1" w:styleId="26">
    <w:name w:val="正文2"/>
    <w:next w:val="1"/>
    <w:qFormat/>
    <w:uiPriority w:val="0"/>
    <w:rPr>
      <w:rFonts w:ascii="Times New Roman" w:hAnsi="Times New Roman" w:eastAsia="Times New Roman" w:cs="Times New Roman"/>
      <w:sz w:val="24"/>
      <w:szCs w:val="24"/>
      <w:lang w:val="en-US" w:eastAsia="zh-CN" w:bidi="ar-SA"/>
    </w:rPr>
  </w:style>
  <w:style w:type="character" w:customStyle="1" w:styleId="27">
    <w:name w:val="font11"/>
    <w:basedOn w:val="24"/>
    <w:qFormat/>
    <w:uiPriority w:val="0"/>
    <w:rPr>
      <w:rFonts w:hint="default" w:ascii="Times New Roman" w:hAnsi="Times New Roman" w:cs="Times New Roman"/>
      <w:color w:val="000000"/>
      <w:sz w:val="24"/>
      <w:szCs w:val="24"/>
      <w:u w:val="none"/>
    </w:rPr>
  </w:style>
  <w:style w:type="character" w:customStyle="1" w:styleId="28">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29">
    <w:name w:val="WPS Plain"/>
    <w:qFormat/>
    <w:uiPriority w:val="99"/>
    <w:rPr>
      <w:rFonts w:ascii="Times New Roman" w:hAnsi="Times New Roman" w:eastAsia="宋体" w:cs="Times New Roman"/>
      <w:lang w:val="en-US" w:eastAsia="zh-CN" w:bidi="ar-SA"/>
    </w:rPr>
  </w:style>
  <w:style w:type="paragraph" w:customStyle="1" w:styleId="30">
    <w:name w:val="索引 11"/>
    <w:basedOn w:val="1"/>
    <w:next w:val="1"/>
    <w:qFormat/>
    <w:uiPriority w:val="0"/>
    <w:pPr>
      <w:spacing w:line="360" w:lineRule="auto"/>
    </w:pPr>
    <w:rPr>
      <w:rFonts w:ascii="仿宋_GB2312" w:eastAsia="仿宋_GB2312"/>
      <w:sz w:val="24"/>
      <w:szCs w:val="20"/>
    </w:rPr>
  </w:style>
  <w:style w:type="paragraph" w:customStyle="1" w:styleId="31">
    <w:name w:val="纯文本1"/>
    <w:basedOn w:val="1"/>
    <w:qFormat/>
    <w:uiPriority w:val="0"/>
    <w:rPr>
      <w:rFonts w:ascii="宋体" w:hAnsi="Courier New"/>
      <w:kern w:val="0"/>
      <w:sz w:val="20"/>
      <w:szCs w:val="20"/>
    </w:rPr>
  </w:style>
  <w:style w:type="character" w:customStyle="1" w:styleId="32">
    <w:name w:val="bookmark-item"/>
    <w:qFormat/>
    <w:uiPriority w:val="0"/>
  </w:style>
  <w:style w:type="paragraph" w:customStyle="1" w:styleId="33">
    <w:name w:val="列出段落1"/>
    <w:basedOn w:val="1"/>
    <w:qFormat/>
    <w:uiPriority w:val="34"/>
    <w:pPr>
      <w:widowControl/>
      <w:ind w:firstLine="420" w:firstLineChars="200"/>
      <w:jc w:val="left"/>
    </w:pPr>
    <w:rPr>
      <w:kern w:val="0"/>
      <w:sz w:val="24"/>
    </w:rPr>
  </w:style>
  <w:style w:type="paragraph" w:customStyle="1" w:styleId="34">
    <w:name w:val="BodyText"/>
    <w:basedOn w:val="1"/>
    <w:next w:val="1"/>
    <w:qFormat/>
    <w:uiPriority w:val="0"/>
    <w:pPr>
      <w:spacing w:line="380" w:lineRule="exact"/>
      <w:jc w:val="both"/>
    </w:pPr>
    <w:rPr>
      <w:kern w:val="2"/>
      <w:sz w:val="24"/>
      <w:szCs w:val="24"/>
      <w:lang w:val="en-US" w:eastAsia="zh-CN" w:bidi="ar-SA"/>
    </w:rPr>
  </w:style>
  <w:style w:type="paragraph" w:customStyle="1" w:styleId="35">
    <w:name w:val="索引 61"/>
    <w:basedOn w:val="1"/>
    <w:next w:val="1"/>
    <w:qFormat/>
    <w:uiPriority w:val="0"/>
    <w:pPr>
      <w:ind w:left="1000" w:leftChars="1000"/>
    </w:p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Table Text"/>
    <w:basedOn w:val="1"/>
    <w:semiHidden/>
    <w:qFormat/>
    <w:uiPriority w:val="0"/>
    <w:rPr>
      <w:rFonts w:ascii="宋体" w:hAnsi="宋体" w:eastAsia="宋体" w:cs="宋体"/>
      <w:sz w:val="20"/>
      <w:szCs w:val="20"/>
      <w:lang w:val="en-US" w:eastAsia="en-US" w:bidi="ar-SA"/>
    </w:rPr>
  </w:style>
  <w:style w:type="paragraph" w:customStyle="1" w:styleId="39">
    <w:name w:val="标书正文"/>
    <w:basedOn w:val="1"/>
    <w:qFormat/>
    <w:uiPriority w:val="0"/>
    <w:pPr>
      <w:spacing w:line="560" w:lineRule="exact"/>
      <w:ind w:firstLine="723" w:firstLineChars="200"/>
      <w:jc w:val="center"/>
    </w:pPr>
    <w:rPr>
      <w:rFonts w:ascii="仿宋_GB2312" w:eastAsia="仿宋_GB2312"/>
      <w:b/>
      <w:sz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17988</Words>
  <Characters>18862</Characters>
  <Lines>0</Lines>
  <Paragraphs>0</Paragraphs>
  <TotalTime>93</TotalTime>
  <ScaleCrop>false</ScaleCrop>
  <LinksUpToDate>false</LinksUpToDate>
  <CharactersWithSpaces>20991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2023-08-02T11:12:00Z</dcterms:created>
  <dc:creator>Administrator</dc:creator>
  <cp:lastModifiedBy>Administrator</cp:lastModifiedBy>
  <cp:lastPrinted>2025-07-03T09:40:00Z</cp:lastPrinted>
  <dcterms:modified xsi:type="dcterms:W3CDTF">2025-07-04T02:39:35Z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22B0593029754D079065D755665D74AE</vt:lpwstr>
  </property>
  <property fmtid="{D5CDD505-2E9C-101B-9397-08002B2CF9AE}" pid="4" name="KSOTemplateDocerSaveRecord">
    <vt:lpwstr>eyJoZGlkIjoiZDU3NDlhZWYxYzUxMjlkMDAwNmUxMDhiZDQxMzZmYjcifQ==</vt:lpwstr>
  </property>
</Properties>
</file>