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2F69A">
      <w:pPr>
        <w:spacing w:line="240" w:lineRule="atLeast"/>
        <w:rPr>
          <w:rStyle w:val="26"/>
          <w:rFonts w:hint="default" w:ascii="仿宋_GB2312" w:hAnsi="仿宋_GB2312" w:eastAsia="仿宋_GB2312" w:cs="仿宋_GB2312"/>
          <w:bCs/>
          <w:color w:val="auto"/>
          <w:sz w:val="52"/>
          <w:szCs w:val="52"/>
          <w:lang w:val="en-US" w:eastAsia="zh-CN"/>
        </w:rPr>
      </w:pPr>
      <w:r>
        <w:rPr>
          <w:rStyle w:val="26"/>
          <w:rFonts w:hint="eastAsia" w:ascii="仿宋_GB2312" w:hAnsi="仿宋_GB2312" w:eastAsia="仿宋_GB2312" w:cs="仿宋_GB2312"/>
          <w:bCs/>
          <w:color w:val="auto"/>
          <w:sz w:val="52"/>
          <w:szCs w:val="52"/>
          <w:lang w:val="en-US" w:eastAsia="zh-CN"/>
        </w:rPr>
        <w:t xml:space="preserve"> </w:t>
      </w:r>
    </w:p>
    <w:p w14:paraId="4835173C">
      <w:pPr>
        <w:pStyle w:val="8"/>
        <w:tabs>
          <w:tab w:val="left" w:pos="567"/>
        </w:tabs>
        <w:spacing w:line="272" w:lineRule="auto"/>
        <w:jc w:val="center"/>
        <w:rPr>
          <w:rFonts w:hint="eastAsia" w:asciiTheme="minorEastAsia" w:hAnsiTheme="minorEastAsia" w:eastAsiaTheme="minorEastAsia" w:cstheme="minorEastAsia"/>
          <w:sz w:val="44"/>
          <w:szCs w:val="44"/>
          <w:lang w:eastAsia="zh-CN"/>
        </w:rPr>
      </w:pPr>
      <w:bookmarkStart w:id="0" w:name="_Toc2942"/>
      <w:r>
        <w:rPr>
          <w:rFonts w:hint="eastAsia" w:asciiTheme="minorEastAsia" w:hAnsiTheme="minorEastAsia" w:eastAsiaTheme="minorEastAsia" w:cstheme="minorEastAsia"/>
          <w:b/>
          <w:bCs/>
          <w:sz w:val="44"/>
          <w:szCs w:val="44"/>
          <w:lang w:eastAsia="zh-CN"/>
        </w:rPr>
        <w:t>伽师县2025年学校声像图书室建设项目二标段公开招标</w:t>
      </w:r>
    </w:p>
    <w:p w14:paraId="20B13642">
      <w:pPr>
        <w:pStyle w:val="8"/>
        <w:tabs>
          <w:tab w:val="left" w:pos="567"/>
        </w:tabs>
        <w:spacing w:line="272" w:lineRule="auto"/>
        <w:rPr>
          <w:rFonts w:hint="eastAsia" w:asciiTheme="minorEastAsia" w:hAnsiTheme="minorEastAsia" w:eastAsiaTheme="minorEastAsia" w:cstheme="minorEastAsia"/>
          <w:sz w:val="44"/>
          <w:szCs w:val="44"/>
          <w:lang w:eastAsia="zh-CN"/>
        </w:rPr>
      </w:pPr>
    </w:p>
    <w:p w14:paraId="17E58CC6">
      <w:pPr>
        <w:pStyle w:val="27"/>
        <w:ind w:firstLine="1760" w:firstLineChars="400"/>
        <w:rPr>
          <w:rStyle w:val="26"/>
          <w:rFonts w:hint="eastAsia" w:asciiTheme="minorEastAsia" w:hAnsiTheme="minorEastAsia" w:eastAsiaTheme="minorEastAsia" w:cstheme="minorEastAsia"/>
          <w:bCs/>
          <w:color w:val="auto"/>
          <w:sz w:val="44"/>
          <w:szCs w:val="44"/>
          <w:lang w:eastAsia="zh-CN"/>
        </w:rPr>
      </w:pPr>
    </w:p>
    <w:p w14:paraId="5549103F">
      <w:pPr>
        <w:pStyle w:val="27"/>
        <w:ind w:firstLine="1760" w:firstLineChars="400"/>
        <w:rPr>
          <w:rStyle w:val="26"/>
          <w:rFonts w:hint="eastAsia" w:asciiTheme="minorEastAsia" w:hAnsiTheme="minorEastAsia" w:eastAsiaTheme="minorEastAsia" w:cstheme="minorEastAsia"/>
          <w:bCs/>
          <w:color w:val="auto"/>
          <w:sz w:val="44"/>
          <w:szCs w:val="44"/>
          <w:lang w:eastAsia="zh-CN"/>
        </w:rPr>
      </w:pPr>
    </w:p>
    <w:p w14:paraId="737AC709">
      <w:pPr>
        <w:pStyle w:val="27"/>
        <w:jc w:val="center"/>
        <w:rPr>
          <w:rStyle w:val="26"/>
          <w:rFonts w:hint="eastAsia" w:asciiTheme="minorEastAsia" w:hAnsiTheme="minorEastAsia" w:eastAsiaTheme="minorEastAsia" w:cstheme="minorEastAsia"/>
          <w:b/>
          <w:color w:val="auto"/>
          <w:sz w:val="44"/>
          <w:szCs w:val="44"/>
          <w:lang w:eastAsia="zh-CN"/>
        </w:rPr>
      </w:pPr>
      <w:r>
        <w:rPr>
          <w:rStyle w:val="26"/>
          <w:rFonts w:hint="eastAsia" w:asciiTheme="minorEastAsia" w:hAnsiTheme="minorEastAsia" w:eastAsiaTheme="minorEastAsia" w:cstheme="minorEastAsia"/>
          <w:b/>
          <w:color w:val="auto"/>
          <w:sz w:val="44"/>
          <w:szCs w:val="44"/>
          <w:lang w:eastAsia="zh-CN"/>
        </w:rPr>
        <w:t>招标文件</w:t>
      </w:r>
    </w:p>
    <w:p w14:paraId="16D21F32">
      <w:pPr>
        <w:pStyle w:val="27"/>
        <w:rPr>
          <w:rStyle w:val="26"/>
          <w:rFonts w:hint="eastAsia" w:asciiTheme="minorEastAsia" w:hAnsiTheme="minorEastAsia" w:eastAsiaTheme="minorEastAsia" w:cstheme="minorEastAsia"/>
          <w:color w:val="auto"/>
          <w:sz w:val="44"/>
          <w:szCs w:val="44"/>
          <w:lang w:eastAsia="zh-CN"/>
        </w:rPr>
      </w:pPr>
    </w:p>
    <w:p w14:paraId="11F2BF69">
      <w:pPr>
        <w:spacing w:line="240" w:lineRule="atLeast"/>
        <w:ind w:left="1079" w:leftChars="257" w:hanging="540"/>
        <w:jc w:val="center"/>
        <w:rPr>
          <w:rStyle w:val="26"/>
          <w:rFonts w:hint="eastAsia" w:asciiTheme="minorEastAsia" w:hAnsiTheme="minorEastAsia" w:eastAsiaTheme="minorEastAsia" w:cstheme="minorEastAsia"/>
          <w:b/>
          <w:color w:val="auto"/>
          <w:sz w:val="44"/>
          <w:szCs w:val="44"/>
          <w:lang w:eastAsia="zh-CN"/>
        </w:rPr>
      </w:pPr>
    </w:p>
    <w:p w14:paraId="67BD0D4C">
      <w:pPr>
        <w:spacing w:line="240" w:lineRule="atLeast"/>
        <w:ind w:left="1079" w:leftChars="257" w:hanging="540"/>
        <w:rPr>
          <w:rStyle w:val="26"/>
          <w:rFonts w:hint="eastAsia" w:asciiTheme="minorEastAsia" w:hAnsiTheme="minorEastAsia" w:eastAsiaTheme="minorEastAsia" w:cstheme="minorEastAsia"/>
          <w:b/>
          <w:color w:val="auto"/>
          <w:sz w:val="44"/>
          <w:szCs w:val="44"/>
          <w:lang w:eastAsia="zh-CN"/>
        </w:rPr>
      </w:pPr>
    </w:p>
    <w:p w14:paraId="61683BE5">
      <w:pPr>
        <w:spacing w:line="240" w:lineRule="atLeast"/>
        <w:ind w:left="2095" w:leftChars="998" w:firstLine="1064" w:firstLineChars="242"/>
        <w:rPr>
          <w:rStyle w:val="26"/>
          <w:rFonts w:hint="eastAsia" w:asciiTheme="minorEastAsia" w:hAnsiTheme="minorEastAsia" w:eastAsiaTheme="minorEastAsia" w:cstheme="minorEastAsia"/>
          <w:b/>
          <w:color w:val="auto"/>
          <w:sz w:val="52"/>
          <w:lang w:eastAsia="zh-CN"/>
        </w:rPr>
      </w:pPr>
      <w:r>
        <w:rPr>
          <w:rStyle w:val="26"/>
          <w:rFonts w:hint="eastAsia" w:asciiTheme="minorEastAsia" w:hAnsiTheme="minorEastAsia" w:eastAsiaTheme="minorEastAsia" w:cstheme="minorEastAsia"/>
          <w:b/>
          <w:color w:val="auto"/>
          <w:sz w:val="44"/>
          <w:szCs w:val="44"/>
          <w:lang w:eastAsia="zh-CN"/>
        </w:rPr>
        <w:t>(第一册)</w:t>
      </w:r>
    </w:p>
    <w:p w14:paraId="28F959A0">
      <w:pPr>
        <w:spacing w:line="240" w:lineRule="atLeast"/>
        <w:ind w:left="1079" w:leftChars="257" w:hanging="540"/>
        <w:jc w:val="center"/>
        <w:rPr>
          <w:rStyle w:val="26"/>
          <w:rFonts w:hint="eastAsia" w:asciiTheme="minorEastAsia" w:hAnsiTheme="minorEastAsia" w:eastAsiaTheme="minorEastAsia" w:cstheme="minorEastAsia"/>
          <w:b/>
          <w:color w:val="auto"/>
          <w:sz w:val="52"/>
          <w:lang w:eastAsia="zh-CN"/>
        </w:rPr>
      </w:pPr>
    </w:p>
    <w:p w14:paraId="1F26ACC0">
      <w:pPr>
        <w:pStyle w:val="8"/>
        <w:tabs>
          <w:tab w:val="left" w:pos="567"/>
        </w:tabs>
        <w:rPr>
          <w:rStyle w:val="26"/>
          <w:rFonts w:hint="eastAsia" w:asciiTheme="minorEastAsia" w:hAnsiTheme="minorEastAsia" w:eastAsiaTheme="minorEastAsia" w:cstheme="minorEastAsia"/>
          <w:b/>
          <w:color w:val="auto"/>
          <w:sz w:val="52"/>
          <w:lang w:eastAsia="zh-CN"/>
        </w:rPr>
      </w:pPr>
    </w:p>
    <w:p w14:paraId="2C4AEC86">
      <w:pPr>
        <w:spacing w:line="360" w:lineRule="auto"/>
        <w:ind w:left="839" w:firstLine="420"/>
        <w:rPr>
          <w:rStyle w:val="26"/>
          <w:rFonts w:hint="eastAsia" w:asciiTheme="minorEastAsia" w:hAnsiTheme="minorEastAsia" w:eastAsiaTheme="minorEastAsia" w:cstheme="minorEastAsia"/>
          <w:b/>
          <w:bCs/>
          <w:color w:val="auto"/>
          <w:sz w:val="30"/>
          <w:szCs w:val="30"/>
          <w:lang w:eastAsia="zh-CN"/>
        </w:rPr>
      </w:pPr>
    </w:p>
    <w:p w14:paraId="724DC3FF">
      <w:pPr>
        <w:spacing w:line="360" w:lineRule="auto"/>
        <w:ind w:left="839" w:firstLine="420"/>
        <w:rPr>
          <w:rStyle w:val="26"/>
          <w:rFonts w:hint="default" w:asciiTheme="minorEastAsia" w:hAnsiTheme="minorEastAsia" w:eastAsiaTheme="minorEastAsia" w:cstheme="minorEastAsia"/>
          <w:b/>
          <w:bCs/>
          <w:color w:val="auto"/>
          <w:sz w:val="30"/>
          <w:szCs w:val="30"/>
          <w:highlight w:val="yellow"/>
          <w:lang w:val="en-US" w:eastAsia="zh-CN"/>
        </w:rPr>
      </w:pPr>
      <w:r>
        <w:rPr>
          <w:rStyle w:val="26"/>
          <w:rFonts w:hint="eastAsia" w:asciiTheme="minorEastAsia" w:hAnsiTheme="minorEastAsia" w:eastAsiaTheme="minorEastAsia" w:cstheme="minorEastAsia"/>
          <w:b/>
          <w:bCs/>
          <w:color w:val="auto"/>
          <w:sz w:val="30"/>
          <w:szCs w:val="30"/>
          <w:lang w:eastAsia="zh-CN"/>
        </w:rPr>
        <w:t>项 目 编 号：</w:t>
      </w:r>
      <w:r>
        <w:rPr>
          <w:rStyle w:val="26"/>
          <w:rFonts w:hint="eastAsia" w:asciiTheme="minorEastAsia" w:hAnsiTheme="minorEastAsia" w:eastAsiaTheme="minorEastAsia" w:cstheme="minorEastAsia"/>
          <w:b/>
          <w:bCs/>
          <w:color w:val="auto"/>
          <w:sz w:val="30"/>
          <w:szCs w:val="30"/>
          <w:highlight w:val="yellow"/>
          <w:lang w:eastAsia="zh-CN"/>
        </w:rPr>
        <w:t>KSJSX(GK)2025-1</w:t>
      </w:r>
      <w:r>
        <w:rPr>
          <w:rStyle w:val="26"/>
          <w:rFonts w:hint="eastAsia" w:asciiTheme="minorEastAsia" w:hAnsiTheme="minorEastAsia" w:eastAsiaTheme="minorEastAsia" w:cstheme="minorEastAsia"/>
          <w:b/>
          <w:bCs/>
          <w:color w:val="auto"/>
          <w:sz w:val="30"/>
          <w:szCs w:val="30"/>
          <w:highlight w:val="yellow"/>
          <w:lang w:val="en-US" w:eastAsia="zh-CN"/>
        </w:rPr>
        <w:t>6</w:t>
      </w:r>
    </w:p>
    <w:p w14:paraId="55A0ABB7">
      <w:pPr>
        <w:spacing w:line="360" w:lineRule="auto"/>
        <w:ind w:left="839" w:firstLine="420"/>
        <w:rPr>
          <w:rStyle w:val="26"/>
          <w:rFonts w:hint="eastAsia" w:asciiTheme="minorEastAsia" w:hAnsiTheme="minorEastAsia" w:eastAsiaTheme="minorEastAsia" w:cstheme="minorEastAsia"/>
          <w:b/>
          <w:bCs/>
          <w:color w:val="auto"/>
          <w:sz w:val="30"/>
          <w:szCs w:val="30"/>
          <w:lang w:eastAsia="zh-CN"/>
        </w:rPr>
      </w:pPr>
      <w:r>
        <w:rPr>
          <w:rStyle w:val="26"/>
          <w:rFonts w:hint="eastAsia" w:asciiTheme="minorEastAsia" w:hAnsiTheme="minorEastAsia" w:eastAsiaTheme="minorEastAsia" w:cstheme="minorEastAsia"/>
          <w:b/>
          <w:bCs/>
          <w:color w:val="auto"/>
          <w:sz w:val="30"/>
          <w:szCs w:val="30"/>
          <w:lang w:eastAsia="zh-CN"/>
        </w:rPr>
        <w:t>采 购 单 位：伽师县</w:t>
      </w:r>
      <w:r>
        <w:rPr>
          <w:rStyle w:val="26"/>
          <w:rFonts w:hint="eastAsia" w:asciiTheme="minorEastAsia" w:hAnsiTheme="minorEastAsia" w:eastAsiaTheme="minorEastAsia" w:cstheme="minorEastAsia"/>
          <w:b/>
          <w:bCs/>
          <w:color w:val="auto"/>
          <w:sz w:val="30"/>
          <w:szCs w:val="30"/>
          <w:lang w:val="en-US" w:eastAsia="zh-CN"/>
        </w:rPr>
        <w:t>教育局</w:t>
      </w:r>
    </w:p>
    <w:p w14:paraId="1BE9D7B7">
      <w:pPr>
        <w:spacing w:line="360" w:lineRule="auto"/>
        <w:ind w:left="839" w:firstLine="420"/>
        <w:rPr>
          <w:rStyle w:val="26"/>
          <w:rFonts w:hint="eastAsia" w:asciiTheme="minorEastAsia" w:hAnsiTheme="minorEastAsia" w:eastAsiaTheme="minorEastAsia" w:cstheme="minorEastAsia"/>
          <w:b/>
          <w:bCs/>
          <w:color w:val="auto"/>
          <w:sz w:val="30"/>
          <w:szCs w:val="30"/>
          <w:lang w:eastAsia="zh-CN"/>
        </w:rPr>
      </w:pPr>
      <w:r>
        <w:rPr>
          <w:rStyle w:val="26"/>
          <w:rFonts w:hint="eastAsia" w:asciiTheme="minorEastAsia" w:hAnsiTheme="minorEastAsia" w:eastAsiaTheme="minorEastAsia" w:cstheme="minorEastAsia"/>
          <w:b/>
          <w:bCs/>
          <w:color w:val="auto"/>
          <w:sz w:val="30"/>
          <w:szCs w:val="30"/>
          <w:lang w:eastAsia="zh-CN"/>
        </w:rPr>
        <w:t xml:space="preserve">采购代理机构：伽师县政府采购中心 </w:t>
      </w:r>
    </w:p>
    <w:p w14:paraId="6C736C41">
      <w:pPr>
        <w:spacing w:line="360" w:lineRule="auto"/>
        <w:ind w:left="839" w:firstLine="420"/>
        <w:rPr>
          <w:rStyle w:val="26"/>
          <w:rFonts w:hint="eastAsia" w:asciiTheme="minorEastAsia" w:hAnsiTheme="minorEastAsia" w:eastAsiaTheme="minorEastAsia" w:cstheme="minorEastAsia"/>
          <w:b/>
          <w:bCs/>
          <w:color w:val="auto"/>
          <w:sz w:val="30"/>
          <w:szCs w:val="30"/>
          <w:lang w:eastAsia="zh-CN"/>
        </w:rPr>
      </w:pPr>
      <w:r>
        <w:rPr>
          <w:rStyle w:val="26"/>
          <w:rFonts w:hint="eastAsia" w:asciiTheme="minorEastAsia" w:hAnsiTheme="minorEastAsia" w:eastAsiaTheme="minorEastAsia" w:cstheme="minorEastAsia"/>
          <w:b/>
          <w:bCs/>
          <w:color w:val="auto"/>
          <w:sz w:val="30"/>
          <w:szCs w:val="30"/>
          <w:lang w:eastAsia="zh-CN"/>
        </w:rPr>
        <w:t>发  出 日 期：2025年</w:t>
      </w:r>
      <w:r>
        <w:rPr>
          <w:rStyle w:val="26"/>
          <w:rFonts w:hint="eastAsia" w:asciiTheme="minorEastAsia" w:hAnsiTheme="minorEastAsia" w:eastAsiaTheme="minorEastAsia" w:cstheme="minorEastAsia"/>
          <w:b/>
          <w:bCs/>
          <w:color w:val="auto"/>
          <w:sz w:val="30"/>
          <w:szCs w:val="30"/>
          <w:lang w:val="en-US" w:eastAsia="zh-CN"/>
        </w:rPr>
        <w:t>6</w:t>
      </w:r>
      <w:r>
        <w:rPr>
          <w:rStyle w:val="26"/>
          <w:rFonts w:hint="eastAsia" w:asciiTheme="minorEastAsia" w:hAnsiTheme="minorEastAsia" w:eastAsiaTheme="minorEastAsia" w:cstheme="minorEastAsia"/>
          <w:b/>
          <w:bCs/>
          <w:color w:val="auto"/>
          <w:sz w:val="30"/>
          <w:szCs w:val="30"/>
          <w:lang w:eastAsia="zh-CN"/>
        </w:rPr>
        <w:t>月</w:t>
      </w:r>
    </w:p>
    <w:p w14:paraId="26929C25">
      <w:pPr>
        <w:spacing w:line="240" w:lineRule="atLeast"/>
        <w:ind w:left="1079" w:leftChars="257" w:hanging="540"/>
        <w:rPr>
          <w:rStyle w:val="26"/>
          <w:rFonts w:hint="eastAsia" w:asciiTheme="minorEastAsia" w:hAnsiTheme="minorEastAsia" w:eastAsiaTheme="minorEastAsia" w:cstheme="minorEastAsia"/>
          <w:b/>
          <w:color w:val="auto"/>
          <w:lang w:eastAsia="zh-CN"/>
        </w:rPr>
      </w:pPr>
    </w:p>
    <w:p w14:paraId="02AF3AA2">
      <w:pPr>
        <w:spacing w:line="240" w:lineRule="atLeast"/>
        <w:ind w:left="1079" w:leftChars="257" w:hanging="540"/>
        <w:jc w:val="center"/>
        <w:rPr>
          <w:rFonts w:hint="eastAsia" w:asciiTheme="minorEastAsia" w:hAnsiTheme="minorEastAsia" w:eastAsiaTheme="minorEastAsia" w:cstheme="minorEastAsia"/>
          <w:b/>
          <w:color w:val="auto"/>
          <w:sz w:val="32"/>
          <w:lang w:eastAsia="zh-CN"/>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bookmarkStart w:id="1" w:name="_Toc17230"/>
      <w:bookmarkStart w:id="2" w:name="_Toc25817"/>
      <w:bookmarkStart w:id="3" w:name="_Toc216582804"/>
      <w:bookmarkStart w:id="4" w:name="_Toc22782"/>
    </w:p>
    <w:bookmarkEnd w:id="1"/>
    <w:bookmarkEnd w:id="2"/>
    <w:bookmarkEnd w:id="3"/>
    <w:bookmarkEnd w:id="4"/>
    <w:p w14:paraId="4052C2D0">
      <w:pPr>
        <w:spacing w:line="240" w:lineRule="atLeast"/>
        <w:ind w:left="1079" w:leftChars="257" w:hanging="540"/>
        <w:jc w:val="center"/>
        <w:rPr>
          <w:rFonts w:hint="eastAsia" w:asciiTheme="minorEastAsia" w:hAnsiTheme="minorEastAsia" w:eastAsiaTheme="minorEastAsia" w:cstheme="minorEastAsia"/>
          <w:b/>
          <w:color w:val="auto"/>
          <w:sz w:val="32"/>
        </w:rPr>
      </w:pPr>
      <w:bookmarkStart w:id="5" w:name="_Toc8272"/>
      <w:bookmarkStart w:id="6" w:name="_Toc31178"/>
      <w:bookmarkStart w:id="7" w:name="_Toc2510"/>
      <w:bookmarkStart w:id="8" w:name="_Toc15055"/>
      <w:bookmarkStart w:id="9" w:name="_Toc18867"/>
      <w:bookmarkStart w:id="10" w:name="_Toc5471"/>
      <w:bookmarkStart w:id="11" w:name="_Toc1687"/>
      <w:bookmarkStart w:id="12" w:name="_Toc26793"/>
      <w:bookmarkStart w:id="13" w:name="_Toc13334"/>
      <w:r>
        <w:rPr>
          <w:rFonts w:hint="eastAsia" w:asciiTheme="minorEastAsia" w:hAnsiTheme="minorEastAsia" w:eastAsiaTheme="minorEastAsia" w:cstheme="minorEastAsia"/>
          <w:b/>
          <w:color w:val="auto"/>
          <w:sz w:val="32"/>
        </w:rPr>
        <w:t>目  录</w:t>
      </w:r>
    </w:p>
    <w:p w14:paraId="7959AAD7">
      <w:pPr>
        <w:pStyle w:val="14"/>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TOC \o "1-3" \h \u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"_Toc8173"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第一章投标人须知</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_Toc8173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59068B4">
      <w:pPr>
        <w:pStyle w:val="17"/>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"_Toc16621"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一   总 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_Toc16621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5321FA6">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"_Toc9551"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1.采购人、采购代理机构及投标人</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_Toc9551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8DADA96">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"_Toc8057"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2.资金来源</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_Toc8057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3131B2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3.投标费用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_Toc703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37B6BAA">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"_Toc19596"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4.适用法律</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_Toc19596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98AE9D7">
      <w:pPr>
        <w:pStyle w:val="17"/>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"_Toc6520"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二   招标文件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_Toc6520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FC26CD6">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"_Toc25647"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5.招标文件构成</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_Toc25647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4B31CCE">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"_Toc7751"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6.招标文件的澄清与修改</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_Toc7751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BC3A95E">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"_Toc21817"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7.投标截止时间的顺延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_Toc21817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69CD0BC">
      <w:pPr>
        <w:pStyle w:val="17"/>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"_Toc9442"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三   投标文件的编制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_Toc9442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66932FA">
      <w:pPr>
        <w:pStyle w:val="10"/>
        <w:tabs>
          <w:tab w:val="right" w:pos="2800"/>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"_Toc11227"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投标范围及投标文件中标准和计量单位的使用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_Toc11227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E426C69">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"_Toc31425"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9.投标文件构成</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_Toc31425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45AC0D3">
      <w:pPr>
        <w:pStyle w:val="10"/>
        <w:tabs>
          <w:tab w:val="right" w:pos="2800"/>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"_Toc20882"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证明投标标的的合格性和符合招标文件规定的技术文件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_Toc20882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A1DD56C">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"_Toc30150"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11.投标报价</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_Toc30150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35002DD">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"_Toc30117"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12.投标保证金</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_Toc30117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35985C3">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"_Toc15686"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13.投标有效期</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_Toc15686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C88DFCA">
      <w:pPr>
        <w:pStyle w:val="17"/>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"_Toc10905"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四   投标文件的递交</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_Toc10905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C50D764">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15.投标文件的密封和标记</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_Toc2091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1D34677">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"_Toc26691"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16.投标截止</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_Toc26691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C8FAFE2">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"_Toc24899"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17.投标文件的接收、修改与撤回</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_Toc24899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8F3B047">
      <w:pPr>
        <w:pStyle w:val="17"/>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"_Toc24411"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五   开标及评标</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_Toc24411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37004D3">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"_Toc19198"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18.开标</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_Toc19198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30068BB">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"_Toc12992"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19.资格审查及组建评标委员会</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_Toc12992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2EECC5F">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"_Toc9769"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20.投标文件符合性审查与澄清</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_Toc9769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DDF033F">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"_Toc3024"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21.投标偏离</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_Toc3024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47595C2">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"_Toc7012"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22.投标无效</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_Toc7012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B23D4EB">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"_Toc27260"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24.废标</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_Toc27260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11892A9">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25.保密原则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_Toc1382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1E901DD">
      <w:pPr>
        <w:pStyle w:val="17"/>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"_Toc22275"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六   确定中标</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_Toc22275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7B940A4">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"_Toc2639"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26.中标候选人的确定原则及标准</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_Toc2639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EC9759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"_Toc2677"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27.确定中标候选人和中标人</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_Toc2677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D4787C9">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"_Toc17557"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28.采购任务取消</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_Toc17557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03D9BE3">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"_Toc3186"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29.中标通知书</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_Toc3186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60A9255">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"_Toc30660"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30.签订合同</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_Toc30660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1F32FE7">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"_Toc30705"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31.履约保证金</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_Toc30705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F5DCC6D">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"_Toc25784"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32.中标服务费</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_Toc25784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05B2F40">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"_Toc5036"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33.政府采购信用担保</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_Toc5036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69B975F">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34.廉洁自律规定</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_Toc2320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5FAAA39">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"_Toc16745"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35.人员回避</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_Toc16745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3250F65">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"_Toc9393"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24"/>
        </w:rPr>
        <w:t>36.质疑与接收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_Toc9393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40034DC">
      <w:pPr>
        <w:pStyle w:val="14"/>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"_Toc333"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第二章  投标文件格式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_Toc333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C0DA1C0">
      <w:pPr>
        <w:pStyle w:val="17"/>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"_Toc5582"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第一部分 开标一览表及资格证明文件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_Toc5582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EA3708D">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"_Toc24638"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rPr>
        <w:t>开标一览表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_Toc24638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18</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F7F9726">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"_Toc5194"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 法人或者非法人组织的营业执照等证明文件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_Toc5194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DC9ABCA">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"_Toc31870"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 法定代表人身份证明</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_Toc31870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B5DD0E7">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"_Toc18802"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4 法定代表人授权委托书</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_Toc18802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6FDABA9">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"_Toc26834"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5 投标保证金缴纳凭证复印件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_Toc26834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84B5C8D">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"_Toc28861"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6 社会保障资金的缴纳记录</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_Toc28861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9CE29B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"_Toc8841"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7 良好的商业信誉和健全的财务会计制度证明材料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_Toc8841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95ABA6C">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"_Toc32107"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8 依法缴纳税收的证明</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_Toc32107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E6E612B">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"_Toc29990"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9 参加政府采购活动前3年内在经营活动中没有重大违法记录的书面声明及反商业受贿承诺</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_Toc29990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95E368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"_Toc10559"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10 投标人须知资料表要求的其他资格证明文件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_Toc10559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1981C4C">
      <w:pPr>
        <w:pStyle w:val="17"/>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"_Toc24008"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第二部分</w:t>
      </w:r>
      <w:r>
        <w:rPr>
          <w:rFonts w:hint="eastAsia" w:asciiTheme="minorEastAsia" w:hAnsiTheme="minorEastAsia" w:eastAsiaTheme="minorEastAsia" w:cstheme="minorEastAsia"/>
          <w:color w:val="auto"/>
          <w:szCs w:val="24"/>
        </w:rPr>
        <w:t xml:space="preserve"> 商务及技术文件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_Toc24008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368F43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"_Toc9629"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 投标书</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_Toc9629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4E316EC">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"_Toc22014"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 投标分项报价表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_Toc22014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E29268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"_Toc17583"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 货物说明一览表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_Toc17583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5DEA329">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"_Toc29396"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4 技术规格偏离表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_Toc29396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28</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25C18B7">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"_Toc19628"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5 商务条款偏离表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_Toc19628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05A8B66">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"_Toc22909"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6-1中小企业声明函（货物）</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_Toc22909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E2623A7">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"_Toc20082"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6-2残疾人福利性单位声明函</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_Toc20082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CFD5FE0">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"_Toc7689"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6-3监狱企业声明函</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_Toc7689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88BBDE4">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"_Toc25040"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7 投标文件还应包括第五章、综合评分表的所有技术文件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_Toc25040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BE00F30">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"_Toc1286"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8 投标人关联单位的说明</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_Toc1286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D0CEEF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"_Toc32047"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9 其他有利于投标人的文件或证明材料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_Toc32047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82095DD">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"_Toc9989"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10 对本项目投标文件（响应文件）中资料真实性的承诺</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_Toc9989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A78B61D">
      <w:pPr>
        <w:pStyle w:val="14"/>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"_Toc2942"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 xml:space="preserve">第三章 </w:t>
      </w:r>
      <w:r>
        <w:rPr>
          <w:rFonts w:hint="eastAsia" w:asciiTheme="minorEastAsia" w:hAnsiTheme="minorEastAsia" w:eastAsiaTheme="minorEastAsia" w:cstheme="minorEastAsia"/>
          <w:color w:val="auto"/>
          <w:szCs w:val="44"/>
          <w:lang w:eastAsia="zh-CN"/>
        </w:rPr>
        <w:t xml:space="preserve"> </w:t>
      </w:r>
      <w:r>
        <w:rPr>
          <w:rFonts w:hint="eastAsia" w:asciiTheme="minorEastAsia" w:hAnsiTheme="minorEastAsia" w:eastAsiaTheme="minorEastAsia" w:cstheme="minorEastAsia"/>
          <w:color w:val="auto"/>
          <w:szCs w:val="44"/>
        </w:rPr>
        <w:t>投标邀请</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_Toc2942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3C13EF7">
      <w:pPr>
        <w:pStyle w:val="14"/>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"_Toc11602"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 xml:space="preserve">第四章 </w:t>
      </w:r>
      <w:r>
        <w:rPr>
          <w:rFonts w:hint="eastAsia" w:asciiTheme="minorEastAsia" w:hAnsiTheme="minorEastAsia" w:eastAsiaTheme="minorEastAsia" w:cstheme="minorEastAsia"/>
          <w:color w:val="auto"/>
          <w:szCs w:val="44"/>
          <w:lang w:eastAsia="zh-CN"/>
        </w:rPr>
        <w:t xml:space="preserve"> </w:t>
      </w:r>
      <w:r>
        <w:rPr>
          <w:rFonts w:hint="eastAsia" w:asciiTheme="minorEastAsia" w:hAnsiTheme="minorEastAsia" w:eastAsiaTheme="minorEastAsia" w:cstheme="minorEastAsia"/>
          <w:color w:val="auto"/>
          <w:szCs w:val="44"/>
        </w:rPr>
        <w:t>投标人须知资料表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_Toc11602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38</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96985D3">
      <w:pPr>
        <w:pStyle w:val="14"/>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"_Toc14991"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第五章  货物需求一览表及技术规格</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_Toc14991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FB6739E">
      <w:pPr>
        <w:pStyle w:val="14"/>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"_Toc22880"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第六章  评标方法和标准</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_Toc22880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B56C859">
      <w:pPr>
        <w:pStyle w:val="14"/>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"_Toc3397"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第七章  政府采购合同</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_Toc3397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136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6C626CD">
      <w:pPr>
        <w:pStyle w:val="15"/>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rPr>
        <w:fldChar w:fldCharType="end"/>
      </w:r>
      <w:bookmarkStart w:id="14" w:name="_Toc13803"/>
    </w:p>
    <w:p w14:paraId="2C8A3C8F">
      <w:pPr>
        <w:pStyle w:val="2"/>
        <w:tabs>
          <w:tab w:val="left" w:pos="0"/>
        </w:tabs>
        <w:spacing w:before="0" w:after="0" w:line="240" w:lineRule="atLeast"/>
        <w:jc w:val="both"/>
        <w:rPr>
          <w:rFonts w:hint="eastAsia" w:asciiTheme="minorEastAsia" w:hAnsiTheme="minorEastAsia" w:eastAsiaTheme="minorEastAsia" w:cstheme="minorEastAsia"/>
          <w:color w:val="auto"/>
          <w:kern w:val="0"/>
          <w:sz w:val="44"/>
          <w:szCs w:val="44"/>
        </w:rPr>
        <w:sectPr>
          <w:headerReference r:id="rId5" w:type="default"/>
          <w:footerReference r:id="rId6" w:type="default"/>
          <w:pgSz w:w="11906" w:h="16838"/>
          <w:pgMar w:top="1043" w:right="1060" w:bottom="1043" w:left="1060" w:header="851" w:footer="992" w:gutter="0"/>
          <w:pgNumType w:start="1"/>
          <w:cols w:space="720" w:num="1"/>
          <w:docGrid w:type="linesAndChars" w:linePitch="312" w:charSpace="0"/>
        </w:sectPr>
      </w:pPr>
      <w:bookmarkStart w:id="15" w:name="_Toc11726"/>
    </w:p>
    <w:bookmarkEnd w:id="14"/>
    <w:bookmarkEnd w:id="15"/>
    <w:p w14:paraId="40F3E221">
      <w:pPr>
        <w:pStyle w:val="2"/>
        <w:tabs>
          <w:tab w:val="left" w:pos="0"/>
        </w:tabs>
        <w:spacing w:before="0" w:after="0" w:line="240" w:lineRule="atLeast"/>
        <w:rPr>
          <w:rFonts w:hint="eastAsia" w:asciiTheme="minorEastAsia" w:hAnsiTheme="minorEastAsia" w:eastAsiaTheme="minorEastAsia" w:cstheme="minorEastAsia"/>
          <w:b w:val="0"/>
          <w:color w:val="auto"/>
          <w:sz w:val="20"/>
          <w:lang w:eastAsia="zh-CN"/>
        </w:rPr>
      </w:pPr>
      <w:bookmarkStart w:id="16" w:name="_Toc7794"/>
      <w:bookmarkStart w:id="17" w:name="_Toc4823"/>
      <w:bookmarkStart w:id="18" w:name="_Toc27266"/>
      <w:bookmarkStart w:id="19" w:name="_Toc749"/>
      <w:bookmarkStart w:id="20" w:name="_Toc23583"/>
      <w:bookmarkStart w:id="21" w:name="_Toc8923"/>
      <w:bookmarkStart w:id="22" w:name="_Toc25393"/>
      <w:bookmarkStart w:id="23" w:name="_Toc8173"/>
      <w:r>
        <w:rPr>
          <w:rFonts w:hint="eastAsia" w:asciiTheme="minorEastAsia" w:hAnsiTheme="minorEastAsia" w:eastAsiaTheme="minorEastAsia" w:cstheme="minorEastAsia"/>
          <w:color w:val="auto"/>
          <w:kern w:val="0"/>
          <w:sz w:val="44"/>
          <w:szCs w:val="44"/>
          <w:lang w:eastAsia="zh-CN"/>
        </w:rPr>
        <w:t>第一章</w:t>
      </w:r>
      <w:bookmarkStart w:id="24" w:name="_Toc515647756"/>
      <w:r>
        <w:rPr>
          <w:rFonts w:hint="eastAsia" w:asciiTheme="minorEastAsia" w:hAnsiTheme="minorEastAsia" w:eastAsiaTheme="minorEastAsia" w:cstheme="minorEastAsia"/>
          <w:color w:val="auto"/>
          <w:sz w:val="44"/>
          <w:szCs w:val="44"/>
          <w:lang w:eastAsia="zh-CN"/>
        </w:rPr>
        <w:t>投标人须知</w:t>
      </w:r>
      <w:bookmarkEnd w:id="16"/>
      <w:bookmarkEnd w:id="17"/>
      <w:bookmarkEnd w:id="18"/>
      <w:bookmarkEnd w:id="19"/>
      <w:bookmarkEnd w:id="20"/>
      <w:bookmarkEnd w:id="21"/>
      <w:bookmarkEnd w:id="22"/>
      <w:bookmarkEnd w:id="23"/>
      <w:bookmarkEnd w:id="24"/>
    </w:p>
    <w:p w14:paraId="667AFC99">
      <w:pPr>
        <w:pStyle w:val="3"/>
        <w:spacing w:before="0" w:line="240" w:lineRule="atLeast"/>
        <w:ind w:left="1078" w:leftChars="257" w:hanging="539"/>
        <w:rPr>
          <w:rFonts w:hint="eastAsia" w:asciiTheme="minorEastAsia" w:hAnsiTheme="minorEastAsia" w:eastAsiaTheme="minorEastAsia" w:cstheme="minorEastAsia"/>
          <w:b w:val="0"/>
          <w:color w:val="auto"/>
          <w:sz w:val="24"/>
          <w:lang w:eastAsia="zh-CN"/>
        </w:rPr>
      </w:pPr>
      <w:bookmarkStart w:id="25" w:name="_Toc515647757"/>
      <w:bookmarkStart w:id="26" w:name="_Toc216582805"/>
      <w:bookmarkStart w:id="27" w:name="_Toc520356143"/>
      <w:bookmarkStart w:id="28" w:name="_Toc18007"/>
      <w:bookmarkStart w:id="29" w:name="_Toc16621"/>
      <w:bookmarkStart w:id="30" w:name="_Toc13870"/>
      <w:bookmarkStart w:id="31" w:name="_Toc28279"/>
      <w:bookmarkStart w:id="32" w:name="_Toc17202"/>
      <w:bookmarkStart w:id="33" w:name="_Toc27848"/>
      <w:bookmarkStart w:id="34" w:name="_Toc21215"/>
      <w:bookmarkStart w:id="35" w:name="_Toc1988"/>
      <w:bookmarkStart w:id="36" w:name="_Toc21015"/>
      <w:bookmarkStart w:id="37" w:name="_Toc24426"/>
      <w:bookmarkStart w:id="38" w:name="_Toc28131"/>
      <w:bookmarkStart w:id="39" w:name="_Toc28649"/>
      <w:bookmarkStart w:id="40" w:name="_Toc22145"/>
      <w:r>
        <w:rPr>
          <w:rFonts w:hint="eastAsia" w:asciiTheme="minorEastAsia" w:hAnsiTheme="minorEastAsia" w:eastAsiaTheme="minorEastAsia" w:cstheme="minorEastAsia"/>
          <w:color w:val="auto"/>
          <w:sz w:val="28"/>
          <w:lang w:eastAsia="zh-CN"/>
        </w:rPr>
        <w:t>一</w:t>
      </w:r>
      <w:bookmarkEnd w:id="25"/>
      <w:bookmarkEnd w:id="26"/>
      <w:bookmarkEnd w:id="27"/>
      <w:r>
        <w:rPr>
          <w:rFonts w:hint="eastAsia" w:asciiTheme="minorEastAsia" w:hAnsiTheme="minorEastAsia" w:eastAsiaTheme="minorEastAsia" w:cstheme="minorEastAsia"/>
          <w:color w:val="auto"/>
          <w:sz w:val="28"/>
          <w:lang w:eastAsia="zh-CN"/>
        </w:rPr>
        <w:t xml:space="preserve"> 总 则</w:t>
      </w:r>
      <w:bookmarkEnd w:id="28"/>
      <w:bookmarkEnd w:id="29"/>
      <w:bookmarkEnd w:id="30"/>
      <w:bookmarkEnd w:id="31"/>
      <w:bookmarkEnd w:id="32"/>
      <w:bookmarkEnd w:id="33"/>
      <w:bookmarkEnd w:id="34"/>
      <w:bookmarkEnd w:id="35"/>
      <w:bookmarkEnd w:id="36"/>
      <w:bookmarkEnd w:id="37"/>
      <w:bookmarkEnd w:id="38"/>
      <w:bookmarkEnd w:id="39"/>
      <w:bookmarkEnd w:id="40"/>
    </w:p>
    <w:p w14:paraId="77F91754">
      <w:pPr>
        <w:pStyle w:val="4"/>
        <w:spacing w:before="0" w:after="0" w:line="288" w:lineRule="auto"/>
        <w:rPr>
          <w:rFonts w:hint="eastAsia" w:asciiTheme="minorEastAsia" w:hAnsiTheme="minorEastAsia" w:eastAsiaTheme="minorEastAsia" w:cstheme="minorEastAsia"/>
          <w:color w:val="auto"/>
          <w:lang w:eastAsia="zh-CN"/>
        </w:rPr>
      </w:pPr>
      <w:bookmarkStart w:id="41" w:name="_Toc520356144"/>
      <w:bookmarkStart w:id="42" w:name="_Toc6990"/>
      <w:bookmarkStart w:id="43" w:name="_Toc20172"/>
      <w:bookmarkStart w:id="44" w:name="_Toc9357"/>
      <w:bookmarkStart w:id="45" w:name="_Toc568"/>
      <w:bookmarkStart w:id="46" w:name="_Toc32623"/>
      <w:bookmarkStart w:id="47" w:name="_Toc19622"/>
      <w:bookmarkStart w:id="48" w:name="_Toc11245"/>
      <w:bookmarkStart w:id="49" w:name="_Toc5999"/>
      <w:bookmarkStart w:id="50" w:name="_Toc515647758"/>
      <w:bookmarkStart w:id="51" w:name="_Toc14500"/>
      <w:bookmarkStart w:id="52" w:name="_Toc16352"/>
      <w:bookmarkStart w:id="53" w:name="_Toc17376"/>
      <w:bookmarkStart w:id="54" w:name="_Toc32189"/>
      <w:bookmarkStart w:id="55" w:name="_Toc9551"/>
      <w:r>
        <w:rPr>
          <w:rFonts w:hint="eastAsia" w:asciiTheme="minorEastAsia" w:hAnsiTheme="minorEastAsia" w:eastAsiaTheme="minorEastAsia" w:cstheme="minorEastAsia"/>
          <w:color w:val="auto"/>
          <w:lang w:eastAsia="zh-CN"/>
        </w:rPr>
        <w:t>1.采购人、采购代理机构及</w:t>
      </w:r>
      <w:bookmarkEnd w:id="41"/>
      <w:r>
        <w:rPr>
          <w:rFonts w:hint="eastAsia" w:asciiTheme="minorEastAsia" w:hAnsiTheme="minorEastAsia" w:eastAsiaTheme="minorEastAsia" w:cstheme="minorEastAsia"/>
          <w:color w:val="auto"/>
          <w:lang w:eastAsia="zh-CN"/>
        </w:rPr>
        <w:t>投标人</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8F5363D">
      <w:pPr>
        <w:numPr>
          <w:ilvl w:val="1"/>
          <w:numId w:val="1"/>
        </w:numPr>
        <w:tabs>
          <w:tab w:val="left" w:pos="0"/>
        </w:tabs>
        <w:spacing w:line="288" w:lineRule="auto"/>
        <w:ind w:hanging="898"/>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采购人：是指依法开展政府采购活动的国家机关、事业单位、团体组织。</w:t>
      </w:r>
    </w:p>
    <w:p w14:paraId="5AB366F5">
      <w:pPr>
        <w:tabs>
          <w:tab w:val="left" w:pos="0"/>
        </w:tabs>
        <w:spacing w:line="288" w:lineRule="auto"/>
        <w:ind w:left="9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本项目的采购人见</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w:t>
      </w:r>
    </w:p>
    <w:p w14:paraId="1AD0DCD3">
      <w:pPr>
        <w:numPr>
          <w:ilvl w:val="1"/>
          <w:numId w:val="1"/>
        </w:numPr>
        <w:tabs>
          <w:tab w:val="left" w:pos="0"/>
        </w:tabs>
        <w:spacing w:line="288" w:lineRule="auto"/>
        <w:ind w:hanging="898"/>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采购代理机构：是指在集中采购机构或从事采购代理业务的社会中介机构。本项目的采购代理机构见</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w:t>
      </w:r>
    </w:p>
    <w:p w14:paraId="4B126504">
      <w:pPr>
        <w:numPr>
          <w:ilvl w:val="1"/>
          <w:numId w:val="1"/>
        </w:numPr>
        <w:spacing w:line="288" w:lineRule="auto"/>
        <w:ind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投标人：是指向采购人提供货物、工程或者服务的法人、非法人组织或者自然人。本项目的投标人及其投标货物须满足以下条件：</w:t>
      </w:r>
    </w:p>
    <w:p w14:paraId="11788A47">
      <w:pPr>
        <w:spacing w:line="288" w:lineRule="auto"/>
        <w:ind w:left="850" w:hanging="849" w:hangingChars="354"/>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在中华人民共和国境内注册，能够独立承担民事责任，有生产或供应能力的本国供应商。</w:t>
      </w:r>
    </w:p>
    <w:p w14:paraId="1080967A">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1.3.2  具备《中华人民共和国政府采购法》第二十二条关于供应商条件的规定，遵守本项目采购人本级和上级财政部门政府采购的有关规定。</w:t>
      </w:r>
    </w:p>
    <w:p w14:paraId="46DC3323">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1.3.3   以采购代理机构认可的方式获得了本项目的招标文件。</w:t>
      </w:r>
    </w:p>
    <w:p w14:paraId="1C3AA246">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1.3.4   提供符合</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中规定的资格证明文件。</w:t>
      </w:r>
    </w:p>
    <w:p w14:paraId="39DB29DA">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1.3.5   若</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中写明允许采购进口产品，投标人应保证所投产品可履行合法报通关手续进入中国关境内。</w:t>
      </w:r>
    </w:p>
    <w:p w14:paraId="61ABD861">
      <w:pPr>
        <w:spacing w:line="288" w:lineRule="auto"/>
        <w:ind w:left="898" w:leftChars="428"/>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若</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中未写明允许采购进口产品，如投标人所投产品为进口产品，其投标将被认定为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7ABDEFC3">
      <w:pPr>
        <w:spacing w:line="288" w:lineRule="auto"/>
        <w:ind w:left="840" w:hanging="840" w:hangingChars="3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1.3.6  若</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中写明专门面向中小企业采购的，如投标人为非中小企业且所投产品为非中小企业产品，其投标将被认定为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0AD9EA7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     如</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中允许联合体投标，对联合体规定如下：</w:t>
      </w:r>
    </w:p>
    <w:p w14:paraId="2986B6EB">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1.4.1   两个以上供应商可以组成一个投标联合体，以一个投标人的身份投标。</w:t>
      </w:r>
    </w:p>
    <w:p w14:paraId="485FB6C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1.4.2   联合体各方均应符合《中华人民共和国政府采购法》第二十二条规定的条件。</w:t>
      </w:r>
    </w:p>
    <w:p w14:paraId="183C384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1.4.3   采购人根据采购项目对投标人的特殊要求，联合体中至少应当有一方符合相关规定。</w:t>
      </w:r>
    </w:p>
    <w:p w14:paraId="1AE7D437">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1.4.4   联合体各方应签订共同投标协议，明确约定联合体各方承担的工作和相应的责任，并将共同投标协议连同作为投标文件第一部分的内容提交。</w:t>
      </w:r>
    </w:p>
    <w:p w14:paraId="6EFE6F6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1.4.5   大中型企业、其他自然人、法人或者非法人组织与小型、微型企业组成联合体共同参加投标，共同投标协议中应写明小型、微型企业的协议合同金额占到共同投标协议投标总金额的比例。</w:t>
      </w:r>
    </w:p>
    <w:p w14:paraId="62E40C8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1.4.6  联合体中有同类资质的供应商按照联合体分工承担相同工作的，按照较低的资质等级确定联合体的资质等级。</w:t>
      </w:r>
    </w:p>
    <w:p w14:paraId="0C716FE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1.4.7  以联合体形式参加政府采购活动的，联合体各方不得再单独参加或者与其他供应商另外组成联合体参加本项目投标，否则相关投标将被认定为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695E59DE">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1.4.8   对联合体投标的其他资格要求见</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w:t>
      </w:r>
    </w:p>
    <w:p w14:paraId="0E1188F6">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1.5    单位负责人为同一人或者存在直接控股、管理关系的不同供应商，其相关投标将被认定为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5B449B2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1.6    为本项目提供过整体设计、规范编制或者项目管理、监理、检测等服务的供应商，不得再参加本项目上述服务以外的其他采购活动。否则其投标将被认定为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34052CC9">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1.7</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投标人在投标过程中不得向采购人提供、给予任何有价值的物品，影响其正常决策行为。一经发现，其将被认定为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0BDF457D">
      <w:pPr>
        <w:pStyle w:val="4"/>
        <w:spacing w:before="0" w:after="0" w:line="288" w:lineRule="auto"/>
        <w:rPr>
          <w:rFonts w:hint="eastAsia" w:asciiTheme="minorEastAsia" w:hAnsiTheme="minorEastAsia" w:eastAsiaTheme="minorEastAsia" w:cstheme="minorEastAsia"/>
          <w:color w:val="auto"/>
          <w:lang w:eastAsia="zh-CN"/>
        </w:rPr>
      </w:pPr>
      <w:bookmarkStart w:id="56" w:name="_Toc12139"/>
      <w:bookmarkStart w:id="57" w:name="_Toc4322"/>
      <w:bookmarkStart w:id="58" w:name="_Toc4315"/>
      <w:bookmarkStart w:id="59" w:name="_Toc5286"/>
      <w:bookmarkStart w:id="60" w:name="_Toc8874"/>
      <w:bookmarkStart w:id="61" w:name="_Toc17808"/>
      <w:bookmarkStart w:id="62" w:name="_Toc14658"/>
      <w:bookmarkStart w:id="63" w:name="_Toc14117"/>
      <w:bookmarkStart w:id="64" w:name="_Toc8057"/>
      <w:bookmarkStart w:id="65" w:name="_Toc25043"/>
      <w:bookmarkStart w:id="66" w:name="_Toc515647759"/>
      <w:bookmarkStart w:id="67" w:name="_Toc21316"/>
      <w:bookmarkStart w:id="68" w:name="_Toc28178"/>
      <w:bookmarkStart w:id="69" w:name="_Toc7361"/>
      <w:r>
        <w:rPr>
          <w:rFonts w:hint="eastAsia" w:asciiTheme="minorEastAsia" w:hAnsiTheme="minorEastAsia" w:eastAsiaTheme="minorEastAsia" w:cstheme="minorEastAsia"/>
          <w:color w:val="auto"/>
          <w:lang w:eastAsia="zh-CN"/>
        </w:rPr>
        <w:t>2.资金来源</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BD063F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本项目的采购人已获得足以支付本次招标后所签订的合同项下的资金（包括财政性资金和本项目采购中无法与财政性资金分割的非财政性资金）。</w:t>
      </w:r>
    </w:p>
    <w:p w14:paraId="11E137B3">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2.2    项目预算金额和分项或分包最高限价</w:t>
      </w:r>
      <w:r>
        <w:rPr>
          <w:rFonts w:hint="eastAsia" w:asciiTheme="minorEastAsia" w:hAnsiTheme="minorEastAsia" w:eastAsiaTheme="minorEastAsia" w:cstheme="minorEastAsia"/>
          <w:color w:val="auto"/>
          <w:sz w:val="24"/>
          <w:u w:val="single" w:color="000000"/>
          <w:lang w:eastAsia="zh-CN"/>
        </w:rPr>
        <w:t>见投标人须知资料表</w:t>
      </w:r>
      <w:r>
        <w:rPr>
          <w:rFonts w:hint="eastAsia" w:asciiTheme="minorEastAsia" w:hAnsiTheme="minorEastAsia" w:eastAsiaTheme="minorEastAsia" w:cstheme="minorEastAsia"/>
          <w:color w:val="auto"/>
          <w:sz w:val="24"/>
          <w:lang w:eastAsia="zh-CN"/>
        </w:rPr>
        <w:t>。</w:t>
      </w:r>
    </w:p>
    <w:p w14:paraId="0331088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2.3    投标人报价超过招标文件规定的预算金额或者分项、分包最高限价的，其投标将被认定为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3C9E6ACC">
      <w:pPr>
        <w:pStyle w:val="4"/>
        <w:spacing w:before="0" w:after="0" w:line="288" w:lineRule="auto"/>
        <w:rPr>
          <w:rFonts w:hint="eastAsia" w:asciiTheme="minorEastAsia" w:hAnsiTheme="minorEastAsia" w:eastAsiaTheme="minorEastAsia" w:cstheme="minorEastAsia"/>
          <w:color w:val="auto"/>
          <w:lang w:eastAsia="zh-CN"/>
        </w:rPr>
      </w:pPr>
      <w:bookmarkStart w:id="70" w:name="_Toc13235"/>
      <w:bookmarkStart w:id="71" w:name="_Toc26014"/>
      <w:bookmarkStart w:id="72" w:name="_Toc15936"/>
      <w:bookmarkStart w:id="73" w:name="_Toc25643"/>
      <w:bookmarkStart w:id="74" w:name="_Toc17722"/>
      <w:bookmarkStart w:id="75" w:name="_Toc26702"/>
      <w:bookmarkStart w:id="76" w:name="_Toc245"/>
      <w:bookmarkStart w:id="77" w:name="_Toc20548"/>
      <w:bookmarkStart w:id="78" w:name="_Toc703"/>
      <w:bookmarkStart w:id="79" w:name="_Toc12066"/>
      <w:bookmarkStart w:id="80" w:name="_Toc520356145"/>
      <w:bookmarkStart w:id="81" w:name="_Toc31923"/>
      <w:bookmarkStart w:id="82" w:name="_Toc515647760"/>
      <w:bookmarkStart w:id="83" w:name="_Toc20526"/>
      <w:bookmarkStart w:id="84" w:name="_Toc13828"/>
      <w:r>
        <w:rPr>
          <w:rFonts w:hint="eastAsia" w:asciiTheme="minorEastAsia" w:hAnsiTheme="minorEastAsia" w:eastAsiaTheme="minorEastAsia" w:cstheme="minorEastAsia"/>
          <w:color w:val="auto"/>
          <w:lang w:eastAsia="zh-CN"/>
        </w:rPr>
        <w:t>3.投标费用</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E90C56E">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不论投标的结果如何，投标人应承担所有与准备和参加投标有关的费用。</w:t>
      </w:r>
    </w:p>
    <w:p w14:paraId="29AABB7B">
      <w:pPr>
        <w:pStyle w:val="4"/>
        <w:spacing w:before="0" w:after="0" w:line="288" w:lineRule="auto"/>
        <w:rPr>
          <w:rFonts w:hint="eastAsia" w:asciiTheme="minorEastAsia" w:hAnsiTheme="minorEastAsia" w:eastAsiaTheme="minorEastAsia" w:cstheme="minorEastAsia"/>
          <w:color w:val="auto"/>
          <w:lang w:eastAsia="zh-CN"/>
        </w:rPr>
      </w:pPr>
      <w:bookmarkStart w:id="85" w:name="_Toc28041"/>
      <w:bookmarkStart w:id="86" w:name="_Toc25102"/>
      <w:bookmarkStart w:id="87" w:name="_Toc6116"/>
      <w:bookmarkStart w:id="88" w:name="_Toc19596"/>
      <w:bookmarkStart w:id="89" w:name="_Toc32665"/>
      <w:bookmarkStart w:id="90" w:name="_Toc4463"/>
      <w:bookmarkStart w:id="91" w:name="_Toc20058"/>
      <w:bookmarkStart w:id="92" w:name="_Toc22881"/>
      <w:bookmarkStart w:id="93" w:name="_Toc18730"/>
      <w:bookmarkStart w:id="94" w:name="_Toc3200"/>
      <w:bookmarkStart w:id="95" w:name="_Toc24113"/>
      <w:bookmarkStart w:id="96" w:name="_Toc3354"/>
      <w:bookmarkStart w:id="97" w:name="_Toc31798"/>
      <w:bookmarkStart w:id="98" w:name="_Toc515647761"/>
      <w:r>
        <w:rPr>
          <w:rFonts w:hint="eastAsia" w:asciiTheme="minorEastAsia" w:hAnsiTheme="minorEastAsia" w:eastAsiaTheme="minorEastAsia" w:cstheme="minorEastAsia"/>
          <w:color w:val="auto"/>
          <w:lang w:eastAsia="zh-CN"/>
        </w:rPr>
        <w:t>4.适用法律</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19CF9A7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35AAB498">
      <w:pPr>
        <w:rPr>
          <w:rFonts w:hint="eastAsia" w:asciiTheme="minorEastAsia" w:hAnsiTheme="minorEastAsia" w:eastAsiaTheme="minorEastAsia" w:cstheme="minorEastAsia"/>
          <w:color w:val="auto"/>
          <w:lang w:eastAsia="zh-CN"/>
        </w:rPr>
      </w:pPr>
      <w:bookmarkStart w:id="99" w:name="_Toc4365"/>
      <w:bookmarkStart w:id="100" w:name="_Toc515647762"/>
      <w:bookmarkStart w:id="101" w:name="_Toc8117"/>
      <w:bookmarkStart w:id="102" w:name="_Toc19184"/>
      <w:bookmarkStart w:id="103" w:name="_Toc17538"/>
      <w:bookmarkStart w:id="104" w:name="_Toc216582806"/>
      <w:bookmarkStart w:id="105" w:name="_Toc28572"/>
      <w:bookmarkStart w:id="106" w:name="_Toc4063"/>
      <w:bookmarkStart w:id="107" w:name="_Toc21566"/>
      <w:bookmarkStart w:id="108" w:name="_Toc1733"/>
      <w:bookmarkStart w:id="109" w:name="_Toc6520"/>
      <w:bookmarkStart w:id="110" w:name="_Toc30891"/>
      <w:bookmarkStart w:id="111" w:name="_Toc520356146"/>
      <w:bookmarkStart w:id="112" w:name="_Toc6944"/>
      <w:bookmarkStart w:id="113" w:name="_Toc10643"/>
    </w:p>
    <w:p w14:paraId="06E1F3AD">
      <w:pPr>
        <w:pStyle w:val="3"/>
        <w:spacing w:before="0" w:line="288" w:lineRule="auto"/>
        <w:ind w:left="1079" w:leftChars="257" w:hanging="540"/>
        <w:rPr>
          <w:rFonts w:hint="eastAsia" w:asciiTheme="minorEastAsia" w:hAnsiTheme="minorEastAsia" w:eastAsiaTheme="minorEastAsia" w:cstheme="minorEastAsia"/>
          <w:color w:val="auto"/>
          <w:sz w:val="28"/>
          <w:lang w:eastAsia="zh-CN"/>
        </w:rPr>
      </w:pPr>
      <w:r>
        <w:rPr>
          <w:rFonts w:hint="eastAsia" w:asciiTheme="minorEastAsia" w:hAnsiTheme="minorEastAsia" w:eastAsiaTheme="minorEastAsia" w:cstheme="minorEastAsia"/>
          <w:color w:val="auto"/>
          <w:sz w:val="28"/>
          <w:lang w:eastAsia="zh-CN"/>
        </w:rPr>
        <w:t>二 招标文件</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247B663">
      <w:pPr>
        <w:pStyle w:val="5"/>
        <w:spacing w:line="288" w:lineRule="auto"/>
        <w:rPr>
          <w:rFonts w:hint="eastAsia" w:asciiTheme="minorEastAsia" w:hAnsiTheme="minorEastAsia" w:eastAsiaTheme="minorEastAsia" w:cstheme="minorEastAsia"/>
          <w:color w:val="auto"/>
          <w:lang w:eastAsia="zh-CN"/>
        </w:rPr>
      </w:pPr>
    </w:p>
    <w:p w14:paraId="7A86E19B">
      <w:pPr>
        <w:pStyle w:val="4"/>
        <w:spacing w:before="0" w:after="0" w:line="288" w:lineRule="auto"/>
        <w:rPr>
          <w:rFonts w:hint="eastAsia" w:asciiTheme="minorEastAsia" w:hAnsiTheme="minorEastAsia" w:eastAsiaTheme="minorEastAsia" w:cstheme="minorEastAsia"/>
          <w:color w:val="auto"/>
          <w:lang w:eastAsia="zh-CN"/>
        </w:rPr>
      </w:pPr>
      <w:bookmarkStart w:id="114" w:name="_Toc25647"/>
      <w:bookmarkStart w:id="115" w:name="_Toc17225"/>
      <w:bookmarkStart w:id="116" w:name="_Toc28647"/>
      <w:bookmarkStart w:id="117" w:name="_Toc14084"/>
      <w:bookmarkStart w:id="118" w:name="_Toc6246"/>
      <w:bookmarkStart w:id="119" w:name="_Toc14637"/>
      <w:bookmarkStart w:id="120" w:name="_Toc25743"/>
      <w:bookmarkStart w:id="121" w:name="_Toc520356147"/>
      <w:bookmarkStart w:id="122" w:name="_Toc11582"/>
      <w:bookmarkStart w:id="123" w:name="_Toc22748"/>
      <w:bookmarkStart w:id="124" w:name="_Toc481"/>
      <w:bookmarkStart w:id="125" w:name="_Toc1617"/>
      <w:bookmarkStart w:id="126" w:name="_Toc4671"/>
      <w:bookmarkStart w:id="127" w:name="_Toc515647763"/>
      <w:bookmarkStart w:id="128" w:name="_Toc5326"/>
      <w:r>
        <w:rPr>
          <w:rFonts w:hint="eastAsia" w:asciiTheme="minorEastAsia" w:hAnsiTheme="minorEastAsia" w:eastAsiaTheme="minorEastAsia" w:cstheme="minorEastAsia"/>
          <w:color w:val="auto"/>
          <w:lang w:eastAsia="zh-CN"/>
        </w:rPr>
        <w:t>5.招标文件构成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CACCA1B">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招标文件分为三册共7章，内容如下：</w:t>
      </w:r>
    </w:p>
    <w:p w14:paraId="7285D90F">
      <w:pPr>
        <w:spacing w:line="288" w:lineRule="auto"/>
        <w:ind w:left="1078" w:leftChars="428" w:hanging="180" w:hangingChars="75"/>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第一册</w:t>
      </w:r>
    </w:p>
    <w:p w14:paraId="5B341695">
      <w:pPr>
        <w:numPr>
          <w:ilvl w:val="0"/>
          <w:numId w:val="2"/>
        </w:numPr>
        <w:tabs>
          <w:tab w:val="left" w:pos="0"/>
        </w:tabs>
        <w:spacing w:line="288" w:lineRule="auto"/>
        <w:ind w:hanging="82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投标人须知</w:t>
      </w:r>
    </w:p>
    <w:p w14:paraId="792D031E">
      <w:pPr>
        <w:numPr>
          <w:ilvl w:val="0"/>
          <w:numId w:val="2"/>
        </w:numPr>
        <w:spacing w:line="288" w:lineRule="auto"/>
        <w:ind w:left="1080" w:leftChars="429" w:hanging="1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投标文件格式</w:t>
      </w:r>
    </w:p>
    <w:p w14:paraId="28F1D03D">
      <w:pPr>
        <w:spacing w:line="288" w:lineRule="auto"/>
        <w:ind w:left="1080" w:leftChars="429" w:hanging="1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第二册</w:t>
      </w:r>
    </w:p>
    <w:p w14:paraId="4FA716B7">
      <w:pPr>
        <w:numPr>
          <w:ilvl w:val="0"/>
          <w:numId w:val="2"/>
        </w:numPr>
        <w:spacing w:line="288" w:lineRule="auto"/>
        <w:ind w:left="1080" w:leftChars="429" w:hanging="1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投标邀请</w:t>
      </w:r>
    </w:p>
    <w:p w14:paraId="30F7AC4D">
      <w:pPr>
        <w:numPr>
          <w:ilvl w:val="0"/>
          <w:numId w:val="2"/>
        </w:numPr>
        <w:spacing w:line="288" w:lineRule="auto"/>
        <w:ind w:left="1080" w:leftChars="429" w:hanging="1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投标人须知资料表</w:t>
      </w:r>
    </w:p>
    <w:p w14:paraId="499D6458">
      <w:pPr>
        <w:numPr>
          <w:ilvl w:val="0"/>
          <w:numId w:val="2"/>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货物需求一览表及技术规格</w:t>
      </w:r>
    </w:p>
    <w:p w14:paraId="50760A30">
      <w:pPr>
        <w:numPr>
          <w:ilvl w:val="0"/>
          <w:numId w:val="2"/>
        </w:numPr>
        <w:spacing w:line="288" w:lineRule="auto"/>
        <w:ind w:left="1080" w:leftChars="429" w:hanging="1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评标方法和标准</w:t>
      </w:r>
    </w:p>
    <w:p w14:paraId="7F2F7FCB">
      <w:pPr>
        <w:spacing w:line="288" w:lineRule="auto"/>
        <w:ind w:left="90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第三册</w:t>
      </w:r>
    </w:p>
    <w:p w14:paraId="164420C6">
      <w:pPr>
        <w:numPr>
          <w:ilvl w:val="0"/>
          <w:numId w:val="2"/>
        </w:numPr>
        <w:spacing w:line="288" w:lineRule="auto"/>
        <w:ind w:left="718" w:leftChars="342" w:firstLine="240" w:firstLineChars="1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政府采购合同格式</w:t>
      </w:r>
    </w:p>
    <w:p w14:paraId="686E781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如本文件的前后内容不一致，以最后描述为准。</w:t>
      </w:r>
    </w:p>
    <w:p w14:paraId="48A296A9">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555BB598">
      <w:pPr>
        <w:pStyle w:val="4"/>
        <w:spacing w:before="0" w:after="0" w:line="288" w:lineRule="auto"/>
        <w:rPr>
          <w:rFonts w:hint="eastAsia" w:asciiTheme="minorEastAsia" w:hAnsiTheme="minorEastAsia" w:eastAsiaTheme="minorEastAsia" w:cstheme="minorEastAsia"/>
          <w:color w:val="auto"/>
          <w:lang w:eastAsia="zh-CN"/>
        </w:rPr>
      </w:pPr>
      <w:bookmarkStart w:id="129" w:name="_Toc515904805"/>
      <w:bookmarkStart w:id="130" w:name="_Toc520356148"/>
      <w:bookmarkStart w:id="131" w:name="_Toc3154"/>
      <w:bookmarkStart w:id="132" w:name="_Toc7323"/>
      <w:bookmarkStart w:id="133" w:name="_Toc4284"/>
      <w:bookmarkStart w:id="134" w:name="_Toc26044"/>
      <w:bookmarkStart w:id="135" w:name="_Toc9232"/>
      <w:bookmarkStart w:id="136" w:name="_Toc2703"/>
      <w:bookmarkStart w:id="137" w:name="_Toc27562"/>
      <w:bookmarkStart w:id="138" w:name="_Toc18688"/>
      <w:bookmarkStart w:id="139" w:name="_Toc7751"/>
      <w:bookmarkStart w:id="140" w:name="_Toc4118"/>
      <w:bookmarkStart w:id="141" w:name="_Toc1922"/>
      <w:bookmarkStart w:id="142" w:name="_Toc1925"/>
      <w:bookmarkStart w:id="143" w:name="_Toc20175"/>
      <w:r>
        <w:rPr>
          <w:rFonts w:hint="eastAsia" w:asciiTheme="minorEastAsia" w:hAnsiTheme="minorEastAsia" w:eastAsiaTheme="minorEastAsia" w:cstheme="minorEastAsia"/>
          <w:color w:val="auto"/>
          <w:lang w:eastAsia="zh-CN"/>
        </w:rPr>
        <w:t>6.招标文件的澄清</w:t>
      </w:r>
      <w:bookmarkEnd w:id="129"/>
      <w:bookmarkEnd w:id="130"/>
      <w:r>
        <w:rPr>
          <w:rFonts w:hint="eastAsia" w:asciiTheme="minorEastAsia" w:hAnsiTheme="minorEastAsia" w:eastAsiaTheme="minorEastAsia" w:cstheme="minorEastAsia"/>
          <w:color w:val="auto"/>
          <w:lang w:eastAsia="zh-CN"/>
        </w:rPr>
        <w:t>与修改</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03E4A20E">
      <w:pPr>
        <w:pStyle w:val="5"/>
        <w:spacing w:line="288" w:lineRule="auto"/>
        <w:ind w:left="840" w:hanging="840" w:hangingChars="350"/>
        <w:rPr>
          <w:rFonts w:hint="eastAsia" w:asciiTheme="minorEastAsia" w:hAnsiTheme="minorEastAsia" w:eastAsiaTheme="minorEastAsia" w:cstheme="minorEastAsia"/>
          <w:color w:val="auto"/>
          <w:szCs w:val="24"/>
          <w:lang w:eastAsia="zh-CN"/>
        </w:rPr>
      </w:pPr>
      <w:r>
        <w:rPr>
          <w:rFonts w:hint="eastAsia" w:asciiTheme="minorEastAsia" w:hAnsiTheme="minorEastAsia" w:eastAsiaTheme="minorEastAsia" w:cstheme="minorEastAsia"/>
          <w:color w:val="auto"/>
          <w:szCs w:val="24"/>
          <w:lang w:eastAsia="zh-CN"/>
        </w:rPr>
        <w:t>6.1    为了保证对招标文件的澄清和修改满足法律的时限要求，任何要求对招标文件进行澄清的投标人，均应在投标截止期十五日前，以书面形式将澄清要求通知采购人或采购代理机构。</w:t>
      </w:r>
    </w:p>
    <w:p w14:paraId="3F222ACE">
      <w:pPr>
        <w:pStyle w:val="5"/>
        <w:spacing w:line="288" w:lineRule="auto"/>
        <w:ind w:left="840" w:hanging="840" w:hangingChars="350"/>
        <w:rPr>
          <w:rFonts w:hint="eastAsia" w:asciiTheme="minorEastAsia" w:hAnsiTheme="minorEastAsia" w:eastAsiaTheme="minorEastAsia" w:cstheme="minorEastAsia"/>
          <w:color w:val="auto"/>
          <w:szCs w:val="24"/>
          <w:lang w:eastAsia="zh-CN"/>
        </w:rPr>
      </w:pPr>
      <w:bookmarkStart w:id="144" w:name="_Toc520356149"/>
      <w:bookmarkStart w:id="145" w:name="_Ref467378678"/>
      <w:bookmarkStart w:id="146" w:name="_Toc515904806"/>
      <w:r>
        <w:rPr>
          <w:rFonts w:hint="eastAsia" w:asciiTheme="minorEastAsia" w:hAnsiTheme="minorEastAsia" w:eastAsiaTheme="minorEastAsia" w:cstheme="minorEastAsia"/>
          <w:color w:val="auto"/>
          <w:szCs w:val="24"/>
          <w:lang w:eastAsia="zh-CN"/>
        </w:rPr>
        <w:t>6.2</w:t>
      </w:r>
      <w:r>
        <w:rPr>
          <w:rFonts w:hint="eastAsia" w:asciiTheme="minorEastAsia" w:hAnsiTheme="minorEastAsia" w:eastAsiaTheme="minorEastAsia" w:cstheme="minorEastAsia"/>
          <w:color w:val="auto"/>
          <w:szCs w:val="24"/>
          <w:lang w:eastAsia="zh-CN"/>
        </w:rPr>
        <w:tab/>
      </w:r>
      <w:r>
        <w:rPr>
          <w:rFonts w:hint="eastAsia" w:asciiTheme="minorEastAsia" w:hAnsiTheme="minorEastAsia" w:eastAsiaTheme="minorEastAsia" w:cstheme="minorEastAsia"/>
          <w:color w:val="auto"/>
          <w:szCs w:val="24"/>
          <w:lang w:eastAsia="zh-CN"/>
        </w:rPr>
        <w:t>采购人可主动地或在解答投标人提出的澄清问题时对招标文件进行澄清或修改。采购代理机构将以发布澄清（更正）公告的方式，澄清或修改招标文件，澄清或修改内容作为招标文件的组成部分。</w:t>
      </w:r>
    </w:p>
    <w:p w14:paraId="46C53345">
      <w:pPr>
        <w:pStyle w:val="5"/>
        <w:spacing w:line="288" w:lineRule="auto"/>
        <w:ind w:left="840" w:hanging="840" w:hangingChars="350"/>
        <w:rPr>
          <w:rFonts w:hint="eastAsia" w:asciiTheme="minorEastAsia" w:hAnsiTheme="minorEastAsia" w:eastAsiaTheme="minorEastAsia" w:cstheme="minorEastAsia"/>
          <w:color w:val="auto"/>
          <w:szCs w:val="24"/>
          <w:lang w:eastAsia="zh-CN"/>
        </w:rPr>
      </w:pPr>
      <w:r>
        <w:rPr>
          <w:rFonts w:hint="eastAsia" w:asciiTheme="minorEastAsia" w:hAnsiTheme="minorEastAsia" w:eastAsiaTheme="minorEastAsia" w:cstheme="minorEastAsia"/>
          <w:color w:val="auto"/>
          <w:szCs w:val="24"/>
          <w:lang w:eastAsia="zh-CN"/>
        </w:rPr>
        <w:t>6.3</w:t>
      </w:r>
      <w:r>
        <w:rPr>
          <w:rFonts w:hint="eastAsia" w:asciiTheme="minorEastAsia" w:hAnsiTheme="minorEastAsia" w:eastAsiaTheme="minorEastAsia" w:cstheme="minorEastAsia"/>
          <w:color w:val="auto"/>
          <w:szCs w:val="24"/>
          <w:lang w:eastAsia="zh-CN"/>
        </w:rPr>
        <w:tab/>
      </w:r>
      <w:r>
        <w:rPr>
          <w:rFonts w:hint="eastAsia" w:asciiTheme="minorEastAsia" w:hAnsiTheme="minorEastAsia" w:eastAsiaTheme="minorEastAsia" w:cstheme="minorEastAsia"/>
          <w:color w:val="auto"/>
          <w:szCs w:val="24"/>
          <w:lang w:eastAsia="zh-CN"/>
        </w:rPr>
        <w:t>澄清或者修改的内容可能影响投标文件编制的，采购代理机构将以书面形式通知所有购买招标文件的潜在投标人，并对其具有约束力。投标人在收到上述通知后，应及时向采购代理机构回函确认。</w:t>
      </w:r>
    </w:p>
    <w:p w14:paraId="20E45D4F">
      <w:pPr>
        <w:pStyle w:val="4"/>
        <w:tabs>
          <w:tab w:val="left" w:pos="900"/>
        </w:tabs>
        <w:spacing w:before="0" w:after="0" w:line="288" w:lineRule="auto"/>
        <w:rPr>
          <w:rFonts w:hint="eastAsia" w:asciiTheme="minorEastAsia" w:hAnsiTheme="minorEastAsia" w:eastAsiaTheme="minorEastAsia" w:cstheme="minorEastAsia"/>
          <w:color w:val="auto"/>
          <w:lang w:eastAsia="zh-CN"/>
        </w:rPr>
      </w:pPr>
      <w:bookmarkStart w:id="147" w:name="_Toc25635"/>
      <w:bookmarkStart w:id="148" w:name="_Toc21817"/>
      <w:bookmarkStart w:id="149" w:name="_Toc7775"/>
      <w:bookmarkStart w:id="150" w:name="_Toc21993"/>
      <w:bookmarkStart w:id="151" w:name="_Toc25461"/>
      <w:bookmarkStart w:id="152" w:name="_Toc2744"/>
      <w:bookmarkStart w:id="153" w:name="_Toc330"/>
      <w:bookmarkStart w:id="154" w:name="_Toc12448"/>
      <w:bookmarkStart w:id="155" w:name="_Toc23166"/>
      <w:bookmarkStart w:id="156" w:name="_Toc19841"/>
      <w:bookmarkStart w:id="157" w:name="_Toc14569"/>
      <w:bookmarkStart w:id="158" w:name="_Toc25416"/>
      <w:bookmarkStart w:id="159" w:name="_Toc4653"/>
      <w:r>
        <w:rPr>
          <w:rFonts w:hint="eastAsia" w:asciiTheme="minorEastAsia" w:hAnsiTheme="minorEastAsia" w:eastAsiaTheme="minorEastAsia" w:cstheme="minorEastAsia"/>
          <w:color w:val="auto"/>
          <w:lang w:eastAsia="zh-CN"/>
        </w:rPr>
        <w:t>7</w:t>
      </w:r>
      <w:bookmarkEnd w:id="144"/>
      <w:bookmarkEnd w:id="145"/>
      <w:bookmarkEnd w:id="146"/>
      <w:r>
        <w:rPr>
          <w:rFonts w:hint="eastAsia" w:asciiTheme="minorEastAsia" w:hAnsiTheme="minorEastAsia" w:eastAsiaTheme="minorEastAsia" w:cstheme="minorEastAsia"/>
          <w:color w:val="auto"/>
          <w:lang w:eastAsia="zh-CN"/>
        </w:rPr>
        <w:t>.投标截止时间的顺延</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7E3334B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为使投标人准备投标时有足够的时间对招标文件的澄清或者修改部分进行研究，采购人将依法决定是否顺延投标截止时间。</w:t>
      </w:r>
    </w:p>
    <w:p w14:paraId="7D313032">
      <w:pPr>
        <w:pStyle w:val="3"/>
        <w:tabs>
          <w:tab w:val="left" w:pos="900"/>
        </w:tabs>
        <w:spacing w:before="0" w:line="288" w:lineRule="auto"/>
        <w:ind w:left="1079" w:leftChars="257" w:hanging="540"/>
        <w:rPr>
          <w:rFonts w:hint="eastAsia" w:asciiTheme="minorEastAsia" w:hAnsiTheme="minorEastAsia" w:eastAsiaTheme="minorEastAsia" w:cstheme="minorEastAsia"/>
          <w:b w:val="0"/>
          <w:color w:val="auto"/>
          <w:sz w:val="24"/>
          <w:lang w:eastAsia="zh-CN"/>
        </w:rPr>
      </w:pPr>
      <w:bookmarkStart w:id="160" w:name="_Toc516367020"/>
      <w:bookmarkStart w:id="161" w:name="_Toc15802"/>
      <w:bookmarkStart w:id="162" w:name="_Toc19696"/>
      <w:bookmarkStart w:id="163" w:name="_Toc30808"/>
      <w:bookmarkStart w:id="164" w:name="_Toc9442"/>
      <w:bookmarkStart w:id="165" w:name="_Toc12340"/>
      <w:bookmarkStart w:id="166" w:name="_Toc520356150"/>
      <w:bookmarkStart w:id="167" w:name="_Toc8537"/>
      <w:bookmarkStart w:id="168" w:name="_Toc22175"/>
      <w:bookmarkStart w:id="169" w:name="_Toc23336"/>
      <w:bookmarkStart w:id="170" w:name="_Toc31039"/>
      <w:bookmarkStart w:id="171" w:name="_Toc14530"/>
      <w:bookmarkStart w:id="172" w:name="_Toc25866"/>
      <w:bookmarkStart w:id="173" w:name="_Toc216582807"/>
      <w:bookmarkStart w:id="174" w:name="_Toc7636"/>
      <w:bookmarkStart w:id="175" w:name="_Toc8381"/>
      <w:bookmarkStart w:id="176" w:name="_Toc515647766"/>
      <w:r>
        <w:rPr>
          <w:rFonts w:hint="eastAsia" w:asciiTheme="minorEastAsia" w:hAnsiTheme="minorEastAsia" w:eastAsiaTheme="minorEastAsia" w:cstheme="minorEastAsia"/>
          <w:color w:val="auto"/>
          <w:sz w:val="28"/>
          <w:lang w:eastAsia="zh-CN"/>
        </w:rPr>
        <w:t>三 投标文件</w:t>
      </w:r>
      <w:bookmarkEnd w:id="160"/>
      <w:r>
        <w:rPr>
          <w:rFonts w:hint="eastAsia" w:asciiTheme="minorEastAsia" w:hAnsiTheme="minorEastAsia" w:eastAsiaTheme="minorEastAsia" w:cstheme="minorEastAsia"/>
          <w:color w:val="auto"/>
          <w:sz w:val="28"/>
          <w:lang w:eastAsia="zh-CN"/>
        </w:rPr>
        <w:t>的编制</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EB581B9">
      <w:pPr>
        <w:pStyle w:val="4"/>
        <w:tabs>
          <w:tab w:val="left" w:pos="900"/>
        </w:tabs>
        <w:spacing w:before="0" w:after="0" w:line="288" w:lineRule="auto"/>
        <w:rPr>
          <w:rFonts w:hint="eastAsia" w:asciiTheme="minorEastAsia" w:hAnsiTheme="minorEastAsia" w:eastAsiaTheme="minorEastAsia" w:cstheme="minorEastAsia"/>
          <w:color w:val="auto"/>
          <w:lang w:eastAsia="zh-CN"/>
        </w:rPr>
      </w:pPr>
      <w:bookmarkStart w:id="177" w:name="_Toc15952"/>
      <w:bookmarkStart w:id="178" w:name="_Toc515647767"/>
      <w:bookmarkStart w:id="179" w:name="_Toc7786"/>
      <w:bookmarkStart w:id="180" w:name="_Toc10758"/>
      <w:bookmarkStart w:id="181" w:name="_Toc516367021"/>
      <w:bookmarkStart w:id="182" w:name="_Toc30570"/>
      <w:bookmarkStart w:id="183" w:name="_Toc27410"/>
      <w:bookmarkStart w:id="184" w:name="_Toc520356151"/>
      <w:bookmarkStart w:id="185" w:name="_Toc3553"/>
      <w:bookmarkStart w:id="186" w:name="_Toc11227"/>
      <w:bookmarkStart w:id="187" w:name="_Toc15590"/>
      <w:bookmarkStart w:id="188" w:name="_Toc2259"/>
      <w:bookmarkStart w:id="189" w:name="_Toc28725"/>
      <w:bookmarkStart w:id="190" w:name="_Toc6680"/>
      <w:bookmarkStart w:id="191" w:name="_Toc11023"/>
      <w:bookmarkStart w:id="192" w:name="_Toc11230"/>
      <w:r>
        <w:rPr>
          <w:rFonts w:hint="eastAsia" w:asciiTheme="minorEastAsia" w:hAnsiTheme="minorEastAsia" w:eastAsiaTheme="minorEastAsia" w:cstheme="minorEastAsia"/>
          <w:color w:val="auto"/>
          <w:lang w:eastAsia="zh-CN"/>
        </w:rPr>
        <w:t>8.</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投标范围及投标文件中标准和计量单位的使用</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398F1EE">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项目有分包的，投标人可对招标文件其中某一个或几个分包货物进行投标，除非在</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中另有规定。</w:t>
      </w:r>
    </w:p>
    <w:p w14:paraId="36D15A74">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8.2     投标人应当对所投分包招标文件中“服务需求”所列的所有内容进行投标，如仅响应某一包中的部分内容，其该包投标将被认定为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65127AD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8.3     无论招标文件第5章货物需求一览表及技术规格中是否要求，投标人所投货物均应符合国家强制性标准。</w:t>
      </w:r>
    </w:p>
    <w:p w14:paraId="5290B5F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8.4     除招标文件中有特殊要求外，投标文件中所使用的计量单位，应采用中华人民共和国法定计量单位。</w:t>
      </w:r>
    </w:p>
    <w:p w14:paraId="16A706BC">
      <w:pPr>
        <w:pStyle w:val="4"/>
        <w:tabs>
          <w:tab w:val="left" w:pos="900"/>
        </w:tabs>
        <w:spacing w:before="0" w:after="0" w:line="288" w:lineRule="auto"/>
        <w:rPr>
          <w:rFonts w:hint="eastAsia" w:asciiTheme="minorEastAsia" w:hAnsiTheme="minorEastAsia" w:eastAsiaTheme="minorEastAsia" w:cstheme="minorEastAsia"/>
          <w:color w:val="auto"/>
          <w:lang w:eastAsia="zh-CN"/>
        </w:rPr>
      </w:pPr>
      <w:bookmarkStart w:id="193" w:name="_Toc516367022"/>
      <w:bookmarkStart w:id="194" w:name="_Ref467306195"/>
      <w:bookmarkStart w:id="195" w:name="_Ref467306676"/>
      <w:bookmarkStart w:id="196" w:name="_Toc31425"/>
      <w:bookmarkStart w:id="197" w:name="_Toc6112"/>
      <w:bookmarkStart w:id="198" w:name="_Toc9237"/>
      <w:bookmarkStart w:id="199" w:name="_Toc9389"/>
      <w:bookmarkStart w:id="200" w:name="_Toc13854"/>
      <w:bookmarkStart w:id="201" w:name="_Toc28307"/>
      <w:bookmarkStart w:id="202" w:name="_Toc10364"/>
      <w:bookmarkStart w:id="203" w:name="_Toc18627"/>
      <w:bookmarkStart w:id="204" w:name="_Toc17949"/>
      <w:bookmarkStart w:id="205" w:name="_Toc21249"/>
      <w:bookmarkStart w:id="206" w:name="_Toc17979"/>
      <w:bookmarkStart w:id="207" w:name="_Toc515647768"/>
      <w:bookmarkStart w:id="208" w:name="_Toc520356152"/>
      <w:bookmarkStart w:id="209" w:name="_Toc22989"/>
      <w:bookmarkStart w:id="210" w:name="_Toc18692"/>
      <w:r>
        <w:rPr>
          <w:rFonts w:hint="eastAsia" w:asciiTheme="minorEastAsia" w:hAnsiTheme="minorEastAsia" w:eastAsiaTheme="minorEastAsia" w:cstheme="minorEastAsia"/>
          <w:color w:val="auto"/>
          <w:lang w:eastAsia="zh-CN"/>
        </w:rPr>
        <w:t>9.投标文件</w:t>
      </w:r>
      <w:bookmarkEnd w:id="193"/>
      <w:bookmarkEnd w:id="194"/>
      <w:bookmarkEnd w:id="195"/>
      <w:r>
        <w:rPr>
          <w:rFonts w:hint="eastAsia" w:asciiTheme="minorEastAsia" w:hAnsiTheme="minorEastAsia" w:eastAsiaTheme="minorEastAsia" w:cstheme="minorEastAsia"/>
          <w:color w:val="auto"/>
          <w:lang w:eastAsia="zh-CN"/>
        </w:rPr>
        <w:t>构成</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15F6B164">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9.1     投标单位应完整地按招标文件提供的响应文件格式及要求编写响应文件，投标单位须</w:t>
      </w:r>
    </w:p>
    <w:p w14:paraId="5AA31404">
      <w:pPr>
        <w:spacing w:line="288" w:lineRule="auto"/>
        <w:ind w:left="957" w:leftChars="456"/>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在投标截止时间前完成在系统上递交电子响应文件。投标单位的电子响应文件是经过CA 证书加密后上传提交的，任何单位或个人均无法在投标截止时间(即投标时间)</w:t>
      </w:r>
    </w:p>
    <w:p w14:paraId="40604F9F">
      <w:pPr>
        <w:spacing w:line="288" w:lineRule="auto"/>
        <w:ind w:firstLine="960" w:firstLine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之前查看或篡改，不存在泄密风险。（严格按照政采云电子投标流程制作并上传电</w:t>
      </w:r>
    </w:p>
    <w:p w14:paraId="3C042312">
      <w:pPr>
        <w:spacing w:line="288" w:lineRule="auto"/>
        <w:ind w:firstLine="960" w:firstLine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子响应文件）</w:t>
      </w:r>
    </w:p>
    <w:p w14:paraId="38E0A844">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9.2    上述文件应按照招标文件规定的格式填写、签署和盖章招标文件中的格式供参考，投标文件中的内容可自行调整但应包括格式内的所有内容。</w:t>
      </w:r>
    </w:p>
    <w:p w14:paraId="6A818329">
      <w:pPr>
        <w:pStyle w:val="4"/>
        <w:tabs>
          <w:tab w:val="left" w:pos="900"/>
        </w:tabs>
        <w:spacing w:before="0" w:after="0" w:line="288" w:lineRule="auto"/>
        <w:rPr>
          <w:rFonts w:hint="eastAsia" w:asciiTheme="minorEastAsia" w:hAnsiTheme="minorEastAsia" w:eastAsiaTheme="minorEastAsia" w:cstheme="minorEastAsia"/>
          <w:color w:val="auto"/>
          <w:lang w:eastAsia="zh-CN"/>
        </w:rPr>
      </w:pPr>
      <w:bookmarkStart w:id="211" w:name="_Toc6889"/>
      <w:bookmarkStart w:id="212" w:name="_Toc22144"/>
      <w:bookmarkStart w:id="213" w:name="_Toc3494"/>
      <w:bookmarkStart w:id="214" w:name="_Toc10379"/>
      <w:bookmarkStart w:id="215" w:name="_Toc5539"/>
      <w:bookmarkStart w:id="216" w:name="_Toc30942"/>
      <w:bookmarkStart w:id="217" w:name="_Toc20882"/>
      <w:bookmarkStart w:id="218" w:name="_Toc7354"/>
      <w:bookmarkStart w:id="219" w:name="_Toc21436"/>
      <w:bookmarkStart w:id="220" w:name="_Toc22816"/>
      <w:bookmarkStart w:id="221" w:name="_Toc2871"/>
      <w:bookmarkStart w:id="222" w:name="_Toc520356153"/>
      <w:bookmarkStart w:id="223" w:name="_Toc516367023"/>
      <w:bookmarkStart w:id="224" w:name="_Toc4601"/>
      <w:bookmarkStart w:id="225" w:name="_Toc13143"/>
      <w:bookmarkStart w:id="226" w:name="_Toc515647769"/>
      <w:r>
        <w:rPr>
          <w:rFonts w:hint="eastAsia" w:asciiTheme="minorEastAsia" w:hAnsiTheme="minorEastAsia" w:eastAsiaTheme="minorEastAsia" w:cstheme="minorEastAsia"/>
          <w:color w:val="auto"/>
          <w:lang w:eastAsia="zh-CN"/>
        </w:rPr>
        <w:t>10.</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证明投标标的的合格性和符合招标文件规定的技术文件</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2CB946E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投标人应提交证明文件，证明其投标内容符合招标文件规定。该证明文件是投标文件的一部分。</w:t>
      </w:r>
    </w:p>
    <w:p w14:paraId="02A09E52">
      <w:pPr>
        <w:spacing w:line="288" w:lineRule="auto"/>
        <w:ind w:left="900" w:hanging="900" w:hangingChars="375"/>
        <w:rPr>
          <w:rFonts w:hint="eastAsia" w:asciiTheme="minorEastAsia" w:hAnsiTheme="minorEastAsia" w:eastAsiaTheme="minorEastAsia" w:cstheme="minorEastAsia"/>
          <w:color w:val="auto"/>
          <w:sz w:val="24"/>
          <w:lang w:eastAsia="zh-CN"/>
        </w:rPr>
      </w:pPr>
      <w:bookmarkStart w:id="227" w:name="_Ref467306244"/>
      <w:r>
        <w:rPr>
          <w:rFonts w:hint="eastAsia" w:asciiTheme="minorEastAsia" w:hAnsiTheme="minorEastAsia" w:eastAsiaTheme="minorEastAsia" w:cstheme="minorEastAsia"/>
          <w:color w:val="auto"/>
          <w:sz w:val="24"/>
          <w:lang w:eastAsia="zh-CN"/>
        </w:rPr>
        <w:t>10.2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上款所述的证明文件，可以是文字资料、图纸和数据，</w:t>
      </w:r>
      <w:bookmarkEnd w:id="227"/>
      <w:r>
        <w:rPr>
          <w:rFonts w:hint="eastAsia" w:asciiTheme="minorEastAsia" w:hAnsiTheme="minorEastAsia" w:eastAsiaTheme="minorEastAsia" w:cstheme="minorEastAsia"/>
          <w:color w:val="auto"/>
          <w:sz w:val="24"/>
          <w:lang w:eastAsia="zh-CN"/>
        </w:rPr>
        <w:t>它包括：</w:t>
      </w:r>
    </w:p>
    <w:p w14:paraId="52280DC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10.2.1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货物主要技术指标和性能的详细说明；</w:t>
      </w:r>
    </w:p>
    <w:p w14:paraId="392202D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10.2.2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货物从买方开始使用至招标文件规定的保质期内正常、连续地使用所必须的备件和专用工具清单，包括备件和专用工具的货源及现行价格；</w:t>
      </w:r>
    </w:p>
    <w:p w14:paraId="6B00D1E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10.2.3</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对照招标文件技术规格，逐条说明所提供货物及伴随的工程和服务已对招标文件的技术规格做出了实质性的响应，或申明与技术规格条文的偏差和例外。</w:t>
      </w:r>
    </w:p>
    <w:p w14:paraId="18C444F1">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10.3</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1658CD1E">
      <w:pPr>
        <w:pStyle w:val="4"/>
        <w:spacing w:before="0" w:after="0" w:line="288" w:lineRule="auto"/>
        <w:rPr>
          <w:rFonts w:hint="eastAsia" w:asciiTheme="minorEastAsia" w:hAnsiTheme="minorEastAsia" w:eastAsiaTheme="minorEastAsia" w:cstheme="minorEastAsia"/>
          <w:color w:val="auto"/>
          <w:lang w:eastAsia="zh-CN"/>
        </w:rPr>
      </w:pPr>
      <w:bookmarkStart w:id="228" w:name="_Toc30150"/>
      <w:bookmarkStart w:id="229" w:name="_Toc2418"/>
      <w:bookmarkStart w:id="230" w:name="_Toc23231"/>
      <w:bookmarkStart w:id="231" w:name="_Toc28319"/>
      <w:bookmarkStart w:id="232" w:name="_Toc1082"/>
      <w:bookmarkStart w:id="233" w:name="_Toc515647770"/>
      <w:bookmarkStart w:id="234" w:name="_Toc1965"/>
      <w:bookmarkStart w:id="235" w:name="_Toc520356155"/>
      <w:bookmarkStart w:id="236" w:name="_Toc9907"/>
      <w:bookmarkStart w:id="237" w:name="_Toc21624"/>
      <w:bookmarkStart w:id="238" w:name="_Toc19624"/>
      <w:bookmarkStart w:id="239" w:name="_Toc14959"/>
      <w:bookmarkStart w:id="240" w:name="_Toc2248"/>
      <w:bookmarkStart w:id="241" w:name="_Toc6623"/>
      <w:bookmarkStart w:id="242" w:name="_Toc13077"/>
      <w:r>
        <w:rPr>
          <w:rFonts w:hint="eastAsia" w:asciiTheme="minorEastAsia" w:hAnsiTheme="minorEastAsia" w:eastAsiaTheme="minorEastAsia" w:cstheme="minorEastAsia"/>
          <w:color w:val="auto"/>
          <w:lang w:eastAsia="zh-CN"/>
        </w:rPr>
        <w:t>11.投标报价</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3CF0F4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10340CE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投标人应在投标分项报价表上标明投标货物及相关服务的单价（如适用）和总价，并由法定代表人或其授权代表签署。</w:t>
      </w:r>
    </w:p>
    <w:p w14:paraId="2D62880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11.3</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投标分项报价表上的价格应按下列方式填写：</w:t>
      </w:r>
    </w:p>
    <w:p w14:paraId="0846D2C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11.3.1  投标货物（包括备品备件、专用工具等）的出厂价（包括已在中国国内的进口货物完税后的仓库交货价、展室交货价或货架交货价），投标货物安装、调试、检验、技术服务和培训等费用；</w:t>
      </w:r>
    </w:p>
    <w:p w14:paraId="5EC0893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11.3.2  货物运至最终目的地的运输费和保险费用。</w:t>
      </w:r>
    </w:p>
    <w:p w14:paraId="1631BC8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11.4</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投标人所报的各分项投标单价在合同履行过程中是固定不变的，不得以任何理由予以变更。任何包含价格调整要求的投标，其投标将被认定为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58205547">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11.5</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每种货物只能有一个投标报价。采购人不接受具有附加条件的报价。</w:t>
      </w:r>
    </w:p>
    <w:p w14:paraId="05A4301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11.6    投标文件中应写明投标产品的产地、数量/面积、养护服务期、供货期，未明确写明的其投标将被认定为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468DA270">
      <w:pPr>
        <w:pStyle w:val="4"/>
        <w:spacing w:before="0" w:after="0" w:line="288" w:lineRule="auto"/>
        <w:rPr>
          <w:rFonts w:hint="eastAsia" w:asciiTheme="minorEastAsia" w:hAnsiTheme="minorEastAsia" w:eastAsiaTheme="minorEastAsia" w:cstheme="minorEastAsia"/>
          <w:color w:val="auto"/>
          <w:lang w:eastAsia="zh-CN"/>
        </w:rPr>
      </w:pPr>
      <w:bookmarkStart w:id="243" w:name="_Ref467306513"/>
      <w:bookmarkStart w:id="244" w:name="_Toc17068"/>
      <w:bookmarkStart w:id="245" w:name="_Toc17296"/>
      <w:bookmarkStart w:id="246" w:name="_Toc31739"/>
      <w:bookmarkStart w:id="247" w:name="_Toc11514"/>
      <w:bookmarkStart w:id="248" w:name="_Toc515647771"/>
      <w:bookmarkStart w:id="249" w:name="_Toc29572"/>
      <w:bookmarkStart w:id="250" w:name="_Toc8651"/>
      <w:bookmarkStart w:id="251" w:name="_Toc22212"/>
      <w:bookmarkStart w:id="252" w:name="_Toc13084"/>
      <w:bookmarkStart w:id="253" w:name="_Toc1823"/>
      <w:bookmarkStart w:id="254" w:name="_Toc520356156"/>
      <w:bookmarkStart w:id="255" w:name="_Toc30117"/>
      <w:bookmarkStart w:id="256" w:name="_Toc17357"/>
      <w:bookmarkStart w:id="257" w:name="_Toc27024"/>
      <w:bookmarkStart w:id="258" w:name="_Toc17788"/>
      <w:r>
        <w:rPr>
          <w:rFonts w:hint="eastAsia" w:asciiTheme="minorEastAsia" w:hAnsiTheme="minorEastAsia" w:eastAsiaTheme="minorEastAsia" w:cstheme="minorEastAsia"/>
          <w:color w:val="auto"/>
          <w:lang w:eastAsia="zh-CN"/>
        </w:rPr>
        <w:t>12.投标保证金</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22DA1F15">
      <w:pPr>
        <w:spacing w:line="288" w:lineRule="auto"/>
        <w:ind w:left="900" w:hanging="900" w:hangingChars="375"/>
        <w:rPr>
          <w:rFonts w:hint="eastAsia" w:asciiTheme="minorEastAsia" w:hAnsiTheme="minorEastAsia" w:eastAsiaTheme="minorEastAsia" w:cstheme="minorEastAsia"/>
          <w:color w:val="auto"/>
          <w:sz w:val="24"/>
          <w:lang w:eastAsia="zh-CN"/>
        </w:rPr>
      </w:pPr>
      <w:bookmarkStart w:id="259" w:name="_Ref467306302"/>
      <w:r>
        <w:rPr>
          <w:rFonts w:hint="eastAsia" w:asciiTheme="minorEastAsia" w:hAnsiTheme="minorEastAsia" w:eastAsiaTheme="minorEastAsia" w:cstheme="minorEastAsia"/>
          <w:color w:val="auto"/>
          <w:sz w:val="24"/>
          <w:lang w:eastAsia="zh-CN"/>
        </w:rPr>
        <w:t>12.1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投标人应提交</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中规定的投标保证金</w:t>
      </w:r>
      <w:bookmarkEnd w:id="259"/>
      <w:r>
        <w:rPr>
          <w:rFonts w:hint="eastAsia" w:asciiTheme="minorEastAsia" w:hAnsiTheme="minorEastAsia" w:eastAsiaTheme="minorEastAsia" w:cstheme="minorEastAsia"/>
          <w:color w:val="auto"/>
          <w:sz w:val="24"/>
          <w:lang w:eastAsia="zh-CN"/>
        </w:rPr>
        <w:t>，并作为其投标的一部分。</w:t>
      </w:r>
    </w:p>
    <w:p w14:paraId="059C929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投标人存在下列情形的，投标保证金不予退还：</w:t>
      </w:r>
    </w:p>
    <w:p w14:paraId="70F44F0E">
      <w:pPr>
        <w:pStyle w:val="11"/>
        <w:tabs>
          <w:tab w:val="left" w:pos="2240"/>
        </w:tabs>
        <w:spacing w:line="288" w:lineRule="auto"/>
        <w:ind w:left="1079" w:leftChars="371" w:hanging="300" w:hangingChars="125"/>
        <w:rPr>
          <w:rFonts w:hint="eastAsia" w:asciiTheme="minorEastAsia" w:hAnsiTheme="minorEastAsia" w:eastAsiaTheme="minorEastAsia" w:cstheme="minorEastAsia"/>
          <w:color w:val="auto"/>
          <w:sz w:val="24"/>
          <w:lang w:eastAsia="zh-CN"/>
        </w:rPr>
      </w:pPr>
      <w:bookmarkStart w:id="260" w:name="_Ref467306336"/>
      <w:r>
        <w:rPr>
          <w:rFonts w:hint="eastAsia" w:asciiTheme="minorEastAsia" w:hAnsiTheme="minorEastAsia" w:eastAsiaTheme="minorEastAsia" w:cstheme="minorEastAsia"/>
          <w:color w:val="auto"/>
          <w:sz w:val="24"/>
          <w:lang w:eastAsia="zh-CN"/>
        </w:rPr>
        <w:t>（1）在投标有效期内，撤销投标的；</w:t>
      </w:r>
    </w:p>
    <w:p w14:paraId="26D44B25">
      <w:pPr>
        <w:pStyle w:val="11"/>
        <w:tabs>
          <w:tab w:val="left" w:pos="2240"/>
        </w:tabs>
        <w:spacing w:line="288" w:lineRule="auto"/>
        <w:ind w:left="1079" w:leftChars="371" w:hanging="300" w:hangingChars="1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（2）中标后不按本须知第30条的规定与采购人签订合同的；</w:t>
      </w:r>
    </w:p>
    <w:p w14:paraId="708DF54C">
      <w:pPr>
        <w:pStyle w:val="11"/>
        <w:tabs>
          <w:tab w:val="left" w:pos="2240"/>
        </w:tabs>
        <w:spacing w:line="288" w:lineRule="auto"/>
        <w:ind w:left="1079" w:leftChars="371" w:hanging="300" w:hangingChars="1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（3）中标后不按本须知第31条的规定提交履约保证金的；</w:t>
      </w:r>
    </w:p>
    <w:p w14:paraId="241B2B76">
      <w:pPr>
        <w:pStyle w:val="11"/>
        <w:tabs>
          <w:tab w:val="left" w:pos="2240"/>
        </w:tabs>
        <w:spacing w:line="288" w:lineRule="auto"/>
        <w:ind w:left="1079" w:leftChars="371" w:hanging="300" w:hangingChars="1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（4）中标后不按本须知第32条的规定缴纳中标服务费的；</w:t>
      </w:r>
    </w:p>
    <w:p w14:paraId="052F34AF">
      <w:pPr>
        <w:pStyle w:val="11"/>
        <w:tabs>
          <w:tab w:val="left" w:pos="2240"/>
        </w:tabs>
        <w:spacing w:line="288" w:lineRule="auto"/>
        <w:ind w:left="1079" w:leftChars="371" w:hanging="300" w:hangingChars="1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（5）存在其他违法违规行为的。</w:t>
      </w:r>
    </w:p>
    <w:p w14:paraId="396923A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12.3</w:t>
      </w:r>
      <w:r>
        <w:rPr>
          <w:rFonts w:hint="eastAsia" w:asciiTheme="minorEastAsia" w:hAnsiTheme="minorEastAsia" w:eastAsiaTheme="minorEastAsia" w:cstheme="minorEastAsia"/>
          <w:color w:val="auto"/>
          <w:sz w:val="24"/>
          <w:lang w:eastAsia="zh-CN"/>
        </w:rPr>
        <w:tab/>
      </w:r>
      <w:bookmarkEnd w:id="260"/>
      <w:r>
        <w:rPr>
          <w:rFonts w:hint="eastAsia" w:asciiTheme="minorEastAsia" w:hAnsiTheme="minorEastAsia" w:eastAsiaTheme="minorEastAsia" w:cstheme="minorEastAsia"/>
          <w:color w:val="auto"/>
          <w:sz w:val="24"/>
          <w:lang w:eastAsia="zh-CN"/>
        </w:rPr>
        <w:t>政府采购信用担保试点范围内的项目，接受符合财政部门规定的政府采购投标担保函原件。</w:t>
      </w:r>
    </w:p>
    <w:p w14:paraId="2CDC7226">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12.4</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投标人未按本须知规定提交投标保证金的，其投标将被认定为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74017144">
      <w:pPr>
        <w:spacing w:line="288" w:lineRule="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12.4.1  采用电汇形式的，一般可以实时入账。</w:t>
      </w:r>
    </w:p>
    <w:p w14:paraId="0648EB0F">
      <w:pPr>
        <w:spacing w:line="288" w:lineRule="auto"/>
        <w:ind w:left="960" w:hanging="960" w:hanging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相关规定处理。</w:t>
      </w:r>
    </w:p>
    <w:p w14:paraId="0DDC2DAE">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12.5   联合体投标的，可以由联合体中的一方或者共同提交投标保证金。以一方名义提交投标保证金的，对联合体各方均具有约束力。</w:t>
      </w:r>
    </w:p>
    <w:p w14:paraId="0BBF459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12.6</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投标保证金的退还</w:t>
      </w:r>
    </w:p>
    <w:p w14:paraId="740A46B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12.6.1  中标人应在与采购人签订合同之日起5个工作日内，及时联系保证金收受机构办理投标保证金无息退还手续。</w:t>
      </w:r>
    </w:p>
    <w:p w14:paraId="0DC87E98">
      <w:pPr>
        <w:spacing w:line="288" w:lineRule="auto"/>
        <w:ind w:left="960" w:hanging="960" w:hanging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12.6.2  未中标投标人的投标保证金将在中标通知书发出之日暨中标结果公告公布之日起5个工作日内无息退还。投标人应及时联系保证金收受机构办理退还投标保证金手续。</w:t>
      </w:r>
    </w:p>
    <w:p w14:paraId="23F6E1AC">
      <w:pPr>
        <w:spacing w:line="288" w:lineRule="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12.6.3  政府采购投标担保函不予退回。</w:t>
      </w:r>
    </w:p>
    <w:p w14:paraId="2FCEF477">
      <w:pPr>
        <w:spacing w:line="288" w:lineRule="auto"/>
        <w:ind w:left="960" w:right="-121" w:hanging="960" w:hanging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12.7    因投标人自身原因导致无法及时退还的，采购人或采购代理机构将不承担相应责任。</w:t>
      </w:r>
    </w:p>
    <w:p w14:paraId="4861302E">
      <w:pPr>
        <w:pStyle w:val="4"/>
        <w:spacing w:before="0" w:after="0" w:line="288" w:lineRule="auto"/>
        <w:rPr>
          <w:rFonts w:hint="eastAsia" w:asciiTheme="minorEastAsia" w:hAnsiTheme="minorEastAsia" w:eastAsiaTheme="minorEastAsia" w:cstheme="minorEastAsia"/>
          <w:color w:val="auto"/>
          <w:lang w:eastAsia="zh-CN"/>
        </w:rPr>
      </w:pPr>
      <w:bookmarkStart w:id="261" w:name="_Toc17879"/>
      <w:bookmarkStart w:id="262" w:name="_Toc2130"/>
      <w:bookmarkStart w:id="263" w:name="_Toc15117"/>
      <w:bookmarkStart w:id="264" w:name="_Toc30629"/>
      <w:bookmarkStart w:id="265" w:name="_Toc15686"/>
      <w:bookmarkStart w:id="266" w:name="_Toc26844"/>
      <w:bookmarkStart w:id="267" w:name="_Toc9445"/>
      <w:bookmarkStart w:id="268" w:name="_Toc14721"/>
      <w:bookmarkStart w:id="269" w:name="_Toc515647772"/>
      <w:bookmarkStart w:id="270" w:name="_Toc23590"/>
      <w:bookmarkStart w:id="271" w:name="_Toc19849"/>
      <w:bookmarkStart w:id="272" w:name="_Toc32569"/>
      <w:bookmarkStart w:id="273" w:name="_Toc15069"/>
      <w:bookmarkStart w:id="274" w:name="_Toc22901"/>
      <w:bookmarkStart w:id="275" w:name="_Toc520356157"/>
      <w:r>
        <w:rPr>
          <w:rFonts w:hint="eastAsia" w:asciiTheme="minorEastAsia" w:hAnsiTheme="minorEastAsia" w:eastAsiaTheme="minorEastAsia" w:cstheme="minorEastAsia"/>
          <w:color w:val="auto"/>
          <w:lang w:eastAsia="zh-CN"/>
        </w:rPr>
        <w:t>13.投标有效期</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01E62E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投标应在</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中规定时间内保持有效。投标有效期不满足要求的投标，其投标将被认定为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0E796244">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4900D1C1">
      <w:pPr>
        <w:spacing w:line="288" w:lineRule="auto"/>
        <w:ind w:left="904" w:hanging="900" w:hangingChars="375"/>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14.响应文件的签署及规定</w:t>
      </w:r>
    </w:p>
    <w:p w14:paraId="31B5852F">
      <w:pPr>
        <w:spacing w:line="288" w:lineRule="auto"/>
        <w:ind w:left="904" w:hanging="900" w:hangingChars="375"/>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14.1 供应商应按供应商须知资料表中的规定，准备和递交（加密上传）电子响应文件。</w:t>
      </w:r>
    </w:p>
    <w:p w14:paraId="4D10A6A9">
      <w:pPr>
        <w:spacing w:line="288" w:lineRule="auto"/>
        <w:ind w:left="904" w:hanging="900" w:hangingChars="375"/>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14.2 所有响应文件应按照招标文件规定的格式填写、签署和盖章。</w:t>
      </w:r>
    </w:p>
    <w:p w14:paraId="5E2C49E1">
      <w:pPr>
        <w:spacing w:line="288" w:lineRule="auto"/>
        <w:ind w:left="904" w:hanging="900" w:hangingChars="375"/>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14.3 响应文件因字迹潦草、表达不清所引起的后果由供应商负责。</w:t>
      </w:r>
    </w:p>
    <w:p w14:paraId="0D7BF420">
      <w:pPr>
        <w:pStyle w:val="3"/>
        <w:spacing w:before="0" w:line="288" w:lineRule="auto"/>
        <w:ind w:left="1079" w:leftChars="257" w:hanging="540"/>
        <w:rPr>
          <w:rFonts w:hint="eastAsia" w:asciiTheme="minorEastAsia" w:hAnsiTheme="minorEastAsia" w:eastAsiaTheme="minorEastAsia" w:cstheme="minorEastAsia"/>
          <w:color w:val="auto"/>
          <w:sz w:val="28"/>
          <w:lang w:eastAsia="zh-CN"/>
        </w:rPr>
      </w:pPr>
      <w:bookmarkStart w:id="276" w:name="_Toc27533"/>
      <w:bookmarkStart w:id="277" w:name="_Toc10905"/>
      <w:bookmarkStart w:id="278" w:name="_Toc25925"/>
      <w:bookmarkStart w:id="279" w:name="_Toc216582808"/>
      <w:bookmarkStart w:id="280" w:name="_Toc22560"/>
      <w:bookmarkStart w:id="281" w:name="_Toc22843"/>
      <w:bookmarkStart w:id="282" w:name="_Toc5332"/>
      <w:bookmarkStart w:id="283" w:name="_Toc520356159"/>
      <w:bookmarkStart w:id="284" w:name="_Toc25700"/>
      <w:bookmarkStart w:id="285" w:name="_Toc11179"/>
      <w:bookmarkStart w:id="286" w:name="_Toc9509"/>
      <w:bookmarkStart w:id="287" w:name="_Toc515647774"/>
      <w:bookmarkStart w:id="288" w:name="_Toc31447"/>
      <w:bookmarkStart w:id="289" w:name="_Toc11483"/>
      <w:bookmarkStart w:id="290" w:name="_Toc25200"/>
      <w:bookmarkStart w:id="291" w:name="_Toc16865"/>
      <w:r>
        <w:rPr>
          <w:rFonts w:hint="eastAsia" w:asciiTheme="minorEastAsia" w:hAnsiTheme="minorEastAsia" w:eastAsiaTheme="minorEastAsia" w:cstheme="minorEastAsia"/>
          <w:color w:val="auto"/>
          <w:sz w:val="28"/>
          <w:lang w:eastAsia="zh-CN"/>
        </w:rPr>
        <w:t>四 投标文件的递交</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13DD28B4">
      <w:pPr>
        <w:pStyle w:val="4"/>
        <w:tabs>
          <w:tab w:val="left" w:pos="900"/>
        </w:tabs>
        <w:spacing w:before="0" w:after="0" w:line="288" w:lineRule="auto"/>
        <w:rPr>
          <w:rFonts w:hint="eastAsia" w:asciiTheme="minorEastAsia" w:hAnsiTheme="minorEastAsia" w:eastAsiaTheme="minorEastAsia" w:cstheme="minorEastAsia"/>
          <w:color w:val="auto"/>
          <w:lang w:eastAsia="zh-CN"/>
        </w:rPr>
      </w:pPr>
      <w:bookmarkStart w:id="292" w:name="_Toc21645"/>
      <w:bookmarkStart w:id="293" w:name="_Toc32337"/>
      <w:bookmarkStart w:id="294" w:name="_Toc515647775"/>
      <w:bookmarkStart w:id="295" w:name="_Toc26374"/>
      <w:bookmarkStart w:id="296" w:name="_Toc520356160"/>
      <w:bookmarkStart w:id="297" w:name="_Toc2091"/>
      <w:bookmarkStart w:id="298" w:name="_Toc32131"/>
      <w:bookmarkStart w:id="299" w:name="_Toc632"/>
      <w:bookmarkStart w:id="300" w:name="_Toc6343"/>
      <w:bookmarkStart w:id="301" w:name="_Toc26195"/>
      <w:r>
        <w:rPr>
          <w:rFonts w:hint="eastAsia" w:asciiTheme="minorEastAsia" w:hAnsiTheme="minorEastAsia" w:eastAsiaTheme="minorEastAsia" w:cstheme="minorEastAsia"/>
          <w:color w:val="auto"/>
          <w:lang w:eastAsia="zh-CN"/>
        </w:rPr>
        <w:t>15.投标文件的密封和标记</w:t>
      </w:r>
      <w:bookmarkEnd w:id="292"/>
      <w:bookmarkEnd w:id="293"/>
      <w:bookmarkEnd w:id="294"/>
      <w:bookmarkEnd w:id="295"/>
      <w:bookmarkEnd w:id="296"/>
      <w:bookmarkEnd w:id="297"/>
      <w:bookmarkEnd w:id="298"/>
      <w:bookmarkEnd w:id="299"/>
      <w:bookmarkEnd w:id="300"/>
      <w:bookmarkEnd w:id="301"/>
    </w:p>
    <w:p w14:paraId="48551DC0">
      <w:pPr>
        <w:tabs>
          <w:tab w:val="left" w:pos="-200"/>
          <w:tab w:val="left" w:pos="5580"/>
        </w:tabs>
        <w:spacing w:line="240" w:lineRule="atLeast"/>
        <w:ind w:left="960" w:hanging="960" w:hangingChars="400"/>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color w:val="auto"/>
          <w:sz w:val="24"/>
          <w:lang w:eastAsia="zh-CN"/>
        </w:rPr>
        <w:t xml:space="preserve">15.1    </w:t>
      </w:r>
      <w:r>
        <w:rPr>
          <w:rFonts w:hint="eastAsia" w:asciiTheme="minorEastAsia" w:hAnsiTheme="minorEastAsia" w:eastAsiaTheme="minorEastAsia" w:cstheme="minorEastAsia"/>
          <w:b/>
          <w:bCs/>
          <w:color w:val="auto"/>
          <w:sz w:val="24"/>
          <w:lang w:eastAsia="zh-CN"/>
        </w:rPr>
        <w:t>供应商应完整地按招标文件提供的投标文件格式及要求编写投标文件，供应商须在投标截止时间前完成在新疆政采云平台https://www.zcygov.cn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14:paraId="3F672FD5">
      <w:pPr>
        <w:spacing w:line="288" w:lineRule="auto"/>
        <w:ind w:left="900" w:hanging="900" w:hangingChars="375"/>
        <w:rPr>
          <w:rFonts w:hint="eastAsia" w:asciiTheme="minorEastAsia" w:hAnsiTheme="minorEastAsia" w:eastAsiaTheme="minorEastAsia" w:cstheme="minorEastAsia"/>
          <w:color w:val="auto"/>
          <w:sz w:val="24"/>
          <w:lang w:eastAsia="zh-CN"/>
        </w:rPr>
      </w:pPr>
      <w:bookmarkStart w:id="302" w:name="_Toc28106"/>
      <w:r>
        <w:rPr>
          <w:rFonts w:hint="eastAsia" w:asciiTheme="minorEastAsia" w:hAnsiTheme="minorEastAsia" w:eastAsiaTheme="minorEastAsia" w:cstheme="minorEastAsia"/>
          <w:color w:val="auto"/>
          <w:sz w:val="24"/>
          <w:lang w:eastAsia="zh-CN"/>
        </w:rPr>
        <w:t xml:space="preserve">15.2   </w:t>
      </w:r>
      <w:bookmarkEnd w:id="302"/>
      <w:r>
        <w:rPr>
          <w:rFonts w:hint="eastAsia" w:asciiTheme="minorEastAsia" w:hAnsiTheme="minorEastAsia" w:eastAsiaTheme="minorEastAsia" w:cstheme="minorEastAsia"/>
          <w:color w:val="auto"/>
          <w:sz w:val="24"/>
          <w:lang w:eastAsia="zh-CN"/>
        </w:rPr>
        <w:t>供应商因自身原因导致电子投标文件无法导入电子评标系统的，该响应文件视为</w:t>
      </w:r>
      <w:r>
        <w:rPr>
          <w:rFonts w:hint="eastAsia" w:asciiTheme="minorEastAsia" w:hAnsiTheme="minorEastAsia" w:eastAsiaTheme="minorEastAsia" w:cstheme="minorEastAsia"/>
          <w:b/>
          <w:bCs/>
          <w:color w:val="auto"/>
          <w:sz w:val="24"/>
          <w:lang w:eastAsia="zh-CN"/>
        </w:rPr>
        <w:t>无效文件。</w:t>
      </w:r>
    </w:p>
    <w:p w14:paraId="487C787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15.3    电子投标文件具有法律效力,与其他形式的响应文件在内容和格式上等同，若投标文件与招标文件要求不一致，其内容影响成交结果时，责任由供应商自行承担。</w:t>
      </w:r>
    </w:p>
    <w:p w14:paraId="51BE9916">
      <w:pPr>
        <w:pStyle w:val="4"/>
        <w:tabs>
          <w:tab w:val="left" w:pos="900"/>
        </w:tabs>
        <w:spacing w:before="0" w:after="0" w:line="288" w:lineRule="auto"/>
        <w:rPr>
          <w:rFonts w:hint="eastAsia" w:asciiTheme="minorEastAsia" w:hAnsiTheme="minorEastAsia" w:eastAsiaTheme="minorEastAsia" w:cstheme="minorEastAsia"/>
          <w:color w:val="auto"/>
          <w:lang w:eastAsia="zh-CN"/>
        </w:rPr>
      </w:pPr>
      <w:bookmarkStart w:id="303" w:name="_Toc27547"/>
      <w:bookmarkStart w:id="304" w:name="_Toc12751"/>
      <w:bookmarkStart w:id="305" w:name="_Toc24017"/>
      <w:bookmarkStart w:id="306" w:name="_Toc1456"/>
      <w:bookmarkStart w:id="307" w:name="_Toc17361"/>
      <w:bookmarkStart w:id="308" w:name="_Toc9840"/>
      <w:bookmarkStart w:id="309" w:name="_Toc26691"/>
      <w:bookmarkStart w:id="310" w:name="_Toc28170"/>
      <w:bookmarkStart w:id="311" w:name="_Toc520356161"/>
      <w:bookmarkStart w:id="312" w:name="_Toc515647776"/>
      <w:r>
        <w:rPr>
          <w:rFonts w:hint="eastAsia" w:asciiTheme="minorEastAsia" w:hAnsiTheme="minorEastAsia" w:eastAsiaTheme="minorEastAsia" w:cstheme="minorEastAsia"/>
          <w:color w:val="auto"/>
          <w:lang w:eastAsia="zh-CN"/>
        </w:rPr>
        <w:t>16.投标截止</w:t>
      </w:r>
      <w:bookmarkEnd w:id="303"/>
      <w:bookmarkEnd w:id="304"/>
      <w:bookmarkEnd w:id="305"/>
      <w:bookmarkEnd w:id="306"/>
      <w:bookmarkEnd w:id="307"/>
      <w:bookmarkEnd w:id="308"/>
      <w:bookmarkEnd w:id="309"/>
      <w:bookmarkEnd w:id="310"/>
      <w:bookmarkEnd w:id="311"/>
      <w:bookmarkEnd w:id="312"/>
    </w:p>
    <w:p w14:paraId="1C87D2D7">
      <w:pPr>
        <w:spacing w:line="240" w:lineRule="atLeast"/>
        <w:ind w:left="900" w:hanging="900" w:hangingChars="375"/>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color w:val="auto"/>
          <w:sz w:val="24"/>
          <w:lang w:eastAsia="zh-CN"/>
        </w:rPr>
        <w:t>16.1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投标人应在</w:t>
      </w:r>
      <w:r>
        <w:rPr>
          <w:rFonts w:hint="eastAsia" w:asciiTheme="minorEastAsia" w:hAnsiTheme="minorEastAsia" w:eastAsiaTheme="minorEastAsia" w:cstheme="minorEastAsia"/>
          <w:b/>
          <w:bCs/>
          <w:color w:val="auto"/>
          <w:sz w:val="24"/>
          <w:u w:val="single"/>
          <w:lang w:eastAsia="zh-CN"/>
        </w:rPr>
        <w:t>投标人须知资料表</w:t>
      </w:r>
      <w:r>
        <w:rPr>
          <w:rFonts w:hint="eastAsia" w:asciiTheme="minorEastAsia" w:hAnsiTheme="minorEastAsia" w:eastAsiaTheme="minorEastAsia" w:cstheme="minorEastAsia"/>
          <w:color w:val="auto"/>
          <w:sz w:val="24"/>
          <w:lang w:eastAsia="zh-CN"/>
        </w:rPr>
        <w:t>中规定的截止时间前，将投标文件递交到招标公告中规定的地点。</w:t>
      </w:r>
      <w:r>
        <w:rPr>
          <w:rFonts w:hint="eastAsia" w:asciiTheme="minorEastAsia" w:hAnsiTheme="minorEastAsia" w:eastAsiaTheme="minorEastAsia" w:cstheme="minorEastAsia"/>
          <w:b/>
          <w:bCs/>
          <w:color w:val="auto"/>
          <w:sz w:val="24"/>
          <w:lang w:eastAsia="zh-CN"/>
        </w:rPr>
        <w:t>解密时间30分钟，逾期未解密的视为投标无效。</w:t>
      </w:r>
    </w:p>
    <w:p w14:paraId="26CBC16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16.2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采购人和采购代理机构有权按本须知的规定，延迟投标截止时间。在此情况下，采购人、采购代理机构和投标人受投标截止时间制约的所有权利和义务均应延长至新的截止时间。</w:t>
      </w:r>
    </w:p>
    <w:p w14:paraId="4E5D75C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16.3</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采购人和采购代理机构将拒绝接收在投标截止时间后上传的投标文件</w:t>
      </w:r>
    </w:p>
    <w:p w14:paraId="43BABDE8">
      <w:pPr>
        <w:pStyle w:val="4"/>
        <w:spacing w:before="0" w:after="0" w:line="240" w:lineRule="atLeast"/>
        <w:rPr>
          <w:rFonts w:hint="eastAsia" w:asciiTheme="minorEastAsia" w:hAnsiTheme="minorEastAsia" w:eastAsiaTheme="minorEastAsia" w:cstheme="minorEastAsia"/>
          <w:color w:val="auto"/>
          <w:lang w:eastAsia="zh-CN"/>
        </w:rPr>
      </w:pPr>
      <w:bookmarkStart w:id="313" w:name="_Toc9987"/>
      <w:bookmarkStart w:id="314" w:name="_Toc520356162"/>
      <w:bookmarkStart w:id="315" w:name="_Toc31670"/>
      <w:bookmarkStart w:id="316" w:name="_Toc11458"/>
      <w:bookmarkStart w:id="317" w:name="_Toc24275"/>
      <w:bookmarkStart w:id="318" w:name="_Toc21703"/>
      <w:bookmarkStart w:id="319" w:name="_Toc24899"/>
      <w:bookmarkStart w:id="320" w:name="_Toc18537"/>
      <w:bookmarkStart w:id="321" w:name="_Toc24785"/>
      <w:bookmarkStart w:id="322" w:name="_Toc515647777"/>
      <w:r>
        <w:rPr>
          <w:rFonts w:hint="eastAsia" w:asciiTheme="minorEastAsia" w:hAnsiTheme="minorEastAsia" w:eastAsiaTheme="minorEastAsia" w:cstheme="minorEastAsia"/>
          <w:color w:val="auto"/>
          <w:lang w:eastAsia="zh-CN"/>
        </w:rPr>
        <w:t>17.投标文件的接收、修改与撤回</w:t>
      </w:r>
      <w:bookmarkEnd w:id="313"/>
      <w:bookmarkEnd w:id="314"/>
      <w:bookmarkEnd w:id="315"/>
      <w:bookmarkEnd w:id="316"/>
      <w:bookmarkEnd w:id="317"/>
      <w:bookmarkEnd w:id="318"/>
      <w:bookmarkEnd w:id="319"/>
      <w:bookmarkEnd w:id="320"/>
      <w:bookmarkEnd w:id="321"/>
      <w:bookmarkEnd w:id="322"/>
    </w:p>
    <w:p w14:paraId="20C3E9A4">
      <w:pPr>
        <w:spacing w:line="240" w:lineRule="atLeast"/>
        <w:ind w:left="900" w:hanging="900" w:hangingChars="375"/>
        <w:rPr>
          <w:rFonts w:hint="eastAsia" w:asciiTheme="minorEastAsia" w:hAnsiTheme="minorEastAsia" w:eastAsiaTheme="minorEastAsia" w:cstheme="minorEastAsia"/>
          <w:b/>
          <w:color w:val="auto"/>
          <w:lang w:eastAsia="zh-CN"/>
        </w:rPr>
      </w:pPr>
      <w:r>
        <w:rPr>
          <w:rFonts w:hint="eastAsia" w:asciiTheme="minorEastAsia" w:hAnsiTheme="minorEastAsia" w:eastAsiaTheme="minorEastAsia" w:cstheme="minorEastAsia"/>
          <w:color w:val="auto"/>
          <w:sz w:val="24"/>
          <w:lang w:eastAsia="zh-CN"/>
        </w:rPr>
        <w:t>17.1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在投标截止时间后上传投标文件的，采购人和采购代理机构将</w:t>
      </w:r>
      <w:r>
        <w:rPr>
          <w:rFonts w:hint="eastAsia" w:asciiTheme="minorEastAsia" w:hAnsiTheme="minorEastAsia" w:eastAsiaTheme="minorEastAsia" w:cstheme="minorEastAsia"/>
          <w:b/>
          <w:bCs/>
          <w:color w:val="auto"/>
          <w:sz w:val="24"/>
          <w:lang w:eastAsia="zh-CN"/>
        </w:rPr>
        <w:t>拒绝接收</w:t>
      </w:r>
      <w:r>
        <w:rPr>
          <w:rFonts w:hint="eastAsia" w:asciiTheme="minorEastAsia" w:hAnsiTheme="minorEastAsia" w:eastAsiaTheme="minorEastAsia" w:cstheme="minorEastAsia"/>
          <w:color w:val="auto"/>
          <w:sz w:val="24"/>
          <w:lang w:eastAsia="zh-CN"/>
        </w:rPr>
        <w:t>。</w:t>
      </w:r>
    </w:p>
    <w:p w14:paraId="0E30F42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17.2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采购人或者采购代理机构收到投标文件后，应当如实记载投标文件的送达时间和密封情况。</w:t>
      </w:r>
    </w:p>
    <w:p w14:paraId="289663DB">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17.3</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递交投标文件以后，如果投标人要进行修改或撤回投标，须提出书面申请并在投标截止时间前上传至</w:t>
      </w:r>
      <w:r>
        <w:rPr>
          <w:rFonts w:hint="eastAsia" w:asciiTheme="minorEastAsia" w:hAnsiTheme="minorEastAsia" w:eastAsiaTheme="minorEastAsia" w:cstheme="minorEastAsia"/>
          <w:b/>
          <w:bCs/>
          <w:color w:val="auto"/>
          <w:sz w:val="24"/>
        </w:rPr>
        <w:t>新疆政采云平台https://www.zcygov.cn</w:t>
      </w:r>
      <w:r>
        <w:rPr>
          <w:rFonts w:hint="eastAsia" w:asciiTheme="minorEastAsia" w:hAnsiTheme="minorEastAsia" w:eastAsiaTheme="minorEastAsia" w:cstheme="minorEastAsia"/>
          <w:color w:val="auto"/>
          <w:sz w:val="24"/>
        </w:rPr>
        <w:t>，投标人对投标文件的修改或撤回通知应按本须知规定编制、密封、标记。</w:t>
      </w:r>
      <w:r>
        <w:rPr>
          <w:rFonts w:hint="eastAsia" w:asciiTheme="minorEastAsia" w:hAnsiTheme="minorEastAsia" w:eastAsiaTheme="minorEastAsia" w:cstheme="minorEastAsia"/>
          <w:color w:val="auto"/>
          <w:sz w:val="24"/>
          <w:lang w:eastAsia="zh-CN"/>
        </w:rPr>
        <w:t>采购人和采购代理机构将予以接收，并视为投标文件的组成部分。</w:t>
      </w:r>
    </w:p>
    <w:p w14:paraId="5A76EBD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17.4</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在投标截止期之后，采购人和采购代理机构不接受投标人主动对其投标文件做任何修改。</w:t>
      </w:r>
    </w:p>
    <w:p w14:paraId="191351A4">
      <w:pPr>
        <w:spacing w:line="288" w:lineRule="auto"/>
        <w:ind w:left="900" w:hanging="900" w:hangingChars="375"/>
        <w:rPr>
          <w:rFonts w:hint="eastAsia" w:asciiTheme="minorEastAsia" w:hAnsiTheme="minorEastAsia" w:eastAsiaTheme="minorEastAsia" w:cstheme="minorEastAsia"/>
          <w:color w:val="auto"/>
          <w:sz w:val="24"/>
          <w:lang w:eastAsia="zh-CN"/>
        </w:rPr>
      </w:pPr>
      <w:bookmarkStart w:id="323" w:name="_Toc13495"/>
      <w:bookmarkStart w:id="324" w:name="_Toc26872"/>
      <w:bookmarkStart w:id="325" w:name="_Toc19583"/>
      <w:r>
        <w:rPr>
          <w:rFonts w:hint="eastAsia" w:asciiTheme="minorEastAsia" w:hAnsiTheme="minorEastAsia" w:eastAsiaTheme="minorEastAsia" w:cstheme="minorEastAsia"/>
          <w:color w:val="auto"/>
          <w:sz w:val="24"/>
          <w:lang w:eastAsia="zh-CN"/>
        </w:rPr>
        <w:t>17.5</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采购人和采购代理机构对所接收投标文件概不退回。</w:t>
      </w:r>
      <w:bookmarkEnd w:id="323"/>
      <w:bookmarkEnd w:id="324"/>
      <w:bookmarkEnd w:id="325"/>
    </w:p>
    <w:p w14:paraId="3E40592C">
      <w:pPr>
        <w:pStyle w:val="3"/>
        <w:spacing w:before="0" w:line="288" w:lineRule="auto"/>
        <w:ind w:left="1079" w:leftChars="257" w:hanging="540"/>
        <w:rPr>
          <w:rFonts w:hint="eastAsia" w:asciiTheme="minorEastAsia" w:hAnsiTheme="minorEastAsia" w:eastAsiaTheme="minorEastAsia" w:cstheme="minorEastAsia"/>
          <w:color w:val="auto"/>
          <w:sz w:val="28"/>
        </w:rPr>
      </w:pPr>
      <w:bookmarkStart w:id="326" w:name="_Toc27778"/>
      <w:bookmarkStart w:id="327" w:name="_Toc28581"/>
      <w:bookmarkStart w:id="328" w:name="_Toc6326"/>
      <w:bookmarkStart w:id="329" w:name="_Toc20246"/>
      <w:bookmarkStart w:id="330" w:name="_Toc520356163"/>
      <w:bookmarkStart w:id="331" w:name="_Toc26876"/>
      <w:bookmarkStart w:id="332" w:name="_Toc515647778"/>
      <w:bookmarkStart w:id="333" w:name="_Toc26891"/>
      <w:bookmarkStart w:id="334" w:name="_Toc24411"/>
      <w:bookmarkStart w:id="335" w:name="_Toc12436"/>
      <w:bookmarkStart w:id="336" w:name="_Toc5077"/>
      <w:bookmarkStart w:id="337" w:name="_Toc28398"/>
      <w:bookmarkStart w:id="338" w:name="_Toc216582809"/>
      <w:bookmarkStart w:id="339" w:name="_Toc4683"/>
      <w:bookmarkStart w:id="340" w:name="_Toc25610"/>
      <w:bookmarkStart w:id="341" w:name="_Toc22638"/>
      <w:bookmarkStart w:id="342" w:name="_Toc21372"/>
      <w:bookmarkStart w:id="343" w:name="_Toc515647780"/>
      <w:bookmarkStart w:id="344" w:name="_Toc31290"/>
      <w:bookmarkStart w:id="345" w:name="_Toc19296"/>
      <w:r>
        <w:rPr>
          <w:rFonts w:hint="eastAsia" w:asciiTheme="minorEastAsia" w:hAnsiTheme="minorEastAsia" w:eastAsiaTheme="minorEastAsia" w:cstheme="minorEastAsia"/>
          <w:color w:val="auto"/>
          <w:sz w:val="28"/>
        </w:rPr>
        <w:t>五 开标及评标</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B2B0D2D">
      <w:pPr>
        <w:pStyle w:val="4"/>
        <w:numPr>
          <w:ilvl w:val="0"/>
          <w:numId w:val="3"/>
        </w:numPr>
        <w:spacing w:line="288" w:lineRule="auto"/>
        <w:rPr>
          <w:rFonts w:hint="eastAsia" w:asciiTheme="minorEastAsia" w:hAnsiTheme="minorEastAsia" w:eastAsiaTheme="minorEastAsia" w:cstheme="minorEastAsia"/>
          <w:color w:val="auto"/>
        </w:rPr>
      </w:pPr>
      <w:bookmarkStart w:id="346" w:name="_Toc17235"/>
      <w:bookmarkStart w:id="347" w:name="_Toc19198"/>
      <w:bookmarkStart w:id="348" w:name="_Toc17257"/>
      <w:bookmarkStart w:id="349" w:name="_Toc18521"/>
      <w:bookmarkStart w:id="350" w:name="_Toc21932"/>
      <w:bookmarkStart w:id="351" w:name="_Toc7186"/>
      <w:bookmarkStart w:id="352" w:name="_Toc433"/>
      <w:bookmarkStart w:id="353" w:name="_Toc15239"/>
      <w:bookmarkStart w:id="354" w:name="_Toc25345"/>
      <w:bookmarkStart w:id="355" w:name="_Toc11395"/>
      <w:bookmarkStart w:id="356" w:name="_Toc32258"/>
      <w:bookmarkStart w:id="357" w:name="_Toc515647779"/>
      <w:bookmarkStart w:id="358" w:name="_Toc520356164"/>
      <w:bookmarkStart w:id="359" w:name="_Toc6310"/>
      <w:bookmarkStart w:id="360" w:name="_Toc28774"/>
      <w:r>
        <w:rPr>
          <w:rFonts w:hint="eastAsia" w:asciiTheme="minorEastAsia" w:hAnsiTheme="minorEastAsia" w:eastAsiaTheme="minorEastAsia" w:cstheme="minorEastAsia"/>
          <w:color w:val="auto"/>
        </w:rPr>
        <w:t>开标</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0A7EEFDE">
      <w:pPr>
        <w:numPr>
          <w:ilvl w:val="1"/>
          <w:numId w:val="3"/>
        </w:num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采购人和采购代理机构将按</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中规定的开标时间和地点组织公开开标并邀请所有投标人代表参加。</w:t>
      </w:r>
    </w:p>
    <w:p w14:paraId="63B7BD0F">
      <w:pPr>
        <w:spacing w:line="288" w:lineRule="auto"/>
        <w:ind w:left="735" w:leftChars="350" w:firstLine="120" w:firstLineChars="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投标人不足3家的，不得开标。</w:t>
      </w:r>
    </w:p>
    <w:p w14:paraId="2D4EE02C">
      <w:pPr>
        <w:spacing w:line="288" w:lineRule="auto"/>
        <w:ind w:left="960" w:hanging="960" w:hanging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18.2   </w:t>
      </w:r>
      <w:r>
        <w:rPr>
          <w:rFonts w:hint="eastAsia" w:asciiTheme="minorEastAsia" w:hAnsiTheme="minorEastAsia" w:eastAsiaTheme="minorEastAsia" w:cstheme="minorEastAsia"/>
          <w:b/>
          <w:bCs/>
          <w:color w:val="auto"/>
          <w:sz w:val="24"/>
          <w:lang w:eastAsia="zh-CN"/>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逾期未解密的视为投标无效</w:t>
      </w:r>
      <w:r>
        <w:rPr>
          <w:rFonts w:hint="eastAsia" w:asciiTheme="minorEastAsia" w:hAnsiTheme="minorEastAsia" w:eastAsiaTheme="minorEastAsia" w:cstheme="minorEastAsia"/>
          <w:color w:val="auto"/>
          <w:sz w:val="24"/>
          <w:lang w:eastAsia="zh-CN"/>
        </w:rPr>
        <w:t>。</w:t>
      </w:r>
    </w:p>
    <w:p w14:paraId="678C894C">
      <w:pP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18.3   采购人或采购代理机构将对开标过程进行记录，由参加开标的各投标人代表和相关工作人员签字确认，并存档备查。</w:t>
      </w:r>
    </w:p>
    <w:p w14:paraId="30BD4CB9">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18.4    投标人代表对开标过程和开标记录有疑义，以及认为采购人、采购代理机构相关工作人员有需要回避的情形的，应当场提出询问或者回避申请。</w:t>
      </w:r>
    </w:p>
    <w:p w14:paraId="31D88C11">
      <w:pPr>
        <w:pStyle w:val="4"/>
        <w:spacing w:before="0" w:after="0" w:line="288" w:lineRule="auto"/>
        <w:rPr>
          <w:rFonts w:hint="eastAsia" w:asciiTheme="minorEastAsia" w:hAnsiTheme="minorEastAsia" w:eastAsiaTheme="minorEastAsia" w:cstheme="minorEastAsia"/>
          <w:color w:val="auto"/>
          <w:lang w:eastAsia="zh-CN"/>
        </w:rPr>
      </w:pPr>
      <w:bookmarkStart w:id="361" w:name="_Toc12992"/>
      <w:bookmarkStart w:id="362" w:name="_Toc1719"/>
      <w:bookmarkStart w:id="363" w:name="_Toc10173"/>
      <w:bookmarkStart w:id="364" w:name="_Toc10635"/>
      <w:bookmarkStart w:id="365" w:name="_Toc11574"/>
      <w:bookmarkStart w:id="366" w:name="_Toc16060"/>
      <w:bookmarkStart w:id="367" w:name="_Toc30404"/>
      <w:bookmarkStart w:id="368" w:name="_Toc1947"/>
      <w:bookmarkStart w:id="369" w:name="_Toc3739"/>
      <w:bookmarkStart w:id="370" w:name="_Toc13177"/>
      <w:r>
        <w:rPr>
          <w:rFonts w:hint="eastAsia" w:asciiTheme="minorEastAsia" w:hAnsiTheme="minorEastAsia" w:eastAsiaTheme="minorEastAsia" w:cstheme="minorEastAsia"/>
          <w:color w:val="auto"/>
          <w:lang w:eastAsia="zh-CN"/>
        </w:rPr>
        <w:t>19.资格审查及组建评标委员会</w:t>
      </w:r>
      <w:bookmarkEnd w:id="342"/>
      <w:bookmarkEnd w:id="343"/>
      <w:bookmarkEnd w:id="344"/>
      <w:bookmarkEnd w:id="345"/>
      <w:bookmarkEnd w:id="361"/>
      <w:bookmarkEnd w:id="362"/>
      <w:bookmarkEnd w:id="363"/>
      <w:bookmarkEnd w:id="364"/>
      <w:bookmarkEnd w:id="365"/>
      <w:bookmarkEnd w:id="366"/>
      <w:bookmarkEnd w:id="367"/>
      <w:bookmarkEnd w:id="368"/>
      <w:bookmarkEnd w:id="369"/>
      <w:bookmarkEnd w:id="370"/>
    </w:p>
    <w:p w14:paraId="7692A3E5">
      <w:pPr>
        <w:spacing w:line="288" w:lineRule="auto"/>
        <w:ind w:left="960" w:hanging="960" w:hanging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19.1    采购人或采购代理机构依据法律法规和招标文件中规定的内容，对投标人及其货物的资格进行审查，未通过资格审查的投标人不进入评标；通过资格审查的投标人少于不足三家的，不得评标。</w:t>
      </w:r>
    </w:p>
    <w:p w14:paraId="2E6A6E56">
      <w:pPr>
        <w:spacing w:line="240" w:lineRule="atLeast"/>
        <w:ind w:left="857" w:leftChars="2" w:hanging="853"/>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19.2</w:t>
      </w:r>
      <w:bookmarkStart w:id="371" w:name="_Toc520356166"/>
      <w:r>
        <w:rPr>
          <w:rFonts w:hint="eastAsia" w:asciiTheme="minorEastAsia" w:hAnsiTheme="minorEastAsia" w:eastAsiaTheme="minorEastAsia" w:cstheme="minorEastAsia"/>
          <w:color w:val="auto"/>
          <w:sz w:val="24"/>
          <w:lang w:eastAsia="zh-CN"/>
        </w:rPr>
        <w:t>采购人或采购代理机构将在开标前1个工作日至投标截止后1小时的期间内查询投标人的信用记录。投标人存在不良信用记录的，其投标将被认定为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27E04A8C">
      <w:pPr>
        <w:spacing w:line="240" w:lineRule="atLeast"/>
        <w:ind w:left="857" w:leftChars="2" w:hanging="85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5210DCD5">
      <w:pPr>
        <w:spacing w:line="240" w:lineRule="atLeast"/>
        <w:ind w:left="857" w:leftChars="2" w:hanging="853"/>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以联合体形式参加投标的，联合体任何成员存在以上不良信用记录的，联合体投标将被认定为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76D725E7">
      <w:pPr>
        <w:spacing w:line="240" w:lineRule="atLeast"/>
        <w:ind w:left="857" w:leftChars="2" w:hanging="853"/>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lang w:eastAsia="zh-CN"/>
        </w:rPr>
        <w:t xml:space="preserve">19.2.2 </w:t>
      </w:r>
      <w:r>
        <w:rPr>
          <w:rFonts w:hint="eastAsia" w:asciiTheme="minorEastAsia" w:hAnsiTheme="minorEastAsia" w:eastAsiaTheme="minorEastAsia" w:cstheme="minorEastAsia"/>
          <w:color w:val="auto"/>
          <w:sz w:val="24"/>
          <w:lang w:eastAsia="zh-CN"/>
        </w:rPr>
        <w:t>查询及记录方式：采购人或采购代理机构经办人将查询网页打印、签字并存档备查。投标人不良信用记录以采购人或采购代理机构查询结果为准。</w:t>
      </w:r>
    </w:p>
    <w:p w14:paraId="07C948B7">
      <w:pPr>
        <w:spacing w:line="240" w:lineRule="atLeast"/>
        <w:ind w:left="968" w:leftChars="458" w:hanging="7" w:hangingChars="3"/>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在本招标文件规定的查询时间之后，网站信息发生的任何变更均不再作为评标依据。</w:t>
      </w:r>
    </w:p>
    <w:p w14:paraId="0C4A41EB">
      <w:pPr>
        <w:spacing w:line="240" w:lineRule="atLeast"/>
        <w:ind w:left="968" w:leftChars="458" w:hanging="7" w:hangingChars="3"/>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投标人自行提供的与网站信息不一致的其他证明材料亦不作为资格审查依据。</w:t>
      </w:r>
    </w:p>
    <w:p w14:paraId="2B7CE400">
      <w:pPr>
        <w:pStyle w:val="15"/>
        <w:ind w:left="960" w:hanging="960" w:hangingChars="4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t>19.3   按照《中华人民共和国政府采购法》、《中华人民共和国政府采购法实施条例》及本项目本级和上级财政部门的有关规定依法组建的评标委员会，负责评标工作。</w:t>
      </w:r>
      <w:r>
        <w:rPr>
          <w:rFonts w:hint="eastAsia" w:asciiTheme="minorEastAsia" w:hAnsiTheme="minorEastAsia" w:eastAsiaTheme="minorEastAsia" w:cstheme="minorEastAsia"/>
          <w:b/>
          <w:bCs/>
          <w:color w:val="auto"/>
          <w:sz w:val="24"/>
          <w:u w:val="single"/>
          <w:lang w:eastAsia="zh-CN"/>
        </w:rPr>
        <w:t>本项目评标委员会由5人单数组成，其中：业主代表1人，评委4人（政采云专家库随机抽取）。</w:t>
      </w:r>
    </w:p>
    <w:p w14:paraId="0FA4D02A">
      <w:pPr>
        <w:pStyle w:val="15"/>
        <w:rPr>
          <w:rFonts w:hint="eastAsia" w:asciiTheme="minorEastAsia" w:hAnsiTheme="minorEastAsia" w:eastAsiaTheme="minorEastAsia" w:cstheme="minorEastAsia"/>
          <w:color w:val="auto"/>
          <w:lang w:eastAsia="zh-CN"/>
        </w:rPr>
      </w:pPr>
    </w:p>
    <w:p w14:paraId="1315CBCC">
      <w:pPr>
        <w:pStyle w:val="4"/>
        <w:spacing w:before="0" w:after="0" w:line="288" w:lineRule="auto"/>
        <w:rPr>
          <w:rFonts w:hint="eastAsia" w:asciiTheme="minorEastAsia" w:hAnsiTheme="minorEastAsia" w:eastAsiaTheme="minorEastAsia" w:cstheme="minorEastAsia"/>
          <w:b w:val="0"/>
          <w:bCs/>
          <w:color w:val="auto"/>
          <w:bdr w:val="single" w:color="auto" w:sz="4" w:space="0"/>
          <w:lang w:eastAsia="zh-CN"/>
        </w:rPr>
      </w:pPr>
      <w:bookmarkStart w:id="372" w:name="_Toc515647781"/>
      <w:bookmarkStart w:id="373" w:name="_Toc23586"/>
      <w:bookmarkStart w:id="374" w:name="_Toc30633"/>
      <w:bookmarkStart w:id="375" w:name="_Toc20899"/>
      <w:bookmarkStart w:id="376" w:name="_Toc29906"/>
      <w:bookmarkStart w:id="377" w:name="_Toc25418"/>
      <w:bookmarkStart w:id="378" w:name="_Toc2541"/>
      <w:bookmarkStart w:id="379" w:name="_Toc9769"/>
      <w:bookmarkStart w:id="380" w:name="_Toc13960"/>
      <w:bookmarkStart w:id="381" w:name="_Toc19949"/>
      <w:bookmarkStart w:id="382" w:name="_Toc12297"/>
      <w:bookmarkStart w:id="383" w:name="_Toc28479"/>
      <w:bookmarkStart w:id="384" w:name="_Toc21183"/>
      <w:bookmarkStart w:id="385" w:name="_Toc26332"/>
      <w:r>
        <w:rPr>
          <w:rFonts w:hint="eastAsia" w:asciiTheme="minorEastAsia" w:hAnsiTheme="minorEastAsia" w:eastAsiaTheme="minorEastAsia" w:cstheme="minorEastAsia"/>
          <w:color w:val="auto"/>
          <w:lang w:eastAsia="zh-CN"/>
        </w:rPr>
        <w:t>20.投标文件</w:t>
      </w:r>
      <w:bookmarkEnd w:id="371"/>
      <w:r>
        <w:rPr>
          <w:rFonts w:hint="eastAsia" w:asciiTheme="minorEastAsia" w:hAnsiTheme="minorEastAsia" w:eastAsiaTheme="minorEastAsia" w:cstheme="minorEastAsia"/>
          <w:color w:val="auto"/>
          <w:lang w:eastAsia="zh-CN"/>
        </w:rPr>
        <w:t>符合性审查与澄清</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19A449B7">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20.1   符合性审查是指依据招标文件的规定，从投标文件的有效性和完整性对招标文件的响应程度进行审查，以确定是否对招标文件的实质性要求做出响应。</w:t>
      </w:r>
      <w:bookmarkStart w:id="386" w:name="_Hlt522424701"/>
      <w:bookmarkEnd w:id="386"/>
      <w:bookmarkStart w:id="387" w:name="_Toc520356167"/>
    </w:p>
    <w:p w14:paraId="07A012E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投标文件的澄清</w:t>
      </w:r>
    </w:p>
    <w:p w14:paraId="34F57456">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3E10DFF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20.2.2  投标人的的澄清、说明或补正将作为投标文件的一部分。</w:t>
      </w:r>
    </w:p>
    <w:p w14:paraId="7A6EFB5E">
      <w:pPr>
        <w:spacing w:line="288" w:lineRule="auto"/>
        <w:ind w:left="904" w:hanging="900" w:hangingChars="375"/>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b/>
          <w:bCs/>
          <w:color w:val="auto"/>
          <w:sz w:val="24"/>
          <w:lang w:eastAsia="zh-CN"/>
        </w:rPr>
        <w:t>20.3  投标文件报价出现前后不一致的，按照下列规定修正：</w:t>
      </w:r>
    </w:p>
    <w:p w14:paraId="628E0B93">
      <w:pPr>
        <w:spacing w:line="288" w:lineRule="auto"/>
        <w:ind w:left="1018" w:leftChars="228" w:hanging="540" w:hangingChars="2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（一）投标文件中开标一览表（报价表）内容与投标文件中相应内容不一致的，以开标一览表（报价表）为准；</w:t>
      </w:r>
    </w:p>
    <w:p w14:paraId="1C83F75E">
      <w:pPr>
        <w:spacing w:line="288" w:lineRule="auto"/>
        <w:ind w:left="898" w:leftChars="228" w:hanging="420" w:hangingChars="1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（二）大写金额和小写金额不一致的，以大写金额为准；</w:t>
      </w:r>
    </w:p>
    <w:p w14:paraId="3BBBA952">
      <w:pPr>
        <w:spacing w:line="288" w:lineRule="auto"/>
        <w:ind w:left="1019" w:leftChars="114" w:hanging="780" w:hangingChars="3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（三）单价金额小数点或者百分比有明显错位的，以开标一览表的总价为准，并修改单价；</w:t>
      </w:r>
    </w:p>
    <w:p w14:paraId="5DDD7CD1">
      <w:pPr>
        <w:spacing w:line="288" w:lineRule="auto"/>
        <w:ind w:left="899" w:leftChars="114" w:hanging="660" w:hangingChars="2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（四）总价金额与按单价汇总金额不一致的，以单价金额计算结果为准。</w:t>
      </w:r>
    </w:p>
    <w:p w14:paraId="7F8C9E2A">
      <w:pPr>
        <w:spacing w:line="288" w:lineRule="auto"/>
        <w:ind w:left="898" w:leftChars="228" w:hanging="420" w:hangingChars="1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同时出现两种以上不一致的，按照前款规定的顺序修正。修正后的报价按照第20.2条的规定经投标人确认后产生约束力，投标人不确认的，其投标将被认定为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2386812D">
      <w:pPr>
        <w:spacing w:line="288" w:lineRule="auto"/>
        <w:ind w:left="735" w:leftChars="350" w:firstLine="120" w:firstLineChars="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对不同文字文本投标文件的解释发生异议的，以中文文本为准。</w:t>
      </w:r>
    </w:p>
    <w:p w14:paraId="0D67473A">
      <w:pPr>
        <w:spacing w:line="288" w:lineRule="auto"/>
        <w:ind w:left="904" w:hanging="900" w:hangingChars="375"/>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b/>
          <w:bCs/>
          <w:color w:val="auto"/>
          <w:sz w:val="24"/>
          <w:lang w:eastAsia="zh-CN"/>
        </w:rPr>
        <w:t>20.4   如一个分包内只有一种产品，不同投标人所投产品为同一品牌的，按如下方式处理：</w:t>
      </w:r>
    </w:p>
    <w:p w14:paraId="514421F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20.4.1  如本项目使用最低评标价法，提供相同品牌产品的不同投标人以其中通过资格审查、符合性审查且报价最低的参加评标；报价相同的，由采购人或者采购人委托评标委员会按照招标文件第六章中评标办法规定的方式确定一个参加评标的投标人；未规定的采取随机抽取方式确定，其他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0C7C1BA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第六章中评标办法规定的方式确定一个投标人获得中标人推荐资格；未规定的采取随机抽取方式确定，其他同品牌投标人不作为中标候选人。</w:t>
      </w:r>
    </w:p>
    <w:p w14:paraId="35165BB5">
      <w:pPr>
        <w:spacing w:line="288" w:lineRule="auto"/>
        <w:ind w:left="900" w:hanging="900" w:hangingChars="375"/>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color w:val="auto"/>
          <w:sz w:val="24"/>
          <w:lang w:eastAsia="zh-CN"/>
        </w:rPr>
        <w:t xml:space="preserve">20.5   </w:t>
      </w:r>
      <w:r>
        <w:rPr>
          <w:rFonts w:hint="eastAsia" w:asciiTheme="minorEastAsia" w:hAnsiTheme="minorEastAsia" w:eastAsiaTheme="minorEastAsia" w:cstheme="minorEastAsia"/>
          <w:b/>
          <w:bCs/>
          <w:color w:val="auto"/>
          <w:sz w:val="24"/>
          <w:lang w:eastAsia="zh-CN"/>
        </w:rPr>
        <w:t>如一个分包内包含多种产品的，采购人或采购代理机构将在</w:t>
      </w:r>
      <w:r>
        <w:rPr>
          <w:rFonts w:hint="eastAsia" w:asciiTheme="minorEastAsia" w:hAnsiTheme="minorEastAsia" w:eastAsiaTheme="minorEastAsia" w:cstheme="minorEastAsia"/>
          <w:b/>
          <w:bCs/>
          <w:color w:val="auto"/>
          <w:sz w:val="24"/>
          <w:u w:val="single" w:color="000000"/>
          <w:lang w:eastAsia="zh-CN"/>
        </w:rPr>
        <w:t>投标人须知资料表</w:t>
      </w:r>
      <w:r>
        <w:rPr>
          <w:rFonts w:hint="eastAsia" w:asciiTheme="minorEastAsia" w:hAnsiTheme="minorEastAsia" w:eastAsiaTheme="minorEastAsia" w:cstheme="minorEastAsia"/>
          <w:b/>
          <w:bCs/>
          <w:color w:val="auto"/>
          <w:sz w:val="24"/>
          <w:lang w:eastAsia="zh-CN"/>
        </w:rPr>
        <w:t>中载明核心产品。</w:t>
      </w:r>
    </w:p>
    <w:p w14:paraId="6A191627">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20.6   投标人所投产品如被列入财政部与国家主管部门颁发的节能产品目录或环境标志产品目录，应提供相关证明，在评标时予以优先采购，具体优先采购办法见第六章评标方法和标准。</w:t>
      </w:r>
    </w:p>
    <w:p w14:paraId="1AE3ABBE">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如采购人所采购产品为政府强制采购的节能产品，投标人所投产品的品牌及型号必须为清单中有效期内产品并提供证明文件，否则其投标将被认定为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5EBA974B">
      <w:pPr>
        <w:pStyle w:val="4"/>
        <w:spacing w:before="0" w:after="0" w:line="288" w:lineRule="auto"/>
        <w:rPr>
          <w:rFonts w:hint="eastAsia" w:asciiTheme="minorEastAsia" w:hAnsiTheme="minorEastAsia" w:eastAsiaTheme="minorEastAsia" w:cstheme="minorEastAsia"/>
          <w:color w:val="auto"/>
          <w:lang w:eastAsia="zh-CN"/>
        </w:rPr>
      </w:pPr>
      <w:bookmarkStart w:id="388" w:name="_Toc24227"/>
      <w:bookmarkStart w:id="389" w:name="_Toc6003"/>
      <w:bookmarkStart w:id="390" w:name="_Toc515647782"/>
      <w:bookmarkStart w:id="391" w:name="_Toc5986"/>
      <w:bookmarkStart w:id="392" w:name="_Toc6364"/>
      <w:bookmarkStart w:id="393" w:name="_Toc15064"/>
      <w:bookmarkStart w:id="394" w:name="_Toc5230"/>
      <w:bookmarkStart w:id="395" w:name="_Toc18529"/>
      <w:bookmarkStart w:id="396" w:name="_Toc3024"/>
      <w:bookmarkStart w:id="397" w:name="_Toc8063"/>
      <w:bookmarkStart w:id="398" w:name="_Toc9469"/>
      <w:bookmarkStart w:id="399" w:name="_Toc12839"/>
      <w:bookmarkStart w:id="400" w:name="_Toc25623"/>
      <w:bookmarkStart w:id="401" w:name="_Toc15628"/>
      <w:r>
        <w:rPr>
          <w:rFonts w:hint="eastAsia" w:asciiTheme="minorEastAsia" w:hAnsiTheme="minorEastAsia" w:eastAsiaTheme="minorEastAsia" w:cstheme="minorEastAsia"/>
          <w:color w:val="auto"/>
          <w:lang w:eastAsia="zh-CN"/>
        </w:rPr>
        <w:t>21.投标偏离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30577767">
      <w:pPr>
        <w:spacing w:line="288" w:lineRule="auto"/>
        <w:ind w:left="847" w:leftChars="99" w:hanging="640" w:hangingChars="267"/>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评标委员会可以接受投标文件中不构成实质性偏离的不正规或不一致。</w:t>
      </w:r>
    </w:p>
    <w:p w14:paraId="75ADF8D1">
      <w:pPr>
        <w:pStyle w:val="4"/>
        <w:spacing w:before="0" w:after="0" w:line="288" w:lineRule="auto"/>
        <w:rPr>
          <w:rFonts w:hint="eastAsia" w:asciiTheme="minorEastAsia" w:hAnsiTheme="minorEastAsia" w:eastAsiaTheme="minorEastAsia" w:cstheme="minorEastAsia"/>
          <w:color w:val="auto"/>
          <w:lang w:eastAsia="zh-CN"/>
        </w:rPr>
      </w:pPr>
      <w:bookmarkStart w:id="402" w:name="_Toc515647783"/>
      <w:bookmarkStart w:id="403" w:name="_Toc21189"/>
      <w:bookmarkStart w:id="404" w:name="_Toc23936"/>
      <w:bookmarkStart w:id="405" w:name="_Toc21694"/>
      <w:bookmarkStart w:id="406" w:name="_Toc32270"/>
      <w:bookmarkStart w:id="407" w:name="_Toc7012"/>
      <w:bookmarkStart w:id="408" w:name="_Toc506"/>
      <w:bookmarkStart w:id="409" w:name="_Toc4950"/>
      <w:bookmarkStart w:id="410" w:name="_Toc15752"/>
      <w:bookmarkStart w:id="411" w:name="_Toc18719"/>
      <w:bookmarkStart w:id="412" w:name="_Toc7006"/>
      <w:bookmarkStart w:id="413" w:name="_Toc21597"/>
      <w:bookmarkStart w:id="414" w:name="_Toc17567"/>
      <w:bookmarkStart w:id="415" w:name="_Toc6092"/>
      <w:r>
        <w:rPr>
          <w:rFonts w:hint="eastAsia" w:asciiTheme="minorEastAsia" w:hAnsiTheme="minorEastAsia" w:eastAsiaTheme="minorEastAsia" w:cstheme="minorEastAsia"/>
          <w:color w:val="auto"/>
          <w:lang w:eastAsia="zh-CN"/>
        </w:rPr>
        <w:t>22.投标</w:t>
      </w:r>
      <w:bookmarkEnd w:id="402"/>
      <w:r>
        <w:rPr>
          <w:rFonts w:hint="eastAsia" w:asciiTheme="minorEastAsia" w:hAnsiTheme="minorEastAsia" w:eastAsiaTheme="minorEastAsia" w:cstheme="minorEastAsia"/>
          <w:color w:val="auto"/>
          <w:lang w:eastAsia="zh-CN"/>
        </w:rPr>
        <w:t>无效</w:t>
      </w:r>
      <w:bookmarkEnd w:id="403"/>
      <w:bookmarkEnd w:id="404"/>
      <w:bookmarkEnd w:id="405"/>
      <w:bookmarkEnd w:id="406"/>
      <w:bookmarkEnd w:id="407"/>
      <w:bookmarkEnd w:id="408"/>
      <w:bookmarkEnd w:id="409"/>
      <w:bookmarkEnd w:id="410"/>
      <w:bookmarkEnd w:id="411"/>
      <w:bookmarkEnd w:id="412"/>
      <w:bookmarkEnd w:id="413"/>
      <w:bookmarkEnd w:id="414"/>
      <w:bookmarkEnd w:id="415"/>
    </w:p>
    <w:p w14:paraId="2C594D75">
      <w:pPr>
        <w:spacing w:line="288" w:lineRule="auto"/>
        <w:ind w:left="852" w:leftChars="-23"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。投标人不得通过修正或撤销不符合要求的偏离，从而使其投标成为实质上响应的投标。</w:t>
      </w:r>
    </w:p>
    <w:p w14:paraId="0900316E">
      <w:pPr>
        <w:spacing w:line="288" w:lineRule="auto"/>
        <w:ind w:left="791" w:leftChars="377"/>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评标委员会决定投标的响应性只根据招标文件要求、投标文件内容及财政主管部门指定相关信息发布媒体。</w:t>
      </w:r>
    </w:p>
    <w:p w14:paraId="1E282A5D">
      <w:pPr>
        <w:spacing w:line="288" w:lineRule="auto"/>
        <w:ind w:left="900" w:hanging="900" w:hangingChars="375"/>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color w:val="auto"/>
          <w:sz w:val="24"/>
          <w:lang w:eastAsia="zh-CN"/>
        </w:rPr>
        <w:t>22.2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b/>
          <w:bCs/>
          <w:color w:val="auto"/>
          <w:sz w:val="24"/>
          <w:lang w:eastAsia="zh-CN"/>
        </w:rPr>
        <w:t>如发现下列情况之一的，其投标将被认定为投标无效：（以下情形应当在招标文件中规定，并以醒目的方式标明）</w:t>
      </w:r>
    </w:p>
    <w:p w14:paraId="7A9151EE">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未按招标文件规定的形式和金额提交投标保证金的；</w:t>
      </w:r>
    </w:p>
    <w:p w14:paraId="5AC022FB">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未按照招标文件规定要求签署、盖章的；</w:t>
      </w:r>
    </w:p>
    <w:p w14:paraId="581C5FC8">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未满足招标文件中技术条款的实质性要求；</w:t>
      </w:r>
    </w:p>
    <w:p w14:paraId="4992AC20">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与其他投标人串通投标，或者与招标人串通投标；</w:t>
      </w:r>
    </w:p>
    <w:p w14:paraId="12A5BF9B">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属于招标文件规定的其他</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情形；</w:t>
      </w:r>
    </w:p>
    <w:p w14:paraId="195BD40E">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评标委员会认为投标人的报价明显低于其他通过符合性检查投标人的报价，有可能影响履约的，且投标人未按照规定证明其报价合理性的；</w:t>
      </w:r>
    </w:p>
    <w:p w14:paraId="4F9AE09B">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投标文件含有采购人不能接受的附加条件的；</w:t>
      </w:r>
    </w:p>
    <w:p w14:paraId="67E8F2F3">
      <w:pPr>
        <w:numPr>
          <w:ilvl w:val="0"/>
          <w:numId w:val="4"/>
        </w:numPr>
        <w:tabs>
          <w:tab w:val="left" w:pos="0"/>
        </w:tabs>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不符合法规和招标文件中规定的其他实质性要求的。</w:t>
      </w:r>
    </w:p>
    <w:p w14:paraId="55C2B20D">
      <w:pPr>
        <w:tabs>
          <w:tab w:val="left" w:pos="0"/>
        </w:tabs>
        <w:spacing w:line="288" w:lineRule="auto"/>
        <w:rPr>
          <w:rFonts w:hint="eastAsia" w:asciiTheme="minorEastAsia" w:hAnsiTheme="minorEastAsia" w:eastAsiaTheme="minorEastAsia" w:cstheme="minorEastAsia"/>
          <w:b/>
          <w:bCs/>
          <w:color w:val="auto"/>
          <w:sz w:val="24"/>
          <w:lang w:eastAsia="zh-CN"/>
        </w:rPr>
      </w:pPr>
      <w:bookmarkStart w:id="416" w:name="_Toc8521"/>
      <w:bookmarkStart w:id="417" w:name="_Toc515647784"/>
      <w:bookmarkStart w:id="418" w:name="_Toc22941"/>
      <w:bookmarkStart w:id="419" w:name="_Toc13652"/>
      <w:r>
        <w:rPr>
          <w:rFonts w:hint="eastAsia" w:asciiTheme="minorEastAsia" w:hAnsiTheme="minorEastAsia" w:eastAsiaTheme="minorEastAsia" w:cstheme="minorEastAsia"/>
          <w:b/>
          <w:bCs/>
          <w:color w:val="auto"/>
          <w:sz w:val="24"/>
          <w:lang w:eastAsia="zh-CN"/>
        </w:rPr>
        <w:t>23.</w:t>
      </w:r>
      <w:bookmarkEnd w:id="387"/>
      <w:r>
        <w:rPr>
          <w:rFonts w:hint="eastAsia" w:asciiTheme="minorEastAsia" w:hAnsiTheme="minorEastAsia" w:eastAsiaTheme="minorEastAsia" w:cstheme="minorEastAsia"/>
          <w:b/>
          <w:bCs/>
          <w:color w:val="auto"/>
          <w:sz w:val="24"/>
          <w:lang w:eastAsia="zh-CN"/>
        </w:rPr>
        <w:t>比较与评价</w:t>
      </w:r>
      <w:bookmarkEnd w:id="416"/>
      <w:bookmarkEnd w:id="417"/>
      <w:bookmarkEnd w:id="418"/>
      <w:bookmarkEnd w:id="419"/>
    </w:p>
    <w:p w14:paraId="6E23D3D1">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23.1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经符合性审查合格的投标文件，评标委员会将根据招标文件确定的评标方法和标准，对其投标文件作进一步的比较和评价。</w:t>
      </w:r>
    </w:p>
    <w:p w14:paraId="7AA53A2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23.2  </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评标严格按照招标文件的要求和条件进行。根据实际情况，在</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中规定采用下列一种评标方法，详细评标标准见招标文件第六章：</w:t>
      </w:r>
    </w:p>
    <w:p w14:paraId="1FB871D1">
      <w:pPr>
        <w:pStyle w:val="11"/>
        <w:spacing w:line="288" w:lineRule="auto"/>
        <w:ind w:left="899" w:leftChars="342" w:hanging="18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 最低评标价法，是指投标文件满足招标文件全部实质性要求，且投标报价最低的投标人为中标候选人的评标方法。</w:t>
      </w:r>
    </w:p>
    <w:p w14:paraId="1781046D">
      <w:pPr>
        <w:pStyle w:val="11"/>
        <w:spacing w:line="288" w:lineRule="auto"/>
        <w:ind w:left="898" w:leftChars="342" w:hanging="18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 综合评分法，是指投标文件满足招标文件全部实质性要求，且按照评审因素的量化指标评审得分最高的投标人为中标候选人的评标方法。</w:t>
      </w:r>
    </w:p>
    <w:p w14:paraId="1621BE0F">
      <w:pPr>
        <w:pStyle w:val="11"/>
        <w:kinsoku/>
        <w:autoSpaceDE/>
        <w:autoSpaceDN/>
        <w:adjustRightInd/>
        <w:snapToGrid/>
        <w:spacing w:line="288" w:lineRule="auto"/>
        <w:ind w:left="960" w:hanging="960" w:hangingChars="4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 xml:space="preserve">23.3    </w:t>
      </w:r>
      <w:r>
        <w:rPr>
          <w:rFonts w:hint="eastAsia" w:asciiTheme="minorEastAsia" w:hAnsiTheme="minorEastAsia" w:eastAsiaTheme="minorEastAsia" w:cstheme="minorEastAsia"/>
          <w:color w:val="auto"/>
          <w:sz w:val="24"/>
          <w:szCs w:val="24"/>
          <w:u w:val="single"/>
          <w:lang w:eastAsia="zh-CN"/>
        </w:rPr>
        <w:t>根据《政府采购促进中小企业发展管理办法》(财库「2020]46号)、《关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14:paraId="58DFC12A">
      <w:pPr>
        <w:pStyle w:val="11"/>
        <w:spacing w:line="288" w:lineRule="auto"/>
        <w:ind w:left="898" w:leftChars="342" w:hanging="180"/>
        <w:rPr>
          <w:rFonts w:hint="eastAsia" w:asciiTheme="minorEastAsia" w:hAnsiTheme="minorEastAsia" w:eastAsiaTheme="minorEastAsia" w:cstheme="minorEastAsia"/>
          <w:color w:val="auto"/>
          <w:sz w:val="24"/>
          <w:szCs w:val="24"/>
          <w:lang w:eastAsia="zh-CN"/>
        </w:rPr>
      </w:pPr>
    </w:p>
    <w:p w14:paraId="464E3779">
      <w:pPr>
        <w:pStyle w:val="4"/>
        <w:spacing w:before="0" w:after="0" w:line="288" w:lineRule="auto"/>
        <w:rPr>
          <w:rFonts w:hint="eastAsia" w:asciiTheme="minorEastAsia" w:hAnsiTheme="minorEastAsia" w:eastAsiaTheme="minorEastAsia" w:cstheme="minorEastAsia"/>
          <w:color w:val="auto"/>
          <w:lang w:eastAsia="zh-CN"/>
        </w:rPr>
      </w:pPr>
      <w:bookmarkStart w:id="420" w:name="_Toc520356168"/>
      <w:bookmarkStart w:id="421" w:name="_Toc20227"/>
      <w:bookmarkStart w:id="422" w:name="_Toc23673"/>
      <w:bookmarkStart w:id="423" w:name="_Toc15293"/>
      <w:bookmarkStart w:id="424" w:name="_Toc29670"/>
      <w:bookmarkStart w:id="425" w:name="_Toc15050"/>
      <w:bookmarkStart w:id="426" w:name="_Toc9378"/>
      <w:bookmarkStart w:id="427" w:name="_Toc17546"/>
      <w:bookmarkStart w:id="428" w:name="_Toc18723"/>
      <w:bookmarkStart w:id="429" w:name="_Toc31728"/>
      <w:bookmarkStart w:id="430" w:name="_Toc11401"/>
      <w:bookmarkStart w:id="431" w:name="_Toc515647785"/>
      <w:bookmarkStart w:id="432" w:name="_Toc8424"/>
      <w:bookmarkStart w:id="433" w:name="_Toc14242"/>
      <w:bookmarkStart w:id="434" w:name="_Toc27260"/>
      <w:r>
        <w:rPr>
          <w:rFonts w:hint="eastAsia" w:asciiTheme="minorEastAsia" w:hAnsiTheme="minorEastAsia" w:eastAsiaTheme="minorEastAsia" w:cstheme="minorEastAsia"/>
          <w:color w:val="auto"/>
          <w:lang w:eastAsia="zh-CN"/>
        </w:rPr>
        <w:t>24</w:t>
      </w:r>
      <w:bookmarkEnd w:id="420"/>
      <w:r>
        <w:rPr>
          <w:rFonts w:hint="eastAsia" w:asciiTheme="minorEastAsia" w:hAnsiTheme="minorEastAsia" w:eastAsiaTheme="minorEastAsia" w:cstheme="minorEastAsia"/>
          <w:color w:val="auto"/>
          <w:lang w:eastAsia="zh-CN"/>
        </w:rPr>
        <w:t>.废标</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6FAC417E">
      <w:pPr>
        <w:spacing w:line="288" w:lineRule="auto"/>
        <w:ind w:left="897" w:leftChars="399" w:hanging="60" w:hangingChars="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出现下列情形之一，将导致项目废标：</w:t>
      </w:r>
    </w:p>
    <w:p w14:paraId="4E76E573">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（1）符合专业条件的供应商或者对招标文件做实质性响应的供应商不足三家；</w:t>
      </w:r>
    </w:p>
    <w:p w14:paraId="323C32C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（2）出现影响采购公正的违法、违规行为的；</w:t>
      </w:r>
    </w:p>
    <w:p w14:paraId="7131B2E1">
      <w:pPr>
        <w:spacing w:line="288" w:lineRule="auto"/>
        <w:ind w:firstLine="840" w:firstLineChars="3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（3）投标人的报价均超过了采购预算，采购人不能支付的；</w:t>
      </w:r>
    </w:p>
    <w:p w14:paraId="6B177A02">
      <w:pPr>
        <w:spacing w:line="288" w:lineRule="auto"/>
        <w:ind w:firstLine="840" w:firstLineChars="3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（4）因重大变故，采购任务取消的。</w:t>
      </w:r>
    </w:p>
    <w:p w14:paraId="10278A88">
      <w:pPr>
        <w:pStyle w:val="4"/>
        <w:spacing w:before="0" w:after="0" w:line="288" w:lineRule="auto"/>
        <w:rPr>
          <w:rFonts w:hint="eastAsia" w:asciiTheme="minorEastAsia" w:hAnsiTheme="minorEastAsia" w:eastAsiaTheme="minorEastAsia" w:cstheme="minorEastAsia"/>
          <w:color w:val="auto"/>
          <w:lang w:eastAsia="zh-CN"/>
        </w:rPr>
      </w:pPr>
      <w:bookmarkStart w:id="435" w:name="_Toc27384"/>
      <w:bookmarkStart w:id="436" w:name="_Toc20311"/>
      <w:bookmarkStart w:id="437" w:name="_Toc12228"/>
      <w:bookmarkStart w:id="438" w:name="_Toc31289"/>
      <w:bookmarkStart w:id="439" w:name="_Toc10707"/>
      <w:bookmarkStart w:id="440" w:name="_Toc11175"/>
      <w:bookmarkStart w:id="441" w:name="_Toc1382"/>
      <w:bookmarkStart w:id="442" w:name="_Toc11699"/>
      <w:bookmarkStart w:id="443" w:name="_Toc30826"/>
      <w:bookmarkStart w:id="444" w:name="_Toc515647786"/>
      <w:bookmarkStart w:id="445" w:name="_Toc30606"/>
      <w:bookmarkStart w:id="446" w:name="_Toc24972"/>
      <w:bookmarkStart w:id="447" w:name="_Toc19908"/>
      <w:bookmarkStart w:id="448" w:name="_Toc16912"/>
      <w:bookmarkStart w:id="449" w:name="_Toc520356169"/>
      <w:r>
        <w:rPr>
          <w:rFonts w:hint="eastAsia" w:asciiTheme="minorEastAsia" w:hAnsiTheme="minorEastAsia" w:eastAsiaTheme="minorEastAsia" w:cstheme="minorEastAsia"/>
          <w:color w:val="auto"/>
          <w:lang w:eastAsia="zh-CN"/>
        </w:rPr>
        <w:t>25.保密原则</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7014A42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25.1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评标将在严格保密的情况下进行。</w:t>
      </w:r>
    </w:p>
    <w:p w14:paraId="6353DACE">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25.2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政府采购评审专家应当遵守评审工作纪律，不得泄露评审文件、评审情况和评审中获悉的商业秘密。</w:t>
      </w:r>
      <w:bookmarkStart w:id="450" w:name="_Toc2153"/>
      <w:bookmarkStart w:id="451" w:name="_Toc23904"/>
      <w:bookmarkStart w:id="452" w:name="_Toc12143"/>
      <w:bookmarkStart w:id="453" w:name="_Toc216582810"/>
      <w:bookmarkStart w:id="454" w:name="_Toc515647787"/>
    </w:p>
    <w:p w14:paraId="3D022F1B">
      <w:pPr>
        <w:pStyle w:val="3"/>
        <w:spacing w:before="0" w:line="288" w:lineRule="auto"/>
        <w:ind w:left="1079" w:leftChars="257" w:hanging="540"/>
        <w:rPr>
          <w:rFonts w:hint="eastAsia" w:asciiTheme="minorEastAsia" w:hAnsiTheme="minorEastAsia" w:eastAsiaTheme="minorEastAsia" w:cstheme="minorEastAsia"/>
          <w:color w:val="auto"/>
          <w:sz w:val="28"/>
          <w:lang w:eastAsia="zh-CN"/>
        </w:rPr>
      </w:pPr>
      <w:bookmarkStart w:id="455" w:name="_Toc4031"/>
      <w:bookmarkStart w:id="456" w:name="_Toc31457"/>
      <w:bookmarkStart w:id="457" w:name="_Toc13388"/>
      <w:bookmarkStart w:id="458" w:name="_Toc22275"/>
      <w:bookmarkStart w:id="459" w:name="_Toc11673"/>
      <w:bookmarkStart w:id="460" w:name="_Toc29576"/>
      <w:bookmarkStart w:id="461" w:name="_Toc31174"/>
      <w:bookmarkStart w:id="462" w:name="_Toc6207"/>
      <w:bookmarkStart w:id="463" w:name="_Toc17670"/>
      <w:bookmarkStart w:id="464" w:name="_Toc2098"/>
      <w:r>
        <w:rPr>
          <w:rFonts w:hint="eastAsia" w:asciiTheme="minorEastAsia" w:hAnsiTheme="minorEastAsia" w:eastAsiaTheme="minorEastAsia" w:cstheme="minorEastAsia"/>
          <w:color w:val="auto"/>
          <w:sz w:val="28"/>
          <w:lang w:eastAsia="zh-CN"/>
        </w:rPr>
        <w:t xml:space="preserve">六 </w:t>
      </w:r>
      <w:bookmarkEnd w:id="449"/>
      <w:r>
        <w:rPr>
          <w:rFonts w:hint="eastAsia" w:asciiTheme="minorEastAsia" w:hAnsiTheme="minorEastAsia" w:eastAsiaTheme="minorEastAsia" w:cstheme="minorEastAsia"/>
          <w:color w:val="auto"/>
          <w:sz w:val="28"/>
          <w:lang w:eastAsia="zh-CN"/>
        </w:rPr>
        <w:t>确定中标</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289D9309">
      <w:pPr>
        <w:pStyle w:val="5"/>
        <w:spacing w:line="288" w:lineRule="auto"/>
        <w:rPr>
          <w:rFonts w:hint="eastAsia" w:asciiTheme="minorEastAsia" w:hAnsiTheme="minorEastAsia" w:eastAsiaTheme="minorEastAsia" w:cstheme="minorEastAsia"/>
          <w:color w:val="auto"/>
          <w:lang w:eastAsia="zh-CN"/>
        </w:rPr>
      </w:pPr>
    </w:p>
    <w:p w14:paraId="6D97FAD2">
      <w:pPr>
        <w:pStyle w:val="4"/>
        <w:spacing w:before="0" w:after="0" w:line="288" w:lineRule="auto"/>
        <w:rPr>
          <w:rFonts w:hint="eastAsia" w:asciiTheme="minorEastAsia" w:hAnsiTheme="minorEastAsia" w:eastAsiaTheme="minorEastAsia" w:cstheme="minorEastAsia"/>
          <w:color w:val="auto"/>
          <w:lang w:eastAsia="zh-CN"/>
        </w:rPr>
      </w:pPr>
      <w:bookmarkStart w:id="465" w:name="_Toc23617"/>
      <w:bookmarkStart w:id="466" w:name="_Toc515647788"/>
      <w:bookmarkStart w:id="467" w:name="_Toc11587"/>
      <w:bookmarkStart w:id="468" w:name="_Toc23762"/>
      <w:bookmarkStart w:id="469" w:name="_Toc286"/>
      <w:bookmarkStart w:id="470" w:name="_Toc23538"/>
      <w:bookmarkStart w:id="471" w:name="_Toc30908"/>
      <w:bookmarkStart w:id="472" w:name="_Toc30556"/>
      <w:bookmarkStart w:id="473" w:name="_Toc28066"/>
      <w:bookmarkStart w:id="474" w:name="_Toc29826"/>
      <w:bookmarkStart w:id="475" w:name="_Toc13522"/>
      <w:bookmarkStart w:id="476" w:name="_Toc520356170"/>
      <w:bookmarkStart w:id="477" w:name="_Ref467307010"/>
      <w:bookmarkStart w:id="478" w:name="_Toc25225"/>
      <w:bookmarkStart w:id="479" w:name="_Toc2639"/>
      <w:bookmarkStart w:id="480" w:name="_Toc32399"/>
      <w:r>
        <w:rPr>
          <w:rFonts w:hint="eastAsia" w:asciiTheme="minorEastAsia" w:hAnsiTheme="minorEastAsia" w:eastAsiaTheme="minorEastAsia" w:cstheme="minorEastAsia"/>
          <w:color w:val="auto"/>
          <w:lang w:eastAsia="zh-CN"/>
        </w:rPr>
        <w:t>26.中标候选人的确定原则及标准</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18C3AAD7">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除第28条规定外，对实质上响应招标文件的投标人按下列方法进行排序，确定投标候选人：</w:t>
      </w:r>
    </w:p>
    <w:p w14:paraId="7D6CA553">
      <w:pPr>
        <w:spacing w:line="288" w:lineRule="auto"/>
        <w:ind w:left="901"/>
        <w:rPr>
          <w:rFonts w:hint="eastAsia" w:asciiTheme="minorEastAsia" w:hAnsiTheme="minorEastAsia" w:eastAsiaTheme="minorEastAsia" w:cstheme="minorEastAsia"/>
          <w:color w:val="auto"/>
          <w:sz w:val="24"/>
          <w:lang w:eastAsia="zh-CN"/>
        </w:rPr>
      </w:pPr>
      <w:bookmarkStart w:id="481" w:name="_Toc520356171"/>
      <w:bookmarkStart w:id="482" w:name="_Toc515647789"/>
      <w:r>
        <w:rPr>
          <w:rFonts w:hint="eastAsia" w:asciiTheme="minorEastAsia" w:hAnsiTheme="minorEastAsia" w:eastAsiaTheme="minorEastAsia" w:cstheme="minorEastAsia"/>
          <w:color w:val="auto"/>
          <w:sz w:val="24"/>
          <w:lang w:eastAsia="zh-CN"/>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1323CDD7">
      <w:pPr>
        <w:spacing w:line="288" w:lineRule="auto"/>
        <w:ind w:left="901"/>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（2）采用综合评分法的，评标结果按评审后得分由高到低顺序排列。得分相同的，按修正和扣除后的投标报价由低到高顺序排列。得分与投标报价均相同的处理方式详见招标文件第6章。</w:t>
      </w:r>
    </w:p>
    <w:p w14:paraId="34F6DA7B">
      <w:pPr>
        <w:pStyle w:val="4"/>
        <w:tabs>
          <w:tab w:val="left" w:pos="900"/>
        </w:tabs>
        <w:spacing w:before="0" w:after="0" w:line="288" w:lineRule="auto"/>
        <w:rPr>
          <w:rFonts w:hint="eastAsia" w:asciiTheme="minorEastAsia" w:hAnsiTheme="minorEastAsia" w:eastAsiaTheme="minorEastAsia" w:cstheme="minorEastAsia"/>
          <w:color w:val="auto"/>
          <w:lang w:eastAsia="zh-CN"/>
        </w:rPr>
      </w:pPr>
      <w:bookmarkStart w:id="483" w:name="_Toc1493"/>
      <w:bookmarkStart w:id="484" w:name="_Toc15415"/>
      <w:bookmarkStart w:id="485" w:name="_Toc14469"/>
      <w:bookmarkStart w:id="486" w:name="_Toc8300"/>
      <w:bookmarkStart w:id="487" w:name="_Toc10359"/>
      <w:bookmarkStart w:id="488" w:name="_Toc2677"/>
      <w:bookmarkStart w:id="489" w:name="_Toc22105"/>
      <w:bookmarkStart w:id="490" w:name="_Toc17755"/>
      <w:bookmarkStart w:id="491" w:name="_Toc19950"/>
      <w:bookmarkStart w:id="492" w:name="_Toc19685"/>
      <w:bookmarkStart w:id="493" w:name="_Toc23951"/>
      <w:bookmarkStart w:id="494" w:name="_Toc28266"/>
      <w:bookmarkStart w:id="495" w:name="_Toc9653"/>
      <w:r>
        <w:rPr>
          <w:rFonts w:hint="eastAsia" w:asciiTheme="minorEastAsia" w:hAnsiTheme="minorEastAsia" w:eastAsiaTheme="minorEastAsia" w:cstheme="minorEastAsia"/>
          <w:color w:val="auto"/>
          <w:lang w:eastAsia="zh-CN"/>
        </w:rPr>
        <w:t>27</w:t>
      </w:r>
      <w:bookmarkEnd w:id="481"/>
      <w:r>
        <w:rPr>
          <w:rFonts w:hint="eastAsia" w:asciiTheme="minorEastAsia" w:hAnsiTheme="minorEastAsia" w:eastAsiaTheme="minorEastAsia" w:cstheme="minorEastAsia"/>
          <w:color w:val="auto"/>
          <w:lang w:eastAsia="zh-CN"/>
        </w:rPr>
        <w:t>.确定中标候选人和中标人</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429F93A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评标委员会将根据评标标准，按</w:t>
      </w:r>
      <w:r>
        <w:rPr>
          <w:rFonts w:hint="eastAsia" w:asciiTheme="minorEastAsia" w:hAnsiTheme="minorEastAsia" w:eastAsiaTheme="minorEastAsia" w:cstheme="minorEastAsia"/>
          <w:color w:val="auto"/>
          <w:sz w:val="24"/>
          <w:u w:val="single" w:color="000000"/>
          <w:lang w:eastAsia="zh-CN"/>
        </w:rPr>
        <w:t>投标人须知资料表中</w:t>
      </w:r>
      <w:r>
        <w:rPr>
          <w:rFonts w:hint="eastAsia" w:asciiTheme="minorEastAsia" w:hAnsiTheme="minorEastAsia" w:eastAsiaTheme="minorEastAsia" w:cstheme="minorEastAsia"/>
          <w:color w:val="auto"/>
          <w:sz w:val="24"/>
          <w:lang w:eastAsia="zh-CN"/>
        </w:rPr>
        <w:t>规定数量推荐中标候选人；或根据采购人的委托，直接确定中标人。</w:t>
      </w:r>
    </w:p>
    <w:p w14:paraId="5BFC3308">
      <w:pPr>
        <w:pStyle w:val="4"/>
        <w:tabs>
          <w:tab w:val="left" w:pos="900"/>
        </w:tabs>
        <w:spacing w:before="0" w:after="0" w:line="288" w:lineRule="auto"/>
        <w:rPr>
          <w:rFonts w:hint="eastAsia" w:asciiTheme="minorEastAsia" w:hAnsiTheme="minorEastAsia" w:eastAsiaTheme="minorEastAsia" w:cstheme="minorEastAsia"/>
          <w:color w:val="auto"/>
          <w:lang w:eastAsia="zh-CN"/>
        </w:rPr>
      </w:pPr>
      <w:bookmarkStart w:id="496" w:name="_Toc520356173"/>
      <w:bookmarkStart w:id="497" w:name="_Ref467306874"/>
      <w:bookmarkStart w:id="498" w:name="_Toc19331"/>
      <w:bookmarkStart w:id="499" w:name="_Toc28621"/>
      <w:bookmarkStart w:id="500" w:name="_Toc8389"/>
      <w:bookmarkStart w:id="501" w:name="_Toc27049"/>
      <w:bookmarkStart w:id="502" w:name="_Toc28562"/>
      <w:bookmarkStart w:id="503" w:name="_Toc8958"/>
      <w:bookmarkStart w:id="504" w:name="_Toc515647790"/>
      <w:bookmarkStart w:id="505" w:name="_Toc7783"/>
      <w:bookmarkStart w:id="506" w:name="_Toc13782"/>
      <w:bookmarkStart w:id="507" w:name="_Toc26160"/>
      <w:bookmarkStart w:id="508" w:name="_Toc26197"/>
      <w:bookmarkStart w:id="509" w:name="_Toc17557"/>
      <w:bookmarkStart w:id="510" w:name="_Toc6582"/>
      <w:bookmarkStart w:id="511" w:name="_Toc11867"/>
      <w:r>
        <w:rPr>
          <w:rFonts w:hint="eastAsia" w:asciiTheme="minorEastAsia" w:hAnsiTheme="minorEastAsia" w:eastAsiaTheme="minorEastAsia" w:cstheme="minorEastAsia"/>
          <w:color w:val="auto"/>
          <w:lang w:eastAsia="zh-CN"/>
        </w:rPr>
        <w:t>28.</w:t>
      </w:r>
      <w:bookmarkEnd w:id="496"/>
      <w:bookmarkEnd w:id="497"/>
      <w:r>
        <w:rPr>
          <w:rFonts w:hint="eastAsia" w:asciiTheme="minorEastAsia" w:hAnsiTheme="minorEastAsia" w:eastAsiaTheme="minorEastAsia" w:cstheme="minorEastAsia"/>
          <w:color w:val="auto"/>
          <w:lang w:eastAsia="zh-CN"/>
        </w:rPr>
        <w:t>采购任务取消</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5D3EB6C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因重大变故采购任务取消时，采购人有权拒绝任何投标人中标，且对受影响的投标人不承担任何责任。</w:t>
      </w:r>
      <w:bookmarkStart w:id="512" w:name="_Toc520356174"/>
    </w:p>
    <w:p w14:paraId="6CB565B5">
      <w:pPr>
        <w:pStyle w:val="4"/>
        <w:spacing w:before="0" w:after="0" w:line="288" w:lineRule="auto"/>
        <w:rPr>
          <w:rFonts w:hint="eastAsia" w:asciiTheme="minorEastAsia" w:hAnsiTheme="minorEastAsia" w:eastAsiaTheme="minorEastAsia" w:cstheme="minorEastAsia"/>
          <w:color w:val="auto"/>
          <w:lang w:eastAsia="zh-CN"/>
        </w:rPr>
      </w:pPr>
      <w:bookmarkStart w:id="513" w:name="_Toc10164"/>
      <w:bookmarkStart w:id="514" w:name="_Toc30170"/>
      <w:bookmarkStart w:id="515" w:name="_Toc31992"/>
      <w:bookmarkStart w:id="516" w:name="_Toc31142"/>
      <w:bookmarkStart w:id="517" w:name="_Toc25468"/>
      <w:bookmarkStart w:id="518" w:name="_Toc2614"/>
      <w:bookmarkStart w:id="519" w:name="_Toc13508"/>
      <w:bookmarkStart w:id="520" w:name="_Toc3186"/>
      <w:bookmarkStart w:id="521" w:name="_Toc31281"/>
      <w:bookmarkStart w:id="522" w:name="_Toc22190"/>
      <w:bookmarkStart w:id="523" w:name="_Toc3276"/>
      <w:bookmarkStart w:id="524" w:name="_Toc31099"/>
      <w:bookmarkStart w:id="525" w:name="_Toc5136"/>
      <w:bookmarkStart w:id="526" w:name="_Toc515647791"/>
      <w:r>
        <w:rPr>
          <w:rFonts w:hint="eastAsia" w:asciiTheme="minorEastAsia" w:hAnsiTheme="minorEastAsia" w:eastAsiaTheme="minorEastAsia" w:cstheme="minorEastAsia"/>
          <w:color w:val="auto"/>
          <w:lang w:eastAsia="zh-CN"/>
        </w:rPr>
        <w:t>29.中标通知书</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12A878C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29.1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在投标有效期内，中标人确定后，采购人或者采购代理机构发布中标公告，公示期后以书面形式向中标人发出中标通知书。</w:t>
      </w:r>
    </w:p>
    <w:p w14:paraId="619B4BB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29.2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中标通知书是合同的组成部分。</w:t>
      </w:r>
    </w:p>
    <w:p w14:paraId="58EE149E">
      <w:pPr>
        <w:pStyle w:val="4"/>
        <w:spacing w:before="0" w:after="0" w:line="288" w:lineRule="auto"/>
        <w:rPr>
          <w:rFonts w:hint="eastAsia" w:asciiTheme="minorEastAsia" w:hAnsiTheme="minorEastAsia" w:eastAsiaTheme="minorEastAsia" w:cstheme="minorEastAsia"/>
          <w:color w:val="auto"/>
          <w:lang w:eastAsia="zh-CN"/>
        </w:rPr>
      </w:pPr>
      <w:bookmarkStart w:id="527" w:name="_Ref467307204"/>
      <w:bookmarkStart w:id="528" w:name="_Toc515647792"/>
      <w:bookmarkStart w:id="529" w:name="_Ref467306978"/>
      <w:bookmarkStart w:id="530" w:name="_Toc24763"/>
      <w:bookmarkStart w:id="531" w:name="_Toc28520"/>
      <w:bookmarkStart w:id="532" w:name="_Toc27557"/>
      <w:bookmarkStart w:id="533" w:name="_Toc7779"/>
      <w:bookmarkStart w:id="534" w:name="_Toc17224"/>
      <w:bookmarkStart w:id="535" w:name="_Toc790"/>
      <w:bookmarkStart w:id="536" w:name="_Toc28367"/>
      <w:bookmarkStart w:id="537" w:name="_Ref467307062"/>
      <w:bookmarkStart w:id="538" w:name="_Toc32036"/>
      <w:bookmarkStart w:id="539" w:name="_Toc19020"/>
      <w:bookmarkStart w:id="540" w:name="_Toc10227"/>
      <w:bookmarkStart w:id="541" w:name="_Toc520356175"/>
      <w:bookmarkStart w:id="542" w:name="_Toc31080"/>
      <w:bookmarkStart w:id="543" w:name="_Toc14795"/>
      <w:bookmarkStart w:id="544" w:name="_Ref467306377"/>
      <w:bookmarkStart w:id="545" w:name="_Toc30660"/>
      <w:r>
        <w:rPr>
          <w:rFonts w:hint="eastAsia" w:asciiTheme="minorEastAsia" w:hAnsiTheme="minorEastAsia" w:eastAsiaTheme="minorEastAsia" w:cstheme="minorEastAsia"/>
          <w:color w:val="auto"/>
          <w:lang w:eastAsia="zh-CN"/>
        </w:rPr>
        <w:t>30.签订合同</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2CC36A0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30.1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中标人应当自发出中标通知书之日起30日内，与采购人签订合同。</w:t>
      </w:r>
    </w:p>
    <w:p w14:paraId="740BC9B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30.2</w:t>
      </w:r>
      <w:r>
        <w:rPr>
          <w:rFonts w:hint="eastAsia" w:asciiTheme="minorEastAsia" w:hAnsiTheme="minorEastAsia" w:eastAsiaTheme="minorEastAsia" w:cstheme="minorEastAsia"/>
          <w:color w:val="auto"/>
          <w:sz w:val="24"/>
          <w:lang w:eastAsia="zh-CN"/>
        </w:rPr>
        <w:tab/>
      </w:r>
      <w:bookmarkStart w:id="546" w:name="_Ref467307090"/>
      <w:bookmarkStart w:id="547" w:name="_Ref467306425"/>
      <w:bookmarkStart w:id="548" w:name="_Toc520356176"/>
      <w:r>
        <w:rPr>
          <w:rFonts w:hint="eastAsia" w:asciiTheme="minorEastAsia" w:hAnsiTheme="minorEastAsia" w:eastAsiaTheme="minorEastAsia" w:cstheme="minorEastAsia"/>
          <w:color w:val="auto"/>
          <w:sz w:val="24"/>
          <w:lang w:eastAsia="zh-CN"/>
        </w:rPr>
        <w:t>招标文件、中标人的投标文件及其澄清文件等，均为签订合同的依据。</w:t>
      </w:r>
    </w:p>
    <w:p w14:paraId="3E9B3E4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30.3   中标人拒绝与采购人签订合同的，采购人可以按照评审报告推荐的中标候选人名单排序，确定下一中标候选人为中标人，也可以重新开展政府采购活动。</w:t>
      </w:r>
    </w:p>
    <w:p w14:paraId="0039502B">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30.4   当出现法规规定的</w:t>
      </w:r>
      <w:r>
        <w:rPr>
          <w:rFonts w:hint="eastAsia" w:asciiTheme="minorEastAsia" w:hAnsiTheme="minorEastAsia" w:eastAsiaTheme="minorEastAsia" w:cstheme="minorEastAsia"/>
          <w:b/>
          <w:color w:val="auto"/>
          <w:sz w:val="24"/>
          <w:lang w:eastAsia="zh-CN"/>
        </w:rPr>
        <w:t>中标无效或中标结果无效</w:t>
      </w:r>
      <w:r>
        <w:rPr>
          <w:rFonts w:hint="eastAsia" w:asciiTheme="minorEastAsia" w:hAnsiTheme="minorEastAsia" w:eastAsiaTheme="minorEastAsia" w:cstheme="minorEastAsia"/>
          <w:color w:val="auto"/>
          <w:sz w:val="24"/>
          <w:lang w:eastAsia="zh-CN"/>
        </w:rPr>
        <w:t>情形时，采购人可与排名下一位的中标候选人另行签订合同，或依法重新开展采购活动。</w:t>
      </w:r>
    </w:p>
    <w:p w14:paraId="26E2651A">
      <w:pPr>
        <w:pStyle w:val="4"/>
        <w:spacing w:before="0" w:after="0" w:line="288" w:lineRule="auto"/>
        <w:rPr>
          <w:rFonts w:hint="eastAsia" w:asciiTheme="minorEastAsia" w:hAnsiTheme="minorEastAsia" w:eastAsiaTheme="minorEastAsia" w:cstheme="minorEastAsia"/>
          <w:color w:val="auto"/>
          <w:lang w:eastAsia="zh-CN"/>
        </w:rPr>
      </w:pPr>
      <w:bookmarkStart w:id="549" w:name="_Toc16031"/>
      <w:bookmarkStart w:id="550" w:name="_Toc7188"/>
      <w:bookmarkStart w:id="551" w:name="_Toc16785"/>
      <w:bookmarkStart w:id="552" w:name="_Toc10395"/>
      <w:bookmarkStart w:id="553" w:name="_Toc22555"/>
      <w:bookmarkStart w:id="554" w:name="_Toc27954"/>
      <w:bookmarkStart w:id="555" w:name="_Toc515647793"/>
      <w:bookmarkStart w:id="556" w:name="_Toc11523"/>
      <w:bookmarkStart w:id="557" w:name="_Toc25751"/>
      <w:bookmarkStart w:id="558" w:name="_Toc5487"/>
      <w:bookmarkStart w:id="559" w:name="_Toc25154"/>
      <w:bookmarkStart w:id="560" w:name="_Toc14080"/>
      <w:bookmarkStart w:id="561" w:name="_Toc13900"/>
      <w:bookmarkStart w:id="562" w:name="_Toc30705"/>
      <w:r>
        <w:rPr>
          <w:rFonts w:hint="eastAsia" w:asciiTheme="minorEastAsia" w:hAnsiTheme="minorEastAsia" w:eastAsiaTheme="minorEastAsia" w:cstheme="minorEastAsia"/>
          <w:color w:val="auto"/>
          <w:lang w:eastAsia="zh-CN"/>
        </w:rPr>
        <w:t>31.履约保证金</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60F66CBB">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31.1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中标人应按照</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规定向采购人缴纳履约保证金。</w:t>
      </w:r>
    </w:p>
    <w:p w14:paraId="25F5208B">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31.2   如果中标人没有按照上述履约保证金的规定执行，将视为放弃中标资格，中标人的投标保证金将不予退还。在此情况下，采购人可确定下一候选人为中标人，也可以重新开展采购活动。</w:t>
      </w:r>
    </w:p>
    <w:p w14:paraId="1D7B168A">
      <w:pPr>
        <w:pStyle w:val="4"/>
        <w:spacing w:before="0" w:after="0" w:line="288" w:lineRule="auto"/>
        <w:rPr>
          <w:rFonts w:hint="eastAsia" w:asciiTheme="minorEastAsia" w:hAnsiTheme="minorEastAsia" w:eastAsiaTheme="minorEastAsia" w:cstheme="minorEastAsia"/>
          <w:color w:val="auto"/>
          <w:lang w:eastAsia="zh-CN"/>
        </w:rPr>
      </w:pPr>
      <w:bookmarkStart w:id="563" w:name="_Toc15895"/>
      <w:bookmarkStart w:id="564" w:name="_Toc515647794"/>
      <w:bookmarkStart w:id="565" w:name="_Toc7922"/>
      <w:bookmarkStart w:id="566" w:name="_Toc11875"/>
      <w:bookmarkStart w:id="567" w:name="_Toc27777"/>
      <w:bookmarkStart w:id="568" w:name="_Toc3090"/>
      <w:bookmarkStart w:id="569" w:name="_Toc19288"/>
      <w:bookmarkStart w:id="570" w:name="_Toc30049"/>
      <w:bookmarkStart w:id="571" w:name="_Toc24667"/>
      <w:bookmarkStart w:id="572" w:name="_Toc31936"/>
      <w:bookmarkStart w:id="573" w:name="_Toc25784"/>
      <w:bookmarkStart w:id="574" w:name="_Toc12106"/>
      <w:bookmarkStart w:id="575" w:name="_Toc29408"/>
      <w:bookmarkStart w:id="576" w:name="_Toc10961"/>
      <w:r>
        <w:rPr>
          <w:rFonts w:hint="eastAsia" w:asciiTheme="minorEastAsia" w:hAnsiTheme="minorEastAsia" w:eastAsiaTheme="minorEastAsia" w:cstheme="minorEastAsia"/>
          <w:color w:val="auto"/>
          <w:lang w:eastAsia="zh-CN"/>
        </w:rPr>
        <w:t>32.中标服务费</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09AFB9DB">
      <w:pPr>
        <w:spacing w:line="288" w:lineRule="auto"/>
        <w:ind w:left="840" w:leftChars="200" w:hanging="420" w:hangingChars="1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中标人须按照</w:t>
      </w:r>
      <w:r>
        <w:rPr>
          <w:rFonts w:hint="eastAsia" w:asciiTheme="minorEastAsia" w:hAnsiTheme="minorEastAsia" w:eastAsiaTheme="minorEastAsia" w:cstheme="minorEastAsia"/>
          <w:color w:val="auto"/>
          <w:sz w:val="24"/>
          <w:u w:val="single" w:color="000000"/>
          <w:lang w:eastAsia="zh-CN"/>
        </w:rPr>
        <w:t>投标须知资料表</w:t>
      </w:r>
      <w:r>
        <w:rPr>
          <w:rFonts w:hint="eastAsia" w:asciiTheme="minorEastAsia" w:hAnsiTheme="minorEastAsia" w:eastAsiaTheme="minorEastAsia" w:cstheme="minorEastAsia"/>
          <w:color w:val="auto"/>
          <w:sz w:val="24"/>
          <w:lang w:eastAsia="zh-CN"/>
        </w:rPr>
        <w:t>规定，向采购代理机构支付中标服务费。</w:t>
      </w:r>
    </w:p>
    <w:p w14:paraId="3747089C">
      <w:pPr>
        <w:pStyle w:val="4"/>
        <w:spacing w:before="0" w:after="0" w:line="288" w:lineRule="auto"/>
        <w:rPr>
          <w:rFonts w:hint="eastAsia" w:asciiTheme="minorEastAsia" w:hAnsiTheme="minorEastAsia" w:eastAsiaTheme="minorEastAsia" w:cstheme="minorEastAsia"/>
          <w:color w:val="auto"/>
          <w:lang w:eastAsia="zh-CN"/>
        </w:rPr>
      </w:pPr>
      <w:bookmarkStart w:id="577" w:name="_Toc13588"/>
      <w:bookmarkStart w:id="578" w:name="_Toc17196"/>
      <w:bookmarkStart w:id="579" w:name="_Toc5036"/>
      <w:bookmarkStart w:id="580" w:name="_Toc28457"/>
      <w:bookmarkStart w:id="581" w:name="_Toc24674"/>
      <w:bookmarkStart w:id="582" w:name="_Toc24553"/>
      <w:bookmarkStart w:id="583" w:name="_Toc515647795"/>
      <w:bookmarkStart w:id="584" w:name="_Toc16253"/>
      <w:bookmarkStart w:id="585" w:name="_Toc3954"/>
      <w:bookmarkStart w:id="586" w:name="_Toc14390"/>
      <w:bookmarkStart w:id="587" w:name="_Toc30722"/>
      <w:bookmarkStart w:id="588" w:name="_Toc7049"/>
      <w:bookmarkStart w:id="589" w:name="_Toc6923"/>
      <w:bookmarkStart w:id="590" w:name="_Toc12385"/>
      <w:r>
        <w:rPr>
          <w:rFonts w:hint="eastAsia" w:asciiTheme="minorEastAsia" w:hAnsiTheme="minorEastAsia" w:eastAsiaTheme="minorEastAsia" w:cstheme="minorEastAsia"/>
          <w:color w:val="auto"/>
          <w:lang w:eastAsia="zh-CN"/>
        </w:rPr>
        <w:t>33.政府采购信用担保</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3431C8CA">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33.1   本项目是否属于信用担保试点范围见</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w:t>
      </w:r>
    </w:p>
    <w:p w14:paraId="3A9953B0">
      <w:pPr>
        <w:spacing w:line="288" w:lineRule="auto"/>
        <w:ind w:left="850" w:hanging="849" w:hangingChars="354"/>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33.2   如属于政府采购信用担保试点范围内，中小型企业投标人可以自由按照财政部门的规定，采用投标担保、履约担保和融资担保。</w:t>
      </w:r>
    </w:p>
    <w:p w14:paraId="5A2A300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33.2.1 投标人递交的投标担保函和履约担保函应符合本招标文件的规定。</w:t>
      </w:r>
    </w:p>
    <w:p w14:paraId="5079F327">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33.2.2 中标人可以采取融资担保的形式为政府采购项目履约进行融资。</w:t>
      </w:r>
    </w:p>
    <w:p w14:paraId="47FADF7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33.2.3 合格的政府采购专业信用担保机构名单见</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w:t>
      </w:r>
    </w:p>
    <w:p w14:paraId="6341A466">
      <w:pPr>
        <w:pStyle w:val="4"/>
        <w:spacing w:before="0" w:after="0" w:line="288" w:lineRule="auto"/>
        <w:rPr>
          <w:rFonts w:hint="eastAsia" w:asciiTheme="minorEastAsia" w:hAnsiTheme="minorEastAsia" w:eastAsiaTheme="minorEastAsia" w:cstheme="minorEastAsia"/>
          <w:color w:val="auto"/>
          <w:lang w:eastAsia="zh-CN"/>
        </w:rPr>
      </w:pPr>
      <w:bookmarkStart w:id="591" w:name="_Toc6716"/>
      <w:bookmarkStart w:id="592" w:name="_Toc9688"/>
      <w:bookmarkStart w:id="593" w:name="_Toc23999"/>
      <w:bookmarkStart w:id="594" w:name="_Toc515647796"/>
      <w:bookmarkStart w:id="595" w:name="_Toc2133"/>
      <w:bookmarkStart w:id="596" w:name="_Toc2320"/>
      <w:bookmarkStart w:id="597" w:name="_Toc27852"/>
      <w:bookmarkStart w:id="598" w:name="_Toc28024"/>
      <w:bookmarkStart w:id="599" w:name="_Toc7"/>
      <w:bookmarkStart w:id="600" w:name="_Toc20713"/>
      <w:bookmarkStart w:id="601" w:name="_Toc22070"/>
      <w:bookmarkStart w:id="602" w:name="_Toc9817"/>
      <w:bookmarkStart w:id="603" w:name="_Toc27198"/>
      <w:bookmarkStart w:id="604" w:name="_Toc21223"/>
      <w:r>
        <w:rPr>
          <w:rFonts w:hint="eastAsia" w:asciiTheme="minorEastAsia" w:hAnsiTheme="minorEastAsia" w:eastAsiaTheme="minorEastAsia" w:cstheme="minorEastAsia"/>
          <w:color w:val="auto"/>
          <w:lang w:eastAsia="zh-CN"/>
        </w:rPr>
        <w:t>34.廉洁自律规定</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712214B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34.1   采购代理机构工作人员不得以不正当手段获取政府采购代理业务，不得与采购人、供应商恶意串通操纵政府采购活动。</w:t>
      </w:r>
    </w:p>
    <w:p w14:paraId="3A0DEE78">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34.2   采购代理机构工作人员不得接受采购人或者供应商组织的宴请、旅游、娱乐，不得收受礼品、现金、有价证券等，不得向采购人或者供应商报销应当由个人承担的费用。</w:t>
      </w:r>
    </w:p>
    <w:p w14:paraId="2DAE3F98">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34.3   为强化采购代理机构内部监督机制，供应商可按</w:t>
      </w:r>
      <w:r>
        <w:rPr>
          <w:rFonts w:hint="eastAsia" w:asciiTheme="minorEastAsia" w:hAnsiTheme="minorEastAsia" w:eastAsiaTheme="minorEastAsia" w:cstheme="minorEastAsia"/>
          <w:color w:val="auto"/>
          <w:sz w:val="24"/>
          <w:u w:val="single" w:color="000000"/>
          <w:lang w:eastAsia="zh-CN"/>
        </w:rPr>
        <w:t>投标人须知资料表中的</w:t>
      </w:r>
      <w:r>
        <w:rPr>
          <w:rFonts w:hint="eastAsia" w:asciiTheme="minorEastAsia" w:hAnsiTheme="minorEastAsia" w:eastAsiaTheme="minorEastAsia" w:cstheme="minorEastAsia"/>
          <w:color w:val="auto"/>
          <w:sz w:val="24"/>
          <w:lang w:eastAsia="zh-CN"/>
        </w:rPr>
        <w:t>监督电话和邮箱，反映采购代理机构的廉洁自律等问题。</w:t>
      </w:r>
    </w:p>
    <w:p w14:paraId="6919E3A7">
      <w:pPr>
        <w:pStyle w:val="4"/>
        <w:spacing w:before="0" w:after="0" w:line="288" w:lineRule="auto"/>
        <w:rPr>
          <w:rFonts w:hint="eastAsia" w:asciiTheme="minorEastAsia" w:hAnsiTheme="minorEastAsia" w:eastAsiaTheme="minorEastAsia" w:cstheme="minorEastAsia"/>
          <w:color w:val="auto"/>
          <w:lang w:eastAsia="zh-CN"/>
        </w:rPr>
      </w:pPr>
      <w:bookmarkStart w:id="605" w:name="_Toc515647797"/>
      <w:bookmarkStart w:id="606" w:name="_Toc14897"/>
      <w:bookmarkStart w:id="607" w:name="_Toc31644"/>
      <w:bookmarkStart w:id="608" w:name="_Toc16745"/>
      <w:bookmarkStart w:id="609" w:name="_Toc11586"/>
      <w:bookmarkStart w:id="610" w:name="_Toc6874"/>
      <w:bookmarkStart w:id="611" w:name="_Toc10376"/>
      <w:bookmarkStart w:id="612" w:name="_Toc10437"/>
      <w:bookmarkStart w:id="613" w:name="_Toc18027"/>
      <w:bookmarkStart w:id="614" w:name="_Toc1541"/>
      <w:bookmarkStart w:id="615" w:name="_Toc22285"/>
      <w:bookmarkStart w:id="616" w:name="_Toc3888"/>
      <w:bookmarkStart w:id="617" w:name="_Toc25480"/>
      <w:bookmarkStart w:id="618" w:name="_Toc24038"/>
      <w:r>
        <w:rPr>
          <w:rFonts w:hint="eastAsia" w:asciiTheme="minorEastAsia" w:hAnsiTheme="minorEastAsia" w:eastAsiaTheme="minorEastAsia" w:cstheme="minorEastAsia"/>
          <w:color w:val="auto"/>
          <w:lang w:eastAsia="zh-CN"/>
        </w:rPr>
        <w:t>35.人员回避</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518BD33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投标人认为采购人员及其相关人员有法律法规所列与其他供应商有利害关系的，可以向采购人或采购代理机构书面提出回避申请，并说明理由。</w:t>
      </w:r>
    </w:p>
    <w:p w14:paraId="62EB3BF7">
      <w:pPr>
        <w:pStyle w:val="4"/>
        <w:spacing w:before="0" w:after="0" w:line="340" w:lineRule="exact"/>
        <w:rPr>
          <w:rFonts w:hint="eastAsia" w:asciiTheme="minorEastAsia" w:hAnsiTheme="minorEastAsia" w:eastAsiaTheme="minorEastAsia" w:cstheme="minorEastAsia"/>
          <w:color w:val="auto"/>
          <w:szCs w:val="24"/>
          <w:u w:val="none"/>
          <w:lang w:eastAsia="zh-CN"/>
        </w:rPr>
      </w:pPr>
      <w:bookmarkStart w:id="619" w:name="_Toc16862"/>
      <w:bookmarkStart w:id="620" w:name="_Toc9393"/>
      <w:bookmarkStart w:id="621" w:name="_Toc30751"/>
      <w:bookmarkStart w:id="622" w:name="_Toc518923103"/>
      <w:bookmarkStart w:id="623" w:name="_Toc23678"/>
      <w:bookmarkStart w:id="624" w:name="_Toc23883"/>
      <w:bookmarkStart w:id="625" w:name="_Toc3083"/>
      <w:r>
        <w:rPr>
          <w:rFonts w:hint="eastAsia" w:asciiTheme="minorEastAsia" w:hAnsiTheme="minorEastAsia" w:eastAsiaTheme="minorEastAsia" w:cstheme="minorEastAsia"/>
          <w:color w:val="auto"/>
          <w:szCs w:val="24"/>
          <w:u w:val="none"/>
          <w:lang w:eastAsia="zh-CN"/>
        </w:rPr>
        <w:t>36.质疑与接收</w:t>
      </w:r>
      <w:bookmarkEnd w:id="619"/>
      <w:bookmarkEnd w:id="620"/>
    </w:p>
    <w:p w14:paraId="6FCF099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36.1   供应商认为招标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148326E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32713B45">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超出法定质疑期的、重复提出的、分次提出的或内容、形式不符合《政府采购质疑和投诉办法》的，质疑供应商将依法承担不利后果。</w:t>
      </w:r>
    </w:p>
    <w:p w14:paraId="06EFE35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36.3   采购代理机构质疑函接收部门、联系电话和通讯地址, 见供应商须知资料表。</w:t>
      </w:r>
    </w:p>
    <w:p w14:paraId="1FF92C2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36.4、质疑的提出</w:t>
      </w:r>
    </w:p>
    <w:p w14:paraId="078A2A6F">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36.5   本采购文件中所称质疑及答复，是指参加本次采购活动的供应商对政府采购活动中的采购文件、采购过程和成交结果向采购方提出质疑，采购方答复质疑的行为。</w:t>
      </w:r>
    </w:p>
    <w:p w14:paraId="175E191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2EDBD7F1">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（一）对可以质疑的采购文件提出质疑的，为收到采购文件之日或者采购文件公告期限届满之日；</w:t>
      </w:r>
    </w:p>
    <w:p w14:paraId="124DF2F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（二）对采购过程提出质疑的，为各采购程序环节结束之日；</w:t>
      </w:r>
    </w:p>
    <w:p w14:paraId="24E95285">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（三）对成交结果提出质疑的，为成交结果公告期限届满之日。</w:t>
      </w:r>
    </w:p>
    <w:p w14:paraId="77712FF0">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36.7   对可以质疑的采购文件提出质疑的，质疑人为参与本项目的报价方或潜在报价方。可质疑的文件为采购公告以及采购文件（包括属于其组成部分的澄清、修改、补充文件和评审标准、合同文本等）。</w:t>
      </w:r>
    </w:p>
    <w:p w14:paraId="7FB1CB3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787AB741">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36.9   提出质疑应当符合下列条件：</w:t>
      </w:r>
    </w:p>
    <w:p w14:paraId="5A64F967">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（一）质疑主体应当符合有关规定；</w:t>
      </w:r>
    </w:p>
    <w:p w14:paraId="0202DBF2">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（二）在质疑法定期限内提出；</w:t>
      </w:r>
    </w:p>
    <w:p w14:paraId="066D6CCF">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（三）属于可以提出质疑的政府采购事项受理范围和本项目采购人的管辖权范围；</w:t>
      </w:r>
    </w:p>
    <w:p w14:paraId="717AC890">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（四）政府采购法律、法规、规章规定的其他条件。</w:t>
      </w:r>
    </w:p>
    <w:p w14:paraId="297AF26A">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4FD55CB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40.1  质疑人所提供的证明材料应当具有真实性、合法性以及与质疑事项的关联性和证明力，否则不能作为认定该质疑事项成立的依据。</w:t>
      </w:r>
    </w:p>
    <w:p w14:paraId="2BFAC1D8">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40.2   质疑人提出质疑时应当提交质疑函。质疑函包括下列内容：</w:t>
      </w:r>
    </w:p>
    <w:p w14:paraId="6BA3B6C6">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（一）提出质疑的质疑人的名称、地址、邮编、联系人及联系电话等；</w:t>
      </w:r>
    </w:p>
    <w:p w14:paraId="5516AAD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（二）质疑项目的名称、编号；</w:t>
      </w:r>
    </w:p>
    <w:p w14:paraId="7CA7A542">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（三）质疑事项；</w:t>
      </w:r>
    </w:p>
    <w:p w14:paraId="5D8A85B1">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（四）事实依据和证明材料；</w:t>
      </w:r>
    </w:p>
    <w:p w14:paraId="52247F8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（五）法律依据；</w:t>
      </w:r>
    </w:p>
    <w:p w14:paraId="4EF25B5D">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（六）提出质疑的日期。</w:t>
      </w:r>
    </w:p>
    <w:p w14:paraId="22FCF01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质疑函采用实名制。质疑人为自然人的应当由本人签字，并附有效身份证明文件；质疑人为法人或者非法人组织的应当由法定代表人或者负责人签字并加盖公章，并附有效身份证明文件。</w:t>
      </w:r>
    </w:p>
    <w:p w14:paraId="03EE60C3">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40.3    质疑人可以委托代理人进行质疑。代理人应当提交授权委托书。授权委托书应当载明委托代理的具体权限、期限和相关事项。</w:t>
      </w:r>
    </w:p>
    <w:p w14:paraId="7E49E0E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40.4、质疑的审查和受理</w:t>
      </w:r>
    </w:p>
    <w:p w14:paraId="6BA8B04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采购方在收到质疑函后应当及时审查是否符合质疑受理条件，对符合质疑受理条件的，及时予以受理。</w:t>
      </w:r>
    </w:p>
    <w:p w14:paraId="47A65A1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40.5   对不符合质疑受理条件的，分别按照下列不同情形予以处理：</w:t>
      </w:r>
    </w:p>
    <w:p w14:paraId="3B83814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（一）质疑函内容不符合规定的，告知质疑人进行修改并重新提出质疑。修改后质疑事项仍不具体、不明确或者最终递交质疑函的时间超过质疑法定期限的，不予受理；</w:t>
      </w:r>
    </w:p>
    <w:p w14:paraId="6C12215D">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（二）质疑主体不符合有关规定的，告知质疑人不予受理；</w:t>
      </w:r>
    </w:p>
    <w:p w14:paraId="6AEFD618">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（三）超过质疑法定期限提出质疑的，告知质疑人不予受理；</w:t>
      </w:r>
    </w:p>
    <w:p w14:paraId="13C6C62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（四）对不属于可以提出质疑的政府采购事项提出质疑的，告知质疑人不予受理；</w:t>
      </w:r>
    </w:p>
    <w:p w14:paraId="17A4134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（五）质疑不属于本项目采购方管辖的，告知质疑人向有管辖权的采购人提出质疑；</w:t>
      </w:r>
    </w:p>
    <w:p w14:paraId="626E0AD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（六）质疑不符合其他条件的，告知质疑人不予受理。</w:t>
      </w:r>
    </w:p>
    <w:p w14:paraId="310D2BD2">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40.6、质疑的处理和答复</w:t>
      </w:r>
    </w:p>
    <w:p w14:paraId="4BEF07A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40.7   采购方受理质疑后，将及时把质疑函发送给被质疑人，并要求其在一定限期内提交书面答复，同时提供有关证据、依据和相关材料。</w:t>
      </w:r>
    </w:p>
    <w:p w14:paraId="4C42F4FF">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40.8   对于质疑事项中涉及的问题较多、情况比较复杂的，为了全面查清事实、取得充分的证据，采购方认为有必要时，可以进行调查取证或者组织质证。</w:t>
      </w:r>
    </w:p>
    <w:p w14:paraId="3D97475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40.9   对评审过程、成交结果提出质疑的，采购方可以组织原评审委员会协助答复质疑。</w:t>
      </w:r>
    </w:p>
    <w:p w14:paraId="67AE72E1">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41.   质疑处理过程中，质疑人书面申请撤回质疑的，将终止质疑处理程序。</w:t>
      </w:r>
    </w:p>
    <w:p w14:paraId="00410FE5">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41.1   质疑人拒绝配合采购方依法对质疑进行调查处理的，采购方将按质疑人自动撤回质疑处理；被质疑人拒绝配合采购方依法对质疑进行调查处理的，采购方将视同其认可质疑事项。</w:t>
      </w:r>
    </w:p>
    <w:p w14:paraId="3783147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41.1   质疑人拒绝配合采购方依法对质疑进行调查处理的，采购方将按质疑人自动撤回质疑处理；被质疑人拒绝配合采购方依法对质疑进行调查处理的，采购方将视同其认可质疑事项。</w:t>
      </w:r>
    </w:p>
    <w:p w14:paraId="25ECC90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41.2   采购方将在正式受理质疑后7个工作日内作出答复。</w:t>
      </w:r>
    </w:p>
    <w:p w14:paraId="7791FB46">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41.3   质疑答复应当包括下列内容：</w:t>
      </w:r>
    </w:p>
    <w:p w14:paraId="5914E2D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（一）质疑人的姓名或者名称；</w:t>
      </w:r>
    </w:p>
    <w:p w14:paraId="4FE4F566">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（二）收到质疑函的日期、质疑项目名称及编号；</w:t>
      </w:r>
    </w:p>
    <w:p w14:paraId="35F7B3E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（三）质疑事项、质疑答复的具体内容、事实依据和法律依据；</w:t>
      </w:r>
    </w:p>
    <w:p w14:paraId="785B9990">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（四）告知质疑供应商依法投诉的权利；</w:t>
      </w:r>
    </w:p>
    <w:p w14:paraId="53765EA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（五）质疑答复人名称；</w:t>
      </w:r>
    </w:p>
    <w:p w14:paraId="33ABF728">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（六）答复质疑的日期。</w:t>
      </w:r>
    </w:p>
    <w:p w14:paraId="363D9E6F">
      <w:pPr>
        <w:widowControl w:val="0"/>
        <w:spacing w:line="340" w:lineRule="exact"/>
        <w:ind w:left="904" w:hanging="900" w:hangingChars="375"/>
        <w:jc w:val="center"/>
        <w:textAlignment w:val="auto"/>
        <w:rPr>
          <w:rFonts w:hint="eastAsia" w:asciiTheme="minorEastAsia" w:hAnsiTheme="minorEastAsia" w:eastAsiaTheme="minorEastAsia" w:cstheme="minorEastAsia"/>
          <w:b/>
          <w:bCs/>
          <w:color w:val="auto"/>
          <w:sz w:val="24"/>
          <w:lang w:eastAsia="zh-CN"/>
        </w:rPr>
      </w:pPr>
    </w:p>
    <w:p w14:paraId="0B00892D">
      <w:pPr>
        <w:widowControl w:val="0"/>
        <w:spacing w:line="340" w:lineRule="exact"/>
        <w:ind w:left="904" w:hanging="900" w:hangingChars="375"/>
        <w:jc w:val="center"/>
        <w:textAlignment w:val="auto"/>
        <w:rPr>
          <w:rFonts w:hint="eastAsia" w:asciiTheme="minorEastAsia" w:hAnsiTheme="minorEastAsia" w:eastAsiaTheme="minorEastAsia" w:cstheme="minorEastAsia"/>
          <w:b/>
          <w:bCs/>
          <w:color w:val="auto"/>
          <w:sz w:val="24"/>
          <w:lang w:eastAsia="zh-CN"/>
        </w:rPr>
      </w:pPr>
    </w:p>
    <w:p w14:paraId="34A28BE4">
      <w:pPr>
        <w:widowControl w:val="0"/>
        <w:spacing w:line="340" w:lineRule="exact"/>
        <w:ind w:left="904" w:hanging="900" w:hangingChars="375"/>
        <w:jc w:val="center"/>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b/>
          <w:bCs/>
          <w:color w:val="auto"/>
          <w:sz w:val="24"/>
          <w:lang w:eastAsia="zh-CN"/>
        </w:rPr>
        <w:t>质疑函范本</w:t>
      </w:r>
    </w:p>
    <w:p w14:paraId="2CFE4C55">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一、质疑供应商基本信息</w:t>
      </w:r>
    </w:p>
    <w:p w14:paraId="7AD3680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质疑供应商：</w:t>
      </w:r>
    </w:p>
    <w:p w14:paraId="35FFAFC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地址：邮编：</w:t>
      </w:r>
    </w:p>
    <w:p w14:paraId="7031069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联系人：联系电话：</w:t>
      </w:r>
    </w:p>
    <w:p w14:paraId="0E7346FF">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授权代表：</w:t>
      </w:r>
    </w:p>
    <w:p w14:paraId="0282AAC3">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联系电话：</w:t>
      </w:r>
    </w:p>
    <w:p w14:paraId="46D30073">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地址：邮编：</w:t>
      </w:r>
    </w:p>
    <w:p w14:paraId="56B85C4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二、质疑项目基本情况</w:t>
      </w:r>
    </w:p>
    <w:p w14:paraId="4C9A176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质疑项目的名称：</w:t>
      </w:r>
    </w:p>
    <w:p w14:paraId="285F9BC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质疑项目的编号：包号：</w:t>
      </w:r>
    </w:p>
    <w:p w14:paraId="4A8A8ED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采购人名称：</w:t>
      </w:r>
    </w:p>
    <w:p w14:paraId="2384164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采购文件获取日期：</w:t>
      </w:r>
    </w:p>
    <w:p w14:paraId="4467DDB0">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三、质疑事项具体内容</w:t>
      </w:r>
    </w:p>
    <w:p w14:paraId="6B57F32A">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质疑事项1：</w:t>
      </w:r>
    </w:p>
    <w:p w14:paraId="5A6D956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事实依据：</w:t>
      </w:r>
    </w:p>
    <w:p w14:paraId="35351AC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p>
    <w:p w14:paraId="0D9C746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法律依据：</w:t>
      </w:r>
    </w:p>
    <w:p w14:paraId="16E6FCCF">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p>
    <w:p w14:paraId="00DAF52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质疑事项2</w:t>
      </w:r>
    </w:p>
    <w:p w14:paraId="3D64CA47">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w:t>
      </w:r>
    </w:p>
    <w:p w14:paraId="5655BE0A">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四、与质疑事项相关的质疑请求</w:t>
      </w:r>
    </w:p>
    <w:p w14:paraId="7487FAC2">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请求：</w:t>
      </w:r>
    </w:p>
    <w:p w14:paraId="20EE77B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签字(签章)：公章：</w:t>
      </w:r>
    </w:p>
    <w:p w14:paraId="0F6F22A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日期：</w:t>
      </w:r>
    </w:p>
    <w:p w14:paraId="7C5EE8F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p>
    <w:p w14:paraId="33996D8D">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p>
    <w:p w14:paraId="3B13F618">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质疑函制作说明：</w:t>
      </w:r>
    </w:p>
    <w:p w14:paraId="58900CB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1.供应商提出质疑时，应提交质疑函和必要的证明材料。</w:t>
      </w:r>
    </w:p>
    <w:p w14:paraId="45A3E14C">
      <w:pPr>
        <w:widowControl w:val="0"/>
        <w:spacing w:line="340"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3FA5535">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3.质疑供应商若对项目的某一分包进行质疑，质疑函中应列明具体分包号。</w:t>
      </w:r>
    </w:p>
    <w:p w14:paraId="378BC7AA">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4.质疑函的质疑事项应具体、明确，并有必要的事实依据和法律依据。</w:t>
      </w:r>
    </w:p>
    <w:p w14:paraId="7C0B0DE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5.质疑函的质疑请求应与质疑事项相关。</w:t>
      </w:r>
    </w:p>
    <w:p w14:paraId="54FC7103">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6.质疑供应商为自然人的，质疑函应由本人签字；质疑供应商为法人或者其他组织的，质疑函应由法定代表人、主要负责人，或者其授权代表签字或者盖章，并加盖公章。</w:t>
      </w:r>
    </w:p>
    <w:p w14:paraId="681B4297">
      <w:pPr>
        <w:widowControl w:val="0"/>
        <w:spacing w:line="240" w:lineRule="atLeast"/>
        <w:ind w:left="1079" w:leftChars="257" w:hanging="54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br w:type="page"/>
      </w:r>
      <w:r>
        <w:rPr>
          <w:rFonts w:hint="eastAsia" w:asciiTheme="minorEastAsia" w:hAnsiTheme="minorEastAsia" w:eastAsiaTheme="minorEastAsia" w:cstheme="minorEastAsia"/>
          <w:color w:val="auto"/>
          <w:lang w:eastAsia="zh-CN"/>
        </w:rPr>
        <w:t>附件1：履约保证金保函（格式）</w:t>
      </w:r>
      <w:bookmarkEnd w:id="621"/>
      <w:bookmarkEnd w:id="622"/>
      <w:bookmarkEnd w:id="623"/>
      <w:bookmarkEnd w:id="624"/>
      <w:bookmarkEnd w:id="625"/>
    </w:p>
    <w:p w14:paraId="0B133ACB">
      <w:pPr>
        <w:pStyle w:val="11"/>
        <w:widowControl w:val="0"/>
        <w:spacing w:line="240" w:lineRule="atLeast"/>
        <w:ind w:left="1079" w:leftChars="257" w:hanging="540"/>
        <w:jc w:val="center"/>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（中标后开具）</w:t>
      </w:r>
    </w:p>
    <w:p w14:paraId="32374004">
      <w:pPr>
        <w:pStyle w:val="11"/>
        <w:widowControl w:val="0"/>
        <w:spacing w:line="240" w:lineRule="atLeast"/>
        <w:ind w:left="1079" w:leftChars="257" w:hanging="540"/>
        <w:rPr>
          <w:rFonts w:hint="eastAsia" w:asciiTheme="minorEastAsia" w:hAnsiTheme="minorEastAsia" w:eastAsiaTheme="minorEastAsia" w:cstheme="minorEastAsia"/>
          <w:b/>
          <w:color w:val="auto"/>
          <w:sz w:val="24"/>
          <w:lang w:eastAsia="zh-CN"/>
        </w:rPr>
      </w:pPr>
    </w:p>
    <w:p w14:paraId="29824DE0">
      <w:pPr>
        <w:pStyle w:val="11"/>
        <w:widowControl w:val="0"/>
        <w:spacing w:line="240" w:lineRule="atLeast"/>
        <w:ind w:left="1079" w:leftChars="257" w:hanging="540"/>
        <w:rPr>
          <w:rFonts w:hint="eastAsia" w:asciiTheme="minorEastAsia" w:hAnsiTheme="minorEastAsia" w:eastAsiaTheme="minorEastAsia" w:cstheme="minorEastAsia"/>
          <w:b/>
          <w:color w:val="auto"/>
          <w:sz w:val="24"/>
          <w:lang w:eastAsia="zh-CN"/>
        </w:rPr>
      </w:pPr>
    </w:p>
    <w:p w14:paraId="44C27E3B">
      <w:pPr>
        <w:pStyle w:val="11"/>
        <w:widowControl w:val="0"/>
        <w:spacing w:line="240" w:lineRule="atLeas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致: (</w:t>
      </w:r>
      <w:r>
        <w:rPr>
          <w:rFonts w:hint="eastAsia" w:asciiTheme="minorEastAsia" w:hAnsiTheme="minorEastAsia" w:eastAsiaTheme="minorEastAsia" w:cstheme="minorEastAsia"/>
          <w:i/>
          <w:color w:val="auto"/>
          <w:sz w:val="24"/>
          <w:szCs w:val="24"/>
          <w:u w:val="single"/>
          <w:lang w:eastAsia="zh-CN"/>
        </w:rPr>
        <w:t>买方名称</w:t>
      </w:r>
      <w:r>
        <w:rPr>
          <w:rFonts w:hint="eastAsia" w:asciiTheme="minorEastAsia" w:hAnsiTheme="minorEastAsia" w:eastAsiaTheme="minorEastAsia" w:cstheme="minorEastAsia"/>
          <w:color w:val="auto"/>
          <w:sz w:val="24"/>
          <w:szCs w:val="24"/>
          <w:lang w:eastAsia="zh-CN"/>
        </w:rPr>
        <w:t>)</w:t>
      </w:r>
    </w:p>
    <w:p w14:paraId="28733A9A">
      <w:pPr>
        <w:pStyle w:val="11"/>
        <w:widowControl w:val="0"/>
        <w:spacing w:line="240" w:lineRule="atLeast"/>
        <w:ind w:left="1079" w:leftChars="257" w:hanging="54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号合同履约保函</w:t>
      </w:r>
    </w:p>
    <w:p w14:paraId="615FA768">
      <w:pPr>
        <w:pStyle w:val="11"/>
        <w:widowControl w:val="0"/>
        <w:spacing w:line="240" w:lineRule="atLeast"/>
        <w:ind w:left="1079" w:leftChars="257" w:hanging="540"/>
        <w:jc w:val="center"/>
        <w:rPr>
          <w:rFonts w:hint="eastAsia" w:asciiTheme="minorEastAsia" w:hAnsiTheme="minorEastAsia" w:eastAsiaTheme="minorEastAsia" w:cstheme="minorEastAsia"/>
          <w:color w:val="auto"/>
          <w:sz w:val="24"/>
          <w:szCs w:val="24"/>
          <w:lang w:eastAsia="zh-CN"/>
        </w:rPr>
      </w:pPr>
    </w:p>
    <w:p w14:paraId="48846A8E">
      <w:pPr>
        <w:pStyle w:val="11"/>
        <w:widowControl w:val="0"/>
        <w:spacing w:line="240" w:lineRule="atLeast"/>
        <w:ind w:firstLine="600" w:firstLineChars="25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本保函作为贵方与(</w:t>
      </w:r>
      <w:r>
        <w:rPr>
          <w:rFonts w:hint="eastAsia" w:asciiTheme="minorEastAsia" w:hAnsiTheme="minorEastAsia" w:eastAsiaTheme="minorEastAsia" w:cstheme="minorEastAsia"/>
          <w:i/>
          <w:color w:val="auto"/>
          <w:sz w:val="24"/>
          <w:szCs w:val="24"/>
          <w:u w:val="single"/>
          <w:lang w:eastAsia="zh-CN"/>
        </w:rPr>
        <w:t>卖方名称</w:t>
      </w:r>
      <w:r>
        <w:rPr>
          <w:rFonts w:hint="eastAsia" w:asciiTheme="minorEastAsia" w:hAnsiTheme="minorEastAsia" w:eastAsiaTheme="minorEastAsia" w:cstheme="minorEastAsia"/>
          <w:color w:val="auto"/>
          <w:sz w:val="24"/>
          <w:szCs w:val="24"/>
          <w:lang w:eastAsia="zh-CN"/>
        </w:rPr>
        <w:t>)(以下简称卖方)于年月日就项目(以下简称项目)项下提供(</w:t>
      </w:r>
      <w:r>
        <w:rPr>
          <w:rFonts w:hint="eastAsia" w:asciiTheme="minorEastAsia" w:hAnsiTheme="minorEastAsia" w:eastAsiaTheme="minorEastAsia" w:cstheme="minorEastAsia"/>
          <w:i/>
          <w:color w:val="auto"/>
          <w:sz w:val="24"/>
          <w:szCs w:val="24"/>
          <w:u w:val="single"/>
          <w:lang w:eastAsia="zh-CN"/>
        </w:rPr>
        <w:t>货物名称</w:t>
      </w:r>
      <w:r>
        <w:rPr>
          <w:rFonts w:hint="eastAsia" w:asciiTheme="minorEastAsia" w:hAnsiTheme="minorEastAsia" w:eastAsiaTheme="minorEastAsia" w:cstheme="minorEastAsia"/>
          <w:color w:val="auto"/>
          <w:sz w:val="24"/>
          <w:szCs w:val="24"/>
          <w:lang w:eastAsia="zh-CN"/>
        </w:rPr>
        <w:t>)(以下简称货物)签订的(</w:t>
      </w:r>
      <w:r>
        <w:rPr>
          <w:rFonts w:hint="eastAsia" w:asciiTheme="minorEastAsia" w:hAnsiTheme="minorEastAsia" w:eastAsiaTheme="minorEastAsia" w:cstheme="minorEastAsia"/>
          <w:i/>
          <w:color w:val="auto"/>
          <w:sz w:val="24"/>
          <w:szCs w:val="24"/>
          <w:u w:val="single"/>
          <w:lang w:eastAsia="zh-CN"/>
        </w:rPr>
        <w:t>合同号</w:t>
      </w:r>
      <w:r>
        <w:rPr>
          <w:rFonts w:hint="eastAsia" w:asciiTheme="minorEastAsia" w:hAnsiTheme="minorEastAsia" w:eastAsiaTheme="minorEastAsia" w:cstheme="minorEastAsia"/>
          <w:color w:val="auto"/>
          <w:sz w:val="24"/>
          <w:szCs w:val="24"/>
          <w:lang w:eastAsia="zh-CN"/>
        </w:rPr>
        <w:t>)号合同的履约保函。</w:t>
      </w:r>
    </w:p>
    <w:p w14:paraId="63B70AC4">
      <w:pPr>
        <w:pStyle w:val="11"/>
        <w:widowControl w:val="0"/>
        <w:spacing w:line="240" w:lineRule="atLeast"/>
        <w:ind w:firstLine="540" w:firstLineChars="225"/>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i/>
          <w:color w:val="auto"/>
          <w:sz w:val="24"/>
          <w:szCs w:val="24"/>
          <w:u w:val="single"/>
          <w:lang w:eastAsia="zh-CN"/>
        </w:rPr>
        <w:t>出具保函的银行名称</w:t>
      </w:r>
      <w:r>
        <w:rPr>
          <w:rFonts w:hint="eastAsia" w:asciiTheme="minorEastAsia" w:hAnsiTheme="minorEastAsia" w:eastAsiaTheme="minorEastAsia" w:cstheme="minorEastAsia"/>
          <w:color w:val="auto"/>
          <w:sz w:val="24"/>
          <w:szCs w:val="24"/>
          <w:lang w:eastAsia="zh-CN"/>
        </w:rPr>
        <w:t>)(以下简称银行)无条件地、不可撤销地具结保证本行、其继承人和受让人无追索地向贵方以(</w:t>
      </w:r>
      <w:r>
        <w:rPr>
          <w:rFonts w:hint="eastAsia" w:asciiTheme="minorEastAsia" w:hAnsiTheme="minorEastAsia" w:eastAsiaTheme="minorEastAsia" w:cstheme="minorEastAsia"/>
          <w:i/>
          <w:color w:val="auto"/>
          <w:sz w:val="24"/>
          <w:szCs w:val="24"/>
          <w:u w:val="single"/>
          <w:lang w:eastAsia="zh-CN"/>
        </w:rPr>
        <w:t>货币名称</w:t>
      </w:r>
      <w:r>
        <w:rPr>
          <w:rFonts w:hint="eastAsia" w:asciiTheme="minorEastAsia" w:hAnsiTheme="minorEastAsia" w:eastAsiaTheme="minorEastAsia" w:cstheme="minorEastAsia"/>
          <w:color w:val="auto"/>
          <w:sz w:val="24"/>
          <w:szCs w:val="24"/>
          <w:lang w:eastAsia="zh-CN"/>
        </w:rPr>
        <w:t>)支付总额不超过(</w:t>
      </w:r>
      <w:r>
        <w:rPr>
          <w:rFonts w:hint="eastAsia" w:asciiTheme="minorEastAsia" w:hAnsiTheme="minorEastAsia" w:eastAsiaTheme="minorEastAsia" w:cstheme="minorEastAsia"/>
          <w:i/>
          <w:color w:val="auto"/>
          <w:sz w:val="24"/>
          <w:szCs w:val="24"/>
          <w:u w:val="single"/>
          <w:lang w:eastAsia="zh-CN"/>
        </w:rPr>
        <w:t>货币数量</w:t>
      </w:r>
      <w:r>
        <w:rPr>
          <w:rFonts w:hint="eastAsia" w:asciiTheme="minorEastAsia" w:hAnsiTheme="minorEastAsia" w:eastAsiaTheme="minorEastAsia" w:cstheme="minorEastAsia"/>
          <w:color w:val="auto"/>
          <w:sz w:val="24"/>
          <w:szCs w:val="24"/>
          <w:lang w:eastAsia="zh-CN"/>
        </w:rPr>
        <w:t>),即相当于合同价格的%,并以此约定如下:</w:t>
      </w:r>
    </w:p>
    <w:p w14:paraId="7D03ADA3">
      <w:pPr>
        <w:pStyle w:val="11"/>
        <w:widowControl w:val="0"/>
        <w:spacing w:line="240" w:lineRule="atLeast"/>
        <w:ind w:left="539" w:leftChars="257"/>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0DCBF0FD">
      <w:pPr>
        <w:pStyle w:val="11"/>
        <w:widowControl w:val="0"/>
        <w:spacing w:line="240" w:lineRule="atLeast"/>
        <w:ind w:left="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2.本保函项下的任何支付应为免税和净值。对于现有或将来的税收、关税、收费、费用扣减或预提税款，不论这些款项是何种性质和由谁征收，都不应从本保函项下的支付中扣除。</w:t>
      </w:r>
    </w:p>
    <w:p w14:paraId="3D1EB973">
      <w:pPr>
        <w:pStyle w:val="11"/>
        <w:widowControl w:val="0"/>
        <w:spacing w:line="240" w:lineRule="atLeast"/>
        <w:ind w:left="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31B65A5D">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lang w:eastAsia="zh-CN"/>
        </w:rPr>
      </w:pPr>
      <w:bookmarkStart w:id="626" w:name="_Toc6985"/>
      <w:bookmarkStart w:id="627" w:name="_Toc1076"/>
      <w:r>
        <w:rPr>
          <w:rFonts w:hint="eastAsia" w:asciiTheme="minorEastAsia" w:hAnsiTheme="minorEastAsia" w:eastAsiaTheme="minorEastAsia" w:cstheme="minorEastAsia"/>
          <w:color w:val="auto"/>
          <w:sz w:val="24"/>
          <w:szCs w:val="24"/>
          <w:lang w:eastAsia="zh-CN"/>
        </w:rPr>
        <w:t>4.本保函在本合同规定的保证期期满前完全有效。</w:t>
      </w:r>
      <w:bookmarkEnd w:id="626"/>
      <w:bookmarkEnd w:id="627"/>
    </w:p>
    <w:p w14:paraId="20840A43">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lang w:eastAsia="zh-CN"/>
        </w:rPr>
      </w:pPr>
    </w:p>
    <w:p w14:paraId="2E389B21">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谨启</w:t>
      </w:r>
    </w:p>
    <w:p w14:paraId="6666826A">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出具保函银行名称：</w:t>
      </w:r>
    </w:p>
    <w:p w14:paraId="6B047DC0">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eastAsia="zh-CN"/>
        </w:rPr>
        <w:t>签字人姓名和职务：</w:t>
      </w:r>
    </w:p>
    <w:p w14:paraId="31AE0532">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签字人签名：</w:t>
      </w:r>
    </w:p>
    <w:p w14:paraId="35ABCF05">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eastAsia="zh-CN"/>
        </w:rPr>
        <w:t>公章：</w:t>
      </w:r>
    </w:p>
    <w:p w14:paraId="71D99EA6">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br w:type="page"/>
      </w:r>
    </w:p>
    <w:p w14:paraId="008F12AD">
      <w:pPr>
        <w:pStyle w:val="8"/>
        <w:tabs>
          <w:tab w:val="left" w:pos="567"/>
        </w:tabs>
        <w:rPr>
          <w:rFonts w:hint="eastAsia" w:asciiTheme="minorEastAsia" w:hAnsiTheme="minorEastAsia" w:eastAsiaTheme="minorEastAsia" w:cstheme="minorEastAsia"/>
          <w:color w:val="auto"/>
          <w:lang w:eastAsia="zh-CN"/>
        </w:rPr>
      </w:pPr>
    </w:p>
    <w:p w14:paraId="66F8667D">
      <w:pPr>
        <w:widowControl w:val="0"/>
        <w:spacing w:line="240" w:lineRule="atLeast"/>
        <w:ind w:left="1079" w:leftChars="257" w:hanging="540"/>
        <w:rPr>
          <w:rFonts w:hint="eastAsia" w:asciiTheme="minorEastAsia" w:hAnsiTheme="minorEastAsia" w:eastAsiaTheme="minorEastAsia" w:cstheme="minorEastAsia"/>
          <w:color w:val="auto"/>
          <w:lang w:eastAsia="zh-CN"/>
        </w:rPr>
      </w:pPr>
      <w:bookmarkStart w:id="628" w:name="_Toc27788"/>
      <w:bookmarkStart w:id="629" w:name="_Toc21744"/>
      <w:bookmarkStart w:id="630" w:name="_Toc22540"/>
      <w:bookmarkStart w:id="631" w:name="_Toc518923104"/>
      <w:bookmarkStart w:id="632" w:name="_Toc27581"/>
      <w:bookmarkStart w:id="633" w:name="_Toc16707"/>
      <w:r>
        <w:rPr>
          <w:rFonts w:hint="eastAsia" w:asciiTheme="minorEastAsia" w:hAnsiTheme="minorEastAsia" w:eastAsiaTheme="minorEastAsia" w:cstheme="minorEastAsia"/>
          <w:color w:val="auto"/>
          <w:lang w:eastAsia="zh-CN"/>
        </w:rPr>
        <w:t>附件2：履约担保函格式</w:t>
      </w:r>
      <w:bookmarkEnd w:id="628"/>
      <w:bookmarkEnd w:id="629"/>
      <w:bookmarkEnd w:id="630"/>
      <w:bookmarkEnd w:id="631"/>
      <w:bookmarkEnd w:id="632"/>
      <w:bookmarkEnd w:id="633"/>
    </w:p>
    <w:p w14:paraId="3C16AA39">
      <w:pPr>
        <w:widowControl w:val="0"/>
        <w:spacing w:line="240" w:lineRule="atLeast"/>
        <w:ind w:left="1079" w:leftChars="257" w:hanging="540"/>
        <w:rPr>
          <w:rFonts w:hint="eastAsia" w:asciiTheme="minorEastAsia" w:hAnsiTheme="minorEastAsia" w:eastAsiaTheme="minorEastAsia" w:cstheme="minorEastAsia"/>
          <w:color w:val="auto"/>
          <w:lang w:eastAsia="zh-CN"/>
        </w:rPr>
      </w:pPr>
      <w:bookmarkStart w:id="634" w:name="_Toc13962"/>
      <w:bookmarkStart w:id="635" w:name="_Toc9735"/>
      <w:bookmarkStart w:id="636" w:name="_Toc515647801"/>
      <w:bookmarkStart w:id="637" w:name="_Toc32574"/>
      <w:bookmarkStart w:id="638" w:name="_Toc7209"/>
      <w:bookmarkStart w:id="639" w:name="_Toc162"/>
      <w:r>
        <w:rPr>
          <w:rFonts w:hint="eastAsia" w:asciiTheme="minorEastAsia" w:hAnsiTheme="minorEastAsia" w:eastAsiaTheme="minorEastAsia" w:cstheme="minorEastAsia"/>
          <w:color w:val="auto"/>
          <w:lang w:eastAsia="zh-CN"/>
        </w:rPr>
        <w:t>（采用政府采购信用担保形式时使用）</w:t>
      </w:r>
      <w:bookmarkEnd w:id="634"/>
      <w:bookmarkEnd w:id="635"/>
      <w:bookmarkEnd w:id="636"/>
      <w:bookmarkEnd w:id="637"/>
      <w:bookmarkEnd w:id="638"/>
      <w:bookmarkEnd w:id="639"/>
    </w:p>
    <w:p w14:paraId="594983F8">
      <w:pPr>
        <w:widowControl w:val="0"/>
        <w:spacing w:line="240" w:lineRule="atLeast"/>
        <w:ind w:left="1079" w:leftChars="257" w:hanging="540"/>
        <w:rPr>
          <w:rFonts w:hint="eastAsia" w:asciiTheme="minorEastAsia" w:hAnsiTheme="minorEastAsia" w:eastAsiaTheme="minorEastAsia" w:cstheme="minorEastAsia"/>
          <w:b/>
          <w:color w:val="auto"/>
          <w:sz w:val="24"/>
          <w:szCs w:val="20"/>
          <w:lang w:eastAsia="zh-CN"/>
        </w:rPr>
      </w:pPr>
    </w:p>
    <w:p w14:paraId="27D73772">
      <w:pPr>
        <w:widowControl w:val="0"/>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政府采购履约担保函（项目用）</w:t>
      </w:r>
    </w:p>
    <w:p w14:paraId="23FA8650">
      <w:pPr>
        <w:widowControl w:val="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编号：</w:t>
      </w:r>
    </w:p>
    <w:p w14:paraId="1185D160">
      <w:pPr>
        <w:widowControl w:val="0"/>
        <w:rPr>
          <w:rFonts w:hint="eastAsia" w:asciiTheme="minorEastAsia" w:hAnsiTheme="minorEastAsia" w:eastAsiaTheme="minorEastAsia" w:cstheme="minorEastAsia"/>
          <w:color w:val="auto"/>
          <w:sz w:val="24"/>
          <w:lang w:eastAsia="zh-CN"/>
        </w:rPr>
      </w:pPr>
    </w:p>
    <w:p w14:paraId="25E1ECC1">
      <w:pPr>
        <w:widowControl w:val="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（采购人）：</w:t>
      </w:r>
    </w:p>
    <w:p w14:paraId="75002134">
      <w:pPr>
        <w:widowControl w:val="0"/>
        <w:rPr>
          <w:rFonts w:hint="eastAsia" w:asciiTheme="minorEastAsia" w:hAnsiTheme="minorEastAsia" w:eastAsiaTheme="minorEastAsia" w:cstheme="minorEastAsia"/>
          <w:color w:val="auto"/>
          <w:sz w:val="24"/>
          <w:lang w:eastAsia="zh-CN"/>
        </w:rPr>
      </w:pPr>
    </w:p>
    <w:p w14:paraId="0B3885D1">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鉴于你方与（以下简称供应商）于年月日签定编号为</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lang w:eastAsia="zh-CN"/>
        </w:rPr>
        <w:t>的《政府采购合同》（以下简称主合同），且依据该合同的约定，供应商应在年</w:t>
      </w:r>
    </w:p>
    <w:p w14:paraId="6764B0C8">
      <w:pPr>
        <w:widowControl w:val="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月日前向你方交纳履约保证金，且可以履约担保函的形式交纳履约保证金。应供应商的申请，我方以保证的方式向你方提供如下履约保证金担保：</w:t>
      </w:r>
    </w:p>
    <w:p w14:paraId="63B2C024">
      <w:pPr>
        <w:widowControl w:val="0"/>
        <w:ind w:firstLine="480" w:firstLineChars="200"/>
        <w:rPr>
          <w:rFonts w:hint="eastAsia" w:asciiTheme="minorEastAsia" w:hAnsiTheme="minorEastAsia" w:eastAsiaTheme="minorEastAsia" w:cstheme="minorEastAsia"/>
          <w:color w:val="auto"/>
          <w:sz w:val="24"/>
          <w:lang w:eastAsia="zh-CN"/>
        </w:rPr>
      </w:pPr>
      <w:bookmarkStart w:id="640" w:name="_Toc16807"/>
      <w:r>
        <w:rPr>
          <w:rFonts w:hint="eastAsia" w:asciiTheme="minorEastAsia" w:hAnsiTheme="minorEastAsia" w:eastAsiaTheme="minorEastAsia" w:cstheme="minorEastAsia"/>
          <w:color w:val="auto"/>
          <w:sz w:val="24"/>
          <w:lang w:eastAsia="zh-CN"/>
        </w:rPr>
        <w:t>一、保证责任的情形及保证金额</w:t>
      </w:r>
      <w:bookmarkEnd w:id="640"/>
    </w:p>
    <w:p w14:paraId="7CC52ED3">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（一）在供应商出现下列情形之一时，我方承担保证责任：</w:t>
      </w:r>
    </w:p>
    <w:p w14:paraId="62D58E3B">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1．将中标项目转让给他人，或者在投标文件中未说明，且未经采购招标机构人同意，将中标项目分包给他人的；</w:t>
      </w:r>
    </w:p>
    <w:p w14:paraId="5A4ABD27">
      <w:pPr>
        <w:widowControl w:val="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w:t>
      </w:r>
      <w:bookmarkStart w:id="641" w:name="_Toc30650"/>
      <w:bookmarkStart w:id="642" w:name="_Toc806"/>
      <w:bookmarkStart w:id="643" w:name="_Toc2434"/>
      <w:r>
        <w:rPr>
          <w:rFonts w:hint="eastAsia" w:asciiTheme="minorEastAsia" w:hAnsiTheme="minorEastAsia" w:eastAsiaTheme="minorEastAsia" w:cstheme="minorEastAsia"/>
          <w:color w:val="auto"/>
          <w:sz w:val="24"/>
          <w:lang w:eastAsia="zh-CN"/>
        </w:rPr>
        <w:t>2．主合同约定的应当缴纳履约保证金的情形:</w:t>
      </w:r>
      <w:bookmarkEnd w:id="641"/>
      <w:bookmarkEnd w:id="642"/>
      <w:bookmarkEnd w:id="643"/>
    </w:p>
    <w:p w14:paraId="71EFE853">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（1）未按主合同约定的质量、数量和期限供应货物/提供服务/完成工程的；</w:t>
      </w:r>
    </w:p>
    <w:p w14:paraId="28687F93">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w:t>
      </w:r>
      <w:r>
        <w:rPr>
          <w:rFonts w:hint="eastAsia" w:asciiTheme="minorEastAsia" w:hAnsiTheme="minorEastAsia" w:eastAsiaTheme="minorEastAsia" w:cstheme="minorEastAsia"/>
          <w:color w:val="auto"/>
          <w:sz w:val="24"/>
          <w:u w:val="single"/>
          <w:lang w:eastAsia="zh-CN"/>
        </w:rPr>
        <w:t xml:space="preserve">                                                        。</w:t>
      </w:r>
    </w:p>
    <w:p w14:paraId="30746C38">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（二）我方的保证范围是主合同约定的合同价款总额的%数额为元（大写），币种为。（即主合同履约保证金金额）</w:t>
      </w:r>
    </w:p>
    <w:p w14:paraId="6F2A2A31">
      <w:pPr>
        <w:widowControl w:val="0"/>
        <w:ind w:firstLine="480" w:firstLineChars="200"/>
        <w:rPr>
          <w:rFonts w:hint="eastAsia" w:asciiTheme="minorEastAsia" w:hAnsiTheme="minorEastAsia" w:eastAsiaTheme="minorEastAsia" w:cstheme="minorEastAsia"/>
          <w:color w:val="auto"/>
          <w:sz w:val="24"/>
          <w:lang w:eastAsia="zh-CN"/>
        </w:rPr>
      </w:pPr>
      <w:bookmarkStart w:id="644" w:name="_Toc16733"/>
      <w:r>
        <w:rPr>
          <w:rFonts w:hint="eastAsia" w:asciiTheme="minorEastAsia" w:hAnsiTheme="minorEastAsia" w:eastAsiaTheme="minorEastAsia" w:cstheme="minorEastAsia"/>
          <w:color w:val="auto"/>
          <w:sz w:val="24"/>
          <w:lang w:eastAsia="zh-CN"/>
        </w:rPr>
        <w:t>二、保证的方式及保证期间</w:t>
      </w:r>
      <w:bookmarkEnd w:id="644"/>
    </w:p>
    <w:p w14:paraId="572B491F">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我方保证的方式为：连带责任保证。</w:t>
      </w:r>
    </w:p>
    <w:p w14:paraId="26D81E02">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我方保证的期间为：自本合同生效之日起至供应商按照主合同约定的供货/完工期限届满后日内。</w:t>
      </w:r>
    </w:p>
    <w:p w14:paraId="1DAA35EB">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如果供应商未按主合同约定向贵方供应货物/提供服务/完成工程的，由我方在保证金额内向你方支付上述款项。</w:t>
      </w:r>
    </w:p>
    <w:p w14:paraId="010BB1D5">
      <w:pPr>
        <w:widowControl w:val="0"/>
        <w:ind w:firstLine="480" w:firstLineChars="200"/>
        <w:rPr>
          <w:rFonts w:hint="eastAsia" w:asciiTheme="minorEastAsia" w:hAnsiTheme="minorEastAsia" w:eastAsiaTheme="minorEastAsia" w:cstheme="minorEastAsia"/>
          <w:color w:val="auto"/>
          <w:sz w:val="24"/>
          <w:lang w:eastAsia="zh-CN"/>
        </w:rPr>
      </w:pPr>
      <w:bookmarkStart w:id="645" w:name="_Toc19668"/>
      <w:r>
        <w:rPr>
          <w:rFonts w:hint="eastAsia" w:asciiTheme="minorEastAsia" w:hAnsiTheme="minorEastAsia" w:eastAsiaTheme="minorEastAsia" w:cstheme="minorEastAsia"/>
          <w:color w:val="auto"/>
          <w:sz w:val="24"/>
          <w:lang w:eastAsia="zh-CN"/>
        </w:rPr>
        <w:t>三、承担保证责任的程序</w:t>
      </w:r>
      <w:bookmarkEnd w:id="645"/>
    </w:p>
    <w:p w14:paraId="3FEEE66B">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1．你方要求我方承担保证责任的，应在本保函保证期间内向我方发出书面索赔通知。索赔通知应写明要求索赔的金额，支付款项应到达的帐号。并附有证明供应商违约事实的证明材料。</w:t>
      </w:r>
    </w:p>
    <w:p w14:paraId="48CEF566">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28F69096">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 我方收到你方的书面索赔通知及相应证明材料，在工作日内进行核定后按照本保函的承诺承担保证责任。</w:t>
      </w:r>
    </w:p>
    <w:p w14:paraId="6C170A0F">
      <w:pPr>
        <w:widowControl w:val="0"/>
        <w:ind w:firstLine="480" w:firstLineChars="200"/>
        <w:rPr>
          <w:rFonts w:hint="eastAsia" w:asciiTheme="minorEastAsia" w:hAnsiTheme="minorEastAsia" w:eastAsiaTheme="minorEastAsia" w:cstheme="minorEastAsia"/>
          <w:color w:val="auto"/>
          <w:sz w:val="24"/>
          <w:lang w:eastAsia="zh-CN"/>
        </w:rPr>
      </w:pPr>
      <w:bookmarkStart w:id="646" w:name="_Toc11641"/>
      <w:r>
        <w:rPr>
          <w:rFonts w:hint="eastAsia" w:asciiTheme="minorEastAsia" w:hAnsiTheme="minorEastAsia" w:eastAsiaTheme="minorEastAsia" w:cstheme="minorEastAsia"/>
          <w:color w:val="auto"/>
          <w:sz w:val="24"/>
          <w:lang w:eastAsia="zh-CN"/>
        </w:rPr>
        <w:t>四、保证责任的终止</w:t>
      </w:r>
      <w:bookmarkEnd w:id="646"/>
    </w:p>
    <w:p w14:paraId="07F9F71C">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C787AB6">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2．我方按照本保函向你方履行了保证责任后，自我方向你方支付款项（支付款项从我方账户划出）之日起，保证责任即终止。</w:t>
      </w:r>
    </w:p>
    <w:p w14:paraId="45D22FA7">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3．按照法律法规的规定或出现应终止我方保证责任的其它情形的，我方在本保函项下的保证责任亦终止。</w:t>
      </w:r>
    </w:p>
    <w:p w14:paraId="62151724">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3606F5FE">
      <w:pPr>
        <w:widowControl w:val="0"/>
        <w:ind w:firstLine="480" w:firstLineChars="200"/>
        <w:rPr>
          <w:rFonts w:hint="eastAsia" w:asciiTheme="minorEastAsia" w:hAnsiTheme="minorEastAsia" w:eastAsiaTheme="minorEastAsia" w:cstheme="minorEastAsia"/>
          <w:color w:val="auto"/>
          <w:sz w:val="24"/>
          <w:lang w:eastAsia="zh-CN"/>
        </w:rPr>
      </w:pPr>
      <w:bookmarkStart w:id="647" w:name="_Toc3542"/>
      <w:r>
        <w:rPr>
          <w:rFonts w:hint="eastAsia" w:asciiTheme="minorEastAsia" w:hAnsiTheme="minorEastAsia" w:eastAsiaTheme="minorEastAsia" w:cstheme="minorEastAsia"/>
          <w:color w:val="auto"/>
          <w:sz w:val="24"/>
          <w:lang w:eastAsia="zh-CN"/>
        </w:rPr>
        <w:t>五、免责条款</w:t>
      </w:r>
      <w:bookmarkEnd w:id="647"/>
    </w:p>
    <w:p w14:paraId="1DD1F618">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1．因你方违反主合同约定致使供应商不能履行义务的，我方不承担保证责任。</w:t>
      </w:r>
    </w:p>
    <w:p w14:paraId="5D2B6FC9">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2．依照法律法规的规定或你方与供应商的另行约定，全部或者部分免除供应商应缴纳的保证金义务的，我方亦免除相应的保证责任。</w:t>
      </w:r>
    </w:p>
    <w:p w14:paraId="11B63B22">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3．因不可抗力造成供应商不能履行供货义务的，我方不承担保证责任。</w:t>
      </w:r>
    </w:p>
    <w:p w14:paraId="02658A4E">
      <w:pPr>
        <w:widowControl w:val="0"/>
        <w:ind w:firstLine="480" w:firstLineChars="200"/>
        <w:rPr>
          <w:rFonts w:hint="eastAsia" w:asciiTheme="minorEastAsia" w:hAnsiTheme="minorEastAsia" w:eastAsiaTheme="minorEastAsia" w:cstheme="minorEastAsia"/>
          <w:color w:val="auto"/>
          <w:sz w:val="24"/>
          <w:lang w:eastAsia="zh-CN"/>
        </w:rPr>
      </w:pPr>
      <w:bookmarkStart w:id="648" w:name="_Toc908"/>
      <w:r>
        <w:rPr>
          <w:rFonts w:hint="eastAsia" w:asciiTheme="minorEastAsia" w:hAnsiTheme="minorEastAsia" w:eastAsiaTheme="minorEastAsia" w:cstheme="minorEastAsia"/>
          <w:color w:val="auto"/>
          <w:sz w:val="24"/>
          <w:lang w:eastAsia="zh-CN"/>
        </w:rPr>
        <w:t>六、争议的解决</w:t>
      </w:r>
      <w:bookmarkEnd w:id="648"/>
    </w:p>
    <w:p w14:paraId="3FA0A8C3">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因本保函发生的纠纷，由你我双方协商解决，协商不成的，通过诉讼程序解决，诉讼管辖地法院为法院。</w:t>
      </w:r>
    </w:p>
    <w:p w14:paraId="008A9D68">
      <w:pPr>
        <w:widowControl w:val="0"/>
        <w:ind w:firstLine="480" w:firstLineChars="200"/>
        <w:rPr>
          <w:rFonts w:hint="eastAsia" w:asciiTheme="minorEastAsia" w:hAnsiTheme="minorEastAsia" w:eastAsiaTheme="minorEastAsia" w:cstheme="minorEastAsia"/>
          <w:color w:val="auto"/>
          <w:sz w:val="24"/>
          <w:lang w:eastAsia="zh-CN"/>
        </w:rPr>
      </w:pPr>
      <w:bookmarkStart w:id="649" w:name="_Toc17651"/>
      <w:r>
        <w:rPr>
          <w:rFonts w:hint="eastAsia" w:asciiTheme="minorEastAsia" w:hAnsiTheme="minorEastAsia" w:eastAsiaTheme="minorEastAsia" w:cstheme="minorEastAsia"/>
          <w:color w:val="auto"/>
          <w:sz w:val="24"/>
          <w:lang w:eastAsia="zh-CN"/>
        </w:rPr>
        <w:t>七、保函的生效</w:t>
      </w:r>
      <w:bookmarkEnd w:id="649"/>
    </w:p>
    <w:p w14:paraId="2AD8097B">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本保函自我方加盖公章之日起生效。</w:t>
      </w:r>
    </w:p>
    <w:p w14:paraId="727216C7">
      <w:pPr>
        <w:pStyle w:val="15"/>
        <w:rPr>
          <w:rFonts w:hint="eastAsia" w:asciiTheme="minorEastAsia" w:hAnsiTheme="minorEastAsia" w:eastAsiaTheme="minorEastAsia" w:cstheme="minorEastAsia"/>
          <w:color w:val="auto"/>
          <w:sz w:val="24"/>
          <w:lang w:eastAsia="zh-CN"/>
        </w:rPr>
      </w:pPr>
    </w:p>
    <w:p w14:paraId="07F8D97E">
      <w:pPr>
        <w:pStyle w:val="8"/>
        <w:tabs>
          <w:tab w:val="left" w:pos="567"/>
        </w:tabs>
        <w:rPr>
          <w:rFonts w:hint="eastAsia" w:asciiTheme="minorEastAsia" w:hAnsiTheme="minorEastAsia" w:eastAsiaTheme="minorEastAsia" w:cstheme="minorEastAsia"/>
          <w:color w:val="auto"/>
          <w:lang w:eastAsia="zh-CN"/>
        </w:rPr>
      </w:pPr>
    </w:p>
    <w:p w14:paraId="230959D9">
      <w:pPr>
        <w:widowControl w:val="0"/>
        <w:rPr>
          <w:rFonts w:hint="eastAsia" w:asciiTheme="minorEastAsia" w:hAnsiTheme="minorEastAsia" w:eastAsiaTheme="minorEastAsia" w:cstheme="minorEastAsia"/>
          <w:color w:val="auto"/>
          <w:sz w:val="24"/>
          <w:lang w:eastAsia="zh-CN"/>
        </w:rPr>
      </w:pPr>
    </w:p>
    <w:p w14:paraId="1FA13C3B">
      <w:pPr>
        <w:widowControl w:val="0"/>
        <w:rPr>
          <w:rFonts w:hint="eastAsia" w:asciiTheme="minorEastAsia" w:hAnsiTheme="minorEastAsia" w:eastAsiaTheme="minorEastAsia" w:cstheme="minorEastAsia"/>
          <w:color w:val="auto"/>
          <w:sz w:val="24"/>
          <w:lang w:eastAsia="zh-CN"/>
        </w:rPr>
      </w:pPr>
    </w:p>
    <w:p w14:paraId="0E5AB474">
      <w:pPr>
        <w:widowControl w:val="0"/>
        <w:ind w:left="5040" w:firstLine="42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保证人：（公章）</w:t>
      </w:r>
    </w:p>
    <w:p w14:paraId="1D9EAE9E">
      <w:pPr>
        <w:widowControl w:val="0"/>
        <w:ind w:left="5040" w:firstLine="42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年     月      日</w:t>
      </w:r>
    </w:p>
    <w:p w14:paraId="598C1B2D">
      <w:pPr>
        <w:widowControl w:val="0"/>
        <w:rPr>
          <w:rFonts w:hint="eastAsia" w:asciiTheme="minorEastAsia" w:hAnsiTheme="minorEastAsia" w:eastAsiaTheme="minorEastAsia" w:cstheme="minorEastAsia"/>
          <w:color w:val="auto"/>
          <w:sz w:val="24"/>
          <w:lang w:eastAsia="zh-CN"/>
        </w:rPr>
      </w:pPr>
    </w:p>
    <w:p w14:paraId="464FC3D1">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color w:val="auto"/>
          <w:sz w:val="44"/>
          <w:szCs w:val="44"/>
          <w:lang w:eastAsia="zh-CN"/>
        </w:rPr>
        <w:br w:type="page"/>
      </w:r>
    </w:p>
    <w:p w14:paraId="25931A30">
      <w:pPr>
        <w:rPr>
          <w:rFonts w:hint="eastAsia" w:asciiTheme="minorEastAsia" w:hAnsiTheme="minorEastAsia" w:eastAsiaTheme="minorEastAsia" w:cstheme="minorEastAsia"/>
          <w:color w:val="auto"/>
          <w:lang w:eastAsia="zh-CN"/>
        </w:rPr>
      </w:pPr>
      <w:bookmarkStart w:id="650" w:name="_Toc333"/>
    </w:p>
    <w:p w14:paraId="397D27F7">
      <w:pPr>
        <w:rPr>
          <w:rFonts w:hint="eastAsia" w:asciiTheme="minorEastAsia" w:hAnsiTheme="minorEastAsia" w:eastAsiaTheme="minorEastAsia" w:cstheme="minorEastAsia"/>
          <w:color w:val="auto"/>
          <w:sz w:val="44"/>
          <w:szCs w:val="44"/>
          <w:lang w:eastAsia="zh-CN"/>
        </w:rPr>
      </w:pPr>
    </w:p>
    <w:p w14:paraId="422275A8">
      <w:pPr>
        <w:rPr>
          <w:rFonts w:hint="eastAsia" w:asciiTheme="minorEastAsia" w:hAnsiTheme="minorEastAsia" w:eastAsiaTheme="minorEastAsia" w:cstheme="minorEastAsia"/>
          <w:color w:val="auto"/>
          <w:sz w:val="44"/>
          <w:szCs w:val="44"/>
          <w:lang w:eastAsia="zh-CN"/>
        </w:rPr>
      </w:pPr>
    </w:p>
    <w:p w14:paraId="6CB8A11D">
      <w:pPr>
        <w:pStyle w:val="2"/>
        <w:tabs>
          <w:tab w:val="left" w:pos="0"/>
        </w:tabs>
        <w:spacing w:before="0" w:after="0" w:line="240" w:lineRule="atLeast"/>
        <w:rPr>
          <w:rFonts w:hint="eastAsia" w:asciiTheme="minorEastAsia" w:hAnsiTheme="minorEastAsia" w:eastAsiaTheme="minorEastAsia" w:cstheme="minorEastAsia"/>
          <w:color w:val="auto"/>
          <w:sz w:val="44"/>
          <w:szCs w:val="44"/>
          <w:lang w:eastAsia="zh-CN"/>
        </w:rPr>
      </w:pPr>
      <w:r>
        <w:rPr>
          <w:rFonts w:hint="eastAsia" w:asciiTheme="minorEastAsia" w:hAnsiTheme="minorEastAsia" w:eastAsiaTheme="minorEastAsia" w:cstheme="minorEastAsia"/>
          <w:color w:val="auto"/>
          <w:kern w:val="0"/>
          <w:sz w:val="44"/>
          <w:szCs w:val="44"/>
          <w:lang w:eastAsia="zh-CN"/>
        </w:rPr>
        <w:t>第二章</w:t>
      </w:r>
      <w:r>
        <w:rPr>
          <w:rFonts w:hint="eastAsia" w:asciiTheme="minorEastAsia" w:hAnsiTheme="minorEastAsia" w:eastAsiaTheme="minorEastAsia" w:cstheme="minorEastAsia"/>
          <w:color w:val="auto"/>
          <w:sz w:val="44"/>
          <w:szCs w:val="44"/>
          <w:lang w:eastAsia="zh-CN"/>
        </w:rPr>
        <w:t xml:space="preserve">  投标文件格式</w:t>
      </w:r>
      <w:bookmarkEnd w:id="5"/>
      <w:bookmarkEnd w:id="6"/>
      <w:bookmarkEnd w:id="7"/>
      <w:bookmarkEnd w:id="8"/>
      <w:bookmarkEnd w:id="9"/>
      <w:bookmarkEnd w:id="10"/>
      <w:bookmarkEnd w:id="11"/>
      <w:bookmarkEnd w:id="12"/>
      <w:bookmarkEnd w:id="13"/>
      <w:bookmarkEnd w:id="650"/>
    </w:p>
    <w:p w14:paraId="048040CB">
      <w:pPr>
        <w:rPr>
          <w:rFonts w:hint="eastAsia" w:asciiTheme="minorEastAsia" w:hAnsiTheme="minorEastAsia" w:eastAsiaTheme="minorEastAsia" w:cstheme="minorEastAsia"/>
          <w:color w:val="auto"/>
          <w:sz w:val="20"/>
          <w:lang w:eastAsia="zh-CN"/>
        </w:rPr>
      </w:pPr>
    </w:p>
    <w:p w14:paraId="3741B7B2">
      <w:pPr>
        <w:rPr>
          <w:rFonts w:hint="eastAsia" w:asciiTheme="minorEastAsia" w:hAnsiTheme="minorEastAsia" w:eastAsiaTheme="minorEastAsia" w:cstheme="minorEastAsia"/>
          <w:color w:val="auto"/>
          <w:lang w:eastAsia="zh-CN"/>
        </w:rPr>
      </w:pPr>
      <w:bookmarkStart w:id="651" w:name="_Toc518923107"/>
      <w:bookmarkStart w:id="652" w:name="_Toc15142"/>
    </w:p>
    <w:p w14:paraId="7C88CC22">
      <w:pPr>
        <w:pStyle w:val="3"/>
        <w:spacing w:before="0" w:line="240" w:lineRule="atLeast"/>
        <w:ind w:left="1079" w:leftChars="257" w:hanging="540"/>
        <w:rPr>
          <w:rFonts w:hint="eastAsia" w:asciiTheme="minorEastAsia" w:hAnsiTheme="minorEastAsia" w:eastAsiaTheme="minorEastAsia" w:cstheme="minorEastAsia"/>
          <w:color w:val="auto"/>
          <w:sz w:val="24"/>
          <w:lang w:eastAsia="zh-CN"/>
        </w:rPr>
      </w:pPr>
      <w:bookmarkStart w:id="653" w:name="_Toc11730"/>
      <w:bookmarkStart w:id="654" w:name="_Toc8875"/>
      <w:bookmarkStart w:id="655" w:name="_Toc11201"/>
      <w:bookmarkStart w:id="656" w:name="_Toc10047"/>
      <w:bookmarkStart w:id="657" w:name="_Toc5582"/>
      <w:bookmarkStart w:id="658" w:name="_Toc14363"/>
      <w:bookmarkStart w:id="659" w:name="_Toc13309"/>
      <w:bookmarkStart w:id="660" w:name="_Toc24822"/>
      <w:bookmarkStart w:id="661" w:name="_Toc7162"/>
      <w:bookmarkStart w:id="662" w:name="_Toc21312"/>
      <w:r>
        <w:rPr>
          <w:rFonts w:hint="eastAsia" w:asciiTheme="minorEastAsia" w:hAnsiTheme="minorEastAsia" w:eastAsiaTheme="minorEastAsia" w:cstheme="minorEastAsia"/>
          <w:color w:val="auto"/>
          <w:sz w:val="24"/>
          <w:lang w:eastAsia="zh-CN"/>
        </w:rPr>
        <w:t>第一部分 开标一览表及资格证明文件</w:t>
      </w:r>
      <w:bookmarkEnd w:id="651"/>
      <w:bookmarkEnd w:id="652"/>
      <w:bookmarkEnd w:id="653"/>
      <w:bookmarkEnd w:id="654"/>
      <w:bookmarkEnd w:id="655"/>
      <w:bookmarkEnd w:id="656"/>
      <w:bookmarkEnd w:id="657"/>
      <w:bookmarkEnd w:id="658"/>
      <w:bookmarkEnd w:id="659"/>
      <w:bookmarkEnd w:id="660"/>
      <w:bookmarkEnd w:id="661"/>
      <w:bookmarkEnd w:id="662"/>
    </w:p>
    <w:p w14:paraId="21EF0A4C">
      <w:pPr>
        <w:spacing w:line="288" w:lineRule="auto"/>
        <w:rPr>
          <w:rFonts w:hint="eastAsia" w:asciiTheme="minorEastAsia" w:hAnsiTheme="minorEastAsia" w:eastAsiaTheme="minorEastAsia" w:cstheme="minorEastAsia"/>
          <w:color w:val="auto"/>
          <w:sz w:val="24"/>
          <w:lang w:eastAsia="zh-CN"/>
        </w:rPr>
      </w:pPr>
    </w:p>
    <w:p w14:paraId="1F5BBB14">
      <w:pPr>
        <w:spacing w:line="240" w:lineRule="atLeast"/>
        <w:ind w:left="708" w:hanging="708" w:hangingChars="295"/>
        <w:jc w:val="center"/>
        <w:rPr>
          <w:rFonts w:hint="eastAsia" w:asciiTheme="minorEastAsia" w:hAnsiTheme="minorEastAsia" w:eastAsiaTheme="minorEastAsia" w:cstheme="minorEastAsia"/>
          <w:color w:val="auto"/>
          <w:sz w:val="24"/>
          <w:lang w:eastAsia="zh-CN"/>
        </w:rPr>
      </w:pPr>
    </w:p>
    <w:p w14:paraId="1EF59591">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1、开标一览表</w:t>
      </w:r>
    </w:p>
    <w:p w14:paraId="4FF06E8A">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2、法人或者非法人组织的营业执照等证明文件</w:t>
      </w:r>
    </w:p>
    <w:p w14:paraId="6F677457">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3、法定代表人身份证明</w:t>
      </w:r>
    </w:p>
    <w:p w14:paraId="63D6C249">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4、法定代表人授权委托书</w:t>
      </w:r>
    </w:p>
    <w:p w14:paraId="0FE0F49C">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5、投标保证金缴纳凭证复印件或银行保函复印件</w:t>
      </w:r>
    </w:p>
    <w:p w14:paraId="72A81942">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6、社会保障资金的缴纳记录</w:t>
      </w:r>
    </w:p>
    <w:p w14:paraId="735C6681">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7、良好的商业信誉和健全的财务会计制度证明材料</w:t>
      </w:r>
    </w:p>
    <w:p w14:paraId="026DC7EC">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8、依法缴纳税收的证明</w:t>
      </w:r>
    </w:p>
    <w:p w14:paraId="535D722C">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9、参加政府采购活动前3年内在经营活动中没有重大违法记录的书面声明及反商业受贿承诺</w:t>
      </w:r>
    </w:p>
    <w:p w14:paraId="49023F65">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10、投标人须知资料表要求的其他资格证明文件</w:t>
      </w:r>
    </w:p>
    <w:p w14:paraId="17BB1A60">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br w:type="page"/>
      </w:r>
    </w:p>
    <w:p w14:paraId="4A4F9C87">
      <w:pPr>
        <w:pStyle w:val="4"/>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663" w:name="_Toc2495"/>
      <w:bookmarkStart w:id="664" w:name="_Toc24638"/>
      <w:bookmarkStart w:id="665" w:name="_Toc30524"/>
      <w:bookmarkStart w:id="666" w:name="_Toc9159"/>
      <w:bookmarkStart w:id="667" w:name="_Toc32488"/>
      <w:bookmarkStart w:id="668" w:name="_Toc16568"/>
      <w:bookmarkStart w:id="669" w:name="_Toc29905"/>
      <w:bookmarkStart w:id="670" w:name="_Toc515647804"/>
      <w:bookmarkStart w:id="671" w:name="_Toc14603"/>
      <w:bookmarkStart w:id="672" w:name="_Toc2776"/>
      <w:bookmarkStart w:id="673" w:name="_Toc14309"/>
      <w:bookmarkStart w:id="674" w:name="_Toc9428"/>
      <w:bookmarkStart w:id="675" w:name="_Toc18565"/>
      <w:bookmarkStart w:id="676" w:name="_Toc4959"/>
      <w:r>
        <w:rPr>
          <w:rFonts w:hint="eastAsia" w:asciiTheme="minorEastAsia" w:hAnsiTheme="minorEastAsia" w:eastAsiaTheme="minorEastAsia" w:cstheme="minorEastAsia"/>
          <w:color w:val="auto"/>
          <w:u w:val="none"/>
          <w:lang w:eastAsia="zh-CN"/>
        </w:rPr>
        <w:t>1  开标一览表</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8B5386F">
      <w:pPr>
        <w:pStyle w:val="11"/>
        <w:tabs>
          <w:tab w:val="left" w:pos="5580"/>
        </w:tabs>
        <w:spacing w:line="288" w:lineRule="auto"/>
        <w:ind w:left="268" w:leftChars="128"/>
        <w:rPr>
          <w:rFonts w:hint="eastAsia" w:asciiTheme="minorEastAsia" w:hAnsiTheme="minorEastAsia" w:eastAsiaTheme="minorEastAsia" w:cstheme="minorEastAsia"/>
          <w:color w:val="auto"/>
          <w:sz w:val="24"/>
          <w:lang w:eastAsia="zh-CN"/>
        </w:rPr>
      </w:pPr>
    </w:p>
    <w:p w14:paraId="0487C921">
      <w:pPr>
        <w:pStyle w:val="11"/>
        <w:tabs>
          <w:tab w:val="left" w:pos="5580"/>
        </w:tabs>
        <w:spacing w:line="288" w:lineRule="auto"/>
        <w:ind w:left="268" w:leftChars="128"/>
        <w:rPr>
          <w:rFonts w:hint="eastAsia" w:asciiTheme="minorEastAsia" w:hAnsiTheme="minorEastAsia" w:eastAsiaTheme="minorEastAsia" w:cstheme="minorEastAsia"/>
          <w:color w:val="auto"/>
          <w:sz w:val="24"/>
          <w:szCs w:val="24"/>
          <w:lang w:eastAsia="zh-CN"/>
        </w:rPr>
      </w:pPr>
    </w:p>
    <w:p w14:paraId="50AD2616">
      <w:pPr>
        <w:pStyle w:val="15"/>
        <w:spacing w:line="288" w:lineRule="auto"/>
        <w:rPr>
          <w:rFonts w:hint="eastAsia" w:asciiTheme="minorEastAsia" w:hAnsiTheme="minorEastAsia" w:eastAsiaTheme="minorEastAsia" w:cstheme="minorEastAsia"/>
          <w:color w:val="auto"/>
          <w:sz w:val="24"/>
          <w:lang w:eastAsia="zh-CN"/>
        </w:rPr>
      </w:pPr>
      <w:bookmarkStart w:id="677" w:name="_Hlt520356241"/>
      <w:bookmarkEnd w:id="677"/>
      <w:r>
        <w:rPr>
          <w:rFonts w:hint="eastAsia" w:asciiTheme="minorEastAsia" w:hAnsiTheme="minorEastAsia" w:eastAsiaTheme="minorEastAsia" w:cstheme="minorEastAsia"/>
          <w:color w:val="auto"/>
          <w:sz w:val="24"/>
          <w:lang w:eastAsia="zh-CN"/>
        </w:rPr>
        <w:t>项目名称：</w:t>
      </w:r>
    </w:p>
    <w:p w14:paraId="23B88384">
      <w:pPr>
        <w:pStyle w:val="15"/>
        <w:spacing w:line="288" w:lineRule="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项目编号：</w:t>
      </w:r>
    </w:p>
    <w:p w14:paraId="29FCB8DC">
      <w:pPr>
        <w:pStyle w:val="15"/>
        <w:jc w:val="righ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单位：人民币元</w:t>
      </w:r>
    </w:p>
    <w:p w14:paraId="31E60E47">
      <w:pPr>
        <w:pStyle w:val="15"/>
        <w:rPr>
          <w:rFonts w:hint="eastAsia" w:asciiTheme="minorEastAsia" w:hAnsiTheme="minorEastAsia" w:eastAsiaTheme="minorEastAsia" w:cstheme="minorEastAsia"/>
          <w:color w:val="auto"/>
        </w:rPr>
      </w:pPr>
    </w:p>
    <w:tbl>
      <w:tblPr>
        <w:tblStyle w:val="22"/>
        <w:tblpPr w:leftFromText="180" w:rightFromText="180" w:vertAnchor="text" w:horzAnchor="page" w:tblpX="1162" w:tblpY="85"/>
        <w:tblOverlap w:val="never"/>
        <w:tblW w:w="9577" w:type="dxa"/>
        <w:tblInd w:w="0" w:type="dxa"/>
        <w:tblLayout w:type="fixed"/>
        <w:tblCellMar>
          <w:top w:w="15" w:type="dxa"/>
          <w:left w:w="15" w:type="dxa"/>
          <w:bottom w:w="15" w:type="dxa"/>
          <w:right w:w="15" w:type="dxa"/>
        </w:tblCellMar>
      </w:tblPr>
      <w:tblGrid>
        <w:gridCol w:w="873"/>
        <w:gridCol w:w="1077"/>
        <w:gridCol w:w="880"/>
        <w:gridCol w:w="841"/>
        <w:gridCol w:w="842"/>
        <w:gridCol w:w="1191"/>
        <w:gridCol w:w="1201"/>
        <w:gridCol w:w="932"/>
        <w:gridCol w:w="870"/>
        <w:gridCol w:w="870"/>
      </w:tblGrid>
      <w:tr w14:paraId="2C65F6DF">
        <w:tblPrEx>
          <w:tblCellMar>
            <w:top w:w="15" w:type="dxa"/>
            <w:left w:w="15" w:type="dxa"/>
            <w:bottom w:w="15" w:type="dxa"/>
            <w:right w:w="15" w:type="dxa"/>
          </w:tblCellMar>
        </w:tblPrEx>
        <w:trPr>
          <w:trHeight w:val="1315" w:hRule="atLeast"/>
        </w:trPr>
        <w:tc>
          <w:tcPr>
            <w:tcW w:w="873" w:type="dxa"/>
            <w:tcBorders>
              <w:top w:val="single" w:color="auto" w:sz="4" w:space="0"/>
              <w:left w:val="single" w:color="auto" w:sz="4" w:space="0"/>
              <w:bottom w:val="single" w:color="auto" w:sz="4" w:space="0"/>
              <w:right w:val="single" w:color="auto" w:sz="4" w:space="0"/>
            </w:tcBorders>
            <w:noWrap/>
            <w:vAlign w:val="center"/>
          </w:tcPr>
          <w:p w14:paraId="1F7AE4F4">
            <w:pPr>
              <w:spacing w:line="288" w:lineRule="auto"/>
              <w:jc w:val="center"/>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077" w:type="dxa"/>
            <w:tcBorders>
              <w:top w:val="single" w:color="auto" w:sz="4" w:space="0"/>
              <w:left w:val="single" w:color="auto" w:sz="4" w:space="0"/>
              <w:bottom w:val="single" w:color="auto" w:sz="4" w:space="0"/>
              <w:right w:val="single" w:color="auto" w:sz="4" w:space="0"/>
            </w:tcBorders>
            <w:noWrap/>
            <w:vAlign w:val="center"/>
          </w:tcPr>
          <w:p w14:paraId="2AF158BF">
            <w:pPr>
              <w:spacing w:line="288" w:lineRule="auto"/>
              <w:jc w:val="center"/>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货物名称</w:t>
            </w:r>
          </w:p>
        </w:tc>
        <w:tc>
          <w:tcPr>
            <w:tcW w:w="880" w:type="dxa"/>
            <w:tcBorders>
              <w:top w:val="single" w:color="auto" w:sz="4" w:space="0"/>
              <w:left w:val="single" w:color="auto" w:sz="4" w:space="0"/>
              <w:bottom w:val="single" w:color="auto" w:sz="4" w:space="0"/>
              <w:right w:val="single" w:color="auto" w:sz="4" w:space="0"/>
            </w:tcBorders>
            <w:noWrap/>
            <w:vAlign w:val="center"/>
          </w:tcPr>
          <w:p w14:paraId="4C99A664">
            <w:pPr>
              <w:spacing w:line="288" w:lineRule="auto"/>
              <w:jc w:val="center"/>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品牌</w:t>
            </w:r>
          </w:p>
          <w:p w14:paraId="657CCD6E">
            <w:pPr>
              <w:pStyle w:val="15"/>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型号</w:t>
            </w:r>
          </w:p>
        </w:tc>
        <w:tc>
          <w:tcPr>
            <w:tcW w:w="841" w:type="dxa"/>
            <w:tcBorders>
              <w:top w:val="single" w:color="auto" w:sz="4" w:space="0"/>
              <w:left w:val="single" w:color="auto" w:sz="4" w:space="0"/>
              <w:bottom w:val="single" w:color="auto" w:sz="4" w:space="0"/>
              <w:right w:val="single" w:color="auto" w:sz="4" w:space="0"/>
            </w:tcBorders>
            <w:noWrap/>
            <w:vAlign w:val="center"/>
          </w:tcPr>
          <w:p w14:paraId="23FC6940">
            <w:pPr>
              <w:spacing w:line="288" w:lineRule="auto"/>
              <w:jc w:val="center"/>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w:t>
            </w:r>
          </w:p>
        </w:tc>
        <w:tc>
          <w:tcPr>
            <w:tcW w:w="842" w:type="dxa"/>
            <w:tcBorders>
              <w:top w:val="single" w:color="auto" w:sz="4" w:space="0"/>
              <w:left w:val="single" w:color="auto" w:sz="4" w:space="0"/>
              <w:bottom w:val="single" w:color="auto" w:sz="4" w:space="0"/>
              <w:right w:val="single" w:color="auto" w:sz="4" w:space="0"/>
            </w:tcBorders>
            <w:noWrap/>
            <w:vAlign w:val="center"/>
          </w:tcPr>
          <w:p w14:paraId="4FF542E9">
            <w:pPr>
              <w:spacing w:line="288" w:lineRule="auto"/>
              <w:jc w:val="center"/>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w:t>
            </w:r>
          </w:p>
        </w:tc>
        <w:tc>
          <w:tcPr>
            <w:tcW w:w="1191" w:type="dxa"/>
            <w:tcBorders>
              <w:top w:val="single" w:color="auto" w:sz="4" w:space="0"/>
              <w:left w:val="single" w:color="auto" w:sz="4" w:space="0"/>
              <w:bottom w:val="single" w:color="auto" w:sz="4" w:space="0"/>
              <w:right w:val="single" w:color="auto" w:sz="4" w:space="0"/>
            </w:tcBorders>
            <w:noWrap/>
            <w:vAlign w:val="center"/>
          </w:tcPr>
          <w:p w14:paraId="60278A59">
            <w:pPr>
              <w:spacing w:line="288" w:lineRule="auto"/>
              <w:jc w:val="center"/>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单价（元）</w:t>
            </w:r>
          </w:p>
        </w:tc>
        <w:tc>
          <w:tcPr>
            <w:tcW w:w="1201" w:type="dxa"/>
            <w:tcBorders>
              <w:top w:val="single" w:color="auto" w:sz="4" w:space="0"/>
              <w:left w:val="single" w:color="auto" w:sz="4" w:space="0"/>
              <w:bottom w:val="single" w:color="auto" w:sz="4" w:space="0"/>
              <w:right w:val="single" w:color="auto" w:sz="4" w:space="0"/>
            </w:tcBorders>
            <w:noWrap/>
            <w:vAlign w:val="center"/>
          </w:tcPr>
          <w:p w14:paraId="716E0B5D">
            <w:pPr>
              <w:spacing w:line="288" w:lineRule="auto"/>
              <w:jc w:val="center"/>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总价（元）</w:t>
            </w:r>
          </w:p>
        </w:tc>
        <w:tc>
          <w:tcPr>
            <w:tcW w:w="932" w:type="dxa"/>
            <w:tcBorders>
              <w:top w:val="single" w:color="auto" w:sz="4" w:space="0"/>
              <w:left w:val="single" w:color="auto" w:sz="4" w:space="0"/>
              <w:bottom w:val="single" w:color="auto" w:sz="4" w:space="0"/>
              <w:right w:val="single" w:color="auto" w:sz="4" w:space="0"/>
            </w:tcBorders>
            <w:noWrap/>
            <w:vAlign w:val="center"/>
          </w:tcPr>
          <w:p w14:paraId="20C80279">
            <w:pPr>
              <w:spacing w:line="288" w:lineRule="auto"/>
              <w:jc w:val="center"/>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供货时间</w:t>
            </w:r>
          </w:p>
        </w:tc>
        <w:tc>
          <w:tcPr>
            <w:tcW w:w="870" w:type="dxa"/>
            <w:tcBorders>
              <w:top w:val="single" w:color="auto" w:sz="4" w:space="0"/>
              <w:left w:val="single" w:color="auto" w:sz="4" w:space="0"/>
              <w:bottom w:val="single" w:color="auto" w:sz="4" w:space="0"/>
              <w:right w:val="single" w:color="auto" w:sz="4" w:space="0"/>
            </w:tcBorders>
            <w:noWrap/>
            <w:vAlign w:val="center"/>
          </w:tcPr>
          <w:p w14:paraId="3AB4AF46">
            <w:pPr>
              <w:spacing w:line="288" w:lineRule="auto"/>
              <w:jc w:val="center"/>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投标有效期</w:t>
            </w:r>
          </w:p>
        </w:tc>
        <w:tc>
          <w:tcPr>
            <w:tcW w:w="870" w:type="dxa"/>
            <w:tcBorders>
              <w:top w:val="single" w:color="auto" w:sz="4" w:space="0"/>
              <w:left w:val="single" w:color="auto" w:sz="4" w:space="0"/>
              <w:bottom w:val="single" w:color="auto" w:sz="4" w:space="0"/>
              <w:right w:val="single" w:color="auto" w:sz="4" w:space="0"/>
            </w:tcBorders>
            <w:noWrap/>
            <w:vAlign w:val="center"/>
          </w:tcPr>
          <w:p w14:paraId="334C1497">
            <w:pPr>
              <w:spacing w:line="288" w:lineRule="auto"/>
              <w:jc w:val="center"/>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是否进口产品</w:t>
            </w:r>
          </w:p>
        </w:tc>
      </w:tr>
      <w:tr w14:paraId="36090FEA">
        <w:tblPrEx>
          <w:tblCellMar>
            <w:top w:w="15" w:type="dxa"/>
            <w:left w:w="15" w:type="dxa"/>
            <w:bottom w:w="15" w:type="dxa"/>
            <w:right w:w="15" w:type="dxa"/>
          </w:tblCellMar>
        </w:tblPrEx>
        <w:trPr>
          <w:trHeight w:val="702" w:hRule="atLeast"/>
        </w:trPr>
        <w:tc>
          <w:tcPr>
            <w:tcW w:w="873" w:type="dxa"/>
            <w:tcBorders>
              <w:top w:val="single" w:color="auto" w:sz="4" w:space="0"/>
              <w:left w:val="single" w:color="auto" w:sz="4" w:space="0"/>
              <w:bottom w:val="single" w:color="auto" w:sz="4" w:space="0"/>
              <w:right w:val="single" w:color="auto" w:sz="4" w:space="0"/>
            </w:tcBorders>
            <w:noWrap/>
            <w:vAlign w:val="center"/>
          </w:tcPr>
          <w:p w14:paraId="4E7EA34F">
            <w:pPr>
              <w:pStyle w:val="15"/>
              <w:rPr>
                <w:rFonts w:hint="eastAsia" w:asciiTheme="minorEastAsia" w:hAnsiTheme="minorEastAsia" w:eastAsiaTheme="minorEastAsia" w:cstheme="minorEastAsia"/>
                <w:color w:val="auto"/>
              </w:rPr>
            </w:pPr>
          </w:p>
        </w:tc>
        <w:tc>
          <w:tcPr>
            <w:tcW w:w="1077" w:type="dxa"/>
            <w:tcBorders>
              <w:top w:val="single" w:color="auto" w:sz="4" w:space="0"/>
              <w:left w:val="single" w:color="auto" w:sz="4" w:space="0"/>
              <w:bottom w:val="single" w:color="auto" w:sz="4" w:space="0"/>
              <w:right w:val="single" w:color="auto" w:sz="4" w:space="0"/>
            </w:tcBorders>
            <w:noWrap/>
            <w:vAlign w:val="center"/>
          </w:tcPr>
          <w:p w14:paraId="2A17C189">
            <w:pPr>
              <w:spacing w:line="288" w:lineRule="auto"/>
              <w:jc w:val="center"/>
              <w:textAlignment w:val="center"/>
              <w:rPr>
                <w:rFonts w:hint="eastAsia" w:asciiTheme="minorEastAsia" w:hAnsiTheme="minorEastAsia" w:eastAsiaTheme="minorEastAsia" w:cstheme="minorEastAsia"/>
                <w:color w:val="auto"/>
                <w:sz w:val="24"/>
              </w:rPr>
            </w:pPr>
          </w:p>
        </w:tc>
        <w:tc>
          <w:tcPr>
            <w:tcW w:w="880" w:type="dxa"/>
            <w:tcBorders>
              <w:top w:val="single" w:color="auto" w:sz="4" w:space="0"/>
              <w:left w:val="single" w:color="auto" w:sz="4" w:space="0"/>
              <w:bottom w:val="single" w:color="auto" w:sz="4" w:space="0"/>
              <w:right w:val="single" w:color="auto" w:sz="4" w:space="0"/>
            </w:tcBorders>
            <w:noWrap/>
            <w:vAlign w:val="center"/>
          </w:tcPr>
          <w:p w14:paraId="02609CA2">
            <w:pPr>
              <w:spacing w:line="288" w:lineRule="auto"/>
              <w:jc w:val="center"/>
              <w:textAlignment w:val="center"/>
              <w:rPr>
                <w:rFonts w:hint="eastAsia" w:asciiTheme="minorEastAsia" w:hAnsiTheme="minorEastAsia" w:eastAsiaTheme="minorEastAsia" w:cstheme="minorEastAsia"/>
                <w:color w:val="auto"/>
                <w:sz w:val="24"/>
              </w:rPr>
            </w:pPr>
          </w:p>
        </w:tc>
        <w:tc>
          <w:tcPr>
            <w:tcW w:w="841" w:type="dxa"/>
            <w:tcBorders>
              <w:top w:val="single" w:color="auto" w:sz="4" w:space="0"/>
              <w:left w:val="single" w:color="auto" w:sz="4" w:space="0"/>
              <w:bottom w:val="single" w:color="auto" w:sz="4" w:space="0"/>
              <w:right w:val="single" w:color="auto" w:sz="4" w:space="0"/>
            </w:tcBorders>
            <w:noWrap/>
            <w:vAlign w:val="center"/>
          </w:tcPr>
          <w:p w14:paraId="7E97E08D">
            <w:pPr>
              <w:spacing w:line="288" w:lineRule="auto"/>
              <w:jc w:val="center"/>
              <w:textAlignment w:val="center"/>
              <w:rPr>
                <w:rFonts w:hint="eastAsia" w:asciiTheme="minorEastAsia" w:hAnsiTheme="minorEastAsia" w:eastAsiaTheme="minorEastAsia" w:cstheme="minorEastAsia"/>
                <w:color w:val="auto"/>
                <w:sz w:val="24"/>
              </w:rPr>
            </w:pPr>
          </w:p>
        </w:tc>
        <w:tc>
          <w:tcPr>
            <w:tcW w:w="842" w:type="dxa"/>
            <w:tcBorders>
              <w:top w:val="single" w:color="auto" w:sz="4" w:space="0"/>
              <w:left w:val="single" w:color="auto" w:sz="4" w:space="0"/>
              <w:bottom w:val="single" w:color="auto" w:sz="4" w:space="0"/>
              <w:right w:val="single" w:color="auto" w:sz="4" w:space="0"/>
            </w:tcBorders>
            <w:noWrap/>
            <w:vAlign w:val="center"/>
          </w:tcPr>
          <w:p w14:paraId="6CF7E439">
            <w:pPr>
              <w:spacing w:line="288" w:lineRule="auto"/>
              <w:jc w:val="center"/>
              <w:textAlignment w:val="center"/>
              <w:rPr>
                <w:rFonts w:hint="eastAsia" w:asciiTheme="minorEastAsia" w:hAnsiTheme="minorEastAsia" w:eastAsiaTheme="minorEastAsia" w:cstheme="minorEastAsia"/>
                <w:color w:val="auto"/>
                <w:sz w:val="24"/>
              </w:rPr>
            </w:pPr>
          </w:p>
        </w:tc>
        <w:tc>
          <w:tcPr>
            <w:tcW w:w="1191" w:type="dxa"/>
            <w:tcBorders>
              <w:top w:val="single" w:color="auto" w:sz="4" w:space="0"/>
              <w:left w:val="single" w:color="auto" w:sz="4" w:space="0"/>
              <w:bottom w:val="single" w:color="auto" w:sz="4" w:space="0"/>
              <w:right w:val="single" w:color="auto" w:sz="4" w:space="0"/>
            </w:tcBorders>
            <w:noWrap/>
            <w:vAlign w:val="center"/>
          </w:tcPr>
          <w:p w14:paraId="3549DCF1">
            <w:pPr>
              <w:spacing w:line="288" w:lineRule="auto"/>
              <w:jc w:val="center"/>
              <w:textAlignment w:val="center"/>
              <w:rPr>
                <w:rFonts w:hint="eastAsia" w:asciiTheme="minorEastAsia" w:hAnsiTheme="minorEastAsia" w:eastAsiaTheme="minorEastAsia" w:cstheme="minorEastAsia"/>
                <w:color w:val="auto"/>
                <w:sz w:val="24"/>
              </w:rPr>
            </w:pPr>
          </w:p>
        </w:tc>
        <w:tc>
          <w:tcPr>
            <w:tcW w:w="1201" w:type="dxa"/>
            <w:tcBorders>
              <w:top w:val="single" w:color="auto" w:sz="4" w:space="0"/>
              <w:left w:val="single" w:color="auto" w:sz="4" w:space="0"/>
              <w:bottom w:val="single" w:color="auto" w:sz="4" w:space="0"/>
              <w:right w:val="single" w:color="auto" w:sz="4" w:space="0"/>
            </w:tcBorders>
            <w:noWrap/>
            <w:vAlign w:val="center"/>
          </w:tcPr>
          <w:p w14:paraId="45B682BB">
            <w:pPr>
              <w:spacing w:line="288" w:lineRule="auto"/>
              <w:jc w:val="center"/>
              <w:textAlignment w:val="center"/>
              <w:rPr>
                <w:rFonts w:hint="eastAsia" w:asciiTheme="minorEastAsia" w:hAnsiTheme="minorEastAsia" w:eastAsiaTheme="minorEastAsia" w:cstheme="minorEastAsia"/>
                <w:color w:val="auto"/>
                <w:sz w:val="24"/>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3153DA71">
            <w:pPr>
              <w:spacing w:line="288" w:lineRule="auto"/>
              <w:jc w:val="center"/>
              <w:textAlignment w:val="center"/>
              <w:rPr>
                <w:rFonts w:hint="eastAsia" w:asciiTheme="minorEastAsia" w:hAnsiTheme="minorEastAsia" w:eastAsiaTheme="minorEastAsia" w:cstheme="minorEastAsia"/>
                <w:color w:val="auto"/>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7C048775">
            <w:pPr>
              <w:spacing w:line="288" w:lineRule="auto"/>
              <w:jc w:val="center"/>
              <w:textAlignment w:val="center"/>
              <w:rPr>
                <w:rFonts w:hint="eastAsia" w:asciiTheme="minorEastAsia" w:hAnsiTheme="minorEastAsia" w:eastAsiaTheme="minorEastAsia" w:cstheme="minorEastAsia"/>
                <w:color w:val="auto"/>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73933878">
            <w:pPr>
              <w:spacing w:line="288" w:lineRule="auto"/>
              <w:jc w:val="center"/>
              <w:textAlignment w:val="center"/>
              <w:rPr>
                <w:rFonts w:hint="eastAsia" w:asciiTheme="minorEastAsia" w:hAnsiTheme="minorEastAsia" w:eastAsiaTheme="minorEastAsia" w:cstheme="minorEastAsia"/>
                <w:color w:val="auto"/>
                <w:sz w:val="24"/>
              </w:rPr>
            </w:pPr>
          </w:p>
        </w:tc>
      </w:tr>
      <w:tr w14:paraId="1A6B9A33">
        <w:tblPrEx>
          <w:tblCellMar>
            <w:top w:w="15" w:type="dxa"/>
            <w:left w:w="15" w:type="dxa"/>
            <w:bottom w:w="15" w:type="dxa"/>
            <w:right w:w="15" w:type="dxa"/>
          </w:tblCellMar>
        </w:tblPrEx>
        <w:trPr>
          <w:trHeight w:val="660" w:hRule="atLeast"/>
        </w:trPr>
        <w:tc>
          <w:tcPr>
            <w:tcW w:w="873" w:type="dxa"/>
            <w:tcBorders>
              <w:top w:val="single" w:color="auto" w:sz="4" w:space="0"/>
              <w:left w:val="single" w:color="auto" w:sz="4" w:space="0"/>
              <w:bottom w:val="single" w:color="auto" w:sz="4" w:space="0"/>
              <w:right w:val="single" w:color="auto" w:sz="4" w:space="0"/>
            </w:tcBorders>
            <w:noWrap/>
          </w:tcPr>
          <w:p w14:paraId="0CDD9518">
            <w:pPr>
              <w:spacing w:line="288" w:lineRule="auto"/>
              <w:rPr>
                <w:rFonts w:hint="eastAsia" w:asciiTheme="minorEastAsia" w:hAnsiTheme="minorEastAsia" w:eastAsiaTheme="minorEastAsia" w:cstheme="minorEastAsia"/>
                <w:color w:val="auto"/>
                <w:sz w:val="24"/>
              </w:rPr>
            </w:pPr>
          </w:p>
        </w:tc>
        <w:tc>
          <w:tcPr>
            <w:tcW w:w="1077" w:type="dxa"/>
            <w:tcBorders>
              <w:top w:val="single" w:color="auto" w:sz="4" w:space="0"/>
              <w:left w:val="single" w:color="auto" w:sz="4" w:space="0"/>
              <w:bottom w:val="single" w:color="auto" w:sz="4" w:space="0"/>
              <w:right w:val="single" w:color="auto" w:sz="4" w:space="0"/>
            </w:tcBorders>
            <w:noWrap/>
          </w:tcPr>
          <w:p w14:paraId="1E41B8B5">
            <w:pPr>
              <w:spacing w:line="288" w:lineRule="auto"/>
              <w:rPr>
                <w:rFonts w:hint="eastAsia" w:asciiTheme="minorEastAsia" w:hAnsiTheme="minorEastAsia" w:eastAsiaTheme="minorEastAsia" w:cstheme="minorEastAsia"/>
                <w:color w:val="auto"/>
                <w:sz w:val="24"/>
              </w:rPr>
            </w:pPr>
          </w:p>
        </w:tc>
        <w:tc>
          <w:tcPr>
            <w:tcW w:w="880" w:type="dxa"/>
            <w:tcBorders>
              <w:top w:val="single" w:color="auto" w:sz="4" w:space="0"/>
              <w:left w:val="single" w:color="auto" w:sz="4" w:space="0"/>
              <w:bottom w:val="single" w:color="auto" w:sz="4" w:space="0"/>
              <w:right w:val="single" w:color="auto" w:sz="4" w:space="0"/>
            </w:tcBorders>
            <w:noWrap/>
          </w:tcPr>
          <w:p w14:paraId="5C1F36FC">
            <w:pPr>
              <w:spacing w:line="288" w:lineRule="auto"/>
              <w:rPr>
                <w:rFonts w:hint="eastAsia" w:asciiTheme="minorEastAsia" w:hAnsiTheme="minorEastAsia" w:eastAsiaTheme="minorEastAsia" w:cstheme="minorEastAsia"/>
                <w:color w:val="auto"/>
                <w:sz w:val="24"/>
              </w:rPr>
            </w:pPr>
          </w:p>
        </w:tc>
        <w:tc>
          <w:tcPr>
            <w:tcW w:w="841" w:type="dxa"/>
            <w:tcBorders>
              <w:top w:val="single" w:color="auto" w:sz="4" w:space="0"/>
              <w:left w:val="single" w:color="auto" w:sz="4" w:space="0"/>
              <w:bottom w:val="single" w:color="auto" w:sz="4" w:space="0"/>
              <w:right w:val="single" w:color="auto" w:sz="4" w:space="0"/>
            </w:tcBorders>
            <w:noWrap/>
          </w:tcPr>
          <w:p w14:paraId="6DAA5D5F">
            <w:pPr>
              <w:spacing w:line="288" w:lineRule="auto"/>
              <w:rPr>
                <w:rFonts w:hint="eastAsia" w:asciiTheme="minorEastAsia" w:hAnsiTheme="minorEastAsia" w:eastAsiaTheme="minorEastAsia" w:cstheme="minorEastAsia"/>
                <w:color w:val="auto"/>
                <w:sz w:val="24"/>
              </w:rPr>
            </w:pPr>
          </w:p>
        </w:tc>
        <w:tc>
          <w:tcPr>
            <w:tcW w:w="842" w:type="dxa"/>
            <w:tcBorders>
              <w:top w:val="single" w:color="auto" w:sz="4" w:space="0"/>
              <w:left w:val="single" w:color="auto" w:sz="4" w:space="0"/>
              <w:bottom w:val="single" w:color="auto" w:sz="4" w:space="0"/>
              <w:right w:val="single" w:color="auto" w:sz="4" w:space="0"/>
            </w:tcBorders>
            <w:noWrap/>
          </w:tcPr>
          <w:p w14:paraId="5E5F6303">
            <w:pPr>
              <w:spacing w:line="288" w:lineRule="auto"/>
              <w:rPr>
                <w:rFonts w:hint="eastAsia" w:asciiTheme="minorEastAsia" w:hAnsiTheme="minorEastAsia" w:eastAsiaTheme="minorEastAsia" w:cstheme="minorEastAsia"/>
                <w:color w:val="auto"/>
                <w:sz w:val="24"/>
              </w:rPr>
            </w:pPr>
          </w:p>
        </w:tc>
        <w:tc>
          <w:tcPr>
            <w:tcW w:w="1191" w:type="dxa"/>
            <w:tcBorders>
              <w:top w:val="single" w:color="auto" w:sz="4" w:space="0"/>
              <w:left w:val="single" w:color="auto" w:sz="4" w:space="0"/>
              <w:bottom w:val="single" w:color="auto" w:sz="4" w:space="0"/>
              <w:right w:val="single" w:color="auto" w:sz="4" w:space="0"/>
            </w:tcBorders>
            <w:noWrap/>
          </w:tcPr>
          <w:p w14:paraId="3D80A4D1">
            <w:pPr>
              <w:spacing w:line="288" w:lineRule="auto"/>
              <w:rPr>
                <w:rFonts w:hint="eastAsia" w:asciiTheme="minorEastAsia" w:hAnsiTheme="minorEastAsia" w:eastAsiaTheme="minorEastAsia" w:cstheme="minorEastAsia"/>
                <w:color w:val="auto"/>
                <w:sz w:val="24"/>
              </w:rPr>
            </w:pPr>
          </w:p>
        </w:tc>
        <w:tc>
          <w:tcPr>
            <w:tcW w:w="1201" w:type="dxa"/>
            <w:tcBorders>
              <w:top w:val="single" w:color="auto" w:sz="4" w:space="0"/>
              <w:left w:val="single" w:color="auto" w:sz="4" w:space="0"/>
              <w:bottom w:val="single" w:color="auto" w:sz="4" w:space="0"/>
              <w:right w:val="single" w:color="auto" w:sz="4" w:space="0"/>
            </w:tcBorders>
            <w:noWrap/>
          </w:tcPr>
          <w:p w14:paraId="7E79B2A2">
            <w:pPr>
              <w:spacing w:line="288" w:lineRule="auto"/>
              <w:rPr>
                <w:rFonts w:hint="eastAsia" w:asciiTheme="minorEastAsia" w:hAnsiTheme="minorEastAsia" w:eastAsiaTheme="minorEastAsia" w:cstheme="minorEastAsia"/>
                <w:color w:val="auto"/>
                <w:sz w:val="24"/>
              </w:rPr>
            </w:pPr>
          </w:p>
        </w:tc>
        <w:tc>
          <w:tcPr>
            <w:tcW w:w="932" w:type="dxa"/>
            <w:tcBorders>
              <w:top w:val="single" w:color="auto" w:sz="4" w:space="0"/>
              <w:left w:val="single" w:color="auto" w:sz="4" w:space="0"/>
              <w:bottom w:val="single" w:color="auto" w:sz="4" w:space="0"/>
              <w:right w:val="single" w:color="auto" w:sz="4" w:space="0"/>
            </w:tcBorders>
            <w:noWrap/>
          </w:tcPr>
          <w:p w14:paraId="1117656A">
            <w:pPr>
              <w:spacing w:line="288" w:lineRule="auto"/>
              <w:rPr>
                <w:rFonts w:hint="eastAsia" w:asciiTheme="minorEastAsia" w:hAnsiTheme="minorEastAsia" w:eastAsiaTheme="minorEastAsia" w:cstheme="minorEastAsia"/>
                <w:color w:val="auto"/>
                <w:sz w:val="24"/>
              </w:rPr>
            </w:pPr>
          </w:p>
        </w:tc>
        <w:tc>
          <w:tcPr>
            <w:tcW w:w="870" w:type="dxa"/>
            <w:tcBorders>
              <w:top w:val="single" w:color="auto" w:sz="4" w:space="0"/>
              <w:left w:val="single" w:color="auto" w:sz="4" w:space="0"/>
              <w:bottom w:val="single" w:color="auto" w:sz="4" w:space="0"/>
              <w:right w:val="single" w:color="auto" w:sz="4" w:space="0"/>
            </w:tcBorders>
            <w:noWrap/>
          </w:tcPr>
          <w:p w14:paraId="300035D0">
            <w:pPr>
              <w:spacing w:line="288" w:lineRule="auto"/>
              <w:rPr>
                <w:rFonts w:hint="eastAsia" w:asciiTheme="minorEastAsia" w:hAnsiTheme="minorEastAsia" w:eastAsiaTheme="minorEastAsia" w:cstheme="minorEastAsia"/>
                <w:color w:val="auto"/>
                <w:sz w:val="24"/>
              </w:rPr>
            </w:pPr>
          </w:p>
        </w:tc>
        <w:tc>
          <w:tcPr>
            <w:tcW w:w="870" w:type="dxa"/>
            <w:tcBorders>
              <w:top w:val="single" w:color="auto" w:sz="4" w:space="0"/>
              <w:left w:val="single" w:color="auto" w:sz="4" w:space="0"/>
              <w:bottom w:val="single" w:color="auto" w:sz="4" w:space="0"/>
              <w:right w:val="single" w:color="auto" w:sz="4" w:space="0"/>
            </w:tcBorders>
            <w:noWrap/>
          </w:tcPr>
          <w:p w14:paraId="69F4A150">
            <w:pPr>
              <w:spacing w:line="288" w:lineRule="auto"/>
              <w:rPr>
                <w:rFonts w:hint="eastAsia" w:asciiTheme="minorEastAsia" w:hAnsiTheme="minorEastAsia" w:eastAsiaTheme="minorEastAsia" w:cstheme="minorEastAsia"/>
                <w:color w:val="auto"/>
                <w:sz w:val="24"/>
              </w:rPr>
            </w:pPr>
          </w:p>
        </w:tc>
      </w:tr>
      <w:tr w14:paraId="7904F4F2">
        <w:tblPrEx>
          <w:tblCellMar>
            <w:top w:w="15" w:type="dxa"/>
            <w:left w:w="15" w:type="dxa"/>
            <w:bottom w:w="15" w:type="dxa"/>
            <w:right w:w="15" w:type="dxa"/>
          </w:tblCellMar>
        </w:tblPrEx>
        <w:trPr>
          <w:trHeight w:val="853" w:hRule="atLeast"/>
        </w:trPr>
        <w:tc>
          <w:tcPr>
            <w:tcW w:w="9577" w:type="dxa"/>
            <w:gridSpan w:val="10"/>
            <w:tcBorders>
              <w:top w:val="single" w:color="auto" w:sz="4" w:space="0"/>
              <w:left w:val="single" w:color="auto" w:sz="4" w:space="0"/>
              <w:bottom w:val="single" w:color="auto" w:sz="4" w:space="0"/>
              <w:right w:val="single" w:color="auto" w:sz="4" w:space="0"/>
            </w:tcBorders>
            <w:noWrap/>
          </w:tcPr>
          <w:p w14:paraId="74D6C34C">
            <w:pPr>
              <w:spacing w:line="288" w:lineRule="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金额合计：小写（元）：</w:t>
            </w:r>
          </w:p>
          <w:p w14:paraId="71450560">
            <w:pPr>
              <w:spacing w:line="288"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4"/>
              </w:rPr>
              <w:t>大写（元）：</w:t>
            </w:r>
          </w:p>
        </w:tc>
      </w:tr>
    </w:tbl>
    <w:p w14:paraId="58BA4404">
      <w:pPr>
        <w:pStyle w:val="15"/>
        <w:jc w:val="both"/>
        <w:rPr>
          <w:rFonts w:hint="eastAsia" w:asciiTheme="minorEastAsia" w:hAnsiTheme="minorEastAsia" w:eastAsiaTheme="minorEastAsia" w:cstheme="minorEastAsia"/>
          <w:color w:val="auto"/>
          <w:sz w:val="24"/>
        </w:rPr>
      </w:pPr>
    </w:p>
    <w:p w14:paraId="108B19EE">
      <w:pPr>
        <w:pStyle w:val="15"/>
        <w:jc w:val="both"/>
        <w:rPr>
          <w:rFonts w:hint="eastAsia" w:asciiTheme="minorEastAsia" w:hAnsiTheme="minorEastAsia" w:eastAsiaTheme="minorEastAsia" w:cstheme="minorEastAsia"/>
          <w:color w:val="auto"/>
          <w:sz w:val="24"/>
        </w:rPr>
      </w:pPr>
    </w:p>
    <w:p w14:paraId="6C21DF74">
      <w:pPr>
        <w:pStyle w:val="15"/>
        <w:jc w:val="both"/>
        <w:rPr>
          <w:rFonts w:hint="eastAsia" w:asciiTheme="minorEastAsia" w:hAnsiTheme="minorEastAsia" w:eastAsiaTheme="minorEastAsia" w:cstheme="minorEastAsia"/>
          <w:color w:val="auto"/>
          <w:sz w:val="24"/>
        </w:rPr>
      </w:pPr>
    </w:p>
    <w:p w14:paraId="65D7935D">
      <w:pPr>
        <w:pStyle w:val="15"/>
        <w:jc w:val="both"/>
        <w:rPr>
          <w:rFonts w:hint="eastAsia" w:asciiTheme="minorEastAsia" w:hAnsiTheme="minorEastAsia" w:eastAsiaTheme="minorEastAsia" w:cstheme="minorEastAsia"/>
          <w:color w:val="auto"/>
          <w:sz w:val="24"/>
        </w:rPr>
      </w:pPr>
    </w:p>
    <w:p w14:paraId="384323E2">
      <w:pPr>
        <w:pStyle w:val="15"/>
        <w:jc w:val="both"/>
        <w:rPr>
          <w:rFonts w:hint="eastAsia" w:asciiTheme="minorEastAsia" w:hAnsiTheme="minorEastAsia" w:eastAsiaTheme="minorEastAsia" w:cstheme="minorEastAsia"/>
          <w:color w:val="auto"/>
          <w:sz w:val="24"/>
        </w:rPr>
      </w:pPr>
    </w:p>
    <w:p w14:paraId="098D07EA">
      <w:pPr>
        <w:pStyle w:val="15"/>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w:t>
      </w:r>
    </w:p>
    <w:p w14:paraId="748A44EA">
      <w:pPr>
        <w:pStyle w:val="15"/>
        <w:spacing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1. “开标一览表”中的报价包含招标文件中规定的所有采购货物且数量一致，报价应是最终用户验收合格后的总价，包括货物运输、保险、代理、安装调试、培训、税费及提供服务产生的一切费用等与本项目有关的一切费用。 </w:t>
      </w:r>
    </w:p>
    <w:p w14:paraId="50BBF1E8">
      <w:pPr>
        <w:spacing w:line="360" w:lineRule="auto"/>
        <w:ind w:firstLine="470" w:firstLineChars="196"/>
        <w:rPr>
          <w:rFonts w:hint="eastAsia" w:asciiTheme="minorEastAsia" w:hAnsiTheme="minorEastAsia" w:eastAsiaTheme="minorEastAsia" w:cstheme="minorEastAsia"/>
          <w:color w:val="auto"/>
          <w:sz w:val="24"/>
          <w:lang w:eastAsia="zh-CN"/>
        </w:rPr>
      </w:pPr>
      <w:bookmarkStart w:id="678" w:name="_Toc677"/>
      <w:bookmarkStart w:id="679" w:name="_Toc31653"/>
      <w:bookmarkStart w:id="680" w:name="_Toc4333"/>
      <w:bookmarkStart w:id="681" w:name="_Toc13226"/>
      <w:bookmarkStart w:id="682" w:name="_Toc32608"/>
      <w:bookmarkStart w:id="683" w:name="_Toc2616"/>
      <w:r>
        <w:rPr>
          <w:rFonts w:hint="eastAsia" w:asciiTheme="minorEastAsia" w:hAnsiTheme="minorEastAsia" w:eastAsiaTheme="minorEastAsia" w:cstheme="minorEastAsia"/>
          <w:color w:val="auto"/>
          <w:sz w:val="24"/>
          <w:lang w:eastAsia="zh-CN"/>
        </w:rPr>
        <w:t>2.“开标一览表”为多页的，每页均需加盖投标人公章。</w:t>
      </w:r>
      <w:bookmarkEnd w:id="678"/>
      <w:bookmarkEnd w:id="679"/>
      <w:bookmarkEnd w:id="680"/>
      <w:bookmarkEnd w:id="681"/>
      <w:bookmarkEnd w:id="682"/>
      <w:bookmarkEnd w:id="683"/>
    </w:p>
    <w:p w14:paraId="6D600993">
      <w:pPr>
        <w:spacing w:line="360" w:lineRule="auto"/>
        <w:ind w:firstLine="470" w:firstLineChars="196"/>
        <w:rPr>
          <w:rFonts w:hint="eastAsia" w:asciiTheme="minorEastAsia" w:hAnsiTheme="minorEastAsia" w:eastAsiaTheme="minorEastAsia" w:cstheme="minorEastAsia"/>
          <w:color w:val="auto"/>
          <w:sz w:val="24"/>
          <w:lang w:eastAsia="zh-CN"/>
        </w:rPr>
      </w:pPr>
      <w:bookmarkStart w:id="684" w:name="_Toc7822"/>
      <w:bookmarkStart w:id="685" w:name="_Toc24640"/>
      <w:bookmarkStart w:id="686" w:name="_Toc4215"/>
      <w:bookmarkStart w:id="687" w:name="_Toc24080"/>
      <w:bookmarkStart w:id="688" w:name="_Toc16295"/>
      <w:bookmarkStart w:id="689" w:name="_Toc18302"/>
    </w:p>
    <w:bookmarkEnd w:id="684"/>
    <w:bookmarkEnd w:id="685"/>
    <w:bookmarkEnd w:id="686"/>
    <w:bookmarkEnd w:id="687"/>
    <w:bookmarkEnd w:id="688"/>
    <w:bookmarkEnd w:id="689"/>
    <w:p w14:paraId="31DDDE8C">
      <w:pPr>
        <w:ind w:firstLine="120" w:firstLineChars="50"/>
        <w:rPr>
          <w:rFonts w:hint="eastAsia" w:asciiTheme="minorEastAsia" w:hAnsiTheme="minorEastAsia" w:eastAsiaTheme="minorEastAsia" w:cstheme="minorEastAsia"/>
          <w:color w:val="auto"/>
          <w:sz w:val="24"/>
          <w:lang w:val="zh-CN" w:eastAsia="zh-CN"/>
        </w:rPr>
      </w:pPr>
      <w:bookmarkStart w:id="690" w:name="_Toc29899"/>
      <w:bookmarkStart w:id="691" w:name="_Toc17577"/>
      <w:bookmarkStart w:id="692" w:name="_Toc608"/>
      <w:bookmarkStart w:id="693" w:name="_Toc515647805"/>
    </w:p>
    <w:p w14:paraId="6A44B0DA">
      <w:pPr>
        <w:spacing w:line="360" w:lineRule="auto"/>
        <w:ind w:firstLine="470" w:firstLineChars="196"/>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zh-CN" w:eastAsia="zh-CN"/>
        </w:rPr>
        <w:t>供应商名称（公章）：</w:t>
      </w:r>
    </w:p>
    <w:p w14:paraId="15331AD8">
      <w:pPr>
        <w:spacing w:line="360" w:lineRule="auto"/>
        <w:ind w:firstLine="470" w:firstLineChars="196"/>
        <w:rPr>
          <w:rFonts w:hint="eastAsia" w:asciiTheme="minorEastAsia" w:hAnsiTheme="minorEastAsia" w:eastAsiaTheme="minorEastAsia" w:cstheme="minorEastAsia"/>
          <w:color w:val="auto"/>
          <w:sz w:val="24"/>
          <w:lang w:val="zh-CN" w:eastAsia="zh-CN"/>
        </w:rPr>
      </w:pPr>
    </w:p>
    <w:p w14:paraId="7BE40447">
      <w:pPr>
        <w:spacing w:line="360" w:lineRule="auto"/>
        <w:ind w:firstLine="470" w:firstLineChars="196"/>
        <w:rPr>
          <w:rFonts w:hint="eastAsia" w:asciiTheme="minorEastAsia" w:hAnsiTheme="minorEastAsia" w:eastAsiaTheme="minorEastAsia" w:cstheme="minorEastAsia"/>
          <w:color w:val="auto"/>
          <w:sz w:val="24"/>
          <w:u w:val="single"/>
          <w:lang w:val="zh-CN" w:eastAsia="zh-CN"/>
        </w:rPr>
      </w:pPr>
      <w:r>
        <w:rPr>
          <w:rFonts w:hint="eastAsia" w:asciiTheme="minorEastAsia" w:hAnsiTheme="minorEastAsia" w:eastAsiaTheme="minorEastAsia" w:cstheme="minorEastAsia"/>
          <w:color w:val="auto"/>
          <w:sz w:val="24"/>
          <w:lang w:val="zh-CN" w:eastAsia="zh-CN"/>
        </w:rPr>
        <w:t>法定代表人或其授权代表（签字或盖章）：</w:t>
      </w:r>
      <w:r>
        <w:rPr>
          <w:rFonts w:hint="eastAsia" w:asciiTheme="minorEastAsia" w:hAnsiTheme="minorEastAsia" w:eastAsiaTheme="minorEastAsia" w:cstheme="minorEastAsia"/>
          <w:color w:val="auto"/>
          <w:sz w:val="24"/>
          <w:u w:val="single"/>
          <w:lang w:val="zh-CN" w:eastAsia="zh-CN"/>
        </w:rPr>
        <w:t xml:space="preserve">   </w:t>
      </w:r>
    </w:p>
    <w:p w14:paraId="7F587BCE">
      <w:pPr>
        <w:spacing w:line="360" w:lineRule="auto"/>
        <w:ind w:firstLine="470" w:firstLineChars="196"/>
        <w:rPr>
          <w:rFonts w:hint="eastAsia" w:asciiTheme="minorEastAsia" w:hAnsiTheme="minorEastAsia" w:eastAsiaTheme="minorEastAsia" w:cstheme="minorEastAsia"/>
          <w:color w:val="auto"/>
          <w:sz w:val="24"/>
          <w:u w:val="single"/>
          <w:lang w:val="zh-CN" w:eastAsia="zh-CN"/>
        </w:rPr>
      </w:pPr>
    </w:p>
    <w:p w14:paraId="1DB07504">
      <w:pPr>
        <w:spacing w:line="360" w:lineRule="auto"/>
        <w:ind w:firstLine="470" w:firstLineChars="196"/>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zh-CN" w:eastAsia="zh-CN"/>
        </w:rPr>
        <w:t>日期：</w:t>
      </w:r>
      <w:r>
        <w:rPr>
          <w:rFonts w:hint="eastAsia" w:asciiTheme="minorEastAsia" w:hAnsiTheme="minorEastAsia" w:eastAsiaTheme="minorEastAsia" w:cstheme="minorEastAsia"/>
          <w:color w:val="auto"/>
          <w:sz w:val="24"/>
          <w:u w:val="single"/>
          <w:lang w:val="zh-CN" w:eastAsia="zh-CN"/>
        </w:rPr>
        <w:t xml:space="preserve">         </w:t>
      </w:r>
      <w:r>
        <w:rPr>
          <w:rFonts w:hint="eastAsia" w:asciiTheme="minorEastAsia" w:hAnsiTheme="minorEastAsia" w:eastAsiaTheme="minorEastAsia" w:cstheme="minorEastAsia"/>
          <w:color w:val="auto"/>
          <w:sz w:val="24"/>
          <w:lang w:val="zh-CN" w:eastAsia="zh-CN"/>
        </w:rPr>
        <w:t>年</w:t>
      </w:r>
      <w:r>
        <w:rPr>
          <w:rFonts w:hint="eastAsia" w:asciiTheme="minorEastAsia" w:hAnsiTheme="minorEastAsia" w:eastAsiaTheme="minorEastAsia" w:cstheme="minorEastAsia"/>
          <w:color w:val="auto"/>
          <w:sz w:val="24"/>
          <w:u w:val="single"/>
          <w:lang w:val="zh-CN" w:eastAsia="zh-CN"/>
        </w:rPr>
        <w:t xml:space="preserve">     </w:t>
      </w:r>
      <w:r>
        <w:rPr>
          <w:rFonts w:hint="eastAsia" w:asciiTheme="minorEastAsia" w:hAnsiTheme="minorEastAsia" w:eastAsiaTheme="minorEastAsia" w:cstheme="minorEastAsia"/>
          <w:color w:val="auto"/>
          <w:sz w:val="24"/>
          <w:lang w:val="zh-CN" w:eastAsia="zh-CN"/>
        </w:rPr>
        <w:t>月</w:t>
      </w:r>
      <w:r>
        <w:rPr>
          <w:rFonts w:hint="eastAsia" w:asciiTheme="minorEastAsia" w:hAnsiTheme="minorEastAsia" w:eastAsiaTheme="minorEastAsia" w:cstheme="minorEastAsia"/>
          <w:color w:val="auto"/>
          <w:sz w:val="24"/>
          <w:u w:val="single"/>
          <w:lang w:val="zh-CN" w:eastAsia="zh-CN"/>
        </w:rPr>
        <w:t xml:space="preserve">  </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u w:val="single"/>
          <w:lang w:val="zh-CN" w:eastAsia="zh-CN"/>
        </w:rPr>
        <w:t xml:space="preserve"> </w:t>
      </w:r>
      <w:r>
        <w:rPr>
          <w:rFonts w:hint="eastAsia" w:asciiTheme="minorEastAsia" w:hAnsiTheme="minorEastAsia" w:eastAsiaTheme="minorEastAsia" w:cstheme="minorEastAsia"/>
          <w:color w:val="auto"/>
          <w:sz w:val="24"/>
          <w:lang w:val="zh-CN" w:eastAsia="zh-CN"/>
        </w:rPr>
        <w:t>日</w:t>
      </w:r>
    </w:p>
    <w:p w14:paraId="09AF89BD">
      <w:pPr>
        <w:spacing w:line="360" w:lineRule="auto"/>
        <w:ind w:firstLine="470" w:firstLineChars="196"/>
        <w:rPr>
          <w:rFonts w:hint="eastAsia" w:asciiTheme="minorEastAsia" w:hAnsiTheme="minorEastAsia" w:eastAsiaTheme="minorEastAsia" w:cstheme="minorEastAsia"/>
          <w:color w:val="auto"/>
          <w:sz w:val="24"/>
          <w:lang w:val="zh-CN" w:eastAsia="zh-CN"/>
        </w:rPr>
      </w:pPr>
    </w:p>
    <w:p w14:paraId="7E3ADF3A">
      <w:pPr>
        <w:spacing w:line="360" w:lineRule="auto"/>
        <w:ind w:firstLine="470" w:firstLineChars="196"/>
        <w:rPr>
          <w:rFonts w:hint="eastAsia" w:asciiTheme="minorEastAsia" w:hAnsiTheme="minorEastAsia" w:eastAsiaTheme="minorEastAsia" w:cstheme="minorEastAsia"/>
          <w:color w:val="auto"/>
          <w:sz w:val="24"/>
          <w:lang w:val="zh-CN" w:eastAsia="zh-CN"/>
        </w:rPr>
      </w:pPr>
    </w:p>
    <w:p w14:paraId="332AA9B5">
      <w:pPr>
        <w:spacing w:line="360" w:lineRule="auto"/>
        <w:ind w:firstLine="470" w:firstLineChars="196"/>
        <w:rPr>
          <w:rFonts w:hint="eastAsia" w:asciiTheme="minorEastAsia" w:hAnsiTheme="minorEastAsia" w:eastAsiaTheme="minorEastAsia" w:cstheme="minorEastAsia"/>
          <w:color w:val="auto"/>
          <w:sz w:val="24"/>
          <w:lang w:val="zh-CN" w:eastAsia="zh-CN"/>
        </w:rPr>
      </w:pPr>
    </w:p>
    <w:p w14:paraId="111D0500">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br w:type="page"/>
      </w:r>
    </w:p>
    <w:p w14:paraId="22B863D9">
      <w:pPr>
        <w:pStyle w:val="4"/>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694" w:name="_Toc18942"/>
      <w:bookmarkStart w:id="695" w:name="_Toc5194"/>
      <w:bookmarkStart w:id="696" w:name="_Toc2685"/>
      <w:bookmarkStart w:id="697" w:name="_Toc3097"/>
      <w:bookmarkStart w:id="698" w:name="_Toc22243"/>
      <w:bookmarkStart w:id="699" w:name="_Toc18028"/>
      <w:bookmarkStart w:id="700" w:name="_Toc12928"/>
      <w:bookmarkStart w:id="701" w:name="_Toc9524"/>
      <w:bookmarkStart w:id="702" w:name="_Toc6477"/>
      <w:bookmarkStart w:id="703" w:name="_Toc14381"/>
      <w:r>
        <w:rPr>
          <w:rFonts w:hint="eastAsia" w:asciiTheme="minorEastAsia" w:hAnsiTheme="minorEastAsia" w:eastAsiaTheme="minorEastAsia" w:cstheme="minorEastAsia"/>
          <w:color w:val="auto"/>
          <w:u w:val="none"/>
          <w:lang w:eastAsia="zh-CN"/>
        </w:rPr>
        <w:t>2  法人或者非法人组织的营业执照等证明文件</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39F987EC">
      <w:pPr>
        <w:pStyle w:val="11"/>
        <w:tabs>
          <w:tab w:val="left" w:pos="5580"/>
        </w:tabs>
        <w:spacing w:line="288" w:lineRule="auto"/>
        <w:ind w:left="1079" w:leftChars="257" w:hanging="540"/>
        <w:jc w:val="center"/>
        <w:rPr>
          <w:rFonts w:hint="eastAsia" w:asciiTheme="minorEastAsia" w:hAnsiTheme="minorEastAsia" w:eastAsiaTheme="minorEastAsia" w:cstheme="minorEastAsia"/>
          <w:b/>
          <w:color w:val="auto"/>
          <w:sz w:val="24"/>
          <w:lang w:eastAsia="zh-CN"/>
        </w:rPr>
      </w:pPr>
    </w:p>
    <w:p w14:paraId="59E99917">
      <w:pPr>
        <w:pStyle w:val="11"/>
        <w:tabs>
          <w:tab w:val="left" w:pos="5580"/>
        </w:tabs>
        <w:spacing w:line="288" w:lineRule="auto"/>
        <w:rPr>
          <w:rFonts w:hint="eastAsia" w:asciiTheme="minorEastAsia" w:hAnsiTheme="minorEastAsia" w:eastAsiaTheme="minorEastAsia" w:cstheme="minorEastAsia"/>
          <w:b/>
          <w:color w:val="auto"/>
          <w:sz w:val="24"/>
          <w:lang w:eastAsia="zh-CN"/>
        </w:rPr>
      </w:pPr>
    </w:p>
    <w:p w14:paraId="3F824AC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说明：1.提供有效的营业执照等证明文件复印件，复印件上应加盖本单位章。</w:t>
      </w:r>
    </w:p>
    <w:p w14:paraId="461399E4">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2. 投标人为自然人的，应提供身份证明的复印件。</w:t>
      </w:r>
    </w:p>
    <w:p w14:paraId="1B425BF7">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3.联合体投标应提供联合体各方满足以上要求的证明文件。</w:t>
      </w:r>
    </w:p>
    <w:p w14:paraId="3306C347">
      <w:pPr>
        <w:pStyle w:val="11"/>
        <w:tabs>
          <w:tab w:val="left" w:pos="5580"/>
        </w:tabs>
        <w:spacing w:line="288" w:lineRule="auto"/>
        <w:rPr>
          <w:rFonts w:hint="eastAsia" w:asciiTheme="minorEastAsia" w:hAnsiTheme="minorEastAsia" w:eastAsiaTheme="minorEastAsia" w:cstheme="minorEastAsia"/>
          <w:color w:val="auto"/>
          <w:sz w:val="24"/>
          <w:lang w:eastAsia="zh-CN"/>
        </w:rPr>
      </w:pPr>
    </w:p>
    <w:p w14:paraId="31EC7639">
      <w:pPr>
        <w:pStyle w:val="11"/>
        <w:tabs>
          <w:tab w:val="left" w:pos="5580"/>
        </w:tabs>
        <w:spacing w:line="288" w:lineRule="auto"/>
        <w:rPr>
          <w:rFonts w:hint="eastAsia" w:asciiTheme="minorEastAsia" w:hAnsiTheme="minorEastAsia" w:eastAsiaTheme="minorEastAsia" w:cstheme="minorEastAsia"/>
          <w:color w:val="auto"/>
          <w:sz w:val="24"/>
          <w:lang w:eastAsia="zh-CN"/>
        </w:rPr>
      </w:pPr>
    </w:p>
    <w:p w14:paraId="7C867305">
      <w:pPr>
        <w:pStyle w:val="4"/>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04" w:name="_Toc29158"/>
      <w:bookmarkStart w:id="705" w:name="_Toc31591"/>
      <w:bookmarkStart w:id="706" w:name="_Toc21673"/>
      <w:bookmarkStart w:id="707" w:name="_Toc1578"/>
      <w:bookmarkStart w:id="708" w:name="_Toc13066"/>
      <w:bookmarkStart w:id="709" w:name="_Toc25159"/>
      <w:bookmarkStart w:id="710" w:name="_Toc31870"/>
      <w:bookmarkStart w:id="711" w:name="_Toc3498"/>
      <w:bookmarkStart w:id="712" w:name="_Toc26259"/>
      <w:bookmarkStart w:id="713" w:name="_Toc23004_WPSOffice_Level2"/>
      <w:bookmarkStart w:id="714" w:name="_Toc26563"/>
      <w:bookmarkStart w:id="715" w:name="_Toc3865"/>
      <w:bookmarkStart w:id="716" w:name="_Toc12767"/>
      <w:r>
        <w:rPr>
          <w:rFonts w:hint="eastAsia" w:asciiTheme="minorEastAsia" w:hAnsiTheme="minorEastAsia" w:eastAsiaTheme="minorEastAsia" w:cstheme="minorEastAsia"/>
          <w:color w:val="auto"/>
          <w:u w:val="none"/>
          <w:lang w:eastAsia="zh-CN"/>
        </w:rPr>
        <w:t>3  法定代表人身份证明</w:t>
      </w:r>
      <w:bookmarkEnd w:id="704"/>
      <w:bookmarkEnd w:id="705"/>
      <w:bookmarkEnd w:id="706"/>
      <w:bookmarkEnd w:id="707"/>
      <w:bookmarkEnd w:id="708"/>
      <w:bookmarkEnd w:id="709"/>
      <w:bookmarkEnd w:id="710"/>
      <w:bookmarkEnd w:id="711"/>
      <w:bookmarkEnd w:id="712"/>
      <w:bookmarkEnd w:id="713"/>
      <w:bookmarkEnd w:id="714"/>
      <w:bookmarkEnd w:id="715"/>
      <w:bookmarkEnd w:id="716"/>
    </w:p>
    <w:p w14:paraId="3CCDBAE4">
      <w:pPr>
        <w:rPr>
          <w:rFonts w:hint="eastAsia" w:asciiTheme="minorEastAsia" w:hAnsiTheme="minorEastAsia" w:eastAsiaTheme="minorEastAsia" w:cstheme="minorEastAsia"/>
          <w:color w:val="auto"/>
          <w:lang w:eastAsia="zh-CN"/>
        </w:rPr>
      </w:pPr>
    </w:p>
    <w:p w14:paraId="67C80506">
      <w:pPr>
        <w:spacing w:line="360" w:lineRule="auto"/>
        <w:ind w:firstLine="240" w:firstLineChars="100"/>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同志，现任我单位</w:t>
      </w:r>
      <w:r>
        <w:rPr>
          <w:rFonts w:hint="eastAsia" w:asciiTheme="minorEastAsia" w:hAnsiTheme="minorEastAsia" w:eastAsiaTheme="minorEastAsia" w:cstheme="minorEastAsia"/>
          <w:color w:val="auto"/>
          <w:sz w:val="24"/>
          <w:szCs w:val="20"/>
          <w:u w:val="single" w:color="000000"/>
          <w:lang w:eastAsia="zh-CN"/>
        </w:rPr>
        <w:t xml:space="preserve">          职</w:t>
      </w:r>
      <w:r>
        <w:rPr>
          <w:rFonts w:hint="eastAsia" w:asciiTheme="minorEastAsia" w:hAnsiTheme="minorEastAsia" w:eastAsiaTheme="minorEastAsia" w:cstheme="minorEastAsia"/>
          <w:color w:val="auto"/>
          <w:sz w:val="24"/>
          <w:szCs w:val="20"/>
          <w:lang w:eastAsia="zh-CN"/>
        </w:rPr>
        <w:t>务，为法定代表人，特此证明。</w:t>
      </w:r>
    </w:p>
    <w:p w14:paraId="3459383F">
      <w:pPr>
        <w:spacing w:line="360" w:lineRule="auto"/>
        <w:ind w:firstLine="240" w:firstLineChars="100"/>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 xml:space="preserve">签发日期：                  单位：          </w:t>
      </w:r>
    </w:p>
    <w:p w14:paraId="64B9257C">
      <w:pPr>
        <w:spacing w:line="360" w:lineRule="auto"/>
        <w:ind w:firstLine="240" w:firstLineChars="100"/>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附：代表人性别：            年龄：           身份证号码：</w:t>
      </w:r>
    </w:p>
    <w:p w14:paraId="322E5579">
      <w:pPr>
        <w:spacing w:line="360" w:lineRule="auto"/>
        <w:ind w:firstLine="240" w:firstLineChars="100"/>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联系电话：</w:t>
      </w:r>
    </w:p>
    <w:p w14:paraId="7C49C81F">
      <w:pPr>
        <w:spacing w:line="360" w:lineRule="auto"/>
        <w:ind w:firstLine="240" w:firstLineChars="100"/>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 xml:space="preserve">营业执照号码：         </w:t>
      </w:r>
    </w:p>
    <w:p w14:paraId="5BC45E95">
      <w:pPr>
        <w:spacing w:line="360" w:lineRule="auto"/>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说明：</w:t>
      </w:r>
    </w:p>
    <w:p w14:paraId="30C0FF88">
      <w:pPr>
        <w:spacing w:line="360" w:lineRule="auto"/>
        <w:ind w:firstLine="240" w:firstLineChars="100"/>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1、法定代表人为企业事业单位、国家机关、社会团体的主要行政负责人。</w:t>
      </w:r>
    </w:p>
    <w:p w14:paraId="1517E107">
      <w:pPr>
        <w:spacing w:line="360" w:lineRule="auto"/>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 xml:space="preserve">  2、内容必须填写真实、清楚、涂改无效，不得转让。</w:t>
      </w:r>
    </w:p>
    <w:p w14:paraId="556B5DBA">
      <w:pPr>
        <w:spacing w:line="360" w:lineRule="auto"/>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rPr>
        <mc:AlternateContent>
          <mc:Choice Requires="wps">
            <w:drawing>
              <wp:anchor distT="0" distB="0" distL="114300" distR="114300" simplePos="0" relativeHeight="251662336" behindDoc="0" locked="0" layoutInCell="1" allowOverlap="1">
                <wp:simplePos x="0" y="0"/>
                <wp:positionH relativeFrom="column">
                  <wp:posOffset>154305</wp:posOffset>
                </wp:positionH>
                <wp:positionV relativeFrom="paragraph">
                  <wp:posOffset>10795</wp:posOffset>
                </wp:positionV>
                <wp:extent cx="2496185" cy="1652270"/>
                <wp:effectExtent l="4445" t="4445" r="13970" b="19685"/>
                <wp:wrapNone/>
                <wp:docPr id="14" name="流程图: 可选过程 14"/>
                <wp:cNvGraphicFramePr/>
                <a:graphic xmlns:a="http://schemas.openxmlformats.org/drawingml/2006/main">
                  <a:graphicData uri="http://schemas.microsoft.com/office/word/2010/wordprocessingShape">
                    <wps:wsp>
                      <wps:cNvSpPr/>
                      <wps:spPr>
                        <a:xfrm>
                          <a:off x="0" y="0"/>
                          <a:ext cx="2496185" cy="16522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D9A1DE3">
                            <w:pPr>
                              <w:jc w:val="center"/>
                              <w:rPr>
                                <w:rFonts w:hAnsi="宋体"/>
                              </w:rPr>
                            </w:pPr>
                          </w:p>
                          <w:p w14:paraId="010EDD3B">
                            <w:pPr>
                              <w:jc w:val="center"/>
                              <w:rPr>
                                <w:rFonts w:hAnsi="宋体"/>
                              </w:rPr>
                            </w:pPr>
                          </w:p>
                          <w:p w14:paraId="2936A2D6">
                            <w:pPr>
                              <w:jc w:val="center"/>
                              <w:rPr>
                                <w:rFonts w:hAnsi="宋体"/>
                              </w:rPr>
                            </w:pPr>
                          </w:p>
                          <w:p w14:paraId="5466F248">
                            <w:pPr>
                              <w:jc w:val="center"/>
                              <w:rPr>
                                <w:lang w:eastAsia="zh-CN"/>
                              </w:rPr>
                            </w:pPr>
                            <w:r>
                              <w:rPr>
                                <w:rFonts w:hint="eastAsia" w:hAnsi="宋体"/>
                                <w:lang w:eastAsia="zh-CN"/>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0.85pt;height:130.1pt;width:196.55pt;z-index:251662336;mso-width-relative:page;mso-height-relative:page;" fillcolor="#FFFFFF" filled="t" stroked="t" coordsize="21600,21600" o:gfxdata="UEsDBAoAAAAAAIdO4kAAAAAAAAAAAAAAAAAEAAAAZHJzL1BLAwQUAAAACACHTuJAhQgLrtYAAAAI&#10;AQAADwAAAGRycy9kb3ducmV2LnhtbE2PQU+EMBCF7yb+h2ZMvLmluwR2kbIxGj15ETfxWmilRDol&#10;tLDor3c8ucd57+XN98rj6ga2mCn0HiWITQLMYOt1j52E0/vz3R5YiAq1GjwaCd8mwLG6vipVof0Z&#10;38xSx45RCYZCSbAxjgXnobXGqbDxo0HyPv3kVKRz6rie1JnK3cC3SZJxp3qkD1aN5tGa9quenYT1&#10;9ac5zC+iraPdZ/nHbnl6OHEpb29Ecg8smjX+h+EPn9ChIqbGz6gDGyRs0x0lSc+BkZ2KPAXWkJ6J&#10;A/Cq5JcDql9QSwMEFAAAAAgAh07iQI4L8W0yAgAAYAQAAA4AAABkcnMvZTJvRG9jLnhtbK1UzY7T&#10;MBC+I/EOlu80bbUtu1HTFdpSLggqLTyA60wSS/6T7TbpDU4IceABeAFunLjC0yw/b8HYKaW7cOgB&#10;H5yxPfN5vm/GmV12SpItOC+MLuhoMKQENDel0HVBX75YPjinxAemSyaNhoLuwNPL+f17s9bmMDaN&#10;kSU4giDa560taBOCzbPM8wYU8wNjQeNhZZxiAZeuzkrHWkRXMhsPh9OsNa60znDwHncX/SHdI7pT&#10;AE1VCQ4LwzcKdOhRHUgWkJJvhPV0nrKtKuDheVV5CEQWFJmGNOMlaK/jnM1nLK8ds43g+xTYKSnc&#10;4aSY0HjpAWrBAiMbJ/6CUoI7400VBtyorCeSFEEWo+Edba4bZiFxQam9PYju/x8sf7ZdOSJK7IQz&#10;SjRTWPFvn19///ju5sOXnNy8//Tz1dsfX9/gBkEPlKu1Pseoa7ty+5VHM3LvKqfiF1mRLkm8O0gM&#10;XSAcN8dnF9PR+YQSjmej6WQ8fpiKkP0Jt86HJ2AUiUZBK2naq4a58EgGcJoFWPXNk/Rm26c+YB4Y&#10;/zsupuCNFOVSSJkWrl5fSUe2DJtgmUYkgiG33KQmbUEvJuOYHcPOrrCj0FQW1fG6TvfdivDHwMM0&#10;/gUcE1sw3/QJJIToxnIlkFGyGmDlY12SsLNYAI0Pj8ZkFJSUSMB3Gq3kGZiQp3giO6njJZBewV6l&#10;WLy+XNEK3bpD0GiuTbnDRthYJ+oGVR8lIvEEGy9ptX8ksbOP12gf/xj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FCAuu1gAAAAgBAAAPAAAAAAAAAAEAIAAAACIAAABkcnMvZG93bnJldi54bWxQ&#10;SwECFAAUAAAACACHTuJAjgvxbTICAABgBAAADgAAAAAAAAABACAAAAAlAQAAZHJzL2Uyb0RvYy54&#10;bWxQSwUGAAAAAAYABgBZAQAAyQUAAAAA&#10;">
                <v:fill on="t" focussize="0,0"/>
                <v:stroke color="#000000" joinstyle="miter"/>
                <v:imagedata o:title=""/>
                <o:lock v:ext="edit" aspectratio="f"/>
                <v:textbox>
                  <w:txbxContent>
                    <w:p w14:paraId="4D9A1DE3">
                      <w:pPr>
                        <w:jc w:val="center"/>
                        <w:rPr>
                          <w:rFonts w:hAnsi="宋体"/>
                        </w:rPr>
                      </w:pPr>
                    </w:p>
                    <w:p w14:paraId="010EDD3B">
                      <w:pPr>
                        <w:jc w:val="center"/>
                        <w:rPr>
                          <w:rFonts w:hAnsi="宋体"/>
                        </w:rPr>
                      </w:pPr>
                    </w:p>
                    <w:p w14:paraId="2936A2D6">
                      <w:pPr>
                        <w:jc w:val="center"/>
                        <w:rPr>
                          <w:rFonts w:hAnsi="宋体"/>
                        </w:rPr>
                      </w:pPr>
                    </w:p>
                    <w:p w14:paraId="5466F248">
                      <w:pPr>
                        <w:jc w:val="center"/>
                        <w:rPr>
                          <w:lang w:eastAsia="zh-CN"/>
                        </w:rPr>
                      </w:pPr>
                      <w:r>
                        <w:rPr>
                          <w:rFonts w:hint="eastAsia" w:hAnsi="宋体"/>
                          <w:lang w:eastAsia="zh-CN"/>
                        </w:rPr>
                        <w:t>法定代表人身份证复印件</w:t>
                      </w:r>
                    </w:p>
                  </w:txbxContent>
                </v:textbox>
              </v:shape>
            </w:pict>
          </mc:Fallback>
        </mc:AlternateContent>
      </w:r>
      <w:r>
        <w:rPr>
          <w:rFonts w:hint="eastAsia" w:asciiTheme="minorEastAsia" w:hAnsiTheme="minorEastAsia" w:eastAsiaTheme="minorEastAsia" w:cstheme="minorEastAsia"/>
          <w:color w:val="auto"/>
          <w:sz w:val="24"/>
          <w:szCs w:val="20"/>
        </w:rPr>
        <mc:AlternateContent>
          <mc:Choice Requires="wps">
            <w:drawing>
              <wp:anchor distT="0" distB="0" distL="114300" distR="114300" simplePos="0" relativeHeight="251663360" behindDoc="0" locked="0" layoutInCell="1" allowOverlap="1">
                <wp:simplePos x="0" y="0"/>
                <wp:positionH relativeFrom="column">
                  <wp:posOffset>2918460</wp:posOffset>
                </wp:positionH>
                <wp:positionV relativeFrom="paragraph">
                  <wp:posOffset>28575</wp:posOffset>
                </wp:positionV>
                <wp:extent cx="2529205" cy="1605915"/>
                <wp:effectExtent l="7620" t="7620" r="15875" b="24765"/>
                <wp:wrapNone/>
                <wp:docPr id="15" name="圆角矩形 15"/>
                <wp:cNvGraphicFramePr/>
                <a:graphic xmlns:a="http://schemas.openxmlformats.org/drawingml/2006/main">
                  <a:graphicData uri="http://schemas.microsoft.com/office/word/2010/wordprocessingShape">
                    <wps:wsp>
                      <wps:cNvSpPr/>
                      <wps:spPr>
                        <a:xfrm>
                          <a:off x="0" y="0"/>
                          <a:ext cx="2529205" cy="160591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E08F1EA">
                            <w:pPr>
                              <w:jc w:val="center"/>
                              <w:rPr>
                                <w:rFonts w:hAnsi="宋体"/>
                              </w:rPr>
                            </w:pPr>
                          </w:p>
                          <w:p w14:paraId="61089541">
                            <w:pPr>
                              <w:jc w:val="center"/>
                              <w:rPr>
                                <w:rFonts w:hAnsi="宋体"/>
                              </w:rPr>
                            </w:pPr>
                          </w:p>
                          <w:p w14:paraId="6785EC65">
                            <w:pPr>
                              <w:jc w:val="center"/>
                              <w:rPr>
                                <w:rFonts w:hAnsi="宋体"/>
                              </w:rPr>
                            </w:pPr>
                          </w:p>
                          <w:p w14:paraId="1CCDAA5C">
                            <w:pPr>
                              <w:jc w:val="center"/>
                            </w:pPr>
                            <w:r>
                              <w:rPr>
                                <w:rFonts w:hint="eastAsia" w:hAnsi="宋体"/>
                              </w:rPr>
                              <w:t>法人身份证复印件反面</w:t>
                            </w:r>
                          </w:p>
                          <w:p w14:paraId="6DC70188"/>
                          <w:p w14:paraId="5911E20C">
                            <w:pPr>
                              <w:pStyle w:val="5"/>
                            </w:pPr>
                          </w:p>
                          <w:p w14:paraId="161B6D9D">
                            <w:pPr>
                              <w:pStyle w:val="5"/>
                            </w:pPr>
                          </w:p>
                          <w:p w14:paraId="063638AA">
                            <w:pPr>
                              <w:pStyle w:val="5"/>
                            </w:pPr>
                          </w:p>
                          <w:p w14:paraId="52FFA469">
                            <w:pPr>
                              <w:pStyle w:val="5"/>
                            </w:pPr>
                          </w:p>
                        </w:txbxContent>
                      </wps:txbx>
                      <wps:bodyPr upright="1"/>
                    </wps:wsp>
                  </a:graphicData>
                </a:graphic>
              </wp:anchor>
            </w:drawing>
          </mc:Choice>
          <mc:Fallback>
            <w:pict>
              <v:roundrect id="_x0000_s1026" o:spid="_x0000_s1026" o:spt="2" style="position:absolute;left:0pt;margin-left:229.8pt;margin-top:2.25pt;height:126.45pt;width:199.15pt;z-index:251663360;mso-width-relative:page;mso-height-relative:page;" fillcolor="#FFFFFF" filled="t" stroked="t" coordsize="21600,21600" arcsize="0.166666666666667" o:gfxdata="UEsDBAoAAAAAAIdO4kAAAAAAAAAAAAAAAAAEAAAAZHJzL1BLAwQUAAAACACHTuJAybUW+dsAAAAJ&#10;AQAADwAAAGRycy9kb3ducmV2LnhtbE2PwW7CMBBE75X6D9ZW6q3YUEIgjYMQUiu14gChl95MvE0i&#10;4nUUG0L69TUnuM1qRjNv0+XFNOyMnastSRiPBDCkwuqaSgnf+/eXOTDnFWnVWEIJAzpYZo8PqUq0&#10;7WmH59yXLJSQS5SEyvs24dwVFRrlRrZFCt6v7Yzy4exKrjvVh3LT8IkQM25UTWGhUi2uKyyO+clI&#10;6P+G48cmxtcvsftc5ft42P5saymfn8biDZjHi7+F4Yof0CELTAd7Iu1YI2EaLWYhehXAgj+P4gWw&#10;g4RJFE+BZym//yD7B1BLAwQUAAAACACHTuJAxOMeQCsCAABoBAAADgAAAGRycy9lMm9Eb2MueG1s&#10;rVRNjtMwFN4jcQfLe5q0UjudqOksKGWDYMTAAVz/JEb+k+026QU4AGskJDaIQ3CcERyDZyd0fmDR&#10;BYnkPNvvff7e956zuuq1Qgfug7SmxtNJiRE31DJpmhq/f7d9tsQoRGIYUdbwGh95wFfrp09Wnav4&#10;zLZWMe4RgJhQda7GbYyuKopAW65JmFjHDWwK6zWJMPVNwTzpAF2rYlaWi6KznjlvKQ8BVjfDJh4R&#10;/TmAVghJ+cbSveYmDqieKxIhpdBKF/A6sxWC0/hGiMAjUjWGTGMe4RCwd2ks1itSNZ64VtKRAjmH&#10;wqOcNJEGDj1BbUgkaO/lX1BaUm+DFXFCrS6GRLIikMW0fKTNTUscz7mA1MGdRA//D5a+Plx7JBl0&#10;whwjQzRU/Pbzx1/fPv388v32x1cEy6BR50IFrjfu2o+zAGZKuBdepy+kgvqs6/GkK+8jorA4m88u&#10;ZyXgU9ibLsr55YBa3IU7H+JLbjVKRo293Rv2FqqXRSWHVyFmddlIkbAPGAmtoFYHotB0sVhcJJ6A&#10;ODqD9QczRQarJNtKpfLEN7vnyiMIrfE2P2PwAzdlUJd0WV4k6gR6XUCPgakd6BVMk8k9CAn3kZdl&#10;ev+FnJhtSGgHBhkhuZGq5YS9MAzFo4NCGLiAOHHQnGGkONzXZGXPSKQ6xxN0UCZB83wbQMgkU6rn&#10;UMFkxX7Xw2oyd5YdoSH2zsumhUJMM/20Aw2Y9R0vS+rw+/MMeveDW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bUW+dsAAAAJAQAADwAAAAAAAAABACAAAAAiAAAAZHJzL2Rvd25yZXYueG1sUEsB&#10;AhQAFAAAAAgAh07iQMTjHkArAgAAaAQAAA4AAAAAAAAAAQAgAAAAKgEAAGRycy9lMm9Eb2MueG1s&#10;UEsFBgAAAAAGAAYAWQEAAMcFAAAAAA==&#10;">
                <v:fill on="t" focussize="0,0"/>
                <v:stroke weight="1.25pt" color="#808080" joinstyle="round"/>
                <v:imagedata o:title=""/>
                <o:lock v:ext="edit" aspectratio="f"/>
                <v:textbox>
                  <w:txbxContent>
                    <w:p w14:paraId="7E08F1EA">
                      <w:pPr>
                        <w:jc w:val="center"/>
                        <w:rPr>
                          <w:rFonts w:hAnsi="宋体"/>
                        </w:rPr>
                      </w:pPr>
                    </w:p>
                    <w:p w14:paraId="61089541">
                      <w:pPr>
                        <w:jc w:val="center"/>
                        <w:rPr>
                          <w:rFonts w:hAnsi="宋体"/>
                        </w:rPr>
                      </w:pPr>
                    </w:p>
                    <w:p w14:paraId="6785EC65">
                      <w:pPr>
                        <w:jc w:val="center"/>
                        <w:rPr>
                          <w:rFonts w:hAnsi="宋体"/>
                        </w:rPr>
                      </w:pPr>
                    </w:p>
                    <w:p w14:paraId="1CCDAA5C">
                      <w:pPr>
                        <w:jc w:val="center"/>
                      </w:pPr>
                      <w:r>
                        <w:rPr>
                          <w:rFonts w:hint="eastAsia" w:hAnsi="宋体"/>
                        </w:rPr>
                        <w:t>法人身份证复印件反面</w:t>
                      </w:r>
                    </w:p>
                    <w:p w14:paraId="6DC70188"/>
                    <w:p w14:paraId="5911E20C">
                      <w:pPr>
                        <w:pStyle w:val="5"/>
                      </w:pPr>
                    </w:p>
                    <w:p w14:paraId="161B6D9D">
                      <w:pPr>
                        <w:pStyle w:val="5"/>
                      </w:pPr>
                    </w:p>
                    <w:p w14:paraId="063638AA">
                      <w:pPr>
                        <w:pStyle w:val="5"/>
                      </w:pPr>
                    </w:p>
                    <w:p w14:paraId="52FFA469">
                      <w:pPr>
                        <w:pStyle w:val="5"/>
                      </w:pPr>
                    </w:p>
                  </w:txbxContent>
                </v:textbox>
              </v:roundrect>
            </w:pict>
          </mc:Fallback>
        </mc:AlternateContent>
      </w:r>
    </w:p>
    <w:p w14:paraId="1A3B20E3">
      <w:pPr>
        <w:spacing w:line="360" w:lineRule="auto"/>
        <w:rPr>
          <w:rFonts w:hint="eastAsia" w:asciiTheme="minorEastAsia" w:hAnsiTheme="minorEastAsia" w:eastAsiaTheme="minorEastAsia" w:cstheme="minorEastAsia"/>
          <w:color w:val="auto"/>
          <w:sz w:val="24"/>
          <w:szCs w:val="20"/>
          <w:lang w:eastAsia="zh-CN"/>
        </w:rPr>
      </w:pPr>
    </w:p>
    <w:p w14:paraId="55CF6C94">
      <w:pPr>
        <w:spacing w:line="360" w:lineRule="auto"/>
        <w:rPr>
          <w:rFonts w:hint="eastAsia" w:asciiTheme="minorEastAsia" w:hAnsiTheme="minorEastAsia" w:eastAsiaTheme="minorEastAsia" w:cstheme="minorEastAsia"/>
          <w:color w:val="auto"/>
          <w:sz w:val="24"/>
          <w:szCs w:val="20"/>
          <w:lang w:eastAsia="zh-CN"/>
        </w:rPr>
      </w:pPr>
    </w:p>
    <w:p w14:paraId="5919BF65">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Theme="minorEastAsia" w:hAnsiTheme="minorEastAsia" w:eastAsiaTheme="minorEastAsia" w:cstheme="minorEastAsia"/>
          <w:color w:val="auto"/>
          <w:sz w:val="24"/>
          <w:szCs w:val="20"/>
          <w:lang w:eastAsia="zh-CN"/>
        </w:rPr>
      </w:pPr>
    </w:p>
    <w:p w14:paraId="334510EB">
      <w:pPr>
        <w:spacing w:line="360" w:lineRule="auto"/>
        <w:ind w:right="246"/>
        <w:rPr>
          <w:rFonts w:hint="eastAsia" w:asciiTheme="minorEastAsia" w:hAnsiTheme="minorEastAsia" w:eastAsiaTheme="minorEastAsia" w:cstheme="minorEastAsia"/>
          <w:color w:val="auto"/>
          <w:sz w:val="24"/>
          <w:szCs w:val="20"/>
          <w:lang w:eastAsia="zh-CN"/>
        </w:rPr>
      </w:pPr>
    </w:p>
    <w:p w14:paraId="0B9BED93">
      <w:pPr>
        <w:spacing w:line="360" w:lineRule="auto"/>
        <w:ind w:right="246" w:firstLine="784" w:firstLineChars="327"/>
        <w:rPr>
          <w:rFonts w:hint="eastAsia" w:asciiTheme="minorEastAsia" w:hAnsiTheme="minorEastAsia" w:eastAsiaTheme="minorEastAsia" w:cstheme="minorEastAsia"/>
          <w:color w:val="auto"/>
          <w:sz w:val="24"/>
          <w:szCs w:val="20"/>
          <w:lang w:eastAsia="zh-CN"/>
        </w:rPr>
      </w:pPr>
    </w:p>
    <w:p w14:paraId="19F1424A">
      <w:pPr>
        <w:spacing w:line="360" w:lineRule="auto"/>
        <w:ind w:right="246" w:firstLine="784" w:firstLineChars="327"/>
        <w:rPr>
          <w:rFonts w:hint="eastAsia" w:asciiTheme="minorEastAsia" w:hAnsiTheme="minorEastAsia" w:eastAsiaTheme="minorEastAsia" w:cstheme="minorEastAsia"/>
          <w:color w:val="auto"/>
          <w:sz w:val="24"/>
          <w:szCs w:val="20"/>
          <w:lang w:eastAsia="zh-CN"/>
        </w:rPr>
      </w:pPr>
    </w:p>
    <w:p w14:paraId="5B230467">
      <w:pPr>
        <w:spacing w:line="360" w:lineRule="auto"/>
        <w:ind w:right="246" w:firstLine="784" w:firstLineChars="327"/>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 xml:space="preserve">供应商（盖章）：                              </w:t>
      </w:r>
    </w:p>
    <w:p w14:paraId="61809C35">
      <w:pPr>
        <w:spacing w:line="360" w:lineRule="auto"/>
        <w:ind w:firstLine="784" w:firstLineChars="327"/>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 xml:space="preserve">法定代表人签字或盖章：                    </w:t>
      </w:r>
    </w:p>
    <w:p w14:paraId="0DFF506D">
      <w:pPr>
        <w:spacing w:line="360" w:lineRule="auto"/>
        <w:ind w:firstLine="784" w:firstLineChars="327"/>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 xml:space="preserve">日期：                                       </w:t>
      </w:r>
    </w:p>
    <w:p w14:paraId="4DE30AFD">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69F4944F">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77338E0E">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1237D54D">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5BB5C7C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48D5EC12">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0E9C2795">
      <w:pPr>
        <w:jc w:val="center"/>
        <w:rPr>
          <w:rFonts w:hint="eastAsia" w:asciiTheme="minorEastAsia" w:hAnsiTheme="minorEastAsia" w:eastAsiaTheme="minorEastAsia" w:cstheme="minorEastAsia"/>
          <w:b/>
          <w:bCs/>
          <w:color w:val="auto"/>
          <w:sz w:val="20"/>
          <w:lang w:eastAsia="zh-CN"/>
        </w:rPr>
      </w:pPr>
    </w:p>
    <w:p w14:paraId="29891F5B">
      <w:pPr>
        <w:pStyle w:val="4"/>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17" w:name="_Toc6725"/>
      <w:bookmarkStart w:id="718" w:name="_Toc18802"/>
      <w:bookmarkStart w:id="719" w:name="_Toc19476"/>
      <w:r>
        <w:rPr>
          <w:rFonts w:hint="eastAsia" w:asciiTheme="minorEastAsia" w:hAnsiTheme="minorEastAsia" w:eastAsiaTheme="minorEastAsia" w:cstheme="minorEastAsia"/>
          <w:color w:val="auto"/>
          <w:u w:val="none"/>
          <w:lang w:eastAsia="zh-CN"/>
        </w:rPr>
        <w:t>4  法定代表人授权委托书</w:t>
      </w:r>
      <w:bookmarkEnd w:id="717"/>
      <w:bookmarkEnd w:id="718"/>
      <w:bookmarkEnd w:id="719"/>
    </w:p>
    <w:p w14:paraId="42CADDC3">
      <w:pPr>
        <w:rPr>
          <w:rFonts w:hint="eastAsia" w:asciiTheme="minorEastAsia" w:hAnsiTheme="minorEastAsia" w:eastAsiaTheme="minorEastAsia" w:cstheme="minorEastAsia"/>
          <w:color w:val="auto"/>
          <w:lang w:eastAsia="zh-CN"/>
        </w:rPr>
      </w:pPr>
    </w:p>
    <w:p w14:paraId="1C88EEFC">
      <w:pPr>
        <w:pStyle w:val="11"/>
        <w:tabs>
          <w:tab w:val="left" w:pos="5580"/>
        </w:tabs>
        <w:kinsoku/>
        <w:autoSpaceDE/>
        <w:autoSpaceDN/>
        <w:adjustRightInd/>
        <w:snapToGrid/>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本授权书声明：注册于</w:t>
      </w:r>
      <w:r>
        <w:rPr>
          <w:rFonts w:hint="eastAsia" w:asciiTheme="minorEastAsia" w:hAnsiTheme="minorEastAsia" w:eastAsiaTheme="minorEastAsia" w:cstheme="minorEastAsia"/>
          <w:color w:val="auto"/>
          <w:sz w:val="24"/>
          <w:u w:val="single"/>
          <w:lang w:eastAsia="zh-CN"/>
        </w:rPr>
        <w:t>（国家或地区的名称）</w:t>
      </w:r>
      <w:r>
        <w:rPr>
          <w:rFonts w:hint="eastAsia" w:asciiTheme="minorEastAsia" w:hAnsiTheme="minorEastAsia" w:eastAsiaTheme="minorEastAsia" w:cstheme="minorEastAsia"/>
          <w:color w:val="auto"/>
          <w:sz w:val="24"/>
          <w:lang w:eastAsia="zh-CN"/>
        </w:rPr>
        <w:t>的</w:t>
      </w:r>
      <w:r>
        <w:rPr>
          <w:rFonts w:hint="eastAsia" w:asciiTheme="minorEastAsia" w:hAnsiTheme="minorEastAsia" w:eastAsiaTheme="minorEastAsia" w:cstheme="minorEastAsia"/>
          <w:color w:val="auto"/>
          <w:sz w:val="24"/>
          <w:u w:val="single"/>
          <w:lang w:eastAsia="zh-CN"/>
        </w:rPr>
        <w:t>（供应商）</w:t>
      </w:r>
      <w:r>
        <w:rPr>
          <w:rFonts w:hint="eastAsia" w:asciiTheme="minorEastAsia" w:hAnsiTheme="minorEastAsia" w:eastAsiaTheme="minorEastAsia" w:cstheme="minorEastAsia"/>
          <w:color w:val="auto"/>
          <w:sz w:val="24"/>
          <w:lang w:eastAsia="zh-CN"/>
        </w:rPr>
        <w:t>的在下面签字的</w:t>
      </w:r>
      <w:r>
        <w:rPr>
          <w:rFonts w:hint="eastAsia" w:asciiTheme="minorEastAsia" w:hAnsiTheme="minorEastAsia" w:eastAsiaTheme="minorEastAsia" w:cstheme="minorEastAsia"/>
          <w:color w:val="auto"/>
          <w:sz w:val="24"/>
          <w:u w:val="single"/>
          <w:lang w:eastAsia="zh-CN"/>
        </w:rPr>
        <w:t>（法人代表姓名、职务）</w:t>
      </w:r>
      <w:r>
        <w:rPr>
          <w:rFonts w:hint="eastAsia" w:asciiTheme="minorEastAsia" w:hAnsiTheme="minorEastAsia" w:eastAsiaTheme="minorEastAsia" w:cstheme="minorEastAsia"/>
          <w:color w:val="auto"/>
          <w:sz w:val="24"/>
          <w:lang w:eastAsia="zh-CN"/>
        </w:rPr>
        <w:t>代表我单位授权</w:t>
      </w:r>
      <w:r>
        <w:rPr>
          <w:rFonts w:hint="eastAsia" w:asciiTheme="minorEastAsia" w:hAnsiTheme="minorEastAsia" w:eastAsiaTheme="minorEastAsia" w:cstheme="minorEastAsia"/>
          <w:color w:val="auto"/>
          <w:sz w:val="24"/>
          <w:u w:val="single"/>
          <w:lang w:eastAsia="zh-CN"/>
        </w:rPr>
        <w:t>（单位名称）</w:t>
      </w:r>
      <w:r>
        <w:rPr>
          <w:rFonts w:hint="eastAsia" w:asciiTheme="minorEastAsia" w:hAnsiTheme="minorEastAsia" w:eastAsiaTheme="minorEastAsia" w:cstheme="minorEastAsia"/>
          <w:color w:val="auto"/>
          <w:sz w:val="24"/>
          <w:lang w:eastAsia="zh-CN"/>
        </w:rPr>
        <w:t>的在下面签字的</w:t>
      </w:r>
      <w:r>
        <w:rPr>
          <w:rFonts w:hint="eastAsia" w:asciiTheme="minorEastAsia" w:hAnsiTheme="minorEastAsia" w:eastAsiaTheme="minorEastAsia" w:cstheme="minorEastAsia"/>
          <w:color w:val="auto"/>
          <w:sz w:val="24"/>
          <w:u w:val="single"/>
          <w:lang w:eastAsia="zh-CN"/>
        </w:rPr>
        <w:t>（被授权人的姓名、职务）</w:t>
      </w:r>
      <w:r>
        <w:rPr>
          <w:rFonts w:hint="eastAsia" w:asciiTheme="minorEastAsia" w:hAnsiTheme="minorEastAsia" w:eastAsiaTheme="minorEastAsia" w:cstheme="minorEastAsia"/>
          <w:color w:val="auto"/>
          <w:sz w:val="24"/>
          <w:lang w:eastAsia="zh-CN"/>
        </w:rPr>
        <w:t>为我单位的合法代理人，就项目名称</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lang w:eastAsia="zh-CN"/>
        </w:rPr>
        <w:t>项目编号</w:t>
      </w:r>
      <w:r>
        <w:rPr>
          <w:rFonts w:hint="eastAsia" w:asciiTheme="minorEastAsia" w:hAnsiTheme="minorEastAsia" w:eastAsiaTheme="minorEastAsia" w:cstheme="minorEastAsia"/>
          <w:color w:val="auto"/>
          <w:sz w:val="24"/>
          <w:u w:val="single"/>
          <w:lang w:eastAsia="zh-CN"/>
        </w:rPr>
        <w:t>（编号名称）</w:t>
      </w:r>
      <w:r>
        <w:rPr>
          <w:rFonts w:hint="eastAsia" w:asciiTheme="minorEastAsia" w:hAnsiTheme="minorEastAsia" w:eastAsiaTheme="minorEastAsia" w:cstheme="minorEastAsia"/>
          <w:color w:val="auto"/>
          <w:sz w:val="24"/>
          <w:lang w:eastAsia="zh-CN"/>
        </w:rPr>
        <w:t>公开招标，以我单位名义处理一切与之有关的事务。</w:t>
      </w:r>
      <w:r>
        <w:rPr>
          <w:rFonts w:hint="eastAsia" w:asciiTheme="minorEastAsia" w:hAnsiTheme="minorEastAsia" w:eastAsiaTheme="minorEastAsia" w:cstheme="minorEastAsia"/>
          <w:color w:val="auto"/>
          <w:sz w:val="24"/>
          <w:lang w:eastAsia="zh-CN"/>
        </w:rPr>
        <w:cr/>
      </w:r>
    </w:p>
    <w:p w14:paraId="1890C884">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mc:AlternateContent>
          <mc:Choice Requires="wps">
            <w:drawing>
              <wp:anchor distT="0" distB="0" distL="114300" distR="114300" simplePos="0" relativeHeight="251665408" behindDoc="0" locked="0" layoutInCell="1" allowOverlap="1">
                <wp:simplePos x="0" y="0"/>
                <wp:positionH relativeFrom="column">
                  <wp:posOffset>2810510</wp:posOffset>
                </wp:positionH>
                <wp:positionV relativeFrom="paragraph">
                  <wp:posOffset>591185</wp:posOffset>
                </wp:positionV>
                <wp:extent cx="2506980" cy="1424940"/>
                <wp:effectExtent l="8255" t="7620" r="18415" b="15240"/>
                <wp:wrapNone/>
                <wp:docPr id="2" name="圆角矩形 2"/>
                <wp:cNvGraphicFramePr/>
                <a:graphic xmlns:a="http://schemas.openxmlformats.org/drawingml/2006/main">
                  <a:graphicData uri="http://schemas.microsoft.com/office/word/2010/wordprocessingShape">
                    <wps:wsp>
                      <wps:cNvSpPr/>
                      <wps:spPr>
                        <a:xfrm>
                          <a:off x="0" y="0"/>
                          <a:ext cx="2506980" cy="142494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942CBA2">
                            <w:pPr>
                              <w:rPr>
                                <w:rFonts w:hAnsi="宋体"/>
                              </w:rPr>
                            </w:pPr>
                          </w:p>
                          <w:p w14:paraId="2E11AE16">
                            <w:pPr>
                              <w:rPr>
                                <w:rFonts w:hAnsi="宋体"/>
                              </w:rPr>
                            </w:pPr>
                          </w:p>
                          <w:p w14:paraId="7FF54395">
                            <w:pPr>
                              <w:rPr>
                                <w:lang w:eastAsia="zh-CN"/>
                              </w:rPr>
                            </w:pPr>
                            <w:r>
                              <w:rPr>
                                <w:rFonts w:hint="eastAsia" w:hAnsi="宋体"/>
                                <w:lang w:eastAsia="zh-CN"/>
                              </w:rPr>
                              <w:t>授权委托人身份证复印件反面</w:t>
                            </w:r>
                          </w:p>
                          <w:p w14:paraId="0BCDF1B1">
                            <w:pPr>
                              <w:rPr>
                                <w:lang w:eastAsia="zh-CN"/>
                              </w:rPr>
                            </w:pPr>
                          </w:p>
                        </w:txbxContent>
                      </wps:txbx>
                      <wps:bodyPr upright="1"/>
                    </wps:wsp>
                  </a:graphicData>
                </a:graphic>
              </wp:anchor>
            </w:drawing>
          </mc:Choice>
          <mc:Fallback>
            <w:pict>
              <v:roundrect id="_x0000_s1026" o:spid="_x0000_s1026" o:spt="2" style="position:absolute;left:0pt;margin-left:221.3pt;margin-top:46.55pt;height:112.2pt;width:197.4pt;z-index:251665408;mso-width-relative:page;mso-height-relative:page;" fillcolor="#FFFFFF" filled="t" stroked="t" coordsize="21600,21600" arcsize="0.166666666666667" o:gfxdata="UEsDBAoAAAAAAIdO4kAAAAAAAAAAAAAAAAAEAAAAZHJzL1BLAwQUAAAACACHTuJAFL15ItwAAAAK&#10;AQAADwAAAGRycy9kb3ducmV2LnhtbE2PwU7DMBBE70j8g7VI3KidJjRtmk2FkEAC9dCmXLi58ZJE&#10;je0odpuGr8ec4Liap5m3+eaqO3ahwbXWIEQzAYxMZVVraoSPw8vDEpjz0ijZWUMIEznYFLc3ucyU&#10;Hc2eLqWvWSgxLpMIjfd9xrmrGtLSzWxPJmRfdtDSh3OouRrkGMp1x+dCLLiWrQkLjezpuaHqVJ41&#10;wvg9nV63KcXvYv/2VB7Safe5axHv7yKxBubp6v9g+NUP6lAEp6M9G+VYh5Ak80VAEVZxBCwAyzhN&#10;gB0R4ih9BF7k/P8LxQ9QSwMEFAAAAAgAh07iQJJaPk4tAgAAZgQAAA4AAABkcnMvZTJvRG9jLnht&#10;bK1US44TMRDdI3EHy3vSHyWZTCudWRDCBsGIgQM4trvbyD/ZTrpzAQ7AGgmJDeIQHGcEx6DsNJkP&#10;LLKgW3KX7arnV6/KvbwalER77rwwusbFJMeIa2qY0G2N37/bPFtg5APRjEijeY0P3OOr1dMny95W&#10;vDSdkYw7BCDaV72tcReCrbLM044r4ifGcg2bjXGKBJi6NmOO9ICuZFbm+TzrjWPWGcq9h9X1cROP&#10;iO4cQNM0gvK1oTvFdTiiOi5JgJR8J6zHq8S2aTgNb5rG84BkjSHTkEY4BOxtHLPVklStI7YTdKRA&#10;zqHwKCdFhIZDT1BrEgjaOfEXlBLUGW+aMKFGZcdEkiKQRZE/0uamI5anXEBqb0+i+/8HS1/vrx0S&#10;rMYlRpooKPjt54+/vn36+eX77Y+vqIwK9dZX4Hhjr90482DGdIfGqfiFRNCQVD2cVOVDQBQWy1k+&#10;v1yA4BT2imk5vZwm3bO7cOt8eMmNQtGosTM7zd5C7ZKkZP/Kh6QtGxkS9gGjRkmo1J5IVMzn84vI&#10;ExBHZ7D+YMZIb6RgGyFlmrh2+1w6BKE13qRnDH7gJjXqge9scTED6gQ6vYEOA1NZUMvrNpF7EOLv&#10;Iy/y+P4LOTJbE98dGSSE6EaqjhP2QjMUDhbqoOH64chBcYaR5HBbo5U8AxHyHE/QQeoIzdNdACGj&#10;TLGexwpGKwzbAVajuTXsAO2ws060HRSiSPTjDrRf0ne8KrG/788T6N3vY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L15ItwAAAAKAQAADwAAAAAAAAABACAAAAAiAAAAZHJzL2Rvd25yZXYueG1s&#10;UEsBAhQAFAAAAAgAh07iQJJaPk4tAgAAZgQAAA4AAAAAAAAAAQAgAAAAKwEAAGRycy9lMm9Eb2Mu&#10;eG1sUEsFBgAAAAAGAAYAWQEAAMoFAAAAAA==&#10;">
                <v:fill on="t" focussize="0,0"/>
                <v:stroke weight="1.25pt" color="#808080" joinstyle="round"/>
                <v:imagedata o:title=""/>
                <o:lock v:ext="edit" aspectratio="f"/>
                <v:textbox>
                  <w:txbxContent>
                    <w:p w14:paraId="3942CBA2">
                      <w:pPr>
                        <w:rPr>
                          <w:rFonts w:hAnsi="宋体"/>
                        </w:rPr>
                      </w:pPr>
                    </w:p>
                    <w:p w14:paraId="2E11AE16">
                      <w:pPr>
                        <w:rPr>
                          <w:rFonts w:hAnsi="宋体"/>
                        </w:rPr>
                      </w:pPr>
                    </w:p>
                    <w:p w14:paraId="7FF54395">
                      <w:pPr>
                        <w:rPr>
                          <w:lang w:eastAsia="zh-CN"/>
                        </w:rPr>
                      </w:pPr>
                      <w:r>
                        <w:rPr>
                          <w:rFonts w:hint="eastAsia" w:hAnsi="宋体"/>
                          <w:lang w:eastAsia="zh-CN"/>
                        </w:rPr>
                        <w:t>授权委托人身份证复印件反面</w:t>
                      </w:r>
                    </w:p>
                    <w:p w14:paraId="0BCDF1B1">
                      <w:pPr>
                        <w:rPr>
                          <w:lang w:eastAsia="zh-CN"/>
                        </w:rPr>
                      </w:pPr>
                    </w:p>
                  </w:txbxContent>
                </v:textbox>
              </v:roundrect>
            </w:pict>
          </mc:Fallback>
        </mc:AlternateContent>
      </w:r>
      <w:r>
        <w:rPr>
          <w:rFonts w:hint="eastAsia" w:asciiTheme="minorEastAsia" w:hAnsiTheme="minorEastAsia" w:eastAsiaTheme="minorEastAsia" w:cstheme="minorEastAsia"/>
          <w:color w:val="auto"/>
          <w:sz w:val="24"/>
          <w:lang w:eastAsia="zh-CN"/>
        </w:rPr>
        <w:t>本授权书于           年     月     日签字生效,特此声明。</w:t>
      </w:r>
      <w:r>
        <w:rPr>
          <w:rFonts w:hint="eastAsia" w:asciiTheme="minorEastAsia" w:hAnsiTheme="minorEastAsia" w:eastAsiaTheme="minorEastAsia" w:cstheme="minorEastAsia"/>
          <w:color w:val="auto"/>
          <w:sz w:val="24"/>
          <w:lang w:eastAsia="zh-CN"/>
        </w:rPr>
        <w:cr/>
      </w:r>
      <w:r>
        <w:rPr>
          <w:rFonts w:hint="eastAsia" w:asciiTheme="minorEastAsia" w:hAnsiTheme="minorEastAsia" w:eastAsiaTheme="minorEastAsia" w:cstheme="minorEastAsia"/>
          <w:color w:val="auto"/>
          <w:sz w:val="24"/>
          <w:lang w:eastAsia="zh-CN"/>
        </w:rPr>
        <w:cr/>
      </w:r>
    </w:p>
    <w:p w14:paraId="7A9D51D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mc:AlternateContent>
          <mc:Choice Requires="wps">
            <w:drawing>
              <wp:anchor distT="0" distB="0" distL="114300" distR="114300" simplePos="0" relativeHeight="251664384" behindDoc="0" locked="0" layoutInCell="1" allowOverlap="1">
                <wp:simplePos x="0" y="0"/>
                <wp:positionH relativeFrom="column">
                  <wp:posOffset>241935</wp:posOffset>
                </wp:positionH>
                <wp:positionV relativeFrom="paragraph">
                  <wp:posOffset>6350</wp:posOffset>
                </wp:positionV>
                <wp:extent cx="2440305" cy="1426210"/>
                <wp:effectExtent l="4445" t="4445" r="12700" b="17145"/>
                <wp:wrapNone/>
                <wp:docPr id="4" name="流程图: 可选过程 4"/>
                <wp:cNvGraphicFramePr/>
                <a:graphic xmlns:a="http://schemas.openxmlformats.org/drawingml/2006/main">
                  <a:graphicData uri="http://schemas.microsoft.com/office/word/2010/wordprocessingShape">
                    <wps:wsp>
                      <wps:cNvSpPr/>
                      <wps:spPr>
                        <a:xfrm>
                          <a:off x="0" y="0"/>
                          <a:ext cx="2440305" cy="142621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C8AD2DF">
                            <w:pPr>
                              <w:jc w:val="center"/>
                              <w:rPr>
                                <w:rFonts w:hAnsi="宋体"/>
                              </w:rPr>
                            </w:pPr>
                          </w:p>
                          <w:p w14:paraId="1B9BC0C5">
                            <w:pPr>
                              <w:jc w:val="center"/>
                              <w:rPr>
                                <w:rFonts w:hAnsi="宋体"/>
                              </w:rPr>
                            </w:pPr>
                          </w:p>
                          <w:p w14:paraId="267F8E22">
                            <w:pPr>
                              <w:rPr>
                                <w:lang w:eastAsia="zh-CN"/>
                              </w:rPr>
                            </w:pPr>
                            <w:r>
                              <w:rPr>
                                <w:rFonts w:hint="eastAsia" w:hAnsi="宋体"/>
                                <w:lang w:eastAsia="zh-CN"/>
                              </w:rPr>
                              <w:t>授权委托人身份证复印件正面</w:t>
                            </w:r>
                          </w:p>
                        </w:txbxContent>
                      </wps:txbx>
                      <wps:bodyPr upright="1"/>
                    </wps:wsp>
                  </a:graphicData>
                </a:graphic>
              </wp:anchor>
            </w:drawing>
          </mc:Choice>
          <mc:Fallback>
            <w:pict>
              <v:shape id="_x0000_s1026" o:spid="_x0000_s1026" o:spt="176" type="#_x0000_t176" style="position:absolute;left:0pt;margin-left:19.05pt;margin-top:0.5pt;height:112.3pt;width:192.15pt;z-index:251664384;mso-width-relative:page;mso-height-relative:page;" fillcolor="#FFFFFF" filled="t" stroked="t" coordsize="21600,21600" o:gfxdata="UEsDBAoAAAAAAIdO4kAAAAAAAAAAAAAAAAAEAAAAZHJzL1BLAwQUAAAACACHTuJAmJfOIdYAAAAI&#10;AQAADwAAAGRycy9kb3ducmV2LnhtbE2PQU+EMBCF7yb+h2ZMvLmF7oosUjZGoycv4iZ7LXSkRNoS&#10;Wlj01zue9Djvvbz5XnlY7cAWnELvnYR0kwBD13rdu07C8f35JgcWonJaDd6hhC8McKguL0pVaH92&#10;b7jUsWNU4kKhJJgYx4Lz0Bq0Kmz8iI68Dz9ZFemcOq4ndaZyO3CRJBm3qnf0wagRHw22n/VsJayv&#10;381+fknbOpo8uzttl6eHI5fy+ipN7oFFXONfGH7xCR0qYmr87HRgg4RtnlKSdFpE9k6IHbBGghC3&#10;GfCq5P8HVD9QSwMEFAAAAAgAh07iQBlbCy8vAgAAXgQAAA4AAABkcnMvZTJvRG9jLnhtbK1Uy47T&#10;MBTdI/EPlvc0aemMIGo6QlPKBkGlgQ+4dZzEkl+y3SbdwQohFnwAP8COFVv4muHxF1w7pXQGFl3g&#10;hXP8uMf3HF9ndtErSbbceWF0ScejnBKumamEbkr68sXy3gNKfABdgTSal3THPb2Y370z62zBJ6Y1&#10;suKOIIn2RWdL2oZgiyzzrOUK/MhYrnGxNk5BwKFrsspBh+xKZpM8P8864yrrDOPe4+xiWKR7RncK&#10;oalrwfjCsI3iOgysjksIKMm3wno6T9nWNWfheV17HogsKSoNqcdDEK9jn81nUDQObCvYPgU4JYVb&#10;mhQIjYceqBYQgGyc+ItKCeaMN3UYMaOyQUhyBFWM81veXLVgedKCVnt7MN3/P1r2bLtyRFQlnVKi&#10;QeGFf/v8+vvHd9cfvhTk+v2nn6/e/vj6BifINJrVWV9gzJVduf3II4zK+9qp+EVNpE8G7w4G8z4Q&#10;hpOT6TS/n59RwnBtPJ2cT8bpCrI/4db58IQbRSIoaS1Nd9mCC49k4E5D4KuhdJLbsH3qA+aB8b/j&#10;YgreSFEthZRp4Jr1pXRkC1gCy9SiEAy5sU1q0pX04dkkZgdY1zXWE0Jl0Ruvm3TejQh/TJyn9i/i&#10;mNgCfDskkBjiNiiUQEUJtRyqx7oiYWfRf43PjsZkFK8okRxfaURpZwAhT9mJ6qSOh/D0BvYuxcsb&#10;riui0K97JI1wbaodlsHGOtG06Po4CYkrWHbJq/0TiXV9PEZ8/FuY/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l84h1gAAAAgBAAAPAAAAAAAAAAEAIAAAACIAAABkcnMvZG93bnJldi54bWxQSwEC&#10;FAAUAAAACACHTuJAGVsLLy8CAABeBAAADgAAAAAAAAABACAAAAAlAQAAZHJzL2Uyb0RvYy54bWxQ&#10;SwUGAAAAAAYABgBZAQAAxgUAAAAA&#10;">
                <v:fill on="t" focussize="0,0"/>
                <v:stroke color="#000000" joinstyle="miter"/>
                <v:imagedata o:title=""/>
                <o:lock v:ext="edit" aspectratio="f"/>
                <v:textbox>
                  <w:txbxContent>
                    <w:p w14:paraId="3C8AD2DF">
                      <w:pPr>
                        <w:jc w:val="center"/>
                        <w:rPr>
                          <w:rFonts w:hAnsi="宋体"/>
                        </w:rPr>
                      </w:pPr>
                    </w:p>
                    <w:p w14:paraId="1B9BC0C5">
                      <w:pPr>
                        <w:jc w:val="center"/>
                        <w:rPr>
                          <w:rFonts w:hAnsi="宋体"/>
                        </w:rPr>
                      </w:pPr>
                    </w:p>
                    <w:p w14:paraId="267F8E22">
                      <w:pPr>
                        <w:rPr>
                          <w:lang w:eastAsia="zh-CN"/>
                        </w:rPr>
                      </w:pPr>
                      <w:r>
                        <w:rPr>
                          <w:rFonts w:hint="eastAsia" w:hAnsi="宋体"/>
                          <w:lang w:eastAsia="zh-CN"/>
                        </w:rPr>
                        <w:t>授权委托人身份证复印件正面</w:t>
                      </w:r>
                    </w:p>
                  </w:txbxContent>
                </v:textbox>
              </v:shape>
            </w:pict>
          </mc:Fallback>
        </mc:AlternateContent>
      </w:r>
    </w:p>
    <w:p w14:paraId="4FD32C7B">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07E4ECDB">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5B6C8D8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442EDA96">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3A25F8FC">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119BBC5E">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34F29926">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mc:AlternateContent>
          <mc:Choice Requires="wps">
            <w:drawing>
              <wp:anchor distT="0" distB="0" distL="114300" distR="114300" simplePos="0" relativeHeight="251667456" behindDoc="0" locked="0" layoutInCell="1" allowOverlap="1">
                <wp:simplePos x="0" y="0"/>
                <wp:positionH relativeFrom="column">
                  <wp:posOffset>2845435</wp:posOffset>
                </wp:positionH>
                <wp:positionV relativeFrom="paragraph">
                  <wp:posOffset>121285</wp:posOffset>
                </wp:positionV>
                <wp:extent cx="2491105" cy="1392555"/>
                <wp:effectExtent l="7620" t="7620" r="15875" b="9525"/>
                <wp:wrapNone/>
                <wp:docPr id="9" name="圆角矩形 9"/>
                <wp:cNvGraphicFramePr/>
                <a:graphic xmlns:a="http://schemas.openxmlformats.org/drawingml/2006/main">
                  <a:graphicData uri="http://schemas.microsoft.com/office/word/2010/wordprocessingShape">
                    <wps:wsp>
                      <wps:cNvSpPr/>
                      <wps:spPr>
                        <a:xfrm>
                          <a:off x="0" y="0"/>
                          <a:ext cx="2491105" cy="13925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B09964D">
                            <w:pPr>
                              <w:rPr>
                                <w:rFonts w:hAnsi="宋体"/>
                              </w:rPr>
                            </w:pPr>
                          </w:p>
                          <w:p w14:paraId="6E4B2898">
                            <w:pPr>
                              <w:ind w:firstLine="420" w:firstLineChars="200"/>
                              <w:rPr>
                                <w:rFonts w:hAnsi="宋体"/>
                              </w:rPr>
                            </w:pPr>
                          </w:p>
                          <w:p w14:paraId="751E8124">
                            <w:pPr>
                              <w:ind w:firstLine="420" w:firstLineChars="200"/>
                            </w:pPr>
                            <w:r>
                              <w:rPr>
                                <w:rFonts w:hint="eastAsia" w:hAnsi="宋体"/>
                              </w:rPr>
                              <w:t>法人身份证复印件反面</w:t>
                            </w:r>
                          </w:p>
                          <w:p w14:paraId="578B39EE"/>
                        </w:txbxContent>
                      </wps:txbx>
                      <wps:bodyPr upright="1"/>
                    </wps:wsp>
                  </a:graphicData>
                </a:graphic>
              </wp:anchor>
            </w:drawing>
          </mc:Choice>
          <mc:Fallback>
            <w:pict>
              <v:roundrect id="_x0000_s1026" o:spid="_x0000_s1026" o:spt="2" style="position:absolute;left:0pt;margin-left:224.05pt;margin-top:9.55pt;height:109.65pt;width:196.15pt;z-index:251667456;mso-width-relative:page;mso-height-relative:page;" fillcolor="#FFFFFF" filled="t" stroked="t" coordsize="21600,21600" arcsize="0.166666666666667" o:gfxdata="UEsDBAoAAAAAAIdO4kAAAAAAAAAAAAAAAAAEAAAAZHJzL1BLAwQUAAAACACHTuJAl+pLONsAAAAK&#10;AQAADwAAAGRycy9kb3ducmV2LnhtbE2PwU7DMAyG70i8Q2QkbizpFrGuazohJJBAHLaOC7esMW21&#10;JqmabF15erwTnCzr//T7c7652I6dcQitdwqSmQCGrvKmdbWCz/3LQwosRO2M7rxDBRMG2BS3N7nO&#10;jB/dDs9lrBmVuJBpBU2MfcZ5qBq0Osx8j46ybz9YHWkdam4GPVK57fhciEdudevoQqN7fG6wOpYn&#10;q2D8mY6vH0tcvIvd21O5X07br22r1P1dItbAIl7iHwxXfVKHgpwO/uRMYJ0CKdOEUApWNAlIpZDA&#10;Dgrmi1QCL3L+/4XiF1BLAwQUAAAACACHTuJAqP7/XSwCAABmBAAADgAAAGRycy9lMm9Eb2MueG1s&#10;rVRNrtMwEN4jcQfLe5qk0L42avoWlLJB8MSDA7i2kxj5T7bbpBfgAKyRkNggDsFxnuAYjJ3Q9wOL&#10;LkgkZ2zPfP7mm3FWl72S6MCdF0ZXuJjkGHFNDRO6qfD7d9snC4x8IJoRaTSv8JF7fLl+/GjV2ZJP&#10;TWsk4w4BiPZlZyvchmDLLPO05Yr4ibFcw2ZtnCIBpq7JmCMdoCuZTfN8nnXGMesM5d7D6mbYxCOi&#10;OwfQ1LWgfGPoXnEdBlTHJQmQkm+F9Xid2NY1p+FNXXsekKwwZBrSCIeAvYtjtl6RsnHEtoKOFMg5&#10;FB7kpIjQcOgJakMCQXsn/oJSgjrjTR0m1KhsSCQpAlkU+QNtrltiecoFpPb2JLr/f7D09eHKIcEq&#10;vMRIEwUFv/n88de3Tz+/fL/58RUto0Kd9SU4XtsrN848mDHdvnYqfiER1CdVjydVeR8QhcXps2VR&#10;5DOMKOwVT5fT2WwWUbPbcOt8eMmNQtGosDN7zd5C7ZKk5PDKh6QtGxkS9gGjWkmo1IFIVMzn84sR&#10;cXQG7D+YMdIbKdhWSJkmrtk9lw5BaIW36RmD77lJjTrgO1tcROoEOr2GDgNTWVDL6yaRuxfi7yIv&#10;8vj+Czky2xDfDgwSQnQjZcsJe6EZCkcLddBw/XDkoDjDSHK4rdFKnoEIeY4n6CB1hObpLoCQUfhY&#10;z6GC0Qr9rofVaO4MO0I77K0TTQuFKBL9uAPtlyo2XpXY33fnCfT297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fqSzjbAAAACgEAAA8AAAAAAAAAAQAgAAAAIgAAAGRycy9kb3ducmV2LnhtbFBL&#10;AQIUABQAAAAIAIdO4kCo/v9dLAIAAGYEAAAOAAAAAAAAAAEAIAAAACoBAABkcnMvZTJvRG9jLnht&#10;bFBLBQYAAAAABgAGAFkBAADIBQAAAAA=&#10;">
                <v:fill on="t" focussize="0,0"/>
                <v:stroke weight="1.25pt" color="#808080" joinstyle="round"/>
                <v:imagedata o:title=""/>
                <o:lock v:ext="edit" aspectratio="f"/>
                <v:textbox>
                  <w:txbxContent>
                    <w:p w14:paraId="4B09964D">
                      <w:pPr>
                        <w:rPr>
                          <w:rFonts w:hAnsi="宋体"/>
                        </w:rPr>
                      </w:pPr>
                    </w:p>
                    <w:p w14:paraId="6E4B2898">
                      <w:pPr>
                        <w:ind w:firstLine="420" w:firstLineChars="200"/>
                        <w:rPr>
                          <w:rFonts w:hAnsi="宋体"/>
                        </w:rPr>
                      </w:pPr>
                    </w:p>
                    <w:p w14:paraId="751E8124">
                      <w:pPr>
                        <w:ind w:firstLine="420" w:firstLineChars="200"/>
                      </w:pPr>
                      <w:r>
                        <w:rPr>
                          <w:rFonts w:hint="eastAsia" w:hAnsi="宋体"/>
                        </w:rPr>
                        <w:t>法人身份证复印件反面</w:t>
                      </w:r>
                    </w:p>
                    <w:p w14:paraId="578B39EE"/>
                  </w:txbxContent>
                </v:textbox>
              </v:roundrect>
            </w:pict>
          </mc:Fallback>
        </mc:AlternateContent>
      </w:r>
      <w:r>
        <w:rPr>
          <w:rFonts w:hint="eastAsia" w:asciiTheme="minorEastAsia" w:hAnsiTheme="minorEastAsia" w:eastAsiaTheme="minorEastAsia" w:cstheme="minorEastAsia"/>
          <w:color w:val="auto"/>
          <w:sz w:val="24"/>
        </w:rPr>
        <mc:AlternateContent>
          <mc:Choice Requires="wps">
            <w:drawing>
              <wp:anchor distT="0" distB="0" distL="114300" distR="114300" simplePos="0" relativeHeight="251666432" behindDoc="0" locked="0" layoutInCell="1" allowOverlap="1">
                <wp:simplePos x="0" y="0"/>
                <wp:positionH relativeFrom="column">
                  <wp:posOffset>244475</wp:posOffset>
                </wp:positionH>
                <wp:positionV relativeFrom="paragraph">
                  <wp:posOffset>111125</wp:posOffset>
                </wp:positionV>
                <wp:extent cx="2461895" cy="1411605"/>
                <wp:effectExtent l="7620" t="7620" r="26035" b="9525"/>
                <wp:wrapNone/>
                <wp:docPr id="5" name="圆角矩形 5"/>
                <wp:cNvGraphicFramePr/>
                <a:graphic xmlns:a="http://schemas.openxmlformats.org/drawingml/2006/main">
                  <a:graphicData uri="http://schemas.microsoft.com/office/word/2010/wordprocessingShape">
                    <wps:wsp>
                      <wps:cNvSpPr/>
                      <wps:spPr>
                        <a:xfrm>
                          <a:off x="0" y="0"/>
                          <a:ext cx="2461895" cy="141160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E6A7FD5">
                            <w:pPr>
                              <w:jc w:val="center"/>
                              <w:rPr>
                                <w:rFonts w:hAnsi="宋体"/>
                              </w:rPr>
                            </w:pPr>
                          </w:p>
                          <w:p w14:paraId="2E69BEDC">
                            <w:pPr>
                              <w:jc w:val="center"/>
                              <w:rPr>
                                <w:rFonts w:hAnsi="宋体"/>
                              </w:rPr>
                            </w:pPr>
                          </w:p>
                          <w:p w14:paraId="6B355116">
                            <w:pPr>
                              <w:ind w:firstLine="420" w:firstLineChars="200"/>
                            </w:pPr>
                            <w:r>
                              <w:rPr>
                                <w:rFonts w:hint="eastAsia" w:hAnsi="宋体"/>
                              </w:rPr>
                              <w:t>法人身份证复印件正面</w:t>
                            </w:r>
                          </w:p>
                          <w:p w14:paraId="2FB7E3FB"/>
                        </w:txbxContent>
                      </wps:txbx>
                      <wps:bodyPr upright="1"/>
                    </wps:wsp>
                  </a:graphicData>
                </a:graphic>
              </wp:anchor>
            </w:drawing>
          </mc:Choice>
          <mc:Fallback>
            <w:pict>
              <v:roundrect id="_x0000_s1026" o:spid="_x0000_s1026" o:spt="2" style="position:absolute;left:0pt;margin-left:19.25pt;margin-top:8.75pt;height:111.15pt;width:193.85pt;z-index:251666432;mso-width-relative:page;mso-height-relative:page;" fillcolor="#FFFFFF" filled="t" stroked="t" coordsize="21600,21600" arcsize="0.166666666666667" o:gfxdata="UEsDBAoAAAAAAIdO4kAAAAAAAAAAAAAAAAAEAAAAZHJzL1BLAwQUAAAACACHTuJA2gNWudsAAAAJ&#10;AQAADwAAAGRycy9kb3ducmV2LnhtbE2PQU+DQBCF7yb+h82YeLNLQQsiS2NMNNF4aKkXb1t2BFJ2&#10;lrDbUvz1jic9TWbey5vvFeuz7cUJR985UrBcRCCQamc6ahR87J5vMhA+aDK6d4QKZvSwLi8vCp0b&#10;N9EWT1VoBIeQz7WCNoQhl9LXLVrtF25AYu3LjVYHXsdGmlFPHG57GUfRSlrdEX9o9YBPLdaH6mgV&#10;TN/z4eU9xeQt2r4+Vrt03nxuOqWur5bRA4iA5/Bnhl98RoeSmfbuSMaLXkGS3bGT7ylP1m/jVQxi&#10;ryBO7jOQZSH/Nyh/AFBLAwQUAAAACACHTuJAIi6oWCwCAABmBAAADgAAAGRycy9lMm9Eb2MueG1s&#10;rVRNjtMwFN4jcQfLe5qkmmZK1HQWlLJBMGLgAK7tJEb+k+026QU4AGskJDZoDsFxRswx5tkNnR9Y&#10;dEEiOc/2e5+/973nLC4GJdGOOy+MrnExyTHimhomdFvjTx/XL+YY+UA0I9JoXuM99/hi+fzZorcV&#10;n5rOSMYdAhDtq97WuAvBVlnmaccV8RNjuYbNxjhFAkxdmzFHekBXMpvmeZn1xjHrDOXew+rqsIlH&#10;RHcKoGkaQfnK0K3iOhxQHZckQEq+E9bjZWLbNJyG903jeUCyxpBpSCMcAvYmjtlyQarWEdsJOlIg&#10;p1B4kpMiQsOhR6gVCQRtnfgLSgnqjDdNmFCjskMiSRHIosifaHPVEctTLiC1t0fR/f+Dpe92lw4J&#10;VuMZRpooKPjNty+3P7/+/n598+sHmkWFeusrcLyyl26ceTBjukPjVPxCImhIqu6PqvIhIAqL07Oy&#10;mL8EeAp7xVlRlHlCze7DrfPhDTcKRaPGzmw1+wC1S5KS3VsfkrZsZEjYZ4waJaFSOyJRUZbleeQJ&#10;iKMzWH8wY6Q3UrC1kDJNXLt5JR2C0Bqv0zMGP3KTGvXAdzY/j9QJdHoDHQamsqCW120i9yjEP0Se&#10;5/H9F3JktiK+OzBICNGNVB0n7LVmKOwt1EHD9cORg+IMI8nhtkYreQYi5CmeoIPUEZqnuwBCRpli&#10;PQ8VjFYYNgOsRnNj2B7aYWudaDsoRJHoxx1ov6TveFVifz+cJ9D738Py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oDVrnbAAAACQEAAA8AAAAAAAAAAQAgAAAAIgAAAGRycy9kb3ducmV2LnhtbFBL&#10;AQIUABQAAAAIAIdO4kAiLqhYLAIAAGYEAAAOAAAAAAAAAAEAIAAAACoBAABkcnMvZTJvRG9jLnht&#10;bFBLBQYAAAAABgAGAFkBAADIBQAAAAA=&#10;">
                <v:fill on="t" focussize="0,0"/>
                <v:stroke weight="1.25pt" color="#808080" joinstyle="round"/>
                <v:imagedata o:title=""/>
                <o:lock v:ext="edit" aspectratio="f"/>
                <v:textbox>
                  <w:txbxContent>
                    <w:p w14:paraId="7E6A7FD5">
                      <w:pPr>
                        <w:jc w:val="center"/>
                        <w:rPr>
                          <w:rFonts w:hAnsi="宋体"/>
                        </w:rPr>
                      </w:pPr>
                    </w:p>
                    <w:p w14:paraId="2E69BEDC">
                      <w:pPr>
                        <w:jc w:val="center"/>
                        <w:rPr>
                          <w:rFonts w:hAnsi="宋体"/>
                        </w:rPr>
                      </w:pPr>
                    </w:p>
                    <w:p w14:paraId="6B355116">
                      <w:pPr>
                        <w:ind w:firstLine="420" w:firstLineChars="200"/>
                      </w:pPr>
                      <w:r>
                        <w:rPr>
                          <w:rFonts w:hint="eastAsia" w:hAnsi="宋体"/>
                        </w:rPr>
                        <w:t>法人身份证复印件正面</w:t>
                      </w:r>
                    </w:p>
                    <w:p w14:paraId="2FB7E3FB"/>
                  </w:txbxContent>
                </v:textbox>
              </v:roundrect>
            </w:pict>
          </mc:Fallback>
        </mc:AlternateContent>
      </w:r>
    </w:p>
    <w:p w14:paraId="45C3B639">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2BD42250">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14086C1A">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3CB91CBD">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17E92A8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1E3277FB">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41B2065F">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016D0DF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2019B656">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供应商（盖单位章）;                           </w:t>
      </w:r>
    </w:p>
    <w:p w14:paraId="25D65F37">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法定代表人（签字或签章）：</w:t>
      </w:r>
    </w:p>
    <w:p w14:paraId="4C24F274">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身份证号码：__________________________________ </w:t>
      </w:r>
    </w:p>
    <w:p w14:paraId="553C7D0E">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委托代理人：（签字或签章）</w:t>
      </w:r>
    </w:p>
    <w:p w14:paraId="3E47C0BE">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身份证号码：__________________________________ </w:t>
      </w:r>
    </w:p>
    <w:p w14:paraId="1479ED15">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详细通讯地址：</w:t>
      </w:r>
    </w:p>
    <w:p w14:paraId="630F7C8D">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邮 政 编 码 ：</w:t>
      </w:r>
    </w:p>
    <w:p w14:paraId="697E21FC">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传　　　　真：</w:t>
      </w:r>
    </w:p>
    <w:p w14:paraId="511BD98A">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电　　　　话：</w:t>
      </w:r>
    </w:p>
    <w:p w14:paraId="6167482B">
      <w:pPr>
        <w:rPr>
          <w:rFonts w:hint="eastAsia" w:asciiTheme="minorEastAsia" w:hAnsiTheme="minorEastAsia" w:eastAsiaTheme="minorEastAsia" w:cstheme="minorEastAsia"/>
          <w:b/>
          <w:bCs/>
          <w:iCs/>
          <w:color w:val="auto"/>
          <w:sz w:val="24"/>
          <w:lang w:eastAsia="zh-CN"/>
        </w:rPr>
      </w:pPr>
      <w:bookmarkStart w:id="720" w:name="_Toc41737064"/>
      <w:bookmarkStart w:id="721" w:name="_Toc18754"/>
      <w:bookmarkStart w:id="722" w:name="_Toc5710"/>
      <w:bookmarkStart w:id="723" w:name="_Toc515647810"/>
      <w:r>
        <w:rPr>
          <w:rFonts w:hint="eastAsia" w:asciiTheme="minorEastAsia" w:hAnsiTheme="minorEastAsia" w:eastAsiaTheme="minorEastAsia" w:cstheme="minorEastAsia"/>
          <w:b/>
          <w:bCs/>
          <w:iCs/>
          <w:color w:val="auto"/>
          <w:sz w:val="24"/>
          <w:lang w:eastAsia="zh-CN"/>
        </w:rPr>
        <w:br w:type="page"/>
      </w:r>
    </w:p>
    <w:p w14:paraId="762D3F49">
      <w:pPr>
        <w:rPr>
          <w:rFonts w:hint="eastAsia" w:asciiTheme="minorEastAsia" w:hAnsiTheme="minorEastAsia" w:eastAsiaTheme="minorEastAsia" w:cstheme="minorEastAsia"/>
          <w:color w:val="auto"/>
          <w:lang w:eastAsia="zh-CN"/>
        </w:rPr>
      </w:pPr>
      <w:bookmarkStart w:id="724" w:name="_Toc26834"/>
      <w:bookmarkStart w:id="725" w:name="_Toc11572"/>
      <w:bookmarkStart w:id="726" w:name="_Toc9134"/>
    </w:p>
    <w:p w14:paraId="6C588406">
      <w:pPr>
        <w:rPr>
          <w:rFonts w:hint="eastAsia" w:asciiTheme="minorEastAsia" w:hAnsiTheme="minorEastAsia" w:eastAsiaTheme="minorEastAsia" w:cstheme="minorEastAsia"/>
          <w:color w:val="auto"/>
          <w:lang w:eastAsia="zh-CN"/>
        </w:rPr>
      </w:pPr>
    </w:p>
    <w:p w14:paraId="479274E9">
      <w:pPr>
        <w:rPr>
          <w:rFonts w:hint="eastAsia" w:asciiTheme="minorEastAsia" w:hAnsiTheme="minorEastAsia" w:eastAsiaTheme="minorEastAsia" w:cstheme="minorEastAsia"/>
          <w:color w:val="auto"/>
          <w:lang w:eastAsia="zh-CN"/>
        </w:rPr>
      </w:pPr>
    </w:p>
    <w:p w14:paraId="163DCF89">
      <w:pPr>
        <w:pStyle w:val="4"/>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r>
        <w:rPr>
          <w:rFonts w:hint="eastAsia" w:asciiTheme="minorEastAsia" w:hAnsiTheme="minorEastAsia" w:eastAsiaTheme="minorEastAsia" w:cstheme="minorEastAsia"/>
          <w:color w:val="auto"/>
          <w:u w:val="none"/>
          <w:lang w:eastAsia="zh-CN"/>
        </w:rPr>
        <w:t>5  投标保证金缴纳凭证复印件</w:t>
      </w:r>
      <w:bookmarkEnd w:id="724"/>
      <w:bookmarkEnd w:id="725"/>
      <w:bookmarkEnd w:id="726"/>
    </w:p>
    <w:p w14:paraId="36D82D77">
      <w:pPr>
        <w:pStyle w:val="19"/>
        <w:spacing w:beforeAutospacing="0" w:afterAutospacing="0" w:line="360" w:lineRule="auto"/>
        <w:ind w:left="147" w:firstLine="480" w:firstLineChars="200"/>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投标保证金应当以支票、汇票、本票或者金融机构、担保机构出具的保函等非现金形式提交。投标人未按照招标文件要求提交投标保证金的，投标无效。</w:t>
      </w:r>
      <w:bookmarkStart w:id="727" w:name="_Toc494296991"/>
      <w:bookmarkStart w:id="728" w:name="_Toc494296665"/>
      <w:r>
        <w:rPr>
          <w:rFonts w:hint="eastAsia" w:asciiTheme="minorEastAsia" w:hAnsiTheme="minorEastAsia" w:eastAsiaTheme="minorEastAsia" w:cstheme="minorEastAsia"/>
          <w:color w:val="auto"/>
          <w:lang w:eastAsia="zh-CN"/>
        </w:rPr>
        <w:t>投标人可将本项目保证金凭证的复印件作为缴纳凭证体现在本部分中，复印件上应加盖本单位章；使用银行保函等其他投标担保函的，应将担保函复印件，体现在本部分中；如采用政府采购信用担保形式的，应使用以下模板,将复印件体现在本部分中。</w:t>
      </w:r>
      <w:bookmarkEnd w:id="727"/>
      <w:bookmarkEnd w:id="728"/>
    </w:p>
    <w:p w14:paraId="1073B975">
      <w:pPr>
        <w:pStyle w:val="20"/>
        <w:ind w:firstLine="0" w:firstLineChars="0"/>
        <w:rPr>
          <w:rFonts w:hint="eastAsia" w:asciiTheme="minorEastAsia" w:hAnsiTheme="minorEastAsia" w:eastAsiaTheme="minorEastAsia" w:cstheme="minorEastAsia"/>
          <w:color w:val="auto"/>
          <w:lang w:eastAsia="zh-CN"/>
        </w:rPr>
      </w:pPr>
    </w:p>
    <w:p w14:paraId="21C2AD2C">
      <w:pP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br w:type="page"/>
      </w:r>
    </w:p>
    <w:p w14:paraId="37F15F86">
      <w:pPr>
        <w:jc w:val="center"/>
        <w:rPr>
          <w:rFonts w:hint="eastAsia" w:asciiTheme="minorEastAsia" w:hAnsiTheme="minorEastAsia" w:eastAsiaTheme="minorEastAsia" w:cstheme="minorEastAsia"/>
          <w:color w:val="auto"/>
          <w:sz w:val="28"/>
          <w:szCs w:val="28"/>
          <w:lang w:eastAsia="zh-CN"/>
        </w:rPr>
      </w:pPr>
    </w:p>
    <w:p w14:paraId="0611BE9A">
      <w:pPr>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政府采购投标担保函 （项目用）</w:t>
      </w:r>
    </w:p>
    <w:p w14:paraId="514E1A73">
      <w:pPr>
        <w:ind w:firstLine="6720" w:firstLineChars="3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编号：</w:t>
      </w:r>
    </w:p>
    <w:p w14:paraId="7D4F3B41">
      <w:pPr>
        <w:tabs>
          <w:tab w:val="left" w:pos="6669"/>
        </w:tabs>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（采购人或采购代理机构）：</w:t>
      </w:r>
      <w:r>
        <w:rPr>
          <w:rFonts w:hint="eastAsia" w:asciiTheme="minorEastAsia" w:hAnsiTheme="minorEastAsia" w:eastAsiaTheme="minorEastAsia" w:cstheme="minorEastAsia"/>
          <w:color w:val="auto"/>
          <w:lang w:eastAsia="zh-CN"/>
        </w:rPr>
        <w:tab/>
      </w:r>
    </w:p>
    <w:p w14:paraId="3CAA8144">
      <w:pPr>
        <w:rPr>
          <w:rFonts w:hint="eastAsia" w:asciiTheme="minorEastAsia" w:hAnsiTheme="minorEastAsia" w:eastAsiaTheme="minorEastAsia" w:cstheme="minorEastAsia"/>
          <w:color w:val="auto"/>
          <w:lang w:eastAsia="zh-CN"/>
        </w:rPr>
      </w:pPr>
    </w:p>
    <w:p w14:paraId="5F44242B">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鉴于（以下简称“投标人”）拟参加编号为的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B70AAA3">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一、保证责任的情形及保证金额</w:t>
      </w:r>
    </w:p>
    <w:p w14:paraId="284D8EB8">
      <w:pPr>
        <w:ind w:firstLine="210" w:firstLineChars="1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（一）在投标人出现下列情形之一时，我方承担保证责任：</w:t>
      </w:r>
    </w:p>
    <w:p w14:paraId="7F989C9C">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1．中标后投标人无正当理由不与采购人或者采购代理机构签订《政府采购合同》；</w:t>
      </w:r>
    </w:p>
    <w:p w14:paraId="2F0C842B">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2．招标文件规定的投标人应当缴纳保证金的其他情形。</w:t>
      </w:r>
    </w:p>
    <w:p w14:paraId="1CD1F4DC">
      <w:pPr>
        <w:ind w:firstLine="210" w:firstLineChars="1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（二）我方承担保证责任的最高金额为人民币元（大写），即本项目的投标保证金金额。</w:t>
      </w:r>
    </w:p>
    <w:p w14:paraId="577FE7B6">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二、保证的方式及保证期间</w:t>
      </w:r>
    </w:p>
    <w:p w14:paraId="257035C9">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我方保证的方式为：连带责任保证。</w:t>
      </w:r>
    </w:p>
    <w:p w14:paraId="71F103F9">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我方的保证期间为：自本保函生效之日起</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lang w:eastAsia="zh-CN"/>
        </w:rPr>
        <w:t>个月止。</w:t>
      </w:r>
    </w:p>
    <w:p w14:paraId="037A73D6">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三、承担保证责任的程序</w:t>
      </w:r>
    </w:p>
    <w:p w14:paraId="71475E3D">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7C46B8EE">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2．我方在收到索赔通知及相关证明材料后，在</w:t>
      </w:r>
      <w:r>
        <w:rPr>
          <w:rFonts w:hint="eastAsia" w:asciiTheme="minorEastAsia" w:hAnsiTheme="minorEastAsia" w:eastAsiaTheme="minorEastAsia" w:cstheme="minorEastAsia"/>
          <w:color w:val="auto"/>
          <w:u w:val="single"/>
          <w:lang w:eastAsia="zh-CN"/>
        </w:rPr>
        <w:t>　　　</w:t>
      </w:r>
      <w:r>
        <w:rPr>
          <w:rFonts w:hint="eastAsia" w:asciiTheme="minorEastAsia" w:hAnsiTheme="minorEastAsia" w:eastAsiaTheme="minorEastAsia" w:cstheme="minorEastAsia"/>
          <w:color w:val="auto"/>
          <w:lang w:eastAsia="zh-CN"/>
        </w:rPr>
        <w:t>个工作日内进行审查，符合应承担保证责任情形的，我方应按照你方的要求代投标人向你方支付投标保证金。</w:t>
      </w:r>
    </w:p>
    <w:p w14:paraId="3B0F08F8">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四、保证责任的终止</w:t>
      </w:r>
    </w:p>
    <w:p w14:paraId="599C1EED">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1．保证期间届满你方未向我方书面主张保证责任的，自保证期间届满次日起，我方保证责任自动终止。</w:t>
      </w:r>
    </w:p>
    <w:p w14:paraId="35935482">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2．我方按照本保函向你贵方履行了保证责任后，自我方向你贵方支付款项（支付款项从我方账户划出）之日起，保证责任终止。</w:t>
      </w:r>
    </w:p>
    <w:p w14:paraId="6CC04548">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3．按照法律法规的规定或出现我方保证责任终止的其它情形的，我方在本保函项下的保证责任亦终止。</w:t>
      </w:r>
    </w:p>
    <w:p w14:paraId="51F9E403">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五、免责条款</w:t>
      </w:r>
    </w:p>
    <w:p w14:paraId="34D0756B">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1．依照法律规定或你方与投标人的另行约定，全部或者部分免除投标人投标保证金义务时，我方亦免除相应的保证责任。</w:t>
      </w:r>
    </w:p>
    <w:p w14:paraId="7A1AC4B4">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2．因你方原因致使投标人发生本保函第一条第（一）款约定情形的，我方不承担保证责任。</w:t>
      </w:r>
    </w:p>
    <w:p w14:paraId="009E6EE0">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3．因不可抗力造成投标人发生本保函第一条约定情形的，我方不承担保证责任。</w:t>
      </w:r>
    </w:p>
    <w:p w14:paraId="0AFE4621">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4．你方或其他有权机关对招标文件进行任何澄清或修改，加重我方保证责任的，我方对加重部分不承担保证责任，但该澄清或修改经我方事先书面同意的除外。</w:t>
      </w:r>
    </w:p>
    <w:p w14:paraId="23A6DF1D">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六、争议的解决</w:t>
      </w:r>
    </w:p>
    <w:p w14:paraId="33D4D517">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因本保函发生的纠纷，由你我双方协商解决，协商不成的，通过诉讼程序解决，诉讼管辖地法院为法院。</w:t>
      </w:r>
    </w:p>
    <w:p w14:paraId="7A0BC049">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七、保函的生效</w:t>
      </w:r>
    </w:p>
    <w:p w14:paraId="456D3876">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本保函自我方加盖公章之日起生效。</w:t>
      </w:r>
    </w:p>
    <w:p w14:paraId="2D5CF156">
      <w:pPr>
        <w:ind w:firstLine="3990" w:firstLineChars="1900"/>
        <w:rPr>
          <w:rFonts w:hint="eastAsia" w:asciiTheme="minorEastAsia" w:hAnsiTheme="minorEastAsia" w:eastAsiaTheme="minorEastAsia" w:cstheme="minorEastAsia"/>
          <w:color w:val="auto"/>
          <w:lang w:eastAsia="zh-CN"/>
        </w:rPr>
        <w:sectPr>
          <w:headerReference r:id="rId7" w:type="default"/>
          <w:footerReference r:id="rId8" w:type="default"/>
          <w:pgSz w:w="11906" w:h="16838"/>
          <w:pgMar w:top="1100" w:right="1060" w:bottom="1100" w:left="1060" w:header="851" w:footer="992" w:gutter="0"/>
          <w:pgNumType w:start="1"/>
          <w:cols w:space="720" w:num="1"/>
          <w:docGrid w:type="linesAndChars" w:linePitch="312" w:charSpace="0"/>
        </w:sectPr>
      </w:pPr>
      <w:r>
        <w:rPr>
          <w:rFonts w:hint="eastAsia" w:asciiTheme="minorEastAsia" w:hAnsiTheme="minorEastAsia" w:eastAsiaTheme="minorEastAsia" w:cstheme="minorEastAsia"/>
          <w:color w:val="auto"/>
          <w:lang w:eastAsia="zh-CN"/>
        </w:rPr>
        <w:t>保证人：（公章）   年     月    日</w:t>
      </w:r>
    </w:p>
    <w:p w14:paraId="5B34E668">
      <w:pPr>
        <w:rPr>
          <w:rFonts w:hint="eastAsia" w:asciiTheme="minorEastAsia" w:hAnsiTheme="minorEastAsia" w:eastAsiaTheme="minorEastAsia" w:cstheme="minorEastAsia"/>
          <w:color w:val="auto"/>
          <w:lang w:eastAsia="zh-CN"/>
        </w:rPr>
      </w:pPr>
    </w:p>
    <w:p w14:paraId="5C373838">
      <w:pPr>
        <w:pStyle w:val="4"/>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29" w:name="_Toc19756"/>
      <w:bookmarkStart w:id="730" w:name="_Toc21576"/>
      <w:bookmarkStart w:id="731" w:name="_Toc28861"/>
      <w:bookmarkStart w:id="732" w:name="_Toc21047"/>
      <w:bookmarkStart w:id="733" w:name="_Toc15919"/>
      <w:bookmarkStart w:id="734" w:name="_Toc7329"/>
      <w:bookmarkStart w:id="735" w:name="_Toc29022"/>
      <w:bookmarkStart w:id="736" w:name="_Toc6247"/>
      <w:bookmarkStart w:id="737" w:name="_Toc10990"/>
      <w:bookmarkStart w:id="738" w:name="_Toc11556"/>
      <w:r>
        <w:rPr>
          <w:rFonts w:hint="eastAsia" w:asciiTheme="minorEastAsia" w:hAnsiTheme="minorEastAsia" w:eastAsiaTheme="minorEastAsia" w:cstheme="minorEastAsia"/>
          <w:color w:val="auto"/>
          <w:u w:val="none"/>
          <w:lang w:eastAsia="zh-CN"/>
        </w:rPr>
        <w:t>6  社会保障资金的缴纳记录</w:t>
      </w:r>
      <w:bookmarkEnd w:id="720"/>
      <w:bookmarkEnd w:id="721"/>
      <w:bookmarkEnd w:id="722"/>
      <w:bookmarkEnd w:id="723"/>
      <w:bookmarkEnd w:id="729"/>
      <w:bookmarkEnd w:id="730"/>
      <w:bookmarkEnd w:id="731"/>
      <w:bookmarkEnd w:id="732"/>
      <w:bookmarkEnd w:id="733"/>
      <w:bookmarkEnd w:id="734"/>
      <w:bookmarkEnd w:id="735"/>
      <w:bookmarkEnd w:id="736"/>
      <w:bookmarkEnd w:id="737"/>
      <w:bookmarkEnd w:id="738"/>
    </w:p>
    <w:p w14:paraId="6B0EA188">
      <w:pPr>
        <w:pStyle w:val="11"/>
        <w:tabs>
          <w:tab w:val="left" w:pos="5580"/>
        </w:tabs>
        <w:spacing w:line="288" w:lineRule="auto"/>
        <w:rPr>
          <w:rFonts w:hint="eastAsia" w:asciiTheme="minorEastAsia" w:hAnsiTheme="minorEastAsia" w:eastAsiaTheme="minorEastAsia" w:cstheme="minorEastAsia"/>
          <w:b/>
          <w:color w:val="auto"/>
          <w:sz w:val="24"/>
          <w:lang w:eastAsia="zh-CN"/>
        </w:rPr>
      </w:pPr>
    </w:p>
    <w:p w14:paraId="057A4F7C">
      <w:pPr>
        <w:pStyle w:val="11"/>
        <w:tabs>
          <w:tab w:val="left" w:pos="5580"/>
        </w:tabs>
        <w:spacing w:line="240" w:lineRule="atLeast"/>
        <w:ind w:left="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说明：说明：1.按照</w:t>
      </w:r>
      <w:r>
        <w:rPr>
          <w:rFonts w:hint="eastAsia" w:asciiTheme="minorEastAsia" w:hAnsiTheme="minorEastAsia" w:eastAsiaTheme="minorEastAsia" w:cstheme="minorEastAsia"/>
          <w:color w:val="auto"/>
          <w:sz w:val="24"/>
          <w:u w:val="single"/>
          <w:lang w:eastAsia="zh-CN"/>
        </w:rPr>
        <w:t>投标人须知资料表</w:t>
      </w:r>
      <w:r>
        <w:rPr>
          <w:rFonts w:hint="eastAsia" w:asciiTheme="minorEastAsia" w:hAnsiTheme="minorEastAsia" w:eastAsiaTheme="minorEastAsia" w:cstheme="minorEastAsia"/>
          <w:color w:val="auto"/>
          <w:sz w:val="24"/>
          <w:lang w:eastAsia="zh-CN"/>
        </w:rPr>
        <w:t>中的规定提供复印件。</w:t>
      </w:r>
    </w:p>
    <w:p w14:paraId="4479468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2.复印件上应加盖本单位章。</w:t>
      </w:r>
    </w:p>
    <w:p w14:paraId="01654AE6">
      <w:pPr>
        <w:tabs>
          <w:tab w:val="left" w:pos="5580"/>
        </w:tabs>
        <w:spacing w:line="240" w:lineRule="atLeast"/>
        <w:ind w:left="1079" w:leftChars="257" w:hanging="540"/>
        <w:rPr>
          <w:rFonts w:hint="eastAsia" w:asciiTheme="minorEastAsia" w:hAnsiTheme="minorEastAsia" w:eastAsiaTheme="minorEastAsia" w:cstheme="minorEastAsia"/>
          <w:color w:val="auto"/>
          <w:sz w:val="18"/>
          <w:lang w:eastAsia="zh-CN"/>
        </w:rPr>
      </w:pPr>
      <w:r>
        <w:rPr>
          <w:rFonts w:hint="eastAsia" w:asciiTheme="minorEastAsia" w:hAnsiTheme="minorEastAsia" w:eastAsiaTheme="minorEastAsia" w:cstheme="minorEastAsia"/>
          <w:color w:val="auto"/>
          <w:sz w:val="24"/>
          <w:lang w:eastAsia="zh-CN"/>
        </w:rPr>
        <w:t xml:space="preserve">      3.如果是联合体投标，联合体各方均需提供上述证明。</w:t>
      </w:r>
    </w:p>
    <w:p w14:paraId="51EF0AE2">
      <w:pPr>
        <w:spacing w:line="288" w:lineRule="auto"/>
        <w:rPr>
          <w:rFonts w:hint="eastAsia" w:asciiTheme="minorEastAsia" w:hAnsiTheme="minorEastAsia" w:eastAsiaTheme="minorEastAsia" w:cstheme="minorEastAsia"/>
          <w:color w:val="auto"/>
          <w:sz w:val="24"/>
          <w:lang w:eastAsia="zh-CN"/>
        </w:rPr>
      </w:pPr>
    </w:p>
    <w:p w14:paraId="4A4547E0">
      <w:pPr>
        <w:spacing w:line="288" w:lineRule="auto"/>
        <w:rPr>
          <w:rFonts w:hint="eastAsia" w:asciiTheme="minorEastAsia" w:hAnsiTheme="minorEastAsia" w:eastAsiaTheme="minorEastAsia" w:cstheme="minorEastAsia"/>
          <w:color w:val="auto"/>
          <w:sz w:val="24"/>
          <w:lang w:eastAsia="zh-CN"/>
        </w:rPr>
      </w:pPr>
    </w:p>
    <w:p w14:paraId="5EFD064F">
      <w:pPr>
        <w:pStyle w:val="4"/>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39" w:name="_Toc13105"/>
      <w:bookmarkStart w:id="740" w:name="_Toc31547"/>
      <w:bookmarkStart w:id="741" w:name="_Toc22265"/>
      <w:bookmarkStart w:id="742" w:name="_Toc6321"/>
      <w:bookmarkStart w:id="743" w:name="_Toc20976"/>
      <w:bookmarkStart w:id="744" w:name="_Toc28491"/>
      <w:bookmarkStart w:id="745" w:name="_Toc8841"/>
      <w:bookmarkStart w:id="746" w:name="_Toc23700"/>
      <w:bookmarkStart w:id="747" w:name="_Toc15284"/>
      <w:bookmarkStart w:id="748" w:name="_Toc28908"/>
      <w:r>
        <w:rPr>
          <w:rFonts w:hint="eastAsia" w:asciiTheme="minorEastAsia" w:hAnsiTheme="minorEastAsia" w:eastAsiaTheme="minorEastAsia" w:cstheme="minorEastAsia"/>
          <w:color w:val="auto"/>
          <w:u w:val="none"/>
          <w:lang w:eastAsia="zh-CN"/>
        </w:rPr>
        <w:t xml:space="preserve">7 </w:t>
      </w:r>
      <w:r>
        <w:rPr>
          <w:rFonts w:hint="eastAsia" w:asciiTheme="minorEastAsia" w:hAnsiTheme="minorEastAsia" w:eastAsiaTheme="minorEastAsia" w:cstheme="minorEastAsia"/>
          <w:color w:val="auto"/>
          <w:u w:val="none"/>
          <w:lang w:val="en-US" w:eastAsia="zh-CN"/>
        </w:rPr>
        <w:t xml:space="preserve"> </w:t>
      </w:r>
      <w:r>
        <w:rPr>
          <w:rFonts w:hint="eastAsia" w:asciiTheme="minorEastAsia" w:hAnsiTheme="minorEastAsia" w:eastAsiaTheme="minorEastAsia" w:cstheme="minorEastAsia"/>
          <w:color w:val="auto"/>
          <w:u w:val="none"/>
          <w:lang w:eastAsia="zh-CN"/>
        </w:rPr>
        <w:t>良好的商业信誉和健全的财务会计制度证明材料</w:t>
      </w:r>
      <w:bookmarkEnd w:id="739"/>
      <w:bookmarkEnd w:id="740"/>
      <w:bookmarkEnd w:id="741"/>
      <w:bookmarkEnd w:id="742"/>
      <w:bookmarkEnd w:id="743"/>
      <w:bookmarkEnd w:id="744"/>
      <w:bookmarkEnd w:id="745"/>
      <w:bookmarkEnd w:id="746"/>
    </w:p>
    <w:bookmarkEnd w:id="747"/>
    <w:bookmarkEnd w:id="748"/>
    <w:p w14:paraId="73A3BA2B">
      <w:pPr>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说明：</w:t>
      </w:r>
    </w:p>
    <w:p w14:paraId="2C240C1F">
      <w:pPr>
        <w:tabs>
          <w:tab w:val="left" w:pos="5580"/>
        </w:tabs>
        <w:spacing w:line="240" w:lineRule="atLeast"/>
        <w:ind w:left="540"/>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color w:val="auto"/>
          <w:sz w:val="24"/>
          <w:lang w:eastAsia="zh-CN"/>
        </w:rPr>
        <w:t>1、如提供本单位2023或2024年度经会计师事务所出具的审计报告复印件须加盖</w:t>
      </w:r>
      <w:r>
        <w:rPr>
          <w:rFonts w:hint="eastAsia" w:asciiTheme="minorEastAsia" w:hAnsiTheme="minorEastAsia" w:eastAsiaTheme="minorEastAsia" w:cstheme="minorEastAsia"/>
          <w:bCs/>
          <w:color w:val="auto"/>
          <w:sz w:val="24"/>
          <w:lang w:eastAsia="zh-CN"/>
        </w:rPr>
        <w:t>本单位章。</w:t>
      </w:r>
    </w:p>
    <w:p w14:paraId="4F7F44FE">
      <w:pPr>
        <w:tabs>
          <w:tab w:val="left" w:pos="5580"/>
        </w:tabs>
        <w:spacing w:line="240" w:lineRule="atLeast"/>
        <w:ind w:left="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14:paraId="31DC2740">
      <w:pPr>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3、如果是联合体投标，联合体各方均需提供上述证明。</w:t>
      </w:r>
    </w:p>
    <w:p w14:paraId="736F6BE8">
      <w:pPr>
        <w:pStyle w:val="15"/>
        <w:rPr>
          <w:rFonts w:hint="eastAsia" w:asciiTheme="minorEastAsia" w:hAnsiTheme="minorEastAsia" w:eastAsiaTheme="minorEastAsia" w:cstheme="minorEastAsia"/>
          <w:color w:val="auto"/>
          <w:lang w:eastAsia="zh-CN"/>
        </w:rPr>
      </w:pPr>
    </w:p>
    <w:p w14:paraId="0CBED07A">
      <w:pPr>
        <w:pStyle w:val="8"/>
        <w:tabs>
          <w:tab w:val="left" w:pos="567"/>
        </w:tabs>
        <w:rPr>
          <w:rFonts w:hint="eastAsia" w:asciiTheme="minorEastAsia" w:hAnsiTheme="minorEastAsia" w:eastAsiaTheme="minorEastAsia" w:cstheme="minorEastAsia"/>
          <w:color w:val="auto"/>
          <w:lang w:eastAsia="zh-CN"/>
        </w:rPr>
      </w:pPr>
    </w:p>
    <w:p w14:paraId="7AC38AB4">
      <w:pPr>
        <w:pStyle w:val="4"/>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49" w:name="_Toc13883"/>
      <w:bookmarkStart w:id="750" w:name="_Toc32107"/>
      <w:bookmarkStart w:id="751" w:name="_Toc11835"/>
      <w:bookmarkStart w:id="752" w:name="_Toc21546"/>
      <w:bookmarkStart w:id="753" w:name="_Toc13664"/>
      <w:bookmarkStart w:id="754" w:name="_Toc16690"/>
      <w:bookmarkStart w:id="755" w:name="_Toc28013"/>
      <w:bookmarkStart w:id="756" w:name="_Toc18809"/>
      <w:bookmarkStart w:id="757" w:name="_Toc16284"/>
      <w:bookmarkStart w:id="758" w:name="_Toc16318"/>
      <w:r>
        <w:rPr>
          <w:rFonts w:hint="eastAsia" w:asciiTheme="minorEastAsia" w:hAnsiTheme="minorEastAsia" w:eastAsiaTheme="minorEastAsia" w:cstheme="minorEastAsia"/>
          <w:color w:val="auto"/>
          <w:u w:val="none"/>
          <w:lang w:eastAsia="zh-CN"/>
        </w:rPr>
        <w:t xml:space="preserve">8 </w:t>
      </w:r>
      <w:r>
        <w:rPr>
          <w:rFonts w:hint="eastAsia" w:asciiTheme="minorEastAsia" w:hAnsiTheme="minorEastAsia" w:eastAsiaTheme="minorEastAsia" w:cstheme="minorEastAsia"/>
          <w:color w:val="auto"/>
          <w:u w:val="none"/>
          <w:lang w:val="en-US" w:eastAsia="zh-CN"/>
        </w:rPr>
        <w:t xml:space="preserve"> </w:t>
      </w:r>
      <w:r>
        <w:rPr>
          <w:rFonts w:hint="eastAsia" w:asciiTheme="minorEastAsia" w:hAnsiTheme="minorEastAsia" w:eastAsiaTheme="minorEastAsia" w:cstheme="minorEastAsia"/>
          <w:color w:val="auto"/>
          <w:u w:val="none"/>
          <w:lang w:eastAsia="zh-CN"/>
        </w:rPr>
        <w:t>依法缴纳税收的证明</w:t>
      </w:r>
      <w:bookmarkEnd w:id="749"/>
      <w:bookmarkEnd w:id="750"/>
      <w:bookmarkEnd w:id="751"/>
      <w:bookmarkEnd w:id="752"/>
      <w:bookmarkEnd w:id="753"/>
      <w:bookmarkEnd w:id="754"/>
      <w:bookmarkEnd w:id="755"/>
      <w:bookmarkEnd w:id="756"/>
      <w:bookmarkEnd w:id="757"/>
      <w:bookmarkEnd w:id="758"/>
    </w:p>
    <w:p w14:paraId="0B29E88F">
      <w:pPr>
        <w:pStyle w:val="11"/>
        <w:tabs>
          <w:tab w:val="left" w:pos="5580"/>
        </w:tabs>
        <w:spacing w:line="240" w:lineRule="atLeast"/>
        <w:ind w:left="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说明：1.按照</w:t>
      </w:r>
      <w:r>
        <w:rPr>
          <w:rFonts w:hint="eastAsia" w:asciiTheme="minorEastAsia" w:hAnsiTheme="minorEastAsia" w:eastAsiaTheme="minorEastAsia" w:cstheme="minorEastAsia"/>
          <w:color w:val="auto"/>
          <w:sz w:val="24"/>
          <w:u w:val="single"/>
          <w:lang w:eastAsia="zh-CN"/>
        </w:rPr>
        <w:t>投标人须知资料表</w:t>
      </w:r>
      <w:r>
        <w:rPr>
          <w:rFonts w:hint="eastAsia" w:asciiTheme="minorEastAsia" w:hAnsiTheme="minorEastAsia" w:eastAsiaTheme="minorEastAsia" w:cstheme="minorEastAsia"/>
          <w:color w:val="auto"/>
          <w:sz w:val="24"/>
          <w:lang w:eastAsia="zh-CN"/>
        </w:rPr>
        <w:t>中的规定提供复印件。</w:t>
      </w:r>
    </w:p>
    <w:p w14:paraId="3A57198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2.复印件上应加盖本单位章。</w:t>
      </w:r>
    </w:p>
    <w:p w14:paraId="03F10EBA">
      <w:pPr>
        <w:pStyle w:val="11"/>
        <w:tabs>
          <w:tab w:val="left" w:pos="5580"/>
        </w:tabs>
        <w:spacing w:line="288" w:lineRule="auto"/>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3.如果是联合体投标，联合体各方均需提供上述证明。</w:t>
      </w:r>
    </w:p>
    <w:p w14:paraId="341CE4B6">
      <w:pPr>
        <w:rPr>
          <w:rFonts w:hint="eastAsia" w:asciiTheme="minorEastAsia" w:hAnsiTheme="minorEastAsia" w:eastAsiaTheme="minorEastAsia" w:cstheme="minorEastAsia"/>
          <w:color w:val="auto"/>
          <w:lang w:eastAsia="zh-CN"/>
        </w:rPr>
      </w:pPr>
    </w:p>
    <w:p w14:paraId="539EF71B">
      <w:pPr>
        <w:rPr>
          <w:rFonts w:hint="eastAsia" w:asciiTheme="minorEastAsia" w:hAnsiTheme="minorEastAsia" w:eastAsiaTheme="minorEastAsia" w:cstheme="minorEastAsia"/>
          <w:color w:val="auto"/>
          <w:lang w:eastAsia="zh-CN"/>
        </w:rPr>
      </w:pPr>
    </w:p>
    <w:p w14:paraId="1347D17D">
      <w:pPr>
        <w:pStyle w:val="4"/>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59" w:name="_Toc31910"/>
      <w:bookmarkStart w:id="760" w:name="_Toc21065"/>
      <w:bookmarkStart w:id="761" w:name="_Toc29990"/>
      <w:r>
        <w:rPr>
          <w:rFonts w:hint="eastAsia" w:asciiTheme="minorEastAsia" w:hAnsiTheme="minorEastAsia" w:eastAsiaTheme="minorEastAsia" w:cstheme="minorEastAsia"/>
          <w:color w:val="auto"/>
          <w:u w:val="none"/>
          <w:lang w:eastAsia="zh-CN"/>
        </w:rPr>
        <w:t>9  参加政府采购活动前3年内在经营活动中没有重大违法记录的书面声明及反商业受贿承诺</w:t>
      </w:r>
      <w:bookmarkEnd w:id="759"/>
      <w:bookmarkEnd w:id="760"/>
      <w:bookmarkEnd w:id="761"/>
    </w:p>
    <w:p w14:paraId="1C0A5A59">
      <w:pPr>
        <w:rPr>
          <w:rFonts w:hint="eastAsia" w:asciiTheme="minorEastAsia" w:hAnsiTheme="minorEastAsia" w:eastAsiaTheme="minorEastAsia" w:cstheme="minorEastAsia"/>
          <w:color w:val="auto"/>
          <w:lang w:eastAsia="zh-CN"/>
        </w:rPr>
      </w:pPr>
    </w:p>
    <w:p w14:paraId="21B5EDC8">
      <w:pPr>
        <w:rPr>
          <w:rFonts w:hint="eastAsia" w:asciiTheme="minorEastAsia" w:hAnsiTheme="minorEastAsia" w:eastAsiaTheme="minorEastAsia" w:cstheme="minorEastAsia"/>
          <w:color w:val="auto"/>
          <w:lang w:eastAsia="zh-CN"/>
        </w:rPr>
      </w:pPr>
    </w:p>
    <w:p w14:paraId="099974D0">
      <w:pPr>
        <w:rPr>
          <w:rFonts w:hint="eastAsia" w:asciiTheme="minorEastAsia" w:hAnsiTheme="minorEastAsia" w:eastAsiaTheme="minorEastAsia" w:cstheme="minorEastAsia"/>
          <w:color w:val="auto"/>
          <w:lang w:eastAsia="zh-CN"/>
        </w:rPr>
      </w:pPr>
    </w:p>
    <w:p w14:paraId="5C8CC28D">
      <w:pPr>
        <w:pStyle w:val="4"/>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62" w:name="_Toc10559"/>
      <w:bookmarkStart w:id="763" w:name="_Toc11340"/>
      <w:bookmarkStart w:id="764" w:name="_Toc4680"/>
      <w:bookmarkStart w:id="765" w:name="_Toc25801"/>
      <w:bookmarkStart w:id="766" w:name="_Toc21347"/>
      <w:bookmarkStart w:id="767" w:name="_Toc29051"/>
      <w:bookmarkStart w:id="768" w:name="_Toc2815"/>
      <w:bookmarkStart w:id="769" w:name="_Toc3659"/>
      <w:bookmarkStart w:id="770" w:name="_Toc18306"/>
      <w:bookmarkStart w:id="771" w:name="_Toc11464"/>
      <w:r>
        <w:rPr>
          <w:rFonts w:hint="eastAsia" w:asciiTheme="minorEastAsia" w:hAnsiTheme="minorEastAsia" w:eastAsiaTheme="minorEastAsia" w:cstheme="minorEastAsia"/>
          <w:color w:val="auto"/>
          <w:u w:val="none"/>
          <w:lang w:eastAsia="zh-CN"/>
        </w:rPr>
        <w:t>10 投标人须知资料表要求的其他资格证明文件</w:t>
      </w:r>
      <w:bookmarkEnd w:id="762"/>
      <w:bookmarkEnd w:id="763"/>
      <w:bookmarkEnd w:id="764"/>
      <w:bookmarkEnd w:id="765"/>
      <w:bookmarkEnd w:id="766"/>
      <w:bookmarkEnd w:id="767"/>
      <w:bookmarkEnd w:id="768"/>
      <w:bookmarkEnd w:id="769"/>
      <w:bookmarkEnd w:id="770"/>
      <w:bookmarkEnd w:id="771"/>
    </w:p>
    <w:p w14:paraId="20288AC6">
      <w:pPr>
        <w:pStyle w:val="11"/>
        <w:tabs>
          <w:tab w:val="left" w:pos="5580"/>
        </w:tabs>
        <w:spacing w:line="288" w:lineRule="auto"/>
        <w:ind w:left="1079" w:leftChars="257" w:hanging="540"/>
        <w:rPr>
          <w:rFonts w:hint="eastAsia" w:asciiTheme="minorEastAsia" w:hAnsiTheme="minorEastAsia" w:eastAsiaTheme="minorEastAsia" w:cstheme="minorEastAsia"/>
          <w:color w:val="auto"/>
          <w:sz w:val="24"/>
          <w:lang w:eastAsia="zh-CN"/>
        </w:rPr>
      </w:pPr>
    </w:p>
    <w:p w14:paraId="492DE01A">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说明： 1.应提供</w:t>
      </w:r>
      <w:r>
        <w:rPr>
          <w:rFonts w:hint="eastAsia" w:asciiTheme="minorEastAsia" w:hAnsiTheme="minorEastAsia" w:eastAsiaTheme="minorEastAsia" w:cstheme="minorEastAsia"/>
          <w:color w:val="auto"/>
          <w:sz w:val="24"/>
          <w:u w:val="single"/>
          <w:lang w:eastAsia="zh-CN"/>
        </w:rPr>
        <w:t>投标人须知资料表</w:t>
      </w:r>
      <w:r>
        <w:rPr>
          <w:rFonts w:hint="eastAsia" w:asciiTheme="minorEastAsia" w:hAnsiTheme="minorEastAsia" w:eastAsiaTheme="minorEastAsia" w:cstheme="minorEastAsia"/>
          <w:color w:val="auto"/>
          <w:sz w:val="24"/>
          <w:lang w:eastAsia="zh-CN"/>
        </w:rPr>
        <w:t>要求的其他资格证明文件。</w:t>
      </w:r>
    </w:p>
    <w:p w14:paraId="72D4ED42">
      <w:pPr>
        <w:pStyle w:val="11"/>
        <w:tabs>
          <w:tab w:val="left" w:pos="5580"/>
        </w:tabs>
        <w:spacing w:line="240" w:lineRule="atLeast"/>
        <w:ind w:left="1079" w:leftChars="257" w:hanging="540"/>
        <w:rPr>
          <w:rFonts w:hint="eastAsia" w:asciiTheme="minorEastAsia" w:hAnsiTheme="minorEastAsia" w:eastAsiaTheme="minorEastAsia" w:cstheme="minorEastAsia"/>
          <w:color w:val="auto"/>
          <w:spacing w:val="-6"/>
          <w:sz w:val="24"/>
          <w:lang w:eastAsia="zh-CN"/>
        </w:rPr>
      </w:pP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pacing w:val="-6"/>
          <w:sz w:val="24"/>
          <w:lang w:eastAsia="zh-CN"/>
        </w:rPr>
        <w:t>2.复印件上应加盖本单位章（自然人投标的无需盖章，需要签字）。</w:t>
      </w:r>
    </w:p>
    <w:p w14:paraId="35FFCA57">
      <w:pPr>
        <w:pStyle w:val="11"/>
        <w:tabs>
          <w:tab w:val="left" w:pos="5580"/>
        </w:tabs>
        <w:spacing w:line="240" w:lineRule="atLeast"/>
        <w:ind w:left="1260" w:leftChars="344" w:hanging="538"/>
        <w:rPr>
          <w:rFonts w:hint="eastAsia" w:asciiTheme="minorEastAsia" w:hAnsiTheme="minorEastAsia" w:eastAsiaTheme="minorEastAsia" w:cstheme="minorEastAsia"/>
          <w:color w:val="auto"/>
          <w:spacing w:val="-6"/>
          <w:sz w:val="24"/>
          <w:lang w:eastAsia="zh-CN"/>
        </w:rPr>
      </w:pP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pacing w:val="-6"/>
          <w:sz w:val="24"/>
          <w:lang w:eastAsia="zh-CN"/>
        </w:rPr>
        <w:t xml:space="preserve">    3. 如果是联合体投标，联合体各方需提供的满足招标文件要求的其他资格证明文件。</w:t>
      </w:r>
    </w:p>
    <w:p w14:paraId="086553CF">
      <w:pPr>
        <w:pStyle w:val="15"/>
        <w:numPr>
          <w:ilvl w:val="0"/>
          <w:numId w:val="5"/>
        </w:numPr>
        <w:rPr>
          <w:rFonts w:hint="eastAsia" w:asciiTheme="minorEastAsia" w:hAnsiTheme="minorEastAsia" w:eastAsiaTheme="minorEastAsia" w:cstheme="minorEastAsia"/>
          <w:color w:val="auto"/>
          <w:lang w:eastAsia="zh-CN"/>
        </w:rPr>
        <w:sectPr>
          <w:headerReference r:id="rId9" w:type="default"/>
          <w:footerReference r:id="rId10" w:type="default"/>
          <w:pgSz w:w="11906" w:h="16838"/>
          <w:pgMar w:top="1440" w:right="1797" w:bottom="1440" w:left="1797" w:header="851" w:footer="992" w:gutter="0"/>
          <w:cols w:space="720" w:num="1"/>
          <w:docGrid w:type="linesAndChars" w:linePitch="312" w:charSpace="0"/>
        </w:sectPr>
      </w:pPr>
    </w:p>
    <w:p w14:paraId="030C700B">
      <w:pPr>
        <w:pStyle w:val="11"/>
        <w:tabs>
          <w:tab w:val="left" w:pos="5580"/>
        </w:tabs>
        <w:spacing w:line="288" w:lineRule="auto"/>
        <w:ind w:left="1080" w:leftChars="257" w:hanging="540"/>
        <w:rPr>
          <w:rFonts w:hint="eastAsia" w:asciiTheme="minorEastAsia" w:hAnsiTheme="minorEastAsia" w:eastAsiaTheme="minorEastAsia" w:cstheme="minorEastAsia"/>
          <w:color w:val="auto"/>
          <w:sz w:val="24"/>
          <w:lang w:eastAsia="zh-CN"/>
        </w:rPr>
      </w:pPr>
    </w:p>
    <w:p w14:paraId="3381FCD4">
      <w:pPr>
        <w:pStyle w:val="3"/>
        <w:spacing w:before="0" w:line="288" w:lineRule="auto"/>
        <w:ind w:left="1080" w:leftChars="257" w:hanging="540"/>
        <w:rPr>
          <w:rFonts w:hint="eastAsia" w:asciiTheme="minorEastAsia" w:hAnsiTheme="minorEastAsia" w:eastAsiaTheme="minorEastAsia" w:cstheme="minorEastAsia"/>
          <w:color w:val="auto"/>
          <w:sz w:val="24"/>
          <w:lang w:eastAsia="zh-CN"/>
        </w:rPr>
      </w:pPr>
      <w:bookmarkStart w:id="772" w:name="_Toc22608"/>
      <w:bookmarkStart w:id="773" w:name="_Toc168"/>
      <w:bookmarkStart w:id="774" w:name="_Toc26950"/>
      <w:bookmarkStart w:id="775" w:name="_Toc19244"/>
      <w:bookmarkStart w:id="776" w:name="_Toc26404"/>
      <w:bookmarkStart w:id="777" w:name="_Toc27549"/>
      <w:bookmarkStart w:id="778" w:name="_Toc23967"/>
      <w:bookmarkStart w:id="779" w:name="_Toc21263"/>
      <w:bookmarkStart w:id="780" w:name="_Toc26028"/>
      <w:bookmarkStart w:id="781" w:name="_Toc22967"/>
      <w:bookmarkStart w:id="782" w:name="_Toc515647816"/>
      <w:bookmarkStart w:id="783" w:name="_Toc11180"/>
      <w:bookmarkStart w:id="784" w:name="_Toc24008"/>
      <w:bookmarkStart w:id="785" w:name="_Toc30317"/>
      <w:r>
        <w:rPr>
          <w:rFonts w:hint="eastAsia" w:asciiTheme="minorEastAsia" w:hAnsiTheme="minorEastAsia" w:eastAsiaTheme="minorEastAsia" w:cstheme="minorEastAsia"/>
          <w:color w:val="auto"/>
          <w:sz w:val="24"/>
          <w:lang w:eastAsia="zh-CN"/>
        </w:rPr>
        <w:t>第二部分</w:t>
      </w:r>
      <w:r>
        <w:rPr>
          <w:rFonts w:hint="eastAsia" w:asciiTheme="minorEastAsia" w:hAnsiTheme="minorEastAsia" w:eastAsiaTheme="minorEastAsia" w:cstheme="minorEastAsia"/>
          <w:color w:val="auto"/>
          <w:sz w:val="24"/>
          <w:szCs w:val="24"/>
          <w:lang w:eastAsia="zh-CN"/>
        </w:rPr>
        <w:t xml:space="preserve"> 商务及技术文件</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14:paraId="12F2A437">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1、投标书</w:t>
      </w:r>
    </w:p>
    <w:p w14:paraId="7AAE4F58">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2、投标分项报价表</w:t>
      </w:r>
    </w:p>
    <w:p w14:paraId="557AE011">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3、货物说明一览表</w:t>
      </w:r>
    </w:p>
    <w:p w14:paraId="3E47090F">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4、技术规格偏离表</w:t>
      </w:r>
    </w:p>
    <w:p w14:paraId="07D70ADD">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5、商务条款偏离表</w:t>
      </w:r>
    </w:p>
    <w:p w14:paraId="66591385">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6-1《中小企业声明函（货物)》</w:t>
      </w:r>
    </w:p>
    <w:p w14:paraId="4DCAD03C">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6-2《残疾人福利性单位声明函》</w:t>
      </w:r>
    </w:p>
    <w:p w14:paraId="1CADD441">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6-3《监狱企业适用》</w:t>
      </w:r>
    </w:p>
    <w:p w14:paraId="5A2B59EC">
      <w:pPr>
        <w:pStyle w:val="11"/>
        <w:spacing w:line="288"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7、投标文件还应包括第五章、综合评分表的所有技术文件</w:t>
      </w:r>
    </w:p>
    <w:p w14:paraId="371930BB">
      <w:pPr>
        <w:pStyle w:val="11"/>
        <w:spacing w:line="288" w:lineRule="auto"/>
        <w:ind w:left="210" w:firstLine="240" w:firstLineChars="1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8、投标人关联单位的说明（格式自拟）</w:t>
      </w:r>
    </w:p>
    <w:p w14:paraId="0E784C96">
      <w:pPr>
        <w:pStyle w:val="11"/>
        <w:spacing w:line="288" w:lineRule="auto"/>
        <w:ind w:left="210" w:firstLine="240" w:firstLineChars="1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9、其他有利于投标人的文件或证明材料</w:t>
      </w:r>
    </w:p>
    <w:p w14:paraId="1A44D756">
      <w:pPr>
        <w:pStyle w:val="11"/>
        <w:spacing w:line="288" w:lineRule="auto"/>
        <w:ind w:left="210" w:firstLine="240" w:firstLineChars="1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10、对本项目投标文件（响应文件）中资料真实性的承诺</w:t>
      </w:r>
    </w:p>
    <w:p w14:paraId="0C5FBFA6">
      <w:pPr>
        <w:pStyle w:val="11"/>
        <w:rPr>
          <w:rFonts w:hint="eastAsia" w:asciiTheme="minorEastAsia" w:hAnsiTheme="minorEastAsia" w:eastAsiaTheme="minorEastAsia" w:cstheme="minorEastAsia"/>
          <w:color w:val="auto"/>
          <w:sz w:val="24"/>
          <w:szCs w:val="24"/>
          <w:lang w:eastAsia="zh-CN"/>
        </w:rPr>
      </w:pPr>
    </w:p>
    <w:p w14:paraId="254478CE">
      <w:pPr>
        <w:rPr>
          <w:rFonts w:hint="eastAsia" w:asciiTheme="minorEastAsia" w:hAnsiTheme="minorEastAsia" w:eastAsiaTheme="minorEastAsia" w:cstheme="minorEastAsia"/>
          <w:color w:val="auto"/>
          <w:lang w:eastAsia="zh-CN"/>
        </w:rPr>
      </w:pPr>
      <w:bookmarkStart w:id="786" w:name="_Toc3618"/>
      <w:bookmarkStart w:id="787" w:name="_Toc14062"/>
      <w:bookmarkStart w:id="788" w:name="_Toc9629"/>
      <w:bookmarkStart w:id="789" w:name="_Toc17635"/>
      <w:bookmarkStart w:id="790" w:name="_Toc31410"/>
      <w:bookmarkStart w:id="791" w:name="_Toc31638"/>
      <w:bookmarkStart w:id="792" w:name="_Toc11043"/>
      <w:bookmarkStart w:id="793" w:name="_Toc24743"/>
      <w:bookmarkStart w:id="794" w:name="_Toc21159"/>
      <w:bookmarkStart w:id="795" w:name="_Toc25213"/>
      <w:r>
        <w:rPr>
          <w:rFonts w:hint="eastAsia" w:asciiTheme="minorEastAsia" w:hAnsiTheme="minorEastAsia" w:eastAsiaTheme="minorEastAsia" w:cstheme="minorEastAsia"/>
          <w:color w:val="auto"/>
          <w:lang w:eastAsia="zh-CN"/>
        </w:rPr>
        <w:br w:type="page"/>
      </w:r>
    </w:p>
    <w:p w14:paraId="3C5C0BDD">
      <w:pPr>
        <w:pStyle w:val="4"/>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r>
        <w:rPr>
          <w:rFonts w:hint="eastAsia" w:asciiTheme="minorEastAsia" w:hAnsiTheme="minorEastAsia" w:eastAsiaTheme="minorEastAsia" w:cstheme="minorEastAsia"/>
          <w:color w:val="auto"/>
          <w:u w:val="none"/>
          <w:lang w:eastAsia="zh-CN"/>
        </w:rPr>
        <w:t>1  投标书</w:t>
      </w:r>
      <w:bookmarkEnd w:id="786"/>
      <w:bookmarkEnd w:id="787"/>
      <w:bookmarkEnd w:id="788"/>
      <w:bookmarkEnd w:id="789"/>
      <w:bookmarkEnd w:id="790"/>
      <w:bookmarkEnd w:id="791"/>
      <w:bookmarkEnd w:id="792"/>
      <w:bookmarkEnd w:id="793"/>
      <w:bookmarkEnd w:id="794"/>
      <w:bookmarkEnd w:id="795"/>
    </w:p>
    <w:p w14:paraId="33455492">
      <w:pPr>
        <w:tabs>
          <w:tab w:val="left" w:pos="5580"/>
        </w:tabs>
        <w:spacing w:line="240" w:lineRule="atLeast"/>
        <w:ind w:left="1080" w:leftChars="257" w:hanging="540"/>
        <w:rPr>
          <w:rFonts w:hint="eastAsia" w:asciiTheme="minorEastAsia" w:hAnsiTheme="minorEastAsia" w:eastAsiaTheme="minorEastAsia" w:cstheme="minorEastAsia"/>
          <w:color w:val="auto"/>
          <w:sz w:val="32"/>
          <w:szCs w:val="32"/>
          <w:lang w:eastAsia="zh-CN"/>
        </w:rPr>
      </w:pPr>
    </w:p>
    <w:p w14:paraId="7C932E96">
      <w:pPr>
        <w:tabs>
          <w:tab w:val="left" w:pos="5580"/>
        </w:tabs>
        <w:spacing w:line="320" w:lineRule="exact"/>
        <w:ind w:left="1080" w:hanging="10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致：</w:t>
      </w:r>
      <w:r>
        <w:rPr>
          <w:rFonts w:hint="eastAsia" w:asciiTheme="minorEastAsia" w:hAnsiTheme="minorEastAsia" w:eastAsiaTheme="minorEastAsia" w:cstheme="minorEastAsia"/>
          <w:color w:val="auto"/>
          <w:sz w:val="24"/>
          <w:u w:val="single" w:color="000000"/>
          <w:lang w:eastAsia="zh-CN"/>
        </w:rPr>
        <w:t xml:space="preserve"> （采购人名称）</w:t>
      </w:r>
    </w:p>
    <w:p w14:paraId="2D0E4125">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p>
    <w:p w14:paraId="66CB10C0">
      <w:pPr>
        <w:pStyle w:val="11"/>
        <w:tabs>
          <w:tab w:val="left" w:pos="5580"/>
        </w:tabs>
        <w:spacing w:line="400" w:lineRule="exact"/>
        <w:ind w:left="2" w:leftChars="1"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根据贵方(项目名称)项目的投标邀请(招标编号),签字代表(姓名、职务)经正式授权并代表投标人（名称、地址）上传</w:t>
      </w:r>
      <w:r>
        <w:rPr>
          <w:rFonts w:hint="eastAsia" w:asciiTheme="minorEastAsia" w:hAnsiTheme="minorEastAsia" w:eastAsiaTheme="minorEastAsia" w:cstheme="minorEastAsia"/>
          <w:color w:val="auto"/>
          <w:sz w:val="24"/>
          <w:szCs w:val="24"/>
          <w:u w:val="single"/>
          <w:lang w:eastAsia="zh-CN"/>
        </w:rPr>
        <w:t>响应文件</w:t>
      </w:r>
      <w:r>
        <w:rPr>
          <w:rFonts w:hint="eastAsia" w:asciiTheme="minorEastAsia" w:hAnsiTheme="minorEastAsia" w:eastAsiaTheme="minorEastAsia" w:cstheme="minorEastAsia"/>
          <w:color w:val="auto"/>
          <w:sz w:val="24"/>
          <w:szCs w:val="24"/>
          <w:lang w:eastAsia="zh-CN"/>
        </w:rPr>
        <w:t>，并以形式出具的金额为人民币</w:t>
      </w:r>
      <w:r>
        <w:rPr>
          <w:rFonts w:hint="eastAsia" w:asciiTheme="minorEastAsia" w:hAnsiTheme="minorEastAsia" w:eastAsiaTheme="minorEastAsia" w:cstheme="minorEastAsia"/>
          <w:color w:val="auto"/>
          <w:sz w:val="24"/>
          <w:szCs w:val="24"/>
          <w:u w:val="single"/>
          <w:lang w:eastAsia="zh-CN"/>
        </w:rPr>
        <w:t>　　　　</w:t>
      </w:r>
      <w:r>
        <w:rPr>
          <w:rFonts w:hint="eastAsia" w:asciiTheme="minorEastAsia" w:hAnsiTheme="minorEastAsia" w:eastAsiaTheme="minorEastAsia" w:cstheme="minorEastAsia"/>
          <w:color w:val="auto"/>
          <w:sz w:val="24"/>
          <w:szCs w:val="24"/>
          <w:lang w:eastAsia="zh-CN"/>
        </w:rPr>
        <w:t>元的投标保证金。</w:t>
      </w:r>
    </w:p>
    <w:p w14:paraId="11FFDC91">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据此，签字代表宣布同意如下：</w:t>
      </w:r>
    </w:p>
    <w:p w14:paraId="0A9DC820">
      <w:pPr>
        <w:pStyle w:val="11"/>
        <w:tabs>
          <w:tab w:val="left" w:pos="720"/>
          <w:tab w:val="left" w:pos="900"/>
        </w:tabs>
        <w:spacing w:line="320" w:lineRule="exact"/>
        <w:ind w:left="769" w:leftChars="257" w:hanging="229"/>
        <w:rPr>
          <w:rFonts w:hint="eastAsia" w:asciiTheme="minorEastAsia" w:hAnsiTheme="minorEastAsia" w:eastAsiaTheme="minorEastAsia" w:cstheme="minorEastAsia"/>
          <w:color w:val="auto"/>
          <w:sz w:val="24"/>
          <w:u w:val="single" w:color="000000"/>
          <w:lang w:eastAsia="zh-CN"/>
        </w:rPr>
      </w:pPr>
      <w:r>
        <w:rPr>
          <w:rFonts w:hint="eastAsia" w:asciiTheme="minorEastAsia" w:hAnsiTheme="minorEastAsia" w:eastAsiaTheme="minorEastAsia" w:cstheme="minorEastAsia"/>
          <w:color w:val="auto"/>
          <w:sz w:val="24"/>
          <w:lang w:eastAsia="zh-CN"/>
        </w:rPr>
        <w:t>（1）附投标价格表中规定的应提供货物的投标总价详见开标一览表，</w:t>
      </w:r>
      <w:r>
        <w:rPr>
          <w:rFonts w:hint="eastAsia" w:asciiTheme="minorEastAsia" w:hAnsiTheme="minorEastAsia" w:eastAsiaTheme="minorEastAsia" w:cstheme="minorEastAsia"/>
          <w:color w:val="auto"/>
          <w:sz w:val="24"/>
          <w:u w:val="single" w:color="000000"/>
          <w:lang w:eastAsia="zh-CN"/>
        </w:rPr>
        <w:t>其中由小型和</w:t>
      </w:r>
      <w:r>
        <w:rPr>
          <w:rFonts w:hint="eastAsia" w:asciiTheme="minorEastAsia" w:hAnsiTheme="minorEastAsia" w:eastAsiaTheme="minorEastAsia" w:cstheme="minorEastAsia"/>
          <w:color w:val="auto"/>
          <w:sz w:val="24"/>
          <w:lang w:eastAsia="zh-CN"/>
        </w:rPr>
        <w:t>微型企业制造产品的价格为</w:t>
      </w:r>
      <w:r>
        <w:rPr>
          <w:rFonts w:hint="eastAsia" w:asciiTheme="minorEastAsia" w:hAnsiTheme="minorEastAsia" w:eastAsiaTheme="minorEastAsia" w:cstheme="minorEastAsia"/>
          <w:color w:val="auto"/>
          <w:sz w:val="24"/>
          <w:u w:val="single" w:color="000000"/>
          <w:lang w:eastAsia="zh-CN"/>
        </w:rPr>
        <w:t xml:space="preserve">      （用文字和数字表示），占投标总价    %</w:t>
      </w:r>
      <w:r>
        <w:rPr>
          <w:rFonts w:hint="eastAsia" w:asciiTheme="minorEastAsia" w:hAnsiTheme="minorEastAsia" w:eastAsiaTheme="minorEastAsia" w:cstheme="minorEastAsia"/>
          <w:color w:val="auto"/>
          <w:sz w:val="24"/>
          <w:lang w:eastAsia="zh-CN"/>
        </w:rPr>
        <w:t>。</w:t>
      </w:r>
    </w:p>
    <w:p w14:paraId="48775B6D">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（2）本投标有效期为自投标截止之日起个</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lang w:eastAsia="zh-CN"/>
        </w:rPr>
        <w:t>日历日。</w:t>
      </w:r>
    </w:p>
    <w:p w14:paraId="692F4270">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（3）联合体中的大中型企业和其他自然人、法人或者非法人组织，与联合体中的小型、微型企业之间</w:t>
      </w:r>
      <w:r>
        <w:rPr>
          <w:rFonts w:hint="eastAsia" w:asciiTheme="minorEastAsia" w:hAnsiTheme="minorEastAsia" w:eastAsiaTheme="minorEastAsia" w:cstheme="minorEastAsia"/>
          <w:color w:val="auto"/>
          <w:sz w:val="24"/>
          <w:u w:val="single" w:color="000000"/>
          <w:lang w:eastAsia="zh-CN"/>
        </w:rPr>
        <w:t xml:space="preserve">     （</w:t>
      </w:r>
      <w:r>
        <w:rPr>
          <w:rFonts w:hint="eastAsia" w:asciiTheme="minorEastAsia" w:hAnsiTheme="minorEastAsia" w:eastAsiaTheme="minorEastAsia" w:cstheme="minorEastAsia"/>
          <w:color w:val="auto"/>
          <w:sz w:val="24"/>
          <w:lang w:eastAsia="zh-CN"/>
        </w:rPr>
        <w:t>存在、不存在）投资关系（如果是联合体的话）。</w:t>
      </w:r>
    </w:p>
    <w:p w14:paraId="1B8B6734">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（4）已详细审查全部招标文件，包括所有补充通知（如果有的话），完全理解并同意放弃对这方面有不明、误解和质疑的权力。</w:t>
      </w:r>
    </w:p>
    <w:p w14:paraId="191A8924">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（5）在规定的开标时间后，遵守招标文件中有关保证金的规定。</w:t>
      </w:r>
    </w:p>
    <w:p w14:paraId="6EB80F4C">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（6）我方不是为本项目提供整体设计、规范编制或者项目管理、监理、检测等服务的供应商，我方不是采购代理机构的附属机构。</w:t>
      </w:r>
    </w:p>
    <w:p w14:paraId="1D78C5AC">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（7）在领取中标通知书的同时按招标文件规定的形式，向贵方一次性支付中标服务费。</w:t>
      </w:r>
    </w:p>
    <w:p w14:paraId="4CD4DD0A">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（8）按照贵方可能要求，提供与其投标有关的一切数据或资料，完全理解贵方不一定接受最低价的投标或收到的任何投标。</w:t>
      </w:r>
    </w:p>
    <w:p w14:paraId="59586154">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（9）在中标公示期过后7个工作日内领取中标通知书，不领取中标通知书视为自动放弃中标资格，采购人可依法进行相应处罚。</w:t>
      </w:r>
    </w:p>
    <w:p w14:paraId="53832F77">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（10）按照招标文件的规定履行合同责任和义务。</w:t>
      </w:r>
    </w:p>
    <w:p w14:paraId="20D0E0FB">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p>
    <w:p w14:paraId="37E1A202">
      <w:pPr>
        <w:pStyle w:val="11"/>
        <w:tabs>
          <w:tab w:val="left" w:pos="5580"/>
        </w:tabs>
        <w:spacing w:line="320" w:lineRule="exact"/>
        <w:ind w:left="359" w:leftChars="68" w:hanging="216" w:hangingChars="9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与本投标有关的一切正式往来信函请寄：</w:t>
      </w:r>
    </w:p>
    <w:p w14:paraId="50CA0A69">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地址：                       传真：</w:t>
      </w:r>
    </w:p>
    <w:p w14:paraId="3FA949A9">
      <w:pPr>
        <w:pStyle w:val="11"/>
        <w:tabs>
          <w:tab w:val="left" w:pos="5580"/>
        </w:tabs>
        <w:spacing w:line="320" w:lineRule="exact"/>
        <w:ind w:left="1080" w:leftChars="257" w:hanging="540"/>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color w:val="auto"/>
          <w:sz w:val="24"/>
          <w:lang w:eastAsia="zh-CN"/>
        </w:rPr>
        <w:t>电话：                       电子函件：</w:t>
      </w:r>
    </w:p>
    <w:p w14:paraId="540856DA">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p>
    <w:p w14:paraId="5C145FE5">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法定代表人（或企业负责人）或其委托代理人签字（章）：</w:t>
      </w:r>
      <w:r>
        <w:rPr>
          <w:rFonts w:hint="eastAsia" w:asciiTheme="minorEastAsia" w:hAnsiTheme="minorEastAsia" w:eastAsiaTheme="minorEastAsia" w:cstheme="minorEastAsia"/>
          <w:color w:val="auto"/>
          <w:sz w:val="24"/>
          <w:u w:val="single"/>
          <w:lang w:eastAsia="zh-CN"/>
        </w:rPr>
        <w:t xml:space="preserve">                </w:t>
      </w:r>
    </w:p>
    <w:p w14:paraId="30A38FD2">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投标人名称（全称）：</w:t>
      </w:r>
      <w:r>
        <w:rPr>
          <w:rFonts w:hint="eastAsia" w:asciiTheme="minorEastAsia" w:hAnsiTheme="minorEastAsia" w:eastAsiaTheme="minorEastAsia" w:cstheme="minorEastAsia"/>
          <w:color w:val="auto"/>
          <w:sz w:val="24"/>
          <w:u w:val="single"/>
          <w:lang w:eastAsia="zh-CN"/>
        </w:rPr>
        <w:t xml:space="preserve">                </w:t>
      </w:r>
    </w:p>
    <w:p w14:paraId="1B3F564B">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投标人开户银行（全称）：</w:t>
      </w:r>
      <w:r>
        <w:rPr>
          <w:rFonts w:hint="eastAsia" w:asciiTheme="minorEastAsia" w:hAnsiTheme="minorEastAsia" w:eastAsiaTheme="minorEastAsia" w:cstheme="minorEastAsia"/>
          <w:color w:val="auto"/>
          <w:sz w:val="24"/>
          <w:u w:val="single"/>
          <w:lang w:eastAsia="zh-CN"/>
        </w:rPr>
        <w:t xml:space="preserve">                </w:t>
      </w:r>
    </w:p>
    <w:p w14:paraId="6DC5D62A">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投标人银行帐号：</w:t>
      </w:r>
      <w:r>
        <w:rPr>
          <w:rFonts w:hint="eastAsia" w:asciiTheme="minorEastAsia" w:hAnsiTheme="minorEastAsia" w:eastAsiaTheme="minorEastAsia" w:cstheme="minorEastAsia"/>
          <w:color w:val="auto"/>
          <w:sz w:val="24"/>
          <w:u w:val="single"/>
          <w:lang w:eastAsia="zh-CN"/>
        </w:rPr>
        <w:t xml:space="preserve">                </w:t>
      </w:r>
    </w:p>
    <w:p w14:paraId="34E0B34A">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投标人单位章：</w:t>
      </w:r>
      <w:r>
        <w:rPr>
          <w:rFonts w:hint="eastAsia" w:asciiTheme="minorEastAsia" w:hAnsiTheme="minorEastAsia" w:eastAsiaTheme="minorEastAsia" w:cstheme="minorEastAsia"/>
          <w:color w:val="auto"/>
          <w:sz w:val="24"/>
          <w:u w:val="single"/>
          <w:lang w:eastAsia="zh-CN"/>
        </w:rPr>
        <w:t xml:space="preserve">                </w:t>
      </w:r>
    </w:p>
    <w:p w14:paraId="1BB36CD9">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日期：</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lang w:eastAsia="zh-CN"/>
        </w:rPr>
        <w:t>-</w:t>
      </w:r>
    </w:p>
    <w:p w14:paraId="21DF9A64">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24"/>
          <w:lang w:eastAsia="zh-CN"/>
        </w:rPr>
        <w:br w:type="page"/>
      </w:r>
    </w:p>
    <w:p w14:paraId="47D67180">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p w14:paraId="0CBD3F13">
      <w:pPr>
        <w:pStyle w:val="4"/>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bookmarkStart w:id="796" w:name="_Toc22014"/>
      <w:bookmarkStart w:id="797" w:name="_Toc19321"/>
      <w:bookmarkStart w:id="798" w:name="_Toc16287"/>
      <w:bookmarkStart w:id="799" w:name="_Toc14037"/>
      <w:bookmarkStart w:id="800" w:name="_Toc18267"/>
      <w:bookmarkStart w:id="801" w:name="_Toc216582816"/>
      <w:bookmarkStart w:id="802" w:name="_Toc32398"/>
      <w:bookmarkStart w:id="803" w:name="_Toc515647819"/>
      <w:r>
        <w:rPr>
          <w:rFonts w:hint="eastAsia" w:asciiTheme="minorEastAsia" w:hAnsiTheme="minorEastAsia" w:eastAsiaTheme="minorEastAsia" w:cstheme="minorEastAsia"/>
          <w:color w:val="auto"/>
          <w:u w:val="none"/>
          <w:lang w:eastAsia="zh-CN"/>
        </w:rPr>
        <w:t>2  投标分项报价表</w:t>
      </w:r>
      <w:bookmarkEnd w:id="796"/>
      <w:bookmarkEnd w:id="797"/>
      <w:bookmarkEnd w:id="798"/>
    </w:p>
    <w:p w14:paraId="5AD4D17B">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p w14:paraId="0833B92E">
      <w:pPr>
        <w:pStyle w:val="11"/>
        <w:spacing w:line="240" w:lineRule="atLeast"/>
        <w:ind w:left="79" w:leftChars="-27" w:hanging="136" w:hangingChars="57"/>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项目名称:                                        招标编号:                       </w:t>
      </w:r>
    </w:p>
    <w:p w14:paraId="5C2C54BD">
      <w:pPr>
        <w:pStyle w:val="11"/>
        <w:spacing w:line="240" w:lineRule="atLeast"/>
        <w:ind w:left="79" w:leftChars="-27" w:hanging="136" w:hangingChars="57"/>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标    段: 　 　                                  报价单位：人民币元</w:t>
      </w:r>
    </w:p>
    <w:p w14:paraId="6F291575">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tbl>
      <w:tblPr>
        <w:tblStyle w:val="22"/>
        <w:tblW w:w="10448"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15"/>
        <w:gridCol w:w="1290"/>
        <w:gridCol w:w="1185"/>
        <w:gridCol w:w="1005"/>
        <w:gridCol w:w="945"/>
        <w:gridCol w:w="1200"/>
        <w:gridCol w:w="930"/>
        <w:gridCol w:w="928"/>
        <w:gridCol w:w="820"/>
      </w:tblGrid>
      <w:tr w14:paraId="7C9D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30" w:type="dxa"/>
            <w:noWrap/>
            <w:vAlign w:val="center"/>
          </w:tcPr>
          <w:p w14:paraId="2FD224AB">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515" w:type="dxa"/>
            <w:noWrap/>
            <w:vAlign w:val="center"/>
          </w:tcPr>
          <w:p w14:paraId="7D393E22">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货物名称</w:t>
            </w:r>
          </w:p>
        </w:tc>
        <w:tc>
          <w:tcPr>
            <w:tcW w:w="1290" w:type="dxa"/>
            <w:noWrap/>
            <w:vAlign w:val="center"/>
          </w:tcPr>
          <w:p w14:paraId="7CC16F32">
            <w:pPr>
              <w:pStyle w:val="11"/>
              <w:spacing w:line="240" w:lineRule="atLeast"/>
              <w:jc w:val="center"/>
              <w:rPr>
                <w:rFonts w:hint="eastAsia" w:asciiTheme="minorEastAsia" w:hAnsiTheme="minorEastAsia" w:eastAsiaTheme="minorEastAsia" w:cstheme="minorEastAsia"/>
                <w:color w:val="auto"/>
                <w:sz w:val="24"/>
              </w:rPr>
            </w:pPr>
          </w:p>
          <w:p w14:paraId="75AB39A8">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品牌型号</w:t>
            </w:r>
          </w:p>
          <w:p w14:paraId="649309DE">
            <w:pPr>
              <w:pStyle w:val="11"/>
              <w:spacing w:line="240" w:lineRule="atLeast"/>
              <w:jc w:val="center"/>
              <w:rPr>
                <w:rFonts w:hint="eastAsia" w:asciiTheme="minorEastAsia" w:hAnsiTheme="minorEastAsia" w:eastAsiaTheme="minorEastAsia" w:cstheme="minorEastAsia"/>
                <w:color w:val="auto"/>
                <w:sz w:val="24"/>
              </w:rPr>
            </w:pPr>
          </w:p>
        </w:tc>
        <w:tc>
          <w:tcPr>
            <w:tcW w:w="1185" w:type="dxa"/>
            <w:noWrap/>
            <w:vAlign w:val="center"/>
          </w:tcPr>
          <w:p w14:paraId="051262B9">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投标规格</w:t>
            </w:r>
          </w:p>
        </w:tc>
        <w:tc>
          <w:tcPr>
            <w:tcW w:w="1005" w:type="dxa"/>
            <w:noWrap/>
            <w:vAlign w:val="center"/>
          </w:tcPr>
          <w:p w14:paraId="2F4249A9">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w:t>
            </w:r>
          </w:p>
        </w:tc>
        <w:tc>
          <w:tcPr>
            <w:tcW w:w="945" w:type="dxa"/>
            <w:noWrap/>
            <w:vAlign w:val="center"/>
          </w:tcPr>
          <w:p w14:paraId="40024413">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w:t>
            </w:r>
          </w:p>
        </w:tc>
        <w:tc>
          <w:tcPr>
            <w:tcW w:w="1200" w:type="dxa"/>
            <w:noWrap/>
            <w:vAlign w:val="center"/>
          </w:tcPr>
          <w:p w14:paraId="7107457A">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生产厂家</w:t>
            </w:r>
          </w:p>
        </w:tc>
        <w:tc>
          <w:tcPr>
            <w:tcW w:w="930" w:type="dxa"/>
            <w:noWrap/>
            <w:vAlign w:val="center"/>
          </w:tcPr>
          <w:p w14:paraId="6C070A4E">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单价</w:t>
            </w:r>
          </w:p>
        </w:tc>
        <w:tc>
          <w:tcPr>
            <w:tcW w:w="928" w:type="dxa"/>
            <w:noWrap/>
            <w:vAlign w:val="center"/>
          </w:tcPr>
          <w:p w14:paraId="32DAC344">
            <w:pPr>
              <w:pStyle w:val="11"/>
              <w:spacing w:line="240" w:lineRule="atLeast"/>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合价</w:t>
            </w:r>
          </w:p>
        </w:tc>
        <w:tc>
          <w:tcPr>
            <w:tcW w:w="820" w:type="dxa"/>
            <w:noWrap/>
            <w:vAlign w:val="center"/>
          </w:tcPr>
          <w:p w14:paraId="6713A642">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备注</w:t>
            </w:r>
          </w:p>
        </w:tc>
      </w:tr>
      <w:tr w14:paraId="441C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05CAB67B">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515" w:type="dxa"/>
            <w:noWrap/>
            <w:vAlign w:val="center"/>
          </w:tcPr>
          <w:p w14:paraId="6F3F2513">
            <w:pPr>
              <w:jc w:val="both"/>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货物名称</w:t>
            </w:r>
          </w:p>
        </w:tc>
        <w:tc>
          <w:tcPr>
            <w:tcW w:w="1290" w:type="dxa"/>
            <w:noWrap/>
            <w:vAlign w:val="center"/>
          </w:tcPr>
          <w:p w14:paraId="229D3E0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185" w:type="dxa"/>
            <w:noWrap/>
            <w:vAlign w:val="center"/>
          </w:tcPr>
          <w:p w14:paraId="27CA98CA">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005" w:type="dxa"/>
            <w:noWrap/>
            <w:vAlign w:val="center"/>
          </w:tcPr>
          <w:p w14:paraId="1AF3B2D5">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45" w:type="dxa"/>
            <w:noWrap/>
            <w:vAlign w:val="center"/>
          </w:tcPr>
          <w:p w14:paraId="709D84F4">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200" w:type="dxa"/>
            <w:noWrap/>
            <w:vAlign w:val="center"/>
          </w:tcPr>
          <w:p w14:paraId="2696C321">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30" w:type="dxa"/>
            <w:noWrap/>
            <w:vAlign w:val="center"/>
          </w:tcPr>
          <w:p w14:paraId="76E5CBC6">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28" w:type="dxa"/>
            <w:noWrap/>
            <w:vAlign w:val="center"/>
          </w:tcPr>
          <w:p w14:paraId="53E3E682">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820" w:type="dxa"/>
            <w:noWrap/>
            <w:vAlign w:val="center"/>
          </w:tcPr>
          <w:p w14:paraId="6AC4676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r>
      <w:tr w14:paraId="38F7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57D8FC1D">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1515" w:type="dxa"/>
            <w:noWrap/>
            <w:vAlign w:val="center"/>
          </w:tcPr>
          <w:p w14:paraId="3387CA25">
            <w:pPr>
              <w:jc w:val="both"/>
              <w:textAlignment w:val="center"/>
              <w:rPr>
                <w:rFonts w:hint="eastAsia" w:asciiTheme="minorEastAsia" w:hAnsiTheme="minorEastAsia" w:eastAsiaTheme="minorEastAsia" w:cstheme="minorEastAsia"/>
                <w:color w:val="auto"/>
                <w:sz w:val="24"/>
              </w:rPr>
            </w:pPr>
          </w:p>
        </w:tc>
        <w:tc>
          <w:tcPr>
            <w:tcW w:w="1290" w:type="dxa"/>
            <w:noWrap/>
            <w:vAlign w:val="center"/>
          </w:tcPr>
          <w:p w14:paraId="3C314B9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185" w:type="dxa"/>
            <w:noWrap/>
            <w:vAlign w:val="center"/>
          </w:tcPr>
          <w:p w14:paraId="6EE4A042">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005" w:type="dxa"/>
            <w:noWrap/>
            <w:vAlign w:val="center"/>
          </w:tcPr>
          <w:p w14:paraId="74B17F38">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45" w:type="dxa"/>
            <w:noWrap/>
            <w:vAlign w:val="center"/>
          </w:tcPr>
          <w:p w14:paraId="5C99E3D7">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200" w:type="dxa"/>
            <w:noWrap/>
            <w:vAlign w:val="center"/>
          </w:tcPr>
          <w:p w14:paraId="3DB41058">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30" w:type="dxa"/>
            <w:noWrap/>
            <w:vAlign w:val="center"/>
          </w:tcPr>
          <w:p w14:paraId="19FB7455">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28" w:type="dxa"/>
            <w:noWrap/>
            <w:vAlign w:val="center"/>
          </w:tcPr>
          <w:p w14:paraId="4E9A2C36">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820" w:type="dxa"/>
            <w:noWrap/>
            <w:vAlign w:val="center"/>
          </w:tcPr>
          <w:p w14:paraId="5ABFE164">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r>
      <w:tr w14:paraId="5048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565B35DA">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1515" w:type="dxa"/>
            <w:noWrap/>
            <w:vAlign w:val="center"/>
          </w:tcPr>
          <w:p w14:paraId="3B843FE1">
            <w:pPr>
              <w:jc w:val="both"/>
              <w:textAlignment w:val="center"/>
              <w:rPr>
                <w:rFonts w:hint="eastAsia" w:asciiTheme="minorEastAsia" w:hAnsiTheme="minorEastAsia" w:eastAsiaTheme="minorEastAsia" w:cstheme="minorEastAsia"/>
                <w:color w:val="auto"/>
                <w:sz w:val="24"/>
              </w:rPr>
            </w:pPr>
          </w:p>
        </w:tc>
        <w:tc>
          <w:tcPr>
            <w:tcW w:w="1290" w:type="dxa"/>
            <w:noWrap/>
            <w:vAlign w:val="center"/>
          </w:tcPr>
          <w:p w14:paraId="4E91FD08">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185" w:type="dxa"/>
            <w:noWrap/>
            <w:vAlign w:val="center"/>
          </w:tcPr>
          <w:p w14:paraId="06D9BA1E">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005" w:type="dxa"/>
            <w:noWrap/>
            <w:vAlign w:val="center"/>
          </w:tcPr>
          <w:p w14:paraId="44B3BA1B">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45" w:type="dxa"/>
            <w:noWrap/>
            <w:vAlign w:val="center"/>
          </w:tcPr>
          <w:p w14:paraId="413082F2">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200" w:type="dxa"/>
            <w:noWrap/>
            <w:vAlign w:val="center"/>
          </w:tcPr>
          <w:p w14:paraId="4B407DCF">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30" w:type="dxa"/>
            <w:noWrap/>
            <w:vAlign w:val="center"/>
          </w:tcPr>
          <w:p w14:paraId="1BA62807">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28" w:type="dxa"/>
            <w:noWrap/>
            <w:vAlign w:val="center"/>
          </w:tcPr>
          <w:p w14:paraId="15C3598E">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820" w:type="dxa"/>
            <w:noWrap/>
            <w:vAlign w:val="center"/>
          </w:tcPr>
          <w:p w14:paraId="42C2A52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r>
      <w:tr w14:paraId="6A71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74476DCA">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1515" w:type="dxa"/>
            <w:noWrap/>
            <w:vAlign w:val="center"/>
          </w:tcPr>
          <w:p w14:paraId="50B1DA31">
            <w:pPr>
              <w:jc w:val="both"/>
              <w:textAlignment w:val="center"/>
              <w:rPr>
                <w:rFonts w:hint="eastAsia" w:asciiTheme="minorEastAsia" w:hAnsiTheme="minorEastAsia" w:eastAsiaTheme="minorEastAsia" w:cstheme="minorEastAsia"/>
                <w:color w:val="auto"/>
                <w:sz w:val="24"/>
              </w:rPr>
            </w:pPr>
          </w:p>
        </w:tc>
        <w:tc>
          <w:tcPr>
            <w:tcW w:w="1290" w:type="dxa"/>
            <w:noWrap/>
            <w:vAlign w:val="center"/>
          </w:tcPr>
          <w:p w14:paraId="6945D76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185" w:type="dxa"/>
            <w:noWrap/>
            <w:vAlign w:val="center"/>
          </w:tcPr>
          <w:p w14:paraId="59D21589">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005" w:type="dxa"/>
            <w:noWrap/>
            <w:vAlign w:val="center"/>
          </w:tcPr>
          <w:p w14:paraId="432E42BE">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45" w:type="dxa"/>
            <w:noWrap/>
            <w:vAlign w:val="center"/>
          </w:tcPr>
          <w:p w14:paraId="4AA911D1">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200" w:type="dxa"/>
            <w:noWrap/>
            <w:vAlign w:val="center"/>
          </w:tcPr>
          <w:p w14:paraId="3BCCE324">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30" w:type="dxa"/>
            <w:noWrap/>
            <w:vAlign w:val="center"/>
          </w:tcPr>
          <w:p w14:paraId="20EBD7F3">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28" w:type="dxa"/>
            <w:noWrap/>
            <w:vAlign w:val="center"/>
          </w:tcPr>
          <w:p w14:paraId="0890824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820" w:type="dxa"/>
            <w:noWrap/>
            <w:vAlign w:val="center"/>
          </w:tcPr>
          <w:p w14:paraId="688A89F3">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r>
      <w:tr w14:paraId="2DDC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30" w:type="dxa"/>
            <w:noWrap/>
            <w:vAlign w:val="center"/>
          </w:tcPr>
          <w:p w14:paraId="469FDD43">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1515" w:type="dxa"/>
            <w:noWrap/>
            <w:vAlign w:val="center"/>
          </w:tcPr>
          <w:p w14:paraId="14817351">
            <w:pPr>
              <w:jc w:val="both"/>
              <w:textAlignment w:val="center"/>
              <w:rPr>
                <w:rFonts w:hint="eastAsia" w:asciiTheme="minorEastAsia" w:hAnsiTheme="minorEastAsia" w:eastAsiaTheme="minorEastAsia" w:cstheme="minorEastAsia"/>
                <w:color w:val="auto"/>
                <w:sz w:val="24"/>
              </w:rPr>
            </w:pPr>
          </w:p>
        </w:tc>
        <w:tc>
          <w:tcPr>
            <w:tcW w:w="1290" w:type="dxa"/>
            <w:noWrap/>
            <w:vAlign w:val="center"/>
          </w:tcPr>
          <w:p w14:paraId="071A67AD">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185" w:type="dxa"/>
            <w:noWrap/>
            <w:vAlign w:val="center"/>
          </w:tcPr>
          <w:p w14:paraId="3832A80E">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005" w:type="dxa"/>
            <w:noWrap/>
            <w:vAlign w:val="center"/>
          </w:tcPr>
          <w:p w14:paraId="5BF365D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45" w:type="dxa"/>
            <w:noWrap/>
            <w:vAlign w:val="center"/>
          </w:tcPr>
          <w:p w14:paraId="7581EDF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200" w:type="dxa"/>
            <w:noWrap/>
            <w:vAlign w:val="center"/>
          </w:tcPr>
          <w:p w14:paraId="1DF09250">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30" w:type="dxa"/>
            <w:noWrap/>
            <w:vAlign w:val="center"/>
          </w:tcPr>
          <w:p w14:paraId="502845F9">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28" w:type="dxa"/>
            <w:noWrap/>
            <w:vAlign w:val="center"/>
          </w:tcPr>
          <w:p w14:paraId="7D1A24BE">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820" w:type="dxa"/>
            <w:noWrap/>
            <w:vAlign w:val="center"/>
          </w:tcPr>
          <w:p w14:paraId="3C4F8DC9">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r>
      <w:tr w14:paraId="3756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628" w:type="dxa"/>
            <w:gridSpan w:val="9"/>
            <w:noWrap/>
            <w:vAlign w:val="center"/>
          </w:tcPr>
          <w:p w14:paraId="5A725B22">
            <w:pPr>
              <w:pStyle w:val="11"/>
              <w:spacing w:line="240" w:lineRule="atLeast"/>
              <w:ind w:left="1080" w:leftChars="257" w:hanging="540"/>
              <w:jc w:val="both"/>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b/>
                <w:bCs/>
                <w:color w:val="auto"/>
                <w:sz w:val="24"/>
                <w:lang w:eastAsia="zh-CN"/>
              </w:rPr>
              <w:t>总价（元）</w:t>
            </w:r>
          </w:p>
        </w:tc>
        <w:tc>
          <w:tcPr>
            <w:tcW w:w="820" w:type="dxa"/>
            <w:noWrap/>
            <w:vAlign w:val="center"/>
          </w:tcPr>
          <w:p w14:paraId="2F2D6146">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r>
    </w:tbl>
    <w:p w14:paraId="30753EB2">
      <w:pPr>
        <w:pStyle w:val="11"/>
        <w:spacing w:line="240" w:lineRule="atLeast"/>
        <w:ind w:left="1080" w:leftChars="257" w:hanging="540"/>
        <w:rPr>
          <w:rFonts w:hint="eastAsia" w:asciiTheme="minorEastAsia" w:hAnsiTheme="minorEastAsia" w:eastAsiaTheme="minorEastAsia" w:cstheme="minorEastAsia"/>
          <w:color w:val="auto"/>
          <w:sz w:val="24"/>
        </w:rPr>
      </w:pPr>
    </w:p>
    <w:p w14:paraId="415836E1">
      <w:pPr>
        <w:pStyle w:val="11"/>
        <w:spacing w:line="240" w:lineRule="atLeas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 xml:space="preserve">法定代表人（或企业负责人）或其委托代理人签字（章）: </w:t>
      </w:r>
      <w:r>
        <w:rPr>
          <w:rFonts w:hint="eastAsia" w:asciiTheme="minorEastAsia" w:hAnsiTheme="minorEastAsia" w:eastAsiaTheme="minorEastAsia" w:cstheme="minorEastAsia"/>
          <w:color w:val="auto"/>
          <w:sz w:val="24"/>
          <w:u w:val="single" w:color="000000"/>
          <w:lang w:eastAsia="zh-CN"/>
        </w:rPr>
        <w:tab/>
      </w:r>
      <w:r>
        <w:rPr>
          <w:rFonts w:hint="eastAsia" w:asciiTheme="minorEastAsia" w:hAnsiTheme="minorEastAsia" w:eastAsiaTheme="minorEastAsia" w:cstheme="minorEastAsia"/>
          <w:color w:val="auto"/>
          <w:sz w:val="24"/>
          <w:u w:val="single" w:color="000000"/>
          <w:lang w:eastAsia="zh-CN"/>
        </w:rPr>
        <w:t xml:space="preserve">         </w:t>
      </w:r>
    </w:p>
    <w:p w14:paraId="148613EE">
      <w:pPr>
        <w:pStyle w:val="11"/>
        <w:tabs>
          <w:tab w:val="left" w:pos="5370"/>
        </w:tabs>
        <w:spacing w:line="240" w:lineRule="atLeast"/>
        <w:ind w:left="1080" w:leftChars="257" w:hanging="540"/>
        <w:rPr>
          <w:rFonts w:hint="eastAsia" w:asciiTheme="minorEastAsia" w:hAnsiTheme="minorEastAsia" w:eastAsiaTheme="minorEastAsia" w:cstheme="minorEastAsia"/>
          <w:color w:val="auto"/>
          <w:sz w:val="24"/>
          <w:u w:val="single" w:color="000000"/>
          <w:lang w:eastAsia="zh-CN"/>
        </w:rPr>
      </w:pPr>
      <w:r>
        <w:rPr>
          <w:rFonts w:hint="eastAsia" w:asciiTheme="minorEastAsia" w:hAnsiTheme="minorEastAsia" w:eastAsiaTheme="minorEastAsia" w:cstheme="minorEastAsia"/>
          <w:color w:val="auto"/>
          <w:sz w:val="24"/>
          <w:lang w:eastAsia="zh-CN"/>
        </w:rPr>
        <w:t>投标人(盖单位章):</w:t>
      </w:r>
      <w:r>
        <w:rPr>
          <w:rFonts w:hint="eastAsia" w:asciiTheme="minorEastAsia" w:hAnsiTheme="minorEastAsia" w:eastAsiaTheme="minorEastAsia" w:cstheme="minorEastAsia"/>
          <w:color w:val="auto"/>
          <w:sz w:val="24"/>
          <w:u w:val="single" w:color="000000"/>
          <w:lang w:eastAsia="zh-CN"/>
        </w:rPr>
        <w:tab/>
      </w:r>
    </w:p>
    <w:p w14:paraId="65FA0B7A">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注: 1.如果投标人认为需要，每种服务、货物填写一份该表。</w:t>
      </w:r>
    </w:p>
    <w:p w14:paraId="7B86E3D2">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2.如果按单价计算的结果与总价不一致,以单价为准修正总价。</w:t>
      </w:r>
    </w:p>
    <w:p w14:paraId="3FBB2112">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3.如果开标一览表（报价表）内容与投标文件中明细表内容不一致的，以开标一览表（报价表）内容为准。</w:t>
      </w:r>
    </w:p>
    <w:p w14:paraId="636CFDD4">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4.投标人可根据需要自行增减表格行数。</w:t>
      </w:r>
    </w:p>
    <w:p w14:paraId="7780125A">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5.投标人对所报相关内容的真实性负责，采购代理机构有权将相关内容进行公示，因弄虚作假导致的后果由投标人自行承担。</w:t>
      </w:r>
    </w:p>
    <w:p w14:paraId="7DF33226">
      <w:pPr>
        <w:pStyle w:val="11"/>
        <w:spacing w:line="240" w:lineRule="atLeast"/>
        <w:ind w:firstLine="48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t>6.以上报价的货物、技术服务，包装、仓储、运输、装卸、保险、安装、税金（规费、税金）等的一切费用。</w:t>
      </w:r>
    </w:p>
    <w:p w14:paraId="1A99BF75">
      <w:pPr>
        <w:rPr>
          <w:rFonts w:hint="eastAsia" w:asciiTheme="minorEastAsia" w:hAnsiTheme="minorEastAsia" w:eastAsiaTheme="minorEastAsia" w:cstheme="minorEastAsia"/>
          <w:color w:val="auto"/>
          <w:lang w:eastAsia="zh-CN"/>
        </w:rPr>
      </w:pPr>
      <w:bookmarkStart w:id="804" w:name="_Toc25123"/>
      <w:bookmarkStart w:id="805" w:name="_Toc19912"/>
      <w:bookmarkStart w:id="806" w:name="_Toc7334"/>
      <w:bookmarkStart w:id="807" w:name="_Toc30769"/>
      <w:bookmarkStart w:id="808" w:name="_Toc21472"/>
      <w:bookmarkStart w:id="809" w:name="_Toc24906"/>
      <w:bookmarkStart w:id="810" w:name="_Toc1486"/>
      <w:bookmarkStart w:id="811" w:name="_Toc1207"/>
      <w:bookmarkStart w:id="812" w:name="_Toc17583"/>
      <w:bookmarkStart w:id="813" w:name="_Toc7368"/>
      <w:r>
        <w:rPr>
          <w:rFonts w:hint="eastAsia" w:asciiTheme="minorEastAsia" w:hAnsiTheme="minorEastAsia" w:eastAsiaTheme="minorEastAsia" w:cstheme="minorEastAsia"/>
          <w:color w:val="auto"/>
          <w:lang w:eastAsia="zh-CN"/>
        </w:rPr>
        <w:br w:type="page"/>
      </w:r>
    </w:p>
    <w:p w14:paraId="42FA8EED">
      <w:pPr>
        <w:pStyle w:val="4"/>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r>
        <w:rPr>
          <w:rFonts w:hint="eastAsia" w:asciiTheme="minorEastAsia" w:hAnsiTheme="minorEastAsia" w:eastAsiaTheme="minorEastAsia" w:cstheme="minorEastAsia"/>
          <w:color w:val="auto"/>
          <w:u w:val="none"/>
          <w:lang w:eastAsia="zh-CN"/>
        </w:rPr>
        <w:t>3 货物说明一览表</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73B85D10">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p w14:paraId="14BDE12D">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项目名称:           招标编号:              包号:                      </w:t>
      </w:r>
    </w:p>
    <w:p w14:paraId="6C22F0FE">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tbl>
      <w:tblPr>
        <w:tblStyle w:val="22"/>
        <w:tblpPr w:leftFromText="180" w:rightFromText="180" w:vertAnchor="text" w:horzAnchor="page" w:tblpX="1506" w:tblpY="217"/>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326"/>
        <w:gridCol w:w="1554"/>
        <w:gridCol w:w="1036"/>
        <w:gridCol w:w="1237"/>
        <w:gridCol w:w="1645"/>
        <w:gridCol w:w="1247"/>
      </w:tblGrid>
      <w:tr w14:paraId="6A2F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65" w:type="dxa"/>
            <w:noWrap/>
            <w:vAlign w:val="center"/>
          </w:tcPr>
          <w:p w14:paraId="4F47BBE5">
            <w:pPr>
              <w:pStyle w:val="11"/>
              <w:spacing w:line="240" w:lineRule="atLeast"/>
              <w:ind w:firstLine="240" w:firstLineChars="10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326" w:type="dxa"/>
            <w:noWrap/>
            <w:vAlign w:val="center"/>
          </w:tcPr>
          <w:p w14:paraId="4E4B2440">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货物名称</w:t>
            </w:r>
          </w:p>
        </w:tc>
        <w:tc>
          <w:tcPr>
            <w:tcW w:w="1554" w:type="dxa"/>
            <w:noWrap/>
            <w:vAlign w:val="center"/>
          </w:tcPr>
          <w:p w14:paraId="5FB1B6C7">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品牌型号</w:t>
            </w:r>
          </w:p>
          <w:p w14:paraId="0D550E7B">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规格</w:t>
            </w:r>
          </w:p>
        </w:tc>
        <w:tc>
          <w:tcPr>
            <w:tcW w:w="1036" w:type="dxa"/>
            <w:noWrap/>
            <w:vAlign w:val="center"/>
          </w:tcPr>
          <w:p w14:paraId="013021D5">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w:t>
            </w:r>
          </w:p>
        </w:tc>
        <w:tc>
          <w:tcPr>
            <w:tcW w:w="1237" w:type="dxa"/>
            <w:noWrap/>
            <w:vAlign w:val="center"/>
          </w:tcPr>
          <w:p w14:paraId="19335AFA">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交货期</w:t>
            </w:r>
          </w:p>
        </w:tc>
        <w:tc>
          <w:tcPr>
            <w:tcW w:w="1645" w:type="dxa"/>
            <w:noWrap/>
            <w:vAlign w:val="center"/>
          </w:tcPr>
          <w:p w14:paraId="441DD01D">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交货地点</w:t>
            </w:r>
          </w:p>
        </w:tc>
        <w:tc>
          <w:tcPr>
            <w:tcW w:w="1247" w:type="dxa"/>
            <w:noWrap/>
            <w:vAlign w:val="center"/>
          </w:tcPr>
          <w:p w14:paraId="3EB95BC9">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其它</w:t>
            </w:r>
          </w:p>
        </w:tc>
      </w:tr>
      <w:tr w14:paraId="52A4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1EC379F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6A2E97A0">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00E13D3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4B0ABC5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4B64BEE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279C646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163A6DDE">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1AB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409505A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0EC8304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23A40BE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55E3B88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6494831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5322241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7F881F18">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5274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05B7A88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45CF7A1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5D033570">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7A4A9BE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7989CDC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6D650DF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2DC3A22E">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B9E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6D7D854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108AD41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733BE74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4A0651F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7F38F65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2C97B5D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547A7375">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FB4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759E407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4D5E415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46095A3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0046E67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3CF6BCA1">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6C50B21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2A568B3F">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11E2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3AA6C1E6">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5EE50DC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03A6A6E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3AC626C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11EAB2A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77858A4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38D58F6E">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A6D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7F08FE1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5A00526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22BD7676">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73D9681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3BF6424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59A9A82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3A558E43">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98E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5" w:type="dxa"/>
            <w:noWrap/>
          </w:tcPr>
          <w:p w14:paraId="12B21C7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23F090D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76621BA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5B9F9F9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6231AD1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4522089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4A4D4439">
            <w:pPr>
              <w:pStyle w:val="11"/>
              <w:spacing w:line="240" w:lineRule="atLeast"/>
              <w:ind w:left="1080" w:leftChars="257" w:hanging="540"/>
              <w:rPr>
                <w:rFonts w:hint="eastAsia" w:asciiTheme="minorEastAsia" w:hAnsiTheme="minorEastAsia" w:eastAsiaTheme="minorEastAsia" w:cstheme="minorEastAsia"/>
                <w:color w:val="auto"/>
                <w:sz w:val="24"/>
              </w:rPr>
            </w:pPr>
          </w:p>
        </w:tc>
      </w:tr>
    </w:tbl>
    <w:p w14:paraId="7A590B98">
      <w:pPr>
        <w:pStyle w:val="11"/>
        <w:spacing w:line="240" w:lineRule="atLeast"/>
        <w:ind w:left="1080" w:leftChars="257" w:hanging="540"/>
        <w:rPr>
          <w:rFonts w:hint="eastAsia" w:asciiTheme="minorEastAsia" w:hAnsiTheme="minorEastAsia" w:eastAsiaTheme="minorEastAsia" w:cstheme="minorEastAsia"/>
          <w:color w:val="auto"/>
          <w:sz w:val="24"/>
        </w:rPr>
      </w:pPr>
    </w:p>
    <w:p w14:paraId="2E95B697">
      <w:pPr>
        <w:pStyle w:val="11"/>
        <w:spacing w:line="240" w:lineRule="atLeas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法定代表人或其委托代理人签字（章）:</w:t>
      </w:r>
      <w:r>
        <w:rPr>
          <w:rFonts w:hint="eastAsia" w:asciiTheme="minorEastAsia" w:hAnsiTheme="minorEastAsia" w:eastAsiaTheme="minorEastAsia" w:cstheme="minorEastAsia"/>
          <w:color w:val="auto"/>
          <w:sz w:val="24"/>
          <w:u w:val="single" w:color="000000"/>
          <w:lang w:eastAsia="zh-CN"/>
        </w:rPr>
        <w:tab/>
      </w:r>
      <w:r>
        <w:rPr>
          <w:rFonts w:hint="eastAsia" w:asciiTheme="minorEastAsia" w:hAnsiTheme="minorEastAsia" w:eastAsiaTheme="minorEastAsia" w:cstheme="minorEastAsia"/>
          <w:color w:val="auto"/>
          <w:sz w:val="24"/>
          <w:u w:val="single" w:color="000000"/>
          <w:lang w:eastAsia="zh-CN"/>
        </w:rPr>
        <w:t xml:space="preserve">                     </w:t>
      </w:r>
    </w:p>
    <w:p w14:paraId="12AC44F7">
      <w:pPr>
        <w:pStyle w:val="11"/>
        <w:tabs>
          <w:tab w:val="left" w:pos="5370"/>
        </w:tabs>
        <w:spacing w:line="240" w:lineRule="atLeas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投标人(盖单位章):</w:t>
      </w:r>
      <w:r>
        <w:rPr>
          <w:rFonts w:hint="eastAsia" w:asciiTheme="minorEastAsia" w:hAnsiTheme="minorEastAsia" w:eastAsiaTheme="minorEastAsia" w:cstheme="minorEastAsia"/>
          <w:color w:val="auto"/>
          <w:sz w:val="24"/>
          <w:u w:val="single" w:color="000000"/>
          <w:lang w:eastAsia="zh-CN"/>
        </w:rPr>
        <w:tab/>
      </w:r>
    </w:p>
    <w:p w14:paraId="1E9E04B1">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p w14:paraId="2DD447D9">
      <w:pPr>
        <w:pStyle w:val="11"/>
        <w:spacing w:line="240" w:lineRule="atLeast"/>
        <w:rPr>
          <w:rFonts w:hint="eastAsia" w:asciiTheme="minorEastAsia" w:hAnsiTheme="minorEastAsia" w:eastAsiaTheme="minorEastAsia" w:cstheme="minorEastAsia"/>
          <w:color w:val="auto"/>
          <w:sz w:val="24"/>
          <w:lang w:eastAsia="zh-CN"/>
        </w:rPr>
      </w:pPr>
    </w:p>
    <w:p w14:paraId="59523CEE">
      <w:pPr>
        <w:pStyle w:val="11"/>
        <w:spacing w:line="240" w:lineRule="atLeast"/>
        <w:ind w:left="1080" w:leftChars="257" w:hanging="540"/>
        <w:jc w:val="center"/>
        <w:rPr>
          <w:rFonts w:hint="eastAsia" w:asciiTheme="minorEastAsia" w:hAnsiTheme="minorEastAsia" w:eastAsiaTheme="minorEastAsia" w:cstheme="minorEastAsia"/>
          <w:color w:val="auto"/>
          <w:sz w:val="24"/>
          <w:lang w:eastAsia="zh-CN"/>
        </w:rPr>
      </w:pPr>
    </w:p>
    <w:p w14:paraId="302252DF">
      <w:pPr>
        <w:pStyle w:val="11"/>
        <w:spacing w:line="240" w:lineRule="atLeast"/>
        <w:ind w:left="1080" w:leftChars="257" w:hanging="540"/>
        <w:jc w:val="center"/>
        <w:rPr>
          <w:rFonts w:hint="eastAsia" w:asciiTheme="minorEastAsia" w:hAnsiTheme="minorEastAsia" w:eastAsiaTheme="minorEastAsia" w:cstheme="minorEastAsia"/>
          <w:color w:val="auto"/>
          <w:sz w:val="24"/>
          <w:lang w:eastAsia="zh-CN"/>
        </w:rPr>
        <w:sectPr>
          <w:headerReference r:id="rId11" w:type="default"/>
          <w:footerReference r:id="rId12" w:type="default"/>
          <w:pgSz w:w="11906" w:h="16838"/>
          <w:pgMar w:top="1440" w:right="1797" w:bottom="1440" w:left="1797" w:header="851" w:footer="992" w:gutter="0"/>
          <w:cols w:space="720" w:num="1"/>
          <w:docGrid w:linePitch="312" w:charSpace="0"/>
        </w:sectPr>
      </w:pPr>
    </w:p>
    <w:p w14:paraId="2FCAAAEF">
      <w:pPr>
        <w:pStyle w:val="4"/>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bookmarkStart w:id="814" w:name="_Toc12128"/>
      <w:bookmarkStart w:id="815" w:name="_Toc1112"/>
      <w:bookmarkStart w:id="816" w:name="_Toc32464"/>
      <w:bookmarkStart w:id="817" w:name="_Toc10052"/>
      <w:bookmarkStart w:id="818" w:name="_Toc14695"/>
      <w:bookmarkStart w:id="819" w:name="_Toc216582817"/>
      <w:bookmarkStart w:id="820" w:name="_Toc515647820"/>
      <w:bookmarkStart w:id="821" w:name="_Toc29396"/>
      <w:bookmarkStart w:id="822" w:name="_Toc22563"/>
      <w:bookmarkStart w:id="823" w:name="_Toc28689"/>
      <w:bookmarkStart w:id="824" w:name="_Toc24855"/>
      <w:bookmarkStart w:id="825" w:name="_Toc5951"/>
      <w:bookmarkStart w:id="826" w:name="_Toc29133"/>
      <w:bookmarkStart w:id="827" w:name="_Toc29780"/>
      <w:bookmarkStart w:id="828" w:name="_Toc28959"/>
      <w:r>
        <w:rPr>
          <w:rFonts w:hint="eastAsia" w:asciiTheme="minorEastAsia" w:hAnsiTheme="minorEastAsia" w:eastAsiaTheme="minorEastAsia" w:cstheme="minorEastAsia"/>
          <w:color w:val="auto"/>
          <w:u w:val="none"/>
          <w:lang w:eastAsia="zh-CN"/>
        </w:rPr>
        <w:t>4 技术规格偏离表</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6379902C">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p w14:paraId="223E9001">
      <w:pPr>
        <w:pStyle w:val="11"/>
        <w:spacing w:line="240" w:lineRule="atLeast"/>
        <w:ind w:firstLine="360" w:firstLineChars="1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项目名称:                       招标编号:                 包号:</w:t>
      </w:r>
    </w:p>
    <w:p w14:paraId="3DF8DBAA">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tbl>
      <w:tblPr>
        <w:tblStyle w:val="22"/>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686"/>
        <w:gridCol w:w="1809"/>
        <w:gridCol w:w="1534"/>
        <w:gridCol w:w="1435"/>
        <w:gridCol w:w="1119"/>
      </w:tblGrid>
      <w:tr w14:paraId="6660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vAlign w:val="center"/>
          </w:tcPr>
          <w:p w14:paraId="448171CB">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686" w:type="dxa"/>
            <w:noWrap/>
            <w:vAlign w:val="center"/>
          </w:tcPr>
          <w:p w14:paraId="738AE509">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货物名称</w:t>
            </w:r>
          </w:p>
        </w:tc>
        <w:tc>
          <w:tcPr>
            <w:tcW w:w="1809" w:type="dxa"/>
            <w:noWrap/>
            <w:vAlign w:val="center"/>
          </w:tcPr>
          <w:p w14:paraId="753554C7">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招标规格</w:t>
            </w:r>
          </w:p>
        </w:tc>
        <w:tc>
          <w:tcPr>
            <w:tcW w:w="1534" w:type="dxa"/>
            <w:noWrap/>
            <w:vAlign w:val="center"/>
          </w:tcPr>
          <w:p w14:paraId="75C510F7">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投标规格</w:t>
            </w:r>
          </w:p>
        </w:tc>
        <w:tc>
          <w:tcPr>
            <w:tcW w:w="1435" w:type="dxa"/>
            <w:noWrap/>
            <w:vAlign w:val="center"/>
          </w:tcPr>
          <w:p w14:paraId="7A27DF41">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偏离</w:t>
            </w:r>
          </w:p>
        </w:tc>
        <w:tc>
          <w:tcPr>
            <w:tcW w:w="1119" w:type="dxa"/>
            <w:noWrap/>
            <w:vAlign w:val="center"/>
          </w:tcPr>
          <w:p w14:paraId="50D29A9D">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w:t>
            </w:r>
          </w:p>
        </w:tc>
      </w:tr>
      <w:tr w14:paraId="4533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48AA011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68F0F3E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4620A2C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78BB2BE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4E80CB8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135CE67E">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41A1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1730393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312A0FF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060007B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1594130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78BD720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6335C277">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5251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1C0EFBC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0885ADF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11DB044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680B4A9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47853DC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44CD0DAD">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1DB5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2304E23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043AAFA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2BF8106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2D4D8471">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72500F7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42C9F997">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5B53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2328CC10">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173F90F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24DB4440">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0D762BC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4F8C14C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7BA36017">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46C3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0CB7E9D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78BEC15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4BAD1EE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14FEB20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74D5DFA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055BB00A">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1659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2E17B92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7A6400C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4C67A15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0556FE5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49ED7A0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2F2150F5">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2D97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6DCE5C9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21AF209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5F454676">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68138D4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1679F98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2BEB96FD">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09C6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9" w:type="dxa"/>
            <w:noWrap/>
          </w:tcPr>
          <w:p w14:paraId="4CBFB216">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1D62841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57B3EB7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01E06D4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03655AA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2D6B377A">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368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280A325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5E82522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1783103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6326C29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5F1B3F2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529BC5FD">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221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9" w:type="dxa"/>
            <w:noWrap/>
          </w:tcPr>
          <w:p w14:paraId="453D7FB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468E4C8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1F17016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29B4DCB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48B402B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095A1A4F">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0C5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12B5297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6CA7874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5419128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4754CDF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466AEC7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3894F297">
            <w:pPr>
              <w:pStyle w:val="11"/>
              <w:spacing w:line="240" w:lineRule="atLeast"/>
              <w:ind w:left="1080" w:leftChars="257" w:hanging="540"/>
              <w:rPr>
                <w:rFonts w:hint="eastAsia" w:asciiTheme="minorEastAsia" w:hAnsiTheme="minorEastAsia" w:eastAsiaTheme="minorEastAsia" w:cstheme="minorEastAsia"/>
                <w:color w:val="auto"/>
                <w:sz w:val="24"/>
              </w:rPr>
            </w:pPr>
          </w:p>
        </w:tc>
      </w:tr>
    </w:tbl>
    <w:p w14:paraId="67EC4CED">
      <w:pPr>
        <w:pStyle w:val="11"/>
        <w:spacing w:line="240" w:lineRule="atLeast"/>
        <w:ind w:left="1080" w:leftChars="257" w:hanging="540"/>
        <w:rPr>
          <w:rFonts w:hint="eastAsia" w:asciiTheme="minorEastAsia" w:hAnsiTheme="minorEastAsia" w:eastAsiaTheme="minorEastAsia" w:cstheme="minorEastAsia"/>
          <w:color w:val="auto"/>
          <w:sz w:val="24"/>
        </w:rPr>
      </w:pPr>
    </w:p>
    <w:p w14:paraId="2E45B252">
      <w:pPr>
        <w:pStyle w:val="11"/>
        <w:spacing w:line="240" w:lineRule="atLeast"/>
        <w:ind w:left="1080" w:leftChars="257" w:hanging="540"/>
        <w:rPr>
          <w:rFonts w:hint="eastAsia" w:asciiTheme="minorEastAsia" w:hAnsiTheme="minorEastAsia" w:eastAsiaTheme="minorEastAsia" w:cstheme="minorEastAsia"/>
          <w:b/>
          <w:bCs/>
          <w:color w:val="auto"/>
          <w:sz w:val="24"/>
          <w:u w:val="single"/>
          <w:lang w:eastAsia="zh-CN"/>
        </w:rPr>
      </w:pPr>
      <w:r>
        <w:rPr>
          <w:rFonts w:hint="eastAsia" w:asciiTheme="minorEastAsia" w:hAnsiTheme="minorEastAsia" w:eastAsiaTheme="minorEastAsia" w:cstheme="minorEastAsia"/>
          <w:color w:val="auto"/>
          <w:sz w:val="24"/>
          <w:lang w:eastAsia="zh-CN"/>
        </w:rPr>
        <w:t>法定代表人或其委托代理人签字（章）:_</w:t>
      </w:r>
      <w:r>
        <w:rPr>
          <w:rFonts w:hint="eastAsia" w:asciiTheme="minorEastAsia" w:hAnsiTheme="minorEastAsia" w:eastAsiaTheme="minorEastAsia" w:cstheme="minorEastAsia"/>
          <w:color w:val="auto"/>
          <w:sz w:val="24"/>
          <w:u w:val="single" w:color="000000"/>
          <w:lang w:eastAsia="zh-CN"/>
        </w:rPr>
        <w:tab/>
      </w:r>
      <w:r>
        <w:rPr>
          <w:rFonts w:hint="eastAsia" w:asciiTheme="minorEastAsia" w:hAnsiTheme="minorEastAsia" w:eastAsiaTheme="minorEastAsia" w:cstheme="minorEastAsia"/>
          <w:color w:val="auto"/>
          <w:sz w:val="24"/>
          <w:u w:val="single" w:color="000000"/>
          <w:lang w:eastAsia="zh-CN"/>
        </w:rPr>
        <w:t xml:space="preserve">                 </w:t>
      </w:r>
    </w:p>
    <w:p w14:paraId="2AD5743F">
      <w:pPr>
        <w:pStyle w:val="11"/>
        <w:tabs>
          <w:tab w:val="left" w:pos="5370"/>
        </w:tabs>
        <w:spacing w:line="240" w:lineRule="atLeas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投标人(盖单位章):</w:t>
      </w:r>
      <w:r>
        <w:rPr>
          <w:rFonts w:hint="eastAsia" w:asciiTheme="minorEastAsia" w:hAnsiTheme="minorEastAsia" w:eastAsiaTheme="minorEastAsia" w:cstheme="minorEastAsia"/>
          <w:color w:val="auto"/>
          <w:sz w:val="24"/>
          <w:u w:val="single" w:color="000000"/>
          <w:lang w:eastAsia="zh-CN"/>
        </w:rPr>
        <w:tab/>
      </w:r>
    </w:p>
    <w:p w14:paraId="5D0D86AD">
      <w:pPr>
        <w:pStyle w:val="11"/>
        <w:tabs>
          <w:tab w:val="left" w:pos="5580"/>
        </w:tabs>
        <w:spacing w:line="240" w:lineRule="atLeast"/>
        <w:rPr>
          <w:rFonts w:hint="eastAsia" w:asciiTheme="minorEastAsia" w:hAnsiTheme="minorEastAsia" w:eastAsiaTheme="minorEastAsia" w:cstheme="minorEastAsia"/>
          <w:color w:val="auto"/>
          <w:sz w:val="24"/>
          <w:u w:val="single"/>
          <w:lang w:eastAsia="zh-CN"/>
        </w:rPr>
      </w:pPr>
    </w:p>
    <w:p w14:paraId="2A97E81B">
      <w:pPr>
        <w:rPr>
          <w:rFonts w:hint="eastAsia" w:asciiTheme="minorEastAsia" w:hAnsiTheme="minorEastAsia" w:eastAsiaTheme="minorEastAsia" w:cstheme="minorEastAsia"/>
          <w:color w:val="auto"/>
          <w:sz w:val="20"/>
          <w:szCs w:val="20"/>
          <w:lang w:eastAsia="zh-CN"/>
        </w:rPr>
      </w:pPr>
    </w:p>
    <w:p w14:paraId="10C7DA0B">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注：</w:t>
      </w:r>
    </w:p>
    <w:p w14:paraId="63E92D37">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1、投标人应根据招标要求逐条逐项表述说明投标响应情况。</w:t>
      </w:r>
    </w:p>
    <w:p w14:paraId="5A2B078E">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2、投标人提交的投标文件中的服务响应与招标文件的服务、技术要求应逐条逐项如实填列在偏离表中。投标人不如实填写偏离情况、存在弄虚作假行为的，将依法承担相应的法律责任</w:t>
      </w:r>
    </w:p>
    <w:p w14:paraId="2894A880">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投标人应结合实际情况说明或描述其实际服务内容。如果完全复制粘贴本招标文件之服务、技术要求，或者只注明“符合”、“满足”等类似无具体内容的表述，因此而产生的不利于投标人的评审风险由投标人自行承担。</w:t>
      </w:r>
    </w:p>
    <w:p w14:paraId="58F6634D">
      <w:pPr>
        <w:pStyle w:val="11"/>
        <w:spacing w:line="240" w:lineRule="atLeast"/>
        <w:ind w:firstLine="480" w:firstLineChars="200"/>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color w:val="auto"/>
          <w:sz w:val="24"/>
          <w:lang w:eastAsia="zh-CN"/>
        </w:rPr>
        <w:t>4、投标人可根据需要自行增减表格行数。</w:t>
      </w:r>
    </w:p>
    <w:p w14:paraId="25297E2E">
      <w:pPr>
        <w:pStyle w:val="11"/>
        <w:tabs>
          <w:tab w:val="left" w:pos="5580"/>
        </w:tabs>
        <w:spacing w:line="240" w:lineRule="atLeast"/>
        <w:rPr>
          <w:rFonts w:hint="eastAsia" w:asciiTheme="minorEastAsia" w:hAnsiTheme="minorEastAsia" w:eastAsiaTheme="minorEastAsia" w:cstheme="minorEastAsia"/>
          <w:color w:val="auto"/>
          <w:sz w:val="24"/>
          <w:lang w:eastAsia="zh-CN"/>
        </w:rPr>
      </w:pPr>
    </w:p>
    <w:p w14:paraId="291180E0">
      <w:pPr>
        <w:rPr>
          <w:rFonts w:hint="eastAsia" w:asciiTheme="minorEastAsia" w:hAnsiTheme="minorEastAsia" w:eastAsiaTheme="minorEastAsia" w:cstheme="minorEastAsia"/>
          <w:color w:val="auto"/>
          <w:lang w:eastAsia="zh-CN"/>
        </w:rPr>
      </w:pPr>
      <w:bookmarkStart w:id="829" w:name="_Toc216582818"/>
      <w:bookmarkStart w:id="830" w:name="_Toc515647821"/>
      <w:bookmarkStart w:id="831" w:name="_Toc1980"/>
      <w:bookmarkStart w:id="832" w:name="_Toc23"/>
      <w:bookmarkStart w:id="833" w:name="_Toc28374"/>
    </w:p>
    <w:p w14:paraId="3627FFC7">
      <w:pPr>
        <w:rPr>
          <w:rFonts w:hint="eastAsia" w:asciiTheme="minorEastAsia" w:hAnsiTheme="minorEastAsia" w:eastAsiaTheme="minorEastAsia" w:cstheme="minorEastAsia"/>
          <w:color w:val="auto"/>
          <w:sz w:val="20"/>
          <w:lang w:eastAsia="zh-CN"/>
        </w:rPr>
      </w:pPr>
    </w:p>
    <w:p w14:paraId="214823CE">
      <w:pPr>
        <w:pStyle w:val="4"/>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bookmarkStart w:id="834" w:name="_Toc5952"/>
      <w:bookmarkStart w:id="835" w:name="_Toc16991"/>
      <w:bookmarkStart w:id="836" w:name="_Toc19628"/>
      <w:bookmarkStart w:id="837" w:name="_Toc11402"/>
      <w:bookmarkStart w:id="838" w:name="_Toc9803"/>
      <w:bookmarkStart w:id="839" w:name="_Toc21884"/>
      <w:bookmarkStart w:id="840" w:name="_Toc471"/>
      <w:bookmarkStart w:id="841" w:name="_Toc17874"/>
      <w:bookmarkStart w:id="842" w:name="_Toc29157"/>
      <w:bookmarkStart w:id="843" w:name="_Toc14202"/>
      <w:r>
        <w:rPr>
          <w:rFonts w:hint="eastAsia" w:asciiTheme="minorEastAsia" w:hAnsiTheme="minorEastAsia" w:eastAsiaTheme="minorEastAsia" w:cstheme="minorEastAsia"/>
          <w:color w:val="auto"/>
          <w:u w:val="none"/>
          <w:lang w:eastAsia="zh-CN"/>
        </w:rPr>
        <w:t>5 商务条款偏离表</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14:paraId="4B46AAB1">
      <w:pPr>
        <w:pStyle w:val="11"/>
        <w:spacing w:line="240" w:lineRule="atLeast"/>
        <w:rPr>
          <w:rFonts w:hint="eastAsia" w:asciiTheme="minorEastAsia" w:hAnsiTheme="minorEastAsia" w:eastAsiaTheme="minorEastAsia" w:cstheme="minorEastAsia"/>
          <w:color w:val="auto"/>
          <w:sz w:val="24"/>
          <w:lang w:eastAsia="zh-CN"/>
        </w:rPr>
      </w:pPr>
    </w:p>
    <w:p w14:paraId="2A4B9847">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项目名称:                      招标编号:             包号:</w:t>
      </w:r>
    </w:p>
    <w:p w14:paraId="4A22C4AD">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tbl>
      <w:tblPr>
        <w:tblStyle w:val="22"/>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520"/>
        <w:gridCol w:w="2520"/>
        <w:gridCol w:w="1805"/>
      </w:tblGrid>
      <w:tr w14:paraId="5286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center"/>
          </w:tcPr>
          <w:p w14:paraId="55A5248A">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2520" w:type="dxa"/>
            <w:noWrap/>
            <w:vAlign w:val="center"/>
          </w:tcPr>
          <w:p w14:paraId="07542D11">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招标文件的商务条款</w:t>
            </w:r>
          </w:p>
        </w:tc>
        <w:tc>
          <w:tcPr>
            <w:tcW w:w="2520" w:type="dxa"/>
            <w:noWrap/>
            <w:vAlign w:val="center"/>
          </w:tcPr>
          <w:p w14:paraId="40B0CBD1">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投标文件的商务条款</w:t>
            </w:r>
          </w:p>
        </w:tc>
        <w:tc>
          <w:tcPr>
            <w:tcW w:w="1805" w:type="dxa"/>
            <w:noWrap/>
            <w:vAlign w:val="center"/>
          </w:tcPr>
          <w:p w14:paraId="4A6B62D7">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w:t>
            </w:r>
          </w:p>
        </w:tc>
      </w:tr>
      <w:tr w14:paraId="2C82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9E5722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2B91EF13">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2520" w:type="dxa"/>
            <w:noWrap/>
          </w:tcPr>
          <w:p w14:paraId="23177610">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805" w:type="dxa"/>
            <w:noWrap/>
          </w:tcPr>
          <w:p w14:paraId="72E63EFD">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A18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4CD4AAF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4F35158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DF5E56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785C7782">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48FE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3005BD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5FFA4E6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4CFECB2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758BA1EA">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110C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45A27E5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C149C1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4083429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3A71F7DC">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3902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91" w:type="dxa"/>
            <w:noWrap/>
          </w:tcPr>
          <w:p w14:paraId="0BB0DE7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5BDC354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0B2D15D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4807E455">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6A6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496B052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090B90D1">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184C953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31E83894">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4C2F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14FE081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60448E6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61441EA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0B1AC813">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280E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40438C8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3DFCF9E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2F181F61">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536E49F5">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3332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21498B9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20C22B9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8AB16D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4D7807B5">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372B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4A48E22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06A8173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334C824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02943FF1">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4643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337F378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6FFC540">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57DC019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74DCCBE6">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39D7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2E70A4E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087BBAD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30A887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1A96C837">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D61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56021AC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0A43A8D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4CF7225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1AF8AC1A">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EB6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5C0A68A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54B895A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1E7D0D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256CCDE5">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581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45377F9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59A59D3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F809370">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121BE79C">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5855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10A3157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3F4DFE1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3381C5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0368845A">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2ED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3B6CFEF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C7F0D0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3A8CC0E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2215831C">
            <w:pPr>
              <w:pStyle w:val="11"/>
              <w:spacing w:line="240" w:lineRule="atLeast"/>
              <w:ind w:left="1080" w:leftChars="257" w:hanging="540"/>
              <w:rPr>
                <w:rFonts w:hint="eastAsia" w:asciiTheme="minorEastAsia" w:hAnsiTheme="minorEastAsia" w:eastAsiaTheme="minorEastAsia" w:cstheme="minorEastAsia"/>
                <w:color w:val="auto"/>
                <w:sz w:val="24"/>
              </w:rPr>
            </w:pPr>
          </w:p>
        </w:tc>
      </w:tr>
    </w:tbl>
    <w:p w14:paraId="5683539B">
      <w:pPr>
        <w:pStyle w:val="11"/>
        <w:spacing w:line="240" w:lineRule="atLeast"/>
        <w:ind w:left="1080" w:leftChars="257" w:hanging="540"/>
        <w:rPr>
          <w:rFonts w:hint="eastAsia" w:asciiTheme="minorEastAsia" w:hAnsiTheme="minorEastAsia" w:eastAsiaTheme="minorEastAsia" w:cstheme="minorEastAsia"/>
          <w:color w:val="auto"/>
          <w:sz w:val="24"/>
        </w:rPr>
      </w:pPr>
    </w:p>
    <w:p w14:paraId="0E7A2CA9">
      <w:pPr>
        <w:pStyle w:val="11"/>
        <w:spacing w:line="240" w:lineRule="atLeast"/>
        <w:ind w:left="1080" w:leftChars="257" w:hanging="540"/>
        <w:rPr>
          <w:rFonts w:hint="eastAsia" w:asciiTheme="minorEastAsia" w:hAnsiTheme="minorEastAsia" w:eastAsiaTheme="minorEastAsia" w:cstheme="minorEastAsia"/>
          <w:color w:val="auto"/>
          <w:sz w:val="24"/>
        </w:rPr>
      </w:pPr>
    </w:p>
    <w:p w14:paraId="3BB5C8F4">
      <w:pPr>
        <w:pStyle w:val="11"/>
        <w:spacing w:line="240" w:lineRule="atLeast"/>
        <w:ind w:left="1080" w:leftChars="257" w:hanging="540"/>
        <w:rPr>
          <w:rFonts w:hint="eastAsia" w:asciiTheme="minorEastAsia" w:hAnsiTheme="minorEastAsia" w:eastAsiaTheme="minorEastAsia" w:cstheme="minorEastAsia"/>
          <w:color w:val="auto"/>
          <w:sz w:val="24"/>
        </w:rPr>
      </w:pPr>
    </w:p>
    <w:p w14:paraId="1C0F7BB6">
      <w:pPr>
        <w:pStyle w:val="11"/>
        <w:spacing w:line="240" w:lineRule="atLeas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法定代表人或其委托代理人签字（章）:</w:t>
      </w:r>
      <w:r>
        <w:rPr>
          <w:rFonts w:hint="eastAsia" w:asciiTheme="minorEastAsia" w:hAnsiTheme="minorEastAsia" w:eastAsiaTheme="minorEastAsia" w:cstheme="minorEastAsia"/>
          <w:color w:val="auto"/>
          <w:sz w:val="24"/>
          <w:u w:val="single"/>
          <w:lang w:eastAsia="zh-CN"/>
        </w:rPr>
        <w:t xml:space="preserve">                         </w:t>
      </w:r>
    </w:p>
    <w:p w14:paraId="1D4CC0A2">
      <w:pPr>
        <w:pStyle w:val="11"/>
        <w:tabs>
          <w:tab w:val="left" w:pos="5370"/>
        </w:tabs>
        <w:spacing w:line="240" w:lineRule="atLeast"/>
        <w:ind w:left="1080" w:leftChars="257" w:hanging="54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t>投标人(盖单位章):</w:t>
      </w:r>
      <w:r>
        <w:rPr>
          <w:rFonts w:hint="eastAsia" w:asciiTheme="minorEastAsia" w:hAnsiTheme="minorEastAsia" w:eastAsiaTheme="minorEastAsia" w:cstheme="minorEastAsia"/>
          <w:color w:val="auto"/>
          <w:sz w:val="24"/>
          <w:u w:val="single" w:color="000000"/>
          <w:lang w:eastAsia="zh-CN"/>
        </w:rPr>
        <w:tab/>
      </w:r>
      <w:bookmarkStart w:id="844" w:name="_Hlt520274065"/>
      <w:bookmarkEnd w:id="844"/>
      <w:bookmarkStart w:id="845" w:name="_Hlt520350918"/>
      <w:bookmarkEnd w:id="845"/>
      <w:bookmarkStart w:id="846" w:name="_Hlt520350957"/>
      <w:bookmarkEnd w:id="846"/>
      <w:bookmarkStart w:id="847" w:name="_Hlt520274911"/>
      <w:bookmarkEnd w:id="847"/>
      <w:bookmarkStart w:id="848" w:name="_Hlt520343392"/>
      <w:bookmarkEnd w:id="848"/>
      <w:bookmarkStart w:id="849" w:name="_Hlt520273711"/>
      <w:bookmarkEnd w:id="849"/>
      <w:bookmarkStart w:id="850" w:name="_Hlt520273973"/>
      <w:bookmarkEnd w:id="850"/>
      <w:bookmarkStart w:id="851" w:name="_Hlt520271212"/>
      <w:bookmarkEnd w:id="851"/>
      <w:bookmarkStart w:id="852" w:name="_Hlt520274393"/>
      <w:bookmarkEnd w:id="852"/>
      <w:bookmarkStart w:id="853" w:name="_Hlt520274407"/>
      <w:bookmarkEnd w:id="853"/>
      <w:bookmarkStart w:id="854" w:name="_Hlt520343000"/>
      <w:bookmarkEnd w:id="854"/>
    </w:p>
    <w:p w14:paraId="2C723518">
      <w:pPr>
        <w:rPr>
          <w:rFonts w:hint="eastAsia" w:asciiTheme="minorEastAsia" w:hAnsiTheme="minorEastAsia" w:eastAsiaTheme="minorEastAsia" w:cstheme="minorEastAsia"/>
          <w:color w:val="auto"/>
          <w:lang w:eastAsia="zh-CN"/>
        </w:rPr>
      </w:pPr>
      <w:bookmarkStart w:id="855" w:name="_Toc10725"/>
      <w:bookmarkStart w:id="856" w:name="_Toc515647823"/>
      <w:bookmarkStart w:id="857" w:name="_Toc28936"/>
      <w:bookmarkStart w:id="858" w:name="_Toc22909"/>
      <w:bookmarkStart w:id="859" w:name="_Toc18272"/>
      <w:bookmarkStart w:id="860" w:name="_Toc18491"/>
      <w:bookmarkStart w:id="861" w:name="_Toc5437"/>
      <w:r>
        <w:rPr>
          <w:rFonts w:hint="eastAsia" w:asciiTheme="minorEastAsia" w:hAnsiTheme="minorEastAsia" w:eastAsiaTheme="minorEastAsia" w:cstheme="minorEastAsia"/>
          <w:color w:val="auto"/>
          <w:lang w:eastAsia="zh-CN"/>
        </w:rPr>
        <w:br w:type="page"/>
      </w:r>
    </w:p>
    <w:p w14:paraId="5F4631F7">
      <w:pPr>
        <w:rPr>
          <w:rFonts w:hint="eastAsia" w:asciiTheme="minorEastAsia" w:hAnsiTheme="minorEastAsia" w:eastAsiaTheme="minorEastAsia" w:cstheme="minorEastAsia"/>
          <w:color w:val="auto"/>
          <w:lang w:eastAsia="zh-CN"/>
        </w:rPr>
      </w:pPr>
    </w:p>
    <w:p w14:paraId="7BB3BD43">
      <w:pPr>
        <w:pStyle w:val="4"/>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r>
        <w:rPr>
          <w:rFonts w:hint="eastAsia" w:asciiTheme="minorEastAsia" w:hAnsiTheme="minorEastAsia" w:eastAsiaTheme="minorEastAsia" w:cstheme="minorEastAsia"/>
          <w:color w:val="auto"/>
          <w:u w:val="none"/>
          <w:lang w:eastAsia="zh-CN"/>
        </w:rPr>
        <w:t xml:space="preserve">6-1 </w:t>
      </w:r>
      <w:bookmarkEnd w:id="855"/>
      <w:bookmarkEnd w:id="856"/>
      <w:bookmarkEnd w:id="857"/>
      <w:bookmarkStart w:id="862" w:name="_Toc29288"/>
      <w:bookmarkStart w:id="863" w:name="_Toc10977"/>
      <w:bookmarkStart w:id="864" w:name="_Toc515647824"/>
      <w:bookmarkStart w:id="865" w:name="_Toc11803"/>
      <w:r>
        <w:rPr>
          <w:rFonts w:hint="eastAsia" w:asciiTheme="minorEastAsia" w:hAnsiTheme="minorEastAsia" w:eastAsiaTheme="minorEastAsia" w:cstheme="minorEastAsia"/>
          <w:color w:val="auto"/>
          <w:u w:val="none"/>
          <w:lang w:eastAsia="zh-CN"/>
        </w:rPr>
        <w:t>中小企业声明函（货物）</w:t>
      </w:r>
      <w:bookmarkEnd w:id="858"/>
      <w:bookmarkEnd w:id="859"/>
      <w:bookmarkEnd w:id="860"/>
      <w:bookmarkEnd w:id="862"/>
    </w:p>
    <w:p w14:paraId="4B470FA0">
      <w:pPr>
        <w:shd w:val="clear" w:color="auto" w:fill="FFFFFF"/>
        <w:spacing w:before="100" w:beforeAutospacing="1" w:after="100" w:afterAutospacing="1"/>
        <w:ind w:firstLine="48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shd w:val="clear" w:color="auto" w:fill="FFFFFF"/>
          <w:lang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4"/>
          <w:u w:val="single"/>
          <w:shd w:val="clear" w:color="auto" w:fill="FFFFFF"/>
          <w:lang w:eastAsia="zh-CN"/>
        </w:rPr>
        <w:t>     （单位名称）</w:t>
      </w:r>
      <w:r>
        <w:rPr>
          <w:rFonts w:hint="eastAsia" w:asciiTheme="minorEastAsia" w:hAnsiTheme="minorEastAsia" w:eastAsiaTheme="minorEastAsia" w:cstheme="minorEastAsia"/>
          <w:color w:val="auto"/>
          <w:sz w:val="24"/>
          <w:shd w:val="clear" w:color="auto" w:fill="FFFFFF"/>
          <w:lang w:eastAsia="zh-CN"/>
        </w:rPr>
        <w:t>的</w:t>
      </w:r>
      <w:r>
        <w:rPr>
          <w:rFonts w:hint="eastAsia" w:asciiTheme="minorEastAsia" w:hAnsiTheme="minorEastAsia" w:eastAsiaTheme="minorEastAsia" w:cstheme="minorEastAsia"/>
          <w:color w:val="auto"/>
          <w:sz w:val="24"/>
          <w:u w:val="single"/>
          <w:shd w:val="clear" w:color="auto" w:fill="FFFFFF"/>
          <w:lang w:eastAsia="zh-CN"/>
        </w:rPr>
        <w:t>    （项目名称）</w:t>
      </w:r>
      <w:r>
        <w:rPr>
          <w:rFonts w:hint="eastAsia" w:asciiTheme="minorEastAsia" w:hAnsiTheme="minorEastAsia" w:eastAsiaTheme="minorEastAsia" w:cstheme="minorEastAsia"/>
          <w:color w:val="auto"/>
          <w:sz w:val="24"/>
          <w:shd w:val="clear" w:color="auto" w:fill="FFFFFF"/>
          <w:lang w:eastAsia="zh-CN"/>
        </w:rPr>
        <w:t>采购活动，提供的货物全部由符合政策要求的中小企业制造。相关企业（含联合体中的中小企业、签订分包意向协议的中小企业）的具体情况如下：</w:t>
      </w:r>
    </w:p>
    <w:p w14:paraId="6DD026BA">
      <w:pPr>
        <w:shd w:val="clear" w:color="auto" w:fill="FFFFFF"/>
        <w:spacing w:before="100" w:beforeAutospacing="1" w:after="100" w:afterAutospacing="1"/>
        <w:ind w:firstLine="48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shd w:val="clear" w:color="auto" w:fill="FFFFFF"/>
          <w:lang w:eastAsia="zh-CN"/>
        </w:rPr>
        <w:t>1.</w:t>
      </w:r>
      <w:r>
        <w:rPr>
          <w:rFonts w:hint="eastAsia" w:asciiTheme="minorEastAsia" w:hAnsiTheme="minorEastAsia" w:eastAsiaTheme="minorEastAsia" w:cstheme="minorEastAsia"/>
          <w:color w:val="auto"/>
          <w:sz w:val="24"/>
          <w:u w:val="single"/>
          <w:shd w:val="clear" w:color="auto" w:fill="FFFFFF"/>
          <w:lang w:eastAsia="zh-CN"/>
        </w:rPr>
        <w:t>     （标的名称）</w:t>
      </w:r>
      <w:r>
        <w:rPr>
          <w:rFonts w:hint="eastAsia" w:asciiTheme="minorEastAsia" w:hAnsiTheme="minorEastAsia" w:eastAsiaTheme="minorEastAsia" w:cstheme="minorEastAsia"/>
          <w:color w:val="auto"/>
          <w:sz w:val="24"/>
          <w:shd w:val="clear" w:color="auto" w:fill="FFFFFF"/>
          <w:lang w:eastAsia="zh-CN"/>
        </w:rPr>
        <w:t>，属于</w:t>
      </w:r>
      <w:r>
        <w:rPr>
          <w:rFonts w:hint="eastAsia" w:asciiTheme="minorEastAsia" w:hAnsiTheme="minorEastAsia" w:eastAsiaTheme="minorEastAsia" w:cstheme="minorEastAsia"/>
          <w:color w:val="auto"/>
          <w:sz w:val="24"/>
          <w:u w:val="single"/>
          <w:shd w:val="clear" w:color="auto" w:fill="FFFFFF"/>
          <w:lang w:eastAsia="zh-CN"/>
        </w:rPr>
        <w:t>     （采购文件中明确的所属行业）</w:t>
      </w:r>
      <w:r>
        <w:rPr>
          <w:rFonts w:hint="eastAsia" w:asciiTheme="minorEastAsia" w:hAnsiTheme="minorEastAsia" w:eastAsiaTheme="minorEastAsia" w:cstheme="minorEastAsia"/>
          <w:color w:val="auto"/>
          <w:sz w:val="24"/>
          <w:shd w:val="clear" w:color="auto" w:fill="FFFFFF"/>
          <w:lang w:eastAsia="zh-CN"/>
        </w:rPr>
        <w:t>行业；制造商为</w:t>
      </w:r>
      <w:r>
        <w:rPr>
          <w:rFonts w:hint="eastAsia" w:asciiTheme="minorEastAsia" w:hAnsiTheme="minorEastAsia" w:eastAsiaTheme="minorEastAsia" w:cstheme="minorEastAsia"/>
          <w:color w:val="auto"/>
          <w:sz w:val="24"/>
          <w:u w:val="single"/>
          <w:shd w:val="clear" w:color="auto" w:fill="FFFFFF"/>
          <w:lang w:eastAsia="zh-CN"/>
        </w:rPr>
        <w:t>       （企业名称）</w:t>
      </w:r>
      <w:r>
        <w:rPr>
          <w:rFonts w:hint="eastAsia" w:asciiTheme="minorEastAsia" w:hAnsiTheme="minorEastAsia" w:eastAsiaTheme="minorEastAsia" w:cstheme="minorEastAsia"/>
          <w:color w:val="auto"/>
          <w:sz w:val="24"/>
          <w:shd w:val="clear" w:color="auto" w:fill="FFFFFF"/>
          <w:lang w:eastAsia="zh-CN"/>
        </w:rPr>
        <w:t>，从业人员</w:t>
      </w:r>
      <w:r>
        <w:rPr>
          <w:rFonts w:hint="eastAsia" w:asciiTheme="minorEastAsia" w:hAnsiTheme="minorEastAsia" w:eastAsiaTheme="minorEastAsia" w:cstheme="minorEastAsia"/>
          <w:color w:val="auto"/>
          <w:sz w:val="24"/>
          <w:u w:val="single"/>
          <w:shd w:val="clear" w:color="auto" w:fill="FFFFFF"/>
          <w:lang w:eastAsia="zh-CN"/>
        </w:rPr>
        <w:t>    </w:t>
      </w:r>
      <w:r>
        <w:rPr>
          <w:rFonts w:hint="eastAsia" w:asciiTheme="minorEastAsia" w:hAnsiTheme="minorEastAsia" w:eastAsiaTheme="minorEastAsia" w:cstheme="minorEastAsia"/>
          <w:color w:val="auto"/>
          <w:sz w:val="24"/>
          <w:shd w:val="clear" w:color="auto" w:fill="FFFFFF"/>
          <w:lang w:eastAsia="zh-CN"/>
        </w:rPr>
        <w:t>人，营业收入为</w:t>
      </w:r>
      <w:r>
        <w:rPr>
          <w:rFonts w:hint="eastAsia" w:asciiTheme="minorEastAsia" w:hAnsiTheme="minorEastAsia" w:eastAsiaTheme="minorEastAsia" w:cstheme="minorEastAsia"/>
          <w:color w:val="auto"/>
          <w:sz w:val="24"/>
          <w:u w:val="single"/>
          <w:shd w:val="clear" w:color="auto" w:fill="FFFFFF"/>
          <w:lang w:eastAsia="zh-CN"/>
        </w:rPr>
        <w:t>    </w:t>
      </w:r>
      <w:r>
        <w:rPr>
          <w:rFonts w:hint="eastAsia" w:asciiTheme="minorEastAsia" w:hAnsiTheme="minorEastAsia" w:eastAsiaTheme="minorEastAsia" w:cstheme="minorEastAsia"/>
          <w:color w:val="auto"/>
          <w:sz w:val="24"/>
          <w:shd w:val="clear" w:color="auto" w:fill="FFFFFF"/>
          <w:lang w:eastAsia="zh-CN"/>
        </w:rPr>
        <w:t>万元，资产总额为</w:t>
      </w:r>
      <w:r>
        <w:rPr>
          <w:rFonts w:hint="eastAsia" w:asciiTheme="minorEastAsia" w:hAnsiTheme="minorEastAsia" w:eastAsiaTheme="minorEastAsia" w:cstheme="minorEastAsia"/>
          <w:color w:val="auto"/>
          <w:sz w:val="24"/>
          <w:u w:val="single"/>
          <w:shd w:val="clear" w:color="auto" w:fill="FFFFFF"/>
          <w:lang w:eastAsia="zh-CN"/>
        </w:rPr>
        <w:t>   </w:t>
      </w:r>
      <w:r>
        <w:rPr>
          <w:rFonts w:hint="eastAsia" w:asciiTheme="minorEastAsia" w:hAnsiTheme="minorEastAsia" w:eastAsiaTheme="minorEastAsia" w:cstheme="minorEastAsia"/>
          <w:color w:val="auto"/>
          <w:sz w:val="24"/>
          <w:shd w:val="clear" w:color="auto" w:fill="FFFFFF"/>
          <w:lang w:eastAsia="zh-CN"/>
        </w:rPr>
        <w:t>万元</w:t>
      </w:r>
      <w:r>
        <w:rPr>
          <w:rFonts w:hint="eastAsia" w:asciiTheme="minorEastAsia" w:hAnsiTheme="minorEastAsia" w:eastAsiaTheme="minorEastAsia" w:cstheme="minorEastAsia"/>
          <w:color w:val="auto"/>
          <w:sz w:val="24"/>
          <w:shd w:val="clear" w:color="auto" w:fill="FFFFFF"/>
          <w:vertAlign w:val="superscript"/>
          <w:lang w:eastAsia="zh-CN"/>
        </w:rPr>
        <w:t>1</w:t>
      </w:r>
      <w:r>
        <w:rPr>
          <w:rFonts w:hint="eastAsia" w:asciiTheme="minorEastAsia" w:hAnsiTheme="minorEastAsia" w:eastAsiaTheme="minorEastAsia" w:cstheme="minorEastAsia"/>
          <w:color w:val="auto"/>
          <w:sz w:val="24"/>
          <w:shd w:val="clear" w:color="auto" w:fill="FFFFFF"/>
          <w:lang w:eastAsia="zh-CN"/>
        </w:rPr>
        <w:t>，属于</w:t>
      </w:r>
      <w:r>
        <w:rPr>
          <w:rFonts w:hint="eastAsia" w:asciiTheme="minorEastAsia" w:hAnsiTheme="minorEastAsia" w:eastAsiaTheme="minorEastAsia" w:cstheme="minorEastAsia"/>
          <w:color w:val="auto"/>
          <w:sz w:val="24"/>
          <w:u w:val="single"/>
          <w:shd w:val="clear" w:color="auto" w:fill="FFFFFF"/>
          <w:lang w:eastAsia="zh-CN"/>
        </w:rPr>
        <w:t>     （中型企业、小型企业、微型企业）</w:t>
      </w:r>
      <w:r>
        <w:rPr>
          <w:rFonts w:hint="eastAsia" w:asciiTheme="minorEastAsia" w:hAnsiTheme="minorEastAsia" w:eastAsiaTheme="minorEastAsia" w:cstheme="minorEastAsia"/>
          <w:color w:val="auto"/>
          <w:sz w:val="24"/>
          <w:shd w:val="clear" w:color="auto" w:fill="FFFFFF"/>
          <w:lang w:eastAsia="zh-CN"/>
        </w:rPr>
        <w:t>；</w:t>
      </w:r>
    </w:p>
    <w:p w14:paraId="6B4D76EC">
      <w:pPr>
        <w:shd w:val="clear" w:color="auto" w:fill="FFFFFF"/>
        <w:spacing w:before="100" w:beforeAutospacing="1" w:after="100" w:afterAutospacing="1"/>
        <w:ind w:firstLine="48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shd w:val="clear" w:color="auto" w:fill="FFFFFF"/>
          <w:lang w:eastAsia="zh-CN"/>
        </w:rPr>
        <w:t>2.</w:t>
      </w:r>
      <w:r>
        <w:rPr>
          <w:rFonts w:hint="eastAsia" w:asciiTheme="minorEastAsia" w:hAnsiTheme="minorEastAsia" w:eastAsiaTheme="minorEastAsia" w:cstheme="minorEastAsia"/>
          <w:color w:val="auto"/>
          <w:sz w:val="24"/>
          <w:u w:val="single"/>
          <w:shd w:val="clear" w:color="auto" w:fill="FFFFFF"/>
          <w:lang w:eastAsia="zh-CN"/>
        </w:rPr>
        <w:t>     （标的名称）</w:t>
      </w:r>
      <w:r>
        <w:rPr>
          <w:rFonts w:hint="eastAsia" w:asciiTheme="minorEastAsia" w:hAnsiTheme="minorEastAsia" w:eastAsiaTheme="minorEastAsia" w:cstheme="minorEastAsia"/>
          <w:color w:val="auto"/>
          <w:sz w:val="24"/>
          <w:shd w:val="clear" w:color="auto" w:fill="FFFFFF"/>
          <w:lang w:eastAsia="zh-CN"/>
        </w:rPr>
        <w:t>，属于</w:t>
      </w:r>
      <w:r>
        <w:rPr>
          <w:rFonts w:hint="eastAsia" w:asciiTheme="minorEastAsia" w:hAnsiTheme="minorEastAsia" w:eastAsiaTheme="minorEastAsia" w:cstheme="minorEastAsia"/>
          <w:color w:val="auto"/>
          <w:sz w:val="24"/>
          <w:u w:val="single"/>
          <w:shd w:val="clear" w:color="auto" w:fill="FFFFFF"/>
          <w:lang w:eastAsia="zh-CN"/>
        </w:rPr>
        <w:t>     （采购文件中明确的所属行业）</w:t>
      </w:r>
      <w:r>
        <w:rPr>
          <w:rFonts w:hint="eastAsia" w:asciiTheme="minorEastAsia" w:hAnsiTheme="minorEastAsia" w:eastAsiaTheme="minorEastAsia" w:cstheme="minorEastAsia"/>
          <w:color w:val="auto"/>
          <w:sz w:val="24"/>
          <w:shd w:val="clear" w:color="auto" w:fill="FFFFFF"/>
          <w:lang w:eastAsia="zh-CN"/>
        </w:rPr>
        <w:t>行业；制造商为</w:t>
      </w:r>
      <w:r>
        <w:rPr>
          <w:rFonts w:hint="eastAsia" w:asciiTheme="minorEastAsia" w:hAnsiTheme="minorEastAsia" w:eastAsiaTheme="minorEastAsia" w:cstheme="minorEastAsia"/>
          <w:color w:val="auto"/>
          <w:sz w:val="24"/>
          <w:u w:val="single"/>
          <w:shd w:val="clear" w:color="auto" w:fill="FFFFFF"/>
          <w:lang w:eastAsia="zh-CN"/>
        </w:rPr>
        <w:t>       （企业名称）</w:t>
      </w:r>
      <w:r>
        <w:rPr>
          <w:rFonts w:hint="eastAsia" w:asciiTheme="minorEastAsia" w:hAnsiTheme="minorEastAsia" w:eastAsiaTheme="minorEastAsia" w:cstheme="minorEastAsia"/>
          <w:color w:val="auto"/>
          <w:sz w:val="24"/>
          <w:shd w:val="clear" w:color="auto" w:fill="FFFFFF"/>
          <w:lang w:eastAsia="zh-CN"/>
        </w:rPr>
        <w:t>，从业人员</w:t>
      </w:r>
      <w:r>
        <w:rPr>
          <w:rFonts w:hint="eastAsia" w:asciiTheme="minorEastAsia" w:hAnsiTheme="minorEastAsia" w:eastAsiaTheme="minorEastAsia" w:cstheme="minorEastAsia"/>
          <w:color w:val="auto"/>
          <w:sz w:val="24"/>
          <w:u w:val="single"/>
          <w:shd w:val="clear" w:color="auto" w:fill="FFFFFF"/>
          <w:lang w:eastAsia="zh-CN"/>
        </w:rPr>
        <w:t>    </w:t>
      </w:r>
      <w:r>
        <w:rPr>
          <w:rFonts w:hint="eastAsia" w:asciiTheme="minorEastAsia" w:hAnsiTheme="minorEastAsia" w:eastAsiaTheme="minorEastAsia" w:cstheme="minorEastAsia"/>
          <w:color w:val="auto"/>
          <w:sz w:val="24"/>
          <w:shd w:val="clear" w:color="auto" w:fill="FFFFFF"/>
          <w:lang w:eastAsia="zh-CN"/>
        </w:rPr>
        <w:t>人，营业收入为</w:t>
      </w:r>
      <w:r>
        <w:rPr>
          <w:rFonts w:hint="eastAsia" w:asciiTheme="minorEastAsia" w:hAnsiTheme="minorEastAsia" w:eastAsiaTheme="minorEastAsia" w:cstheme="minorEastAsia"/>
          <w:color w:val="auto"/>
          <w:sz w:val="24"/>
          <w:u w:val="single"/>
          <w:shd w:val="clear" w:color="auto" w:fill="FFFFFF"/>
          <w:lang w:eastAsia="zh-CN"/>
        </w:rPr>
        <w:t>    </w:t>
      </w:r>
      <w:r>
        <w:rPr>
          <w:rFonts w:hint="eastAsia" w:asciiTheme="minorEastAsia" w:hAnsiTheme="minorEastAsia" w:eastAsiaTheme="minorEastAsia" w:cstheme="minorEastAsia"/>
          <w:color w:val="auto"/>
          <w:sz w:val="24"/>
          <w:shd w:val="clear" w:color="auto" w:fill="FFFFFF"/>
          <w:lang w:eastAsia="zh-CN"/>
        </w:rPr>
        <w:t>万元，资产总额为</w:t>
      </w:r>
      <w:r>
        <w:rPr>
          <w:rFonts w:hint="eastAsia" w:asciiTheme="minorEastAsia" w:hAnsiTheme="minorEastAsia" w:eastAsiaTheme="minorEastAsia" w:cstheme="minorEastAsia"/>
          <w:color w:val="auto"/>
          <w:sz w:val="24"/>
          <w:u w:val="single"/>
          <w:shd w:val="clear" w:color="auto" w:fill="FFFFFF"/>
          <w:lang w:eastAsia="zh-CN"/>
        </w:rPr>
        <w:t>   </w:t>
      </w:r>
      <w:r>
        <w:rPr>
          <w:rFonts w:hint="eastAsia" w:asciiTheme="minorEastAsia" w:hAnsiTheme="minorEastAsia" w:eastAsiaTheme="minorEastAsia" w:cstheme="minorEastAsia"/>
          <w:color w:val="auto"/>
          <w:sz w:val="24"/>
          <w:shd w:val="clear" w:color="auto" w:fill="FFFFFF"/>
          <w:lang w:eastAsia="zh-CN"/>
        </w:rPr>
        <w:t>万元</w:t>
      </w:r>
      <w:r>
        <w:rPr>
          <w:rFonts w:hint="eastAsia" w:asciiTheme="minorEastAsia" w:hAnsiTheme="minorEastAsia" w:eastAsiaTheme="minorEastAsia" w:cstheme="minorEastAsia"/>
          <w:color w:val="auto"/>
          <w:sz w:val="24"/>
          <w:shd w:val="clear" w:color="auto" w:fill="FFFFFF"/>
          <w:vertAlign w:val="superscript"/>
          <w:lang w:eastAsia="zh-CN"/>
        </w:rPr>
        <w:t>1</w:t>
      </w:r>
      <w:r>
        <w:rPr>
          <w:rFonts w:hint="eastAsia" w:asciiTheme="minorEastAsia" w:hAnsiTheme="minorEastAsia" w:eastAsiaTheme="minorEastAsia" w:cstheme="minorEastAsia"/>
          <w:color w:val="auto"/>
          <w:sz w:val="24"/>
          <w:shd w:val="clear" w:color="auto" w:fill="FFFFFF"/>
          <w:lang w:eastAsia="zh-CN"/>
        </w:rPr>
        <w:t>，属于</w:t>
      </w:r>
      <w:r>
        <w:rPr>
          <w:rFonts w:hint="eastAsia" w:asciiTheme="minorEastAsia" w:hAnsiTheme="minorEastAsia" w:eastAsiaTheme="minorEastAsia" w:cstheme="minorEastAsia"/>
          <w:color w:val="auto"/>
          <w:sz w:val="24"/>
          <w:u w:val="single"/>
          <w:shd w:val="clear" w:color="auto" w:fill="FFFFFF"/>
          <w:lang w:eastAsia="zh-CN"/>
        </w:rPr>
        <w:t>     （中型企业、小型企业、微型企业）</w:t>
      </w:r>
      <w:r>
        <w:rPr>
          <w:rFonts w:hint="eastAsia" w:asciiTheme="minorEastAsia" w:hAnsiTheme="minorEastAsia" w:eastAsiaTheme="minorEastAsia" w:cstheme="minorEastAsia"/>
          <w:color w:val="auto"/>
          <w:sz w:val="24"/>
          <w:shd w:val="clear" w:color="auto" w:fill="FFFFFF"/>
          <w:lang w:eastAsia="zh-CN"/>
        </w:rPr>
        <w:t>；</w:t>
      </w:r>
    </w:p>
    <w:p w14:paraId="628AFCDF">
      <w:pPr>
        <w:shd w:val="clear" w:color="auto" w:fill="FFFFFF"/>
        <w:spacing w:before="100" w:beforeAutospacing="1" w:after="100" w:afterAutospacing="1"/>
        <w:ind w:firstLine="48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shd w:val="clear" w:color="auto" w:fill="FFFFFF"/>
          <w:lang w:eastAsia="zh-CN"/>
        </w:rPr>
        <w:t>……</w:t>
      </w:r>
    </w:p>
    <w:p w14:paraId="64A03D3D">
      <w:pPr>
        <w:shd w:val="clear" w:color="auto" w:fill="FFFFFF"/>
        <w:spacing w:before="100" w:beforeAutospacing="1" w:after="100" w:afterAutospacing="1"/>
        <w:ind w:firstLine="48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shd w:val="clear" w:color="auto" w:fill="FFFFFF"/>
          <w:lang w:eastAsia="zh-CN"/>
        </w:rPr>
        <w:t>以上企业，不属于大企业的分支机构，不存在控股股东为大企业的情形，也不存在与大企业的负责人为同一人的情形。</w:t>
      </w:r>
    </w:p>
    <w:p w14:paraId="47E629B5">
      <w:pPr>
        <w:shd w:val="clear" w:color="auto" w:fill="FFFFFF"/>
        <w:spacing w:before="100" w:beforeAutospacing="1" w:after="100" w:afterAutospacing="1"/>
        <w:ind w:firstLine="48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shd w:val="clear" w:color="auto" w:fill="FFFFFF"/>
          <w:lang w:eastAsia="zh-CN"/>
        </w:rPr>
        <w:t>本企业对上述声明内容的真实性负责。如有虚假，将依法承担相应责任。</w:t>
      </w:r>
    </w:p>
    <w:p w14:paraId="79BCFFAA">
      <w:pPr>
        <w:shd w:val="clear" w:color="auto" w:fill="FFFFFF"/>
        <w:spacing w:before="100" w:beforeAutospacing="1" w:after="100" w:afterAutospacing="1"/>
        <w:ind w:firstLine="528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shd w:val="clear" w:color="auto" w:fill="FFFFFF"/>
          <w:lang w:eastAsia="zh-CN"/>
        </w:rPr>
        <w:t>企业名称（盖章）：</w:t>
      </w:r>
    </w:p>
    <w:p w14:paraId="4FAE442E">
      <w:pPr>
        <w:shd w:val="clear" w:color="auto" w:fill="FFFFFF"/>
        <w:spacing w:before="100" w:beforeAutospacing="1" w:after="100" w:afterAutospacing="1"/>
        <w:ind w:firstLine="528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shd w:val="clear" w:color="auto" w:fill="FFFFFF"/>
          <w:lang w:eastAsia="zh-CN"/>
        </w:rPr>
        <w:t>日 期：</w:t>
      </w:r>
    </w:p>
    <w:p w14:paraId="7F886825">
      <w:pPr>
        <w:shd w:val="clear" w:color="auto" w:fill="FFFFFF"/>
        <w:spacing w:before="100" w:beforeAutospacing="1" w:after="100" w:afterAutospacing="1"/>
        <w:ind w:firstLine="480"/>
        <w:textAlignment w:val="auto"/>
        <w:rPr>
          <w:rFonts w:hint="eastAsia" w:asciiTheme="minorEastAsia" w:hAnsiTheme="minorEastAsia" w:eastAsiaTheme="minorEastAsia" w:cstheme="minorEastAsia"/>
          <w:b/>
          <w:bCs/>
          <w:color w:val="auto"/>
          <w:sz w:val="24"/>
          <w:shd w:val="clear" w:color="auto" w:fill="FFFFFF"/>
          <w:lang w:eastAsia="zh-CN"/>
        </w:rPr>
      </w:pPr>
      <w:r>
        <w:rPr>
          <w:rFonts w:hint="eastAsia" w:asciiTheme="minorEastAsia" w:hAnsiTheme="minorEastAsia" w:eastAsiaTheme="minorEastAsia" w:cstheme="minorEastAsia"/>
          <w:b/>
          <w:bCs/>
          <w:color w:val="auto"/>
          <w:sz w:val="24"/>
          <w:shd w:val="clear" w:color="auto" w:fill="FFFFFF"/>
          <w:lang w:eastAsia="zh-CN"/>
        </w:rPr>
        <w:t>注：</w:t>
      </w:r>
    </w:p>
    <w:p w14:paraId="617467ED">
      <w:pPr>
        <w:shd w:val="clear" w:color="auto" w:fill="FFFFFF"/>
        <w:spacing w:before="100" w:beforeAutospacing="1" w:after="100" w:afterAutospacing="1"/>
        <w:ind w:firstLine="480"/>
        <w:textAlignment w:val="auto"/>
        <w:rPr>
          <w:rFonts w:hint="eastAsia" w:asciiTheme="minorEastAsia" w:hAnsiTheme="minorEastAsia" w:eastAsiaTheme="minorEastAsia" w:cstheme="minorEastAsia"/>
          <w:b/>
          <w:bCs/>
          <w:color w:val="auto"/>
          <w:sz w:val="24"/>
          <w:shd w:val="clear" w:color="auto" w:fill="FFFFFF"/>
          <w:lang w:eastAsia="zh-CN"/>
        </w:rPr>
      </w:pPr>
      <w:r>
        <w:rPr>
          <w:rFonts w:hint="eastAsia" w:asciiTheme="minorEastAsia" w:hAnsiTheme="minorEastAsia" w:eastAsiaTheme="minorEastAsia" w:cstheme="minorEastAsia"/>
          <w:b/>
          <w:bCs/>
          <w:color w:val="auto"/>
          <w:sz w:val="24"/>
          <w:shd w:val="clear" w:color="auto" w:fill="FFFFFF"/>
          <w:lang w:eastAsia="zh-CN"/>
        </w:rPr>
        <w:t>（1）从业人员、营业收入、资产总额填报上一年度数据，无上一年度数据的新成立企业可不填报。</w:t>
      </w:r>
    </w:p>
    <w:p w14:paraId="2448CFF3">
      <w:pPr>
        <w:shd w:val="clear" w:color="auto" w:fill="FFFFFF"/>
        <w:spacing w:before="100" w:beforeAutospacing="1" w:after="100" w:afterAutospacing="1"/>
        <w:ind w:firstLine="480"/>
        <w:textAlignment w:val="auto"/>
        <w:rPr>
          <w:rFonts w:hint="eastAsia" w:asciiTheme="minorEastAsia" w:hAnsiTheme="minorEastAsia" w:eastAsiaTheme="minorEastAsia" w:cstheme="minorEastAsia"/>
          <w:b/>
          <w:bCs/>
          <w:color w:val="auto"/>
          <w:sz w:val="24"/>
          <w:shd w:val="clear" w:color="auto" w:fill="FFFFFF"/>
          <w:lang w:eastAsia="zh-CN"/>
        </w:rPr>
      </w:pPr>
      <w:r>
        <w:rPr>
          <w:rFonts w:hint="eastAsia" w:asciiTheme="minorEastAsia" w:hAnsiTheme="minorEastAsia" w:eastAsiaTheme="minorEastAsia" w:cstheme="minorEastAsia"/>
          <w:b/>
          <w:bCs/>
          <w:color w:val="auto"/>
          <w:sz w:val="24"/>
          <w:shd w:val="clear" w:color="auto" w:fill="FFFFFF"/>
          <w:lang w:eastAsia="zh-CN"/>
        </w:rPr>
        <w:t>（2）潜在投标企业属于中小微企业的，请在响应文件中提供“中小企业声明函”，如果未提供或提供虚假的“中小企业声明函”，投标企业将承担由此造成的一切不利后果。注：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7DB9DE36">
      <w:pPr>
        <w:shd w:val="clear" w:color="auto" w:fill="FFFFFF"/>
        <w:spacing w:before="100" w:beforeAutospacing="1" w:after="100" w:afterAutospacing="1"/>
        <w:ind w:firstLine="480"/>
        <w:rPr>
          <w:rFonts w:hint="eastAsia" w:asciiTheme="minorEastAsia" w:hAnsiTheme="minorEastAsia" w:eastAsiaTheme="minorEastAsia" w:cstheme="minorEastAsia"/>
          <w:b/>
          <w:bCs/>
          <w:color w:val="auto"/>
          <w:sz w:val="24"/>
          <w:shd w:val="clear" w:color="auto" w:fill="FFFFFF"/>
          <w:lang w:eastAsia="zh-CN"/>
        </w:rPr>
      </w:pPr>
      <w:r>
        <w:rPr>
          <w:rFonts w:hint="eastAsia" w:asciiTheme="minorEastAsia" w:hAnsiTheme="minorEastAsia" w:eastAsiaTheme="minorEastAsia" w:cstheme="minorEastAsia"/>
          <w:b/>
          <w:bCs/>
          <w:color w:val="auto"/>
          <w:sz w:val="24"/>
          <w:shd w:val="clear" w:color="auto" w:fill="FFFFFF"/>
          <w:lang w:eastAsia="zh-CN"/>
        </w:rPr>
        <w:t>（3）（本项目对应的中小企业划分标准所属行业为：工业）</w:t>
      </w:r>
    </w:p>
    <w:bookmarkEnd w:id="863"/>
    <w:bookmarkEnd w:id="864"/>
    <w:bookmarkEnd w:id="865"/>
    <w:p w14:paraId="0B58276F">
      <w:pPr>
        <w:rPr>
          <w:rFonts w:hint="eastAsia" w:asciiTheme="minorEastAsia" w:hAnsiTheme="minorEastAsia" w:eastAsiaTheme="minorEastAsia" w:cstheme="minorEastAsia"/>
          <w:b/>
          <w:bCs/>
          <w:color w:val="auto"/>
          <w:sz w:val="28"/>
          <w:szCs w:val="28"/>
          <w:lang w:eastAsia="zh-CN"/>
        </w:rPr>
      </w:pPr>
    </w:p>
    <w:p w14:paraId="7A76BF2A">
      <w:pPr>
        <w:pStyle w:val="8"/>
        <w:tabs>
          <w:tab w:val="left" w:pos="567"/>
        </w:tabs>
        <w:rPr>
          <w:rFonts w:hint="eastAsia" w:asciiTheme="minorEastAsia" w:hAnsiTheme="minorEastAsia" w:eastAsiaTheme="minorEastAsia" w:cstheme="minorEastAsia"/>
          <w:color w:val="auto"/>
          <w:lang w:eastAsia="zh-CN"/>
        </w:rPr>
      </w:pPr>
    </w:p>
    <w:p w14:paraId="665401E0">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附：</w:t>
      </w:r>
    </w:p>
    <w:p w14:paraId="62179784">
      <w:pPr>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中小微企业划型标准</w:t>
      </w:r>
    </w:p>
    <w:tbl>
      <w:tblPr>
        <w:tblStyle w:val="22"/>
        <w:tblW w:w="9378" w:type="dxa"/>
        <w:jc w:val="center"/>
        <w:tblLayout w:type="fixed"/>
        <w:tblCellMar>
          <w:top w:w="0" w:type="dxa"/>
          <w:left w:w="108" w:type="dxa"/>
          <w:bottom w:w="0" w:type="dxa"/>
          <w:right w:w="108" w:type="dxa"/>
        </w:tblCellMar>
      </w:tblPr>
      <w:tblGrid>
        <w:gridCol w:w="1570"/>
        <w:gridCol w:w="1803"/>
        <w:gridCol w:w="1323"/>
        <w:gridCol w:w="1903"/>
        <w:gridCol w:w="1692"/>
        <w:gridCol w:w="1087"/>
      </w:tblGrid>
      <w:tr w14:paraId="30B7787D">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ign w:val="center"/>
          </w:tcPr>
          <w:p w14:paraId="7FD89E24">
            <w:pPr>
              <w:contextualSpacing/>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行业名称</w:t>
            </w:r>
          </w:p>
        </w:tc>
        <w:tc>
          <w:tcPr>
            <w:tcW w:w="1803" w:type="dxa"/>
            <w:tcBorders>
              <w:top w:val="single" w:color="auto" w:sz="4" w:space="0"/>
              <w:left w:val="nil"/>
              <w:bottom w:val="single" w:color="auto" w:sz="4" w:space="0"/>
              <w:right w:val="single" w:color="auto" w:sz="4" w:space="0"/>
            </w:tcBorders>
            <w:noWrap/>
            <w:vAlign w:val="center"/>
          </w:tcPr>
          <w:p w14:paraId="31722F38">
            <w:pPr>
              <w:contextualSpacing/>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指标名称</w:t>
            </w:r>
          </w:p>
        </w:tc>
        <w:tc>
          <w:tcPr>
            <w:tcW w:w="1323" w:type="dxa"/>
            <w:tcBorders>
              <w:top w:val="single" w:color="auto" w:sz="4" w:space="0"/>
              <w:left w:val="nil"/>
              <w:bottom w:val="single" w:color="auto" w:sz="4" w:space="0"/>
              <w:right w:val="single" w:color="auto" w:sz="4" w:space="0"/>
            </w:tcBorders>
            <w:noWrap/>
            <w:vAlign w:val="center"/>
          </w:tcPr>
          <w:p w14:paraId="745CFABF">
            <w:pPr>
              <w:contextualSpacing/>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计量单位</w:t>
            </w:r>
          </w:p>
        </w:tc>
        <w:tc>
          <w:tcPr>
            <w:tcW w:w="1903" w:type="dxa"/>
            <w:tcBorders>
              <w:top w:val="single" w:color="auto" w:sz="4" w:space="0"/>
              <w:left w:val="nil"/>
              <w:bottom w:val="single" w:color="auto" w:sz="4" w:space="0"/>
              <w:right w:val="single" w:color="auto" w:sz="4" w:space="0"/>
            </w:tcBorders>
            <w:noWrap/>
            <w:vAlign w:val="center"/>
          </w:tcPr>
          <w:p w14:paraId="62FB82F2">
            <w:pPr>
              <w:contextualSpacing/>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中型</w:t>
            </w:r>
          </w:p>
        </w:tc>
        <w:tc>
          <w:tcPr>
            <w:tcW w:w="1692" w:type="dxa"/>
            <w:tcBorders>
              <w:top w:val="single" w:color="auto" w:sz="4" w:space="0"/>
              <w:left w:val="nil"/>
              <w:bottom w:val="single" w:color="auto" w:sz="4" w:space="0"/>
              <w:right w:val="single" w:color="auto" w:sz="4" w:space="0"/>
            </w:tcBorders>
            <w:noWrap/>
            <w:vAlign w:val="center"/>
          </w:tcPr>
          <w:p w14:paraId="4BF1C486">
            <w:pPr>
              <w:contextualSpacing/>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小型</w:t>
            </w:r>
          </w:p>
        </w:tc>
        <w:tc>
          <w:tcPr>
            <w:tcW w:w="1087" w:type="dxa"/>
            <w:tcBorders>
              <w:top w:val="single" w:color="auto" w:sz="4" w:space="0"/>
              <w:left w:val="nil"/>
              <w:bottom w:val="single" w:color="auto" w:sz="4" w:space="0"/>
              <w:right w:val="single" w:color="auto" w:sz="4" w:space="0"/>
            </w:tcBorders>
            <w:noWrap/>
            <w:vAlign w:val="center"/>
          </w:tcPr>
          <w:p w14:paraId="3283A1D2">
            <w:pPr>
              <w:contextualSpacing/>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微型</w:t>
            </w:r>
          </w:p>
        </w:tc>
      </w:tr>
      <w:tr w14:paraId="3B66CC67">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ign w:val="center"/>
          </w:tcPr>
          <w:p w14:paraId="4E8CAAD3">
            <w:pPr>
              <w:contextualSpacing/>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农、林、牧、渔</w:t>
            </w:r>
          </w:p>
        </w:tc>
        <w:tc>
          <w:tcPr>
            <w:tcW w:w="1803" w:type="dxa"/>
            <w:tcBorders>
              <w:top w:val="nil"/>
              <w:left w:val="nil"/>
              <w:bottom w:val="single" w:color="auto" w:sz="4" w:space="0"/>
              <w:right w:val="single" w:color="auto" w:sz="4" w:space="0"/>
            </w:tcBorders>
            <w:noWrap/>
            <w:vAlign w:val="center"/>
          </w:tcPr>
          <w:p w14:paraId="39D78FCE">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营业收入（Y）</w:t>
            </w:r>
          </w:p>
        </w:tc>
        <w:tc>
          <w:tcPr>
            <w:tcW w:w="1323" w:type="dxa"/>
            <w:tcBorders>
              <w:top w:val="nil"/>
              <w:left w:val="nil"/>
              <w:bottom w:val="single" w:color="auto" w:sz="4" w:space="0"/>
              <w:right w:val="single" w:color="auto" w:sz="4" w:space="0"/>
            </w:tcBorders>
            <w:noWrap/>
            <w:vAlign w:val="center"/>
          </w:tcPr>
          <w:p w14:paraId="47DAFB28">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万元</w:t>
            </w:r>
          </w:p>
        </w:tc>
        <w:tc>
          <w:tcPr>
            <w:tcW w:w="1903" w:type="dxa"/>
            <w:tcBorders>
              <w:top w:val="nil"/>
              <w:left w:val="nil"/>
              <w:bottom w:val="single" w:color="auto" w:sz="4" w:space="0"/>
              <w:right w:val="single" w:color="auto" w:sz="4" w:space="0"/>
            </w:tcBorders>
            <w:noWrap/>
            <w:vAlign w:val="center"/>
          </w:tcPr>
          <w:p w14:paraId="1F305959">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500≤Y＜20000</w:t>
            </w:r>
          </w:p>
        </w:tc>
        <w:tc>
          <w:tcPr>
            <w:tcW w:w="1692" w:type="dxa"/>
            <w:tcBorders>
              <w:top w:val="nil"/>
              <w:left w:val="nil"/>
              <w:bottom w:val="single" w:color="auto" w:sz="4" w:space="0"/>
              <w:right w:val="single" w:color="auto" w:sz="4" w:space="0"/>
            </w:tcBorders>
            <w:noWrap/>
            <w:vAlign w:val="center"/>
          </w:tcPr>
          <w:p w14:paraId="1E1EA3A9">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50≤Y＜500</w:t>
            </w:r>
          </w:p>
        </w:tc>
        <w:tc>
          <w:tcPr>
            <w:tcW w:w="1087" w:type="dxa"/>
            <w:tcBorders>
              <w:top w:val="nil"/>
              <w:left w:val="nil"/>
              <w:bottom w:val="single" w:color="auto" w:sz="4" w:space="0"/>
              <w:right w:val="single" w:color="auto" w:sz="4" w:space="0"/>
            </w:tcBorders>
            <w:noWrap/>
            <w:vAlign w:val="center"/>
          </w:tcPr>
          <w:p w14:paraId="5F394B94">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Y＜50</w:t>
            </w:r>
          </w:p>
        </w:tc>
      </w:tr>
      <w:tr w14:paraId="626756C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284C17BA">
            <w:pPr>
              <w:contextualSpacing/>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工业</w:t>
            </w:r>
          </w:p>
        </w:tc>
        <w:tc>
          <w:tcPr>
            <w:tcW w:w="1803" w:type="dxa"/>
            <w:tcBorders>
              <w:top w:val="nil"/>
              <w:left w:val="nil"/>
              <w:bottom w:val="single" w:color="auto" w:sz="4" w:space="0"/>
              <w:right w:val="single" w:color="auto" w:sz="4" w:space="0"/>
            </w:tcBorders>
            <w:noWrap/>
            <w:vAlign w:val="center"/>
          </w:tcPr>
          <w:p w14:paraId="08152FAA">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从业人员（X）</w:t>
            </w:r>
          </w:p>
        </w:tc>
        <w:tc>
          <w:tcPr>
            <w:tcW w:w="1323" w:type="dxa"/>
            <w:tcBorders>
              <w:top w:val="nil"/>
              <w:left w:val="nil"/>
              <w:bottom w:val="single" w:color="auto" w:sz="4" w:space="0"/>
              <w:right w:val="single" w:color="auto" w:sz="4" w:space="0"/>
            </w:tcBorders>
            <w:noWrap/>
            <w:vAlign w:val="center"/>
          </w:tcPr>
          <w:p w14:paraId="3D832F20">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w:t>
            </w:r>
          </w:p>
        </w:tc>
        <w:tc>
          <w:tcPr>
            <w:tcW w:w="1903" w:type="dxa"/>
            <w:tcBorders>
              <w:top w:val="nil"/>
              <w:left w:val="nil"/>
              <w:bottom w:val="single" w:color="auto" w:sz="4" w:space="0"/>
              <w:right w:val="single" w:color="auto" w:sz="4" w:space="0"/>
            </w:tcBorders>
            <w:noWrap/>
            <w:vAlign w:val="center"/>
          </w:tcPr>
          <w:p w14:paraId="5464E508">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300≤X＜1000</w:t>
            </w:r>
          </w:p>
        </w:tc>
        <w:tc>
          <w:tcPr>
            <w:tcW w:w="1692" w:type="dxa"/>
            <w:tcBorders>
              <w:top w:val="nil"/>
              <w:left w:val="nil"/>
              <w:bottom w:val="single" w:color="auto" w:sz="4" w:space="0"/>
              <w:right w:val="single" w:color="auto" w:sz="4" w:space="0"/>
            </w:tcBorders>
            <w:noWrap/>
            <w:vAlign w:val="center"/>
          </w:tcPr>
          <w:p w14:paraId="6E24E9F8">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20≤X＜300</w:t>
            </w:r>
          </w:p>
        </w:tc>
        <w:tc>
          <w:tcPr>
            <w:tcW w:w="1087" w:type="dxa"/>
            <w:tcBorders>
              <w:top w:val="nil"/>
              <w:left w:val="nil"/>
              <w:bottom w:val="single" w:color="auto" w:sz="4" w:space="0"/>
              <w:right w:val="single" w:color="auto" w:sz="4" w:space="0"/>
            </w:tcBorders>
            <w:noWrap/>
            <w:vAlign w:val="center"/>
          </w:tcPr>
          <w:p w14:paraId="0A521CF3">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X＜20</w:t>
            </w:r>
          </w:p>
        </w:tc>
      </w:tr>
      <w:tr w14:paraId="7CC8A1F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0E6C3F8E">
            <w:pPr>
              <w:contextualSpacing/>
              <w:jc w:val="center"/>
              <w:rPr>
                <w:rFonts w:hint="eastAsia" w:asciiTheme="minorEastAsia" w:hAnsiTheme="minorEastAsia" w:eastAsiaTheme="minorEastAsia" w:cstheme="minorEastAsia"/>
                <w:b/>
                <w:bCs/>
                <w:color w:val="auto"/>
                <w:sz w:val="24"/>
              </w:rPr>
            </w:pPr>
          </w:p>
        </w:tc>
        <w:tc>
          <w:tcPr>
            <w:tcW w:w="1803" w:type="dxa"/>
            <w:tcBorders>
              <w:top w:val="nil"/>
              <w:left w:val="nil"/>
              <w:bottom w:val="single" w:color="auto" w:sz="4" w:space="0"/>
              <w:right w:val="single" w:color="auto" w:sz="4" w:space="0"/>
            </w:tcBorders>
            <w:noWrap/>
            <w:vAlign w:val="center"/>
          </w:tcPr>
          <w:p w14:paraId="178F5A85">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营业收入（Y）</w:t>
            </w:r>
          </w:p>
        </w:tc>
        <w:tc>
          <w:tcPr>
            <w:tcW w:w="1323" w:type="dxa"/>
            <w:tcBorders>
              <w:top w:val="nil"/>
              <w:left w:val="nil"/>
              <w:bottom w:val="single" w:color="auto" w:sz="4" w:space="0"/>
              <w:right w:val="single" w:color="auto" w:sz="4" w:space="0"/>
            </w:tcBorders>
            <w:noWrap/>
            <w:vAlign w:val="center"/>
          </w:tcPr>
          <w:p w14:paraId="39AA2966">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万元</w:t>
            </w:r>
          </w:p>
        </w:tc>
        <w:tc>
          <w:tcPr>
            <w:tcW w:w="1903" w:type="dxa"/>
            <w:tcBorders>
              <w:top w:val="nil"/>
              <w:left w:val="nil"/>
              <w:bottom w:val="single" w:color="auto" w:sz="4" w:space="0"/>
              <w:right w:val="single" w:color="auto" w:sz="4" w:space="0"/>
            </w:tcBorders>
            <w:noWrap/>
            <w:vAlign w:val="center"/>
          </w:tcPr>
          <w:p w14:paraId="0EF17B4C">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2000≤Y＜40000</w:t>
            </w:r>
          </w:p>
        </w:tc>
        <w:tc>
          <w:tcPr>
            <w:tcW w:w="1692" w:type="dxa"/>
            <w:tcBorders>
              <w:top w:val="nil"/>
              <w:left w:val="nil"/>
              <w:bottom w:val="single" w:color="auto" w:sz="4" w:space="0"/>
              <w:right w:val="single" w:color="auto" w:sz="4" w:space="0"/>
            </w:tcBorders>
            <w:noWrap/>
            <w:vAlign w:val="center"/>
          </w:tcPr>
          <w:p w14:paraId="109EC651">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300≤Y＜2000</w:t>
            </w:r>
          </w:p>
        </w:tc>
        <w:tc>
          <w:tcPr>
            <w:tcW w:w="1087" w:type="dxa"/>
            <w:tcBorders>
              <w:top w:val="nil"/>
              <w:left w:val="nil"/>
              <w:bottom w:val="single" w:color="auto" w:sz="4" w:space="0"/>
              <w:right w:val="single" w:color="auto" w:sz="4" w:space="0"/>
            </w:tcBorders>
            <w:noWrap/>
            <w:vAlign w:val="center"/>
          </w:tcPr>
          <w:p w14:paraId="5AF0F4B6">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Y＜300</w:t>
            </w:r>
          </w:p>
        </w:tc>
      </w:tr>
      <w:tr w14:paraId="4CFE496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6526C8FB">
            <w:pPr>
              <w:contextualSpacing/>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建筑业</w:t>
            </w:r>
          </w:p>
        </w:tc>
        <w:tc>
          <w:tcPr>
            <w:tcW w:w="1803" w:type="dxa"/>
            <w:tcBorders>
              <w:top w:val="nil"/>
              <w:left w:val="nil"/>
              <w:bottom w:val="single" w:color="auto" w:sz="4" w:space="0"/>
              <w:right w:val="single" w:color="auto" w:sz="4" w:space="0"/>
            </w:tcBorders>
            <w:noWrap/>
            <w:vAlign w:val="center"/>
          </w:tcPr>
          <w:p w14:paraId="15CD6820">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营业收入（Y）</w:t>
            </w:r>
          </w:p>
        </w:tc>
        <w:tc>
          <w:tcPr>
            <w:tcW w:w="1323" w:type="dxa"/>
            <w:tcBorders>
              <w:top w:val="nil"/>
              <w:left w:val="nil"/>
              <w:bottom w:val="single" w:color="auto" w:sz="4" w:space="0"/>
              <w:right w:val="single" w:color="auto" w:sz="4" w:space="0"/>
            </w:tcBorders>
            <w:noWrap/>
            <w:vAlign w:val="center"/>
          </w:tcPr>
          <w:p w14:paraId="61129B20">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万元</w:t>
            </w:r>
          </w:p>
        </w:tc>
        <w:tc>
          <w:tcPr>
            <w:tcW w:w="1903" w:type="dxa"/>
            <w:tcBorders>
              <w:top w:val="nil"/>
              <w:left w:val="nil"/>
              <w:bottom w:val="single" w:color="auto" w:sz="4" w:space="0"/>
              <w:right w:val="single" w:color="auto" w:sz="4" w:space="0"/>
            </w:tcBorders>
            <w:noWrap/>
            <w:vAlign w:val="center"/>
          </w:tcPr>
          <w:p w14:paraId="236D3BC7">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6000≤Y＜80000</w:t>
            </w:r>
          </w:p>
        </w:tc>
        <w:tc>
          <w:tcPr>
            <w:tcW w:w="1692" w:type="dxa"/>
            <w:tcBorders>
              <w:top w:val="nil"/>
              <w:left w:val="nil"/>
              <w:bottom w:val="single" w:color="auto" w:sz="4" w:space="0"/>
              <w:right w:val="single" w:color="auto" w:sz="4" w:space="0"/>
            </w:tcBorders>
            <w:noWrap/>
            <w:vAlign w:val="center"/>
          </w:tcPr>
          <w:p w14:paraId="38830960">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300≤Y＜6000</w:t>
            </w:r>
          </w:p>
        </w:tc>
        <w:tc>
          <w:tcPr>
            <w:tcW w:w="1087" w:type="dxa"/>
            <w:tcBorders>
              <w:top w:val="nil"/>
              <w:left w:val="nil"/>
              <w:bottom w:val="single" w:color="auto" w:sz="4" w:space="0"/>
              <w:right w:val="single" w:color="auto" w:sz="4" w:space="0"/>
            </w:tcBorders>
            <w:noWrap/>
            <w:vAlign w:val="center"/>
          </w:tcPr>
          <w:p w14:paraId="0F9558A7">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Y＜300</w:t>
            </w:r>
          </w:p>
        </w:tc>
      </w:tr>
      <w:tr w14:paraId="570160D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67A146E9">
            <w:pPr>
              <w:contextualSpacing/>
              <w:jc w:val="center"/>
              <w:rPr>
                <w:rFonts w:hint="eastAsia" w:asciiTheme="minorEastAsia" w:hAnsiTheme="minorEastAsia" w:eastAsiaTheme="minorEastAsia" w:cstheme="minorEastAsia"/>
                <w:b/>
                <w:bCs/>
                <w:color w:val="auto"/>
                <w:sz w:val="24"/>
              </w:rPr>
            </w:pPr>
          </w:p>
        </w:tc>
        <w:tc>
          <w:tcPr>
            <w:tcW w:w="1803" w:type="dxa"/>
            <w:tcBorders>
              <w:top w:val="nil"/>
              <w:left w:val="nil"/>
              <w:bottom w:val="single" w:color="auto" w:sz="4" w:space="0"/>
              <w:right w:val="single" w:color="auto" w:sz="4" w:space="0"/>
            </w:tcBorders>
            <w:noWrap/>
            <w:vAlign w:val="center"/>
          </w:tcPr>
          <w:p w14:paraId="040491F0">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资产总额（Z）</w:t>
            </w:r>
          </w:p>
        </w:tc>
        <w:tc>
          <w:tcPr>
            <w:tcW w:w="1323" w:type="dxa"/>
            <w:tcBorders>
              <w:top w:val="nil"/>
              <w:left w:val="nil"/>
              <w:bottom w:val="single" w:color="auto" w:sz="4" w:space="0"/>
              <w:right w:val="single" w:color="auto" w:sz="4" w:space="0"/>
            </w:tcBorders>
            <w:noWrap/>
            <w:vAlign w:val="center"/>
          </w:tcPr>
          <w:p w14:paraId="195B8639">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万元</w:t>
            </w:r>
          </w:p>
        </w:tc>
        <w:tc>
          <w:tcPr>
            <w:tcW w:w="1903" w:type="dxa"/>
            <w:tcBorders>
              <w:top w:val="nil"/>
              <w:left w:val="nil"/>
              <w:bottom w:val="single" w:color="auto" w:sz="4" w:space="0"/>
              <w:right w:val="single" w:color="auto" w:sz="4" w:space="0"/>
            </w:tcBorders>
            <w:noWrap/>
            <w:vAlign w:val="center"/>
          </w:tcPr>
          <w:p w14:paraId="59D31CC2">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5000≤Z＜80000</w:t>
            </w:r>
          </w:p>
        </w:tc>
        <w:tc>
          <w:tcPr>
            <w:tcW w:w="1692" w:type="dxa"/>
            <w:tcBorders>
              <w:top w:val="nil"/>
              <w:left w:val="nil"/>
              <w:bottom w:val="single" w:color="auto" w:sz="4" w:space="0"/>
              <w:right w:val="single" w:color="auto" w:sz="4" w:space="0"/>
            </w:tcBorders>
            <w:noWrap/>
            <w:vAlign w:val="center"/>
          </w:tcPr>
          <w:p w14:paraId="55C8FE0B">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300≤Z＜5000</w:t>
            </w:r>
          </w:p>
        </w:tc>
        <w:tc>
          <w:tcPr>
            <w:tcW w:w="1087" w:type="dxa"/>
            <w:tcBorders>
              <w:top w:val="nil"/>
              <w:left w:val="nil"/>
              <w:bottom w:val="single" w:color="auto" w:sz="4" w:space="0"/>
              <w:right w:val="single" w:color="auto" w:sz="4" w:space="0"/>
            </w:tcBorders>
            <w:noWrap/>
            <w:vAlign w:val="center"/>
          </w:tcPr>
          <w:p w14:paraId="251F620C">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Z＜300</w:t>
            </w:r>
          </w:p>
        </w:tc>
      </w:tr>
      <w:tr w14:paraId="5E4E734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06A0F9C2">
            <w:pPr>
              <w:contextualSpacing/>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批发业</w:t>
            </w:r>
          </w:p>
        </w:tc>
        <w:tc>
          <w:tcPr>
            <w:tcW w:w="1803" w:type="dxa"/>
            <w:tcBorders>
              <w:top w:val="nil"/>
              <w:left w:val="nil"/>
              <w:bottom w:val="single" w:color="auto" w:sz="4" w:space="0"/>
              <w:right w:val="single" w:color="auto" w:sz="4" w:space="0"/>
            </w:tcBorders>
            <w:noWrap/>
            <w:vAlign w:val="center"/>
          </w:tcPr>
          <w:p w14:paraId="4B702D31">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从业人员（X）</w:t>
            </w:r>
          </w:p>
        </w:tc>
        <w:tc>
          <w:tcPr>
            <w:tcW w:w="1323" w:type="dxa"/>
            <w:tcBorders>
              <w:top w:val="nil"/>
              <w:left w:val="nil"/>
              <w:bottom w:val="single" w:color="auto" w:sz="4" w:space="0"/>
              <w:right w:val="single" w:color="auto" w:sz="4" w:space="0"/>
            </w:tcBorders>
            <w:noWrap/>
            <w:vAlign w:val="center"/>
          </w:tcPr>
          <w:p w14:paraId="412EAA42">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w:t>
            </w:r>
          </w:p>
        </w:tc>
        <w:tc>
          <w:tcPr>
            <w:tcW w:w="1903" w:type="dxa"/>
            <w:tcBorders>
              <w:top w:val="nil"/>
              <w:left w:val="nil"/>
              <w:bottom w:val="single" w:color="auto" w:sz="4" w:space="0"/>
              <w:right w:val="single" w:color="auto" w:sz="4" w:space="0"/>
            </w:tcBorders>
            <w:noWrap/>
            <w:vAlign w:val="center"/>
          </w:tcPr>
          <w:p w14:paraId="627F972F">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20≤X＜200</w:t>
            </w:r>
          </w:p>
        </w:tc>
        <w:tc>
          <w:tcPr>
            <w:tcW w:w="1692" w:type="dxa"/>
            <w:tcBorders>
              <w:top w:val="nil"/>
              <w:left w:val="nil"/>
              <w:bottom w:val="single" w:color="auto" w:sz="4" w:space="0"/>
              <w:right w:val="single" w:color="auto" w:sz="4" w:space="0"/>
            </w:tcBorders>
            <w:noWrap/>
            <w:vAlign w:val="center"/>
          </w:tcPr>
          <w:p w14:paraId="2B11AB68">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5≤X＜20</w:t>
            </w:r>
          </w:p>
        </w:tc>
        <w:tc>
          <w:tcPr>
            <w:tcW w:w="1087" w:type="dxa"/>
            <w:tcBorders>
              <w:top w:val="nil"/>
              <w:left w:val="nil"/>
              <w:bottom w:val="single" w:color="auto" w:sz="4" w:space="0"/>
              <w:right w:val="single" w:color="auto" w:sz="4" w:space="0"/>
            </w:tcBorders>
            <w:noWrap/>
            <w:vAlign w:val="center"/>
          </w:tcPr>
          <w:p w14:paraId="54F075E8">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X＜5</w:t>
            </w:r>
          </w:p>
        </w:tc>
      </w:tr>
      <w:tr w14:paraId="3475BDA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053F9154">
            <w:pPr>
              <w:contextualSpacing/>
              <w:jc w:val="center"/>
              <w:rPr>
                <w:rFonts w:hint="eastAsia" w:asciiTheme="minorEastAsia" w:hAnsiTheme="minorEastAsia" w:eastAsiaTheme="minorEastAsia" w:cstheme="minorEastAsia"/>
                <w:b/>
                <w:bCs/>
                <w:color w:val="auto"/>
                <w:sz w:val="24"/>
              </w:rPr>
            </w:pPr>
          </w:p>
        </w:tc>
        <w:tc>
          <w:tcPr>
            <w:tcW w:w="1803" w:type="dxa"/>
            <w:tcBorders>
              <w:top w:val="nil"/>
              <w:left w:val="nil"/>
              <w:bottom w:val="single" w:color="auto" w:sz="4" w:space="0"/>
              <w:right w:val="single" w:color="auto" w:sz="4" w:space="0"/>
            </w:tcBorders>
            <w:noWrap/>
            <w:vAlign w:val="center"/>
          </w:tcPr>
          <w:p w14:paraId="2CF90E70">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营业收入（Y）</w:t>
            </w:r>
          </w:p>
        </w:tc>
        <w:tc>
          <w:tcPr>
            <w:tcW w:w="1323" w:type="dxa"/>
            <w:tcBorders>
              <w:top w:val="nil"/>
              <w:left w:val="nil"/>
              <w:bottom w:val="single" w:color="auto" w:sz="4" w:space="0"/>
              <w:right w:val="single" w:color="auto" w:sz="4" w:space="0"/>
            </w:tcBorders>
            <w:noWrap/>
            <w:vAlign w:val="center"/>
          </w:tcPr>
          <w:p w14:paraId="06453F6A">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万元</w:t>
            </w:r>
          </w:p>
        </w:tc>
        <w:tc>
          <w:tcPr>
            <w:tcW w:w="1903" w:type="dxa"/>
            <w:tcBorders>
              <w:top w:val="nil"/>
              <w:left w:val="nil"/>
              <w:bottom w:val="single" w:color="auto" w:sz="4" w:space="0"/>
              <w:right w:val="single" w:color="auto" w:sz="4" w:space="0"/>
            </w:tcBorders>
            <w:noWrap/>
            <w:vAlign w:val="center"/>
          </w:tcPr>
          <w:p w14:paraId="30F27C89">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5000≤Y＜40000</w:t>
            </w:r>
          </w:p>
        </w:tc>
        <w:tc>
          <w:tcPr>
            <w:tcW w:w="1692" w:type="dxa"/>
            <w:tcBorders>
              <w:top w:val="nil"/>
              <w:left w:val="nil"/>
              <w:bottom w:val="single" w:color="auto" w:sz="4" w:space="0"/>
              <w:right w:val="single" w:color="auto" w:sz="4" w:space="0"/>
            </w:tcBorders>
            <w:noWrap/>
            <w:vAlign w:val="center"/>
          </w:tcPr>
          <w:p w14:paraId="7FA527C2">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1000≤Y＜5000</w:t>
            </w:r>
          </w:p>
        </w:tc>
        <w:tc>
          <w:tcPr>
            <w:tcW w:w="1087" w:type="dxa"/>
            <w:tcBorders>
              <w:top w:val="nil"/>
              <w:left w:val="nil"/>
              <w:bottom w:val="single" w:color="auto" w:sz="4" w:space="0"/>
              <w:right w:val="single" w:color="auto" w:sz="4" w:space="0"/>
            </w:tcBorders>
            <w:noWrap/>
            <w:vAlign w:val="center"/>
          </w:tcPr>
          <w:p w14:paraId="0432806A">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Y＜1000</w:t>
            </w:r>
          </w:p>
        </w:tc>
      </w:tr>
      <w:tr w14:paraId="4D08A04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6A28033D">
            <w:pPr>
              <w:contextualSpacing/>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零售业</w:t>
            </w:r>
          </w:p>
        </w:tc>
        <w:tc>
          <w:tcPr>
            <w:tcW w:w="1803" w:type="dxa"/>
            <w:tcBorders>
              <w:top w:val="nil"/>
              <w:left w:val="nil"/>
              <w:bottom w:val="single" w:color="auto" w:sz="4" w:space="0"/>
              <w:right w:val="single" w:color="auto" w:sz="4" w:space="0"/>
            </w:tcBorders>
            <w:noWrap/>
            <w:vAlign w:val="center"/>
          </w:tcPr>
          <w:p w14:paraId="3F662017">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从业人员（X）</w:t>
            </w:r>
          </w:p>
        </w:tc>
        <w:tc>
          <w:tcPr>
            <w:tcW w:w="1323" w:type="dxa"/>
            <w:tcBorders>
              <w:top w:val="nil"/>
              <w:left w:val="nil"/>
              <w:bottom w:val="single" w:color="auto" w:sz="4" w:space="0"/>
              <w:right w:val="single" w:color="auto" w:sz="4" w:space="0"/>
            </w:tcBorders>
            <w:noWrap/>
            <w:vAlign w:val="center"/>
          </w:tcPr>
          <w:p w14:paraId="0CCD60C3">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w:t>
            </w:r>
          </w:p>
        </w:tc>
        <w:tc>
          <w:tcPr>
            <w:tcW w:w="1903" w:type="dxa"/>
            <w:tcBorders>
              <w:top w:val="nil"/>
              <w:left w:val="nil"/>
              <w:bottom w:val="single" w:color="auto" w:sz="4" w:space="0"/>
              <w:right w:val="single" w:color="auto" w:sz="4" w:space="0"/>
            </w:tcBorders>
            <w:noWrap/>
            <w:vAlign w:val="center"/>
          </w:tcPr>
          <w:p w14:paraId="70C8E051">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50≤X＜300</w:t>
            </w:r>
          </w:p>
        </w:tc>
        <w:tc>
          <w:tcPr>
            <w:tcW w:w="1692" w:type="dxa"/>
            <w:tcBorders>
              <w:top w:val="nil"/>
              <w:left w:val="nil"/>
              <w:bottom w:val="single" w:color="auto" w:sz="4" w:space="0"/>
              <w:right w:val="single" w:color="auto" w:sz="4" w:space="0"/>
            </w:tcBorders>
            <w:noWrap/>
            <w:vAlign w:val="center"/>
          </w:tcPr>
          <w:p w14:paraId="56B34BC8">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10≤X＜50</w:t>
            </w:r>
          </w:p>
        </w:tc>
        <w:tc>
          <w:tcPr>
            <w:tcW w:w="1087" w:type="dxa"/>
            <w:tcBorders>
              <w:top w:val="nil"/>
              <w:left w:val="nil"/>
              <w:bottom w:val="single" w:color="auto" w:sz="4" w:space="0"/>
              <w:right w:val="single" w:color="auto" w:sz="4" w:space="0"/>
            </w:tcBorders>
            <w:noWrap/>
            <w:vAlign w:val="center"/>
          </w:tcPr>
          <w:p w14:paraId="1740E3EC">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X＜10</w:t>
            </w:r>
          </w:p>
        </w:tc>
      </w:tr>
      <w:tr w14:paraId="116B38D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0D6031B7">
            <w:pPr>
              <w:contextualSpacing/>
              <w:jc w:val="center"/>
              <w:rPr>
                <w:rFonts w:hint="eastAsia" w:asciiTheme="minorEastAsia" w:hAnsiTheme="minorEastAsia" w:eastAsiaTheme="minorEastAsia" w:cstheme="minorEastAsia"/>
                <w:b/>
                <w:bCs/>
                <w:color w:val="auto"/>
                <w:sz w:val="24"/>
              </w:rPr>
            </w:pPr>
          </w:p>
        </w:tc>
        <w:tc>
          <w:tcPr>
            <w:tcW w:w="1803" w:type="dxa"/>
            <w:tcBorders>
              <w:top w:val="nil"/>
              <w:left w:val="nil"/>
              <w:bottom w:val="single" w:color="auto" w:sz="4" w:space="0"/>
              <w:right w:val="single" w:color="auto" w:sz="4" w:space="0"/>
            </w:tcBorders>
            <w:noWrap/>
            <w:vAlign w:val="center"/>
          </w:tcPr>
          <w:p w14:paraId="78803A33">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营业收入（Y）</w:t>
            </w:r>
          </w:p>
        </w:tc>
        <w:tc>
          <w:tcPr>
            <w:tcW w:w="1323" w:type="dxa"/>
            <w:tcBorders>
              <w:top w:val="nil"/>
              <w:left w:val="nil"/>
              <w:bottom w:val="single" w:color="auto" w:sz="4" w:space="0"/>
              <w:right w:val="single" w:color="auto" w:sz="4" w:space="0"/>
            </w:tcBorders>
            <w:noWrap/>
            <w:vAlign w:val="center"/>
          </w:tcPr>
          <w:p w14:paraId="0BA77808">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万元</w:t>
            </w:r>
          </w:p>
        </w:tc>
        <w:tc>
          <w:tcPr>
            <w:tcW w:w="1903" w:type="dxa"/>
            <w:tcBorders>
              <w:top w:val="nil"/>
              <w:left w:val="nil"/>
              <w:bottom w:val="single" w:color="auto" w:sz="4" w:space="0"/>
              <w:right w:val="single" w:color="auto" w:sz="4" w:space="0"/>
            </w:tcBorders>
            <w:noWrap/>
            <w:vAlign w:val="center"/>
          </w:tcPr>
          <w:p w14:paraId="05980D6B">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500≤Y＜20000</w:t>
            </w:r>
          </w:p>
        </w:tc>
        <w:tc>
          <w:tcPr>
            <w:tcW w:w="1692" w:type="dxa"/>
            <w:tcBorders>
              <w:top w:val="nil"/>
              <w:left w:val="nil"/>
              <w:bottom w:val="single" w:color="auto" w:sz="4" w:space="0"/>
              <w:right w:val="single" w:color="auto" w:sz="4" w:space="0"/>
            </w:tcBorders>
            <w:noWrap/>
            <w:vAlign w:val="center"/>
          </w:tcPr>
          <w:p w14:paraId="27A425ED">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100≤Y＜500</w:t>
            </w:r>
          </w:p>
        </w:tc>
        <w:tc>
          <w:tcPr>
            <w:tcW w:w="1087" w:type="dxa"/>
            <w:tcBorders>
              <w:top w:val="nil"/>
              <w:left w:val="nil"/>
              <w:bottom w:val="single" w:color="auto" w:sz="4" w:space="0"/>
              <w:right w:val="single" w:color="auto" w:sz="4" w:space="0"/>
            </w:tcBorders>
            <w:noWrap/>
            <w:vAlign w:val="center"/>
          </w:tcPr>
          <w:p w14:paraId="761EB5C7">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Y＜100</w:t>
            </w:r>
          </w:p>
        </w:tc>
      </w:tr>
      <w:tr w14:paraId="56C9501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40CA023C">
            <w:pPr>
              <w:contextualSpacing/>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交通运输业</w:t>
            </w:r>
          </w:p>
        </w:tc>
        <w:tc>
          <w:tcPr>
            <w:tcW w:w="1803" w:type="dxa"/>
            <w:tcBorders>
              <w:top w:val="nil"/>
              <w:left w:val="nil"/>
              <w:bottom w:val="single" w:color="auto" w:sz="4" w:space="0"/>
              <w:right w:val="single" w:color="auto" w:sz="4" w:space="0"/>
            </w:tcBorders>
            <w:noWrap/>
            <w:vAlign w:val="center"/>
          </w:tcPr>
          <w:p w14:paraId="2DCE25F1">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从业人员（X）</w:t>
            </w:r>
          </w:p>
        </w:tc>
        <w:tc>
          <w:tcPr>
            <w:tcW w:w="1323" w:type="dxa"/>
            <w:tcBorders>
              <w:top w:val="nil"/>
              <w:left w:val="nil"/>
              <w:bottom w:val="single" w:color="auto" w:sz="4" w:space="0"/>
              <w:right w:val="single" w:color="auto" w:sz="4" w:space="0"/>
            </w:tcBorders>
            <w:noWrap/>
            <w:vAlign w:val="center"/>
          </w:tcPr>
          <w:p w14:paraId="0C593BC2">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w:t>
            </w:r>
          </w:p>
        </w:tc>
        <w:tc>
          <w:tcPr>
            <w:tcW w:w="1903" w:type="dxa"/>
            <w:tcBorders>
              <w:top w:val="nil"/>
              <w:left w:val="nil"/>
              <w:bottom w:val="single" w:color="auto" w:sz="4" w:space="0"/>
              <w:right w:val="single" w:color="auto" w:sz="4" w:space="0"/>
            </w:tcBorders>
            <w:noWrap/>
            <w:vAlign w:val="center"/>
          </w:tcPr>
          <w:p w14:paraId="631E53B9">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300≤X＜1000</w:t>
            </w:r>
          </w:p>
        </w:tc>
        <w:tc>
          <w:tcPr>
            <w:tcW w:w="1692" w:type="dxa"/>
            <w:tcBorders>
              <w:top w:val="nil"/>
              <w:left w:val="nil"/>
              <w:bottom w:val="single" w:color="auto" w:sz="4" w:space="0"/>
              <w:right w:val="single" w:color="auto" w:sz="4" w:space="0"/>
            </w:tcBorders>
            <w:noWrap/>
            <w:vAlign w:val="center"/>
          </w:tcPr>
          <w:p w14:paraId="08075F99">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20≤X＜300</w:t>
            </w:r>
          </w:p>
        </w:tc>
        <w:tc>
          <w:tcPr>
            <w:tcW w:w="1087" w:type="dxa"/>
            <w:tcBorders>
              <w:top w:val="nil"/>
              <w:left w:val="nil"/>
              <w:bottom w:val="single" w:color="auto" w:sz="4" w:space="0"/>
              <w:right w:val="single" w:color="auto" w:sz="4" w:space="0"/>
            </w:tcBorders>
            <w:noWrap/>
            <w:vAlign w:val="center"/>
          </w:tcPr>
          <w:p w14:paraId="40C70170">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X＜20</w:t>
            </w:r>
          </w:p>
        </w:tc>
      </w:tr>
      <w:tr w14:paraId="7FDB6C1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26B9D3C3">
            <w:pPr>
              <w:contextualSpacing/>
              <w:jc w:val="center"/>
              <w:rPr>
                <w:rFonts w:hint="eastAsia" w:asciiTheme="minorEastAsia" w:hAnsiTheme="minorEastAsia" w:eastAsiaTheme="minorEastAsia" w:cstheme="minorEastAsia"/>
                <w:b/>
                <w:bCs/>
                <w:color w:val="auto"/>
                <w:sz w:val="24"/>
              </w:rPr>
            </w:pPr>
          </w:p>
        </w:tc>
        <w:tc>
          <w:tcPr>
            <w:tcW w:w="1803" w:type="dxa"/>
            <w:tcBorders>
              <w:top w:val="nil"/>
              <w:left w:val="nil"/>
              <w:bottom w:val="single" w:color="auto" w:sz="4" w:space="0"/>
              <w:right w:val="single" w:color="auto" w:sz="4" w:space="0"/>
            </w:tcBorders>
            <w:noWrap/>
            <w:vAlign w:val="center"/>
          </w:tcPr>
          <w:p w14:paraId="29EC5601">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营业收入（Y）</w:t>
            </w:r>
          </w:p>
        </w:tc>
        <w:tc>
          <w:tcPr>
            <w:tcW w:w="1323" w:type="dxa"/>
            <w:tcBorders>
              <w:top w:val="nil"/>
              <w:left w:val="nil"/>
              <w:bottom w:val="single" w:color="auto" w:sz="4" w:space="0"/>
              <w:right w:val="single" w:color="auto" w:sz="4" w:space="0"/>
            </w:tcBorders>
            <w:noWrap/>
            <w:vAlign w:val="center"/>
          </w:tcPr>
          <w:p w14:paraId="2A79754B">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万元</w:t>
            </w:r>
          </w:p>
        </w:tc>
        <w:tc>
          <w:tcPr>
            <w:tcW w:w="1903" w:type="dxa"/>
            <w:tcBorders>
              <w:top w:val="nil"/>
              <w:left w:val="nil"/>
              <w:bottom w:val="single" w:color="auto" w:sz="4" w:space="0"/>
              <w:right w:val="single" w:color="auto" w:sz="4" w:space="0"/>
            </w:tcBorders>
            <w:noWrap/>
            <w:vAlign w:val="center"/>
          </w:tcPr>
          <w:p w14:paraId="65D460E8">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3000≤Y＜30000</w:t>
            </w:r>
          </w:p>
        </w:tc>
        <w:tc>
          <w:tcPr>
            <w:tcW w:w="1692" w:type="dxa"/>
            <w:tcBorders>
              <w:top w:val="nil"/>
              <w:left w:val="nil"/>
              <w:bottom w:val="single" w:color="auto" w:sz="4" w:space="0"/>
              <w:right w:val="single" w:color="auto" w:sz="4" w:space="0"/>
            </w:tcBorders>
            <w:noWrap/>
            <w:vAlign w:val="center"/>
          </w:tcPr>
          <w:p w14:paraId="143BB79E">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200≤Y＜3000</w:t>
            </w:r>
          </w:p>
        </w:tc>
        <w:tc>
          <w:tcPr>
            <w:tcW w:w="1087" w:type="dxa"/>
            <w:tcBorders>
              <w:top w:val="nil"/>
              <w:left w:val="nil"/>
              <w:bottom w:val="single" w:color="auto" w:sz="4" w:space="0"/>
              <w:right w:val="single" w:color="auto" w:sz="4" w:space="0"/>
            </w:tcBorders>
            <w:noWrap/>
            <w:vAlign w:val="center"/>
          </w:tcPr>
          <w:p w14:paraId="4A40C2B0">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Y＜200</w:t>
            </w:r>
          </w:p>
        </w:tc>
      </w:tr>
      <w:tr w14:paraId="18C9526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5C48CCA9">
            <w:pPr>
              <w:contextualSpacing/>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仓储业</w:t>
            </w:r>
          </w:p>
        </w:tc>
        <w:tc>
          <w:tcPr>
            <w:tcW w:w="1803" w:type="dxa"/>
            <w:tcBorders>
              <w:top w:val="nil"/>
              <w:left w:val="nil"/>
              <w:bottom w:val="single" w:color="auto" w:sz="4" w:space="0"/>
              <w:right w:val="single" w:color="auto" w:sz="4" w:space="0"/>
            </w:tcBorders>
            <w:noWrap/>
            <w:vAlign w:val="center"/>
          </w:tcPr>
          <w:p w14:paraId="1A968C88">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从业人员（X）</w:t>
            </w:r>
          </w:p>
        </w:tc>
        <w:tc>
          <w:tcPr>
            <w:tcW w:w="1323" w:type="dxa"/>
            <w:tcBorders>
              <w:top w:val="nil"/>
              <w:left w:val="nil"/>
              <w:bottom w:val="single" w:color="auto" w:sz="4" w:space="0"/>
              <w:right w:val="single" w:color="auto" w:sz="4" w:space="0"/>
            </w:tcBorders>
            <w:noWrap/>
            <w:vAlign w:val="center"/>
          </w:tcPr>
          <w:p w14:paraId="3D8EDEA7">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w:t>
            </w:r>
          </w:p>
        </w:tc>
        <w:tc>
          <w:tcPr>
            <w:tcW w:w="1903" w:type="dxa"/>
            <w:tcBorders>
              <w:top w:val="nil"/>
              <w:left w:val="nil"/>
              <w:bottom w:val="single" w:color="auto" w:sz="4" w:space="0"/>
              <w:right w:val="single" w:color="auto" w:sz="4" w:space="0"/>
            </w:tcBorders>
            <w:noWrap/>
            <w:vAlign w:val="center"/>
          </w:tcPr>
          <w:p w14:paraId="691F219E">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100≤X＜200</w:t>
            </w:r>
          </w:p>
        </w:tc>
        <w:tc>
          <w:tcPr>
            <w:tcW w:w="1692" w:type="dxa"/>
            <w:tcBorders>
              <w:top w:val="nil"/>
              <w:left w:val="nil"/>
              <w:bottom w:val="single" w:color="auto" w:sz="4" w:space="0"/>
              <w:right w:val="single" w:color="auto" w:sz="4" w:space="0"/>
            </w:tcBorders>
            <w:noWrap/>
            <w:vAlign w:val="center"/>
          </w:tcPr>
          <w:p w14:paraId="030381B8">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20≤X＜100</w:t>
            </w:r>
          </w:p>
        </w:tc>
        <w:tc>
          <w:tcPr>
            <w:tcW w:w="1087" w:type="dxa"/>
            <w:tcBorders>
              <w:top w:val="nil"/>
              <w:left w:val="nil"/>
              <w:bottom w:val="single" w:color="auto" w:sz="4" w:space="0"/>
              <w:right w:val="single" w:color="auto" w:sz="4" w:space="0"/>
            </w:tcBorders>
            <w:noWrap/>
            <w:vAlign w:val="center"/>
          </w:tcPr>
          <w:p w14:paraId="307A2702">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X＜20</w:t>
            </w:r>
          </w:p>
        </w:tc>
      </w:tr>
      <w:tr w14:paraId="75E65AF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5BD0AF49">
            <w:pPr>
              <w:contextualSpacing/>
              <w:jc w:val="center"/>
              <w:rPr>
                <w:rFonts w:hint="eastAsia" w:asciiTheme="minorEastAsia" w:hAnsiTheme="minorEastAsia" w:eastAsiaTheme="minorEastAsia" w:cstheme="minorEastAsia"/>
                <w:b/>
                <w:bCs/>
                <w:color w:val="auto"/>
                <w:sz w:val="24"/>
              </w:rPr>
            </w:pPr>
          </w:p>
        </w:tc>
        <w:tc>
          <w:tcPr>
            <w:tcW w:w="1803" w:type="dxa"/>
            <w:tcBorders>
              <w:top w:val="nil"/>
              <w:left w:val="nil"/>
              <w:bottom w:val="single" w:color="auto" w:sz="4" w:space="0"/>
              <w:right w:val="single" w:color="auto" w:sz="4" w:space="0"/>
            </w:tcBorders>
            <w:noWrap/>
            <w:vAlign w:val="center"/>
          </w:tcPr>
          <w:p w14:paraId="0BEAF4DC">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营业收入（Y）</w:t>
            </w:r>
          </w:p>
        </w:tc>
        <w:tc>
          <w:tcPr>
            <w:tcW w:w="1323" w:type="dxa"/>
            <w:tcBorders>
              <w:top w:val="nil"/>
              <w:left w:val="nil"/>
              <w:bottom w:val="single" w:color="auto" w:sz="4" w:space="0"/>
              <w:right w:val="single" w:color="auto" w:sz="4" w:space="0"/>
            </w:tcBorders>
            <w:noWrap/>
            <w:vAlign w:val="center"/>
          </w:tcPr>
          <w:p w14:paraId="36B85129">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万元</w:t>
            </w:r>
          </w:p>
        </w:tc>
        <w:tc>
          <w:tcPr>
            <w:tcW w:w="1903" w:type="dxa"/>
            <w:tcBorders>
              <w:top w:val="nil"/>
              <w:left w:val="nil"/>
              <w:bottom w:val="single" w:color="auto" w:sz="4" w:space="0"/>
              <w:right w:val="single" w:color="auto" w:sz="4" w:space="0"/>
            </w:tcBorders>
            <w:noWrap/>
            <w:vAlign w:val="center"/>
          </w:tcPr>
          <w:p w14:paraId="53C88DC5">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1000≤Y＜30000</w:t>
            </w:r>
          </w:p>
        </w:tc>
        <w:tc>
          <w:tcPr>
            <w:tcW w:w="1692" w:type="dxa"/>
            <w:tcBorders>
              <w:top w:val="nil"/>
              <w:left w:val="nil"/>
              <w:bottom w:val="single" w:color="auto" w:sz="4" w:space="0"/>
              <w:right w:val="single" w:color="auto" w:sz="4" w:space="0"/>
            </w:tcBorders>
            <w:noWrap/>
            <w:vAlign w:val="center"/>
          </w:tcPr>
          <w:p w14:paraId="08891CEA">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100≤Y＜1000</w:t>
            </w:r>
          </w:p>
        </w:tc>
        <w:tc>
          <w:tcPr>
            <w:tcW w:w="1087" w:type="dxa"/>
            <w:tcBorders>
              <w:top w:val="nil"/>
              <w:left w:val="nil"/>
              <w:bottom w:val="single" w:color="auto" w:sz="4" w:space="0"/>
              <w:right w:val="single" w:color="auto" w:sz="4" w:space="0"/>
            </w:tcBorders>
            <w:noWrap/>
            <w:vAlign w:val="center"/>
          </w:tcPr>
          <w:p w14:paraId="2EAD71CE">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Y＜100</w:t>
            </w:r>
          </w:p>
        </w:tc>
      </w:tr>
      <w:tr w14:paraId="5CE9C73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1FC356E4">
            <w:pPr>
              <w:contextualSpacing/>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邮政业</w:t>
            </w:r>
          </w:p>
        </w:tc>
        <w:tc>
          <w:tcPr>
            <w:tcW w:w="1803" w:type="dxa"/>
            <w:tcBorders>
              <w:top w:val="nil"/>
              <w:left w:val="nil"/>
              <w:bottom w:val="single" w:color="auto" w:sz="4" w:space="0"/>
              <w:right w:val="single" w:color="auto" w:sz="4" w:space="0"/>
            </w:tcBorders>
            <w:noWrap/>
            <w:vAlign w:val="center"/>
          </w:tcPr>
          <w:p w14:paraId="07C47363">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从业人员（X）</w:t>
            </w:r>
          </w:p>
        </w:tc>
        <w:tc>
          <w:tcPr>
            <w:tcW w:w="1323" w:type="dxa"/>
            <w:tcBorders>
              <w:top w:val="nil"/>
              <w:left w:val="nil"/>
              <w:bottom w:val="single" w:color="auto" w:sz="4" w:space="0"/>
              <w:right w:val="single" w:color="auto" w:sz="4" w:space="0"/>
            </w:tcBorders>
            <w:noWrap/>
            <w:vAlign w:val="center"/>
          </w:tcPr>
          <w:p w14:paraId="57E49D3C">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w:t>
            </w:r>
          </w:p>
        </w:tc>
        <w:tc>
          <w:tcPr>
            <w:tcW w:w="1903" w:type="dxa"/>
            <w:tcBorders>
              <w:top w:val="nil"/>
              <w:left w:val="nil"/>
              <w:bottom w:val="single" w:color="auto" w:sz="4" w:space="0"/>
              <w:right w:val="single" w:color="auto" w:sz="4" w:space="0"/>
            </w:tcBorders>
            <w:noWrap/>
            <w:vAlign w:val="center"/>
          </w:tcPr>
          <w:p w14:paraId="2AB9408B">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300≤X＜1000</w:t>
            </w:r>
          </w:p>
        </w:tc>
        <w:tc>
          <w:tcPr>
            <w:tcW w:w="1692" w:type="dxa"/>
            <w:tcBorders>
              <w:top w:val="nil"/>
              <w:left w:val="nil"/>
              <w:bottom w:val="single" w:color="auto" w:sz="4" w:space="0"/>
              <w:right w:val="single" w:color="auto" w:sz="4" w:space="0"/>
            </w:tcBorders>
            <w:noWrap/>
            <w:vAlign w:val="center"/>
          </w:tcPr>
          <w:p w14:paraId="7DF79A75">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20≤X＜300</w:t>
            </w:r>
          </w:p>
        </w:tc>
        <w:tc>
          <w:tcPr>
            <w:tcW w:w="1087" w:type="dxa"/>
            <w:tcBorders>
              <w:top w:val="nil"/>
              <w:left w:val="nil"/>
              <w:bottom w:val="single" w:color="auto" w:sz="4" w:space="0"/>
              <w:right w:val="single" w:color="auto" w:sz="4" w:space="0"/>
            </w:tcBorders>
            <w:noWrap/>
            <w:vAlign w:val="center"/>
          </w:tcPr>
          <w:p w14:paraId="46B13B8F">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X＜20</w:t>
            </w:r>
          </w:p>
        </w:tc>
      </w:tr>
      <w:tr w14:paraId="5F01C82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792B7F50">
            <w:pPr>
              <w:contextualSpacing/>
              <w:jc w:val="center"/>
              <w:rPr>
                <w:rFonts w:hint="eastAsia" w:asciiTheme="minorEastAsia" w:hAnsiTheme="minorEastAsia" w:eastAsiaTheme="minorEastAsia" w:cstheme="minorEastAsia"/>
                <w:b/>
                <w:bCs/>
                <w:color w:val="auto"/>
                <w:sz w:val="24"/>
              </w:rPr>
            </w:pPr>
          </w:p>
        </w:tc>
        <w:tc>
          <w:tcPr>
            <w:tcW w:w="1803" w:type="dxa"/>
            <w:tcBorders>
              <w:top w:val="nil"/>
              <w:left w:val="nil"/>
              <w:bottom w:val="single" w:color="auto" w:sz="4" w:space="0"/>
              <w:right w:val="single" w:color="auto" w:sz="4" w:space="0"/>
            </w:tcBorders>
            <w:noWrap/>
            <w:vAlign w:val="center"/>
          </w:tcPr>
          <w:p w14:paraId="05995F71">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营业收入（Y）</w:t>
            </w:r>
          </w:p>
        </w:tc>
        <w:tc>
          <w:tcPr>
            <w:tcW w:w="1323" w:type="dxa"/>
            <w:tcBorders>
              <w:top w:val="nil"/>
              <w:left w:val="nil"/>
              <w:bottom w:val="single" w:color="auto" w:sz="4" w:space="0"/>
              <w:right w:val="single" w:color="auto" w:sz="4" w:space="0"/>
            </w:tcBorders>
            <w:noWrap/>
            <w:vAlign w:val="center"/>
          </w:tcPr>
          <w:p w14:paraId="660B73C2">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万元</w:t>
            </w:r>
          </w:p>
        </w:tc>
        <w:tc>
          <w:tcPr>
            <w:tcW w:w="1903" w:type="dxa"/>
            <w:tcBorders>
              <w:top w:val="nil"/>
              <w:left w:val="nil"/>
              <w:bottom w:val="single" w:color="auto" w:sz="4" w:space="0"/>
              <w:right w:val="single" w:color="auto" w:sz="4" w:space="0"/>
            </w:tcBorders>
            <w:noWrap/>
            <w:vAlign w:val="center"/>
          </w:tcPr>
          <w:p w14:paraId="4F93CDD9">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2000≤Y＜30000</w:t>
            </w:r>
          </w:p>
        </w:tc>
        <w:tc>
          <w:tcPr>
            <w:tcW w:w="1692" w:type="dxa"/>
            <w:tcBorders>
              <w:top w:val="nil"/>
              <w:left w:val="nil"/>
              <w:bottom w:val="single" w:color="auto" w:sz="4" w:space="0"/>
              <w:right w:val="single" w:color="auto" w:sz="4" w:space="0"/>
            </w:tcBorders>
            <w:noWrap/>
            <w:vAlign w:val="center"/>
          </w:tcPr>
          <w:p w14:paraId="1AB36B12">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100≤Y＜2000</w:t>
            </w:r>
          </w:p>
        </w:tc>
        <w:tc>
          <w:tcPr>
            <w:tcW w:w="1087" w:type="dxa"/>
            <w:tcBorders>
              <w:top w:val="nil"/>
              <w:left w:val="nil"/>
              <w:bottom w:val="single" w:color="auto" w:sz="4" w:space="0"/>
              <w:right w:val="single" w:color="auto" w:sz="4" w:space="0"/>
            </w:tcBorders>
            <w:noWrap/>
            <w:vAlign w:val="center"/>
          </w:tcPr>
          <w:p w14:paraId="0CDDC071">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Y＜100</w:t>
            </w:r>
          </w:p>
        </w:tc>
      </w:tr>
      <w:tr w14:paraId="76E0B69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0B97C194">
            <w:pPr>
              <w:contextualSpacing/>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住宿业</w:t>
            </w:r>
          </w:p>
        </w:tc>
        <w:tc>
          <w:tcPr>
            <w:tcW w:w="1803" w:type="dxa"/>
            <w:tcBorders>
              <w:top w:val="nil"/>
              <w:left w:val="nil"/>
              <w:bottom w:val="single" w:color="auto" w:sz="4" w:space="0"/>
              <w:right w:val="single" w:color="auto" w:sz="4" w:space="0"/>
            </w:tcBorders>
            <w:noWrap/>
            <w:vAlign w:val="center"/>
          </w:tcPr>
          <w:p w14:paraId="3DD72191">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从业人员（X）</w:t>
            </w:r>
          </w:p>
        </w:tc>
        <w:tc>
          <w:tcPr>
            <w:tcW w:w="1323" w:type="dxa"/>
            <w:tcBorders>
              <w:top w:val="nil"/>
              <w:left w:val="nil"/>
              <w:bottom w:val="single" w:color="auto" w:sz="4" w:space="0"/>
              <w:right w:val="single" w:color="auto" w:sz="4" w:space="0"/>
            </w:tcBorders>
            <w:noWrap/>
            <w:vAlign w:val="center"/>
          </w:tcPr>
          <w:p w14:paraId="0D9BE6EA">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w:t>
            </w:r>
          </w:p>
        </w:tc>
        <w:tc>
          <w:tcPr>
            <w:tcW w:w="1903" w:type="dxa"/>
            <w:tcBorders>
              <w:top w:val="nil"/>
              <w:left w:val="nil"/>
              <w:bottom w:val="single" w:color="auto" w:sz="4" w:space="0"/>
              <w:right w:val="single" w:color="auto" w:sz="4" w:space="0"/>
            </w:tcBorders>
            <w:noWrap/>
            <w:vAlign w:val="center"/>
          </w:tcPr>
          <w:p w14:paraId="5700341E">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100≤X＜300</w:t>
            </w:r>
          </w:p>
        </w:tc>
        <w:tc>
          <w:tcPr>
            <w:tcW w:w="1692" w:type="dxa"/>
            <w:tcBorders>
              <w:top w:val="nil"/>
              <w:left w:val="nil"/>
              <w:bottom w:val="single" w:color="auto" w:sz="4" w:space="0"/>
              <w:right w:val="single" w:color="auto" w:sz="4" w:space="0"/>
            </w:tcBorders>
            <w:noWrap/>
            <w:vAlign w:val="center"/>
          </w:tcPr>
          <w:p w14:paraId="3A3291CF">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10≤X＜100</w:t>
            </w:r>
          </w:p>
        </w:tc>
        <w:tc>
          <w:tcPr>
            <w:tcW w:w="1087" w:type="dxa"/>
            <w:tcBorders>
              <w:top w:val="nil"/>
              <w:left w:val="nil"/>
              <w:bottom w:val="single" w:color="auto" w:sz="4" w:space="0"/>
              <w:right w:val="single" w:color="auto" w:sz="4" w:space="0"/>
            </w:tcBorders>
            <w:noWrap/>
            <w:vAlign w:val="center"/>
          </w:tcPr>
          <w:p w14:paraId="0792877F">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X＜10</w:t>
            </w:r>
          </w:p>
        </w:tc>
      </w:tr>
      <w:tr w14:paraId="35A8FD6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6EFC2C81">
            <w:pPr>
              <w:contextualSpacing/>
              <w:jc w:val="center"/>
              <w:rPr>
                <w:rFonts w:hint="eastAsia" w:asciiTheme="minorEastAsia" w:hAnsiTheme="minorEastAsia" w:eastAsiaTheme="minorEastAsia" w:cstheme="minorEastAsia"/>
                <w:b/>
                <w:bCs/>
                <w:color w:val="auto"/>
                <w:sz w:val="24"/>
              </w:rPr>
            </w:pPr>
          </w:p>
        </w:tc>
        <w:tc>
          <w:tcPr>
            <w:tcW w:w="1803" w:type="dxa"/>
            <w:tcBorders>
              <w:top w:val="nil"/>
              <w:left w:val="nil"/>
              <w:bottom w:val="single" w:color="auto" w:sz="4" w:space="0"/>
              <w:right w:val="single" w:color="auto" w:sz="4" w:space="0"/>
            </w:tcBorders>
            <w:noWrap/>
            <w:vAlign w:val="center"/>
          </w:tcPr>
          <w:p w14:paraId="1D3C06D0">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营业收入（Y）</w:t>
            </w:r>
          </w:p>
        </w:tc>
        <w:tc>
          <w:tcPr>
            <w:tcW w:w="1323" w:type="dxa"/>
            <w:tcBorders>
              <w:top w:val="nil"/>
              <w:left w:val="nil"/>
              <w:bottom w:val="single" w:color="auto" w:sz="4" w:space="0"/>
              <w:right w:val="single" w:color="auto" w:sz="4" w:space="0"/>
            </w:tcBorders>
            <w:noWrap/>
            <w:vAlign w:val="center"/>
          </w:tcPr>
          <w:p w14:paraId="23BFABFB">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万元</w:t>
            </w:r>
          </w:p>
        </w:tc>
        <w:tc>
          <w:tcPr>
            <w:tcW w:w="1903" w:type="dxa"/>
            <w:tcBorders>
              <w:top w:val="nil"/>
              <w:left w:val="nil"/>
              <w:bottom w:val="single" w:color="auto" w:sz="4" w:space="0"/>
              <w:right w:val="single" w:color="auto" w:sz="4" w:space="0"/>
            </w:tcBorders>
            <w:noWrap/>
            <w:vAlign w:val="center"/>
          </w:tcPr>
          <w:p w14:paraId="4CF9F7AF">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2000≤Y＜10000</w:t>
            </w:r>
          </w:p>
        </w:tc>
        <w:tc>
          <w:tcPr>
            <w:tcW w:w="1692" w:type="dxa"/>
            <w:tcBorders>
              <w:top w:val="nil"/>
              <w:left w:val="nil"/>
              <w:bottom w:val="single" w:color="auto" w:sz="4" w:space="0"/>
              <w:right w:val="single" w:color="auto" w:sz="4" w:space="0"/>
            </w:tcBorders>
            <w:noWrap/>
            <w:vAlign w:val="center"/>
          </w:tcPr>
          <w:p w14:paraId="7A045799">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100≤Y＜2000</w:t>
            </w:r>
          </w:p>
        </w:tc>
        <w:tc>
          <w:tcPr>
            <w:tcW w:w="1087" w:type="dxa"/>
            <w:tcBorders>
              <w:top w:val="nil"/>
              <w:left w:val="nil"/>
              <w:bottom w:val="single" w:color="auto" w:sz="4" w:space="0"/>
              <w:right w:val="single" w:color="auto" w:sz="4" w:space="0"/>
            </w:tcBorders>
            <w:noWrap/>
            <w:vAlign w:val="center"/>
          </w:tcPr>
          <w:p w14:paraId="4BBF7A49">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Y＜100</w:t>
            </w:r>
          </w:p>
        </w:tc>
      </w:tr>
      <w:tr w14:paraId="4D4686B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6932AFF3">
            <w:pPr>
              <w:contextualSpacing/>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餐饮业</w:t>
            </w:r>
          </w:p>
        </w:tc>
        <w:tc>
          <w:tcPr>
            <w:tcW w:w="1803" w:type="dxa"/>
            <w:tcBorders>
              <w:top w:val="nil"/>
              <w:left w:val="nil"/>
              <w:bottom w:val="single" w:color="auto" w:sz="4" w:space="0"/>
              <w:right w:val="single" w:color="auto" w:sz="4" w:space="0"/>
            </w:tcBorders>
            <w:noWrap/>
            <w:vAlign w:val="center"/>
          </w:tcPr>
          <w:p w14:paraId="01BBA701">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从业人员（X）</w:t>
            </w:r>
          </w:p>
        </w:tc>
        <w:tc>
          <w:tcPr>
            <w:tcW w:w="1323" w:type="dxa"/>
            <w:tcBorders>
              <w:top w:val="nil"/>
              <w:left w:val="nil"/>
              <w:bottom w:val="single" w:color="auto" w:sz="4" w:space="0"/>
              <w:right w:val="single" w:color="auto" w:sz="4" w:space="0"/>
            </w:tcBorders>
            <w:noWrap/>
            <w:vAlign w:val="center"/>
          </w:tcPr>
          <w:p w14:paraId="71615C68">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w:t>
            </w:r>
          </w:p>
        </w:tc>
        <w:tc>
          <w:tcPr>
            <w:tcW w:w="1903" w:type="dxa"/>
            <w:tcBorders>
              <w:top w:val="nil"/>
              <w:left w:val="nil"/>
              <w:bottom w:val="single" w:color="auto" w:sz="4" w:space="0"/>
              <w:right w:val="single" w:color="auto" w:sz="4" w:space="0"/>
            </w:tcBorders>
            <w:noWrap/>
            <w:vAlign w:val="center"/>
          </w:tcPr>
          <w:p w14:paraId="112FFA0F">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100≤X＜300</w:t>
            </w:r>
          </w:p>
        </w:tc>
        <w:tc>
          <w:tcPr>
            <w:tcW w:w="1692" w:type="dxa"/>
            <w:tcBorders>
              <w:top w:val="nil"/>
              <w:left w:val="nil"/>
              <w:bottom w:val="single" w:color="auto" w:sz="4" w:space="0"/>
              <w:right w:val="single" w:color="auto" w:sz="4" w:space="0"/>
            </w:tcBorders>
            <w:noWrap/>
            <w:vAlign w:val="center"/>
          </w:tcPr>
          <w:p w14:paraId="756CE675">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10≤X＜100</w:t>
            </w:r>
          </w:p>
        </w:tc>
        <w:tc>
          <w:tcPr>
            <w:tcW w:w="1087" w:type="dxa"/>
            <w:tcBorders>
              <w:top w:val="nil"/>
              <w:left w:val="nil"/>
              <w:bottom w:val="single" w:color="auto" w:sz="4" w:space="0"/>
              <w:right w:val="single" w:color="auto" w:sz="4" w:space="0"/>
            </w:tcBorders>
            <w:noWrap/>
            <w:vAlign w:val="center"/>
          </w:tcPr>
          <w:p w14:paraId="7BEF5417">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X＜10</w:t>
            </w:r>
          </w:p>
        </w:tc>
      </w:tr>
      <w:tr w14:paraId="61F6312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3AA2C905">
            <w:pPr>
              <w:contextualSpacing/>
              <w:jc w:val="center"/>
              <w:rPr>
                <w:rFonts w:hint="eastAsia" w:asciiTheme="minorEastAsia" w:hAnsiTheme="minorEastAsia" w:eastAsiaTheme="minorEastAsia" w:cstheme="minorEastAsia"/>
                <w:b/>
                <w:bCs/>
                <w:color w:val="auto"/>
                <w:sz w:val="24"/>
              </w:rPr>
            </w:pPr>
          </w:p>
        </w:tc>
        <w:tc>
          <w:tcPr>
            <w:tcW w:w="1803" w:type="dxa"/>
            <w:tcBorders>
              <w:top w:val="nil"/>
              <w:left w:val="nil"/>
              <w:bottom w:val="single" w:color="auto" w:sz="4" w:space="0"/>
              <w:right w:val="single" w:color="auto" w:sz="4" w:space="0"/>
            </w:tcBorders>
            <w:noWrap/>
            <w:vAlign w:val="center"/>
          </w:tcPr>
          <w:p w14:paraId="7368B349">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营业收入（Y）</w:t>
            </w:r>
          </w:p>
        </w:tc>
        <w:tc>
          <w:tcPr>
            <w:tcW w:w="1323" w:type="dxa"/>
            <w:tcBorders>
              <w:top w:val="nil"/>
              <w:left w:val="nil"/>
              <w:bottom w:val="single" w:color="auto" w:sz="4" w:space="0"/>
              <w:right w:val="single" w:color="auto" w:sz="4" w:space="0"/>
            </w:tcBorders>
            <w:noWrap/>
            <w:vAlign w:val="center"/>
          </w:tcPr>
          <w:p w14:paraId="65A9D613">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万元</w:t>
            </w:r>
          </w:p>
        </w:tc>
        <w:tc>
          <w:tcPr>
            <w:tcW w:w="1903" w:type="dxa"/>
            <w:tcBorders>
              <w:top w:val="nil"/>
              <w:left w:val="nil"/>
              <w:bottom w:val="single" w:color="auto" w:sz="4" w:space="0"/>
              <w:right w:val="single" w:color="auto" w:sz="4" w:space="0"/>
            </w:tcBorders>
            <w:noWrap/>
            <w:vAlign w:val="center"/>
          </w:tcPr>
          <w:p w14:paraId="3CBD6343">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2000≤Y＜10000</w:t>
            </w:r>
          </w:p>
        </w:tc>
        <w:tc>
          <w:tcPr>
            <w:tcW w:w="1692" w:type="dxa"/>
            <w:tcBorders>
              <w:top w:val="nil"/>
              <w:left w:val="nil"/>
              <w:bottom w:val="single" w:color="auto" w:sz="4" w:space="0"/>
              <w:right w:val="single" w:color="auto" w:sz="4" w:space="0"/>
            </w:tcBorders>
            <w:noWrap/>
            <w:vAlign w:val="center"/>
          </w:tcPr>
          <w:p w14:paraId="18342B5A">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100≤Y＜2000</w:t>
            </w:r>
          </w:p>
        </w:tc>
        <w:tc>
          <w:tcPr>
            <w:tcW w:w="1087" w:type="dxa"/>
            <w:tcBorders>
              <w:top w:val="nil"/>
              <w:left w:val="nil"/>
              <w:bottom w:val="single" w:color="auto" w:sz="4" w:space="0"/>
              <w:right w:val="single" w:color="auto" w:sz="4" w:space="0"/>
            </w:tcBorders>
            <w:noWrap/>
            <w:vAlign w:val="center"/>
          </w:tcPr>
          <w:p w14:paraId="03B98D21">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Y＜100</w:t>
            </w:r>
          </w:p>
        </w:tc>
      </w:tr>
      <w:tr w14:paraId="7745035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59F76FCA">
            <w:pPr>
              <w:contextualSpacing/>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信息传输业</w:t>
            </w:r>
          </w:p>
        </w:tc>
        <w:tc>
          <w:tcPr>
            <w:tcW w:w="1803" w:type="dxa"/>
            <w:tcBorders>
              <w:top w:val="nil"/>
              <w:left w:val="nil"/>
              <w:bottom w:val="single" w:color="auto" w:sz="4" w:space="0"/>
              <w:right w:val="single" w:color="auto" w:sz="4" w:space="0"/>
            </w:tcBorders>
            <w:noWrap/>
            <w:vAlign w:val="center"/>
          </w:tcPr>
          <w:p w14:paraId="0A771C18">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从业人员（X）</w:t>
            </w:r>
          </w:p>
        </w:tc>
        <w:tc>
          <w:tcPr>
            <w:tcW w:w="1323" w:type="dxa"/>
            <w:tcBorders>
              <w:top w:val="nil"/>
              <w:left w:val="nil"/>
              <w:bottom w:val="single" w:color="auto" w:sz="4" w:space="0"/>
              <w:right w:val="single" w:color="auto" w:sz="4" w:space="0"/>
            </w:tcBorders>
            <w:noWrap/>
            <w:vAlign w:val="center"/>
          </w:tcPr>
          <w:p w14:paraId="6A88D37A">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w:t>
            </w:r>
          </w:p>
        </w:tc>
        <w:tc>
          <w:tcPr>
            <w:tcW w:w="1903" w:type="dxa"/>
            <w:tcBorders>
              <w:top w:val="nil"/>
              <w:left w:val="nil"/>
              <w:bottom w:val="single" w:color="auto" w:sz="4" w:space="0"/>
              <w:right w:val="single" w:color="auto" w:sz="4" w:space="0"/>
            </w:tcBorders>
            <w:noWrap/>
            <w:vAlign w:val="center"/>
          </w:tcPr>
          <w:p w14:paraId="4AFB2C96">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100≤X＜2000</w:t>
            </w:r>
          </w:p>
        </w:tc>
        <w:tc>
          <w:tcPr>
            <w:tcW w:w="1692" w:type="dxa"/>
            <w:tcBorders>
              <w:top w:val="nil"/>
              <w:left w:val="nil"/>
              <w:bottom w:val="single" w:color="auto" w:sz="4" w:space="0"/>
              <w:right w:val="single" w:color="auto" w:sz="4" w:space="0"/>
            </w:tcBorders>
            <w:noWrap/>
            <w:vAlign w:val="center"/>
          </w:tcPr>
          <w:p w14:paraId="6C8F67D5">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10≤X＜100</w:t>
            </w:r>
          </w:p>
        </w:tc>
        <w:tc>
          <w:tcPr>
            <w:tcW w:w="1087" w:type="dxa"/>
            <w:tcBorders>
              <w:top w:val="nil"/>
              <w:left w:val="nil"/>
              <w:bottom w:val="single" w:color="auto" w:sz="4" w:space="0"/>
              <w:right w:val="single" w:color="auto" w:sz="4" w:space="0"/>
            </w:tcBorders>
            <w:noWrap/>
            <w:vAlign w:val="center"/>
          </w:tcPr>
          <w:p w14:paraId="0169A560">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X＜10</w:t>
            </w:r>
          </w:p>
        </w:tc>
      </w:tr>
      <w:tr w14:paraId="17A2EC0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08E8605E">
            <w:pPr>
              <w:contextualSpacing/>
              <w:jc w:val="center"/>
              <w:rPr>
                <w:rFonts w:hint="eastAsia" w:asciiTheme="minorEastAsia" w:hAnsiTheme="minorEastAsia" w:eastAsiaTheme="minorEastAsia" w:cstheme="minorEastAsia"/>
                <w:b/>
                <w:bCs/>
                <w:color w:val="auto"/>
                <w:sz w:val="24"/>
              </w:rPr>
            </w:pPr>
          </w:p>
        </w:tc>
        <w:tc>
          <w:tcPr>
            <w:tcW w:w="1803" w:type="dxa"/>
            <w:tcBorders>
              <w:top w:val="nil"/>
              <w:left w:val="nil"/>
              <w:bottom w:val="single" w:color="auto" w:sz="4" w:space="0"/>
              <w:right w:val="single" w:color="auto" w:sz="4" w:space="0"/>
            </w:tcBorders>
            <w:noWrap/>
            <w:vAlign w:val="center"/>
          </w:tcPr>
          <w:p w14:paraId="768FD6D9">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营业收入（Y）</w:t>
            </w:r>
          </w:p>
        </w:tc>
        <w:tc>
          <w:tcPr>
            <w:tcW w:w="1323" w:type="dxa"/>
            <w:tcBorders>
              <w:top w:val="nil"/>
              <w:left w:val="nil"/>
              <w:bottom w:val="single" w:color="auto" w:sz="4" w:space="0"/>
              <w:right w:val="single" w:color="auto" w:sz="4" w:space="0"/>
            </w:tcBorders>
            <w:noWrap/>
            <w:vAlign w:val="center"/>
          </w:tcPr>
          <w:p w14:paraId="59326E9E">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万元</w:t>
            </w:r>
          </w:p>
        </w:tc>
        <w:tc>
          <w:tcPr>
            <w:tcW w:w="1903" w:type="dxa"/>
            <w:tcBorders>
              <w:top w:val="nil"/>
              <w:left w:val="nil"/>
              <w:bottom w:val="single" w:color="auto" w:sz="4" w:space="0"/>
              <w:right w:val="single" w:color="auto" w:sz="4" w:space="0"/>
            </w:tcBorders>
            <w:noWrap/>
            <w:vAlign w:val="center"/>
          </w:tcPr>
          <w:p w14:paraId="0D76F554">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1000≤Y＜100000</w:t>
            </w:r>
          </w:p>
        </w:tc>
        <w:tc>
          <w:tcPr>
            <w:tcW w:w="1692" w:type="dxa"/>
            <w:tcBorders>
              <w:top w:val="nil"/>
              <w:left w:val="nil"/>
              <w:bottom w:val="single" w:color="auto" w:sz="4" w:space="0"/>
              <w:right w:val="single" w:color="auto" w:sz="4" w:space="0"/>
            </w:tcBorders>
            <w:noWrap/>
            <w:vAlign w:val="center"/>
          </w:tcPr>
          <w:p w14:paraId="082F1809">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100≤Y＜1000</w:t>
            </w:r>
          </w:p>
        </w:tc>
        <w:tc>
          <w:tcPr>
            <w:tcW w:w="1087" w:type="dxa"/>
            <w:tcBorders>
              <w:top w:val="nil"/>
              <w:left w:val="nil"/>
              <w:bottom w:val="single" w:color="auto" w:sz="4" w:space="0"/>
              <w:right w:val="single" w:color="auto" w:sz="4" w:space="0"/>
            </w:tcBorders>
            <w:noWrap/>
            <w:vAlign w:val="center"/>
          </w:tcPr>
          <w:p w14:paraId="239B7D35">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Y＜100</w:t>
            </w:r>
          </w:p>
        </w:tc>
      </w:tr>
      <w:tr w14:paraId="450D664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7A526C0B">
            <w:pPr>
              <w:contextualSpacing/>
              <w:jc w:val="center"/>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b/>
                <w:bCs/>
                <w:color w:val="auto"/>
                <w:sz w:val="24"/>
                <w:lang w:eastAsia="zh-CN"/>
              </w:rPr>
              <w:t>软件和信息技术服务业</w:t>
            </w:r>
          </w:p>
        </w:tc>
        <w:tc>
          <w:tcPr>
            <w:tcW w:w="1803" w:type="dxa"/>
            <w:tcBorders>
              <w:top w:val="nil"/>
              <w:left w:val="nil"/>
              <w:bottom w:val="single" w:color="auto" w:sz="4" w:space="0"/>
              <w:right w:val="single" w:color="auto" w:sz="4" w:space="0"/>
            </w:tcBorders>
            <w:noWrap/>
            <w:vAlign w:val="center"/>
          </w:tcPr>
          <w:p w14:paraId="0E8E7559">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从业人员（X）</w:t>
            </w:r>
          </w:p>
        </w:tc>
        <w:tc>
          <w:tcPr>
            <w:tcW w:w="1323" w:type="dxa"/>
            <w:tcBorders>
              <w:top w:val="nil"/>
              <w:left w:val="nil"/>
              <w:bottom w:val="single" w:color="auto" w:sz="4" w:space="0"/>
              <w:right w:val="single" w:color="auto" w:sz="4" w:space="0"/>
            </w:tcBorders>
            <w:noWrap/>
            <w:vAlign w:val="center"/>
          </w:tcPr>
          <w:p w14:paraId="4398C3C9">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w:t>
            </w:r>
          </w:p>
        </w:tc>
        <w:tc>
          <w:tcPr>
            <w:tcW w:w="1903" w:type="dxa"/>
            <w:tcBorders>
              <w:top w:val="nil"/>
              <w:left w:val="nil"/>
              <w:bottom w:val="single" w:color="auto" w:sz="4" w:space="0"/>
              <w:right w:val="single" w:color="auto" w:sz="4" w:space="0"/>
            </w:tcBorders>
            <w:noWrap/>
            <w:vAlign w:val="center"/>
          </w:tcPr>
          <w:p w14:paraId="1DDD51B7">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100≤X＜300</w:t>
            </w:r>
          </w:p>
        </w:tc>
        <w:tc>
          <w:tcPr>
            <w:tcW w:w="1692" w:type="dxa"/>
            <w:tcBorders>
              <w:top w:val="nil"/>
              <w:left w:val="nil"/>
              <w:bottom w:val="single" w:color="auto" w:sz="4" w:space="0"/>
              <w:right w:val="single" w:color="auto" w:sz="4" w:space="0"/>
            </w:tcBorders>
            <w:noWrap/>
            <w:vAlign w:val="center"/>
          </w:tcPr>
          <w:p w14:paraId="6D92B3A1">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10≤X＜100</w:t>
            </w:r>
          </w:p>
        </w:tc>
        <w:tc>
          <w:tcPr>
            <w:tcW w:w="1087" w:type="dxa"/>
            <w:tcBorders>
              <w:top w:val="nil"/>
              <w:left w:val="nil"/>
              <w:bottom w:val="single" w:color="auto" w:sz="4" w:space="0"/>
              <w:right w:val="single" w:color="auto" w:sz="4" w:space="0"/>
            </w:tcBorders>
            <w:noWrap/>
            <w:vAlign w:val="center"/>
          </w:tcPr>
          <w:p w14:paraId="1660B628">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X＜10</w:t>
            </w:r>
          </w:p>
        </w:tc>
      </w:tr>
      <w:tr w14:paraId="7B06C74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6085D6D5">
            <w:pPr>
              <w:contextualSpacing/>
              <w:jc w:val="center"/>
              <w:rPr>
                <w:rFonts w:hint="eastAsia" w:asciiTheme="minorEastAsia" w:hAnsiTheme="minorEastAsia" w:eastAsiaTheme="minorEastAsia" w:cstheme="minorEastAsia"/>
                <w:b/>
                <w:bCs/>
                <w:color w:val="auto"/>
                <w:sz w:val="24"/>
              </w:rPr>
            </w:pPr>
          </w:p>
        </w:tc>
        <w:tc>
          <w:tcPr>
            <w:tcW w:w="1803" w:type="dxa"/>
            <w:tcBorders>
              <w:top w:val="nil"/>
              <w:left w:val="nil"/>
              <w:bottom w:val="single" w:color="auto" w:sz="4" w:space="0"/>
              <w:right w:val="single" w:color="auto" w:sz="4" w:space="0"/>
            </w:tcBorders>
            <w:noWrap/>
            <w:vAlign w:val="center"/>
          </w:tcPr>
          <w:p w14:paraId="3AA7AD96">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营业收入（Y）</w:t>
            </w:r>
          </w:p>
        </w:tc>
        <w:tc>
          <w:tcPr>
            <w:tcW w:w="1323" w:type="dxa"/>
            <w:tcBorders>
              <w:top w:val="nil"/>
              <w:left w:val="nil"/>
              <w:bottom w:val="single" w:color="auto" w:sz="4" w:space="0"/>
              <w:right w:val="single" w:color="auto" w:sz="4" w:space="0"/>
            </w:tcBorders>
            <w:noWrap/>
            <w:vAlign w:val="center"/>
          </w:tcPr>
          <w:p w14:paraId="4092E435">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万元</w:t>
            </w:r>
          </w:p>
        </w:tc>
        <w:tc>
          <w:tcPr>
            <w:tcW w:w="1903" w:type="dxa"/>
            <w:tcBorders>
              <w:top w:val="nil"/>
              <w:left w:val="nil"/>
              <w:bottom w:val="single" w:color="auto" w:sz="4" w:space="0"/>
              <w:right w:val="single" w:color="auto" w:sz="4" w:space="0"/>
            </w:tcBorders>
            <w:noWrap/>
            <w:vAlign w:val="center"/>
          </w:tcPr>
          <w:p w14:paraId="19227D37">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1000≤Y＜10000</w:t>
            </w:r>
          </w:p>
        </w:tc>
        <w:tc>
          <w:tcPr>
            <w:tcW w:w="1692" w:type="dxa"/>
            <w:tcBorders>
              <w:top w:val="nil"/>
              <w:left w:val="nil"/>
              <w:bottom w:val="single" w:color="auto" w:sz="4" w:space="0"/>
              <w:right w:val="single" w:color="auto" w:sz="4" w:space="0"/>
            </w:tcBorders>
            <w:noWrap/>
            <w:vAlign w:val="center"/>
          </w:tcPr>
          <w:p w14:paraId="7B29132B">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50≤Y＜1000</w:t>
            </w:r>
          </w:p>
        </w:tc>
        <w:tc>
          <w:tcPr>
            <w:tcW w:w="1087" w:type="dxa"/>
            <w:tcBorders>
              <w:top w:val="nil"/>
              <w:left w:val="nil"/>
              <w:bottom w:val="single" w:color="auto" w:sz="4" w:space="0"/>
              <w:right w:val="single" w:color="auto" w:sz="4" w:space="0"/>
            </w:tcBorders>
            <w:noWrap/>
            <w:vAlign w:val="center"/>
          </w:tcPr>
          <w:p w14:paraId="707164C9">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Y＜50</w:t>
            </w:r>
          </w:p>
        </w:tc>
      </w:tr>
      <w:tr w14:paraId="7217F80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5E988B63">
            <w:pPr>
              <w:contextualSpacing/>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房地产开发经营</w:t>
            </w:r>
          </w:p>
        </w:tc>
        <w:tc>
          <w:tcPr>
            <w:tcW w:w="1803" w:type="dxa"/>
            <w:tcBorders>
              <w:top w:val="nil"/>
              <w:left w:val="nil"/>
              <w:bottom w:val="single" w:color="auto" w:sz="4" w:space="0"/>
              <w:right w:val="single" w:color="auto" w:sz="4" w:space="0"/>
            </w:tcBorders>
            <w:noWrap/>
            <w:vAlign w:val="center"/>
          </w:tcPr>
          <w:p w14:paraId="0DEBB151">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营业收入（Y）</w:t>
            </w:r>
          </w:p>
        </w:tc>
        <w:tc>
          <w:tcPr>
            <w:tcW w:w="1323" w:type="dxa"/>
            <w:tcBorders>
              <w:top w:val="nil"/>
              <w:left w:val="nil"/>
              <w:bottom w:val="single" w:color="auto" w:sz="4" w:space="0"/>
              <w:right w:val="single" w:color="auto" w:sz="4" w:space="0"/>
            </w:tcBorders>
            <w:noWrap/>
            <w:vAlign w:val="center"/>
          </w:tcPr>
          <w:p w14:paraId="48B0EB72">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万元</w:t>
            </w:r>
          </w:p>
        </w:tc>
        <w:tc>
          <w:tcPr>
            <w:tcW w:w="1903" w:type="dxa"/>
            <w:tcBorders>
              <w:top w:val="nil"/>
              <w:left w:val="nil"/>
              <w:bottom w:val="single" w:color="auto" w:sz="4" w:space="0"/>
              <w:right w:val="single" w:color="auto" w:sz="4" w:space="0"/>
            </w:tcBorders>
            <w:noWrap/>
            <w:vAlign w:val="center"/>
          </w:tcPr>
          <w:p w14:paraId="75CE6066">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1000≤Y＜200000</w:t>
            </w:r>
          </w:p>
        </w:tc>
        <w:tc>
          <w:tcPr>
            <w:tcW w:w="1692" w:type="dxa"/>
            <w:tcBorders>
              <w:top w:val="nil"/>
              <w:left w:val="nil"/>
              <w:bottom w:val="single" w:color="auto" w:sz="4" w:space="0"/>
              <w:right w:val="single" w:color="auto" w:sz="4" w:space="0"/>
            </w:tcBorders>
            <w:noWrap/>
            <w:vAlign w:val="center"/>
          </w:tcPr>
          <w:p w14:paraId="0A189395">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100≤X＜1000</w:t>
            </w:r>
          </w:p>
        </w:tc>
        <w:tc>
          <w:tcPr>
            <w:tcW w:w="1087" w:type="dxa"/>
            <w:tcBorders>
              <w:top w:val="nil"/>
              <w:left w:val="nil"/>
              <w:bottom w:val="single" w:color="auto" w:sz="4" w:space="0"/>
              <w:right w:val="single" w:color="auto" w:sz="4" w:space="0"/>
            </w:tcBorders>
            <w:noWrap/>
            <w:vAlign w:val="center"/>
          </w:tcPr>
          <w:p w14:paraId="789505C5">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X＜100</w:t>
            </w:r>
          </w:p>
        </w:tc>
      </w:tr>
      <w:tr w14:paraId="0220DB5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50E789C">
            <w:pPr>
              <w:contextualSpacing/>
              <w:jc w:val="center"/>
              <w:rPr>
                <w:rFonts w:hint="eastAsia" w:asciiTheme="minorEastAsia" w:hAnsiTheme="minorEastAsia" w:eastAsiaTheme="minorEastAsia" w:cstheme="minorEastAsia"/>
                <w:b/>
                <w:bCs/>
                <w:color w:val="auto"/>
                <w:sz w:val="24"/>
              </w:rPr>
            </w:pPr>
          </w:p>
        </w:tc>
        <w:tc>
          <w:tcPr>
            <w:tcW w:w="1803" w:type="dxa"/>
            <w:tcBorders>
              <w:top w:val="nil"/>
              <w:left w:val="nil"/>
              <w:bottom w:val="single" w:color="auto" w:sz="4" w:space="0"/>
              <w:right w:val="single" w:color="auto" w:sz="4" w:space="0"/>
            </w:tcBorders>
            <w:noWrap/>
            <w:vAlign w:val="center"/>
          </w:tcPr>
          <w:p w14:paraId="787D661A">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资产总额（Z）</w:t>
            </w:r>
          </w:p>
        </w:tc>
        <w:tc>
          <w:tcPr>
            <w:tcW w:w="1323" w:type="dxa"/>
            <w:tcBorders>
              <w:top w:val="nil"/>
              <w:left w:val="nil"/>
              <w:bottom w:val="single" w:color="auto" w:sz="4" w:space="0"/>
              <w:right w:val="single" w:color="auto" w:sz="4" w:space="0"/>
            </w:tcBorders>
            <w:noWrap/>
            <w:vAlign w:val="center"/>
          </w:tcPr>
          <w:p w14:paraId="0F0BBD7E">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万元</w:t>
            </w:r>
          </w:p>
        </w:tc>
        <w:tc>
          <w:tcPr>
            <w:tcW w:w="1903" w:type="dxa"/>
            <w:tcBorders>
              <w:top w:val="nil"/>
              <w:left w:val="nil"/>
              <w:bottom w:val="single" w:color="auto" w:sz="4" w:space="0"/>
              <w:right w:val="single" w:color="auto" w:sz="4" w:space="0"/>
            </w:tcBorders>
            <w:noWrap/>
            <w:vAlign w:val="center"/>
          </w:tcPr>
          <w:p w14:paraId="3B542C6A">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5000≤Z＜10000</w:t>
            </w:r>
          </w:p>
        </w:tc>
        <w:tc>
          <w:tcPr>
            <w:tcW w:w="1692" w:type="dxa"/>
            <w:tcBorders>
              <w:top w:val="nil"/>
              <w:left w:val="nil"/>
              <w:bottom w:val="single" w:color="auto" w:sz="4" w:space="0"/>
              <w:right w:val="single" w:color="auto" w:sz="4" w:space="0"/>
            </w:tcBorders>
            <w:noWrap/>
            <w:vAlign w:val="center"/>
          </w:tcPr>
          <w:p w14:paraId="254DD616">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2000≤Y＜5000</w:t>
            </w:r>
          </w:p>
        </w:tc>
        <w:tc>
          <w:tcPr>
            <w:tcW w:w="1087" w:type="dxa"/>
            <w:tcBorders>
              <w:top w:val="nil"/>
              <w:left w:val="nil"/>
              <w:bottom w:val="single" w:color="auto" w:sz="4" w:space="0"/>
              <w:right w:val="single" w:color="auto" w:sz="4" w:space="0"/>
            </w:tcBorders>
            <w:noWrap/>
            <w:vAlign w:val="center"/>
          </w:tcPr>
          <w:p w14:paraId="747EA846">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Y＜2000</w:t>
            </w:r>
          </w:p>
        </w:tc>
      </w:tr>
      <w:tr w14:paraId="3934269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65AAAF99">
            <w:pPr>
              <w:contextualSpacing/>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物业管理</w:t>
            </w:r>
          </w:p>
        </w:tc>
        <w:tc>
          <w:tcPr>
            <w:tcW w:w="1803" w:type="dxa"/>
            <w:tcBorders>
              <w:top w:val="nil"/>
              <w:left w:val="nil"/>
              <w:bottom w:val="single" w:color="auto" w:sz="4" w:space="0"/>
              <w:right w:val="single" w:color="auto" w:sz="4" w:space="0"/>
            </w:tcBorders>
            <w:noWrap/>
            <w:vAlign w:val="center"/>
          </w:tcPr>
          <w:p w14:paraId="5AEBBF21">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从业人员（X）</w:t>
            </w:r>
          </w:p>
        </w:tc>
        <w:tc>
          <w:tcPr>
            <w:tcW w:w="1323" w:type="dxa"/>
            <w:tcBorders>
              <w:top w:val="nil"/>
              <w:left w:val="nil"/>
              <w:bottom w:val="single" w:color="auto" w:sz="4" w:space="0"/>
              <w:right w:val="single" w:color="auto" w:sz="4" w:space="0"/>
            </w:tcBorders>
            <w:noWrap/>
            <w:vAlign w:val="center"/>
          </w:tcPr>
          <w:p w14:paraId="16FA6B34">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w:t>
            </w:r>
          </w:p>
        </w:tc>
        <w:tc>
          <w:tcPr>
            <w:tcW w:w="1903" w:type="dxa"/>
            <w:tcBorders>
              <w:top w:val="nil"/>
              <w:left w:val="nil"/>
              <w:bottom w:val="single" w:color="auto" w:sz="4" w:space="0"/>
              <w:right w:val="single" w:color="auto" w:sz="4" w:space="0"/>
            </w:tcBorders>
            <w:noWrap/>
            <w:vAlign w:val="center"/>
          </w:tcPr>
          <w:p w14:paraId="650E4F9C">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300≤X＜1000</w:t>
            </w:r>
          </w:p>
        </w:tc>
        <w:tc>
          <w:tcPr>
            <w:tcW w:w="1692" w:type="dxa"/>
            <w:tcBorders>
              <w:top w:val="nil"/>
              <w:left w:val="nil"/>
              <w:bottom w:val="single" w:color="auto" w:sz="4" w:space="0"/>
              <w:right w:val="single" w:color="auto" w:sz="4" w:space="0"/>
            </w:tcBorders>
            <w:noWrap/>
            <w:vAlign w:val="center"/>
          </w:tcPr>
          <w:p w14:paraId="4E026608">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100≤X＜300</w:t>
            </w:r>
          </w:p>
        </w:tc>
        <w:tc>
          <w:tcPr>
            <w:tcW w:w="1087" w:type="dxa"/>
            <w:tcBorders>
              <w:top w:val="nil"/>
              <w:left w:val="nil"/>
              <w:bottom w:val="single" w:color="auto" w:sz="4" w:space="0"/>
              <w:right w:val="single" w:color="auto" w:sz="4" w:space="0"/>
            </w:tcBorders>
            <w:noWrap/>
            <w:vAlign w:val="center"/>
          </w:tcPr>
          <w:p w14:paraId="0D29DAFC">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X＜100</w:t>
            </w:r>
          </w:p>
        </w:tc>
      </w:tr>
      <w:tr w14:paraId="6848609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9F3F61F">
            <w:pPr>
              <w:contextualSpacing/>
              <w:jc w:val="center"/>
              <w:rPr>
                <w:rFonts w:hint="eastAsia" w:asciiTheme="minorEastAsia" w:hAnsiTheme="minorEastAsia" w:eastAsiaTheme="minorEastAsia" w:cstheme="minorEastAsia"/>
                <w:b/>
                <w:bCs/>
                <w:color w:val="auto"/>
                <w:sz w:val="24"/>
              </w:rPr>
            </w:pPr>
          </w:p>
        </w:tc>
        <w:tc>
          <w:tcPr>
            <w:tcW w:w="1803" w:type="dxa"/>
            <w:tcBorders>
              <w:top w:val="nil"/>
              <w:left w:val="nil"/>
              <w:bottom w:val="single" w:color="auto" w:sz="4" w:space="0"/>
              <w:right w:val="single" w:color="auto" w:sz="4" w:space="0"/>
            </w:tcBorders>
            <w:noWrap/>
            <w:vAlign w:val="center"/>
          </w:tcPr>
          <w:p w14:paraId="4590234A">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营业收入（Y）</w:t>
            </w:r>
          </w:p>
        </w:tc>
        <w:tc>
          <w:tcPr>
            <w:tcW w:w="1323" w:type="dxa"/>
            <w:tcBorders>
              <w:top w:val="nil"/>
              <w:left w:val="nil"/>
              <w:bottom w:val="single" w:color="auto" w:sz="4" w:space="0"/>
              <w:right w:val="single" w:color="auto" w:sz="4" w:space="0"/>
            </w:tcBorders>
            <w:noWrap/>
            <w:vAlign w:val="center"/>
          </w:tcPr>
          <w:p w14:paraId="4AC053F0">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万元</w:t>
            </w:r>
          </w:p>
        </w:tc>
        <w:tc>
          <w:tcPr>
            <w:tcW w:w="1903" w:type="dxa"/>
            <w:tcBorders>
              <w:top w:val="nil"/>
              <w:left w:val="nil"/>
              <w:bottom w:val="single" w:color="auto" w:sz="4" w:space="0"/>
              <w:right w:val="single" w:color="auto" w:sz="4" w:space="0"/>
            </w:tcBorders>
            <w:noWrap/>
            <w:vAlign w:val="center"/>
          </w:tcPr>
          <w:p w14:paraId="10D5967E">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1000≤Y＜5000</w:t>
            </w:r>
          </w:p>
        </w:tc>
        <w:tc>
          <w:tcPr>
            <w:tcW w:w="1692" w:type="dxa"/>
            <w:tcBorders>
              <w:top w:val="nil"/>
              <w:left w:val="nil"/>
              <w:bottom w:val="single" w:color="auto" w:sz="4" w:space="0"/>
              <w:right w:val="single" w:color="auto" w:sz="4" w:space="0"/>
            </w:tcBorders>
            <w:noWrap/>
            <w:vAlign w:val="center"/>
          </w:tcPr>
          <w:p w14:paraId="4165E7F2">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500≤Y＜1000</w:t>
            </w:r>
          </w:p>
        </w:tc>
        <w:tc>
          <w:tcPr>
            <w:tcW w:w="1087" w:type="dxa"/>
            <w:tcBorders>
              <w:top w:val="nil"/>
              <w:left w:val="nil"/>
              <w:bottom w:val="single" w:color="auto" w:sz="4" w:space="0"/>
              <w:right w:val="single" w:color="auto" w:sz="4" w:space="0"/>
            </w:tcBorders>
            <w:noWrap/>
            <w:vAlign w:val="center"/>
          </w:tcPr>
          <w:p w14:paraId="70A4F01C">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Y＜500</w:t>
            </w:r>
          </w:p>
        </w:tc>
      </w:tr>
      <w:tr w14:paraId="79D2BDD3">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0EAE5A6A">
            <w:pPr>
              <w:contextualSpacing/>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租赁和商务服务业</w:t>
            </w:r>
          </w:p>
        </w:tc>
        <w:tc>
          <w:tcPr>
            <w:tcW w:w="1803" w:type="dxa"/>
            <w:tcBorders>
              <w:top w:val="nil"/>
              <w:left w:val="nil"/>
              <w:bottom w:val="single" w:color="auto" w:sz="4" w:space="0"/>
              <w:right w:val="single" w:color="auto" w:sz="4" w:space="0"/>
            </w:tcBorders>
            <w:noWrap/>
            <w:vAlign w:val="center"/>
          </w:tcPr>
          <w:p w14:paraId="16C1B927">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从业人员（X）</w:t>
            </w:r>
          </w:p>
        </w:tc>
        <w:tc>
          <w:tcPr>
            <w:tcW w:w="1323" w:type="dxa"/>
            <w:tcBorders>
              <w:top w:val="nil"/>
              <w:left w:val="nil"/>
              <w:bottom w:val="single" w:color="auto" w:sz="4" w:space="0"/>
              <w:right w:val="single" w:color="auto" w:sz="4" w:space="0"/>
            </w:tcBorders>
            <w:noWrap/>
            <w:vAlign w:val="center"/>
          </w:tcPr>
          <w:p w14:paraId="01A0FF10">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w:t>
            </w:r>
          </w:p>
        </w:tc>
        <w:tc>
          <w:tcPr>
            <w:tcW w:w="1903" w:type="dxa"/>
            <w:tcBorders>
              <w:top w:val="nil"/>
              <w:left w:val="nil"/>
              <w:bottom w:val="single" w:color="auto" w:sz="4" w:space="0"/>
              <w:right w:val="single" w:color="auto" w:sz="4" w:space="0"/>
            </w:tcBorders>
            <w:noWrap/>
            <w:vAlign w:val="center"/>
          </w:tcPr>
          <w:p w14:paraId="68695309">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100≤X＜300</w:t>
            </w:r>
          </w:p>
        </w:tc>
        <w:tc>
          <w:tcPr>
            <w:tcW w:w="1692" w:type="dxa"/>
            <w:tcBorders>
              <w:top w:val="nil"/>
              <w:left w:val="nil"/>
              <w:bottom w:val="single" w:color="auto" w:sz="4" w:space="0"/>
              <w:right w:val="single" w:color="auto" w:sz="4" w:space="0"/>
            </w:tcBorders>
            <w:noWrap/>
            <w:vAlign w:val="center"/>
          </w:tcPr>
          <w:p w14:paraId="7CE1C90F">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10≤X＜100</w:t>
            </w:r>
          </w:p>
        </w:tc>
        <w:tc>
          <w:tcPr>
            <w:tcW w:w="1087" w:type="dxa"/>
            <w:tcBorders>
              <w:top w:val="nil"/>
              <w:left w:val="nil"/>
              <w:bottom w:val="single" w:color="auto" w:sz="4" w:space="0"/>
              <w:right w:val="single" w:color="auto" w:sz="4" w:space="0"/>
            </w:tcBorders>
            <w:noWrap/>
            <w:vAlign w:val="center"/>
          </w:tcPr>
          <w:p w14:paraId="0595D13B">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X＜10</w:t>
            </w:r>
          </w:p>
        </w:tc>
      </w:tr>
      <w:tr w14:paraId="2F983C1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1D3E6B96">
            <w:pPr>
              <w:contextualSpacing/>
              <w:jc w:val="center"/>
              <w:rPr>
                <w:rFonts w:hint="eastAsia" w:asciiTheme="minorEastAsia" w:hAnsiTheme="minorEastAsia" w:eastAsiaTheme="minorEastAsia" w:cstheme="minorEastAsia"/>
                <w:b/>
                <w:bCs/>
                <w:color w:val="auto"/>
                <w:sz w:val="24"/>
              </w:rPr>
            </w:pPr>
          </w:p>
        </w:tc>
        <w:tc>
          <w:tcPr>
            <w:tcW w:w="1803" w:type="dxa"/>
            <w:tcBorders>
              <w:top w:val="nil"/>
              <w:left w:val="nil"/>
              <w:bottom w:val="single" w:color="auto" w:sz="4" w:space="0"/>
              <w:right w:val="single" w:color="auto" w:sz="4" w:space="0"/>
            </w:tcBorders>
            <w:noWrap/>
            <w:vAlign w:val="center"/>
          </w:tcPr>
          <w:p w14:paraId="73853457">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资产总额（Z）</w:t>
            </w:r>
          </w:p>
        </w:tc>
        <w:tc>
          <w:tcPr>
            <w:tcW w:w="1323" w:type="dxa"/>
            <w:tcBorders>
              <w:top w:val="nil"/>
              <w:left w:val="nil"/>
              <w:bottom w:val="single" w:color="auto" w:sz="4" w:space="0"/>
              <w:right w:val="single" w:color="auto" w:sz="4" w:space="0"/>
            </w:tcBorders>
            <w:noWrap/>
            <w:vAlign w:val="center"/>
          </w:tcPr>
          <w:p w14:paraId="5180E920">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万元</w:t>
            </w:r>
          </w:p>
        </w:tc>
        <w:tc>
          <w:tcPr>
            <w:tcW w:w="1903" w:type="dxa"/>
            <w:tcBorders>
              <w:top w:val="nil"/>
              <w:left w:val="nil"/>
              <w:bottom w:val="single" w:color="auto" w:sz="4" w:space="0"/>
              <w:right w:val="single" w:color="auto" w:sz="4" w:space="0"/>
            </w:tcBorders>
            <w:noWrap/>
            <w:vAlign w:val="center"/>
          </w:tcPr>
          <w:p w14:paraId="275FFD46">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8000≤Z＜120000</w:t>
            </w:r>
          </w:p>
        </w:tc>
        <w:tc>
          <w:tcPr>
            <w:tcW w:w="1692" w:type="dxa"/>
            <w:tcBorders>
              <w:top w:val="nil"/>
              <w:left w:val="nil"/>
              <w:bottom w:val="single" w:color="auto" w:sz="4" w:space="0"/>
              <w:right w:val="single" w:color="auto" w:sz="4" w:space="0"/>
            </w:tcBorders>
            <w:noWrap/>
            <w:vAlign w:val="center"/>
          </w:tcPr>
          <w:p w14:paraId="65BC8AF1">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100≤Z＜8000</w:t>
            </w:r>
          </w:p>
        </w:tc>
        <w:tc>
          <w:tcPr>
            <w:tcW w:w="1087" w:type="dxa"/>
            <w:tcBorders>
              <w:top w:val="nil"/>
              <w:left w:val="nil"/>
              <w:bottom w:val="single" w:color="auto" w:sz="4" w:space="0"/>
              <w:right w:val="single" w:color="auto" w:sz="4" w:space="0"/>
            </w:tcBorders>
            <w:noWrap/>
            <w:vAlign w:val="center"/>
          </w:tcPr>
          <w:p w14:paraId="46DC153C">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Y＜100</w:t>
            </w:r>
          </w:p>
        </w:tc>
      </w:tr>
      <w:tr w14:paraId="60E5AA03">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ign w:val="center"/>
          </w:tcPr>
          <w:p w14:paraId="3DC6ABC9">
            <w:pPr>
              <w:contextualSpacing/>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其他未列明行业</w:t>
            </w:r>
          </w:p>
        </w:tc>
        <w:tc>
          <w:tcPr>
            <w:tcW w:w="1803" w:type="dxa"/>
            <w:tcBorders>
              <w:top w:val="nil"/>
              <w:left w:val="nil"/>
              <w:bottom w:val="single" w:color="auto" w:sz="4" w:space="0"/>
              <w:right w:val="single" w:color="auto" w:sz="4" w:space="0"/>
            </w:tcBorders>
            <w:noWrap/>
            <w:vAlign w:val="center"/>
          </w:tcPr>
          <w:p w14:paraId="29DB25F8">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从业人员（X）</w:t>
            </w:r>
          </w:p>
        </w:tc>
        <w:tc>
          <w:tcPr>
            <w:tcW w:w="1323" w:type="dxa"/>
            <w:tcBorders>
              <w:top w:val="nil"/>
              <w:left w:val="nil"/>
              <w:bottom w:val="single" w:color="auto" w:sz="4" w:space="0"/>
              <w:right w:val="single" w:color="auto" w:sz="4" w:space="0"/>
            </w:tcBorders>
            <w:noWrap/>
            <w:vAlign w:val="center"/>
          </w:tcPr>
          <w:p w14:paraId="4CF77AE9">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w:t>
            </w:r>
          </w:p>
        </w:tc>
        <w:tc>
          <w:tcPr>
            <w:tcW w:w="1903" w:type="dxa"/>
            <w:tcBorders>
              <w:top w:val="nil"/>
              <w:left w:val="nil"/>
              <w:bottom w:val="single" w:color="auto" w:sz="4" w:space="0"/>
              <w:right w:val="single" w:color="auto" w:sz="4" w:space="0"/>
            </w:tcBorders>
            <w:noWrap/>
            <w:vAlign w:val="center"/>
          </w:tcPr>
          <w:p w14:paraId="09AD183B">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100≤X＜300</w:t>
            </w:r>
          </w:p>
        </w:tc>
        <w:tc>
          <w:tcPr>
            <w:tcW w:w="1692" w:type="dxa"/>
            <w:tcBorders>
              <w:top w:val="nil"/>
              <w:left w:val="nil"/>
              <w:bottom w:val="single" w:color="auto" w:sz="4" w:space="0"/>
              <w:right w:val="single" w:color="auto" w:sz="4" w:space="0"/>
            </w:tcBorders>
            <w:noWrap/>
            <w:vAlign w:val="center"/>
          </w:tcPr>
          <w:p w14:paraId="17D6C8F4">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10≤X＜100</w:t>
            </w:r>
          </w:p>
        </w:tc>
        <w:tc>
          <w:tcPr>
            <w:tcW w:w="1087" w:type="dxa"/>
            <w:tcBorders>
              <w:top w:val="nil"/>
              <w:left w:val="nil"/>
              <w:bottom w:val="single" w:color="auto" w:sz="4" w:space="0"/>
              <w:right w:val="single" w:color="auto" w:sz="4" w:space="0"/>
            </w:tcBorders>
            <w:noWrap/>
            <w:vAlign w:val="center"/>
          </w:tcPr>
          <w:p w14:paraId="1734A791">
            <w:pPr>
              <w:contextualSpacing/>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X＜10</w:t>
            </w:r>
          </w:p>
        </w:tc>
      </w:tr>
    </w:tbl>
    <w:p w14:paraId="7EF532B4">
      <w:pPr>
        <w:spacing w:line="460" w:lineRule="exact"/>
        <w:ind w:firstLine="482" w:firstLineChars="200"/>
        <w:textAlignment w:val="auto"/>
        <w:rPr>
          <w:rFonts w:hint="eastAsia" w:asciiTheme="minorEastAsia" w:hAnsiTheme="minorEastAsia" w:eastAsiaTheme="minorEastAsia" w:cstheme="minorEastAsia"/>
          <w:color w:val="auto"/>
          <w:sz w:val="24"/>
          <w:shd w:val="clear" w:color="auto" w:fill="FFFFFF"/>
          <w:lang w:eastAsia="zh-CN"/>
        </w:rPr>
      </w:pPr>
      <w:r>
        <w:rPr>
          <w:rFonts w:hint="eastAsia" w:asciiTheme="minorEastAsia" w:hAnsiTheme="minorEastAsia" w:eastAsiaTheme="minorEastAsia" w:cstheme="minorEastAsia"/>
          <w:b/>
          <w:bCs/>
          <w:color w:val="auto"/>
          <w:sz w:val="24"/>
          <w:shd w:val="clear" w:color="auto" w:fill="FFFFFF"/>
          <w:lang w:eastAsia="zh-CN"/>
        </w:rPr>
        <w:t>说明：</w:t>
      </w:r>
      <w:r>
        <w:rPr>
          <w:rFonts w:hint="eastAsia" w:asciiTheme="minorEastAsia" w:hAnsiTheme="minorEastAsia" w:eastAsiaTheme="minorEastAsia" w:cstheme="minorEastAsia"/>
          <w:color w:val="auto"/>
          <w:sz w:val="24"/>
          <w:shd w:val="clear" w:color="auto" w:fill="FFFFFF"/>
          <w:lang w:eastAsia="zh-CN"/>
        </w:rPr>
        <w:t>上述标准参照《关于印发中小企业划型标准规定的通知》（工信部联企业[2011]300号），大型、中型和小型企业须同时满足所列指标的下限，否则下划一档；微型企业只须满足所列指标中的一项即可。</w:t>
      </w:r>
    </w:p>
    <w:p w14:paraId="7F5FCA98">
      <w:pPr>
        <w:spacing w:line="460" w:lineRule="exact"/>
        <w:ind w:firstLine="480" w:firstLineChars="200"/>
        <w:textAlignment w:val="auto"/>
        <w:rPr>
          <w:rFonts w:hint="eastAsia" w:asciiTheme="minorEastAsia" w:hAnsiTheme="minorEastAsia" w:eastAsiaTheme="minorEastAsia" w:cstheme="minorEastAsia"/>
          <w:color w:val="auto"/>
          <w:sz w:val="24"/>
          <w:shd w:val="clear" w:color="auto" w:fill="FFFFFF"/>
          <w:lang w:eastAsia="zh-CN"/>
        </w:rPr>
      </w:pPr>
      <w:r>
        <w:rPr>
          <w:rFonts w:hint="eastAsia" w:asciiTheme="minorEastAsia" w:hAnsiTheme="minorEastAsia" w:eastAsiaTheme="minorEastAsia" w:cstheme="minorEastAsia"/>
          <w:color w:val="auto"/>
          <w:sz w:val="24"/>
          <w:shd w:val="clear" w:color="auto" w:fill="FFFFFF"/>
          <w:lang w:eastAsia="zh-CN"/>
        </w:rPr>
        <w:t>本招标文件所称中小企业，是指在中华人民共和国境内依法设立，依据国务院批准的</w:t>
      </w:r>
    </w:p>
    <w:p w14:paraId="790F08AE">
      <w:pPr>
        <w:spacing w:line="460" w:lineRule="exact"/>
        <w:ind w:firstLine="480" w:firstLineChars="200"/>
        <w:textAlignment w:val="auto"/>
        <w:rPr>
          <w:rFonts w:hint="eastAsia" w:asciiTheme="minorEastAsia" w:hAnsiTheme="minorEastAsia" w:eastAsiaTheme="minorEastAsia" w:cstheme="minorEastAsia"/>
          <w:color w:val="auto"/>
          <w:sz w:val="24"/>
          <w:shd w:val="clear" w:color="auto" w:fill="FFFFFF"/>
          <w:lang w:eastAsia="zh-CN"/>
        </w:rPr>
      </w:pPr>
      <w:r>
        <w:rPr>
          <w:rFonts w:hint="eastAsia" w:asciiTheme="minorEastAsia" w:hAnsiTheme="minorEastAsia" w:eastAsiaTheme="minorEastAsia" w:cstheme="minorEastAsia"/>
          <w:color w:val="auto"/>
          <w:sz w:val="24"/>
          <w:shd w:val="clear" w:color="auto" w:fill="FFFFFF"/>
          <w:lang w:eastAsia="zh-CN"/>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2158DB8">
      <w:pPr>
        <w:spacing w:line="460" w:lineRule="exact"/>
        <w:ind w:firstLine="480" w:firstLineChars="200"/>
        <w:textAlignment w:val="auto"/>
        <w:rPr>
          <w:rFonts w:hint="eastAsia" w:asciiTheme="minorEastAsia" w:hAnsiTheme="minorEastAsia" w:eastAsiaTheme="minorEastAsia" w:cstheme="minorEastAsia"/>
          <w:color w:val="auto"/>
          <w:sz w:val="24"/>
          <w:shd w:val="clear" w:color="auto" w:fill="FFFFFF"/>
          <w:lang w:eastAsia="zh-CN"/>
        </w:rPr>
      </w:pPr>
      <w:r>
        <w:rPr>
          <w:rFonts w:hint="eastAsia" w:asciiTheme="minorEastAsia" w:hAnsiTheme="minorEastAsia" w:eastAsiaTheme="minorEastAsia" w:cstheme="minorEastAsia"/>
          <w:color w:val="auto"/>
          <w:sz w:val="24"/>
          <w:shd w:val="clear" w:color="auto" w:fill="FFFFFF"/>
          <w:lang w:eastAsia="zh-CN"/>
        </w:rPr>
        <w:t>（1）在货物采购项目中，货物由中小企业制造，即货物由中小企业生产且使用该中小企业商号或者注册商标，不对其中涉及的工程承建商和服务的承接商作出要求；</w:t>
      </w:r>
    </w:p>
    <w:p w14:paraId="1B0F10AC">
      <w:pPr>
        <w:spacing w:line="460" w:lineRule="exact"/>
        <w:ind w:firstLine="480" w:firstLineChars="200"/>
        <w:textAlignment w:val="auto"/>
        <w:rPr>
          <w:rFonts w:hint="eastAsia" w:asciiTheme="minorEastAsia" w:hAnsiTheme="minorEastAsia" w:eastAsiaTheme="minorEastAsia" w:cstheme="minorEastAsia"/>
          <w:color w:val="auto"/>
          <w:sz w:val="24"/>
          <w:shd w:val="clear" w:color="auto" w:fill="FFFFFF"/>
          <w:lang w:eastAsia="zh-CN"/>
        </w:rPr>
      </w:pPr>
      <w:r>
        <w:rPr>
          <w:rFonts w:hint="eastAsia" w:asciiTheme="minorEastAsia" w:hAnsiTheme="minorEastAsia" w:eastAsiaTheme="minorEastAsia" w:cstheme="minorEastAsia"/>
          <w:color w:val="auto"/>
          <w:sz w:val="24"/>
          <w:shd w:val="clear" w:color="auto" w:fill="FFFFFF"/>
          <w:lang w:eastAsia="zh-CN"/>
        </w:rPr>
        <w:t>（2）在工程采购项目中，工程由中小企业承建，即工程施工单位为中小企业，不对其中涉及的货物的制造商和服务的承接商作出要求；</w:t>
      </w:r>
    </w:p>
    <w:p w14:paraId="1D2F4780">
      <w:pPr>
        <w:spacing w:line="460" w:lineRule="exact"/>
        <w:ind w:firstLine="480" w:firstLineChars="200"/>
        <w:textAlignment w:val="auto"/>
        <w:rPr>
          <w:rFonts w:hint="eastAsia" w:asciiTheme="minorEastAsia" w:hAnsiTheme="minorEastAsia" w:eastAsiaTheme="minorEastAsia" w:cstheme="minorEastAsia"/>
          <w:color w:val="auto"/>
          <w:sz w:val="24"/>
          <w:shd w:val="clear" w:color="auto" w:fill="FFFFFF"/>
          <w:lang w:eastAsia="zh-CN"/>
        </w:rPr>
      </w:pPr>
      <w:r>
        <w:rPr>
          <w:rFonts w:hint="eastAsia" w:asciiTheme="minorEastAsia" w:hAnsiTheme="minorEastAsia" w:eastAsiaTheme="minorEastAsia" w:cstheme="minorEastAsia"/>
          <w:color w:val="auto"/>
          <w:sz w:val="24"/>
          <w:shd w:val="clear" w:color="auto" w:fill="FFFFFF"/>
          <w:lang w:eastAsia="zh-CN"/>
        </w:rPr>
        <w:t>（3）在服务采购项目中，服务由中小企业承接，即提供服务的人员为中小企业依照《中华人民共和国劳动合同法》订立劳动合同的从业人员，不对其中涉及的货物的制造商和工程承建商作出要求。</w:t>
      </w:r>
    </w:p>
    <w:p w14:paraId="2D954FD2">
      <w:pPr>
        <w:spacing w:line="460" w:lineRule="exact"/>
        <w:ind w:firstLine="480" w:firstLineChars="200"/>
        <w:textAlignment w:val="auto"/>
        <w:rPr>
          <w:rFonts w:hint="eastAsia" w:asciiTheme="minorEastAsia" w:hAnsiTheme="minorEastAsia" w:eastAsiaTheme="minorEastAsia" w:cstheme="minorEastAsia"/>
          <w:color w:val="auto"/>
          <w:sz w:val="24"/>
          <w:shd w:val="clear" w:color="auto" w:fill="FFFFFF"/>
          <w:lang w:eastAsia="zh-CN"/>
        </w:rPr>
      </w:pPr>
      <w:r>
        <w:rPr>
          <w:rFonts w:hint="eastAsia" w:asciiTheme="minorEastAsia" w:hAnsiTheme="minorEastAsia" w:eastAsiaTheme="minorEastAsia" w:cstheme="minorEastAsia"/>
          <w:color w:val="auto"/>
          <w:sz w:val="24"/>
          <w:shd w:val="clear" w:color="auto" w:fill="FFFFFF"/>
          <w:lang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4BF6FC3D">
      <w:pPr>
        <w:spacing w:line="460" w:lineRule="exact"/>
        <w:ind w:firstLine="480" w:firstLineChars="200"/>
        <w:textAlignment w:val="auto"/>
        <w:rPr>
          <w:rFonts w:hint="eastAsia" w:asciiTheme="minorEastAsia" w:hAnsiTheme="minorEastAsia" w:eastAsiaTheme="minorEastAsia" w:cstheme="minorEastAsia"/>
          <w:color w:val="auto"/>
          <w:sz w:val="24"/>
          <w:shd w:val="clear" w:color="auto" w:fill="FFFFFF"/>
          <w:lang w:eastAsia="zh-CN"/>
        </w:rPr>
      </w:pPr>
      <w:r>
        <w:rPr>
          <w:rFonts w:hint="eastAsia" w:asciiTheme="minorEastAsia" w:hAnsiTheme="minorEastAsia" w:eastAsiaTheme="minorEastAsia" w:cstheme="minorEastAsia"/>
          <w:color w:val="auto"/>
          <w:sz w:val="24"/>
          <w:shd w:val="clear" w:color="auto" w:fill="FFFFFF"/>
          <w:lang w:eastAsia="zh-CN"/>
        </w:rPr>
        <w:t>依据本招标文件规定享受扶持政策获得政府采购合同的，小微企业不得将合同分包给大中型企业，中型企业不得将合同分包给大型企业。</w:t>
      </w:r>
    </w:p>
    <w:p w14:paraId="4D6AC402">
      <w:pPr>
        <w:rPr>
          <w:rFonts w:hint="eastAsia" w:asciiTheme="minorEastAsia" w:hAnsiTheme="minorEastAsia" w:eastAsiaTheme="minorEastAsia" w:cstheme="minorEastAsia"/>
          <w:color w:val="auto"/>
          <w:lang w:eastAsia="zh-CN"/>
        </w:rPr>
      </w:pPr>
    </w:p>
    <w:p w14:paraId="116FDB7F">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br w:type="page"/>
      </w:r>
    </w:p>
    <w:p w14:paraId="024D80E1">
      <w:pPr>
        <w:pStyle w:val="20"/>
        <w:ind w:firstLine="410"/>
        <w:rPr>
          <w:rFonts w:hint="eastAsia" w:asciiTheme="minorEastAsia" w:hAnsiTheme="minorEastAsia" w:eastAsiaTheme="minorEastAsia" w:cstheme="minorEastAsia"/>
          <w:color w:val="auto"/>
          <w:lang w:eastAsia="zh-CN"/>
        </w:rPr>
      </w:pPr>
    </w:p>
    <w:p w14:paraId="78181B5B">
      <w:pPr>
        <w:pStyle w:val="4"/>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bookmarkStart w:id="866" w:name="_Toc20082"/>
      <w:r>
        <w:rPr>
          <w:rFonts w:hint="eastAsia" w:asciiTheme="minorEastAsia" w:hAnsiTheme="minorEastAsia" w:eastAsiaTheme="minorEastAsia" w:cstheme="minorEastAsia"/>
          <w:color w:val="auto"/>
          <w:u w:val="none"/>
          <w:lang w:eastAsia="zh-CN"/>
        </w:rPr>
        <w:t>6-2</w:t>
      </w:r>
      <w:r>
        <w:rPr>
          <w:rFonts w:hint="eastAsia" w:asciiTheme="minorEastAsia" w:hAnsiTheme="minorEastAsia" w:eastAsiaTheme="minorEastAsia" w:cstheme="minorEastAsia"/>
          <w:color w:val="auto"/>
          <w:u w:val="none"/>
          <w:lang w:val="en-US" w:eastAsia="zh-CN"/>
        </w:rPr>
        <w:t xml:space="preserve"> </w:t>
      </w:r>
      <w:r>
        <w:rPr>
          <w:rFonts w:hint="eastAsia" w:asciiTheme="minorEastAsia" w:hAnsiTheme="minorEastAsia" w:eastAsiaTheme="minorEastAsia" w:cstheme="minorEastAsia"/>
          <w:color w:val="auto"/>
          <w:u w:val="none"/>
          <w:lang w:eastAsia="zh-CN"/>
        </w:rPr>
        <w:t>残疾人福利性单位声明函</w:t>
      </w:r>
      <w:bookmarkEnd w:id="866"/>
    </w:p>
    <w:p w14:paraId="10E4DB2E">
      <w:pPr>
        <w:widowControl w:val="0"/>
        <w:spacing w:after="60" w:afterLines="25" w:line="300" w:lineRule="auto"/>
        <w:ind w:firstLine="480" w:firstLineChars="20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本投标人郑重声明，根据《财政部民政部中国残疾人联合会关于促进残疾人就业政府采购政策的通知》（财库〔2017〕141 号）的规定，本投标人参加（采购人名称）的（项目名称）采购活动，提供的货物全部由符合政策要求的残疾人福利性单位制造。相关残疾人福利性单位的具体情况如下：</w:t>
      </w:r>
    </w:p>
    <w:p w14:paraId="2E67F7D4">
      <w:pPr>
        <w:widowControl w:val="0"/>
        <w:spacing w:after="60" w:afterLines="25" w:line="300" w:lineRule="auto"/>
        <w:ind w:firstLine="480" w:firstLineChars="20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 （标的名称），制造商为（单位名称），属于残疾人福利性单位；</w:t>
      </w:r>
    </w:p>
    <w:p w14:paraId="70964C0D">
      <w:pPr>
        <w:widowControl w:val="0"/>
        <w:spacing w:after="60" w:afterLines="25" w:line="300" w:lineRule="auto"/>
        <w:ind w:firstLine="480" w:firstLineChars="20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 （标的名称），制造商为（单位名称），属于残疾人福利性单位。</w:t>
      </w:r>
    </w:p>
    <w:p w14:paraId="41202C71">
      <w:pPr>
        <w:widowControl w:val="0"/>
        <w:spacing w:after="60" w:afterLines="25" w:line="300" w:lineRule="auto"/>
        <w:ind w:firstLine="480" w:firstLineChars="20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w:t>
      </w:r>
    </w:p>
    <w:p w14:paraId="2BF3DE9C">
      <w:pPr>
        <w:widowControl w:val="0"/>
        <w:spacing w:after="60" w:afterLines="25" w:line="300" w:lineRule="auto"/>
        <w:ind w:firstLine="480" w:firstLineChars="200"/>
        <w:textAlignment w:val="auto"/>
        <w:rPr>
          <w:rFonts w:hint="eastAsia" w:asciiTheme="minorEastAsia" w:hAnsiTheme="minorEastAsia" w:eastAsiaTheme="minorEastAsia" w:cstheme="minorEastAsia"/>
          <w:color w:val="auto"/>
          <w:sz w:val="24"/>
          <w:lang w:eastAsia="zh-CN"/>
        </w:rPr>
      </w:pPr>
      <w:bookmarkStart w:id="867" w:name="_Hlk73562331"/>
      <w:r>
        <w:rPr>
          <w:rFonts w:hint="eastAsia" w:asciiTheme="minorEastAsia" w:hAnsiTheme="minorEastAsia" w:eastAsiaTheme="minorEastAsia" w:cstheme="minorEastAsia"/>
          <w:color w:val="auto"/>
          <w:sz w:val="24"/>
          <w:lang w:eastAsia="zh-CN"/>
        </w:rPr>
        <w:t>本投标人已知悉《财政部民政部中国残疾人联合会关于促进残疾人就业政府采购政策的通知》（财库〔2017〕141 号）的规定，承诺提供的声明函内容是真实的，如提供声明函内容不实，则依法追究相关法律责任。</w:t>
      </w:r>
      <w:bookmarkEnd w:id="867"/>
    </w:p>
    <w:p w14:paraId="6A7DA786">
      <w:pPr>
        <w:widowControl w:val="0"/>
        <w:spacing w:after="60" w:afterLines="25" w:line="300" w:lineRule="auto"/>
        <w:jc w:val="right"/>
        <w:textAlignment w:val="auto"/>
        <w:rPr>
          <w:rFonts w:hint="eastAsia" w:asciiTheme="minorEastAsia" w:hAnsiTheme="minorEastAsia" w:eastAsiaTheme="minorEastAsia" w:cstheme="minorEastAsia"/>
          <w:color w:val="auto"/>
          <w:sz w:val="24"/>
          <w:lang w:eastAsia="zh-CN"/>
        </w:rPr>
      </w:pPr>
    </w:p>
    <w:p w14:paraId="77EC5DB7">
      <w:pPr>
        <w:widowControl w:val="0"/>
        <w:spacing w:after="60" w:afterLines="25" w:line="300" w:lineRule="auto"/>
        <w:ind w:right="420" w:firstLine="5040" w:firstLineChars="210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投标人（投标单位）：</w:t>
      </w:r>
    </w:p>
    <w:p w14:paraId="5C3C2406">
      <w:pPr>
        <w:widowControl w:val="0"/>
        <w:spacing w:after="60" w:afterLines="25" w:line="300" w:lineRule="auto"/>
        <w:ind w:right="420" w:firstLine="6600" w:firstLineChars="2750"/>
        <w:textAlignment w:val="auto"/>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color w:val="auto"/>
          <w:sz w:val="24"/>
          <w:lang w:eastAsia="zh-CN"/>
        </w:rPr>
        <w:t>日期：</w:t>
      </w:r>
    </w:p>
    <w:p w14:paraId="6BC53333">
      <w:pPr>
        <w:rPr>
          <w:rFonts w:hint="eastAsia" w:asciiTheme="minorEastAsia" w:hAnsiTheme="minorEastAsia" w:eastAsiaTheme="minorEastAsia" w:cstheme="minorEastAsia"/>
          <w:color w:val="auto"/>
          <w:sz w:val="20"/>
          <w:lang w:eastAsia="zh-CN"/>
        </w:rPr>
      </w:pPr>
    </w:p>
    <w:p w14:paraId="52BA34DD">
      <w:pPr>
        <w:pStyle w:val="21"/>
        <w:ind w:firstLine="400"/>
        <w:rPr>
          <w:rFonts w:hint="eastAsia" w:asciiTheme="minorEastAsia" w:hAnsiTheme="minorEastAsia" w:eastAsiaTheme="minorEastAsia" w:cstheme="minorEastAsia"/>
          <w:color w:val="auto"/>
          <w:sz w:val="20"/>
          <w:lang w:eastAsia="zh-CN"/>
        </w:rPr>
      </w:pPr>
    </w:p>
    <w:p w14:paraId="25F84E78">
      <w:pPr>
        <w:rPr>
          <w:rFonts w:hint="eastAsia" w:asciiTheme="minorEastAsia" w:hAnsiTheme="minorEastAsia" w:eastAsiaTheme="minorEastAsia" w:cstheme="minorEastAsia"/>
          <w:color w:val="auto"/>
          <w:lang w:eastAsia="zh-CN"/>
        </w:rPr>
      </w:pPr>
    </w:p>
    <w:p w14:paraId="28069AD5">
      <w:pPr>
        <w:rPr>
          <w:rFonts w:hint="eastAsia" w:asciiTheme="minorEastAsia" w:hAnsiTheme="minorEastAsia" w:eastAsiaTheme="minorEastAsia" w:cstheme="minorEastAsia"/>
          <w:color w:val="auto"/>
          <w:lang w:eastAsia="zh-CN"/>
        </w:rPr>
      </w:pPr>
    </w:p>
    <w:p w14:paraId="127D5CF7">
      <w:pPr>
        <w:pStyle w:val="4"/>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bookmarkStart w:id="868" w:name="_Toc7440"/>
      <w:bookmarkStart w:id="869" w:name="_Toc2813"/>
      <w:bookmarkStart w:id="870" w:name="_Toc16783"/>
      <w:bookmarkStart w:id="871" w:name="_Toc28310"/>
      <w:bookmarkStart w:id="872" w:name="_Toc13378"/>
      <w:bookmarkStart w:id="873" w:name="_Toc17181"/>
      <w:bookmarkStart w:id="874" w:name="_Toc19006"/>
      <w:bookmarkStart w:id="875" w:name="_Toc8498"/>
      <w:bookmarkStart w:id="876" w:name="_Toc7689"/>
      <w:bookmarkStart w:id="877" w:name="_Toc9078"/>
      <w:bookmarkStart w:id="878" w:name="_Toc11271"/>
      <w:bookmarkStart w:id="879" w:name="_Toc19677"/>
      <w:r>
        <w:rPr>
          <w:rFonts w:hint="eastAsia" w:asciiTheme="minorEastAsia" w:hAnsiTheme="minorEastAsia" w:eastAsiaTheme="minorEastAsia" w:cstheme="minorEastAsia"/>
          <w:color w:val="auto"/>
          <w:u w:val="none"/>
          <w:lang w:eastAsia="zh-CN"/>
        </w:rPr>
        <w:t xml:space="preserve">6-3 </w:t>
      </w:r>
      <w:bookmarkEnd w:id="868"/>
      <w:bookmarkEnd w:id="869"/>
      <w:bookmarkEnd w:id="870"/>
      <w:bookmarkEnd w:id="871"/>
      <w:bookmarkEnd w:id="872"/>
      <w:bookmarkEnd w:id="873"/>
      <w:bookmarkEnd w:id="874"/>
      <w:r>
        <w:rPr>
          <w:rFonts w:hint="eastAsia" w:asciiTheme="minorEastAsia" w:hAnsiTheme="minorEastAsia" w:eastAsiaTheme="minorEastAsia" w:cstheme="minorEastAsia"/>
          <w:color w:val="auto"/>
          <w:u w:val="none"/>
          <w:lang w:eastAsia="zh-CN"/>
        </w:rPr>
        <w:t>监狱企业</w:t>
      </w:r>
      <w:bookmarkEnd w:id="875"/>
      <w:r>
        <w:rPr>
          <w:rFonts w:hint="eastAsia" w:asciiTheme="minorEastAsia" w:hAnsiTheme="minorEastAsia" w:eastAsiaTheme="minorEastAsia" w:cstheme="minorEastAsia"/>
          <w:color w:val="auto"/>
          <w:u w:val="none"/>
          <w:lang w:eastAsia="zh-CN"/>
        </w:rPr>
        <w:t>声明函</w:t>
      </w:r>
      <w:bookmarkEnd w:id="876"/>
      <w:bookmarkEnd w:id="877"/>
      <w:bookmarkEnd w:id="878"/>
      <w:bookmarkEnd w:id="879"/>
    </w:p>
    <w:p w14:paraId="7E9FCCF1">
      <w:pPr>
        <w:pStyle w:val="19"/>
        <w:spacing w:before="75" w:beforeAutospacing="0" w:after="75" w:afterAutospacing="0" w:line="420" w:lineRule="atLeast"/>
        <w:ind w:firstLine="48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本公司郑重声明，根据《关于政府采购支持监狱企业发展有关问题的通知》（财库[2014]68号）的规定，本公司为监狱企业。</w:t>
      </w:r>
    </w:p>
    <w:p w14:paraId="3CC07B8A">
      <w:pPr>
        <w:pStyle w:val="19"/>
        <w:spacing w:before="75" w:beforeAutospacing="0" w:after="75" w:afterAutospacing="0" w:line="420" w:lineRule="atLeas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本公司参加______单位的______项目采购活动，采购活动提供本企业（填写制造的货物，由本企业承担工程、提供服务）。</w:t>
      </w:r>
    </w:p>
    <w:p w14:paraId="34221A25">
      <w:pPr>
        <w:pStyle w:val="19"/>
        <w:spacing w:before="75" w:beforeAutospacing="0" w:after="75" w:afterAutospacing="0" w:line="420" w:lineRule="atLeas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本条所称货物不包括使用大型企业注册商标的货物和服务。</w:t>
      </w:r>
    </w:p>
    <w:p w14:paraId="1886168A">
      <w:pPr>
        <w:pStyle w:val="19"/>
        <w:spacing w:before="75" w:beforeAutospacing="0" w:after="75" w:afterAutospacing="0" w:line="420" w:lineRule="atLeas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本公司对上述声明的真实性负责。如有虚假，将依法承担相应责任。</w:t>
      </w:r>
    </w:p>
    <w:p w14:paraId="26400279">
      <w:pPr>
        <w:pStyle w:val="19"/>
        <w:spacing w:before="75" w:beforeAutospacing="0" w:after="75" w:afterAutospacing="0" w:line="420" w:lineRule="atLeast"/>
        <w:rPr>
          <w:rFonts w:hint="eastAsia" w:asciiTheme="minorEastAsia" w:hAnsiTheme="minorEastAsia" w:eastAsiaTheme="minorEastAsia" w:cstheme="minorEastAsia"/>
          <w:color w:val="auto"/>
          <w:lang w:eastAsia="zh-CN"/>
        </w:rPr>
      </w:pPr>
    </w:p>
    <w:p w14:paraId="6B59583C">
      <w:pPr>
        <w:pStyle w:val="19"/>
        <w:spacing w:before="75" w:beforeAutospacing="0" w:after="75" w:afterAutospacing="0" w:line="420" w:lineRule="atLeas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企业名称（加盖公章）：</w:t>
      </w:r>
    </w:p>
    <w:p w14:paraId="104ADA46">
      <w:pPr>
        <w:pStyle w:val="19"/>
        <w:spacing w:before="75" w:beforeAutospacing="0" w:after="75" w:afterAutospacing="0" w:line="420" w:lineRule="atLeas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法定代表人（负责人）或其授权代表(签字或章)：</w:t>
      </w:r>
    </w:p>
    <w:p w14:paraId="45098B20">
      <w:pPr>
        <w:pStyle w:val="19"/>
        <w:spacing w:before="75" w:beforeAutospacing="0" w:after="75" w:afterAutospacing="0" w:line="420" w:lineRule="atLeas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日期：</w:t>
      </w:r>
    </w:p>
    <w:p w14:paraId="789EBDDC">
      <w:pPr>
        <w:pStyle w:val="19"/>
        <w:spacing w:before="75" w:beforeAutospacing="0" w:after="75" w:afterAutospacing="0" w:line="420" w:lineRule="atLeast"/>
        <w:rPr>
          <w:rFonts w:hint="eastAsia" w:asciiTheme="minorEastAsia" w:hAnsiTheme="minorEastAsia" w:eastAsiaTheme="minorEastAsia" w:cstheme="minorEastAsia"/>
          <w:color w:val="auto"/>
          <w:lang w:eastAsia="zh-CN"/>
        </w:rPr>
      </w:pPr>
    </w:p>
    <w:p w14:paraId="0484C05B">
      <w:pPr>
        <w:rPr>
          <w:rFonts w:hint="eastAsia" w:asciiTheme="minorEastAsia" w:hAnsiTheme="minorEastAsia" w:eastAsiaTheme="minorEastAsia" w:cstheme="minorEastAsia"/>
          <w:color w:val="auto"/>
          <w:lang w:eastAsia="zh-CN"/>
        </w:rPr>
      </w:pPr>
      <w:bookmarkStart w:id="880" w:name="_Toc22178"/>
    </w:p>
    <w:p w14:paraId="76A31B49">
      <w:pPr>
        <w:pStyle w:val="4"/>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bookmarkStart w:id="881" w:name="_Toc25040"/>
      <w:r>
        <w:rPr>
          <w:rFonts w:hint="eastAsia" w:asciiTheme="minorEastAsia" w:hAnsiTheme="minorEastAsia" w:eastAsiaTheme="minorEastAsia" w:cstheme="minorEastAsia"/>
          <w:color w:val="auto"/>
          <w:u w:val="none"/>
          <w:lang w:eastAsia="zh-CN"/>
        </w:rPr>
        <w:t>7 投标文件还应包括第五章、综合评分表的所有技术文件</w:t>
      </w:r>
      <w:bookmarkEnd w:id="861"/>
      <w:bookmarkEnd w:id="880"/>
      <w:bookmarkEnd w:id="881"/>
    </w:p>
    <w:p w14:paraId="17AB3C87">
      <w:pPr>
        <w:rPr>
          <w:rFonts w:hint="eastAsia" w:asciiTheme="minorEastAsia" w:hAnsiTheme="minorEastAsia" w:eastAsiaTheme="minorEastAsia" w:cstheme="minorEastAsia"/>
          <w:color w:val="auto"/>
          <w:lang w:eastAsia="zh-CN"/>
        </w:rPr>
      </w:pPr>
      <w:bookmarkStart w:id="882" w:name="_Toc28099"/>
      <w:bookmarkStart w:id="883" w:name="_Toc515647827"/>
      <w:bookmarkStart w:id="884" w:name="_Toc30795"/>
      <w:bookmarkStart w:id="885" w:name="_Toc10002"/>
    </w:p>
    <w:p w14:paraId="33165560">
      <w:pPr>
        <w:pStyle w:val="21"/>
        <w:ind w:firstLine="0" w:firstLineChars="0"/>
        <w:rPr>
          <w:rFonts w:hint="eastAsia" w:asciiTheme="minorEastAsia" w:hAnsiTheme="minorEastAsia" w:eastAsiaTheme="minorEastAsia" w:cstheme="minorEastAsia"/>
          <w:color w:val="auto"/>
          <w:lang w:eastAsia="zh-CN"/>
        </w:rPr>
      </w:pPr>
    </w:p>
    <w:p w14:paraId="328EAED7">
      <w:pPr>
        <w:pStyle w:val="4"/>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bookmarkStart w:id="886" w:name="_Toc7250"/>
      <w:bookmarkStart w:id="887" w:name="_Toc8592"/>
      <w:bookmarkStart w:id="888" w:name="_Toc6272"/>
      <w:bookmarkStart w:id="889" w:name="_Toc15187"/>
      <w:bookmarkStart w:id="890" w:name="_Toc12381"/>
      <w:bookmarkStart w:id="891" w:name="_Toc24363"/>
      <w:bookmarkStart w:id="892" w:name="_Toc1286"/>
      <w:bookmarkStart w:id="893" w:name="_Toc14100"/>
      <w:bookmarkStart w:id="894" w:name="_Toc26500"/>
      <w:bookmarkStart w:id="895" w:name="_Toc6646"/>
      <w:r>
        <w:rPr>
          <w:rFonts w:hint="eastAsia" w:asciiTheme="minorEastAsia" w:hAnsiTheme="minorEastAsia" w:eastAsiaTheme="minorEastAsia" w:cstheme="minorEastAsia"/>
          <w:color w:val="auto"/>
          <w:u w:val="none"/>
          <w:lang w:eastAsia="zh-CN"/>
        </w:rPr>
        <w:t>8</w:t>
      </w:r>
      <w:r>
        <w:rPr>
          <w:rFonts w:hint="eastAsia" w:asciiTheme="minorEastAsia" w:hAnsiTheme="minorEastAsia" w:eastAsiaTheme="minorEastAsia" w:cstheme="minorEastAsia"/>
          <w:color w:val="auto"/>
          <w:u w:val="none"/>
          <w:lang w:val="en-US" w:eastAsia="zh-CN"/>
        </w:rPr>
        <w:t xml:space="preserve"> </w:t>
      </w:r>
      <w:r>
        <w:rPr>
          <w:rFonts w:hint="eastAsia" w:asciiTheme="minorEastAsia" w:hAnsiTheme="minorEastAsia" w:eastAsiaTheme="minorEastAsia" w:cstheme="minorEastAsia"/>
          <w:color w:val="auto"/>
          <w:u w:val="none"/>
          <w:lang w:eastAsia="zh-CN"/>
        </w:rPr>
        <w:t>投标人关联单位的说明</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14:paraId="52425579">
      <w:pPr>
        <w:pStyle w:val="5"/>
        <w:jc w:val="center"/>
        <w:rPr>
          <w:rFonts w:hint="eastAsia" w:asciiTheme="minorEastAsia" w:hAnsiTheme="minorEastAsia" w:eastAsiaTheme="minorEastAsia" w:cstheme="minorEastAsia"/>
          <w:color w:val="auto"/>
          <w:lang w:eastAsia="zh-CN"/>
        </w:rPr>
      </w:pPr>
    </w:p>
    <w:p w14:paraId="01B95AE9">
      <w:pPr>
        <w:pStyle w:val="5"/>
        <w:ind w:firstLine="48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说明：投标人应当如实披露与本单位存在下列关联关系的单位名称：</w:t>
      </w:r>
    </w:p>
    <w:p w14:paraId="78A59CEE">
      <w:pPr>
        <w:pStyle w:val="5"/>
        <w:ind w:firstLine="48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（1）与投标人单位负责人为同一人的其他单位；</w:t>
      </w:r>
    </w:p>
    <w:p w14:paraId="7B96C989">
      <w:pPr>
        <w:pStyle w:val="5"/>
        <w:ind w:firstLine="48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（2）与投标人存在直接控股、管理关系的其他单位。</w:t>
      </w:r>
    </w:p>
    <w:p w14:paraId="006B674C">
      <w:pPr>
        <w:pStyle w:val="8"/>
        <w:tabs>
          <w:tab w:val="left" w:pos="567"/>
        </w:tabs>
        <w:rPr>
          <w:rFonts w:hint="eastAsia" w:asciiTheme="minorEastAsia" w:hAnsiTheme="minorEastAsia" w:eastAsiaTheme="minorEastAsia" w:cstheme="minorEastAsia"/>
          <w:color w:val="auto"/>
          <w:lang w:eastAsia="zh-CN"/>
        </w:rPr>
      </w:pPr>
    </w:p>
    <w:p w14:paraId="7C2191CC">
      <w:pPr>
        <w:pStyle w:val="4"/>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bookmarkStart w:id="896" w:name="_Toc32047"/>
      <w:bookmarkStart w:id="897" w:name="_Toc16143"/>
      <w:bookmarkStart w:id="898" w:name="_Toc28623"/>
      <w:r>
        <w:rPr>
          <w:rFonts w:hint="eastAsia" w:asciiTheme="minorEastAsia" w:hAnsiTheme="minorEastAsia" w:eastAsiaTheme="minorEastAsia" w:cstheme="minorEastAsia"/>
          <w:color w:val="auto"/>
          <w:u w:val="none"/>
          <w:lang w:eastAsia="zh-CN"/>
        </w:rPr>
        <w:t>9 其他有利于投标人的文件或证明材料</w:t>
      </w:r>
      <w:bookmarkEnd w:id="896"/>
      <w:bookmarkEnd w:id="897"/>
      <w:bookmarkEnd w:id="898"/>
    </w:p>
    <w:p w14:paraId="627DBB95">
      <w:pPr>
        <w:pStyle w:val="15"/>
        <w:ind w:left="480" w:hanging="480" w:hangingChars="200"/>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color w:val="auto"/>
          <w:sz w:val="24"/>
          <w:lang w:eastAsia="zh-CN"/>
        </w:rPr>
        <w:t>注：参照“第六章评分方法和标准”，提供有力于投标人的其他证明文件或供货及实施方案、服务方案</w:t>
      </w:r>
      <w:bookmarkStart w:id="899" w:name="_Toc9667"/>
      <w:bookmarkStart w:id="900" w:name="_Toc15737"/>
      <w:bookmarkStart w:id="901" w:name="_Toc22391"/>
      <w:bookmarkStart w:id="902" w:name="_Toc283"/>
      <w:bookmarkStart w:id="903" w:name="_Toc26225"/>
      <w:bookmarkStart w:id="904" w:name="_Toc31553"/>
      <w:bookmarkStart w:id="905" w:name="_Toc9043"/>
    </w:p>
    <w:p w14:paraId="58FF1BB9">
      <w:pPr>
        <w:rPr>
          <w:rFonts w:hint="eastAsia" w:asciiTheme="minorEastAsia" w:hAnsiTheme="minorEastAsia" w:eastAsiaTheme="minorEastAsia" w:cstheme="minorEastAsia"/>
          <w:color w:val="auto"/>
          <w:lang w:eastAsia="zh-CN"/>
        </w:rPr>
      </w:pPr>
    </w:p>
    <w:p w14:paraId="4F9C8F8B">
      <w:pPr>
        <w:rPr>
          <w:rFonts w:hint="eastAsia" w:asciiTheme="minorEastAsia" w:hAnsiTheme="minorEastAsia" w:eastAsiaTheme="minorEastAsia" w:cstheme="minorEastAsia"/>
          <w:color w:val="auto"/>
          <w:lang w:eastAsia="zh-CN"/>
        </w:rPr>
      </w:pPr>
    </w:p>
    <w:p w14:paraId="20FF4F4E">
      <w:pPr>
        <w:pStyle w:val="4"/>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bookmarkStart w:id="906" w:name="_Toc21278"/>
      <w:bookmarkStart w:id="907" w:name="_Toc9989"/>
      <w:r>
        <w:rPr>
          <w:rFonts w:hint="eastAsia" w:asciiTheme="minorEastAsia" w:hAnsiTheme="minorEastAsia" w:eastAsiaTheme="minorEastAsia" w:cstheme="minorEastAsia"/>
          <w:color w:val="auto"/>
          <w:u w:val="none"/>
          <w:lang w:eastAsia="zh-CN"/>
        </w:rPr>
        <w:t>10 对本项目投标文件（响应文件）中资料真实性的承诺</w:t>
      </w:r>
      <w:bookmarkEnd w:id="899"/>
      <w:bookmarkEnd w:id="900"/>
      <w:bookmarkEnd w:id="901"/>
      <w:bookmarkEnd w:id="902"/>
      <w:bookmarkEnd w:id="903"/>
      <w:bookmarkEnd w:id="904"/>
      <w:bookmarkEnd w:id="905"/>
      <w:bookmarkEnd w:id="906"/>
      <w:bookmarkEnd w:id="907"/>
    </w:p>
    <w:p w14:paraId="4AB4E660">
      <w:pPr>
        <w:rPr>
          <w:rFonts w:hint="eastAsia" w:asciiTheme="minorEastAsia" w:hAnsiTheme="minorEastAsia" w:eastAsiaTheme="minorEastAsia" w:cstheme="minorEastAsia"/>
          <w:b/>
          <w:color w:val="auto"/>
          <w:sz w:val="28"/>
          <w:szCs w:val="28"/>
          <w:lang w:eastAsia="zh-CN"/>
        </w:rPr>
      </w:pPr>
    </w:p>
    <w:p w14:paraId="3F11CAD2">
      <w:pPr>
        <w:spacing w:line="360" w:lineRule="auto"/>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伽师县****项目评标委员会：</w:t>
      </w:r>
    </w:p>
    <w:p w14:paraId="4769AC1A">
      <w:pPr>
        <w:spacing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szCs w:val="20"/>
          <w:lang w:eastAsia="zh-CN"/>
        </w:rPr>
        <w:t>根据《中华人民共和国政府采购法》、《中华人民共和国政府采购法实施</w:t>
      </w:r>
      <w:r>
        <w:rPr>
          <w:rFonts w:hint="eastAsia" w:asciiTheme="minorEastAsia" w:hAnsiTheme="minorEastAsia" w:eastAsiaTheme="minorEastAsia" w:cstheme="minorEastAsia"/>
          <w:color w:val="auto"/>
          <w:sz w:val="24"/>
          <w:lang w:eastAsia="zh-CN"/>
        </w:rPr>
        <w:t>条例》等有关法律、法规的规定和</w:t>
      </w:r>
      <w:r>
        <w:rPr>
          <w:rFonts w:hint="eastAsia" w:asciiTheme="minorEastAsia" w:hAnsiTheme="minorEastAsia" w:eastAsiaTheme="minorEastAsia" w:cstheme="minorEastAsia"/>
          <w:color w:val="auto"/>
          <w:sz w:val="24"/>
          <w:u w:val="single" w:color="000000"/>
          <w:lang w:eastAsia="zh-CN"/>
        </w:rPr>
        <w:t>***项目项目编号***、第**标段  </w:t>
      </w:r>
      <w:r>
        <w:rPr>
          <w:rFonts w:hint="eastAsia" w:asciiTheme="minorEastAsia" w:hAnsiTheme="minorEastAsia" w:eastAsiaTheme="minorEastAsia" w:cstheme="minorEastAsia"/>
          <w:color w:val="auto"/>
          <w:sz w:val="24"/>
          <w:lang w:eastAsia="zh-CN"/>
        </w:rPr>
        <w:t>的招标文件（或竞争性谈判文件）的要求，我公司在参加</w:t>
      </w:r>
      <w:r>
        <w:rPr>
          <w:rFonts w:hint="eastAsia" w:asciiTheme="minorEastAsia" w:hAnsiTheme="minorEastAsia" w:eastAsiaTheme="minorEastAsia" w:cstheme="minorEastAsia"/>
          <w:color w:val="auto"/>
          <w:sz w:val="24"/>
          <w:u w:val="single" w:color="000000"/>
          <w:lang w:eastAsia="zh-CN"/>
        </w:rPr>
        <w:t xml:space="preserve"> ***项目项目编号***、第**标段</w:t>
      </w:r>
      <w:r>
        <w:rPr>
          <w:rFonts w:hint="eastAsia" w:asciiTheme="minorEastAsia" w:hAnsiTheme="minorEastAsia" w:eastAsiaTheme="minorEastAsia" w:cstheme="minorEastAsia"/>
          <w:color w:val="auto"/>
          <w:sz w:val="24"/>
          <w:lang w:eastAsia="zh-CN"/>
        </w:rPr>
        <w:t>投标文件（响应文件）中所提供资料真实性作如下承诺：</w:t>
      </w:r>
    </w:p>
    <w:p w14:paraId="4D908ECC">
      <w:pPr>
        <w:spacing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我公司将严格按招标文件</w:t>
      </w:r>
      <w:bookmarkStart w:id="908" w:name="_Hlk5982690"/>
      <w:r>
        <w:rPr>
          <w:rFonts w:hint="eastAsia" w:asciiTheme="minorEastAsia" w:hAnsiTheme="minorEastAsia" w:eastAsiaTheme="minorEastAsia" w:cstheme="minorEastAsia"/>
          <w:color w:val="auto"/>
          <w:sz w:val="24"/>
          <w:lang w:eastAsia="zh-CN"/>
        </w:rPr>
        <w:t>（或竞争性谈判）</w:t>
      </w:r>
      <w:bookmarkEnd w:id="908"/>
      <w:r>
        <w:rPr>
          <w:rFonts w:hint="eastAsia" w:asciiTheme="minorEastAsia" w:hAnsiTheme="minorEastAsia" w:eastAsiaTheme="minorEastAsia" w:cstheme="minorEastAsia"/>
          <w:color w:val="auto"/>
          <w:sz w:val="24"/>
          <w:lang w:eastAsia="zh-CN"/>
        </w:rPr>
        <w:t xml:space="preserve">要求，在编制本投标文件（响应文件）时，对投标文件中所提供的资料全部真实和正确，并对提供的所有资料（资格、其他材料等）的真实性负责！ </w:t>
      </w:r>
    </w:p>
    <w:p w14:paraId="1A5C7191">
      <w:pPr>
        <w:spacing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对提供的全部资料中有存在不真实（伪造或租借等虚假资料）情形，将无条件接受任何处罚，自行承担由此引起的一切责任！</w:t>
      </w:r>
    </w:p>
    <w:p w14:paraId="0893005A">
      <w:pPr>
        <w:spacing w:line="360" w:lineRule="auto"/>
        <w:ind w:firstLine="720" w:firstLineChars="300"/>
        <w:rPr>
          <w:rFonts w:hint="eastAsia" w:asciiTheme="minorEastAsia" w:hAnsiTheme="minorEastAsia" w:eastAsiaTheme="minorEastAsia" w:cstheme="minorEastAsia"/>
          <w:color w:val="auto"/>
          <w:sz w:val="24"/>
          <w:lang w:eastAsia="zh-CN"/>
        </w:rPr>
      </w:pPr>
    </w:p>
    <w:p w14:paraId="7B6508EE">
      <w:pPr>
        <w:spacing w:line="360" w:lineRule="auto"/>
        <w:ind w:firstLine="720" w:firstLineChars="3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特此承诺</w:t>
      </w:r>
    </w:p>
    <w:p w14:paraId="673F05A3">
      <w:pPr>
        <w:spacing w:line="360" w:lineRule="auto"/>
        <w:rPr>
          <w:rFonts w:hint="eastAsia" w:asciiTheme="minorEastAsia" w:hAnsiTheme="minorEastAsia" w:eastAsiaTheme="minorEastAsia" w:cstheme="minorEastAsia"/>
          <w:color w:val="auto"/>
          <w:sz w:val="24"/>
          <w:lang w:eastAsia="zh-CN"/>
        </w:rPr>
      </w:pPr>
    </w:p>
    <w:p w14:paraId="77206FB6">
      <w:pPr>
        <w:spacing w:line="360" w:lineRule="auto"/>
        <w:ind w:left="4200" w:firstLine="42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供应商名称（加盖盖章）：</w:t>
      </w:r>
    </w:p>
    <w:p w14:paraId="5FDCC09B">
      <w:pPr>
        <w:spacing w:line="360" w:lineRule="auto"/>
        <w:ind w:left="4200" w:firstLine="42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法定代表人（签字或章）：</w:t>
      </w:r>
    </w:p>
    <w:p w14:paraId="6CE9BA97">
      <w:pPr>
        <w:spacing w:line="360" w:lineRule="auto"/>
        <w:ind w:left="4200" w:firstLine="42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联系方式：</w:t>
      </w:r>
    </w:p>
    <w:p w14:paraId="28F51273">
      <w:pPr>
        <w:spacing w:line="360" w:lineRule="auto"/>
        <w:ind w:left="4200" w:firstLine="42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年      月       日</w:t>
      </w:r>
    </w:p>
    <w:p w14:paraId="3A44B9C8">
      <w:pP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br w:type="page"/>
      </w:r>
    </w:p>
    <w:p w14:paraId="7D2A98E7">
      <w:pPr>
        <w:spacing w:line="360" w:lineRule="auto"/>
        <w:ind w:firstLine="4560" w:firstLineChars="1900"/>
        <w:rPr>
          <w:rFonts w:hint="eastAsia" w:asciiTheme="minorEastAsia" w:hAnsiTheme="minorEastAsia" w:eastAsiaTheme="minorEastAsia" w:cstheme="minorEastAsia"/>
          <w:color w:val="auto"/>
          <w:sz w:val="24"/>
          <w:lang w:eastAsia="zh-CN"/>
        </w:rPr>
      </w:pPr>
    </w:p>
    <w:p w14:paraId="6EE28DDA">
      <w:pPr>
        <w:spacing w:line="240" w:lineRule="atLeast"/>
        <w:jc w:val="both"/>
        <w:rPr>
          <w:rFonts w:hint="eastAsia" w:asciiTheme="minorEastAsia" w:hAnsiTheme="minorEastAsia" w:eastAsiaTheme="minorEastAsia" w:cstheme="minorEastAsia"/>
          <w:b/>
          <w:color w:val="auto"/>
          <w:sz w:val="52"/>
          <w:szCs w:val="52"/>
          <w:lang w:eastAsia="zh-CN"/>
        </w:rPr>
      </w:pPr>
    </w:p>
    <w:p w14:paraId="2FB0DE73">
      <w:pPr>
        <w:spacing w:line="240" w:lineRule="atLeast"/>
        <w:jc w:val="both"/>
        <w:rPr>
          <w:rFonts w:hint="eastAsia" w:asciiTheme="minorEastAsia" w:hAnsiTheme="minorEastAsia" w:eastAsiaTheme="minorEastAsia" w:cstheme="minorEastAsia"/>
          <w:b/>
          <w:color w:val="auto"/>
          <w:sz w:val="52"/>
          <w:szCs w:val="52"/>
          <w:lang w:eastAsia="zh-CN"/>
        </w:rPr>
      </w:pPr>
    </w:p>
    <w:p w14:paraId="65557116">
      <w:pPr>
        <w:spacing w:line="240" w:lineRule="atLeast"/>
        <w:ind w:left="1080" w:leftChars="257" w:hanging="540"/>
        <w:jc w:val="center"/>
        <w:rPr>
          <w:rFonts w:hint="eastAsia" w:asciiTheme="minorEastAsia" w:hAnsiTheme="minorEastAsia" w:eastAsiaTheme="minorEastAsia" w:cstheme="minorEastAsia"/>
          <w:b/>
          <w:color w:val="auto"/>
          <w:sz w:val="52"/>
          <w:szCs w:val="52"/>
          <w:lang w:eastAsia="zh-CN"/>
        </w:rPr>
      </w:pPr>
      <w:r>
        <w:rPr>
          <w:rFonts w:hint="eastAsia" w:asciiTheme="minorEastAsia" w:hAnsiTheme="minorEastAsia" w:eastAsiaTheme="minorEastAsia" w:cstheme="minorEastAsia"/>
          <w:b/>
          <w:color w:val="auto"/>
          <w:sz w:val="52"/>
          <w:szCs w:val="52"/>
          <w:lang w:eastAsia="zh-CN"/>
        </w:rPr>
        <w:t>货物类</w:t>
      </w:r>
    </w:p>
    <w:p w14:paraId="52A5C99C">
      <w:pPr>
        <w:pStyle w:val="15"/>
        <w:rPr>
          <w:rFonts w:hint="eastAsia" w:asciiTheme="minorEastAsia" w:hAnsiTheme="minorEastAsia" w:eastAsiaTheme="minorEastAsia" w:cstheme="minorEastAsia"/>
          <w:b/>
          <w:color w:val="auto"/>
          <w:sz w:val="52"/>
          <w:szCs w:val="52"/>
          <w:lang w:eastAsia="zh-CN"/>
        </w:rPr>
      </w:pPr>
    </w:p>
    <w:p w14:paraId="1776B63B">
      <w:pPr>
        <w:pStyle w:val="8"/>
        <w:tabs>
          <w:tab w:val="left" w:pos="567"/>
        </w:tabs>
        <w:rPr>
          <w:rFonts w:hint="eastAsia" w:asciiTheme="minorEastAsia" w:hAnsiTheme="minorEastAsia" w:eastAsiaTheme="minorEastAsia" w:cstheme="minorEastAsia"/>
          <w:color w:val="auto"/>
          <w:lang w:eastAsia="zh-CN"/>
        </w:rPr>
      </w:pPr>
    </w:p>
    <w:p w14:paraId="73260D59">
      <w:pPr>
        <w:pStyle w:val="8"/>
        <w:tabs>
          <w:tab w:val="left" w:pos="567"/>
        </w:tabs>
        <w:rPr>
          <w:rFonts w:hint="eastAsia" w:asciiTheme="minorEastAsia" w:hAnsiTheme="minorEastAsia" w:eastAsiaTheme="minorEastAsia" w:cstheme="minorEastAsia"/>
          <w:color w:val="auto"/>
          <w:lang w:eastAsia="zh-CN"/>
        </w:rPr>
      </w:pPr>
    </w:p>
    <w:p w14:paraId="603D5499">
      <w:pPr>
        <w:rPr>
          <w:rFonts w:hint="eastAsia" w:asciiTheme="minorEastAsia" w:hAnsiTheme="minorEastAsia" w:eastAsiaTheme="minorEastAsia" w:cstheme="minorEastAsia"/>
          <w:color w:val="auto"/>
          <w:lang w:eastAsia="zh-CN"/>
        </w:rPr>
      </w:pPr>
    </w:p>
    <w:p w14:paraId="16DCBED0">
      <w:pPr>
        <w:spacing w:line="240" w:lineRule="atLeast"/>
        <w:jc w:val="both"/>
        <w:rPr>
          <w:rFonts w:hint="eastAsia" w:asciiTheme="minorEastAsia" w:hAnsiTheme="minorEastAsia" w:eastAsiaTheme="minorEastAsia" w:cstheme="minorEastAsia"/>
          <w:b/>
          <w:color w:val="auto"/>
          <w:sz w:val="52"/>
          <w:szCs w:val="52"/>
          <w:lang w:eastAsia="zh-CN"/>
        </w:rPr>
      </w:pPr>
    </w:p>
    <w:p w14:paraId="18F45B9E">
      <w:pPr>
        <w:spacing w:line="240" w:lineRule="atLeast"/>
        <w:ind w:left="1080" w:leftChars="257" w:hanging="540"/>
        <w:jc w:val="center"/>
        <w:rPr>
          <w:rFonts w:hint="eastAsia" w:asciiTheme="minorEastAsia" w:hAnsiTheme="minorEastAsia" w:eastAsiaTheme="minorEastAsia" w:cstheme="minorEastAsia"/>
          <w:b/>
          <w:color w:val="auto"/>
          <w:sz w:val="52"/>
          <w:szCs w:val="52"/>
          <w:lang w:eastAsia="zh-CN"/>
        </w:rPr>
      </w:pPr>
      <w:r>
        <w:rPr>
          <w:rFonts w:hint="eastAsia" w:asciiTheme="minorEastAsia" w:hAnsiTheme="minorEastAsia" w:eastAsiaTheme="minorEastAsia" w:cstheme="minorEastAsia"/>
          <w:b/>
          <w:color w:val="auto"/>
          <w:sz w:val="52"/>
          <w:szCs w:val="52"/>
          <w:lang w:eastAsia="zh-CN"/>
        </w:rPr>
        <w:t>政府采购公开招标文件</w:t>
      </w:r>
    </w:p>
    <w:p w14:paraId="0843B068">
      <w:pPr>
        <w:spacing w:line="240" w:lineRule="atLeast"/>
        <w:ind w:left="1080" w:leftChars="257" w:hanging="540"/>
        <w:rPr>
          <w:rFonts w:hint="eastAsia" w:asciiTheme="minorEastAsia" w:hAnsiTheme="minorEastAsia" w:eastAsiaTheme="minorEastAsia" w:cstheme="minorEastAsia"/>
          <w:b/>
          <w:color w:val="auto"/>
          <w:sz w:val="28"/>
          <w:lang w:eastAsia="zh-CN"/>
        </w:rPr>
      </w:pPr>
    </w:p>
    <w:p w14:paraId="7F61182C">
      <w:pPr>
        <w:pStyle w:val="15"/>
        <w:rPr>
          <w:rFonts w:hint="eastAsia" w:asciiTheme="minorEastAsia" w:hAnsiTheme="minorEastAsia" w:eastAsiaTheme="minorEastAsia" w:cstheme="minorEastAsia"/>
          <w:color w:val="auto"/>
          <w:lang w:eastAsia="zh-CN"/>
        </w:rPr>
      </w:pPr>
    </w:p>
    <w:p w14:paraId="3A878DA0">
      <w:pPr>
        <w:pStyle w:val="8"/>
        <w:tabs>
          <w:tab w:val="left" w:pos="567"/>
        </w:tabs>
        <w:rPr>
          <w:rFonts w:hint="eastAsia" w:asciiTheme="minorEastAsia" w:hAnsiTheme="minorEastAsia" w:eastAsiaTheme="minorEastAsia" w:cstheme="minorEastAsia"/>
          <w:color w:val="auto"/>
          <w:lang w:eastAsia="zh-CN"/>
        </w:rPr>
      </w:pPr>
    </w:p>
    <w:p w14:paraId="37B0C51F">
      <w:pPr>
        <w:rPr>
          <w:rFonts w:hint="eastAsia" w:asciiTheme="minorEastAsia" w:hAnsiTheme="minorEastAsia" w:eastAsiaTheme="minorEastAsia" w:cstheme="minorEastAsia"/>
          <w:color w:val="auto"/>
          <w:lang w:eastAsia="zh-CN"/>
        </w:rPr>
      </w:pPr>
    </w:p>
    <w:p w14:paraId="47477BB0">
      <w:pPr>
        <w:rPr>
          <w:rFonts w:hint="eastAsia" w:asciiTheme="minorEastAsia" w:hAnsiTheme="minorEastAsia" w:eastAsiaTheme="minorEastAsia" w:cstheme="minorEastAsia"/>
          <w:color w:val="auto"/>
          <w:lang w:eastAsia="zh-CN"/>
        </w:rPr>
      </w:pPr>
    </w:p>
    <w:p w14:paraId="723714E3">
      <w:pPr>
        <w:spacing w:line="240" w:lineRule="atLeast"/>
        <w:jc w:val="both"/>
        <w:rPr>
          <w:rFonts w:hint="eastAsia" w:asciiTheme="minorEastAsia" w:hAnsiTheme="minorEastAsia" w:eastAsiaTheme="minorEastAsia" w:cstheme="minorEastAsia"/>
          <w:b/>
          <w:color w:val="auto"/>
          <w:sz w:val="48"/>
          <w:szCs w:val="48"/>
          <w:lang w:eastAsia="zh-CN"/>
        </w:rPr>
      </w:pPr>
    </w:p>
    <w:p w14:paraId="40C27846">
      <w:pPr>
        <w:spacing w:line="240" w:lineRule="atLeast"/>
        <w:ind w:left="1080" w:leftChars="257" w:hanging="540"/>
        <w:jc w:val="center"/>
        <w:rPr>
          <w:rFonts w:hint="eastAsia" w:asciiTheme="minorEastAsia" w:hAnsiTheme="minorEastAsia" w:eastAsiaTheme="minorEastAsia" w:cstheme="minorEastAsia"/>
          <w:b/>
          <w:color w:val="auto"/>
          <w:sz w:val="48"/>
          <w:szCs w:val="48"/>
          <w:lang w:eastAsia="zh-CN"/>
        </w:rPr>
      </w:pPr>
      <w:r>
        <w:rPr>
          <w:rFonts w:hint="eastAsia" w:asciiTheme="minorEastAsia" w:hAnsiTheme="minorEastAsia" w:eastAsiaTheme="minorEastAsia" w:cstheme="minorEastAsia"/>
          <w:b/>
          <w:color w:val="auto"/>
          <w:sz w:val="48"/>
          <w:szCs w:val="48"/>
          <w:lang w:eastAsia="zh-CN"/>
        </w:rPr>
        <w:t>第二册</w:t>
      </w:r>
    </w:p>
    <w:p w14:paraId="1C704467">
      <w:pPr>
        <w:rPr>
          <w:rFonts w:hint="eastAsia" w:asciiTheme="minorEastAsia" w:hAnsiTheme="minorEastAsia" w:eastAsiaTheme="minorEastAsia" w:cstheme="minorEastAsia"/>
          <w:color w:val="auto"/>
          <w:sz w:val="44"/>
          <w:szCs w:val="44"/>
          <w:lang w:eastAsia="zh-CN"/>
        </w:rPr>
      </w:pPr>
      <w:r>
        <w:rPr>
          <w:rFonts w:hint="eastAsia" w:asciiTheme="minorEastAsia" w:hAnsiTheme="minorEastAsia" w:eastAsiaTheme="minorEastAsia" w:cstheme="minorEastAsia"/>
          <w:color w:val="auto"/>
          <w:sz w:val="44"/>
          <w:szCs w:val="44"/>
          <w:lang w:eastAsia="zh-CN"/>
        </w:rPr>
        <w:br w:type="page"/>
      </w:r>
    </w:p>
    <w:p w14:paraId="6F1D15F9">
      <w:pPr>
        <w:pStyle w:val="2"/>
        <w:tabs>
          <w:tab w:val="left" w:pos="0"/>
        </w:tabs>
        <w:kinsoku/>
        <w:spacing w:before="0" w:after="0" w:line="360" w:lineRule="auto"/>
        <w:rPr>
          <w:rFonts w:hint="eastAsia" w:asciiTheme="minorEastAsia" w:hAnsiTheme="minorEastAsia" w:eastAsiaTheme="minorEastAsia" w:cstheme="minorEastAsia"/>
          <w:color w:val="auto"/>
          <w:sz w:val="44"/>
          <w:szCs w:val="44"/>
          <w:lang w:eastAsia="zh-CN"/>
        </w:rPr>
      </w:pPr>
      <w:r>
        <w:rPr>
          <w:rFonts w:hint="eastAsia" w:asciiTheme="minorEastAsia" w:hAnsiTheme="minorEastAsia" w:eastAsiaTheme="minorEastAsia" w:cstheme="minorEastAsia"/>
          <w:color w:val="auto"/>
          <w:sz w:val="44"/>
          <w:szCs w:val="44"/>
          <w:lang w:eastAsia="zh-CN"/>
        </w:rPr>
        <w:t>第三章  投标邀请</w:t>
      </w:r>
      <w:bookmarkEnd w:id="0"/>
    </w:p>
    <w:p w14:paraId="63D7CC55">
      <w:pPr>
        <w:kinsoku/>
        <w:autoSpaceDE/>
        <w:autoSpaceDN/>
        <w:adjustRightInd/>
        <w:spacing w:line="396" w:lineRule="exact"/>
        <w:jc w:val="center"/>
        <w:rPr>
          <w:rStyle w:val="26"/>
          <w:rFonts w:hint="eastAsia" w:asciiTheme="minorEastAsia" w:hAnsiTheme="minorEastAsia" w:eastAsiaTheme="minorEastAsia" w:cstheme="minorEastAsia"/>
          <w:b/>
          <w:bCs/>
          <w:color w:val="auto"/>
          <w:sz w:val="28"/>
          <w:szCs w:val="28"/>
          <w:lang w:eastAsia="zh-CN"/>
        </w:rPr>
      </w:pPr>
      <w:r>
        <w:rPr>
          <w:rStyle w:val="26"/>
          <w:rFonts w:hint="eastAsia" w:asciiTheme="minorEastAsia" w:hAnsiTheme="minorEastAsia" w:eastAsiaTheme="minorEastAsia" w:cstheme="minorEastAsia"/>
          <w:b/>
          <w:bCs/>
          <w:color w:val="auto"/>
          <w:sz w:val="28"/>
          <w:szCs w:val="28"/>
          <w:lang w:eastAsia="zh-CN"/>
        </w:rPr>
        <w:t>【县级】伽师县2025年学校声像图书室建设项目二标段</w:t>
      </w:r>
    </w:p>
    <w:p w14:paraId="0E28FEEE">
      <w:pPr>
        <w:kinsoku/>
        <w:autoSpaceDE/>
        <w:autoSpaceDN/>
        <w:adjustRightInd/>
        <w:spacing w:line="396" w:lineRule="exact"/>
        <w:jc w:val="center"/>
        <w:rPr>
          <w:rStyle w:val="26"/>
          <w:rFonts w:hint="eastAsia" w:asciiTheme="minorEastAsia" w:hAnsiTheme="minorEastAsia" w:eastAsiaTheme="minorEastAsia" w:cstheme="minorEastAsia"/>
          <w:b/>
          <w:bCs/>
          <w:color w:val="auto"/>
          <w:sz w:val="28"/>
          <w:szCs w:val="28"/>
          <w:lang w:eastAsia="zh-CN"/>
        </w:rPr>
      </w:pPr>
      <w:r>
        <w:rPr>
          <w:rStyle w:val="26"/>
          <w:rFonts w:hint="eastAsia" w:asciiTheme="minorEastAsia" w:hAnsiTheme="minorEastAsia" w:eastAsiaTheme="minorEastAsia" w:cstheme="minorEastAsia"/>
          <w:b/>
          <w:bCs/>
          <w:color w:val="auto"/>
          <w:sz w:val="28"/>
          <w:szCs w:val="28"/>
          <w:lang w:eastAsia="zh-CN"/>
        </w:rPr>
        <w:t>公开招标公告</w:t>
      </w:r>
    </w:p>
    <w:p w14:paraId="42436AF8">
      <w:pPr>
        <w:pBdr>
          <w:top w:val="single" w:color="000000" w:sz="4" w:space="1"/>
          <w:left w:val="single" w:color="000000" w:sz="4" w:space="4"/>
          <w:bottom w:val="single" w:color="000000" w:sz="4" w:space="1"/>
          <w:right w:val="single" w:color="000000" w:sz="4" w:space="4"/>
        </w:pBdr>
        <w:kinsoku/>
        <w:autoSpaceDE/>
        <w:autoSpaceDN/>
        <w:adjustRightInd/>
        <w:spacing w:line="396" w:lineRule="exact"/>
        <w:ind w:firstLine="560" w:firstLineChars="200"/>
        <w:rPr>
          <w:rStyle w:val="26"/>
          <w:rFonts w:hint="eastAsia" w:asciiTheme="minorEastAsia" w:hAnsiTheme="minorEastAsia" w:eastAsiaTheme="minorEastAsia" w:cstheme="minorEastAsia"/>
          <w:color w:val="auto"/>
          <w:sz w:val="28"/>
          <w:szCs w:val="28"/>
          <w:lang w:eastAsia="zh-CN"/>
        </w:rPr>
      </w:pPr>
      <w:r>
        <w:rPr>
          <w:rStyle w:val="26"/>
          <w:rFonts w:hint="eastAsia" w:asciiTheme="minorEastAsia" w:hAnsiTheme="minorEastAsia" w:eastAsiaTheme="minorEastAsia" w:cstheme="minorEastAsia"/>
          <w:color w:val="auto"/>
          <w:sz w:val="28"/>
          <w:szCs w:val="28"/>
          <w:lang w:eastAsia="zh-CN"/>
        </w:rPr>
        <w:t>项目概况</w:t>
      </w:r>
    </w:p>
    <w:p w14:paraId="2BE82474">
      <w:pPr>
        <w:pBdr>
          <w:top w:val="single" w:color="000000" w:sz="4" w:space="1"/>
          <w:left w:val="single" w:color="000000" w:sz="4" w:space="4"/>
          <w:bottom w:val="single" w:color="000000" w:sz="4" w:space="1"/>
          <w:right w:val="single" w:color="000000" w:sz="4" w:space="4"/>
        </w:pBdr>
        <w:kinsoku/>
        <w:autoSpaceDE/>
        <w:autoSpaceDN/>
        <w:adjustRightInd/>
        <w:spacing w:line="396" w:lineRule="exact"/>
        <w:ind w:firstLine="56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8"/>
          <w:szCs w:val="28"/>
          <w:u w:val="single"/>
          <w:lang w:eastAsia="zh-CN"/>
        </w:rPr>
        <w:t>伽师县2025年学校声像图书室建设项目二标段</w:t>
      </w:r>
      <w:r>
        <w:rPr>
          <w:rStyle w:val="26"/>
          <w:rFonts w:hint="eastAsia" w:asciiTheme="minorEastAsia" w:hAnsiTheme="minorEastAsia" w:eastAsiaTheme="minorEastAsia" w:cstheme="minorEastAsia"/>
          <w:color w:val="auto"/>
          <w:sz w:val="28"/>
          <w:szCs w:val="28"/>
          <w:lang w:eastAsia="zh-CN"/>
        </w:rPr>
        <w:t>的潜在投标人应在</w:t>
      </w:r>
      <w:r>
        <w:rPr>
          <w:rStyle w:val="25"/>
          <w:rFonts w:hint="eastAsia" w:asciiTheme="minorEastAsia" w:hAnsiTheme="minorEastAsia" w:eastAsiaTheme="minorEastAsia" w:cstheme="minorEastAsia"/>
          <w:color w:val="auto"/>
          <w:sz w:val="24"/>
          <w:u w:color="0000FF"/>
          <w:lang w:eastAsia="zh-CN"/>
        </w:rPr>
        <w:t>http://www.ccgp-xinjiang.gov.cn</w:t>
      </w:r>
      <w:r>
        <w:rPr>
          <w:rStyle w:val="26"/>
          <w:rFonts w:hint="eastAsia" w:asciiTheme="minorEastAsia" w:hAnsiTheme="minorEastAsia" w:eastAsiaTheme="minorEastAsia" w:cstheme="minorEastAsia"/>
          <w:color w:val="auto"/>
          <w:sz w:val="28"/>
          <w:szCs w:val="28"/>
          <w:lang w:eastAsia="zh-CN"/>
        </w:rPr>
        <w:t>获取招标文件，</w:t>
      </w:r>
      <w:r>
        <w:rPr>
          <w:rFonts w:hint="eastAsia" w:asciiTheme="minorEastAsia" w:hAnsiTheme="minorEastAsia" w:eastAsiaTheme="minorEastAsia" w:cstheme="minorEastAsia"/>
          <w:color w:val="auto"/>
          <w:sz w:val="28"/>
          <w:szCs w:val="28"/>
          <w:lang w:eastAsia="zh-CN"/>
        </w:rPr>
        <w:t>并于</w:t>
      </w:r>
      <w:r>
        <w:rPr>
          <w:rFonts w:hint="eastAsia" w:asciiTheme="minorEastAsia" w:hAnsiTheme="minorEastAsia" w:eastAsiaTheme="minorEastAsia" w:cstheme="minorEastAsia"/>
          <w:bCs/>
          <w:color w:val="auto"/>
          <w:sz w:val="28"/>
          <w:szCs w:val="28"/>
          <w:highlight w:val="yellow"/>
          <w:u w:val="single"/>
          <w:lang w:eastAsia="zh-CN"/>
        </w:rPr>
        <w:t>2025年</w:t>
      </w:r>
      <w:r>
        <w:rPr>
          <w:rFonts w:hint="eastAsia" w:asciiTheme="minorEastAsia" w:hAnsiTheme="minorEastAsia" w:eastAsiaTheme="minorEastAsia" w:cstheme="minorEastAsia"/>
          <w:bCs/>
          <w:color w:val="auto"/>
          <w:sz w:val="28"/>
          <w:szCs w:val="28"/>
          <w:highlight w:val="yellow"/>
          <w:u w:val="single"/>
          <w:lang w:val="en-US" w:eastAsia="zh-CN"/>
        </w:rPr>
        <w:t>7</w:t>
      </w:r>
      <w:r>
        <w:rPr>
          <w:rFonts w:hint="eastAsia" w:asciiTheme="minorEastAsia" w:hAnsiTheme="minorEastAsia" w:eastAsiaTheme="minorEastAsia" w:cstheme="minorEastAsia"/>
          <w:bCs/>
          <w:color w:val="auto"/>
          <w:sz w:val="28"/>
          <w:szCs w:val="28"/>
          <w:highlight w:val="yellow"/>
          <w:u w:val="single"/>
          <w:lang w:eastAsia="zh-CN"/>
        </w:rPr>
        <w:t>月</w:t>
      </w:r>
      <w:r>
        <w:rPr>
          <w:rFonts w:hint="eastAsia" w:asciiTheme="minorEastAsia" w:hAnsiTheme="minorEastAsia" w:eastAsiaTheme="minorEastAsia" w:cstheme="minorEastAsia"/>
          <w:bCs/>
          <w:color w:val="auto"/>
          <w:sz w:val="28"/>
          <w:szCs w:val="28"/>
          <w:highlight w:val="yellow"/>
          <w:u w:val="single"/>
          <w:lang w:val="en-US" w:eastAsia="zh-CN"/>
        </w:rPr>
        <w:t>10</w:t>
      </w:r>
      <w:r>
        <w:rPr>
          <w:rFonts w:hint="eastAsia" w:asciiTheme="minorEastAsia" w:hAnsiTheme="minorEastAsia" w:eastAsiaTheme="minorEastAsia" w:cstheme="minorEastAsia"/>
          <w:bCs/>
          <w:color w:val="auto"/>
          <w:sz w:val="28"/>
          <w:szCs w:val="28"/>
          <w:highlight w:val="yellow"/>
          <w:u w:val="single"/>
          <w:lang w:eastAsia="zh-CN"/>
        </w:rPr>
        <w:t>日 11点00分（</w:t>
      </w:r>
      <w:r>
        <w:rPr>
          <w:rFonts w:hint="eastAsia" w:asciiTheme="minorEastAsia" w:hAnsiTheme="minorEastAsia" w:eastAsiaTheme="minorEastAsia" w:cstheme="minorEastAsia"/>
          <w:bCs/>
          <w:color w:val="auto"/>
          <w:sz w:val="28"/>
          <w:szCs w:val="28"/>
          <w:lang w:eastAsia="zh-CN"/>
        </w:rPr>
        <w:t>北京时间）前递交投标文件</w:t>
      </w:r>
      <w:r>
        <w:rPr>
          <w:rFonts w:hint="eastAsia" w:asciiTheme="minorEastAsia" w:hAnsiTheme="minorEastAsia" w:eastAsiaTheme="minorEastAsia" w:cstheme="minorEastAsia"/>
          <w:color w:val="auto"/>
          <w:sz w:val="28"/>
          <w:szCs w:val="28"/>
          <w:lang w:eastAsia="zh-CN"/>
        </w:rPr>
        <w:t>。</w:t>
      </w:r>
    </w:p>
    <w:p w14:paraId="08B893B6">
      <w:pPr>
        <w:pStyle w:val="28"/>
        <w:numPr>
          <w:ilvl w:val="0"/>
          <w:numId w:val="6"/>
        </w:numPr>
        <w:kinsoku/>
        <w:autoSpaceDE/>
        <w:autoSpaceDN/>
        <w:adjustRightInd/>
        <w:spacing w:before="0" w:line="396" w:lineRule="exact"/>
        <w:jc w:val="both"/>
        <w:rPr>
          <w:rStyle w:val="26"/>
          <w:rFonts w:hint="eastAsia" w:asciiTheme="minorEastAsia" w:hAnsiTheme="minorEastAsia" w:eastAsiaTheme="minorEastAsia" w:cstheme="minorEastAsia"/>
          <w:color w:val="auto"/>
          <w:kern w:val="2"/>
          <w:sz w:val="24"/>
          <w:szCs w:val="21"/>
        </w:rPr>
      </w:pPr>
      <w:r>
        <w:rPr>
          <w:rStyle w:val="26"/>
          <w:rFonts w:hint="eastAsia" w:asciiTheme="minorEastAsia" w:hAnsiTheme="minorEastAsia" w:eastAsiaTheme="minorEastAsia" w:cstheme="minorEastAsia"/>
          <w:color w:val="auto"/>
          <w:kern w:val="2"/>
          <w:sz w:val="24"/>
          <w:szCs w:val="21"/>
        </w:rPr>
        <w:t>项目基本情况</w:t>
      </w:r>
    </w:p>
    <w:p w14:paraId="0DD47828">
      <w:pPr>
        <w:numPr>
          <w:ilvl w:val="0"/>
          <w:numId w:val="7"/>
        </w:numPr>
        <w:kinsoku/>
        <w:autoSpaceDE/>
        <w:autoSpaceDN/>
        <w:adjustRightInd/>
        <w:spacing w:line="396" w:lineRule="exact"/>
        <w:rPr>
          <w:rFonts w:hint="eastAsia" w:asciiTheme="minorEastAsia" w:hAnsiTheme="minorEastAsia" w:eastAsiaTheme="minorEastAsia" w:cstheme="minorEastAsia"/>
          <w:color w:val="auto"/>
          <w:kern w:val="2"/>
          <w:sz w:val="24"/>
          <w:lang w:eastAsia="zh-CN"/>
        </w:rPr>
      </w:pPr>
      <w:r>
        <w:rPr>
          <w:rStyle w:val="26"/>
          <w:rFonts w:hint="eastAsia" w:asciiTheme="minorEastAsia" w:hAnsiTheme="minorEastAsia" w:eastAsiaTheme="minorEastAsia" w:cstheme="minorEastAsia"/>
          <w:color w:val="auto"/>
          <w:sz w:val="24"/>
          <w:lang w:eastAsia="zh-CN"/>
        </w:rPr>
        <w:t>项目编号：</w:t>
      </w:r>
      <w:r>
        <w:rPr>
          <w:rStyle w:val="26"/>
          <w:rFonts w:hint="eastAsia" w:asciiTheme="minorEastAsia" w:hAnsiTheme="minorEastAsia" w:eastAsiaTheme="minorEastAsia" w:cstheme="minorEastAsia"/>
          <w:color w:val="auto"/>
          <w:sz w:val="24"/>
          <w:highlight w:val="yellow"/>
          <w:lang w:eastAsia="zh-CN"/>
        </w:rPr>
        <w:t>KSJSX(GK)2025</w:t>
      </w:r>
      <w:r>
        <w:rPr>
          <w:rStyle w:val="26"/>
          <w:rFonts w:hint="eastAsia" w:asciiTheme="minorEastAsia" w:hAnsiTheme="minorEastAsia" w:eastAsiaTheme="minorEastAsia" w:cstheme="minorEastAsia"/>
          <w:color w:val="auto"/>
          <w:sz w:val="24"/>
          <w:highlight w:val="yellow"/>
          <w:lang w:val="en-US" w:eastAsia="zh-CN"/>
        </w:rPr>
        <w:t>-16</w:t>
      </w:r>
    </w:p>
    <w:p w14:paraId="0F7D89F6">
      <w:pPr>
        <w:numPr>
          <w:ilvl w:val="0"/>
          <w:numId w:val="7"/>
        </w:numPr>
        <w:kinsoku/>
        <w:autoSpaceDE/>
        <w:autoSpaceDN/>
        <w:adjustRightInd/>
        <w:spacing w:line="396" w:lineRule="exact"/>
        <w:rPr>
          <w:rFonts w:hint="eastAsia" w:asciiTheme="minorEastAsia" w:hAnsiTheme="minorEastAsia" w:eastAsiaTheme="minorEastAsia" w:cstheme="minorEastAsia"/>
          <w:color w:val="auto"/>
          <w:kern w:val="2"/>
          <w:sz w:val="24"/>
          <w:lang w:eastAsia="zh-CN"/>
        </w:rPr>
      </w:pPr>
      <w:r>
        <w:rPr>
          <w:rStyle w:val="26"/>
          <w:rFonts w:hint="eastAsia" w:asciiTheme="minorEastAsia" w:hAnsiTheme="minorEastAsia" w:eastAsiaTheme="minorEastAsia" w:cstheme="minorEastAsia"/>
          <w:color w:val="auto"/>
          <w:sz w:val="24"/>
          <w:lang w:eastAsia="zh-CN"/>
        </w:rPr>
        <w:t>项目名称：伽师县2025年学校声像图书室建设项目二标段</w:t>
      </w:r>
    </w:p>
    <w:p w14:paraId="59568B83">
      <w:pPr>
        <w:numPr>
          <w:ilvl w:val="0"/>
          <w:numId w:val="7"/>
        </w:numPr>
        <w:kinsoku/>
        <w:autoSpaceDE/>
        <w:autoSpaceDN/>
        <w:adjustRightInd/>
        <w:spacing w:line="396" w:lineRule="exact"/>
        <w:rPr>
          <w:rFonts w:hint="eastAsia" w:asciiTheme="minorEastAsia" w:hAnsiTheme="minorEastAsia" w:eastAsiaTheme="minorEastAsia" w:cstheme="minorEastAsia"/>
          <w:color w:val="auto"/>
          <w:kern w:val="2"/>
          <w:sz w:val="24"/>
          <w:lang w:eastAsia="zh-CN"/>
        </w:rPr>
      </w:pPr>
      <w:r>
        <w:rPr>
          <w:rStyle w:val="26"/>
          <w:rFonts w:hint="eastAsia" w:asciiTheme="minorEastAsia" w:hAnsiTheme="minorEastAsia" w:eastAsiaTheme="minorEastAsia" w:cstheme="minorEastAsia"/>
          <w:color w:val="auto"/>
          <w:sz w:val="24"/>
          <w:lang w:eastAsia="zh-CN"/>
        </w:rPr>
        <w:t>预算金额：</w:t>
      </w:r>
      <w:r>
        <w:rPr>
          <w:rFonts w:hint="eastAsia" w:asciiTheme="minorEastAsia" w:hAnsiTheme="minorEastAsia" w:eastAsiaTheme="minorEastAsia" w:cstheme="minorEastAsia"/>
          <w:color w:val="auto"/>
          <w:kern w:val="2"/>
          <w:sz w:val="24"/>
          <w:lang w:eastAsia="zh-CN"/>
        </w:rPr>
        <w:t>4349318.75元；最高限价：4349318.75元。</w:t>
      </w:r>
    </w:p>
    <w:p w14:paraId="4B6FF58E">
      <w:pPr>
        <w:kinsoku/>
        <w:autoSpaceDE/>
        <w:autoSpaceDN/>
        <w:adjustRightInd/>
        <w:spacing w:line="396" w:lineRule="exac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4.资金来源：援疆资金</w:t>
      </w:r>
    </w:p>
    <w:p w14:paraId="398CC485">
      <w:pPr>
        <w:kinsoku/>
        <w:autoSpaceDE/>
        <w:autoSpaceDN/>
        <w:adjustRightInd/>
        <w:spacing w:line="396" w:lineRule="exact"/>
        <w:rPr>
          <w:rFonts w:hint="eastAsia" w:asciiTheme="minorEastAsia" w:hAnsiTheme="minorEastAsia" w:eastAsiaTheme="minorEastAsia" w:cstheme="minorEastAsia"/>
          <w:sz w:val="23"/>
          <w:szCs w:val="23"/>
          <w:lang w:eastAsia="zh-CN"/>
        </w:rPr>
      </w:pPr>
      <w:r>
        <w:rPr>
          <w:rStyle w:val="26"/>
          <w:rFonts w:hint="eastAsia" w:asciiTheme="minorEastAsia" w:hAnsiTheme="minorEastAsia" w:eastAsiaTheme="minorEastAsia" w:cstheme="minorEastAsia"/>
          <w:color w:val="auto"/>
          <w:sz w:val="24"/>
          <w:lang w:eastAsia="zh-CN"/>
        </w:rPr>
        <w:t>5.采购需求：</w:t>
      </w:r>
      <w:r>
        <w:rPr>
          <w:rStyle w:val="26"/>
          <w:rFonts w:hint="eastAsia" w:asciiTheme="minorEastAsia" w:hAnsiTheme="minorEastAsia" w:eastAsiaTheme="minorEastAsia" w:cstheme="minorEastAsia"/>
          <w:color w:val="auto"/>
          <w:sz w:val="24"/>
          <w:lang w:val="en-US" w:eastAsia="zh-CN"/>
        </w:rPr>
        <w:t>购置伽师县巴仁镇第三小学及伽师县第四中学声响图书室设备</w:t>
      </w:r>
      <w:r>
        <w:rPr>
          <w:rStyle w:val="26"/>
          <w:rFonts w:hint="eastAsia" w:asciiTheme="minorEastAsia" w:hAnsiTheme="minorEastAsia" w:eastAsiaTheme="minorEastAsia" w:cstheme="minorEastAsia"/>
          <w:color w:val="auto"/>
          <w:sz w:val="24"/>
          <w:lang w:eastAsia="zh-CN"/>
        </w:rPr>
        <w:t>；（详细设备、数量、具体参数及要求见招标文件）</w:t>
      </w:r>
      <w:r>
        <w:rPr>
          <w:rFonts w:hint="eastAsia" w:asciiTheme="minorEastAsia" w:hAnsiTheme="minorEastAsia" w:eastAsiaTheme="minorEastAsia" w:cstheme="minorEastAsia"/>
          <w:sz w:val="23"/>
          <w:szCs w:val="23"/>
          <w:lang w:eastAsia="zh-CN"/>
        </w:rPr>
        <w:t>；</w:t>
      </w:r>
    </w:p>
    <w:p w14:paraId="7E9D1AAB">
      <w:pPr>
        <w:kinsoku/>
        <w:autoSpaceDE/>
        <w:autoSpaceDN/>
        <w:adjustRightInd/>
        <w:spacing w:line="396" w:lineRule="exac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6.合同履行期限：根据采购人需求，以签订合同为准。</w:t>
      </w:r>
    </w:p>
    <w:p w14:paraId="67927FC1">
      <w:pPr>
        <w:kinsoku/>
        <w:autoSpaceDE/>
        <w:autoSpaceDN/>
        <w:adjustRightInd/>
        <w:spacing w:line="396" w:lineRule="exac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本项目不接受联合体投标。</w:t>
      </w:r>
    </w:p>
    <w:p w14:paraId="0944AE24">
      <w:pPr>
        <w:kinsoku/>
        <w:autoSpaceDE/>
        <w:autoSpaceDN/>
        <w:adjustRightInd/>
        <w:spacing w:line="396" w:lineRule="exact"/>
        <w:rPr>
          <w:rStyle w:val="26"/>
          <w:rFonts w:hint="eastAsia" w:asciiTheme="minorEastAsia" w:hAnsiTheme="minorEastAsia" w:eastAsiaTheme="minorEastAsia" w:cstheme="minorEastAsia"/>
          <w:b/>
          <w:bCs/>
          <w:color w:val="auto"/>
          <w:sz w:val="24"/>
          <w:lang w:eastAsia="zh-CN"/>
        </w:rPr>
      </w:pPr>
      <w:r>
        <w:rPr>
          <w:rStyle w:val="26"/>
          <w:rFonts w:hint="eastAsia" w:asciiTheme="minorEastAsia" w:hAnsiTheme="minorEastAsia" w:eastAsiaTheme="minorEastAsia" w:cstheme="minorEastAsia"/>
          <w:b/>
          <w:bCs/>
          <w:color w:val="auto"/>
          <w:sz w:val="24"/>
          <w:lang w:eastAsia="zh-CN"/>
        </w:rPr>
        <w:t>二、申请人的资格要求：</w:t>
      </w:r>
    </w:p>
    <w:p w14:paraId="24459C40">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1.满足《中华人民共和国政府采购法》第二十二条要求：</w:t>
      </w:r>
    </w:p>
    <w:p w14:paraId="455F1275">
      <w:pPr>
        <w:pStyle w:val="11"/>
        <w:spacing w:line="288" w:lineRule="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w:t>
      </w:r>
      <w:r>
        <w:rPr>
          <w:rFonts w:hint="eastAsia" w:asciiTheme="minorEastAsia" w:hAnsiTheme="minorEastAsia" w:eastAsiaTheme="minorEastAsia" w:cstheme="minorEastAsia"/>
          <w:snapToGrid w:val="0"/>
          <w:color w:val="auto"/>
          <w:sz w:val="24"/>
          <w:szCs w:val="21"/>
          <w:lang w:val="en-US" w:eastAsia="zh-CN" w:bidi="ar-SA"/>
        </w:rPr>
        <w:t>法人或者非法人组织的营业执照等证明文件</w:t>
      </w:r>
      <w:r>
        <w:rPr>
          <w:rFonts w:hint="eastAsia" w:asciiTheme="minorEastAsia" w:hAnsiTheme="minorEastAsia" w:eastAsiaTheme="minorEastAsia" w:cstheme="minorEastAsia"/>
          <w:color w:val="auto"/>
          <w:sz w:val="24"/>
          <w:lang w:eastAsia="zh-CN"/>
        </w:rPr>
        <w:t>（营业执照及法定代表人证明或法定代表人授权委托书）；</w:t>
      </w:r>
    </w:p>
    <w:p w14:paraId="7BA364FA">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（2）具有健全的财务会计制度（会计事务所出具的2023年或2024年的年度财务审计报告书；注册成立未满一年新公司可提供近三个月内任意一个月的银行资信证明）；</w:t>
      </w:r>
    </w:p>
    <w:p w14:paraId="7AD59899">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（3）具有履行合同所必需的设备和专业技术能力；</w:t>
      </w:r>
    </w:p>
    <w:p w14:paraId="0FD2DC4A">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（4）有依法缴纳税收和社会保障资金的良好记录（近三个月（任意一个月）社保证明及完税证明）；</w:t>
      </w:r>
    </w:p>
    <w:p w14:paraId="4ACA3C80">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（5）参加政府采购活动前三年内，在经营活动中没有重大违法记录；</w:t>
      </w:r>
    </w:p>
    <w:p w14:paraId="3ACEBD4E">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（6）法律、行政法规规定的其他条件；</w:t>
      </w:r>
    </w:p>
    <w:p w14:paraId="2A7DA96F">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14:paraId="21FE6DD0">
      <w:pPr>
        <w:kinsoku/>
        <w:autoSpaceDE/>
        <w:autoSpaceDN/>
        <w:adjustRightInd/>
        <w:spacing w:line="396" w:lineRule="exact"/>
        <w:rPr>
          <w:rStyle w:val="26"/>
          <w:rFonts w:hint="eastAsia" w:asciiTheme="minorEastAsia" w:hAnsiTheme="minorEastAsia" w:eastAsiaTheme="minorEastAsia" w:cstheme="minorEastAsia"/>
          <w:b/>
          <w:bCs/>
          <w:color w:val="auto"/>
          <w:sz w:val="24"/>
          <w:lang w:eastAsia="zh-CN"/>
        </w:rPr>
      </w:pPr>
      <w:r>
        <w:rPr>
          <w:rStyle w:val="26"/>
          <w:rFonts w:hint="eastAsia" w:asciiTheme="minorEastAsia" w:hAnsiTheme="minorEastAsia" w:eastAsiaTheme="minorEastAsia" w:cstheme="minorEastAsia"/>
          <w:b/>
          <w:bCs/>
          <w:color w:val="auto"/>
          <w:sz w:val="24"/>
          <w:lang w:eastAsia="zh-CN"/>
        </w:rPr>
        <w:t>三、获取招标文件</w:t>
      </w:r>
    </w:p>
    <w:p w14:paraId="73CCE0BB">
      <w:pPr>
        <w:kinsoku/>
        <w:autoSpaceDE/>
        <w:autoSpaceDN/>
        <w:adjustRightInd/>
        <w:spacing w:line="396" w:lineRule="exac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获取时间：</w:t>
      </w:r>
      <w:r>
        <w:rPr>
          <w:rFonts w:hint="eastAsia" w:asciiTheme="minorEastAsia" w:hAnsiTheme="minorEastAsia" w:eastAsiaTheme="minorEastAsia" w:cstheme="minorEastAsia"/>
          <w:color w:val="auto"/>
          <w:sz w:val="24"/>
          <w:highlight w:val="yellow"/>
          <w:lang w:eastAsia="zh-CN"/>
        </w:rPr>
        <w:t>2025年</w:t>
      </w:r>
      <w:r>
        <w:rPr>
          <w:rFonts w:hint="eastAsia" w:asciiTheme="minorEastAsia" w:hAnsiTheme="minorEastAsia" w:eastAsiaTheme="minorEastAsia" w:cstheme="minorEastAsia"/>
          <w:color w:val="auto"/>
          <w:sz w:val="24"/>
          <w:highlight w:val="yellow"/>
          <w:lang w:val="en-US" w:eastAsia="zh-CN"/>
        </w:rPr>
        <w:t>6</w:t>
      </w:r>
      <w:r>
        <w:rPr>
          <w:rFonts w:hint="eastAsia" w:asciiTheme="minorEastAsia" w:hAnsiTheme="minorEastAsia" w:eastAsiaTheme="minorEastAsia" w:cstheme="minorEastAsia"/>
          <w:color w:val="auto"/>
          <w:sz w:val="24"/>
          <w:highlight w:val="yellow"/>
          <w:lang w:eastAsia="zh-CN"/>
        </w:rPr>
        <w:t>月</w:t>
      </w:r>
      <w:r>
        <w:rPr>
          <w:rFonts w:hint="eastAsia" w:asciiTheme="minorEastAsia" w:hAnsiTheme="minorEastAsia" w:eastAsiaTheme="minorEastAsia" w:cstheme="minorEastAsia"/>
          <w:color w:val="auto"/>
          <w:sz w:val="24"/>
          <w:highlight w:val="yellow"/>
          <w:lang w:val="en-US" w:eastAsia="zh-CN"/>
        </w:rPr>
        <w:t>19</w:t>
      </w:r>
      <w:r>
        <w:rPr>
          <w:rFonts w:hint="eastAsia" w:asciiTheme="minorEastAsia" w:hAnsiTheme="minorEastAsia" w:eastAsiaTheme="minorEastAsia" w:cstheme="minorEastAsia"/>
          <w:color w:val="auto"/>
          <w:sz w:val="24"/>
          <w:highlight w:val="yellow"/>
          <w:lang w:eastAsia="zh-CN"/>
        </w:rPr>
        <w:t>日至2025年</w:t>
      </w:r>
      <w:r>
        <w:rPr>
          <w:rFonts w:hint="eastAsia" w:asciiTheme="minorEastAsia" w:hAnsiTheme="minorEastAsia" w:eastAsiaTheme="minorEastAsia" w:cstheme="minorEastAsia"/>
          <w:color w:val="auto"/>
          <w:sz w:val="24"/>
          <w:highlight w:val="yellow"/>
          <w:lang w:val="en-US" w:eastAsia="zh-CN"/>
        </w:rPr>
        <w:t>6</w:t>
      </w:r>
      <w:r>
        <w:rPr>
          <w:rFonts w:hint="eastAsia" w:asciiTheme="minorEastAsia" w:hAnsiTheme="minorEastAsia" w:eastAsiaTheme="minorEastAsia" w:cstheme="minorEastAsia"/>
          <w:color w:val="auto"/>
          <w:sz w:val="24"/>
          <w:highlight w:val="yellow"/>
          <w:lang w:eastAsia="zh-CN"/>
        </w:rPr>
        <w:t>月</w:t>
      </w:r>
      <w:r>
        <w:rPr>
          <w:rFonts w:hint="eastAsia" w:asciiTheme="minorEastAsia" w:hAnsiTheme="minorEastAsia" w:eastAsiaTheme="minorEastAsia" w:cstheme="minorEastAsia"/>
          <w:color w:val="auto"/>
          <w:sz w:val="24"/>
          <w:highlight w:val="yellow"/>
          <w:lang w:val="en-US" w:eastAsia="zh-CN"/>
        </w:rPr>
        <w:t>26</w:t>
      </w:r>
      <w:r>
        <w:rPr>
          <w:rFonts w:hint="eastAsia" w:asciiTheme="minorEastAsia" w:hAnsiTheme="minorEastAsia" w:eastAsiaTheme="minorEastAsia" w:cstheme="minorEastAsia"/>
          <w:color w:val="auto"/>
          <w:sz w:val="24"/>
          <w:highlight w:val="yellow"/>
          <w:lang w:eastAsia="zh-CN"/>
        </w:rPr>
        <w:t>日，每天上午 00:00 至 14:00，下午 14:00 至23:59（北京时间，法定节假日除外）</w:t>
      </w:r>
      <w:r>
        <w:rPr>
          <w:rFonts w:hint="eastAsia" w:asciiTheme="minorEastAsia" w:hAnsiTheme="minorEastAsia" w:eastAsiaTheme="minorEastAsia" w:cstheme="minorEastAsia"/>
          <w:color w:val="auto"/>
          <w:sz w:val="24"/>
          <w:lang w:eastAsia="zh-CN"/>
        </w:rPr>
        <w:t>。</w:t>
      </w:r>
    </w:p>
    <w:p w14:paraId="7FB6013C">
      <w:pPr>
        <w:kinsoku/>
        <w:autoSpaceDE/>
        <w:autoSpaceDN/>
        <w:adjustRightInd/>
        <w:spacing w:line="396"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t>获取地点：新疆政府采购网</w:t>
      </w:r>
    </w:p>
    <w:p w14:paraId="4F54424E">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获取方式：供应商登陆政采云平台 http://www.zcygov.cn/，在线获取招标文件 </w:t>
      </w:r>
    </w:p>
    <w:p w14:paraId="19E0E7A9">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（登录政府采购云平台→ 项目采购 → 获取招标文件，通过后可下载招标文件， </w:t>
      </w:r>
    </w:p>
    <w:p w14:paraId="1CE60134">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如有操作性问题，可与政采云在线客服进行咨询，咨询电话：</w:t>
      </w:r>
      <w:r>
        <w:rPr>
          <w:rFonts w:hint="eastAsia" w:asciiTheme="minorEastAsia" w:hAnsiTheme="minorEastAsia" w:eastAsiaTheme="minorEastAsia" w:cstheme="minorEastAsia"/>
          <w:color w:val="auto"/>
          <w:shd w:val="clear" w:color="auto" w:fill="FFFFFF"/>
          <w:lang w:eastAsia="zh-CN"/>
        </w:rPr>
        <w:t>95763</w:t>
      </w:r>
      <w:r>
        <w:rPr>
          <w:rFonts w:hint="eastAsia" w:asciiTheme="minorEastAsia" w:hAnsiTheme="minorEastAsia" w:eastAsiaTheme="minorEastAsia" w:cstheme="minorEastAsia"/>
          <w:color w:val="auto"/>
          <w:sz w:val="24"/>
          <w:lang w:eastAsia="zh-CN"/>
        </w:rPr>
        <w:t>）</w:t>
      </w:r>
    </w:p>
    <w:p w14:paraId="1E0FF49B">
      <w:pPr>
        <w:kinsoku/>
        <w:autoSpaceDE/>
        <w:autoSpaceDN/>
        <w:adjustRightInd/>
        <w:spacing w:line="396" w:lineRule="exac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售价：0元</w:t>
      </w:r>
    </w:p>
    <w:p w14:paraId="08482445">
      <w:pPr>
        <w:kinsoku/>
        <w:autoSpaceDE/>
        <w:autoSpaceDN/>
        <w:adjustRightInd/>
        <w:spacing w:line="396" w:lineRule="exact"/>
        <w:rPr>
          <w:rStyle w:val="26"/>
          <w:rFonts w:hint="eastAsia" w:asciiTheme="minorEastAsia" w:hAnsiTheme="minorEastAsia" w:eastAsiaTheme="minorEastAsia" w:cstheme="minorEastAsia"/>
          <w:b/>
          <w:bCs/>
          <w:color w:val="auto"/>
          <w:sz w:val="30"/>
          <w:szCs w:val="30"/>
          <w:lang w:eastAsia="zh-CN"/>
        </w:rPr>
      </w:pPr>
      <w:r>
        <w:rPr>
          <w:rStyle w:val="26"/>
          <w:rFonts w:hint="eastAsia" w:asciiTheme="minorEastAsia" w:hAnsiTheme="minorEastAsia" w:eastAsiaTheme="minorEastAsia" w:cstheme="minorEastAsia"/>
          <w:b/>
          <w:bCs/>
          <w:color w:val="auto"/>
          <w:sz w:val="24"/>
          <w:lang w:eastAsia="zh-CN"/>
        </w:rPr>
        <w:t>四、提交投标文件截止时间、开标时间和地点</w:t>
      </w:r>
    </w:p>
    <w:p w14:paraId="085A00A2">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highlight w:val="yellow"/>
          <w:lang w:eastAsia="zh-CN"/>
        </w:rPr>
        <w:t>提交投标文件截止时间：2025年</w:t>
      </w:r>
      <w:r>
        <w:rPr>
          <w:rFonts w:hint="eastAsia" w:asciiTheme="minorEastAsia" w:hAnsiTheme="minorEastAsia" w:eastAsiaTheme="minorEastAsia" w:cstheme="minorEastAsia"/>
          <w:color w:val="auto"/>
          <w:sz w:val="24"/>
          <w:highlight w:val="yellow"/>
          <w:lang w:val="en-US" w:eastAsia="zh-CN"/>
        </w:rPr>
        <w:t>7</w:t>
      </w:r>
      <w:r>
        <w:rPr>
          <w:rFonts w:hint="eastAsia" w:asciiTheme="minorEastAsia" w:hAnsiTheme="minorEastAsia" w:eastAsiaTheme="minorEastAsia" w:cstheme="minorEastAsia"/>
          <w:color w:val="auto"/>
          <w:sz w:val="24"/>
          <w:highlight w:val="yellow"/>
          <w:lang w:eastAsia="zh-CN"/>
        </w:rPr>
        <w:t>月</w:t>
      </w:r>
      <w:r>
        <w:rPr>
          <w:rFonts w:hint="eastAsia" w:asciiTheme="minorEastAsia" w:hAnsiTheme="minorEastAsia" w:eastAsiaTheme="minorEastAsia" w:cstheme="minorEastAsia"/>
          <w:color w:val="auto"/>
          <w:sz w:val="24"/>
          <w:highlight w:val="yellow"/>
          <w:lang w:val="en-US" w:eastAsia="zh-CN"/>
        </w:rPr>
        <w:t>10</w:t>
      </w:r>
      <w:r>
        <w:rPr>
          <w:rFonts w:hint="eastAsia" w:asciiTheme="minorEastAsia" w:hAnsiTheme="minorEastAsia" w:eastAsiaTheme="minorEastAsia" w:cstheme="minorEastAsia"/>
          <w:color w:val="auto"/>
          <w:sz w:val="24"/>
          <w:highlight w:val="yellow"/>
          <w:lang w:eastAsia="zh-CN"/>
        </w:rPr>
        <w:t>日 11时00分（北京时间）</w:t>
      </w:r>
    </w:p>
    <w:p w14:paraId="58B87AB6">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投标地点：政采云平台（https://login.zcygov.cn/user-login/#/login） </w:t>
      </w:r>
    </w:p>
    <w:p w14:paraId="76C5EB42">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highlight w:val="yellow"/>
          <w:lang w:eastAsia="zh-CN"/>
        </w:rPr>
      </w:pPr>
      <w:r>
        <w:rPr>
          <w:rFonts w:hint="eastAsia" w:asciiTheme="minorEastAsia" w:hAnsiTheme="minorEastAsia" w:eastAsiaTheme="minorEastAsia" w:cstheme="minorEastAsia"/>
          <w:color w:val="auto"/>
          <w:sz w:val="24"/>
          <w:highlight w:val="yellow"/>
          <w:lang w:eastAsia="zh-CN"/>
        </w:rPr>
        <w:t>开标时间：2025年</w:t>
      </w:r>
      <w:r>
        <w:rPr>
          <w:rFonts w:hint="eastAsia" w:asciiTheme="minorEastAsia" w:hAnsiTheme="minorEastAsia" w:eastAsiaTheme="minorEastAsia" w:cstheme="minorEastAsia"/>
          <w:color w:val="auto"/>
          <w:sz w:val="24"/>
          <w:highlight w:val="yellow"/>
          <w:lang w:val="en-US" w:eastAsia="zh-CN"/>
        </w:rPr>
        <w:t>7</w:t>
      </w:r>
      <w:r>
        <w:rPr>
          <w:rFonts w:hint="eastAsia" w:asciiTheme="minorEastAsia" w:hAnsiTheme="minorEastAsia" w:eastAsiaTheme="minorEastAsia" w:cstheme="minorEastAsia"/>
          <w:color w:val="auto"/>
          <w:sz w:val="24"/>
          <w:highlight w:val="yellow"/>
          <w:lang w:eastAsia="zh-CN"/>
        </w:rPr>
        <w:t>月</w:t>
      </w:r>
      <w:r>
        <w:rPr>
          <w:rFonts w:hint="eastAsia" w:asciiTheme="minorEastAsia" w:hAnsiTheme="minorEastAsia" w:eastAsiaTheme="minorEastAsia" w:cstheme="minorEastAsia"/>
          <w:color w:val="auto"/>
          <w:sz w:val="24"/>
          <w:highlight w:val="yellow"/>
          <w:lang w:val="en-US" w:eastAsia="zh-CN"/>
        </w:rPr>
        <w:t>10</w:t>
      </w:r>
      <w:r>
        <w:rPr>
          <w:rFonts w:hint="eastAsia" w:asciiTheme="minorEastAsia" w:hAnsiTheme="minorEastAsia" w:eastAsiaTheme="minorEastAsia" w:cstheme="minorEastAsia"/>
          <w:color w:val="auto"/>
          <w:sz w:val="24"/>
          <w:highlight w:val="yellow"/>
          <w:lang w:eastAsia="zh-CN"/>
        </w:rPr>
        <w:t xml:space="preserve">日 11：00（北京时间） </w:t>
      </w:r>
    </w:p>
    <w:p w14:paraId="11818D71">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开标地点：政采云平台（https://login.zcygov.cn/user-login/#/login） </w:t>
      </w:r>
    </w:p>
    <w:p w14:paraId="4ABD5F63">
      <w:pPr>
        <w:kinsoku/>
        <w:autoSpaceDE/>
        <w:autoSpaceDN/>
        <w:adjustRightInd/>
        <w:spacing w:line="396" w:lineRule="exact"/>
        <w:rPr>
          <w:rStyle w:val="26"/>
          <w:rFonts w:hint="eastAsia" w:asciiTheme="minorEastAsia" w:hAnsiTheme="minorEastAsia" w:eastAsiaTheme="minorEastAsia" w:cstheme="minorEastAsia"/>
          <w:b/>
          <w:bCs/>
          <w:color w:val="auto"/>
          <w:sz w:val="24"/>
          <w:lang w:eastAsia="zh-CN"/>
        </w:rPr>
      </w:pPr>
      <w:r>
        <w:rPr>
          <w:rStyle w:val="26"/>
          <w:rFonts w:hint="eastAsia" w:asciiTheme="minorEastAsia" w:hAnsiTheme="minorEastAsia" w:eastAsiaTheme="minorEastAsia" w:cstheme="minorEastAsia"/>
          <w:b/>
          <w:bCs/>
          <w:color w:val="auto"/>
          <w:sz w:val="24"/>
          <w:lang w:eastAsia="zh-CN"/>
        </w:rPr>
        <w:t>五、公告期限</w:t>
      </w:r>
    </w:p>
    <w:p w14:paraId="080E8176">
      <w:pPr>
        <w:kinsoku/>
        <w:autoSpaceDE/>
        <w:autoSpaceDN/>
        <w:adjustRightInd/>
        <w:spacing w:line="396" w:lineRule="exact"/>
        <w:rPr>
          <w:rFonts w:hint="eastAsia" w:asciiTheme="minorEastAsia" w:hAnsiTheme="minorEastAsia" w:eastAsiaTheme="minorEastAsia" w:cstheme="minorEastAsia"/>
          <w:color w:val="auto"/>
          <w:lang w:eastAsia="zh-CN"/>
        </w:rPr>
      </w:pPr>
      <w:r>
        <w:rPr>
          <w:rStyle w:val="26"/>
          <w:rFonts w:hint="eastAsia" w:asciiTheme="minorEastAsia" w:hAnsiTheme="minorEastAsia" w:eastAsiaTheme="minorEastAsia" w:cstheme="minorEastAsia"/>
          <w:color w:val="auto"/>
          <w:sz w:val="24"/>
          <w:lang w:eastAsia="zh-CN"/>
        </w:rPr>
        <w:t>自本公告发布之日起5个工作日。</w:t>
      </w:r>
    </w:p>
    <w:p w14:paraId="4F9C9534">
      <w:pPr>
        <w:numPr>
          <w:ilvl w:val="0"/>
          <w:numId w:val="8"/>
        </w:numPr>
        <w:kinsoku/>
        <w:autoSpaceDE/>
        <w:autoSpaceDN/>
        <w:adjustRightInd/>
        <w:spacing w:line="396" w:lineRule="exact"/>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b/>
          <w:bCs/>
          <w:color w:val="auto"/>
          <w:sz w:val="24"/>
        </w:rPr>
        <w:t>其他补充事宜</w:t>
      </w:r>
      <w:r>
        <w:rPr>
          <w:rStyle w:val="26"/>
          <w:rFonts w:hint="eastAsia" w:asciiTheme="minorEastAsia" w:hAnsiTheme="minorEastAsia" w:eastAsiaTheme="minorEastAsia" w:cstheme="minorEastAsia"/>
          <w:color w:val="auto"/>
          <w:sz w:val="24"/>
        </w:rPr>
        <w:t>：</w:t>
      </w:r>
    </w:p>
    <w:p w14:paraId="14F562DF">
      <w:pPr>
        <w:kinsoku/>
        <w:autoSpaceDE/>
        <w:autoSpaceDN/>
        <w:adjustRightInd/>
        <w:spacing w:line="396" w:lineRule="exact"/>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lang w:eastAsia="zh-CN"/>
        </w:rPr>
        <w:t>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Style w:val="26"/>
          <w:rFonts w:hint="eastAsia" w:asciiTheme="minorEastAsia" w:hAnsiTheme="minorEastAsia" w:eastAsiaTheme="minorEastAsia" w:cstheme="minorEastAsia"/>
          <w:color w:val="auto"/>
          <w:sz w:val="24"/>
        </w:rPr>
        <w:t>具体开标时间以招标文件为准。</w:t>
      </w:r>
    </w:p>
    <w:p w14:paraId="1CA1A4A0">
      <w:pPr>
        <w:numPr>
          <w:ilvl w:val="0"/>
          <w:numId w:val="8"/>
        </w:numPr>
        <w:kinsoku/>
        <w:autoSpaceDE/>
        <w:autoSpaceDN/>
        <w:adjustRightInd/>
        <w:spacing w:line="396" w:lineRule="exact"/>
        <w:rPr>
          <w:rStyle w:val="26"/>
          <w:rFonts w:hint="eastAsia" w:asciiTheme="minorEastAsia" w:hAnsiTheme="minorEastAsia" w:eastAsiaTheme="minorEastAsia" w:cstheme="minorEastAsia"/>
          <w:color w:val="auto"/>
          <w:lang w:eastAsia="zh-CN"/>
        </w:rPr>
      </w:pPr>
      <w:r>
        <w:rPr>
          <w:rStyle w:val="26"/>
          <w:rFonts w:hint="eastAsia" w:asciiTheme="minorEastAsia" w:hAnsiTheme="minorEastAsia" w:eastAsiaTheme="minorEastAsia" w:cstheme="minorEastAsia"/>
          <w:b/>
          <w:bCs/>
          <w:color w:val="auto"/>
          <w:sz w:val="24"/>
          <w:lang w:eastAsia="zh-CN"/>
        </w:rPr>
        <w:t>对本次招标提出询问，请按以下方式联系。</w:t>
      </w:r>
    </w:p>
    <w:p w14:paraId="69BFED67">
      <w:pPr>
        <w:kinsoku/>
        <w:autoSpaceDE/>
        <w:autoSpaceDN/>
        <w:adjustRightInd/>
        <w:spacing w:line="396" w:lineRule="exact"/>
        <w:rPr>
          <w:rStyle w:val="26"/>
          <w:rFonts w:hint="eastAsia" w:asciiTheme="minorEastAsia" w:hAnsiTheme="minorEastAsia" w:eastAsiaTheme="minorEastAsia" w:cstheme="minorEastAsia"/>
          <w:b/>
          <w:bCs/>
          <w:color w:val="auto"/>
          <w:sz w:val="24"/>
          <w:lang w:eastAsia="zh-CN"/>
        </w:rPr>
      </w:pPr>
      <w:r>
        <w:rPr>
          <w:rStyle w:val="26"/>
          <w:rFonts w:hint="eastAsia" w:asciiTheme="minorEastAsia" w:hAnsiTheme="minorEastAsia" w:eastAsiaTheme="minorEastAsia" w:cstheme="minorEastAsia"/>
          <w:b/>
          <w:bCs/>
          <w:color w:val="auto"/>
          <w:sz w:val="24"/>
          <w:lang w:eastAsia="zh-CN"/>
        </w:rPr>
        <w:t>1.采购人信息</w:t>
      </w:r>
    </w:p>
    <w:p w14:paraId="1EDEFB4D">
      <w:pPr>
        <w:widowControl w:val="0"/>
        <w:kinsoku/>
        <w:autoSpaceDE/>
        <w:autoSpaceDN/>
        <w:adjustRightInd/>
        <w:snapToGri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名 称：伽师县</w:t>
      </w:r>
      <w:r>
        <w:rPr>
          <w:rFonts w:hint="eastAsia" w:asciiTheme="minorEastAsia" w:hAnsiTheme="minorEastAsia" w:eastAsiaTheme="minorEastAsia" w:cstheme="minorEastAsia"/>
          <w:color w:val="auto"/>
          <w:sz w:val="24"/>
          <w:lang w:val="en-US" w:eastAsia="zh-CN"/>
        </w:rPr>
        <w:t>教育局</w:t>
      </w:r>
      <w:r>
        <w:rPr>
          <w:rFonts w:hint="eastAsia" w:asciiTheme="minorEastAsia" w:hAnsiTheme="minorEastAsia" w:eastAsiaTheme="minorEastAsia" w:cstheme="minorEastAsia"/>
          <w:color w:val="auto"/>
          <w:sz w:val="24"/>
          <w:lang w:eastAsia="zh-CN"/>
        </w:rPr>
        <w:t>　　　　　</w:t>
      </w:r>
    </w:p>
    <w:p w14:paraId="65E895B9">
      <w:pPr>
        <w:widowControl w:val="0"/>
        <w:kinsoku/>
        <w:autoSpaceDE/>
        <w:autoSpaceDN/>
        <w:adjustRightInd/>
        <w:snapToGri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地址：伽师县</w:t>
      </w:r>
      <w:r>
        <w:rPr>
          <w:rFonts w:hint="eastAsia" w:asciiTheme="minorEastAsia" w:hAnsiTheme="minorEastAsia" w:eastAsiaTheme="minorEastAsia" w:cstheme="minorEastAsia"/>
          <w:color w:val="auto"/>
          <w:sz w:val="24"/>
          <w:lang w:val="en-US" w:eastAsia="zh-CN"/>
        </w:rPr>
        <w:t>古宰尔路（伽师县第四中学旁）</w:t>
      </w:r>
      <w:r>
        <w:rPr>
          <w:rFonts w:hint="eastAsia" w:asciiTheme="minorEastAsia" w:hAnsiTheme="minorEastAsia" w:eastAsiaTheme="minorEastAsia" w:cstheme="minorEastAsia"/>
          <w:color w:val="auto"/>
          <w:sz w:val="24"/>
          <w:lang w:eastAsia="zh-CN"/>
        </w:rPr>
        <w:t>　</w:t>
      </w:r>
    </w:p>
    <w:p w14:paraId="1D80236C">
      <w:pPr>
        <w:widowControl w:val="0"/>
        <w:kinsoku/>
        <w:autoSpaceDE/>
        <w:autoSpaceDN/>
        <w:adjustRightInd/>
        <w:snapToGri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联系人：</w:t>
      </w:r>
      <w:r>
        <w:rPr>
          <w:rFonts w:hint="eastAsia" w:asciiTheme="minorEastAsia" w:hAnsiTheme="minorEastAsia" w:eastAsiaTheme="minorEastAsia" w:cstheme="minorEastAsia"/>
          <w:color w:val="auto"/>
          <w:sz w:val="24"/>
          <w:lang w:val="en-US" w:eastAsia="zh-CN"/>
        </w:rPr>
        <w:t>蔡秀伟</w:t>
      </w:r>
      <w:r>
        <w:rPr>
          <w:rFonts w:hint="eastAsia" w:asciiTheme="minorEastAsia" w:hAnsiTheme="minorEastAsia" w:eastAsiaTheme="minorEastAsia" w:cstheme="minorEastAsia"/>
          <w:color w:val="auto"/>
          <w:sz w:val="24"/>
          <w:lang w:eastAsia="zh-CN"/>
        </w:rPr>
        <w:t>　　　　　　　　</w:t>
      </w:r>
    </w:p>
    <w:p w14:paraId="1C362264">
      <w:pPr>
        <w:kinsoku/>
        <w:autoSpaceDE/>
        <w:autoSpaceDN/>
        <w:adjustRightInd/>
        <w:spacing w:line="396" w:lineRule="exact"/>
        <w:rPr>
          <w:rStyle w:val="26"/>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联系方式：</w:t>
      </w:r>
      <w:r>
        <w:rPr>
          <w:rFonts w:hint="eastAsia" w:asciiTheme="minorEastAsia" w:hAnsiTheme="minorEastAsia" w:eastAsiaTheme="minorEastAsia" w:cstheme="minorEastAsia"/>
          <w:color w:val="auto"/>
          <w:sz w:val="24"/>
          <w:lang w:val="en-US" w:eastAsia="zh-CN"/>
        </w:rPr>
        <w:t>15999320380</w:t>
      </w:r>
      <w:r>
        <w:rPr>
          <w:rStyle w:val="26"/>
          <w:rFonts w:hint="eastAsia" w:asciiTheme="minorEastAsia" w:hAnsiTheme="minorEastAsia" w:eastAsiaTheme="minorEastAsia" w:cstheme="minorEastAsia"/>
          <w:color w:val="auto"/>
          <w:sz w:val="24"/>
          <w:lang w:eastAsia="zh-CN"/>
        </w:rPr>
        <w:t xml:space="preserve"> </w:t>
      </w:r>
    </w:p>
    <w:p w14:paraId="42224D95">
      <w:pPr>
        <w:widowControl w:val="0"/>
        <w:kinsoku/>
        <w:autoSpaceDE/>
        <w:autoSpaceDN/>
        <w:adjustRightInd/>
        <w:spacing w:line="396" w:lineRule="exact"/>
        <w:textAlignment w:val="auto"/>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b/>
          <w:bCs/>
          <w:color w:val="auto"/>
          <w:sz w:val="24"/>
          <w:lang w:eastAsia="zh-CN"/>
        </w:rPr>
        <w:t>2.采购代理机构信息</w:t>
      </w:r>
    </w:p>
    <w:p w14:paraId="1799690B">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名 称：伽师县政府采购中心　</w:t>
      </w:r>
    </w:p>
    <w:p w14:paraId="2FF763B6">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地　址：伽师县行政审批局四楼（伽师县花园路3号）　</w:t>
      </w:r>
    </w:p>
    <w:p w14:paraId="5CDDA4FB">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项目联系人：陈雪、依明江</w:t>
      </w:r>
    </w:p>
    <w:p w14:paraId="37B0EBA9">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联系方式：0998-5713206　</w:t>
      </w:r>
    </w:p>
    <w:p w14:paraId="08EEA364">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3.同级政府采购监督管理部门名称:伽师县政府采购办</w:t>
      </w:r>
    </w:p>
    <w:p w14:paraId="3BF4BA04">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联系人：阿依努尔</w:t>
      </w:r>
    </w:p>
    <w:p w14:paraId="2658976A">
      <w:pPr>
        <w:pStyle w:val="29"/>
        <w:tabs>
          <w:tab w:val="left" w:pos="0"/>
        </w:tabs>
        <w:kinsoku/>
        <w:autoSpaceDE/>
        <w:autoSpaceDN/>
        <w:adjustRightInd/>
        <w:spacing w:before="0" w:after="0" w:line="396" w:lineRule="exact"/>
        <w:jc w:val="both"/>
        <w:rPr>
          <w:rFonts w:hint="eastAsia" w:asciiTheme="minorEastAsia" w:hAnsiTheme="minorEastAsia" w:eastAsiaTheme="minorEastAsia" w:cstheme="minorEastAsia"/>
          <w:b w:val="0"/>
          <w:color w:val="auto"/>
          <w:kern w:val="2"/>
          <w:sz w:val="24"/>
          <w:szCs w:val="21"/>
          <w:lang w:eastAsia="zh-CN"/>
        </w:rPr>
      </w:pPr>
      <w:r>
        <w:rPr>
          <w:rFonts w:hint="eastAsia" w:asciiTheme="minorEastAsia" w:hAnsiTheme="minorEastAsia" w:eastAsiaTheme="minorEastAsia" w:cstheme="minorEastAsia"/>
          <w:b w:val="0"/>
          <w:color w:val="auto"/>
          <w:kern w:val="2"/>
          <w:sz w:val="24"/>
          <w:szCs w:val="21"/>
          <w:lang w:eastAsia="zh-CN"/>
        </w:rPr>
        <w:t>监督投诉电话：15384946619</w:t>
      </w:r>
    </w:p>
    <w:p w14:paraId="62C380E2">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kern w:val="2"/>
          <w:sz w:val="24"/>
          <w:lang w:eastAsia="zh-CN"/>
        </w:rPr>
        <w:br w:type="page"/>
      </w:r>
    </w:p>
    <w:p w14:paraId="20B797FC">
      <w:pPr>
        <w:pStyle w:val="2"/>
        <w:tabs>
          <w:tab w:val="left" w:pos="0"/>
        </w:tabs>
        <w:spacing w:before="0" w:after="0" w:line="240" w:lineRule="atLeast"/>
        <w:rPr>
          <w:rFonts w:hint="eastAsia" w:asciiTheme="minorEastAsia" w:hAnsiTheme="minorEastAsia" w:eastAsiaTheme="minorEastAsia" w:cstheme="minorEastAsia"/>
          <w:color w:val="auto"/>
          <w:sz w:val="44"/>
          <w:szCs w:val="44"/>
          <w:lang w:eastAsia="zh-CN"/>
        </w:rPr>
      </w:pPr>
      <w:bookmarkStart w:id="909" w:name="_Toc11602"/>
      <w:r>
        <w:rPr>
          <w:rFonts w:hint="eastAsia" w:asciiTheme="minorEastAsia" w:hAnsiTheme="minorEastAsia" w:eastAsiaTheme="minorEastAsia" w:cstheme="minorEastAsia"/>
          <w:color w:val="auto"/>
          <w:sz w:val="44"/>
          <w:szCs w:val="44"/>
          <w:lang w:eastAsia="zh-CN"/>
        </w:rPr>
        <w:t>第四章  投标人须知资料表</w:t>
      </w:r>
      <w:bookmarkEnd w:id="909"/>
    </w:p>
    <w:p w14:paraId="16E6977C">
      <w:pPr>
        <w:spacing w:line="240" w:lineRule="atLeast"/>
        <w:ind w:left="1080" w:leftChars="257" w:hanging="540"/>
        <w:rPr>
          <w:rStyle w:val="26"/>
          <w:rFonts w:hint="eastAsia" w:asciiTheme="minorEastAsia" w:hAnsiTheme="minorEastAsia" w:eastAsiaTheme="minorEastAsia" w:cstheme="minorEastAsia"/>
          <w:color w:val="auto"/>
          <w:sz w:val="36"/>
          <w:szCs w:val="36"/>
          <w:lang w:eastAsia="zh-CN"/>
        </w:rPr>
      </w:pPr>
    </w:p>
    <w:p w14:paraId="62057D70">
      <w:pPr>
        <w:spacing w:line="240" w:lineRule="atLeast"/>
        <w:ind w:firstLine="600" w:firstLineChars="25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本表是本招标项目的具体资料，是对投标人须知的具体补充和修改，如有矛盾，应以本资料表为准。</w:t>
      </w:r>
    </w:p>
    <w:tbl>
      <w:tblPr>
        <w:tblStyle w:val="22"/>
        <w:tblW w:w="9220"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2"/>
        <w:gridCol w:w="8318"/>
      </w:tblGrid>
      <w:tr w14:paraId="2368EE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902" w:type="dxa"/>
            <w:tcBorders>
              <w:top w:val="single" w:color="000000" w:sz="12" w:space="0"/>
              <w:left w:val="single" w:color="000000" w:sz="12" w:space="0"/>
              <w:bottom w:val="single" w:color="000000" w:sz="6" w:space="0"/>
              <w:right w:val="single" w:color="000000" w:sz="6" w:space="0"/>
            </w:tcBorders>
            <w:vAlign w:val="center"/>
          </w:tcPr>
          <w:p w14:paraId="5AD5B037">
            <w:pPr>
              <w:spacing w:line="240" w:lineRule="atLeast"/>
              <w:ind w:firstLine="240" w:firstLineChars="100"/>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条款号</w:t>
            </w:r>
          </w:p>
        </w:tc>
        <w:tc>
          <w:tcPr>
            <w:tcW w:w="8318" w:type="dxa"/>
            <w:tcBorders>
              <w:top w:val="single" w:color="000000" w:sz="12" w:space="0"/>
              <w:left w:val="single" w:color="000000" w:sz="6" w:space="0"/>
              <w:bottom w:val="single" w:color="000000" w:sz="6" w:space="0"/>
              <w:right w:val="single" w:color="000000" w:sz="12" w:space="0"/>
            </w:tcBorders>
            <w:vAlign w:val="center"/>
          </w:tcPr>
          <w:p w14:paraId="23011455">
            <w:pPr>
              <w:spacing w:line="240" w:lineRule="atLeast"/>
              <w:ind w:left="1080" w:leftChars="257" w:hanging="540"/>
              <w:jc w:val="center"/>
              <w:rPr>
                <w:rStyle w:val="26"/>
                <w:rFonts w:hint="eastAsia" w:asciiTheme="minorEastAsia" w:hAnsiTheme="minorEastAsia" w:eastAsiaTheme="minorEastAsia" w:cstheme="minorEastAsia"/>
                <w:b/>
                <w:color w:val="auto"/>
                <w:sz w:val="24"/>
              </w:rPr>
            </w:pPr>
            <w:r>
              <w:rPr>
                <w:rStyle w:val="26"/>
                <w:rFonts w:hint="eastAsia" w:asciiTheme="minorEastAsia" w:hAnsiTheme="minorEastAsia" w:eastAsiaTheme="minorEastAsia" w:cstheme="minorEastAsia"/>
                <w:b/>
                <w:color w:val="auto"/>
                <w:sz w:val="24"/>
              </w:rPr>
              <w:t>内      容</w:t>
            </w:r>
          </w:p>
        </w:tc>
      </w:tr>
      <w:tr w14:paraId="527DB8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7E815F46">
            <w:pPr>
              <w:spacing w:line="240" w:lineRule="atLeast"/>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1.1</w:t>
            </w:r>
          </w:p>
        </w:tc>
        <w:tc>
          <w:tcPr>
            <w:tcW w:w="8318" w:type="dxa"/>
            <w:tcBorders>
              <w:top w:val="single" w:color="000000" w:sz="6" w:space="0"/>
              <w:left w:val="single" w:color="000000" w:sz="6" w:space="0"/>
              <w:bottom w:val="single" w:color="000000" w:sz="6" w:space="0"/>
              <w:right w:val="single" w:color="000000" w:sz="12" w:space="0"/>
            </w:tcBorders>
            <w:vAlign w:val="center"/>
          </w:tcPr>
          <w:p w14:paraId="3CDC77E8">
            <w:pPr>
              <w:rPr>
                <w:rStyle w:val="26"/>
                <w:rFonts w:hint="eastAsia" w:asciiTheme="minorEastAsia" w:hAnsiTheme="minorEastAsia" w:eastAsiaTheme="minorEastAsia" w:cstheme="minorEastAsia"/>
                <w:color w:val="auto"/>
                <w:sz w:val="24"/>
                <w:lang w:val="en-US" w:eastAsia="zh-CN"/>
              </w:rPr>
            </w:pPr>
            <w:r>
              <w:rPr>
                <w:rStyle w:val="26"/>
                <w:rFonts w:hint="eastAsia" w:asciiTheme="minorEastAsia" w:hAnsiTheme="minorEastAsia" w:eastAsiaTheme="minorEastAsia" w:cstheme="minorEastAsia"/>
                <w:color w:val="auto"/>
                <w:sz w:val="24"/>
                <w:lang w:eastAsia="zh-CN"/>
              </w:rPr>
              <w:t>采购人：伽师县</w:t>
            </w:r>
            <w:r>
              <w:rPr>
                <w:rStyle w:val="26"/>
                <w:rFonts w:hint="eastAsia" w:asciiTheme="minorEastAsia" w:hAnsiTheme="minorEastAsia" w:eastAsiaTheme="minorEastAsia" w:cstheme="minorEastAsia"/>
                <w:color w:val="auto"/>
                <w:sz w:val="24"/>
                <w:lang w:val="en-US" w:eastAsia="zh-CN"/>
              </w:rPr>
              <w:t>教育局</w:t>
            </w:r>
          </w:p>
          <w:p w14:paraId="7F62E076">
            <w:pP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联系人：蔡秀伟     联系电话：15999320380</w:t>
            </w:r>
          </w:p>
        </w:tc>
      </w:tr>
      <w:tr w14:paraId="58AA86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0FF11917">
            <w:pPr>
              <w:spacing w:line="240" w:lineRule="atLeast"/>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1.2</w:t>
            </w:r>
          </w:p>
        </w:tc>
        <w:tc>
          <w:tcPr>
            <w:tcW w:w="8318" w:type="dxa"/>
            <w:tcBorders>
              <w:top w:val="single" w:color="000000" w:sz="6" w:space="0"/>
              <w:left w:val="single" w:color="000000" w:sz="6" w:space="0"/>
              <w:bottom w:val="single" w:color="000000" w:sz="6" w:space="0"/>
              <w:right w:val="single" w:color="000000" w:sz="12" w:space="0"/>
            </w:tcBorders>
            <w:vAlign w:val="center"/>
          </w:tcPr>
          <w:p w14:paraId="64624029">
            <w:pPr>
              <w:spacing w:line="240" w:lineRule="atLeast"/>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采购代理机构：</w:t>
            </w:r>
            <w:r>
              <w:rPr>
                <w:rFonts w:hint="eastAsia" w:asciiTheme="minorEastAsia" w:hAnsiTheme="minorEastAsia" w:eastAsiaTheme="minorEastAsia" w:cstheme="minorEastAsia"/>
                <w:color w:val="auto"/>
                <w:sz w:val="24"/>
                <w:u w:val="single"/>
                <w:lang w:eastAsia="zh-CN"/>
              </w:rPr>
              <w:t>伽师县政府采购中心</w:t>
            </w:r>
          </w:p>
          <w:p w14:paraId="46EAB422">
            <w:pPr>
              <w:spacing w:line="240" w:lineRule="atLeast"/>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地址：</w:t>
            </w:r>
            <w:r>
              <w:rPr>
                <w:rFonts w:hint="eastAsia" w:asciiTheme="minorEastAsia" w:hAnsiTheme="minorEastAsia" w:eastAsiaTheme="minorEastAsia" w:cstheme="minorEastAsia"/>
                <w:color w:val="auto"/>
                <w:sz w:val="24"/>
                <w:u w:val="single"/>
                <w:lang w:eastAsia="zh-CN"/>
              </w:rPr>
              <w:t>伽师县行政审批局四楼（伽师县花园路3号）</w:t>
            </w:r>
          </w:p>
          <w:p w14:paraId="22B490A9">
            <w:pPr>
              <w:spacing w:line="240" w:lineRule="atLeast"/>
              <w:rPr>
                <w:rStyle w:val="26"/>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联系人：陈雪、依明江         电  话：0998-5713206</w:t>
            </w:r>
          </w:p>
        </w:tc>
      </w:tr>
      <w:tr w14:paraId="60E9C2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1783B1A0">
            <w:pPr>
              <w:spacing w:line="240" w:lineRule="atLeast"/>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1.3.1</w:t>
            </w:r>
          </w:p>
        </w:tc>
        <w:tc>
          <w:tcPr>
            <w:tcW w:w="8318" w:type="dxa"/>
            <w:tcBorders>
              <w:top w:val="single" w:color="000000" w:sz="6" w:space="0"/>
              <w:left w:val="single" w:color="000000" w:sz="6" w:space="0"/>
              <w:bottom w:val="single" w:color="000000" w:sz="6" w:space="0"/>
              <w:right w:val="single" w:color="000000" w:sz="12" w:space="0"/>
            </w:tcBorders>
            <w:vAlign w:val="center"/>
          </w:tcPr>
          <w:p w14:paraId="2F790792">
            <w:pPr>
              <w:spacing w:line="240" w:lineRule="atLeas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合格投标人开标时需提供的资格证明文件：</w:t>
            </w:r>
          </w:p>
          <w:p w14:paraId="0AB1FD66">
            <w:pPr>
              <w:pStyle w:val="1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1.提供有效的营业执照；</w:t>
            </w:r>
          </w:p>
          <w:p w14:paraId="37A29DC3">
            <w:pPr>
              <w:pStyle w:val="1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2.法定代表人证明或法定代表人授权委托书签字（章）并加盖公章；</w:t>
            </w:r>
          </w:p>
          <w:p w14:paraId="5C427383">
            <w:pPr>
              <w:pStyle w:val="15"/>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sz w:val="24"/>
                <w:lang w:eastAsia="zh-CN"/>
              </w:rPr>
              <w:t>3.提供投</w:t>
            </w:r>
            <w:r>
              <w:rPr>
                <w:rFonts w:hint="eastAsia" w:asciiTheme="minorEastAsia" w:hAnsiTheme="minorEastAsia" w:eastAsiaTheme="minorEastAsia" w:cstheme="minorEastAsia"/>
                <w:color w:val="auto"/>
                <w:kern w:val="2"/>
                <w:sz w:val="24"/>
                <w:szCs w:val="24"/>
                <w:lang w:eastAsia="zh-CN"/>
              </w:rPr>
              <w:t>标单位近三个月内（任意一个月）的社保证明；</w:t>
            </w:r>
          </w:p>
          <w:p w14:paraId="7047B8FD">
            <w:pPr>
              <w:pStyle w:val="6"/>
              <w:ind w:left="0" w:leftChars="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kern w:val="2"/>
                <w:sz w:val="24"/>
                <w:lang w:eastAsia="zh-CN"/>
              </w:rPr>
              <w:t>4.近三个月所属期</w:t>
            </w:r>
            <w:r>
              <w:rPr>
                <w:rFonts w:hint="eastAsia" w:asciiTheme="minorEastAsia" w:hAnsiTheme="minorEastAsia" w:eastAsiaTheme="minorEastAsia" w:cstheme="minorEastAsia"/>
                <w:color w:val="auto"/>
                <w:sz w:val="24"/>
                <w:lang w:eastAsia="zh-CN"/>
              </w:rPr>
              <w:t>限内（任意一个月）依法缴纳税收的证明（税务部门出具的完税凭证或缴税证明或银行出具的“银行电子缴税付款证”）；</w:t>
            </w:r>
          </w:p>
          <w:p w14:paraId="793971F5">
            <w:pPr>
              <w:pStyle w:val="15"/>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sz w:val="24"/>
                <w:lang w:eastAsia="zh-CN"/>
              </w:rPr>
              <w:t>5.良好的商业信誉和健全的财务会计制度证明材料（</w:t>
            </w:r>
            <w:r>
              <w:rPr>
                <w:rFonts w:hint="eastAsia" w:asciiTheme="minorEastAsia" w:hAnsiTheme="minorEastAsia" w:eastAsiaTheme="minorEastAsia" w:cstheme="minorEastAsia"/>
                <w:color w:val="auto"/>
                <w:kern w:val="2"/>
                <w:sz w:val="24"/>
                <w:szCs w:val="24"/>
                <w:lang w:eastAsia="zh-CN"/>
              </w:rPr>
              <w:t>会计事务所出具的2023年或2024年的年度财务审计报告书；注册成立未满一年新公司可提供近三个月内任意一个月的银行资信证明）；</w:t>
            </w:r>
          </w:p>
          <w:p w14:paraId="7F922312">
            <w:pPr>
              <w:pStyle w:val="1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6.提供投标单位按招标文件要求缴纳投标保证金的缴款凭证或金融机构、担保机构出具的保函；</w:t>
            </w:r>
          </w:p>
          <w:p w14:paraId="7BEE4F79">
            <w:pPr>
              <w:pStyle w:val="1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7.投标单位（供应商）其法人参加本次采购活动前三年内，在经营活动中没有重大违法记录的声明及对本次项目《反商业贿赂承诺书》；</w:t>
            </w:r>
          </w:p>
          <w:p w14:paraId="589BFA8B">
            <w:pPr>
              <w:pStyle w:val="1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8.本项目不接受联合体投标。</w:t>
            </w:r>
          </w:p>
          <w:p w14:paraId="28988B49">
            <w:pPr>
              <w:spacing w:before="142" w:line="243" w:lineRule="auto"/>
              <w:ind w:left="2"/>
              <w:jc w:val="both"/>
              <w:rPr>
                <w:rFonts w:hint="eastAsia" w:asciiTheme="minorEastAsia" w:hAnsiTheme="minorEastAsia" w:eastAsiaTheme="minorEastAsia" w:cstheme="minorEastAsia"/>
                <w:b/>
                <w:bCs/>
                <w:spacing w:val="11"/>
                <w:sz w:val="23"/>
                <w:szCs w:val="23"/>
                <w:lang w:eastAsia="zh-CN"/>
              </w:rPr>
            </w:pPr>
            <w:r>
              <w:rPr>
                <w:rFonts w:hint="eastAsia" w:asciiTheme="minorEastAsia" w:hAnsiTheme="minorEastAsia" w:eastAsiaTheme="minorEastAsia" w:cstheme="minorEastAsia"/>
                <w:color w:val="auto"/>
                <w:sz w:val="24"/>
                <w:lang w:eastAsia="zh-CN"/>
              </w:rPr>
              <w:t>对供应商的重大违法记录将在开标现场资格审验时在“信用中国”网站及中国政府采购网进行查询，被列入失信被执行人、重大税收违法案件当事人名单以及政府采购严重违法失信行为记录名单的投标单位，将拒绝其参加本次政府采购活动。（以开标现场招标代理或招标人查询为准）</w:t>
            </w:r>
          </w:p>
          <w:p w14:paraId="089FE51E">
            <w:pPr>
              <w:spacing w:before="142" w:line="243" w:lineRule="auto"/>
              <w:ind w:left="2"/>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spacing w:val="11"/>
                <w:sz w:val="23"/>
                <w:szCs w:val="23"/>
                <w:lang w:eastAsia="zh-CN"/>
              </w:rPr>
              <w:t>注：1、“提供税务部门出具的完税证明”：①若供应商某月税收为零申报，须提供当月加盖税务局公章的无欠税证明或“国家税务总局电子税务局12366.chinatax.gov.cn/bsfw/onlinetaxation/main）”的申报结果查询截图 ②完税证明中“税种”非养老保险、医疗保险、失业保险、工伤保险和生育保险。</w:t>
            </w:r>
            <w:r>
              <w:rPr>
                <w:rFonts w:hint="eastAsia" w:asciiTheme="minorEastAsia" w:hAnsiTheme="minorEastAsia" w:eastAsiaTheme="minorEastAsia" w:cstheme="minorEastAsia"/>
                <w:b/>
                <w:bCs/>
                <w:spacing w:val="11"/>
                <w:sz w:val="23"/>
                <w:szCs w:val="23"/>
              </w:rPr>
              <w:t>请各供应商注意！</w:t>
            </w:r>
          </w:p>
        </w:tc>
      </w:tr>
      <w:tr w14:paraId="274DFC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0F3F9A15">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1.3.2</w:t>
            </w:r>
          </w:p>
        </w:tc>
        <w:tc>
          <w:tcPr>
            <w:tcW w:w="8318" w:type="dxa"/>
            <w:tcBorders>
              <w:top w:val="single" w:color="000000" w:sz="6" w:space="0"/>
              <w:left w:val="single" w:color="000000" w:sz="6" w:space="0"/>
              <w:bottom w:val="single" w:color="000000" w:sz="6" w:space="0"/>
              <w:right w:val="single" w:color="000000" w:sz="12" w:space="0"/>
            </w:tcBorders>
            <w:vAlign w:val="center"/>
          </w:tcPr>
          <w:p w14:paraId="3F0C1854">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是否允许采购进口产品：</w:t>
            </w:r>
            <w:r>
              <w:rPr>
                <w:rStyle w:val="26"/>
                <w:rFonts w:hint="eastAsia" w:asciiTheme="minorEastAsia" w:hAnsiTheme="minorEastAsia" w:eastAsiaTheme="minorEastAsia" w:cstheme="minorEastAsia"/>
                <w:color w:val="auto"/>
                <w:sz w:val="24"/>
                <w:u w:val="single"/>
                <w:lang w:eastAsia="zh-CN"/>
              </w:rPr>
              <w:t>否</w:t>
            </w:r>
          </w:p>
        </w:tc>
      </w:tr>
      <w:tr w14:paraId="102124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1EB621CE">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1.3.3</w:t>
            </w:r>
          </w:p>
        </w:tc>
        <w:tc>
          <w:tcPr>
            <w:tcW w:w="8318" w:type="dxa"/>
            <w:tcBorders>
              <w:top w:val="single" w:color="000000" w:sz="6" w:space="0"/>
              <w:left w:val="single" w:color="000000" w:sz="6" w:space="0"/>
              <w:bottom w:val="single" w:color="000000" w:sz="6" w:space="0"/>
              <w:right w:val="single" w:color="000000" w:sz="12" w:space="0"/>
            </w:tcBorders>
            <w:vAlign w:val="center"/>
          </w:tcPr>
          <w:p w14:paraId="0E6272B2">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是否为专门面向中小企业采购：</w:t>
            </w:r>
            <w:r>
              <w:rPr>
                <w:rStyle w:val="26"/>
                <w:rFonts w:hint="eastAsia" w:asciiTheme="minorEastAsia" w:hAnsiTheme="minorEastAsia" w:eastAsiaTheme="minorEastAsia" w:cstheme="minorEastAsia"/>
                <w:color w:val="auto"/>
                <w:sz w:val="24"/>
                <w:u w:val="single"/>
                <w:lang w:eastAsia="zh-CN"/>
              </w:rPr>
              <w:t>否</w:t>
            </w:r>
          </w:p>
        </w:tc>
      </w:tr>
      <w:tr w14:paraId="75A9FA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66E3A309">
            <w:pPr>
              <w:spacing w:line="240" w:lineRule="atLeast"/>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lang w:eastAsia="zh-CN"/>
              </w:rPr>
              <w:t>·</w:t>
            </w:r>
            <w:r>
              <w:rPr>
                <w:rStyle w:val="26"/>
                <w:rFonts w:hint="eastAsia" w:asciiTheme="minorEastAsia" w:hAnsiTheme="minorEastAsia" w:eastAsiaTheme="minorEastAsia" w:cstheme="minorEastAsia"/>
                <w:color w:val="auto"/>
                <w:sz w:val="24"/>
              </w:rPr>
              <w:t>1.4.1</w:t>
            </w:r>
          </w:p>
        </w:tc>
        <w:tc>
          <w:tcPr>
            <w:tcW w:w="8318" w:type="dxa"/>
            <w:tcBorders>
              <w:top w:val="single" w:color="000000" w:sz="6" w:space="0"/>
              <w:left w:val="single" w:color="000000" w:sz="6" w:space="0"/>
              <w:bottom w:val="single" w:color="000000" w:sz="6" w:space="0"/>
              <w:right w:val="single" w:color="000000" w:sz="12" w:space="0"/>
            </w:tcBorders>
            <w:vAlign w:val="center"/>
          </w:tcPr>
          <w:p w14:paraId="748DD50F">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是否允许联合体投标：</w:t>
            </w:r>
            <w:r>
              <w:rPr>
                <w:rStyle w:val="26"/>
                <w:rFonts w:hint="eastAsia" w:asciiTheme="minorEastAsia" w:hAnsiTheme="minorEastAsia" w:eastAsiaTheme="minorEastAsia" w:cstheme="minorEastAsia"/>
                <w:color w:val="auto"/>
                <w:sz w:val="24"/>
                <w:u w:val="single"/>
                <w:lang w:eastAsia="zh-CN"/>
              </w:rPr>
              <w:t>否</w:t>
            </w:r>
          </w:p>
        </w:tc>
      </w:tr>
      <w:tr w14:paraId="1E9515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3FC6F1DC">
            <w:pPr>
              <w:spacing w:line="240" w:lineRule="atLeast"/>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1.4.2</w:t>
            </w:r>
          </w:p>
        </w:tc>
        <w:tc>
          <w:tcPr>
            <w:tcW w:w="8318" w:type="dxa"/>
            <w:tcBorders>
              <w:top w:val="single" w:color="000000" w:sz="6" w:space="0"/>
              <w:left w:val="single" w:color="000000" w:sz="6" w:space="0"/>
              <w:bottom w:val="single" w:color="000000" w:sz="6" w:space="0"/>
              <w:right w:val="single" w:color="000000" w:sz="12" w:space="0"/>
            </w:tcBorders>
            <w:vAlign w:val="center"/>
          </w:tcPr>
          <w:p w14:paraId="1438998A">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联合体的其他资格要求：无</w:t>
            </w:r>
          </w:p>
        </w:tc>
      </w:tr>
      <w:tr w14:paraId="58C046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5C958786">
            <w:pPr>
              <w:spacing w:line="240" w:lineRule="atLeast"/>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2.1</w:t>
            </w:r>
          </w:p>
        </w:tc>
        <w:tc>
          <w:tcPr>
            <w:tcW w:w="8318" w:type="dxa"/>
            <w:tcBorders>
              <w:top w:val="single" w:color="000000" w:sz="6" w:space="0"/>
              <w:left w:val="single" w:color="000000" w:sz="6" w:space="0"/>
              <w:bottom w:val="single" w:color="000000" w:sz="6" w:space="0"/>
              <w:right w:val="single" w:color="000000" w:sz="12" w:space="0"/>
            </w:tcBorders>
            <w:vAlign w:val="center"/>
          </w:tcPr>
          <w:p w14:paraId="1E881A0B">
            <w:pPr>
              <w:spacing w:line="240" w:lineRule="atLeast"/>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采购预算：</w:t>
            </w:r>
            <w:r>
              <w:rPr>
                <w:rStyle w:val="26"/>
                <w:rFonts w:hint="eastAsia" w:asciiTheme="minorEastAsia" w:hAnsiTheme="minorEastAsia" w:eastAsiaTheme="minorEastAsia" w:cstheme="minorEastAsia"/>
                <w:color w:val="auto"/>
                <w:sz w:val="24"/>
                <w:lang w:eastAsia="zh-CN"/>
              </w:rPr>
              <w:t>4349318.75</w:t>
            </w:r>
            <w:r>
              <w:rPr>
                <w:rStyle w:val="26"/>
                <w:rFonts w:hint="eastAsia" w:asciiTheme="minorEastAsia" w:hAnsiTheme="minorEastAsia" w:eastAsiaTheme="minorEastAsia" w:cstheme="minorEastAsia"/>
                <w:color w:val="auto"/>
                <w:sz w:val="24"/>
                <w:lang w:val="zh-CN" w:eastAsia="zh-CN"/>
              </w:rPr>
              <w:t>元；最高限价：</w:t>
            </w:r>
            <w:r>
              <w:rPr>
                <w:rStyle w:val="26"/>
                <w:rFonts w:hint="eastAsia" w:asciiTheme="minorEastAsia" w:hAnsiTheme="minorEastAsia" w:eastAsiaTheme="minorEastAsia" w:cstheme="minorEastAsia"/>
                <w:color w:val="auto"/>
                <w:sz w:val="24"/>
                <w:lang w:eastAsia="zh-CN"/>
              </w:rPr>
              <w:t>4349318.75</w:t>
            </w:r>
            <w:r>
              <w:rPr>
                <w:rStyle w:val="26"/>
                <w:rFonts w:hint="eastAsia" w:asciiTheme="minorEastAsia" w:hAnsiTheme="minorEastAsia" w:eastAsiaTheme="minorEastAsia" w:cstheme="minorEastAsia"/>
                <w:color w:val="auto"/>
                <w:sz w:val="24"/>
                <w:lang w:val="zh-CN" w:eastAsia="zh-CN"/>
              </w:rPr>
              <w:t>元</w:t>
            </w:r>
          </w:p>
          <w:p w14:paraId="794B4D3B">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val="zh-CN" w:eastAsia="zh-CN"/>
              </w:rPr>
              <w:t>（超过最高限价的投标无效）；</w:t>
            </w:r>
          </w:p>
        </w:tc>
      </w:tr>
      <w:tr w14:paraId="57D4F3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62D9BAA6">
            <w:pPr>
              <w:spacing w:line="240" w:lineRule="atLeast"/>
              <w:jc w:val="center"/>
              <w:rPr>
                <w:rStyle w:val="26"/>
                <w:rFonts w:hint="eastAsia" w:asciiTheme="minorEastAsia" w:hAnsiTheme="minorEastAsia" w:eastAsiaTheme="minorEastAsia" w:cstheme="minorEastAsia"/>
                <w:color w:val="auto"/>
                <w:sz w:val="24"/>
                <w:lang w:val="zh-CN"/>
              </w:rPr>
            </w:pPr>
            <w:r>
              <w:rPr>
                <w:rStyle w:val="26"/>
                <w:rFonts w:hint="eastAsia" w:asciiTheme="minorEastAsia" w:hAnsiTheme="minorEastAsia" w:eastAsiaTheme="minorEastAsia" w:cstheme="minorEastAsia"/>
                <w:color w:val="auto"/>
                <w:sz w:val="24"/>
                <w:lang w:val="zh-CN"/>
              </w:rPr>
              <w:t>2.2</w:t>
            </w:r>
          </w:p>
        </w:tc>
        <w:tc>
          <w:tcPr>
            <w:tcW w:w="8318" w:type="dxa"/>
            <w:tcBorders>
              <w:top w:val="single" w:color="000000" w:sz="6" w:space="0"/>
              <w:left w:val="single" w:color="000000" w:sz="6" w:space="0"/>
              <w:bottom w:val="single" w:color="000000" w:sz="6" w:space="0"/>
              <w:right w:val="single" w:color="000000" w:sz="12" w:space="0"/>
            </w:tcBorders>
            <w:vAlign w:val="center"/>
          </w:tcPr>
          <w:p w14:paraId="593795A4">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highlight w:val="yellow"/>
                <w:lang w:val="zh-CN" w:eastAsia="zh-CN"/>
              </w:rPr>
              <w:t>注：本项目不分标段</w:t>
            </w:r>
            <w:r>
              <w:rPr>
                <w:rFonts w:hint="eastAsia" w:asciiTheme="minorEastAsia" w:hAnsiTheme="minorEastAsia" w:eastAsiaTheme="minorEastAsia" w:cstheme="minorEastAsia"/>
                <w:bCs/>
                <w:color w:val="auto"/>
                <w:sz w:val="24"/>
                <w:szCs w:val="24"/>
                <w:highlight w:val="yellow"/>
                <w:lang w:eastAsia="zh-CN"/>
              </w:rPr>
              <w:t>。</w:t>
            </w:r>
          </w:p>
        </w:tc>
      </w:tr>
      <w:tr w14:paraId="029489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29"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01498C40">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12.1</w:t>
            </w:r>
          </w:p>
        </w:tc>
        <w:tc>
          <w:tcPr>
            <w:tcW w:w="8318" w:type="dxa"/>
            <w:tcBorders>
              <w:top w:val="single" w:color="000000" w:sz="6" w:space="0"/>
              <w:left w:val="single" w:color="000000" w:sz="6" w:space="0"/>
              <w:bottom w:val="single" w:color="000000" w:sz="6" w:space="0"/>
              <w:right w:val="single" w:color="000000" w:sz="12" w:space="0"/>
            </w:tcBorders>
            <w:vAlign w:val="center"/>
          </w:tcPr>
          <w:tbl>
            <w:tblPr>
              <w:tblStyle w:val="35"/>
              <w:tblW w:w="859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3"/>
            </w:tblGrid>
            <w:tr w14:paraId="7FF23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1" w:hRule="atLeast"/>
              </w:trPr>
              <w:tc>
                <w:tcPr>
                  <w:tcW w:w="8593" w:type="dxa"/>
                  <w:tcBorders>
                    <w:right w:val="single" w:color="000000" w:sz="10" w:space="0"/>
                  </w:tcBorders>
                </w:tcPr>
                <w:p w14:paraId="05C8EFCA">
                  <w:pPr>
                    <w:spacing w:before="43" w:line="408" w:lineRule="exact"/>
                    <w:ind w:left="6"/>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spacing w:val="3"/>
                      <w:position w:val="4"/>
                      <w:sz w:val="23"/>
                      <w:szCs w:val="23"/>
                      <w:lang w:eastAsia="zh-CN"/>
                    </w:rPr>
                    <w:t>投标保证金形式：</w:t>
                  </w:r>
                  <w:r>
                    <w:rPr>
                      <w:rFonts w:hint="eastAsia" w:asciiTheme="minorEastAsia" w:hAnsiTheme="minorEastAsia" w:eastAsiaTheme="minorEastAsia" w:cstheme="minorEastAsia"/>
                      <w:color w:val="auto"/>
                      <w:kern w:val="2"/>
                      <w:sz w:val="24"/>
                      <w:szCs w:val="24"/>
                      <w:lang w:eastAsia="zh-CN"/>
                    </w:rPr>
                    <w:t>☑电汇☑支票☑本票☑保函☑等非现金形式提交</w:t>
                  </w:r>
                </w:p>
                <w:p w14:paraId="29B5B332">
                  <w:pPr>
                    <w:spacing w:before="43" w:line="408" w:lineRule="exact"/>
                    <w:ind w:left="6"/>
                    <w:rPr>
                      <w:rFonts w:hint="eastAsia" w:asciiTheme="minorEastAsia" w:hAnsiTheme="minorEastAsia" w:eastAsiaTheme="minorEastAsia" w:cstheme="minorEastAsia"/>
                      <w:spacing w:val="2"/>
                      <w:position w:val="4"/>
                      <w:sz w:val="23"/>
                      <w:szCs w:val="23"/>
                      <w:lang w:eastAsia="zh-CN"/>
                    </w:rPr>
                  </w:pPr>
                  <w:r>
                    <w:rPr>
                      <w:rFonts w:hint="eastAsia" w:asciiTheme="minorEastAsia" w:hAnsiTheme="minorEastAsia" w:eastAsiaTheme="minorEastAsia" w:cstheme="minorEastAsia"/>
                      <w:spacing w:val="2"/>
                      <w:position w:val="4"/>
                      <w:sz w:val="23"/>
                      <w:szCs w:val="23"/>
                      <w:lang w:eastAsia="zh-CN"/>
                    </w:rPr>
                    <w:t>投标保证金数额:</w:t>
                  </w:r>
                  <w:r>
                    <w:rPr>
                      <w:rFonts w:hint="eastAsia" w:asciiTheme="minorEastAsia" w:hAnsiTheme="minorEastAsia" w:eastAsiaTheme="minorEastAsia" w:cstheme="minorEastAsia"/>
                      <w:spacing w:val="2"/>
                      <w:position w:val="4"/>
                      <w:sz w:val="23"/>
                      <w:szCs w:val="23"/>
                      <w:lang w:val="en-US" w:eastAsia="zh-CN"/>
                    </w:rPr>
                    <w:t>86</w:t>
                  </w:r>
                  <w:r>
                    <w:rPr>
                      <w:rFonts w:hint="eastAsia" w:asciiTheme="minorEastAsia" w:hAnsiTheme="minorEastAsia" w:eastAsiaTheme="minorEastAsia" w:cstheme="minorEastAsia"/>
                      <w:spacing w:val="2"/>
                      <w:position w:val="4"/>
                      <w:sz w:val="23"/>
                      <w:szCs w:val="23"/>
                      <w:lang w:eastAsia="zh-CN"/>
                    </w:rPr>
                    <w:t>000元；</w:t>
                  </w:r>
                </w:p>
                <w:p w14:paraId="516D3FC8">
                  <w:pPr>
                    <w:spacing w:before="34" w:line="244" w:lineRule="auto"/>
                    <w:ind w:left="9" w:right="61" w:firstLine="5"/>
                    <w:jc w:val="both"/>
                    <w:rPr>
                      <w:rFonts w:hint="eastAsia" w:asciiTheme="minorEastAsia" w:hAnsiTheme="minorEastAsia" w:eastAsiaTheme="minorEastAsia" w:cstheme="minorEastAsia"/>
                      <w:spacing w:val="2"/>
                      <w:position w:val="4"/>
                      <w:sz w:val="23"/>
                      <w:szCs w:val="23"/>
                      <w:lang w:eastAsia="zh-CN"/>
                    </w:rPr>
                  </w:pPr>
                  <w:r>
                    <w:rPr>
                      <w:rFonts w:hint="eastAsia" w:asciiTheme="minorEastAsia" w:hAnsiTheme="minorEastAsia" w:eastAsiaTheme="minorEastAsia" w:cstheme="minorEastAsia"/>
                      <w:spacing w:val="2"/>
                      <w:position w:val="4"/>
                      <w:sz w:val="23"/>
                      <w:szCs w:val="23"/>
                      <w:lang w:eastAsia="zh-CN"/>
                    </w:rPr>
                    <w:t>投标保证金缴纳账户：伽师县教育局</w:t>
                  </w:r>
                </w:p>
                <w:p w14:paraId="25A25210">
                  <w:pPr>
                    <w:spacing w:before="34" w:line="244" w:lineRule="auto"/>
                    <w:ind w:left="9" w:right="61" w:firstLine="5"/>
                    <w:jc w:val="both"/>
                    <w:rPr>
                      <w:rFonts w:hint="eastAsia" w:asciiTheme="minorEastAsia" w:hAnsiTheme="minorEastAsia" w:eastAsiaTheme="minorEastAsia" w:cstheme="minorEastAsia"/>
                      <w:spacing w:val="2"/>
                      <w:position w:val="4"/>
                      <w:sz w:val="23"/>
                      <w:szCs w:val="23"/>
                      <w:lang w:eastAsia="zh-CN"/>
                    </w:rPr>
                  </w:pPr>
                  <w:r>
                    <w:rPr>
                      <w:rFonts w:hint="eastAsia" w:asciiTheme="minorEastAsia" w:hAnsiTheme="minorEastAsia" w:eastAsiaTheme="minorEastAsia" w:cstheme="minorEastAsia"/>
                      <w:spacing w:val="2"/>
                      <w:position w:val="4"/>
                      <w:sz w:val="23"/>
                      <w:szCs w:val="23"/>
                      <w:lang w:eastAsia="zh-CN"/>
                    </w:rPr>
                    <w:t>银行账号：3012000209100095893　</w:t>
                  </w:r>
                </w:p>
                <w:p w14:paraId="5A840010">
                  <w:pPr>
                    <w:spacing w:before="34" w:line="244" w:lineRule="auto"/>
                    <w:ind w:left="9" w:right="61" w:firstLine="5"/>
                    <w:jc w:val="both"/>
                    <w:rPr>
                      <w:rFonts w:hint="eastAsia" w:asciiTheme="minorEastAsia" w:hAnsiTheme="minorEastAsia" w:eastAsiaTheme="minorEastAsia" w:cstheme="minorEastAsia"/>
                      <w:spacing w:val="2"/>
                      <w:position w:val="4"/>
                      <w:sz w:val="23"/>
                      <w:szCs w:val="23"/>
                      <w:lang w:eastAsia="zh-CN"/>
                    </w:rPr>
                  </w:pPr>
                  <w:r>
                    <w:rPr>
                      <w:rFonts w:hint="eastAsia" w:asciiTheme="minorEastAsia" w:hAnsiTheme="minorEastAsia" w:eastAsiaTheme="minorEastAsia" w:cstheme="minorEastAsia"/>
                      <w:spacing w:val="2"/>
                      <w:position w:val="4"/>
                      <w:sz w:val="23"/>
                      <w:szCs w:val="23"/>
                      <w:lang w:eastAsia="zh-CN"/>
                    </w:rPr>
                    <w:t>开 户 行：中国工商银行股份有限公司伽师县支行</w:t>
                  </w:r>
                </w:p>
                <w:p w14:paraId="726811E8">
                  <w:pPr>
                    <w:spacing w:before="34" w:line="244" w:lineRule="auto"/>
                    <w:ind w:left="9" w:right="61" w:firstLine="5"/>
                    <w:jc w:val="both"/>
                    <w:rPr>
                      <w:rFonts w:hint="eastAsia" w:asciiTheme="minorEastAsia" w:hAnsiTheme="minorEastAsia" w:eastAsiaTheme="minorEastAsia" w:cstheme="minorEastAsia"/>
                      <w:spacing w:val="2"/>
                      <w:position w:val="4"/>
                      <w:sz w:val="23"/>
                      <w:szCs w:val="23"/>
                      <w:lang w:eastAsia="zh-CN"/>
                    </w:rPr>
                  </w:pPr>
                  <w:r>
                    <w:rPr>
                      <w:rFonts w:hint="eastAsia" w:asciiTheme="minorEastAsia" w:hAnsiTheme="minorEastAsia" w:eastAsiaTheme="minorEastAsia" w:cstheme="minorEastAsia"/>
                      <w:spacing w:val="2"/>
                      <w:position w:val="4"/>
                      <w:sz w:val="23"/>
                      <w:szCs w:val="23"/>
                      <w:lang w:eastAsia="zh-CN"/>
                    </w:rPr>
                    <w:t>联系人：许老师  13477473820</w:t>
                  </w:r>
                </w:p>
                <w:p w14:paraId="1DB10A82">
                  <w:pPr>
                    <w:spacing w:before="34" w:line="244" w:lineRule="auto"/>
                    <w:ind w:left="9" w:right="61" w:firstLine="5"/>
                    <w:jc w:val="both"/>
                    <w:rPr>
                      <w:rFonts w:hint="eastAsia" w:asciiTheme="minorEastAsia" w:hAnsiTheme="minorEastAsia" w:eastAsiaTheme="minorEastAsia" w:cstheme="minorEastAsia"/>
                      <w:sz w:val="23"/>
                      <w:szCs w:val="23"/>
                      <w:lang w:eastAsia="zh-CN"/>
                    </w:rPr>
                  </w:pPr>
                  <w:r>
                    <w:rPr>
                      <w:rFonts w:hint="eastAsia" w:asciiTheme="minorEastAsia" w:hAnsiTheme="minorEastAsia" w:eastAsiaTheme="minorEastAsia" w:cstheme="minorEastAsia"/>
                      <w:b/>
                      <w:bCs/>
                      <w:spacing w:val="2"/>
                      <w:position w:val="4"/>
                      <w:sz w:val="23"/>
                      <w:szCs w:val="23"/>
                      <w:lang w:eastAsia="zh-CN"/>
                    </w:rPr>
                    <w:t>注：退还投标保证金时需提供开户信息及开户行行号，请主动联系提供相</w:t>
                  </w:r>
                  <w:r>
                    <w:rPr>
                      <w:rFonts w:hint="eastAsia" w:asciiTheme="minorEastAsia" w:hAnsiTheme="minorEastAsia" w:eastAsiaTheme="minorEastAsia" w:cstheme="minorEastAsia"/>
                      <w:spacing w:val="2"/>
                      <w:position w:val="4"/>
                      <w:sz w:val="23"/>
                      <w:szCs w:val="23"/>
                      <w:lang w:eastAsia="zh-CN"/>
                    </w:rPr>
                    <w:t>关资料。</w:t>
                  </w:r>
                  <w:r>
                    <w:rPr>
                      <w:rFonts w:hint="eastAsia" w:asciiTheme="minorEastAsia" w:hAnsiTheme="minorEastAsia" w:eastAsiaTheme="minorEastAsia" w:cstheme="minorEastAsia"/>
                      <w:b/>
                      <w:bCs/>
                      <w:spacing w:val="6"/>
                      <w:sz w:val="23"/>
                      <w:szCs w:val="23"/>
                      <w:lang w:eastAsia="zh-CN"/>
                    </w:rPr>
                    <w:t>（根据中华人民共和国财政部令第</w:t>
                  </w:r>
                  <w:r>
                    <w:rPr>
                      <w:rFonts w:hint="eastAsia" w:asciiTheme="minorEastAsia" w:hAnsiTheme="minorEastAsia" w:eastAsiaTheme="minorEastAsia" w:cstheme="minorEastAsia"/>
                      <w:spacing w:val="-36"/>
                      <w:sz w:val="23"/>
                      <w:szCs w:val="23"/>
                      <w:lang w:eastAsia="zh-CN"/>
                    </w:rPr>
                    <w:t xml:space="preserve"> </w:t>
                  </w:r>
                  <w:r>
                    <w:rPr>
                      <w:rFonts w:hint="eastAsia" w:asciiTheme="minorEastAsia" w:hAnsiTheme="minorEastAsia" w:eastAsiaTheme="minorEastAsia" w:cstheme="minorEastAsia"/>
                      <w:b/>
                      <w:bCs/>
                      <w:spacing w:val="6"/>
                      <w:sz w:val="23"/>
                      <w:szCs w:val="23"/>
                      <w:lang w:eastAsia="zh-CN"/>
                    </w:rPr>
                    <w:t>87</w:t>
                  </w:r>
                  <w:r>
                    <w:rPr>
                      <w:rFonts w:hint="eastAsia" w:asciiTheme="minorEastAsia" w:hAnsiTheme="minorEastAsia" w:eastAsiaTheme="minorEastAsia" w:cstheme="minorEastAsia"/>
                      <w:spacing w:val="-31"/>
                      <w:sz w:val="23"/>
                      <w:szCs w:val="23"/>
                      <w:lang w:eastAsia="zh-CN"/>
                    </w:rPr>
                    <w:t xml:space="preserve"> </w:t>
                  </w:r>
                  <w:r>
                    <w:rPr>
                      <w:rFonts w:hint="eastAsia" w:asciiTheme="minorEastAsia" w:hAnsiTheme="minorEastAsia" w:eastAsiaTheme="minorEastAsia" w:cstheme="minorEastAsia"/>
                      <w:b/>
                      <w:bCs/>
                      <w:spacing w:val="6"/>
                      <w:sz w:val="23"/>
                      <w:szCs w:val="23"/>
                      <w:lang w:eastAsia="zh-CN"/>
                    </w:rPr>
                    <w:t>号《政府采购货物和服务招标投</w:t>
                  </w:r>
                  <w:r>
                    <w:rPr>
                      <w:rFonts w:hint="eastAsia" w:asciiTheme="minorEastAsia" w:hAnsiTheme="minorEastAsia" w:eastAsiaTheme="minorEastAsia" w:cstheme="minorEastAsia"/>
                      <w:sz w:val="23"/>
                      <w:szCs w:val="23"/>
                      <w:lang w:eastAsia="zh-CN"/>
                    </w:rPr>
                    <w:t xml:space="preserve">  </w:t>
                  </w:r>
                  <w:r>
                    <w:rPr>
                      <w:rFonts w:hint="eastAsia" w:asciiTheme="minorEastAsia" w:hAnsiTheme="minorEastAsia" w:eastAsiaTheme="minorEastAsia" w:cstheme="minorEastAsia"/>
                      <w:b/>
                      <w:bCs/>
                      <w:spacing w:val="5"/>
                      <w:sz w:val="23"/>
                      <w:szCs w:val="23"/>
                      <w:lang w:eastAsia="zh-CN"/>
                    </w:rPr>
                    <w:t>标管理办法》第</w:t>
                  </w:r>
                  <w:r>
                    <w:rPr>
                      <w:rFonts w:hint="eastAsia" w:asciiTheme="minorEastAsia" w:hAnsiTheme="minorEastAsia" w:eastAsiaTheme="minorEastAsia" w:cstheme="minorEastAsia"/>
                      <w:spacing w:val="-34"/>
                      <w:sz w:val="23"/>
                      <w:szCs w:val="23"/>
                      <w:lang w:eastAsia="zh-CN"/>
                    </w:rPr>
                    <w:t xml:space="preserve"> </w:t>
                  </w:r>
                  <w:r>
                    <w:rPr>
                      <w:rFonts w:hint="eastAsia" w:asciiTheme="minorEastAsia" w:hAnsiTheme="minorEastAsia" w:eastAsiaTheme="minorEastAsia" w:cstheme="minorEastAsia"/>
                      <w:b/>
                      <w:bCs/>
                      <w:spacing w:val="5"/>
                      <w:sz w:val="23"/>
                      <w:szCs w:val="23"/>
                      <w:lang w:eastAsia="zh-CN"/>
                    </w:rPr>
                    <w:t>38</w:t>
                  </w:r>
                  <w:r>
                    <w:rPr>
                      <w:rFonts w:hint="eastAsia" w:asciiTheme="minorEastAsia" w:hAnsiTheme="minorEastAsia" w:eastAsiaTheme="minorEastAsia" w:cstheme="minorEastAsia"/>
                      <w:spacing w:val="-34"/>
                      <w:sz w:val="23"/>
                      <w:szCs w:val="23"/>
                      <w:lang w:eastAsia="zh-CN"/>
                    </w:rPr>
                    <w:t xml:space="preserve"> </w:t>
                  </w:r>
                  <w:r>
                    <w:rPr>
                      <w:rFonts w:hint="eastAsia" w:asciiTheme="minorEastAsia" w:hAnsiTheme="minorEastAsia" w:eastAsiaTheme="minorEastAsia" w:cstheme="minorEastAsia"/>
                      <w:b/>
                      <w:bCs/>
                      <w:spacing w:val="5"/>
                      <w:sz w:val="23"/>
                      <w:szCs w:val="23"/>
                      <w:lang w:eastAsia="zh-CN"/>
                    </w:rPr>
                    <w:t>条：投标保证金应当自中标通知书发出之日起</w:t>
                  </w:r>
                  <w:r>
                    <w:rPr>
                      <w:rFonts w:hint="eastAsia" w:asciiTheme="minorEastAsia" w:hAnsiTheme="minorEastAsia" w:eastAsiaTheme="minorEastAsia" w:cstheme="minorEastAsia"/>
                      <w:spacing w:val="-39"/>
                      <w:sz w:val="23"/>
                      <w:szCs w:val="23"/>
                      <w:lang w:eastAsia="zh-CN"/>
                    </w:rPr>
                    <w:t xml:space="preserve"> </w:t>
                  </w:r>
                  <w:r>
                    <w:rPr>
                      <w:rFonts w:hint="eastAsia" w:asciiTheme="minorEastAsia" w:hAnsiTheme="minorEastAsia" w:eastAsiaTheme="minorEastAsia" w:cstheme="minorEastAsia"/>
                      <w:b/>
                      <w:bCs/>
                      <w:spacing w:val="5"/>
                      <w:sz w:val="23"/>
                      <w:szCs w:val="23"/>
                      <w:lang w:eastAsia="zh-CN"/>
                    </w:rPr>
                    <w:t>5</w:t>
                  </w:r>
                  <w:r>
                    <w:rPr>
                      <w:rFonts w:hint="eastAsia" w:asciiTheme="minorEastAsia" w:hAnsiTheme="minorEastAsia" w:eastAsiaTheme="minorEastAsia" w:cstheme="minorEastAsia"/>
                      <w:spacing w:val="-38"/>
                      <w:sz w:val="23"/>
                      <w:szCs w:val="23"/>
                      <w:lang w:eastAsia="zh-CN"/>
                    </w:rPr>
                    <w:t xml:space="preserve"> </w:t>
                  </w:r>
                  <w:r>
                    <w:rPr>
                      <w:rFonts w:hint="eastAsia" w:asciiTheme="minorEastAsia" w:hAnsiTheme="minorEastAsia" w:eastAsiaTheme="minorEastAsia" w:cstheme="minorEastAsia"/>
                      <w:b/>
                      <w:bCs/>
                      <w:spacing w:val="5"/>
                      <w:sz w:val="23"/>
                      <w:szCs w:val="23"/>
                      <w:lang w:eastAsia="zh-CN"/>
                    </w:rPr>
                    <w:t>个</w:t>
                  </w:r>
                  <w:r>
                    <w:rPr>
                      <w:rFonts w:hint="eastAsia" w:asciiTheme="minorEastAsia" w:hAnsiTheme="minorEastAsia" w:eastAsiaTheme="minorEastAsia" w:cstheme="minorEastAsia"/>
                      <w:sz w:val="23"/>
                      <w:szCs w:val="23"/>
                      <w:lang w:eastAsia="zh-CN"/>
                    </w:rPr>
                    <w:t xml:space="preserve">  </w:t>
                  </w:r>
                  <w:r>
                    <w:rPr>
                      <w:rFonts w:hint="eastAsia" w:asciiTheme="minorEastAsia" w:hAnsiTheme="minorEastAsia" w:eastAsiaTheme="minorEastAsia" w:cstheme="minorEastAsia"/>
                      <w:b/>
                      <w:bCs/>
                      <w:spacing w:val="7"/>
                      <w:sz w:val="23"/>
                      <w:szCs w:val="23"/>
                      <w:lang w:eastAsia="zh-CN"/>
                    </w:rPr>
                    <w:t>工作日内退还未中标人的投标保证金，采购人自采购合同签订之日起</w:t>
                  </w:r>
                  <w:r>
                    <w:rPr>
                      <w:rFonts w:hint="eastAsia" w:asciiTheme="minorEastAsia" w:hAnsiTheme="minorEastAsia" w:eastAsiaTheme="minorEastAsia" w:cstheme="minorEastAsia"/>
                      <w:spacing w:val="-32"/>
                      <w:sz w:val="23"/>
                      <w:szCs w:val="23"/>
                      <w:lang w:eastAsia="zh-CN"/>
                    </w:rPr>
                    <w:t xml:space="preserve"> </w:t>
                  </w:r>
                  <w:r>
                    <w:rPr>
                      <w:rFonts w:hint="eastAsia" w:asciiTheme="minorEastAsia" w:hAnsiTheme="minorEastAsia" w:eastAsiaTheme="minorEastAsia" w:cstheme="minorEastAsia"/>
                      <w:b/>
                      <w:bCs/>
                      <w:spacing w:val="7"/>
                      <w:sz w:val="23"/>
                      <w:szCs w:val="23"/>
                      <w:lang w:eastAsia="zh-CN"/>
                    </w:rPr>
                    <w:t>5</w:t>
                  </w:r>
                  <w:r>
                    <w:rPr>
                      <w:rFonts w:hint="eastAsia" w:asciiTheme="minorEastAsia" w:hAnsiTheme="minorEastAsia" w:eastAsiaTheme="minorEastAsia" w:cstheme="minorEastAsia"/>
                      <w:sz w:val="23"/>
                      <w:szCs w:val="23"/>
                      <w:lang w:eastAsia="zh-CN"/>
                    </w:rPr>
                    <w:t xml:space="preserve"> </w:t>
                  </w:r>
                  <w:r>
                    <w:rPr>
                      <w:rFonts w:hint="eastAsia" w:asciiTheme="minorEastAsia" w:hAnsiTheme="minorEastAsia" w:eastAsiaTheme="minorEastAsia" w:cstheme="minorEastAsia"/>
                      <w:b/>
                      <w:bCs/>
                      <w:spacing w:val="6"/>
                      <w:sz w:val="23"/>
                      <w:szCs w:val="23"/>
                      <w:lang w:eastAsia="zh-CN"/>
                    </w:rPr>
                    <w:t>个工作日内退还中标人的投标保证金。）</w:t>
                  </w:r>
                </w:p>
                <w:p w14:paraId="32C52158">
                  <w:pPr>
                    <w:spacing w:before="29" w:line="215" w:lineRule="auto"/>
                    <w:ind w:left="6"/>
                    <w:rPr>
                      <w:rFonts w:hint="eastAsia" w:asciiTheme="minorEastAsia" w:hAnsiTheme="minorEastAsia" w:eastAsiaTheme="minorEastAsia" w:cstheme="minorEastAsia"/>
                      <w:sz w:val="23"/>
                      <w:szCs w:val="23"/>
                      <w:lang w:eastAsia="zh-CN"/>
                    </w:rPr>
                  </w:pPr>
                  <w:r>
                    <w:rPr>
                      <w:rFonts w:hint="eastAsia" w:asciiTheme="minorEastAsia" w:hAnsiTheme="minorEastAsia" w:eastAsiaTheme="minorEastAsia" w:cstheme="minorEastAsia"/>
                      <w:b/>
                      <w:bCs/>
                      <w:spacing w:val="7"/>
                      <w:sz w:val="23"/>
                      <w:szCs w:val="23"/>
                      <w:lang w:eastAsia="zh-CN"/>
                    </w:rPr>
                    <w:t>投标人未按招标文件规定缴纳投标保证金的</w:t>
                  </w:r>
                  <w:r>
                    <w:rPr>
                      <w:rFonts w:hint="eastAsia" w:asciiTheme="minorEastAsia" w:hAnsiTheme="minorEastAsia" w:eastAsiaTheme="minorEastAsia" w:cstheme="minorEastAsia"/>
                      <w:b/>
                      <w:bCs/>
                      <w:spacing w:val="6"/>
                      <w:sz w:val="23"/>
                      <w:szCs w:val="23"/>
                      <w:lang w:eastAsia="zh-CN"/>
                    </w:rPr>
                    <w:t>,投标文件将被拒绝评审。</w:t>
                  </w:r>
                </w:p>
              </w:tc>
            </w:tr>
          </w:tbl>
          <w:p w14:paraId="317215CB">
            <w:pPr>
              <w:pStyle w:val="15"/>
              <w:rPr>
                <w:rFonts w:hint="eastAsia" w:asciiTheme="minorEastAsia" w:hAnsiTheme="minorEastAsia" w:eastAsiaTheme="minorEastAsia" w:cstheme="minorEastAsia"/>
                <w:color w:val="auto"/>
                <w:lang w:eastAsia="zh-CN"/>
              </w:rPr>
            </w:pPr>
          </w:p>
        </w:tc>
      </w:tr>
      <w:tr w14:paraId="392BC3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208D8DE3">
            <w:pPr>
              <w:spacing w:line="240" w:lineRule="atLeast"/>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13.1</w:t>
            </w:r>
          </w:p>
        </w:tc>
        <w:tc>
          <w:tcPr>
            <w:tcW w:w="8318" w:type="dxa"/>
            <w:tcBorders>
              <w:top w:val="single" w:color="000000" w:sz="6" w:space="0"/>
              <w:left w:val="single" w:color="000000" w:sz="6" w:space="0"/>
              <w:bottom w:val="single" w:color="000000" w:sz="6" w:space="0"/>
              <w:right w:val="single" w:color="000000" w:sz="12" w:space="0"/>
            </w:tcBorders>
            <w:vAlign w:val="center"/>
          </w:tcPr>
          <w:p w14:paraId="4B22670A">
            <w:pPr>
              <w:spacing w:line="240" w:lineRule="atLeast"/>
              <w:rPr>
                <w:rStyle w:val="26"/>
                <w:rFonts w:hint="eastAsia" w:asciiTheme="minorEastAsia" w:hAnsiTheme="minorEastAsia" w:eastAsiaTheme="minorEastAsia" w:cstheme="minorEastAsia"/>
                <w:color w:val="auto"/>
                <w:sz w:val="24"/>
                <w:u w:val="single" w:color="000000"/>
              </w:rPr>
            </w:pPr>
            <w:r>
              <w:rPr>
                <w:rStyle w:val="26"/>
                <w:rFonts w:hint="eastAsia" w:asciiTheme="minorEastAsia" w:hAnsiTheme="minorEastAsia" w:eastAsiaTheme="minorEastAsia" w:cstheme="minorEastAsia"/>
                <w:color w:val="auto"/>
                <w:sz w:val="24"/>
              </w:rPr>
              <w:t>投标有效期：</w:t>
            </w:r>
            <w:r>
              <w:rPr>
                <w:rStyle w:val="26"/>
                <w:rFonts w:hint="eastAsia" w:asciiTheme="minorEastAsia" w:hAnsiTheme="minorEastAsia" w:eastAsiaTheme="minorEastAsia" w:cstheme="minorEastAsia"/>
                <w:color w:val="auto"/>
                <w:sz w:val="24"/>
                <w:u w:val="single" w:color="000000"/>
              </w:rPr>
              <w:t>90</w:t>
            </w:r>
            <w:r>
              <w:rPr>
                <w:rStyle w:val="26"/>
                <w:rFonts w:hint="eastAsia" w:asciiTheme="minorEastAsia" w:hAnsiTheme="minorEastAsia" w:eastAsiaTheme="minorEastAsia" w:cstheme="minorEastAsia"/>
                <w:color w:val="auto"/>
                <w:sz w:val="24"/>
              </w:rPr>
              <w:t>日历日</w:t>
            </w:r>
          </w:p>
        </w:tc>
      </w:tr>
      <w:tr w14:paraId="69A173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77"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0DA5F7CC">
            <w:pPr>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14.1</w:t>
            </w:r>
          </w:p>
        </w:tc>
        <w:tc>
          <w:tcPr>
            <w:tcW w:w="8318" w:type="dxa"/>
            <w:tcBorders>
              <w:top w:val="single" w:color="000000" w:sz="6" w:space="0"/>
              <w:left w:val="single" w:color="000000" w:sz="6" w:space="0"/>
              <w:bottom w:val="single" w:color="000000" w:sz="6" w:space="0"/>
              <w:right w:val="single" w:color="000000" w:sz="12" w:space="0"/>
            </w:tcBorders>
            <w:vAlign w:val="center"/>
          </w:tcPr>
          <w:p w14:paraId="58FC7BFF">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1.本项目为电子招投标，供应商需要使用 CA 加密设备，凡参加本项目必须可自主通过新疆CA申领渠道“新疆政务通”申请政采云平台可使用的 CA 设备，如原有兵团或公共资源使用的 CA，可与新疆 CA 联系，申请增加电子证书即可，无需重复申领。 </w:t>
            </w:r>
          </w:p>
          <w:p w14:paraId="58D68CA4">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2.本项目实行网上投标，采用电子投标文件(供应商须使用 CA 加密设备通过政采云电子投标客户端制作投标文件)。若供应商参与投标，自行承担投标一切费用。 </w:t>
            </w:r>
          </w:p>
          <w:p w14:paraId="77C17498">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38A815CD">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4.供应商将政采云电子交易客户端下载、安装完成后，可通过账号密码或 CA 登录客户端进行投标文件制作。在使用政采云投标客户端时，建议使用WIN7及以上操作系统。 客户 端请至新疆政府采购网（http://www.ccgp-xinjiang.gov.cn/）下载专区查看，如有问题可拨打政采云客户服务热线 95763 进行咨询。 </w:t>
            </w:r>
          </w:p>
          <w:p w14:paraId="249518B0">
            <w:pPr>
              <w:rPr>
                <w:rFonts w:hint="eastAsia" w:asciiTheme="minorEastAsia" w:hAnsiTheme="minorEastAsia" w:eastAsiaTheme="minorEastAsia" w:cstheme="minorEastAsia"/>
                <w:color w:val="auto"/>
                <w:sz w:val="24"/>
                <w:szCs w:val="24"/>
                <w:lang w:eastAsia="zh-CN" w:bidi="ar"/>
              </w:rPr>
            </w:pPr>
            <w:r>
              <w:rPr>
                <w:rFonts w:hint="eastAsia" w:asciiTheme="minorEastAsia" w:hAnsiTheme="minorEastAsia" w:eastAsiaTheme="minorEastAsia" w:cstheme="minorEastAsia"/>
                <w:color w:val="auto"/>
                <w:sz w:val="24"/>
                <w:szCs w:val="24"/>
                <w:lang w:eastAsia="zh-CN" w:bidi="ar"/>
              </w:rPr>
              <w:t>5.供应商在开标时须使用制作加密电子投标文件所使用的 CA 锁及电脑，电脑须提前配置好浏览器（建议使用谷歌浏览器），以便开标时解锁。为了保证开评标顺利进行，政采云线上开标功能完全实现，供应商开标所使用的电脑设备须具有视频及语音功能。</w:t>
            </w:r>
          </w:p>
          <w:p w14:paraId="2D39C45C">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6.投标保证金缴纳及确认时间：凡拟参加本次招标项目的供应商，必须在开标前将投标保证金汇入指定账户。投标保证金汇款凭证上用途栏应注明:招标项目名称+标项号+投标保证金。否则，届时其投标将被拒绝。 </w:t>
            </w:r>
          </w:p>
          <w:p w14:paraId="12D5A006">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010B031C">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8.各供应商须在投标截止时间前完成在系统上递交电子投标文件。 </w:t>
            </w:r>
          </w:p>
          <w:p w14:paraId="5770C1E1">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供应商的电子投标文件是经过 CA 证书加密后上传提交的，任何单位或个人均无法在投标截止时间(即开标时间)之前查看或篡改，不存在泄密风险。（严格按照政采云电子投标流程制作并上传电子投标文件） </w:t>
            </w:r>
          </w:p>
          <w:p w14:paraId="6929C0ED">
            <w:pPr>
              <w:rPr>
                <w:rStyle w:val="26"/>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lang w:eastAsia="zh-CN" w:bidi="ar"/>
              </w:rPr>
              <w:t>9.解密时长为 30 分钟。</w:t>
            </w:r>
          </w:p>
        </w:tc>
      </w:tr>
      <w:tr w14:paraId="164692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13318C66">
            <w:pPr>
              <w:spacing w:line="240" w:lineRule="atLeast"/>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16.1</w:t>
            </w:r>
          </w:p>
        </w:tc>
        <w:tc>
          <w:tcPr>
            <w:tcW w:w="8318" w:type="dxa"/>
            <w:tcBorders>
              <w:top w:val="single" w:color="000000" w:sz="6" w:space="0"/>
              <w:left w:val="single" w:color="000000" w:sz="6" w:space="0"/>
              <w:bottom w:val="single" w:color="000000" w:sz="6" w:space="0"/>
              <w:right w:val="single" w:color="000000" w:sz="12" w:space="0"/>
            </w:tcBorders>
            <w:vAlign w:val="center"/>
          </w:tcPr>
          <w:p w14:paraId="55E329C5">
            <w:pPr>
              <w:spacing w:line="240" w:lineRule="atLeast"/>
              <w:rPr>
                <w:rStyle w:val="26"/>
                <w:rFonts w:hint="eastAsia" w:asciiTheme="minorEastAsia" w:hAnsiTheme="minorEastAsia" w:eastAsiaTheme="minorEastAsia" w:cstheme="minorEastAsia"/>
                <w:color w:val="auto"/>
                <w:sz w:val="24"/>
                <w:highlight w:val="yellow"/>
                <w:lang w:eastAsia="zh-CN"/>
              </w:rPr>
            </w:pPr>
            <w:r>
              <w:rPr>
                <w:rFonts w:hint="eastAsia" w:asciiTheme="minorEastAsia" w:hAnsiTheme="minorEastAsia" w:eastAsiaTheme="minorEastAsia" w:cstheme="minorEastAsia"/>
                <w:color w:val="auto"/>
                <w:sz w:val="24"/>
                <w:highlight w:val="yellow"/>
                <w:lang w:eastAsia="zh-CN"/>
              </w:rPr>
              <w:t>投标截止时间：2025年</w:t>
            </w:r>
            <w:r>
              <w:rPr>
                <w:rFonts w:hint="eastAsia" w:asciiTheme="minorEastAsia" w:hAnsiTheme="minorEastAsia" w:eastAsiaTheme="minorEastAsia" w:cstheme="minorEastAsia"/>
                <w:color w:val="auto"/>
                <w:sz w:val="24"/>
                <w:highlight w:val="yellow"/>
                <w:lang w:val="en-US" w:eastAsia="zh-CN"/>
              </w:rPr>
              <w:t>7</w:t>
            </w:r>
            <w:r>
              <w:rPr>
                <w:rFonts w:hint="eastAsia" w:asciiTheme="minorEastAsia" w:hAnsiTheme="minorEastAsia" w:eastAsiaTheme="minorEastAsia" w:cstheme="minorEastAsia"/>
                <w:color w:val="auto"/>
                <w:sz w:val="24"/>
                <w:highlight w:val="yellow"/>
                <w:lang w:eastAsia="zh-CN"/>
              </w:rPr>
              <w:t>月</w:t>
            </w:r>
            <w:r>
              <w:rPr>
                <w:rFonts w:hint="eastAsia" w:asciiTheme="minorEastAsia" w:hAnsiTheme="minorEastAsia" w:eastAsiaTheme="minorEastAsia" w:cstheme="minorEastAsia"/>
                <w:color w:val="auto"/>
                <w:sz w:val="24"/>
                <w:highlight w:val="yellow"/>
                <w:lang w:val="en-US" w:eastAsia="zh-CN"/>
              </w:rPr>
              <w:t>10</w:t>
            </w:r>
            <w:r>
              <w:rPr>
                <w:rFonts w:hint="eastAsia" w:asciiTheme="minorEastAsia" w:hAnsiTheme="minorEastAsia" w:eastAsiaTheme="minorEastAsia" w:cstheme="minorEastAsia"/>
                <w:color w:val="auto"/>
                <w:sz w:val="24"/>
                <w:highlight w:val="yellow"/>
                <w:lang w:eastAsia="zh-CN"/>
              </w:rPr>
              <w:t>日11：00（北京时间）</w:t>
            </w:r>
          </w:p>
        </w:tc>
      </w:tr>
      <w:tr w14:paraId="27FAD5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0B62B721">
            <w:pPr>
              <w:spacing w:line="240" w:lineRule="atLeast"/>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18.1</w:t>
            </w:r>
          </w:p>
        </w:tc>
        <w:tc>
          <w:tcPr>
            <w:tcW w:w="8318" w:type="dxa"/>
            <w:tcBorders>
              <w:top w:val="single" w:color="000000" w:sz="6" w:space="0"/>
              <w:left w:val="single" w:color="000000" w:sz="6" w:space="0"/>
              <w:bottom w:val="single" w:color="000000" w:sz="6" w:space="0"/>
              <w:right w:val="single" w:color="000000" w:sz="12" w:space="0"/>
            </w:tcBorders>
            <w:vAlign w:val="center"/>
          </w:tcPr>
          <w:p w14:paraId="1E50ED7A">
            <w:pPr>
              <w:spacing w:line="240" w:lineRule="atLeast"/>
              <w:rPr>
                <w:rFonts w:hint="eastAsia" w:asciiTheme="minorEastAsia" w:hAnsiTheme="minorEastAsia" w:eastAsiaTheme="minorEastAsia" w:cstheme="minorEastAsia"/>
                <w:color w:val="auto"/>
                <w:sz w:val="24"/>
                <w:highlight w:val="yellow"/>
                <w:lang w:eastAsia="zh-CN"/>
              </w:rPr>
            </w:pPr>
            <w:r>
              <w:rPr>
                <w:rFonts w:hint="eastAsia" w:asciiTheme="minorEastAsia" w:hAnsiTheme="minorEastAsia" w:eastAsiaTheme="minorEastAsia" w:cstheme="minorEastAsia"/>
                <w:color w:val="auto"/>
                <w:sz w:val="24"/>
                <w:highlight w:val="yellow"/>
                <w:lang w:eastAsia="zh-CN"/>
              </w:rPr>
              <w:t>开标时间：2025年</w:t>
            </w:r>
            <w:r>
              <w:rPr>
                <w:rFonts w:hint="eastAsia" w:asciiTheme="minorEastAsia" w:hAnsiTheme="minorEastAsia" w:eastAsiaTheme="minorEastAsia" w:cstheme="minorEastAsia"/>
                <w:color w:val="auto"/>
                <w:sz w:val="24"/>
                <w:highlight w:val="yellow"/>
                <w:lang w:val="en-US" w:eastAsia="zh-CN"/>
              </w:rPr>
              <w:t>7</w:t>
            </w:r>
            <w:r>
              <w:rPr>
                <w:rFonts w:hint="eastAsia" w:asciiTheme="minorEastAsia" w:hAnsiTheme="minorEastAsia" w:eastAsiaTheme="minorEastAsia" w:cstheme="minorEastAsia"/>
                <w:color w:val="auto"/>
                <w:sz w:val="24"/>
                <w:highlight w:val="yellow"/>
                <w:lang w:eastAsia="zh-CN"/>
              </w:rPr>
              <w:t>月</w:t>
            </w:r>
            <w:r>
              <w:rPr>
                <w:rFonts w:hint="eastAsia" w:asciiTheme="minorEastAsia" w:hAnsiTheme="minorEastAsia" w:eastAsiaTheme="minorEastAsia" w:cstheme="minorEastAsia"/>
                <w:color w:val="auto"/>
                <w:sz w:val="24"/>
                <w:highlight w:val="yellow"/>
                <w:lang w:val="en-US" w:eastAsia="zh-CN"/>
              </w:rPr>
              <w:t>10</w:t>
            </w:r>
            <w:r>
              <w:rPr>
                <w:rFonts w:hint="eastAsia" w:asciiTheme="minorEastAsia" w:hAnsiTheme="minorEastAsia" w:eastAsiaTheme="minorEastAsia" w:cstheme="minorEastAsia"/>
                <w:color w:val="auto"/>
                <w:sz w:val="24"/>
                <w:highlight w:val="yellow"/>
                <w:lang w:eastAsia="zh-CN"/>
              </w:rPr>
              <w:t>日11：00（北京时间）</w:t>
            </w:r>
          </w:p>
          <w:p w14:paraId="1DD202DA">
            <w:pPr>
              <w:rPr>
                <w:rStyle w:val="26"/>
                <w:rFonts w:hint="eastAsia" w:asciiTheme="minorEastAsia" w:hAnsiTheme="minorEastAsia" w:eastAsiaTheme="minorEastAsia" w:cstheme="minorEastAsia"/>
                <w:color w:val="auto"/>
                <w:sz w:val="24"/>
                <w:highlight w:val="yellow"/>
              </w:rPr>
            </w:pPr>
            <w:r>
              <w:rPr>
                <w:rFonts w:hint="eastAsia" w:asciiTheme="minorEastAsia" w:hAnsiTheme="minorEastAsia" w:eastAsiaTheme="minorEastAsia" w:cstheme="minorEastAsia"/>
                <w:color w:val="auto"/>
                <w:sz w:val="24"/>
                <w:highlight w:val="yellow"/>
              </w:rPr>
              <w:t>开标地点：（https://login.zcygov.cn/user-login/#/login）</w:t>
            </w:r>
          </w:p>
        </w:tc>
      </w:tr>
      <w:tr w14:paraId="0D21B3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7727A9A1">
            <w:pPr>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w:t>
            </w:r>
          </w:p>
        </w:tc>
        <w:tc>
          <w:tcPr>
            <w:tcW w:w="8318" w:type="dxa"/>
            <w:tcBorders>
              <w:top w:val="single" w:color="000000" w:sz="6" w:space="0"/>
              <w:left w:val="single" w:color="000000" w:sz="6" w:space="0"/>
              <w:bottom w:val="single" w:color="000000" w:sz="6" w:space="0"/>
              <w:right w:val="single" w:color="000000" w:sz="12" w:space="0"/>
            </w:tcBorders>
            <w:vAlign w:val="center"/>
          </w:tcPr>
          <w:p w14:paraId="6A2CE4DA">
            <w:pPr>
              <w:rPr>
                <w:rFonts w:hint="eastAsia" w:asciiTheme="minorEastAsia" w:hAnsiTheme="minorEastAsia" w:eastAsiaTheme="minorEastAsia" w:cstheme="minorEastAsia"/>
                <w:color w:val="auto"/>
                <w:lang w:val="en-US" w:eastAsia="zh-CN"/>
              </w:rPr>
            </w:pPr>
            <w:r>
              <w:rPr>
                <w:rStyle w:val="26"/>
                <w:rFonts w:hint="eastAsia" w:asciiTheme="minorEastAsia" w:hAnsiTheme="minorEastAsia" w:eastAsiaTheme="minorEastAsia" w:cstheme="minorEastAsia"/>
                <w:color w:val="auto"/>
                <w:sz w:val="24"/>
                <w:lang w:eastAsia="zh-CN"/>
              </w:rPr>
              <w:t>核心产品：</w:t>
            </w:r>
            <w:r>
              <w:rPr>
                <w:rStyle w:val="26"/>
                <w:rFonts w:hint="eastAsia" w:asciiTheme="minorEastAsia" w:hAnsiTheme="minorEastAsia" w:eastAsiaTheme="minorEastAsia" w:cstheme="minorEastAsia"/>
                <w:color w:val="auto"/>
                <w:sz w:val="24"/>
                <w:highlight w:val="red"/>
                <w:u w:val="single"/>
                <w:lang w:val="en-US" w:eastAsia="zh-CN"/>
              </w:rPr>
              <w:t>图书馆管理系统、</w:t>
            </w:r>
            <w:r>
              <w:rPr>
                <w:rFonts w:hint="eastAsia" w:asciiTheme="minorEastAsia" w:hAnsiTheme="minorEastAsia" w:eastAsiaTheme="minorEastAsia" w:cstheme="minorEastAsia"/>
                <w:i w:val="0"/>
                <w:iCs w:val="0"/>
                <w:snapToGrid w:val="0"/>
                <w:color w:val="000000"/>
                <w:kern w:val="0"/>
                <w:sz w:val="24"/>
                <w:szCs w:val="24"/>
                <w:highlight w:val="red"/>
                <w:u w:val="single"/>
                <w:lang w:val="en-US" w:eastAsia="zh-CN" w:bidi="ar"/>
              </w:rPr>
              <w:t>自助借还书机系统、</w:t>
            </w:r>
            <w:r>
              <w:rPr>
                <w:rFonts w:hint="eastAsia" w:asciiTheme="minorEastAsia" w:hAnsiTheme="minorEastAsia" w:eastAsiaTheme="minorEastAsia" w:cstheme="minorEastAsia"/>
                <w:b w:val="0"/>
                <w:bCs w:val="0"/>
                <w:sz w:val="24"/>
                <w:szCs w:val="24"/>
                <w:highlight w:val="red"/>
                <w:u w:val="single"/>
                <w:lang w:val="en-US" w:eastAsia="zh-CN"/>
              </w:rPr>
              <w:t>高清录播主机</w:t>
            </w:r>
          </w:p>
        </w:tc>
      </w:tr>
      <w:tr w14:paraId="742941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05142351">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23.2</w:t>
            </w:r>
          </w:p>
        </w:tc>
        <w:tc>
          <w:tcPr>
            <w:tcW w:w="8318" w:type="dxa"/>
            <w:tcBorders>
              <w:top w:val="single" w:color="000000" w:sz="6" w:space="0"/>
              <w:left w:val="single" w:color="000000" w:sz="6" w:space="0"/>
              <w:bottom w:val="single" w:color="000000" w:sz="6" w:space="0"/>
              <w:right w:val="single" w:color="000000" w:sz="12" w:space="0"/>
            </w:tcBorders>
            <w:vAlign w:val="center"/>
          </w:tcPr>
          <w:p w14:paraId="58AF90C6">
            <w:pPr>
              <w:spacing w:line="240" w:lineRule="atLeast"/>
              <w:rPr>
                <w:rStyle w:val="26"/>
                <w:rFonts w:hint="eastAsia" w:asciiTheme="minorEastAsia" w:hAnsiTheme="minorEastAsia" w:eastAsiaTheme="minorEastAsia" w:cstheme="minorEastAsia"/>
                <w:i/>
                <w:color w:val="auto"/>
                <w:sz w:val="24"/>
                <w:lang w:eastAsia="zh-CN"/>
              </w:rPr>
            </w:pPr>
            <w:r>
              <w:rPr>
                <w:rStyle w:val="26"/>
                <w:rFonts w:hint="eastAsia" w:asciiTheme="minorEastAsia" w:hAnsiTheme="minorEastAsia" w:eastAsiaTheme="minorEastAsia" w:cstheme="minorEastAsia"/>
                <w:color w:val="auto"/>
                <w:sz w:val="24"/>
                <w:lang w:eastAsia="zh-CN"/>
              </w:rPr>
              <w:t>本项目评标方法：</w:t>
            </w:r>
            <w:r>
              <w:rPr>
                <w:rStyle w:val="26"/>
                <w:rFonts w:hint="eastAsia" w:asciiTheme="minorEastAsia" w:hAnsiTheme="minorEastAsia" w:eastAsiaTheme="minorEastAsia" w:cstheme="minorEastAsia"/>
                <w:color w:val="auto"/>
                <w:sz w:val="24"/>
                <w:u w:val="single"/>
                <w:lang w:eastAsia="zh-CN"/>
              </w:rPr>
              <w:t>适用综合评分法</w:t>
            </w:r>
          </w:p>
        </w:tc>
      </w:tr>
      <w:tr w14:paraId="4F5020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06C7ECFC">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27</w:t>
            </w:r>
          </w:p>
        </w:tc>
        <w:tc>
          <w:tcPr>
            <w:tcW w:w="8318" w:type="dxa"/>
            <w:tcBorders>
              <w:top w:val="single" w:color="000000" w:sz="6" w:space="0"/>
              <w:left w:val="single" w:color="000000" w:sz="6" w:space="0"/>
              <w:bottom w:val="single" w:color="000000" w:sz="6" w:space="0"/>
              <w:right w:val="single" w:color="000000" w:sz="12" w:space="0"/>
            </w:tcBorders>
            <w:vAlign w:val="center"/>
          </w:tcPr>
          <w:p w14:paraId="45470971">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招标人委托评标委员会直接确定推荐中标候选供应商的数量：</w:t>
            </w:r>
            <w:r>
              <w:rPr>
                <w:rStyle w:val="26"/>
                <w:rFonts w:hint="eastAsia" w:asciiTheme="minorEastAsia" w:hAnsiTheme="minorEastAsia" w:eastAsiaTheme="minorEastAsia" w:cstheme="minorEastAsia"/>
                <w:color w:val="auto"/>
                <w:sz w:val="24"/>
                <w:u w:val="single" w:color="000000"/>
                <w:lang w:eastAsia="zh-CN"/>
              </w:rPr>
              <w:t>3家</w:t>
            </w:r>
          </w:p>
        </w:tc>
      </w:tr>
      <w:tr w14:paraId="563D1D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5F065D3A">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31.1</w:t>
            </w:r>
          </w:p>
        </w:tc>
        <w:tc>
          <w:tcPr>
            <w:tcW w:w="8318" w:type="dxa"/>
            <w:tcBorders>
              <w:top w:val="single" w:color="000000" w:sz="6" w:space="0"/>
              <w:left w:val="single" w:color="000000" w:sz="6" w:space="0"/>
              <w:bottom w:val="single" w:color="000000" w:sz="6" w:space="0"/>
              <w:right w:val="single" w:color="000000" w:sz="12" w:space="0"/>
            </w:tcBorders>
            <w:vAlign w:val="center"/>
          </w:tcPr>
          <w:p w14:paraId="616C6982">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履约保证金金额：</w:t>
            </w:r>
            <w:r>
              <w:rPr>
                <w:rFonts w:hint="eastAsia" w:asciiTheme="minorEastAsia" w:hAnsiTheme="minorEastAsia" w:eastAsiaTheme="minorEastAsia" w:cstheme="minorEastAsia"/>
                <w:color w:val="auto"/>
                <w:sz w:val="24"/>
                <w:lang w:eastAsia="zh-CN"/>
              </w:rPr>
              <w:t>不超过合同总价金额的10%</w:t>
            </w:r>
          </w:p>
          <w:p w14:paraId="68FC8D88">
            <w:pPr>
              <w:spacing w:line="240" w:lineRule="atLeast"/>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履约保证金形式：</w:t>
            </w:r>
            <w:r>
              <w:rPr>
                <w:rStyle w:val="26"/>
                <w:rFonts w:hint="eastAsia" w:asciiTheme="minorEastAsia" w:hAnsiTheme="minorEastAsia" w:eastAsiaTheme="minorEastAsia" w:cstheme="minorEastAsia"/>
                <w:color w:val="auto"/>
                <w:sz w:val="24"/>
                <w:u w:val="single" w:color="000000"/>
                <w:lang w:eastAsia="zh-CN"/>
              </w:rPr>
              <w:t>公对公转账</w:t>
            </w:r>
          </w:p>
          <w:p w14:paraId="2EE2E3B0">
            <w:pPr>
              <w:spacing w:line="240" w:lineRule="atLeast"/>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提交履约保证金的时间：</w:t>
            </w:r>
            <w:r>
              <w:rPr>
                <w:rStyle w:val="26"/>
                <w:rFonts w:hint="eastAsia" w:asciiTheme="minorEastAsia" w:hAnsiTheme="minorEastAsia" w:eastAsiaTheme="minorEastAsia" w:cstheme="minorEastAsia"/>
                <w:color w:val="auto"/>
                <w:sz w:val="24"/>
                <w:u w:val="single"/>
                <w:lang w:val="zh-CN" w:eastAsia="zh-CN"/>
              </w:rPr>
              <w:t>中标、成交通知书发放后，政府采购合同签订前</w:t>
            </w:r>
            <w:r>
              <w:rPr>
                <w:rStyle w:val="26"/>
                <w:rFonts w:hint="eastAsia" w:asciiTheme="minorEastAsia" w:hAnsiTheme="minorEastAsia" w:eastAsiaTheme="minorEastAsia" w:cstheme="minorEastAsia"/>
                <w:color w:val="auto"/>
                <w:sz w:val="24"/>
                <w:lang w:val="zh-CN" w:eastAsia="zh-CN"/>
              </w:rPr>
              <w:t>。</w:t>
            </w:r>
          </w:p>
        </w:tc>
      </w:tr>
      <w:tr w14:paraId="42FEA2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5666F289">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32</w:t>
            </w:r>
          </w:p>
        </w:tc>
        <w:tc>
          <w:tcPr>
            <w:tcW w:w="8318" w:type="dxa"/>
            <w:tcBorders>
              <w:top w:val="single" w:color="000000" w:sz="6" w:space="0"/>
              <w:left w:val="single" w:color="000000" w:sz="6" w:space="0"/>
              <w:bottom w:val="single" w:color="000000" w:sz="6" w:space="0"/>
              <w:right w:val="single" w:color="000000" w:sz="12" w:space="0"/>
            </w:tcBorders>
            <w:vAlign w:val="center"/>
          </w:tcPr>
          <w:p w14:paraId="74E38CF9">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中标服务费：</w:t>
            </w:r>
            <w:r>
              <w:rPr>
                <w:rStyle w:val="26"/>
                <w:rFonts w:hint="eastAsia" w:asciiTheme="minorEastAsia" w:hAnsiTheme="minorEastAsia" w:eastAsiaTheme="minorEastAsia" w:cstheme="minorEastAsia"/>
                <w:color w:val="auto"/>
                <w:sz w:val="24"/>
                <w:u w:val="single"/>
                <w:lang w:eastAsia="zh-CN"/>
              </w:rPr>
              <w:t>本项目不收取中标服务费</w:t>
            </w:r>
          </w:p>
        </w:tc>
      </w:tr>
      <w:tr w14:paraId="33A0C2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3167DC9B">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33.1</w:t>
            </w:r>
          </w:p>
        </w:tc>
        <w:tc>
          <w:tcPr>
            <w:tcW w:w="8318" w:type="dxa"/>
            <w:tcBorders>
              <w:top w:val="single" w:color="000000" w:sz="6" w:space="0"/>
              <w:left w:val="single" w:color="000000" w:sz="6" w:space="0"/>
              <w:bottom w:val="single" w:color="000000" w:sz="6" w:space="0"/>
              <w:right w:val="single" w:color="000000" w:sz="12" w:space="0"/>
            </w:tcBorders>
            <w:vAlign w:val="center"/>
          </w:tcPr>
          <w:p w14:paraId="34E1CCB8">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本项目是否属于信用担保试点范围：</w:t>
            </w:r>
            <w:r>
              <w:rPr>
                <w:rStyle w:val="26"/>
                <w:rFonts w:hint="eastAsia" w:asciiTheme="minorEastAsia" w:hAnsiTheme="minorEastAsia" w:eastAsiaTheme="minorEastAsia" w:cstheme="minorEastAsia"/>
                <w:color w:val="auto"/>
                <w:sz w:val="24"/>
                <w:u w:val="single"/>
                <w:lang w:eastAsia="zh-CN"/>
              </w:rPr>
              <w:t>否</w:t>
            </w:r>
          </w:p>
        </w:tc>
      </w:tr>
      <w:tr w14:paraId="72FD90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0D6FE190">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33.2</w:t>
            </w:r>
          </w:p>
        </w:tc>
        <w:tc>
          <w:tcPr>
            <w:tcW w:w="8318" w:type="dxa"/>
            <w:tcBorders>
              <w:top w:val="single" w:color="000000" w:sz="6" w:space="0"/>
              <w:left w:val="single" w:color="000000" w:sz="6" w:space="0"/>
              <w:bottom w:val="single" w:color="000000" w:sz="6" w:space="0"/>
              <w:right w:val="single" w:color="000000" w:sz="12" w:space="0"/>
            </w:tcBorders>
            <w:vAlign w:val="center"/>
          </w:tcPr>
          <w:p w14:paraId="4FC286AB">
            <w:pPr>
              <w:spacing w:line="240" w:lineRule="atLeast"/>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政府采购专业担保机构：</w:t>
            </w:r>
            <w:r>
              <w:rPr>
                <w:rStyle w:val="26"/>
                <w:rFonts w:hint="eastAsia" w:asciiTheme="minorEastAsia" w:hAnsiTheme="minorEastAsia" w:eastAsiaTheme="minorEastAsia" w:cstheme="minorEastAsia"/>
                <w:color w:val="auto"/>
                <w:sz w:val="24"/>
                <w:u w:val="single"/>
                <w:lang w:eastAsia="zh-CN"/>
              </w:rPr>
              <w:t>无</w:t>
            </w:r>
          </w:p>
          <w:p w14:paraId="5BE5CEBC">
            <w:pPr>
              <w:spacing w:line="240" w:lineRule="atLeast"/>
              <w:ind w:left="-48" w:leftChars="-23" w:firstLine="48" w:firstLineChars="2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本项目采购人本级和上级财政部门政府采购有关规定增加的担保机构：</w:t>
            </w:r>
            <w:r>
              <w:rPr>
                <w:rStyle w:val="26"/>
                <w:rFonts w:hint="eastAsia" w:asciiTheme="minorEastAsia" w:hAnsiTheme="minorEastAsia" w:eastAsiaTheme="minorEastAsia" w:cstheme="minorEastAsia"/>
                <w:color w:val="auto"/>
                <w:sz w:val="24"/>
                <w:u w:val="single"/>
                <w:lang w:eastAsia="zh-CN"/>
              </w:rPr>
              <w:t>无</w:t>
            </w:r>
          </w:p>
        </w:tc>
      </w:tr>
      <w:tr w14:paraId="6507BB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902" w:type="dxa"/>
            <w:tcBorders>
              <w:top w:val="single" w:color="000000" w:sz="6" w:space="0"/>
              <w:left w:val="single" w:color="000000" w:sz="12" w:space="0"/>
              <w:bottom w:val="single" w:color="000000" w:sz="6" w:space="0"/>
              <w:right w:val="single" w:color="000000" w:sz="6" w:space="0"/>
            </w:tcBorders>
            <w:vAlign w:val="center"/>
          </w:tcPr>
          <w:p w14:paraId="4C79FDA6">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34.3</w:t>
            </w:r>
          </w:p>
        </w:tc>
        <w:tc>
          <w:tcPr>
            <w:tcW w:w="8318" w:type="dxa"/>
            <w:tcBorders>
              <w:top w:val="single" w:color="000000" w:sz="6" w:space="0"/>
              <w:left w:val="single" w:color="000000" w:sz="6" w:space="0"/>
              <w:bottom w:val="single" w:color="000000" w:sz="6" w:space="0"/>
              <w:right w:val="single" w:color="000000" w:sz="12" w:space="0"/>
            </w:tcBorders>
            <w:vAlign w:val="center"/>
          </w:tcPr>
          <w:p w14:paraId="184FB1C0">
            <w:pPr>
              <w:spacing w:line="240" w:lineRule="atLeast"/>
              <w:ind w:left="710" w:leftChars="-23" w:hanging="758"/>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反腐倡廉监督电话/邮箱：</w:t>
            </w:r>
            <w:r>
              <w:rPr>
                <w:rStyle w:val="26"/>
                <w:rFonts w:hint="eastAsia" w:asciiTheme="minorEastAsia" w:hAnsiTheme="minorEastAsia" w:eastAsiaTheme="minorEastAsia" w:cstheme="minorEastAsia"/>
                <w:color w:val="auto"/>
                <w:sz w:val="24"/>
                <w:u w:val="single" w:color="000000"/>
                <w:lang w:eastAsia="zh-CN"/>
              </w:rPr>
              <w:t>0998-6722230</w:t>
            </w:r>
          </w:p>
        </w:tc>
      </w:tr>
      <w:tr w14:paraId="0E7C6C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902" w:type="dxa"/>
            <w:tcBorders>
              <w:top w:val="single" w:color="000000" w:sz="6" w:space="0"/>
              <w:left w:val="single" w:color="000000" w:sz="12" w:space="0"/>
              <w:bottom w:val="single" w:color="000000" w:sz="12" w:space="0"/>
              <w:right w:val="single" w:color="000000" w:sz="6" w:space="0"/>
            </w:tcBorders>
            <w:vAlign w:val="center"/>
          </w:tcPr>
          <w:p w14:paraId="6021F337">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36.3</w:t>
            </w:r>
          </w:p>
        </w:tc>
        <w:tc>
          <w:tcPr>
            <w:tcW w:w="8318" w:type="dxa"/>
            <w:tcBorders>
              <w:top w:val="single" w:color="000000" w:sz="6" w:space="0"/>
              <w:left w:val="single" w:color="000000" w:sz="6" w:space="0"/>
              <w:bottom w:val="single" w:color="000000" w:sz="12" w:space="0"/>
              <w:right w:val="single" w:color="000000" w:sz="12" w:space="0"/>
            </w:tcBorders>
            <w:vAlign w:val="center"/>
          </w:tcPr>
          <w:p w14:paraId="1362C210">
            <w:pPr>
              <w:spacing w:line="240" w:lineRule="atLeast"/>
              <w:ind w:left="710" w:leftChars="-23" w:hanging="758" w:hangingChars="316"/>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接收部门：</w:t>
            </w:r>
            <w:r>
              <w:rPr>
                <w:rFonts w:hint="eastAsia" w:asciiTheme="minorEastAsia" w:hAnsiTheme="minorEastAsia" w:eastAsiaTheme="minorEastAsia" w:cstheme="minorEastAsia"/>
                <w:color w:val="auto"/>
                <w:sz w:val="24"/>
                <w:u w:val="single"/>
                <w:lang w:eastAsia="zh-CN"/>
              </w:rPr>
              <w:t>伽师县政府采购管理办公室</w:t>
            </w:r>
          </w:p>
          <w:p w14:paraId="5DF0000E">
            <w:pPr>
              <w:spacing w:line="240" w:lineRule="atLeast"/>
              <w:ind w:left="710" w:leftChars="-23" w:hanging="758" w:hangingChars="316"/>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联系电话：</w:t>
            </w:r>
            <w:r>
              <w:rPr>
                <w:rFonts w:hint="eastAsia" w:asciiTheme="minorEastAsia" w:hAnsiTheme="minorEastAsia" w:eastAsiaTheme="minorEastAsia" w:cstheme="minorEastAsia"/>
                <w:color w:val="auto"/>
                <w:sz w:val="24"/>
                <w:u w:val="single"/>
                <w:lang w:eastAsia="zh-CN"/>
              </w:rPr>
              <w:t>15384946619</w:t>
            </w:r>
          </w:p>
          <w:p w14:paraId="0AA38AA2">
            <w:pPr>
              <w:spacing w:line="240" w:lineRule="atLeast"/>
              <w:ind w:left="710" w:leftChars="-23" w:hanging="758"/>
              <w:rPr>
                <w:rStyle w:val="26"/>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通讯地址：</w:t>
            </w:r>
            <w:r>
              <w:rPr>
                <w:rFonts w:hint="eastAsia" w:asciiTheme="minorEastAsia" w:hAnsiTheme="minorEastAsia" w:eastAsiaTheme="minorEastAsia" w:cstheme="minorEastAsia"/>
                <w:color w:val="auto"/>
                <w:sz w:val="24"/>
                <w:u w:val="single"/>
                <w:lang w:eastAsia="zh-CN"/>
              </w:rPr>
              <w:t xml:space="preserve">伽师县行政审批局四楼 </w:t>
            </w:r>
          </w:p>
        </w:tc>
      </w:tr>
    </w:tbl>
    <w:p w14:paraId="48486384">
      <w:pPr>
        <w:spacing w:line="240" w:lineRule="atLeast"/>
        <w:ind w:left="1080" w:leftChars="257" w:hanging="540"/>
        <w:rPr>
          <w:rStyle w:val="26"/>
          <w:rFonts w:hint="eastAsia" w:asciiTheme="minorEastAsia" w:hAnsiTheme="minorEastAsia" w:eastAsiaTheme="minorEastAsia" w:cstheme="minorEastAsia"/>
          <w:color w:val="auto"/>
          <w:sz w:val="24"/>
          <w:lang w:eastAsia="zh-CN"/>
        </w:rPr>
        <w:sectPr>
          <w:headerReference r:id="rId13" w:type="default"/>
          <w:footerReference r:id="rId15" w:type="default"/>
          <w:headerReference r:id="rId14" w:type="even"/>
          <w:footerReference r:id="rId16" w:type="even"/>
          <w:pgSz w:w="11906" w:h="16838"/>
          <w:pgMar w:top="1440" w:right="1797" w:bottom="1440" w:left="1797" w:header="851" w:footer="992" w:gutter="0"/>
          <w:cols w:space="425" w:num="1"/>
          <w:docGrid w:linePitch="312" w:charSpace="0"/>
        </w:sectPr>
      </w:pPr>
    </w:p>
    <w:p w14:paraId="27FC5606">
      <w:pPr>
        <w:pStyle w:val="2"/>
        <w:tabs>
          <w:tab w:val="left" w:pos="0"/>
        </w:tabs>
        <w:spacing w:before="0" w:after="0" w:line="240" w:lineRule="atLeast"/>
        <w:rPr>
          <w:rStyle w:val="26"/>
          <w:rFonts w:hint="eastAsia" w:asciiTheme="minorEastAsia" w:hAnsiTheme="minorEastAsia" w:eastAsiaTheme="minorEastAsia" w:cstheme="minorEastAsia"/>
          <w:bCs/>
          <w:color w:val="auto"/>
          <w:sz w:val="30"/>
          <w:szCs w:val="30"/>
          <w:lang w:eastAsia="zh-CN"/>
        </w:rPr>
      </w:pPr>
      <w:bookmarkStart w:id="910" w:name="_Toc14991"/>
      <w:r>
        <w:rPr>
          <w:rFonts w:hint="eastAsia" w:asciiTheme="minorEastAsia" w:hAnsiTheme="minorEastAsia" w:eastAsiaTheme="minorEastAsia" w:cstheme="minorEastAsia"/>
          <w:color w:val="auto"/>
          <w:sz w:val="44"/>
          <w:szCs w:val="44"/>
          <w:lang w:eastAsia="zh-CN"/>
        </w:rPr>
        <w:t>第五章  货物需求一览表及技术规格</w:t>
      </w:r>
      <w:bookmarkEnd w:id="910"/>
    </w:p>
    <w:p w14:paraId="180F2494">
      <w:pPr>
        <w:spacing w:line="520" w:lineRule="exac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项目名称：伽师县2025年学校声像图书室建设项目二标段</w:t>
      </w:r>
    </w:p>
    <w:p w14:paraId="7E41E7CC">
      <w:pPr>
        <w:kinsoku/>
        <w:autoSpaceDE/>
        <w:autoSpaceDN/>
        <w:adjustRightInd/>
        <w:spacing w:line="396" w:lineRule="exact"/>
        <w:rPr>
          <w:rStyle w:val="26"/>
          <w:rFonts w:hint="default" w:asciiTheme="minorEastAsia" w:hAnsiTheme="minorEastAsia" w:eastAsiaTheme="minorEastAsia" w:cstheme="minorEastAsia"/>
          <w:color w:val="auto"/>
          <w:sz w:val="24"/>
          <w:highlight w:val="yellow"/>
          <w:lang w:val="en-US" w:eastAsia="zh-CN"/>
        </w:rPr>
      </w:pPr>
      <w:r>
        <w:rPr>
          <w:rStyle w:val="26"/>
          <w:rFonts w:hint="eastAsia" w:asciiTheme="minorEastAsia" w:hAnsiTheme="minorEastAsia" w:eastAsiaTheme="minorEastAsia" w:cstheme="minorEastAsia"/>
          <w:color w:val="auto"/>
          <w:sz w:val="24"/>
          <w:lang w:eastAsia="zh-CN"/>
        </w:rPr>
        <w:t>项目编号：</w:t>
      </w:r>
      <w:r>
        <w:rPr>
          <w:rStyle w:val="26"/>
          <w:rFonts w:hint="eastAsia" w:asciiTheme="minorEastAsia" w:hAnsiTheme="minorEastAsia" w:eastAsiaTheme="minorEastAsia" w:cstheme="minorEastAsia"/>
          <w:color w:val="auto"/>
          <w:sz w:val="24"/>
          <w:highlight w:val="yellow"/>
          <w:lang w:eastAsia="zh-CN"/>
        </w:rPr>
        <w:t>KSJSX(GK)2025-</w:t>
      </w:r>
      <w:r>
        <w:rPr>
          <w:rStyle w:val="26"/>
          <w:rFonts w:hint="eastAsia" w:asciiTheme="minorEastAsia" w:hAnsiTheme="minorEastAsia" w:eastAsiaTheme="minorEastAsia" w:cstheme="minorEastAsia"/>
          <w:color w:val="auto"/>
          <w:sz w:val="24"/>
          <w:highlight w:val="yellow"/>
          <w:lang w:val="en-US" w:eastAsia="zh-CN"/>
        </w:rPr>
        <w:t>16</w:t>
      </w:r>
    </w:p>
    <w:p w14:paraId="5FE1780B">
      <w:pPr>
        <w:pStyle w:val="15"/>
        <w:rPr>
          <w:rFonts w:hint="eastAsia" w:asciiTheme="minorEastAsia" w:hAnsiTheme="minorEastAsia" w:eastAsiaTheme="minorEastAsia" w:cstheme="minorEastAsia"/>
          <w:color w:val="auto"/>
          <w:lang w:eastAsia="zh-CN"/>
        </w:rPr>
      </w:pPr>
    </w:p>
    <w:p w14:paraId="306CDA2F">
      <w:pPr>
        <w:numPr>
          <w:ilvl w:val="0"/>
          <w:numId w:val="9"/>
        </w:numPr>
        <w:spacing w:line="288" w:lineRule="auto"/>
        <w:rPr>
          <w:rStyle w:val="26"/>
          <w:rFonts w:hint="eastAsia" w:asciiTheme="minorEastAsia" w:hAnsiTheme="minorEastAsia" w:eastAsiaTheme="minorEastAsia" w:cstheme="minorEastAsia"/>
          <w:color w:val="auto"/>
          <w:sz w:val="28"/>
          <w:szCs w:val="36"/>
          <w:lang w:eastAsia="zh-CN"/>
        </w:rPr>
      </w:pPr>
      <w:r>
        <w:rPr>
          <w:rStyle w:val="26"/>
          <w:rFonts w:hint="eastAsia" w:asciiTheme="minorEastAsia" w:hAnsiTheme="minorEastAsia" w:eastAsiaTheme="minorEastAsia" w:cstheme="minorEastAsia"/>
          <w:b/>
          <w:color w:val="auto"/>
          <w:sz w:val="30"/>
          <w:szCs w:val="30"/>
          <w:lang w:eastAsia="zh-CN"/>
        </w:rPr>
        <w:t>投标企业资格要求：</w:t>
      </w:r>
      <w:r>
        <w:rPr>
          <w:rStyle w:val="26"/>
          <w:rFonts w:hint="eastAsia" w:asciiTheme="minorEastAsia" w:hAnsiTheme="minorEastAsia" w:eastAsiaTheme="minorEastAsia" w:cstheme="minorEastAsia"/>
          <w:color w:val="auto"/>
          <w:sz w:val="28"/>
          <w:szCs w:val="36"/>
          <w:lang w:eastAsia="zh-CN"/>
        </w:rPr>
        <w:t>按照须知表内要求。</w:t>
      </w:r>
    </w:p>
    <w:p w14:paraId="1DF288D5">
      <w:pPr>
        <w:numPr>
          <w:ilvl w:val="0"/>
          <w:numId w:val="9"/>
        </w:numPr>
        <w:spacing w:line="560" w:lineRule="exact"/>
        <w:rPr>
          <w:rStyle w:val="26"/>
          <w:rFonts w:hint="eastAsia" w:asciiTheme="minorEastAsia" w:hAnsiTheme="minorEastAsia" w:eastAsiaTheme="minorEastAsia" w:cstheme="minorEastAsia"/>
          <w:b w:val="0"/>
          <w:bCs/>
          <w:color w:val="auto"/>
          <w:sz w:val="30"/>
          <w:szCs w:val="30"/>
        </w:rPr>
      </w:pPr>
      <w:r>
        <w:rPr>
          <w:rStyle w:val="26"/>
          <w:rFonts w:hint="eastAsia" w:asciiTheme="minorEastAsia" w:hAnsiTheme="minorEastAsia" w:eastAsiaTheme="minorEastAsia" w:cstheme="minorEastAsia"/>
          <w:b w:val="0"/>
          <w:bCs/>
          <w:color w:val="auto"/>
          <w:sz w:val="30"/>
          <w:szCs w:val="30"/>
        </w:rPr>
        <w:t>投标产品要求：</w:t>
      </w:r>
      <w:bookmarkStart w:id="911" w:name="_Toc22880"/>
      <w:bookmarkStart w:id="912" w:name="_Toc140751559"/>
    </w:p>
    <w:tbl>
      <w:tblPr>
        <w:tblStyle w:val="22"/>
        <w:tblpPr w:leftFromText="180" w:rightFromText="180" w:vertAnchor="text" w:horzAnchor="page" w:tblpX="1335" w:tblpY="448"/>
        <w:tblOverlap w:val="never"/>
        <w:tblW w:w="8887" w:type="dxa"/>
        <w:tblInd w:w="0" w:type="dxa"/>
        <w:tblLayout w:type="fixed"/>
        <w:tblCellMar>
          <w:top w:w="0" w:type="dxa"/>
          <w:left w:w="108" w:type="dxa"/>
          <w:bottom w:w="0" w:type="dxa"/>
          <w:right w:w="108" w:type="dxa"/>
        </w:tblCellMar>
      </w:tblPr>
      <w:tblGrid>
        <w:gridCol w:w="592"/>
        <w:gridCol w:w="1184"/>
        <w:gridCol w:w="5476"/>
        <w:gridCol w:w="1024"/>
        <w:gridCol w:w="611"/>
      </w:tblGrid>
      <w:tr w14:paraId="74A0D578">
        <w:tblPrEx>
          <w:tblCellMar>
            <w:top w:w="0" w:type="dxa"/>
            <w:left w:w="108" w:type="dxa"/>
            <w:bottom w:w="0" w:type="dxa"/>
            <w:right w:w="108" w:type="dxa"/>
          </w:tblCellMar>
        </w:tblPrEx>
        <w:trPr>
          <w:trHeight w:val="499" w:hRule="atLeast"/>
        </w:trPr>
        <w:tc>
          <w:tcPr>
            <w:tcW w:w="8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2983A58">
            <w:pPr>
              <w:jc w:val="center"/>
              <w:rPr>
                <w:rFonts w:hint="eastAsia" w:asciiTheme="minorEastAsia" w:hAnsiTheme="minorEastAsia" w:eastAsiaTheme="minorEastAsia" w:cstheme="minorEastAsia"/>
                <w:b w:val="0"/>
                <w:bCs/>
                <w:sz w:val="24"/>
                <w:szCs w:val="24"/>
              </w:rPr>
            </w:pPr>
            <w:r>
              <w:rPr>
                <w:rStyle w:val="26"/>
                <w:rFonts w:hint="eastAsia" w:asciiTheme="minorEastAsia" w:hAnsiTheme="minorEastAsia" w:eastAsiaTheme="minorEastAsia" w:cstheme="minorEastAsia"/>
                <w:b/>
                <w:bCs w:val="0"/>
                <w:color w:val="auto"/>
                <w:sz w:val="24"/>
                <w:lang w:val="en-US" w:eastAsia="zh-CN"/>
              </w:rPr>
              <w:t>伽师县巴仁镇第三小学</w:t>
            </w:r>
          </w:p>
        </w:tc>
      </w:tr>
      <w:tr w14:paraId="33DA51FA">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BD8A1DC">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11A97678">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建设内容(主要设备仪器名称)</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00FA443B">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主要参数（规格型号）</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7C469BF1">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数量</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4931532">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3942EAAA">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7ADFF3A">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1184" w:type="dxa"/>
            <w:tcBorders>
              <w:top w:val="single" w:color="auto" w:sz="4" w:space="0"/>
              <w:left w:val="nil"/>
              <w:bottom w:val="single" w:color="auto" w:sz="4" w:space="0"/>
              <w:right w:val="single" w:color="auto" w:sz="4" w:space="0"/>
            </w:tcBorders>
            <w:shd w:val="clear" w:color="auto" w:fill="auto"/>
            <w:vAlign w:val="center"/>
          </w:tcPr>
          <w:p w14:paraId="3D3E3AAA">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图书馆管理系统</w:t>
            </w:r>
          </w:p>
        </w:tc>
        <w:tc>
          <w:tcPr>
            <w:tcW w:w="5476" w:type="dxa"/>
            <w:tcBorders>
              <w:top w:val="single" w:color="auto" w:sz="4" w:space="0"/>
              <w:left w:val="nil"/>
              <w:bottom w:val="single" w:color="auto" w:sz="4" w:space="0"/>
              <w:right w:val="single" w:color="auto" w:sz="4" w:space="0"/>
            </w:tcBorders>
            <w:shd w:val="clear" w:color="auto" w:fill="auto"/>
            <w:vAlign w:val="center"/>
          </w:tcPr>
          <w:p w14:paraId="394ED94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一、系统配置：</w:t>
            </w:r>
          </w:p>
          <w:p w14:paraId="2E2662C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1.支持绑定微信，扫码登录。</w:t>
            </w:r>
          </w:p>
          <w:p w14:paraId="710D1F3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2.支持密码强度校验，强制修改用户初始密码。</w:t>
            </w:r>
          </w:p>
          <w:p w14:paraId="1C7EBE6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二、个性化：</w:t>
            </w:r>
          </w:p>
          <w:p w14:paraId="6FA1F96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1.支持自定义个性化配置：系统欢迎页、logo。</w:t>
            </w:r>
          </w:p>
          <w:p w14:paraId="4B39D07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三、参数配置： </w:t>
            </w:r>
          </w:p>
          <w:p w14:paraId="24E35C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1.完善的多级参数管理：机构参数-单馆参数-工作台参数-个人参数，灵活配置共性设置和个性化设置。</w:t>
            </w:r>
          </w:p>
          <w:p w14:paraId="0F2626F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2.完善的用户角色权限管理。权限明确到菜单权限和功能权限，一个用户可拥有多个角色。</w:t>
            </w:r>
          </w:p>
          <w:p w14:paraId="3D175AB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3.支持区域分馆管理。</w:t>
            </w:r>
          </w:p>
          <w:p w14:paraId="2BC36C8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四、系统消息：</w:t>
            </w:r>
          </w:p>
          <w:p w14:paraId="4D5FC25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1.支持即时的消息提醒，在线即可接受消息推送。</w:t>
            </w:r>
          </w:p>
          <w:p w14:paraId="554D73D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2.支持消息中心，查看任务进度、系统公告。标记已读、未读。</w:t>
            </w:r>
          </w:p>
          <w:p w14:paraId="0811EA3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五、系统表格： </w:t>
            </w:r>
          </w:p>
          <w:p w14:paraId="774DBA0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1.可自字段资源显示信息，包括显示项，显示顺序。</w:t>
            </w:r>
          </w:p>
          <w:p w14:paraId="734BDAC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六、资源采访数据导入：</w:t>
            </w:r>
          </w:p>
          <w:p w14:paraId="620EFED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1.支持导入征订目录、导入订购记录、导入验收记录、更新订购待编记录、导入批量退订。</w:t>
            </w:r>
          </w:p>
          <w:p w14:paraId="05FFFE2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2.支持添加、编辑导入数据模板，按模板导入文件。</w:t>
            </w:r>
          </w:p>
          <w:p w14:paraId="2DED08F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3.支持导入任务管理。</w:t>
            </w:r>
          </w:p>
          <w:p w14:paraId="6107ABE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4.数据导入支持MARC文件和Excel文件，文件格式智能识别。</w:t>
            </w:r>
          </w:p>
          <w:p w14:paraId="589A90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5.导入MARC文件支持GBK、UNICODE、UTF-8编码格式。</w:t>
            </w:r>
          </w:p>
          <w:p w14:paraId="7D0E72F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6.支持同一批次征订目录、订购记录，多币种、多国别、多语种数据导入。</w:t>
            </w:r>
          </w:p>
          <w:p w14:paraId="331AFE5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7.导入Excel文件时，支持Excel表单-Sheet的切换。</w:t>
            </w:r>
          </w:p>
          <w:p w14:paraId="1DD9F58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8.实现xls和xlxs文件的自动互识互转。</w:t>
            </w:r>
          </w:p>
          <w:p w14:paraId="17E2463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9.自动识别导入Excel文件的表头，提供匹配库，自动匹配映射字段。</w:t>
            </w:r>
          </w:p>
          <w:p w14:paraId="28D035D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10.导入征订目录，支持导入预购套数。</w:t>
            </w:r>
          </w:p>
          <w:p w14:paraId="7DE21B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七、批查重： </w:t>
            </w:r>
          </w:p>
          <w:p w14:paraId="07B599A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1.支持批查重：供应商查重、订前查重、订后查重。</w:t>
            </w:r>
          </w:p>
          <w:p w14:paraId="07FA7CC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2.支持多种条件自由组合查重：题名、标准号、责任者、出版社、主题词等。</w:t>
            </w:r>
          </w:p>
          <w:p w14:paraId="097AD1C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3.支持多条件间与、或关系查重。</w:t>
            </w:r>
          </w:p>
          <w:p w14:paraId="4CD6786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4.馆藏重复范围可选全机构、指定分馆、指定校区、指定馆藏地。</w:t>
            </w:r>
          </w:p>
          <w:p w14:paraId="1C9964E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5.★针对查重结果可查看重复元数据MARC详情及重复元数据下纸质馆藏、电子馆藏、数字馆藏、订购记录。（本项须提供功能截图佐证）</w:t>
            </w:r>
          </w:p>
          <w:p w14:paraId="25C59D7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6.支持数据筛选，元数据重复、馆藏重复、不重复。其中馆藏重复可以筛选纸质馆藏、电子馆藏、数字馆藏、订购记录重复。</w:t>
            </w:r>
          </w:p>
          <w:p w14:paraId="62C1C0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7.查重后可关联重复数据MARC进行订购，减少本馆元数据冗余。</w:t>
            </w:r>
          </w:p>
          <w:p w14:paraId="41692A2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8.支持在查重结果内二次检索。</w:t>
            </w:r>
          </w:p>
          <w:p w14:paraId="14EE7D6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9.增加查重策略的配置，支持一次利用多组条件查重，一次输出全部查重结果</w:t>
            </w:r>
          </w:p>
          <w:p w14:paraId="5C4CD17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八、征订管理： </w:t>
            </w:r>
          </w:p>
          <w:p w14:paraId="61B0DC1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1.支持征订目录的独有或共享。</w:t>
            </w:r>
          </w:p>
          <w:p w14:paraId="1D3BF78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2.支持经费的独有或共享。</w:t>
            </w:r>
          </w:p>
          <w:p w14:paraId="4896195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3.支持总馆与院系分馆之间以工作台协作采购，自由组配经费。并且各馆经费的使用额度能得到有效控制。</w:t>
            </w:r>
          </w:p>
          <w:p w14:paraId="14F4D5A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4.支持订购批次与订购批次同号，自动生成订购批次号。</w:t>
            </w:r>
          </w:p>
          <w:p w14:paraId="45BFA7B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5.同一批次，支持按照经费、订购工作小组分别输出订单。</w:t>
            </w:r>
          </w:p>
          <w:p w14:paraId="135F35B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6.预订数据生成唯一的采购流水号，保证完整的、可追溯的采购流程。</w:t>
            </w:r>
          </w:p>
          <w:p w14:paraId="1CAE8DD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7.每一条采购流水的订购方式可追溯，包含征订目录订购、直接订购、读者推荐订购、中央知识库订购、PDA订购等。</w:t>
            </w:r>
          </w:p>
          <w:p w14:paraId="6FD5A7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8.支持自定义资料采购类型，并进行相关统计。</w:t>
            </w:r>
          </w:p>
          <w:p w14:paraId="247DFC5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9.支持直接编辑数据的征订信息和MARC。</w:t>
            </w:r>
          </w:p>
          <w:p w14:paraId="2DEA56D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10.灵活的黑名单管理，支持编辑及移除黑名单。</w:t>
            </w:r>
          </w:p>
          <w:p w14:paraId="5B4FA3E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11.支持批次查重及关联订购、批量删除、批量订购、批量加入黑名单等处理工作。</w:t>
            </w:r>
          </w:p>
          <w:p w14:paraId="7609DC7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12.MARC子字段支持多题名、多主题词的检索。</w:t>
            </w:r>
          </w:p>
          <w:p w14:paraId="5BCDC36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13.支持按订购号、采购流水号、题名、责任者、出版社、出版年、分类号、价格等多种条件排序。</w:t>
            </w:r>
          </w:p>
          <w:p w14:paraId="27391C3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14.支持多条件高级检索。</w:t>
            </w:r>
          </w:p>
          <w:p w14:paraId="7CCDD9C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15.业务操作进行筛选书目时，可快速选用已经设置好的个人采选策略</w:t>
            </w:r>
          </w:p>
          <w:p w14:paraId="1004CB1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16.支持根据出版年、价格、出版社、责任者、分类、币种等条件的复合筛选。</w:t>
            </w:r>
          </w:p>
          <w:p w14:paraId="6D333C5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17.提供标记已阅功能。</w:t>
            </w:r>
          </w:p>
          <w:p w14:paraId="155D4EE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18.支持跳转站外链接，豆瓣、京东、当当、亚马逊海外。</w:t>
            </w:r>
          </w:p>
          <w:p w14:paraId="3413048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19.可通过中央知识库获取作者简介、图书简介、目录、封面等信息。</w:t>
            </w:r>
          </w:p>
          <w:p w14:paraId="26769A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九、荐购处理：</w:t>
            </w:r>
          </w:p>
          <w:p w14:paraId="1F7409D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1.支持对采购单荐购和读者自由荐购记录的管理。</w:t>
            </w:r>
          </w:p>
          <w:p w14:paraId="23D93D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2.支持对图书和电子资源库做采购申请处理和回复。</w:t>
            </w:r>
          </w:p>
          <w:p w14:paraId="4EC12A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3.支持跳转站外链接，豆瓣、京东、当当、亚马逊海外。</w:t>
            </w:r>
          </w:p>
          <w:p w14:paraId="5E0AA4C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4.支持批量查重，针对查重结果可查看重复元数据及重复元数据下纸质馆藏、电子馆藏、数字馆藏、订购记录。</w:t>
            </w:r>
          </w:p>
          <w:p w14:paraId="0017E42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5.支持关联MRAC订购。</w:t>
            </w:r>
          </w:p>
          <w:p w14:paraId="13EF9B3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6.支持关联在订记录。</w:t>
            </w:r>
          </w:p>
          <w:p w14:paraId="7EF8574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7.支持自定义维护荐购回复常用语。</w:t>
            </w:r>
          </w:p>
          <w:p w14:paraId="12E901D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8.荐购记录被订购及入藏时，系统可自动通过EMAIL或短信自动反馈读者。</w:t>
            </w:r>
          </w:p>
          <w:p w14:paraId="46CC299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十、资源订购：</w:t>
            </w:r>
          </w:p>
          <w:p w14:paraId="3C5C8C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1.支持按订购包、按全部订购记录查看本馆订单，可在全部订单中检索订购记录。</w:t>
            </w:r>
          </w:p>
          <w:p w14:paraId="5D09B99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2.支持检索本馆元数据、中央知识库及其他联机站点元数据，直接订购的方式。</w:t>
            </w:r>
          </w:p>
          <w:p w14:paraId="13DFC1F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3.支持提供MARC或Excel文件，设置订购工作台、经费、套数，直接导入订购记录。</w:t>
            </w:r>
          </w:p>
          <w:p w14:paraId="1B39C1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4.支持邮件发订、导出订单、打印订单。</w:t>
            </w:r>
          </w:p>
          <w:p w14:paraId="0BBF3AC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5.支持直接编辑数据的订购信息和MARC。</w:t>
            </w:r>
          </w:p>
          <w:p w14:paraId="5079974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6.支持单条、批量调整订购信息、规则分配馆藏地。</w:t>
            </w:r>
          </w:p>
          <w:p w14:paraId="27FC2FB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7.支持批量更新参数、调整订购、更改订购包、删除订购记录、退订。支持批量导出、打印订购记录。</w:t>
            </w:r>
          </w:p>
          <w:p w14:paraId="5622371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8.支持批量查重。弹窗展示重复结果。</w:t>
            </w:r>
          </w:p>
          <w:p w14:paraId="473A424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9.支持查看订购元数据的MARC详情、往年订购记录、荐购记录等。</w:t>
            </w:r>
          </w:p>
          <w:p w14:paraId="05C4EE9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10.MARC子字段支持多题名、多主题词的检索。</w:t>
            </w:r>
          </w:p>
          <w:p w14:paraId="1D05173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11.支持按订购号、采购流水号、题名、责任者、出版社、出版年、分类号、价格等多种条件排序。</w:t>
            </w:r>
          </w:p>
          <w:p w14:paraId="5A3522B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12.支持根据出版年、价格、出版社、责任者、分类、币种等条件的复合筛选。</w:t>
            </w:r>
          </w:p>
          <w:p w14:paraId="020750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13.批次内支持按订购工作台筛选、导出订单。</w:t>
            </w:r>
          </w:p>
          <w:p w14:paraId="7F8917E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14.实时获取中国银行远期汇率，订购、验收时，人民币和外币价格可换算。</w:t>
            </w:r>
          </w:p>
          <w:p w14:paraId="6FBA9AB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15.支持催缺退改订。</w:t>
            </w:r>
          </w:p>
          <w:p w14:paraId="3A7D493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16.支持订单行发订审核。</w:t>
            </w:r>
          </w:p>
          <w:p w14:paraId="781D46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十一、供应商预警：</w:t>
            </w:r>
          </w:p>
          <w:p w14:paraId="7EA0798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1.支持设置供应商预期交付时间，在机构参数设置预计交付周期后，按周期推算供应商单个批次的供全率、供准率、及时率。</w:t>
            </w:r>
          </w:p>
          <w:p w14:paraId="249A4B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2.达到预计交付日期当日，若供应商存在未到记录则输出预警文件，并向订购包创建人发送通知。</w:t>
            </w:r>
          </w:p>
          <w:p w14:paraId="2294C3B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十二、一次性接收： </w:t>
            </w:r>
          </w:p>
          <w:p w14:paraId="6C96B4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1.图书一次性接收支持订购验收、自采验收、受赠验收。</w:t>
            </w:r>
          </w:p>
          <w:p w14:paraId="1AE2F2C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2.验收时支持检索查重。</w:t>
            </w:r>
          </w:p>
          <w:p w14:paraId="2D2421D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3.支持总签、分签、不签多种验收方式。</w:t>
            </w:r>
          </w:p>
          <w:p w14:paraId="6BDD70D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4.订购验收支持直接追加订购记录。</w:t>
            </w:r>
          </w:p>
          <w:p w14:paraId="258D63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5.订购验收、自采验收、受赠验收均支持新增元数据、使用已有元数据验收、检索中央元数据验收。</w:t>
            </w:r>
          </w:p>
          <w:p w14:paraId="08BD44D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6.支持多卷册图书的验收处理。</w:t>
            </w:r>
          </w:p>
          <w:p w14:paraId="0A413EF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7.支持一个订购记录分多批次验收。</w:t>
            </w:r>
          </w:p>
          <w:p w14:paraId="65A611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8.支持多验、少验情况的处理。</w:t>
            </w:r>
          </w:p>
          <w:p w14:paraId="6099363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9.支持批量取消验收。</w:t>
            </w:r>
          </w:p>
          <w:p w14:paraId="466DBA8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10.支持批量更改数据的验收包。</w:t>
            </w:r>
          </w:p>
          <w:p w14:paraId="5DE4CA8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11.支持快速验收。</w:t>
            </w:r>
          </w:p>
          <w:p w14:paraId="4C04AA8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12.财产号、条码号支持按工作台财产账参数自动分配。支持不自动分配财产账。</w:t>
            </w:r>
          </w:p>
          <w:p w14:paraId="7DD3E2F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13.支持自动生成索书号。</w:t>
            </w:r>
          </w:p>
          <w:p w14:paraId="742EAD4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14.支持设置馆藏地分配规则，验收时自动根据规则分配馆藏地。</w:t>
            </w:r>
          </w:p>
          <w:p w14:paraId="60AEB19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15.★支持编目验收，同时处理验收和编目。（本项须提供功能截图佐证）</w:t>
            </w:r>
          </w:p>
          <w:p w14:paraId="0F83F76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16.支持对查重结果合并元数据、移除验收等操作。</w:t>
            </w:r>
          </w:p>
          <w:p w14:paraId="2B5BA44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十三、财产帐</w:t>
            </w:r>
            <w:r>
              <w:rPr>
                <w:rFonts w:hint="eastAsia" w:asciiTheme="minorEastAsia" w:hAnsiTheme="minorEastAsia" w:eastAsiaTheme="minorEastAsia" w:cstheme="minorEastAsia"/>
                <w:sz w:val="18"/>
                <w:szCs w:val="18"/>
                <w:lang w:val="en-US" w:eastAsia="zh-CN"/>
              </w:rPr>
              <w:t>号</w:t>
            </w:r>
            <w:r>
              <w:rPr>
                <w:rFonts w:hint="eastAsia" w:asciiTheme="minorEastAsia" w:hAnsiTheme="minorEastAsia" w:eastAsiaTheme="minorEastAsia" w:cstheme="minorEastAsia"/>
                <w:sz w:val="18"/>
                <w:szCs w:val="18"/>
              </w:rPr>
              <w:t>管理：</w:t>
            </w:r>
          </w:p>
          <w:p w14:paraId="3A93984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1.可根据工作台设置不同资源类型下的不同的财产账号段。</w:t>
            </w:r>
          </w:p>
          <w:p w14:paraId="57E978F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2.可为工作人员分配不同的财产号区间，区间可独有可连续。</w:t>
            </w:r>
          </w:p>
          <w:p w14:paraId="005382F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3.支持财产号废号及缺号查询、管理。</w:t>
            </w:r>
          </w:p>
          <w:p w14:paraId="3146A37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4.财产号可配置保存时空号校验提醒。</w:t>
            </w:r>
          </w:p>
          <w:p w14:paraId="0583E1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十四、导入批量验收： </w:t>
            </w:r>
          </w:p>
          <w:p w14:paraId="106DBB5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1.支持批量导入验收，导入时支持设置书刊状态及元数据状态。</w:t>
            </w:r>
          </w:p>
          <w:p w14:paraId="7BF0607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2.索书号重复支持导入。</w:t>
            </w:r>
          </w:p>
          <w:p w14:paraId="2A6EF63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3.导入验收时支持预览MARC文件。</w:t>
            </w:r>
          </w:p>
          <w:p w14:paraId="2F9243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4.支持导入文件完成订购数据MARC和订购价格的更新。</w:t>
            </w:r>
          </w:p>
          <w:p w14:paraId="13C851F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5.批量导入验收支持查重设置。</w:t>
            </w:r>
          </w:p>
          <w:p w14:paraId="16B442E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十五、导入更新订购待编记录： </w:t>
            </w:r>
          </w:p>
          <w:p w14:paraId="5B3ED17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1.支持导入外部文件批量匹配、覆盖验收包、订购包原有订购状态及待编状态的MARC。</w:t>
            </w:r>
          </w:p>
          <w:p w14:paraId="25617D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2.支持更新订购MARC的价格。</w:t>
            </w:r>
          </w:p>
          <w:p w14:paraId="5CEDE36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十六、连续出版物：</w:t>
            </w:r>
          </w:p>
          <w:p w14:paraId="58FCE7F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1.支持期刊征订数据的导入。</w:t>
            </w:r>
          </w:p>
          <w:p w14:paraId="5E5D7F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2.支持规范征订数据的价格和出版频率。</w:t>
            </w:r>
          </w:p>
          <w:p w14:paraId="0638CA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3.支持批量发订、退订、续订。</w:t>
            </w:r>
          </w:p>
          <w:p w14:paraId="04C1346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4.支持直接编辑订购分配信息及MARC信息。</w:t>
            </w:r>
          </w:p>
          <w:p w14:paraId="0C7A4CA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5.支持批查重，显示重复情况，支持关联订购，并自动继承往年的订购、签收和分配参数。</w:t>
            </w:r>
          </w:p>
          <w:p w14:paraId="7A101C6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6.订购时支持期刊总签分签。</w:t>
            </w:r>
          </w:p>
          <w:p w14:paraId="161A76B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十七、续订： </w:t>
            </w:r>
          </w:p>
          <w:p w14:paraId="1A6E123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1.支持复制订购批次续订，续订时，可选择复制的期刊类型以及是否保留原订购分配信息。</w:t>
            </w:r>
          </w:p>
          <w:p w14:paraId="3034134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十八、签收： </w:t>
            </w:r>
          </w:p>
          <w:p w14:paraId="48F641B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1.支持直接编辑MARC信息以及签收信息。</w:t>
            </w:r>
          </w:p>
          <w:p w14:paraId="26B9F37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2.支持继承去年签收参数生成签到卡片。</w:t>
            </w:r>
          </w:p>
          <w:p w14:paraId="3564D3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3.支持期刊卷期批量签收以及退签功能。</w:t>
            </w:r>
          </w:p>
          <w:p w14:paraId="5C0C5CD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4.支持进入签收页面时自动定位到未签收单刊上。</w:t>
            </w:r>
          </w:p>
          <w:p w14:paraId="0B87713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5.可针对固定频率期刊，非固定频率期刊，特殊卷期期刊分别通过参数生成准确的卷期信息。</w:t>
            </w:r>
          </w:p>
          <w:p w14:paraId="2B53D3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6.支持现刊分配条码自动单刊典藏。</w:t>
            </w:r>
          </w:p>
          <w:p w14:paraId="1DDC2B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7.支持预到日期和催缺日期的设置。</w:t>
            </w:r>
          </w:p>
          <w:p w14:paraId="1198DD2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8.支持合订本装订参数的设定。</w:t>
            </w:r>
          </w:p>
          <w:p w14:paraId="4595953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十九、现刊催缺： </w:t>
            </w:r>
          </w:p>
          <w:p w14:paraId="7AD40B3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1.可按照缺刊、所有缺刊、未签刊、断刊类型进行邮件催缺。</w:t>
            </w:r>
          </w:p>
          <w:p w14:paraId="1CE3CC1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2.提供按照供应商、订购年度筛选检索功能。</w:t>
            </w:r>
          </w:p>
          <w:p w14:paraId="6B3DE9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二十、排架号管理： </w:t>
            </w:r>
          </w:p>
          <w:p w14:paraId="229A39A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1.可根据订购年度，分配地以及不同选项检索期刊。</w:t>
            </w:r>
          </w:p>
          <w:p w14:paraId="33FB846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2.可根据分类号，往年排架号，文件导入方式生成新一年排架号。</w:t>
            </w:r>
          </w:p>
          <w:p w14:paraId="339DEA7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二十一、单刊典藏： </w:t>
            </w:r>
          </w:p>
          <w:p w14:paraId="5AF97AA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1.可针对期刊卷期进行批量单刊典藏操作，已单刊典藏期刊可流通借还。</w:t>
            </w:r>
          </w:p>
          <w:p w14:paraId="14E3260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2.可批量修改单刊卷期信息。</w:t>
            </w:r>
          </w:p>
          <w:p w14:paraId="7FB9AD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3.支持自动生成单刊条码号，财产号。</w:t>
            </w:r>
          </w:p>
          <w:p w14:paraId="11CF3E1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二十二、资源管理： </w:t>
            </w:r>
          </w:p>
          <w:p w14:paraId="41E38EF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1.国际国内编目标准：支持CNMARC、USMARC、RDA、DC、DCTERMS等规范。</w:t>
            </w:r>
          </w:p>
          <w:p w14:paraId="0E04B96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2.支持GBK、UNICODE、UTF-8字符集，实现多语种编目。</w:t>
            </w:r>
          </w:p>
          <w:p w14:paraId="0F275FA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3.MARC模式和行列模式切换。</w:t>
            </w:r>
          </w:p>
          <w:p w14:paraId="0D9CDF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4.★USMARC的关联数据展现，并且根据系统生成的链接可以跳转id.loc.gov网站查看对应的LinkedData。（本项须提供功能截图佐证）</w:t>
            </w:r>
          </w:p>
          <w:p w14:paraId="5E00E23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5.★BIBFRAME数据展示。（本项须提供功能截图佐证）</w:t>
            </w:r>
          </w:p>
          <w:p w14:paraId="2D6BB9E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二十三、元数据基本编辑功能： </w:t>
            </w:r>
          </w:p>
          <w:p w14:paraId="05954A2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1.提供字段基本的增加，修改和删除功能。</w:t>
            </w:r>
          </w:p>
          <w:p w14:paraId="660CB1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2.支持简单编目模式编辑，可以配置简单编目模板。</w:t>
            </w:r>
          </w:p>
          <w:p w14:paraId="202AF14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3.支持MARC审校功能，根据MARC规则自动提示错误。</w:t>
            </w:r>
          </w:p>
          <w:p w14:paraId="40D27A9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4.支持元数据规范检测，支持查看帮助提示。</w:t>
            </w:r>
          </w:p>
          <w:p w14:paraId="376E35A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5.元数据规范检测不仅支持字段、子字段是否重复是否必备的校验，同时支持校验指示符和嵌套字段规则。</w:t>
            </w:r>
          </w:p>
          <w:p w14:paraId="1EF8FF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二十四、元数据扩展编辑功能： </w:t>
            </w:r>
          </w:p>
          <w:p w14:paraId="66C89A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1.支持字段排序，字段复制、粘贴功能。</w:t>
            </w:r>
          </w:p>
          <w:p w14:paraId="3397067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2.支持快捷键一键复制子字段并粘贴。</w:t>
            </w:r>
          </w:p>
          <w:p w14:paraId="6CB0F9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3.提供系统模板，同时支持自定义元数据模板功能，自定义模板可在机构内、机构间共享。</w:t>
            </w:r>
          </w:p>
          <w:p w14:paraId="347D609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4.支持用元数据模板覆盖、补缺、添加全部字段到marc中。</w:t>
            </w:r>
          </w:p>
          <w:p w14:paraId="4D0BB11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5.支持多种自动生成字段的规则，用户可自由选择配置规则。</w:t>
            </w:r>
          </w:p>
          <w:p w14:paraId="646026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6.基于中央知识库，可实现规则共享区下载、本地应用。 </w:t>
            </w:r>
          </w:p>
          <w:p w14:paraId="1934A5D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7.实现cnmarc字段中简繁体互换，生成指定字段拼音。</w:t>
            </w:r>
          </w:p>
          <w:p w14:paraId="4F5301D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8.支持MARC编辑常用快捷键，提高工作效率。</w:t>
            </w:r>
          </w:p>
          <w:p w14:paraId="000114C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9.支持锁定元数据，锁定状态下无法编辑，防止老师误操作。</w:t>
            </w:r>
          </w:p>
          <w:p w14:paraId="7C0008F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10.增加中图法分类名称提示，直接根据分类号展示对应的分类名称。</w:t>
            </w:r>
          </w:p>
          <w:p w14:paraId="0141152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二十五、元数据上载： </w:t>
            </w:r>
          </w:p>
          <w:p w14:paraId="7F1F94E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1.支持元数据上载，包括上载原编、上载馆藏和覆盖已有marc。</w:t>
            </w:r>
          </w:p>
          <w:p w14:paraId="4CF6F4B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二十六、元数据获取： </w:t>
            </w:r>
          </w:p>
          <w:p w14:paraId="54B20C8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1.提供本地检索和联机检索，支持多索引组检索。其中联机检索支持多题名、多主题词的检索，同时可通过Z39.50广播查询下载，包括国图、CALIS等多数据来源检索。</w:t>
            </w:r>
          </w:p>
          <w:p w14:paraId="61F67BA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2.支持转入套录数据，在套录库中按批次查看转入的套录元数据，并在编目页面可以检索套录数据。</w:t>
            </w:r>
          </w:p>
          <w:p w14:paraId="284393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3.支持直接打开外部文件，查看或编辑外部文件中的元数据。</w:t>
            </w:r>
          </w:p>
          <w:p w14:paraId="711BC79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4.支持复制网页上marc数据，包括美国国会图书馆、中国国家图书馆等多个中外文网站。获取MARC的过程可以设置原MARC保留字段，可以设定来源MARC过滤字段。</w:t>
            </w:r>
          </w:p>
          <w:p w14:paraId="635A7DF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二十七、元数据检索与查重： </w:t>
            </w:r>
          </w:p>
          <w:p w14:paraId="1CE41C0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1.支持查重、关联检索，支持元数据分屏查看、复制字段、合并、覆盖操作。</w:t>
            </w:r>
          </w:p>
          <w:p w14:paraId="31AAB1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2.支持Z39和数据中心的元数据查询，进入下一条数据编辑的同时可自动检索Z39.50的数据。针对外部marc可以直接覆盖本馆marc数据。</w:t>
            </w:r>
          </w:p>
          <w:p w14:paraId="589941A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3.支持按CALIS号、国会号等条件检索馆内和联机数据。</w:t>
            </w:r>
          </w:p>
          <w:p w14:paraId="6D7070E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4.支持元数据的查重合并功能，进行元数据统一，形成纸电一体化管理。</w:t>
            </w:r>
          </w:p>
          <w:p w14:paraId="54ECECB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5.支持对元数据进行批量查重、批量合并功能，且批量合并时可自定义保留字段。</w:t>
            </w:r>
          </w:p>
          <w:p w14:paraId="4B07EC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6.支持设置默认查重条件。支持多种条件的查重，包括正题名、题名组、标准号等，并支持多种查重条件的自由组合。更支持多题名、多主题词的检索。查重范围可仅限本馆或全部成员馆。</w:t>
            </w:r>
          </w:p>
          <w:p w14:paraId="1CBB645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7.支持高级检索，可多条件组合（与、或）检索。</w:t>
            </w:r>
          </w:p>
          <w:p w14:paraId="677F0C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二十八、索书号处理： </w:t>
            </w:r>
          </w:p>
          <w:p w14:paraId="11FA393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1.通过著者号、卡特号、种次号、四角号码四种方式自动生成索书号，支持复分号的自动生成。</w:t>
            </w:r>
          </w:p>
          <w:p w14:paraId="2150CF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2.支持种次号、著者号的查询，可使用索书号缺号。</w:t>
            </w:r>
          </w:p>
          <w:p w14:paraId="019BF65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3.实现种次号库的维护。同时支持已生成种次号的重组。</w:t>
            </w:r>
          </w:p>
          <w:p w14:paraId="0B7F126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4.支持西文卡特号表维护。</w:t>
            </w:r>
          </w:p>
          <w:p w14:paraId="2443AAC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5.支持自定义四角号码生成规则。</w:t>
            </w:r>
          </w:p>
          <w:p w14:paraId="4EF208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6.支持索书号管理常用快捷键，提供工作效率。</w:t>
            </w:r>
          </w:p>
          <w:p w14:paraId="563E6A3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7.支持用户自定义复分号初始值。</w:t>
            </w:r>
          </w:p>
          <w:p w14:paraId="19055B3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8.自动生成种次号时，根据用户需求，既支持优先使用缺号，又支持优先使用最大号。</w:t>
            </w:r>
          </w:p>
          <w:p w14:paraId="33D3BD0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二十九、复本处理： </w:t>
            </w:r>
          </w:p>
          <w:p w14:paraId="0D9963C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1.★同时支持纸质、电子、数字多资源的馆藏管理。（本项须提供功能截图佐证）</w:t>
            </w:r>
          </w:p>
          <w:p w14:paraId="4D4CA31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2.完善的馆藏信息，包括物理馆藏、验收记录、附件、现刊记录等模块的展示。</w:t>
            </w:r>
          </w:p>
          <w:p w14:paraId="54A43C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3.★支持图片、文档、音频、视频等多种数字资源管理，支持资源本地或远程存储（数字馆藏）、收割数字资源元数据（OAI-PM）。（本项须提供功能截图佐证）</w:t>
            </w:r>
          </w:p>
          <w:p w14:paraId="140BA40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4.数字资源支持资源的预览。</w:t>
            </w:r>
          </w:p>
          <w:p w14:paraId="3F71B72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5.电子复本根据资源类型分数据库的资源清单和独立访问。</w:t>
            </w:r>
          </w:p>
          <w:p w14:paraId="6C01FD0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6.支持在编目页面直接将现刊装订成合订本。</w:t>
            </w:r>
          </w:p>
          <w:p w14:paraId="640C15A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7.支持复本变更marc链接功能。</w:t>
            </w:r>
          </w:p>
          <w:p w14:paraId="50EF496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8.支持附件的管理，附件与纸本馆藏一一关联，附件馆藏地、年代等信息随纸本馆藏变化而变化。</w:t>
            </w:r>
          </w:p>
          <w:p w14:paraId="0642791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三十、参数配置： </w:t>
            </w:r>
          </w:p>
          <w:p w14:paraId="7FFDEB6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1.支持独立分馆和直属分馆，财产账、种次号表可以独立也可以继承。</w:t>
            </w:r>
          </w:p>
          <w:p w14:paraId="3EC8C8C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2.可根据工作台的分配规则或个人继承参数等规则生成复本，支持直接回溯添加复本。</w:t>
            </w:r>
          </w:p>
          <w:p w14:paraId="6BB445F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3.支持数值比对和定长比对的条码号或财产号的缺号查询。</w:t>
            </w:r>
          </w:p>
          <w:p w14:paraId="2E85A83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4.支持主题词库的维护。</w:t>
            </w:r>
          </w:p>
          <w:p w14:paraId="6E48E3A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三十一、本机构资源： </w:t>
            </w:r>
          </w:p>
          <w:p w14:paraId="1644B51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1.纸质、电子、数字三种资源元数据进行统一管理，同时支持纸质、电子、数字多资源的馆藏管理。</w:t>
            </w:r>
          </w:p>
          <w:p w14:paraId="3CBFF71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2.平台拥有中央知识库做支撑，能够实现本馆元数据与中央知识库的挂接。</w:t>
            </w:r>
          </w:p>
          <w:p w14:paraId="0F463D5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3.支持查看期刊对应的篇级数据信息，同时显示该目录下的文章信息，包含篇名、责任者、页码和对应的URL等信息。</w:t>
            </w:r>
          </w:p>
          <w:p w14:paraId="0341D69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4.支持手动上传目录文件。</w:t>
            </w:r>
          </w:p>
          <w:p w14:paraId="45612E3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三十二、MARC批处理： </w:t>
            </w:r>
          </w:p>
          <w:p w14:paraId="643F2EC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1.支持对本机构资源全部资源进行检索、筛选后，加入个人工作区，或直接进行MARC批处理操作。</w:t>
            </w:r>
          </w:p>
          <w:p w14:paraId="03CDD83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2.支持MARC批量新增字段、修改子字段、删除字段、删除子字段等。</w:t>
            </w:r>
          </w:p>
          <w:p w14:paraId="4F68F39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三十三、个人工作区： </w:t>
            </w:r>
          </w:p>
          <w:p w14:paraId="7CEFBE5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1.支持设置个人工作区，支持多种方式添加工作区数据：上传MARC文件创建个人工作区、按检索检索数据加入工作区、按检索规则加入个人工作区。</w:t>
            </w:r>
          </w:p>
          <w:p w14:paraId="1F5FB3C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2.支持批量查找本馆无财产订购记录相关的元数据加入工作区，进行本馆冗余元数据处理。</w:t>
            </w:r>
          </w:p>
          <w:p w14:paraId="0B8A943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三十四、资源典藏：</w:t>
            </w:r>
          </w:p>
          <w:p w14:paraId="476D69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1.提供小程序、网页版两种书标打印功能，可补打书标。根据规则限定、单种/册扫描添加及批量添加方式获取提取书标列表。</w:t>
            </w:r>
          </w:p>
          <w:p w14:paraId="2488E0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2.支持网页版书标打印在线调整书标打印格式、预览打印效果。</w:t>
            </w:r>
          </w:p>
          <w:p w14:paraId="6D480A6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三十五、馆藏清单： </w:t>
            </w:r>
          </w:p>
          <w:p w14:paraId="7071C1E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1.支持统计馆藏记录清单</w:t>
            </w:r>
          </w:p>
          <w:p w14:paraId="7DB2E71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2.支持按复本数查询具体馆藏信息</w:t>
            </w:r>
          </w:p>
          <w:p w14:paraId="14D576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3.支持打印和导出</w:t>
            </w:r>
          </w:p>
          <w:p w14:paraId="5F6FAC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三十六、馆藏调拨： </w:t>
            </w:r>
          </w:p>
          <w:p w14:paraId="16C86D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1.支持按馆藏地、当前地方式批量调拨。</w:t>
            </w:r>
          </w:p>
          <w:p w14:paraId="6A64D5E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2.支持导入外部文件批量调拨。</w:t>
            </w:r>
          </w:p>
          <w:p w14:paraId="1C5FF2A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3.支持扫码单册加入调拨包。</w:t>
            </w:r>
          </w:p>
          <w:p w14:paraId="60963A1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4.支持调拨时变更财产归属地，变更流通政策及借阅属性。</w:t>
            </w:r>
          </w:p>
          <w:p w14:paraId="67D1816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三十七、馆藏清查：</w:t>
            </w:r>
          </w:p>
          <w:p w14:paraId="24DA1CB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1.支持导入外部清查文件。</w:t>
            </w:r>
          </w:p>
          <w:p w14:paraId="22CD6BC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2.通过清查后对比，得到重复馆藏列表。</w:t>
            </w:r>
          </w:p>
          <w:p w14:paraId="5A6E8E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3.支持导出清单。</w:t>
            </w:r>
          </w:p>
          <w:p w14:paraId="3DDB29D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三十八、单册处理： </w:t>
            </w:r>
          </w:p>
          <w:p w14:paraId="5A6DE74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1.对单册图书扫码，进行报废、赠送、交换、丢失、送修、回验、上架处理。</w:t>
            </w:r>
          </w:p>
          <w:p w14:paraId="6B7119A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2.可更改单册图书的馆藏地、当前地、借阅属性、流通政策等信息。</w:t>
            </w:r>
          </w:p>
          <w:p w14:paraId="293C15D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3.可通过移动端处理。</w:t>
            </w:r>
          </w:p>
          <w:p w14:paraId="1AE161C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三十九、批量处理当前地：</w:t>
            </w:r>
          </w:p>
          <w:p w14:paraId="460971F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1.支持按照馆藏地、当前地、经手人、还书日期检索查询。</w:t>
            </w:r>
          </w:p>
          <w:p w14:paraId="6CF1FD3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2.支持按照馆藏地恢复当前地</w:t>
            </w:r>
          </w:p>
          <w:p w14:paraId="46557B4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3.支持批量处理馆藏地和当前地。</w:t>
            </w:r>
          </w:p>
          <w:p w14:paraId="5322C54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4.支持历史处理记录的查询。</w:t>
            </w:r>
          </w:p>
          <w:p w14:paraId="48638D7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四十、馆藏管理： </w:t>
            </w:r>
          </w:p>
          <w:p w14:paraId="02AF4B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1.支持图书的排架管理。</w:t>
            </w:r>
          </w:p>
          <w:p w14:paraId="7CF5443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2.支持批量分配排架号、修改排架号。</w:t>
            </w:r>
          </w:p>
          <w:p w14:paraId="1B69AD7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3.支持对排架号进行统计。</w:t>
            </w:r>
          </w:p>
          <w:p w14:paraId="3DB7877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4.可用导入文件方式批量生成排架号。</w:t>
            </w:r>
          </w:p>
          <w:p w14:paraId="395663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5.可查看排架号处理详情。</w:t>
            </w:r>
          </w:p>
          <w:p w14:paraId="15A8A52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6.可在处理过程中修改馆藏地和借阅属性。</w:t>
            </w:r>
          </w:p>
          <w:p w14:paraId="3BA01C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7.可按照条码顺序号方式管理排架号。</w:t>
            </w:r>
          </w:p>
          <w:p w14:paraId="4822C36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8.可筛选排架号浏览图书。</w:t>
            </w:r>
          </w:p>
          <w:p w14:paraId="6BF2939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四十一、达标考核报表： </w:t>
            </w:r>
          </w:p>
          <w:p w14:paraId="6A975DE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1.★支持统计本馆馆情考核信息，包含文献总量、有效读者数量、有效读者平均册数、馆藏增册数、生均增册数、总借阅量、借阅册次、人均借阅量、文献流通率、文献利用率。（本项须提供功能截图佐证）</w:t>
            </w:r>
          </w:p>
          <w:p w14:paraId="45512D4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四十二、更换条码： </w:t>
            </w:r>
          </w:p>
          <w:p w14:paraId="06FC3F4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1.支持条码号更换。</w:t>
            </w:r>
          </w:p>
          <w:p w14:paraId="242A75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2.支持更换条码同时更换馆藏地和书刊状态。</w:t>
            </w:r>
          </w:p>
          <w:p w14:paraId="793E61B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3.更换时，支持新条码号自动顺次增加。</w:t>
            </w:r>
          </w:p>
          <w:p w14:paraId="744141E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4.支持更换记录的打印导出。</w:t>
            </w:r>
          </w:p>
          <w:p w14:paraId="311E7D4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四十三、读者服务：</w:t>
            </w:r>
          </w:p>
          <w:p w14:paraId="77BEDB7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1.提供读者新增、修改、删除功能。读者具备多种有效证件模式：借阅证、辅助证。</w:t>
            </w:r>
          </w:p>
          <w:p w14:paraId="297902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2.提供读者批量注销，注销恢复，停借，停借恢复，挂失，解挂，冻结，冻结恢复功能。</w:t>
            </w:r>
          </w:p>
          <w:p w14:paraId="25F81E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3.支持读者属性规范化，批量规范单位、部门、职位等信息。提供读者批量密码重置功能。</w:t>
            </w:r>
          </w:p>
          <w:p w14:paraId="0DF4433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4.可根据多种条件检索导出读者。可导出读者的借阅、违章、罚款信息。</w:t>
            </w:r>
          </w:p>
          <w:p w14:paraId="0F27E18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5.统一的行为和费用管理，可对超期、遗失等行为进行处理，可选择停借、罚款等组合处理方式。</w:t>
            </w:r>
          </w:p>
          <w:p w14:paraId="69576CA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6.提供参数化的读者数据导入配置，导入项目可以从文件内取也可以统一设置。</w:t>
            </w:r>
          </w:p>
          <w:p w14:paraId="3834326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7.提供读者照片批量导入功能，支持多种匹配方式。</w:t>
            </w:r>
          </w:p>
          <w:p w14:paraId="705FF87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8.提供读者批量导入功能，可通过字段映射的方式进行导入。</w:t>
            </w:r>
          </w:p>
          <w:p w14:paraId="41F278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9.可根据多种条件检索导出读者。可导出读者的借阅、违章、罚款信息。</w:t>
            </w:r>
          </w:p>
          <w:p w14:paraId="5C2A0E5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10.支持批量打印读者证，可设置读者证大小、正反面内容等。</w:t>
            </w:r>
          </w:p>
          <w:p w14:paraId="04049DB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11.支持每学年，年级自动升级。毕业后读者证件自动冻结等。</w:t>
            </w:r>
          </w:p>
          <w:p w14:paraId="3E62624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四十四、流通管理：</w:t>
            </w:r>
          </w:p>
          <w:p w14:paraId="5F67112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1.提供借书，还书功能，借还图书后显示图书所在地。</w:t>
            </w:r>
          </w:p>
          <w:p w14:paraId="7B4FB0F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2.提供遗失赔偿功能，遗失赔偿页面显示书目详细信息，可进行赔书，赔款，并支持遗失预处理功能。</w:t>
            </w:r>
          </w:p>
          <w:p w14:paraId="4431AF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3.提供违章处理，可自定义违章内容。</w:t>
            </w:r>
          </w:p>
          <w:p w14:paraId="4A1B020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4.提供超期罚款以及超期免罚功能。</w:t>
            </w:r>
          </w:p>
          <w:p w14:paraId="331B22B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5.提供费用管理功能，支持收取读者手续费、押金，预付款费用。</w:t>
            </w:r>
          </w:p>
          <w:p w14:paraId="60564F1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6.可使用积分对超期罚款及其他自定义行为进行抵扣。</w:t>
            </w:r>
          </w:p>
          <w:p w14:paraId="70929FE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7.所有账目类型均支持打印收款单据。</w:t>
            </w:r>
          </w:p>
          <w:p w14:paraId="7327E3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8.支持智能借还、人脸识别借还。</w:t>
            </w:r>
          </w:p>
          <w:p w14:paraId="61E604A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9.提供读者签到、图书登记、读者图书登记、现刊登记功能。支持整班登记。</w:t>
            </w:r>
          </w:p>
          <w:p w14:paraId="06D2E20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四十五、请求管理：</w:t>
            </w:r>
          </w:p>
          <w:p w14:paraId="64A6E8E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1.提供图书预约功能，支持本地和跨馆预约。</w:t>
            </w:r>
          </w:p>
          <w:p w14:paraId="7FD61A5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2.提供图书委托功能，支持本地和跨馆委托。</w:t>
            </w:r>
          </w:p>
          <w:p w14:paraId="3B00587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3.提供跨校区预约，委托的物流管理，图书的状态会随着物流变化而变化，保证读者的精确获取图书物流信息。</w:t>
            </w:r>
          </w:p>
          <w:p w14:paraId="27B608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4.提供新书和还书上架的物流管理，图书所在地以及状态会随物流变化而变化，保证读者在统一检索系统查询到的图书状态的准确。</w:t>
            </w:r>
          </w:p>
          <w:p w14:paraId="157C2A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5.图书到书后，管理员可通过系统向读者发送到书提醒短信/邮件/学习通。</w:t>
            </w:r>
          </w:p>
          <w:p w14:paraId="133C72B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6.读者多次到书未取，可进行违约处罚。</w:t>
            </w:r>
          </w:p>
          <w:p w14:paraId="5E1C8E6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四十六、高级工具： </w:t>
            </w:r>
          </w:p>
          <w:p w14:paraId="68DA146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1.支持读者积分管理，可自定义读者积分类型。读者可通过不同累计积分途径，使用积分抵扣罚款。</w:t>
            </w:r>
          </w:p>
          <w:p w14:paraId="6B76F2B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2.系统可自动增删积分，也可以手动增删积分。</w:t>
            </w:r>
          </w:p>
          <w:p w14:paraId="08230D6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3.支持发布积分公告功能。</w:t>
            </w:r>
          </w:p>
          <w:p w14:paraId="602D76B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4.支持离线流通、临时延期。</w:t>
            </w:r>
          </w:p>
          <w:p w14:paraId="17434E8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5.支持对即将到期/已过期的图书进行催还。</w:t>
            </w:r>
          </w:p>
          <w:p w14:paraId="47ABB4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6.可根据多种条件检索要延期的读者。</w:t>
            </w:r>
          </w:p>
          <w:p w14:paraId="187AE5E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7.可多选要延期的馆藏地。</w:t>
            </w:r>
          </w:p>
          <w:p w14:paraId="00EBED9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8.可自定义临时延期起始、截止、目标日期。</w:t>
            </w:r>
          </w:p>
          <w:p w14:paraId="363BE0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四十七、流通业务参数：</w:t>
            </w:r>
          </w:p>
          <w:p w14:paraId="50E1398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1.可自定义多种读者属性，学院，系别，专业，年级，班级，类型。</w:t>
            </w:r>
          </w:p>
          <w:p w14:paraId="5804305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2.可灵活自定义借阅规则，规则组合。</w:t>
            </w:r>
          </w:p>
          <w:p w14:paraId="73FB534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3.可自定义积分类型，积分项目，积分兑换。</w:t>
            </w:r>
          </w:p>
          <w:p w14:paraId="725C762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4.可自定义违章，罚款，赔偿，费用参数。</w:t>
            </w:r>
          </w:p>
          <w:p w14:paraId="40772B2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四十八、统计报表：</w:t>
            </w:r>
          </w:p>
          <w:p w14:paraId="0991398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1.提供各学校的图书馆藏统计、流通借还统计、读者数量统计等。</w:t>
            </w:r>
          </w:p>
          <w:p w14:paraId="4D57D7A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2.提供各学校包含各馆藏地书刊状态统计、生均借阅册数统计、图书流通率统计、馆藏增长量统计等。</w:t>
            </w:r>
          </w:p>
          <w:p w14:paraId="3DDA680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3.提供馆藏数据统计（纸质、电子），包含：纸质馆藏（分布、分类、增长）统计，列表页面支持打印预览及导出。</w:t>
            </w:r>
          </w:p>
          <w:p w14:paraId="31EEEF7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四十九、资源利用： </w:t>
            </w:r>
          </w:p>
          <w:p w14:paraId="6D69A3F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综合借还、文献分类借还、人均借阅量、文献分类阅览、读者请求分类、文献借还周转率、文献借还利用率、文献借阅率、文献外借周期、文献热门排行、总分馆借阅、OPAC热门检索词、OPAC导航使用等统计，列表页面支持打印预览及导出。</w:t>
            </w:r>
          </w:p>
          <w:p w14:paraId="33CD109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五十、读者服务： </w:t>
            </w:r>
          </w:p>
          <w:p w14:paraId="19B4560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1.提供读者服务相关统计，包含读者借还、读者借阅量、读者借阅次数、读者借还趋势、超期罚款、遗失赔偿、借阅出版社等统计。列表页面支持打印预览及导出。</w:t>
            </w:r>
          </w:p>
          <w:p w14:paraId="1525AB9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五十一、运行日志： </w:t>
            </w:r>
          </w:p>
          <w:p w14:paraId="730340C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1.提供流通日志、账目收支、工作人员日志、工作量（工作台、工作人员、工作类型）相关统计。</w:t>
            </w:r>
          </w:p>
          <w:p w14:paraId="48A4545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五十二、参数配置： </w:t>
            </w:r>
          </w:p>
          <w:p w14:paraId="3D95D9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1.提供个人统计中心，支持将统计及条件保存为模板至个人统计中心。</w:t>
            </w:r>
          </w:p>
          <w:p w14:paraId="6122349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2.提供分类模板配置，支持设置每个分类的馆藏标准比例。</w:t>
            </w:r>
          </w:p>
          <w:p w14:paraId="571D37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五十三、统一检索：</w:t>
            </w:r>
          </w:p>
          <w:p w14:paraId="430416B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1.资源发布：支持自定义统一检索栏目菜单、首页展示内容、背景、logo、主题色等，支持配置展示的资料类型、资源状态、展示字段等。</w:t>
            </w:r>
          </w:p>
          <w:p w14:paraId="3BA3E39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2.支持外部资源接入，支持发布问卷调查等信息。   </w:t>
            </w:r>
          </w:p>
          <w:p w14:paraId="26F483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五十四、检索： </w:t>
            </w:r>
          </w:p>
          <w:p w14:paraId="7D0FB43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1.提供关键词检索，检索首页展示近X天内的热门资源库、最新资源库、热门借阅、上架新书等。</w:t>
            </w:r>
          </w:p>
          <w:p w14:paraId="233E88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2.具备基本检索功能的同时，支持高级检索，同时检索结果页可二次检索。</w:t>
            </w:r>
          </w:p>
          <w:p w14:paraId="458E83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3.对图书、期刊、论文均提供评分、评论、收藏、分享、引用功能，对检索条件提供订阅功能，即将检索条件进行记录保留。</w:t>
            </w:r>
          </w:p>
          <w:p w14:paraId="0E0021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4.关键词检索所有整合的文献资源，包括并不限于本馆纸本资源、电子资源、数字资产等，将所有检索结果按资源的相关度显示出来。</w:t>
            </w:r>
          </w:p>
          <w:p w14:paraId="5EDD178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提供纸质资源，电子资源，数字资源的整合检索，同一个元数据能同时展示元数据下对应的纸质馆藏和电子馆藏以及数字资源。纸本可直接查看详细信息，电子可链接到全文或者数据库。（本项须提供功能截图佐证）</w:t>
            </w:r>
          </w:p>
          <w:p w14:paraId="68F3C1B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6.多种检索来源，包括馆藏资源、超星发现、百度学术、维普、CNKI和万方期刊。</w:t>
            </w:r>
          </w:p>
          <w:p w14:paraId="79013FD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7.结果根据匹配度，相关度，出版年，图书热度多个维度综合排序</w:t>
            </w:r>
          </w:p>
          <w:p w14:paraId="22DA07C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8.资源检索详情页可通过扫二维码查看书目详细信息，提供当当、豆瓣等快捷链接。</w:t>
            </w:r>
          </w:p>
          <w:p w14:paraId="617C99E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9.可通过中央知识库展示图书封面，读者和图书简介，摘要和目次。</w:t>
            </w:r>
          </w:p>
          <w:p w14:paraId="0C9029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10.图形化展示借阅趋势、借阅关系，将每种书刊的借阅量自动转化为曲线图。</w:t>
            </w:r>
          </w:p>
          <w:p w14:paraId="6AF420E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11.支持在线填写问卷调查（电子资源库试用调查问卷及一般调查问卷）。</w:t>
            </w:r>
          </w:p>
          <w:p w14:paraId="6A80B7D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五十五、检索结果相关信息推荐： </w:t>
            </w:r>
          </w:p>
          <w:p w14:paraId="3284F40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1.可对资源进行评分。</w:t>
            </w:r>
          </w:p>
          <w:p w14:paraId="76CB56B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2.可对资源发表书评。</w:t>
            </w:r>
          </w:p>
          <w:p w14:paraId="5FC9EBC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3.可生成多种引文格式，可导出。</w:t>
            </w:r>
          </w:p>
          <w:p w14:paraId="3483B16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4.可收藏资源。</w:t>
            </w:r>
          </w:p>
          <w:p w14:paraId="47C8604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5.可分享资源。</w:t>
            </w:r>
          </w:p>
          <w:p w14:paraId="078EEE6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6.可进行文献传递</w:t>
            </w:r>
          </w:p>
          <w:p w14:paraId="050B573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7.提供基于智能化的相关书的推荐。</w:t>
            </w:r>
          </w:p>
          <w:p w14:paraId="3955EB1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五十六、热门推荐： </w:t>
            </w:r>
          </w:p>
          <w:p w14:paraId="39106DF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1.可查看馆内热门借阅、热门收藏、热门浏览、高分图书等列表</w:t>
            </w:r>
          </w:p>
          <w:p w14:paraId="43614C4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2.按借阅比或借阅次数、收藏人数、浏览人数、评价人数和总体评价等倒序展示一段时间内借阅的图书列表。</w:t>
            </w:r>
          </w:p>
          <w:p w14:paraId="476F26A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3.提供按照学科、图书馆、资料类型，统计时间多种筛选条件。</w:t>
            </w:r>
          </w:p>
          <w:p w14:paraId="0FBB71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五十七、新书通报： </w:t>
            </w:r>
          </w:p>
          <w:p w14:paraId="34F025B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1.自动根据入藏时间和其他设定条件生成新书内容。</w:t>
            </w:r>
          </w:p>
          <w:p w14:paraId="1963B20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2.支持学科分类，中图法分类展示。</w:t>
            </w:r>
          </w:p>
          <w:p w14:paraId="26AA37A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3.提供按限制时间、资料类型、图书馆进行筛选。</w:t>
            </w:r>
          </w:p>
          <w:p w14:paraId="157F226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五十八、期刊导航： </w:t>
            </w:r>
          </w:p>
          <w:p w14:paraId="3CC8202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1.可根据学科分类进行导航。</w:t>
            </w:r>
          </w:p>
          <w:p w14:paraId="61F2BB6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2.可根据首字母导航。</w:t>
            </w:r>
          </w:p>
          <w:p w14:paraId="3751D78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3.可根据SCIE，SCI，SSCI，A&amp;HCI，SCOPUS，EI，CSSCI，CSCD，北大中文核心期刊，中国科技核心期刊目录等核心收录指标进行导航。</w:t>
            </w:r>
          </w:p>
          <w:p w14:paraId="45406CC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五十九、读者荐购： </w:t>
            </w:r>
          </w:p>
          <w:p w14:paraId="4642B88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1.可荐购图书、期刊和数据库。</w:t>
            </w:r>
          </w:p>
          <w:p w14:paraId="0CE020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2.可根据征订数据荐购，按照学科筛选荐购。可查看大家正在荐购的内容追加荐购。可自由荐购。</w:t>
            </w:r>
          </w:p>
          <w:p w14:paraId="2735A83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3.针对读者自由荐购提供基本的检索及查重。</w:t>
            </w:r>
          </w:p>
          <w:p w14:paraId="34B4D27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六十、我的订阅： </w:t>
            </w:r>
          </w:p>
          <w:p w14:paraId="0A953C7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1.可订阅自定义关键词。</w:t>
            </w:r>
          </w:p>
          <w:p w14:paraId="6D15B6E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六十一、我的借阅： </w:t>
            </w:r>
          </w:p>
          <w:p w14:paraId="5B1EAD7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1.可查看借阅历史及当前借阅书籍。</w:t>
            </w:r>
          </w:p>
          <w:p w14:paraId="47C86A7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2.借书超期及借书即将到期提醒。</w:t>
            </w:r>
          </w:p>
          <w:p w14:paraId="73B0B95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3.支持单本续借和批量续借。</w:t>
            </w:r>
          </w:p>
          <w:p w14:paraId="47B2A78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六十二、行为记录： </w:t>
            </w:r>
          </w:p>
          <w:p w14:paraId="4901E9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1.可查看自己已处理和未处理的行为。</w:t>
            </w:r>
          </w:p>
          <w:p w14:paraId="4CBC82B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2.处理行为及新增行为提醒。</w:t>
            </w:r>
          </w:p>
          <w:p w14:paraId="0967B5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3.支持针对未处理行为在线缴费。</w:t>
            </w:r>
          </w:p>
          <w:p w14:paraId="1BDC1D8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六十三、我的地址： </w:t>
            </w:r>
          </w:p>
          <w:p w14:paraId="2F528C4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1.支持维护我的地址。</w:t>
            </w:r>
          </w:p>
          <w:p w14:paraId="6D22E9A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六十四、预约委托： </w:t>
            </w:r>
          </w:p>
          <w:p w14:paraId="675B5D2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1.可针对书目进行预约和委托操作。</w:t>
            </w:r>
          </w:p>
          <w:p w14:paraId="1627CA9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2.可选择本校区或者其他校区的取书地。</w:t>
            </w:r>
          </w:p>
          <w:p w14:paraId="4494588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3.可查看所有发起成功的预约委托请求。</w:t>
            </w:r>
          </w:p>
          <w:p w14:paraId="6465F09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4.可查看预约委托到书请求。</w:t>
            </w:r>
          </w:p>
          <w:p w14:paraId="55AD1BF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六十五、我的收藏： </w:t>
            </w:r>
          </w:p>
          <w:p w14:paraId="7EE50CC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1.读者可创建并分享自己建立的书单。</w:t>
            </w:r>
          </w:p>
          <w:p w14:paraId="5F2871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2.读者可在检索结果页面将内容添加至书单。</w:t>
            </w:r>
          </w:p>
        </w:tc>
        <w:tc>
          <w:tcPr>
            <w:tcW w:w="1024" w:type="dxa"/>
            <w:tcBorders>
              <w:top w:val="single" w:color="auto" w:sz="4" w:space="0"/>
              <w:left w:val="nil"/>
              <w:bottom w:val="single" w:color="auto" w:sz="4" w:space="0"/>
              <w:right w:val="single" w:color="auto" w:sz="4" w:space="0"/>
            </w:tcBorders>
            <w:shd w:val="clear" w:color="auto" w:fill="auto"/>
            <w:vAlign w:val="center"/>
          </w:tcPr>
          <w:p w14:paraId="26FD66EC">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1套</w:t>
            </w:r>
          </w:p>
        </w:tc>
        <w:tc>
          <w:tcPr>
            <w:tcW w:w="611" w:type="dxa"/>
            <w:tcBorders>
              <w:top w:val="single" w:color="auto" w:sz="4" w:space="0"/>
              <w:left w:val="nil"/>
              <w:bottom w:val="single" w:color="auto" w:sz="4" w:space="0"/>
              <w:right w:val="single" w:color="auto" w:sz="4" w:space="0"/>
            </w:tcBorders>
            <w:shd w:val="clear" w:color="auto" w:fill="auto"/>
            <w:vAlign w:val="center"/>
          </w:tcPr>
          <w:p w14:paraId="626EB6F3">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核心产品</w:t>
            </w:r>
          </w:p>
        </w:tc>
      </w:tr>
      <w:tr w14:paraId="6DC1970D">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3ECB239F">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p>
        </w:tc>
        <w:tc>
          <w:tcPr>
            <w:tcW w:w="1184" w:type="dxa"/>
            <w:tcBorders>
              <w:top w:val="nil"/>
              <w:left w:val="nil"/>
              <w:bottom w:val="single" w:color="auto" w:sz="4" w:space="0"/>
              <w:right w:val="single" w:color="auto" w:sz="4" w:space="0"/>
            </w:tcBorders>
            <w:shd w:val="clear" w:color="auto" w:fill="auto"/>
            <w:vAlign w:val="center"/>
          </w:tcPr>
          <w:p w14:paraId="55A07AEE">
            <w:pPr>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RFID图书标签</w:t>
            </w:r>
          </w:p>
        </w:tc>
        <w:tc>
          <w:tcPr>
            <w:tcW w:w="5476" w:type="dxa"/>
            <w:tcBorders>
              <w:top w:val="nil"/>
              <w:left w:val="nil"/>
              <w:bottom w:val="single" w:color="auto" w:sz="4" w:space="0"/>
              <w:right w:val="single" w:color="auto" w:sz="4" w:space="0"/>
            </w:tcBorders>
            <w:shd w:val="clear" w:color="auto" w:fill="auto"/>
            <w:vAlign w:val="center"/>
          </w:tcPr>
          <w:p w14:paraId="4D125A6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1.工作频率：13.56MHz；</w:t>
            </w:r>
          </w:p>
          <w:p w14:paraId="3C3A05A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2.支持协议：ISO15693和ISO18000-3标准；</w:t>
            </w:r>
          </w:p>
          <w:p w14:paraId="68DBF0C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3.产品规格：50*50mm；</w:t>
            </w:r>
          </w:p>
          <w:p w14:paraId="12BE5D1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4.天线规格：45*45cm；</w:t>
            </w:r>
          </w:p>
          <w:p w14:paraId="67B098E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5.频率：13.56MHZ。</w:t>
            </w:r>
          </w:p>
          <w:p w14:paraId="4009A4A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6.内存容量：≥1024 bits；</w:t>
            </w:r>
          </w:p>
          <w:p w14:paraId="6AA2A23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7.有效使用寿命：≥10 年；</w:t>
            </w:r>
          </w:p>
          <w:p w14:paraId="0028D9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8.有效使用次数：≥10万次。</w:t>
            </w:r>
          </w:p>
          <w:p w14:paraId="602FCD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功能描述：</w:t>
            </w:r>
          </w:p>
          <w:p w14:paraId="3101636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1.非接触式地读取和写入；</w:t>
            </w:r>
          </w:p>
          <w:p w14:paraId="00434B8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2.具有很好的防冲突性能；</w:t>
            </w:r>
          </w:p>
          <w:p w14:paraId="669CB0E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3.采用防冲突的运算法则；</w:t>
            </w:r>
          </w:p>
          <w:p w14:paraId="252CED7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4.具有多标签识别功能；</w:t>
            </w:r>
          </w:p>
        </w:tc>
        <w:tc>
          <w:tcPr>
            <w:tcW w:w="1024" w:type="dxa"/>
            <w:tcBorders>
              <w:top w:val="nil"/>
              <w:left w:val="nil"/>
              <w:bottom w:val="single" w:color="auto" w:sz="4" w:space="0"/>
              <w:right w:val="single" w:color="auto" w:sz="4" w:space="0"/>
            </w:tcBorders>
            <w:shd w:val="clear" w:color="auto" w:fill="auto"/>
            <w:vAlign w:val="center"/>
          </w:tcPr>
          <w:p w14:paraId="30D8B0EC">
            <w:pPr>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2000</w:t>
            </w:r>
            <w:r>
              <w:rPr>
                <w:rFonts w:hint="eastAsia" w:asciiTheme="minorEastAsia" w:hAnsiTheme="minorEastAsia" w:eastAsiaTheme="minorEastAsia" w:cstheme="minorEastAsia"/>
                <w:i w:val="0"/>
                <w:iCs w:val="0"/>
                <w:color w:val="000000"/>
                <w:kern w:val="0"/>
                <w:sz w:val="20"/>
                <w:szCs w:val="20"/>
                <w:u w:val="none"/>
                <w:lang w:val="en-US" w:eastAsia="zh-CN" w:bidi="ar"/>
              </w:rPr>
              <w:t>枚</w:t>
            </w:r>
          </w:p>
        </w:tc>
        <w:tc>
          <w:tcPr>
            <w:tcW w:w="611" w:type="dxa"/>
            <w:tcBorders>
              <w:top w:val="nil"/>
              <w:left w:val="nil"/>
              <w:bottom w:val="single" w:color="auto" w:sz="4" w:space="0"/>
              <w:right w:val="single" w:color="auto" w:sz="4" w:space="0"/>
            </w:tcBorders>
            <w:shd w:val="clear" w:color="auto" w:fill="auto"/>
            <w:vAlign w:val="center"/>
          </w:tcPr>
          <w:p w14:paraId="0FFEF0AB">
            <w:pPr>
              <w:jc w:val="center"/>
              <w:rPr>
                <w:rFonts w:hint="eastAsia" w:asciiTheme="minorEastAsia" w:hAnsiTheme="minorEastAsia" w:eastAsiaTheme="minorEastAsia" w:cstheme="minorEastAsia"/>
                <w:sz w:val="24"/>
                <w:szCs w:val="24"/>
                <w:lang w:val="en-US" w:eastAsia="zh-CN"/>
              </w:rPr>
            </w:pPr>
          </w:p>
        </w:tc>
      </w:tr>
      <w:tr w14:paraId="7248412F">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18727454">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p>
        </w:tc>
        <w:tc>
          <w:tcPr>
            <w:tcW w:w="1184" w:type="dxa"/>
            <w:tcBorders>
              <w:top w:val="nil"/>
              <w:left w:val="nil"/>
              <w:bottom w:val="single" w:color="auto" w:sz="4" w:space="0"/>
              <w:right w:val="single" w:color="auto" w:sz="4" w:space="0"/>
            </w:tcBorders>
            <w:shd w:val="clear" w:color="auto" w:fill="auto"/>
            <w:vAlign w:val="center"/>
          </w:tcPr>
          <w:p w14:paraId="609A5901">
            <w:pPr>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RFID标签数据加工</w:t>
            </w:r>
          </w:p>
          <w:p w14:paraId="5A1ACA7A">
            <w:pPr>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(图书标签)</w:t>
            </w:r>
          </w:p>
        </w:tc>
        <w:tc>
          <w:tcPr>
            <w:tcW w:w="5476" w:type="dxa"/>
            <w:tcBorders>
              <w:top w:val="nil"/>
              <w:left w:val="nil"/>
              <w:bottom w:val="single" w:color="auto" w:sz="4" w:space="0"/>
              <w:right w:val="single" w:color="auto" w:sz="4" w:space="0"/>
            </w:tcBorders>
            <w:shd w:val="clear" w:color="auto" w:fill="auto"/>
            <w:vAlign w:val="center"/>
          </w:tcPr>
          <w:p w14:paraId="4E52049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1.将图书专用标签数据加工转换并准确安装在图书馆的馆藏图书内，</w:t>
            </w:r>
          </w:p>
          <w:p w14:paraId="7C6F4F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2.按照规范要求，为每一本需要进行处理的图书粘贴RFID标签，</w:t>
            </w:r>
          </w:p>
          <w:p w14:paraId="03C8A4C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3.严格按中图法分类上架及定位。对粘贴了RFID标签的图书进行数据转换。</w:t>
            </w:r>
          </w:p>
          <w:p w14:paraId="2F638D6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4.确保标签粘贴有效，并且不能对图书造成任何损坏，否则应为造成的损失向招标人提供赔偿。</w:t>
            </w:r>
          </w:p>
          <w:p w14:paraId="1859A9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图书资料的数据转换有效无误，同时满足用户合理提出的RFID标签中数据存储的格式与内容的要求。将馆藏图书进行编目数据著录、MAC数据录入、贴条码、书标、书标保护膜，依据《中国机读目录格式》和《普通图书著录规则》的要求著录图书，图书分类引用《中国图书馆图书分类法》 (第五版）。中文图书主题标引用《中国分类主题词表》和《汉语主题词表》（增订本）。</w:t>
            </w:r>
          </w:p>
          <w:p w14:paraId="4CD33C6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6.图书数据加工录入到图书管理系统中</w:t>
            </w:r>
          </w:p>
        </w:tc>
        <w:tc>
          <w:tcPr>
            <w:tcW w:w="1024" w:type="dxa"/>
            <w:tcBorders>
              <w:top w:val="nil"/>
              <w:left w:val="nil"/>
              <w:bottom w:val="single" w:color="auto" w:sz="4" w:space="0"/>
              <w:right w:val="single" w:color="auto" w:sz="4" w:space="0"/>
            </w:tcBorders>
            <w:shd w:val="clear" w:color="auto" w:fill="auto"/>
            <w:vAlign w:val="center"/>
          </w:tcPr>
          <w:p w14:paraId="5B964333">
            <w:pPr>
              <w:jc w:val="center"/>
              <w:textAlignment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2"/>
                <w:szCs w:val="22"/>
                <w:lang w:val="en-US" w:eastAsia="zh-CN" w:bidi="ar"/>
              </w:rPr>
              <w:t>2000</w:t>
            </w:r>
            <w:r>
              <w:rPr>
                <w:rFonts w:hint="eastAsia" w:asciiTheme="minorEastAsia" w:hAnsiTheme="minorEastAsia" w:eastAsiaTheme="minorEastAsia" w:cstheme="minorEastAsia"/>
                <w:i w:val="0"/>
                <w:iCs w:val="0"/>
                <w:color w:val="000000"/>
                <w:kern w:val="0"/>
                <w:sz w:val="20"/>
                <w:szCs w:val="20"/>
                <w:u w:val="none"/>
                <w:lang w:val="en-US" w:eastAsia="zh-CN" w:bidi="ar"/>
              </w:rPr>
              <w:t>张/次</w:t>
            </w:r>
          </w:p>
        </w:tc>
        <w:tc>
          <w:tcPr>
            <w:tcW w:w="611" w:type="dxa"/>
            <w:tcBorders>
              <w:top w:val="nil"/>
              <w:left w:val="nil"/>
              <w:bottom w:val="single" w:color="auto" w:sz="4" w:space="0"/>
              <w:right w:val="single" w:color="auto" w:sz="4" w:space="0"/>
            </w:tcBorders>
            <w:shd w:val="clear" w:color="auto" w:fill="auto"/>
            <w:vAlign w:val="center"/>
          </w:tcPr>
          <w:p w14:paraId="4749135A">
            <w:pPr>
              <w:jc w:val="center"/>
              <w:rPr>
                <w:rFonts w:hint="eastAsia" w:asciiTheme="minorEastAsia" w:hAnsiTheme="minorEastAsia" w:eastAsiaTheme="minorEastAsia" w:cstheme="minorEastAsia"/>
                <w:sz w:val="24"/>
                <w:szCs w:val="24"/>
              </w:rPr>
            </w:pPr>
          </w:p>
        </w:tc>
      </w:tr>
      <w:tr w14:paraId="34B10B6E">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648B0CE9">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w:t>
            </w:r>
          </w:p>
        </w:tc>
        <w:tc>
          <w:tcPr>
            <w:tcW w:w="1184" w:type="dxa"/>
            <w:tcBorders>
              <w:top w:val="nil"/>
              <w:left w:val="nil"/>
              <w:bottom w:val="single" w:color="auto" w:sz="4" w:space="0"/>
              <w:right w:val="single" w:color="auto" w:sz="4" w:space="0"/>
            </w:tcBorders>
            <w:shd w:val="clear" w:color="auto" w:fill="auto"/>
            <w:vAlign w:val="center"/>
          </w:tcPr>
          <w:p w14:paraId="3E352598">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自助借还书机系统</w:t>
            </w:r>
          </w:p>
        </w:tc>
        <w:tc>
          <w:tcPr>
            <w:tcW w:w="5476" w:type="dxa"/>
            <w:tcBorders>
              <w:top w:val="nil"/>
              <w:left w:val="nil"/>
              <w:bottom w:val="single" w:color="auto" w:sz="4" w:space="0"/>
              <w:right w:val="single" w:color="auto" w:sz="4" w:space="0"/>
            </w:tcBorders>
            <w:shd w:val="clear" w:color="auto" w:fill="auto"/>
            <w:vAlign w:val="center"/>
          </w:tcPr>
          <w:p w14:paraId="025E445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1.多种登录方式：支持账号密码、刷读者证、扫码、人脸识别等方式，后台可选择登录方式，支持设置是否免密。</w:t>
            </w:r>
          </w:p>
          <w:p w14:paraId="580C651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人脸识别：支持读者绑定人脸信息，可以实现读者无卡登录、借书。支持读者删除已绑定的人脸信息。登录、注册时提供活体检测，验证用户是否为本人真实活体操作。支持管理员在设备后台批量上传读者的人脸信息。支持管理员在手机端拍照上传人脸。（本项须提供功能截图佐证）</w:t>
            </w:r>
          </w:p>
          <w:p w14:paraId="53C52DA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3.自助借还：具备对图书标签防盗位进行复位或置位的功能，可以一次借还多本书刊。</w:t>
            </w:r>
          </w:p>
          <w:p w14:paraId="6DC0101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4.读者办证：支持读者输入个人信息后注册电子证，后台可以选择是否开启办证以及读者证类型。并支持后台自定义选择要录入的读者信息，比如手机号、邮箱、学历等。支持扫码支付押金，押金金额可自定义。</w:t>
            </w:r>
          </w:p>
          <w:p w14:paraId="687B7A8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5.个人中心/续借：支持读者查询个人信息、当前在借，也可续借图书。支持读者自行绑定人脸、身份证，绑定后即可使用相应的登录方式。</w:t>
            </w:r>
          </w:p>
          <w:p w14:paraId="415E5AA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6.信息展示：支持显示单位logo、轮播图，并能够显示时间日期和设备的今日借还数量。</w:t>
            </w:r>
          </w:p>
          <w:p w14:paraId="58B1E4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7.图书查询：支持配置单位的图书查询页面，方便读者查询图书。</w:t>
            </w:r>
          </w:p>
          <w:p w14:paraId="572671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8.电子书：支持配置电子书模块，点击后能够进入电子资源借阅系统，实现在线阅读、扫码下载等功能。</w:t>
            </w:r>
          </w:p>
          <w:p w14:paraId="3D0A1EC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9.图书借阅排行：支持显示自助借还设备上的图书借阅排行榜，包括排名、书名和借阅次数。</w:t>
            </w:r>
          </w:p>
          <w:p w14:paraId="4061625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10.首页配置：支持后台配置首页的全部内容，包括logo、轮播图、通知公告、应用模块等。模块顺序可自定义，并能够配置系统应用、网页以及第三方APP等类型。</w:t>
            </w:r>
          </w:p>
          <w:p w14:paraId="0D0A65F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11.待机图：支持配置待机图和等待时长，在设备长时间无操作后显示待机图。</w:t>
            </w:r>
          </w:p>
          <w:p w14:paraId="07F7FD4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12.设备设置：支持后台设置图书标签、读者证解析等内容。</w:t>
            </w:r>
          </w:p>
          <w:p w14:paraId="4A4015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13.凭条打印：支持打印借书、还书、办证凭条，并支持后台设置凭条要显示的字段，比如设备位置、读者姓名、读者账号等。</w:t>
            </w:r>
          </w:p>
          <w:p w14:paraId="3EA4F7C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14.查看设备信息：支持后台查看设备的机器码、Mac地址、版本号、在线状态等信息。</w:t>
            </w:r>
          </w:p>
          <w:p w14:paraId="1D1967D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15.读者隐私保护：具有保护读者隐私功能，启用后可隐藏读者部分信息。</w:t>
            </w:r>
          </w:p>
          <w:p w14:paraId="2FD8BA9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16.退出密码：支持后台设置退出APP密码，设置后可在设备端退出至系统桌面。</w:t>
            </w:r>
          </w:p>
          <w:p w14:paraId="348620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17.断网重连：设备断网时会主动重连，连上后恢复正常状态。</w:t>
            </w:r>
          </w:p>
          <w:p w14:paraId="4B37CFC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18.设备后台支持批量导入、导出图书加工信息、读者证加工信息，并可批量导入读者人脸信息。</w:t>
            </w:r>
          </w:p>
          <w:p w14:paraId="2D93D96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 离线还书：设备具备离线还书的功能，能够在断网情况下支持还书操作，联网后可及时上传还书记录。</w:t>
            </w:r>
          </w:p>
          <w:p w14:paraId="73D423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20.运行日志：设备支持自动记录当天的运行日志，支持通过后台下载设备日志。</w:t>
            </w:r>
          </w:p>
          <w:p w14:paraId="541395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21.语音提示：设备具备语音提示，可通过语音引导读者的借还书操作。</w:t>
            </w:r>
          </w:p>
          <w:p w14:paraId="1D14CC8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22.设备信息：支持在设备上查看机器码、Mac地址、本机IP、外网IP、客户端版本号等信息。</w:t>
            </w:r>
          </w:p>
          <w:p w14:paraId="0F73802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23.图书推荐：首页提供图书推荐模块，每天至少更新一本书，支持扫码阅读。</w:t>
            </w:r>
          </w:p>
          <w:p w14:paraId="647DB2A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24.自助办证记录：通过设备办理的读者证，支持通过后台查询办证记录。</w:t>
            </w:r>
          </w:p>
          <w:p w14:paraId="30C7E92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25.设备支持对接馆内管理系统的电子证，支持扫电子证登录。</w:t>
            </w:r>
          </w:p>
          <w:p w14:paraId="6FA6077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26.设备具备登录抓拍功能，可将登录时抓拍的图片将上传到平台。 </w:t>
            </w:r>
          </w:p>
          <w:p w14:paraId="648005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27.远程控制：可对终端进行远程重启、远程关机、同步时间、调节音量、远程设置定时开关机、远程截图等操作。</w:t>
            </w:r>
          </w:p>
          <w:p w14:paraId="24C5AA1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二、电子资源借阅系统:</w:t>
            </w:r>
          </w:p>
          <w:p w14:paraId="06633EF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 借还机内置≥3000种正版授权的epub格式电子图书且与原版图书保持原貌一致，如相关图片、目录等，每月定时更新≥150种热门电子图书。支持新书、热门图书标记功能，供读者参考。</w:t>
            </w:r>
          </w:p>
          <w:p w14:paraId="4202D67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2.★内置期刊资源，期刊种类≥200种，每月定期更新。期刊支持扫描并免费收藏。（本项须提供功能截图佐证）</w:t>
            </w:r>
          </w:p>
          <w:p w14:paraId="162F92A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 图书分类支持定制：可根据用户的需求定制一个图书分类，推荐相关的电子图书到自助借还机中展示。定制的图书也可以通过扫描二维码的方式下载至手机客户端中离线阅读。（本项须提供功能截图佐证）</w:t>
            </w:r>
          </w:p>
          <w:p w14:paraId="76D13FD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4.配套新书推荐栏目，每周更新，每周推送不低于7本。（每周新书推送，结合实事、节假日等针对不同主题，精选图书。）</w:t>
            </w:r>
          </w:p>
          <w:p w14:paraId="3A8FD36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5.电子资源借阅系统支持定制显示单位名称、logo、待机画面、二维码，可将单位的名称和logo配置到页面中。</w:t>
            </w:r>
          </w:p>
          <w:p w14:paraId="70DE0A7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6.提供≥5种不同风格的模版，供用户自行选择，随时更换模版以适应不同场合的需求。</w:t>
            </w:r>
          </w:p>
          <w:p w14:paraId="3BB3251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7.配套的手机端应具备横屏阅读，夜间模式转换，文字大小调整等功能。</w:t>
            </w:r>
          </w:p>
          <w:p w14:paraId="3D8C38C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8.手机客户端可保留相关阅读记录。</w:t>
            </w:r>
          </w:p>
          <w:p w14:paraId="2C96AE2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9.★手机客户端提供适合智能手机阅读的EPUB格式热门图书。图书支持全文下载，并保存在手机中。（本项须提供功能截图佐证）</w:t>
            </w:r>
          </w:p>
          <w:p w14:paraId="08E312C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10.手机客户端提供适合智能手机使用的学术视频。</w:t>
            </w:r>
          </w:p>
          <w:p w14:paraId="5E21C10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11.手机客户端提供有声读物资源，支持在线听书。</w:t>
            </w:r>
          </w:p>
          <w:p w14:paraId="3895B5F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三、技术参数： </w:t>
            </w:r>
          </w:p>
          <w:p w14:paraId="48041A1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1.尺寸（mm）：高≤1610，宽≤650，厚≤500。</w:t>
            </w:r>
          </w:p>
          <w:p w14:paraId="20661E3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2.工作频率：13.56MHz。</w:t>
            </w:r>
          </w:p>
          <w:p w14:paraId="55C655D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3.供电要求：AC220V，50Hz。</w:t>
            </w:r>
          </w:p>
          <w:p w14:paraId="6076FFC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4.屏幕尺寸：≥31.5寸，分辨率1920×1080，十点电容触摸。</w:t>
            </w:r>
          </w:p>
          <w:p w14:paraId="461DC6F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5.设备材质：采用冷轧钢板材质，表面钢化玻璃圆角处理，符合人体工程学设计。</w:t>
            </w:r>
          </w:p>
          <w:p w14:paraId="36F568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6.主机配置：Android 7.1 及以上操作系统。运行内存≥4G，系统存储≥32GB EMMC。</w:t>
            </w:r>
          </w:p>
          <w:p w14:paraId="503700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7.读者证读卡器：支持 ISO14443A、ISO14443B、IOS15693、ISO18092、Felica标准。</w:t>
            </w:r>
          </w:p>
          <w:p w14:paraId="67BCD73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8.图书读写器：支持ISO/IEC 15693 和18000-3M1 标准。</w:t>
            </w:r>
          </w:p>
          <w:p w14:paraId="36F8148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9.摄像头：≥500W像素，可以实现人脸识别认证，方便读者刷脸登录、借阅。</w:t>
            </w:r>
          </w:p>
          <w:p w14:paraId="512006D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10.扫码器：设备内置扫码器，支持二维码、条形码扫描。</w:t>
            </w:r>
          </w:p>
          <w:p w14:paraId="1F76E7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11.打印机：80mm热敏打印机。</w:t>
            </w:r>
          </w:p>
          <w:p w14:paraId="60A8AD2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12.联网方式：有线、wifi。</w:t>
            </w:r>
          </w:p>
          <w:p w14:paraId="1E2CF58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★须提供自助借还书机系统的软件著作权证书。</w:t>
            </w:r>
          </w:p>
        </w:tc>
        <w:tc>
          <w:tcPr>
            <w:tcW w:w="1024" w:type="dxa"/>
            <w:tcBorders>
              <w:top w:val="nil"/>
              <w:left w:val="nil"/>
              <w:bottom w:val="single" w:color="auto" w:sz="4" w:space="0"/>
              <w:right w:val="single" w:color="auto" w:sz="4" w:space="0"/>
            </w:tcBorders>
            <w:shd w:val="clear" w:color="auto" w:fill="auto"/>
            <w:vAlign w:val="center"/>
          </w:tcPr>
          <w:p w14:paraId="6C89B583">
            <w:pPr>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2台</w:t>
            </w:r>
          </w:p>
        </w:tc>
        <w:tc>
          <w:tcPr>
            <w:tcW w:w="611" w:type="dxa"/>
            <w:tcBorders>
              <w:top w:val="nil"/>
              <w:left w:val="nil"/>
              <w:bottom w:val="single" w:color="auto" w:sz="4" w:space="0"/>
              <w:right w:val="single" w:color="auto" w:sz="4" w:space="0"/>
            </w:tcBorders>
            <w:shd w:val="clear" w:color="auto" w:fill="auto"/>
            <w:vAlign w:val="center"/>
          </w:tcPr>
          <w:p w14:paraId="153E2861">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核心产品</w:t>
            </w:r>
          </w:p>
        </w:tc>
      </w:tr>
      <w:tr w14:paraId="06F84C47">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5FCAD9FE">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w:t>
            </w:r>
          </w:p>
        </w:tc>
        <w:tc>
          <w:tcPr>
            <w:tcW w:w="1184" w:type="dxa"/>
            <w:tcBorders>
              <w:top w:val="nil"/>
              <w:left w:val="nil"/>
              <w:bottom w:val="single" w:color="auto" w:sz="4" w:space="0"/>
              <w:right w:val="single" w:color="auto" w:sz="4" w:space="0"/>
            </w:tcBorders>
            <w:shd w:val="clear" w:color="auto" w:fill="auto"/>
            <w:vAlign w:val="center"/>
          </w:tcPr>
          <w:p w14:paraId="00321ADD">
            <w:pPr>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一体化馆员工作站</w:t>
            </w:r>
          </w:p>
        </w:tc>
        <w:tc>
          <w:tcPr>
            <w:tcW w:w="5476" w:type="dxa"/>
            <w:tcBorders>
              <w:top w:val="nil"/>
              <w:left w:val="nil"/>
              <w:bottom w:val="single" w:color="auto" w:sz="4" w:space="0"/>
              <w:right w:val="single" w:color="auto" w:sz="4" w:space="0"/>
            </w:tcBorders>
            <w:shd w:val="clear" w:color="auto" w:fill="auto"/>
            <w:vAlign w:val="center"/>
          </w:tcPr>
          <w:p w14:paraId="095D397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一、功能参数： </w:t>
            </w:r>
          </w:p>
          <w:p w14:paraId="416ACAE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1．支持RFID标签非接触式地进行阅读，有读取、写入、改写RFID标签的能力，支持图书馆流通资料的相关信息快速写入标签。</w:t>
            </w:r>
          </w:p>
          <w:p w14:paraId="0AD90E6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2．多种工作模式：馆员管理模式、读者自助模式两种工作模式。</w:t>
            </w:r>
          </w:p>
          <w:p w14:paraId="02B402F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3．图书标签管理：包含图书标签转化、图书标签读取、图书标签防盗、已转图书列表等功能。 </w:t>
            </w:r>
          </w:p>
          <w:p w14:paraId="789703A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4．图书标签转化：可按照ISO28560规范将图书条形码绑定并写入RFID标签内，同时支持将图书信息上传后台，支持操作记录的删除或导出的功能。支持离线转化或者在线转化两种工作模式。 </w:t>
            </w:r>
          </w:p>
          <w:p w14:paraId="7C6EA6F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5．图书标签读取：针对已进行标签转化的图书，可自动读取标签信息，可用来核对标签转换是否正常。支持ISO28560规范。</w:t>
            </w:r>
          </w:p>
          <w:p w14:paraId="26289D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6．图书标签防盗：自动读取图书RFID借还标志位(EAS)状态和AFI状态，支持批量修改RFID标签防盗信息的开启和关闭。</w:t>
            </w:r>
          </w:p>
          <w:p w14:paraId="5DC66B1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7．图书列表：可查询已转化标签的图书列表、删除选定图书标签，支持查找和删除已经转换过的标签，可通过“条码”、“RFID”、“题名”、“ISBN”等字段进行查找。支持将查询结果导出excel表格。</w:t>
            </w:r>
          </w:p>
          <w:p w14:paraId="5FDE62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8．读者证管理：包括读者证激活和读者证列表功能。</w:t>
            </w:r>
          </w:p>
          <w:p w14:paraId="7F4560A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9．读者证激活：可将读者基本信息写入读者证内，完成读者证激活操作，激活后的读者证可通过刷卡形式在自助设备上进行借还操作。 </w:t>
            </w:r>
          </w:p>
          <w:p w14:paraId="7B4F5D6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10．读者证列表：可获取已经激活的读者证列表、查看读者证对应的读者基本信息，可批量删除或导出读者证信息。</w:t>
            </w:r>
          </w:p>
          <w:p w14:paraId="2DBE9D5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11．借还管理：支持手工借书、手工还书。</w:t>
            </w:r>
          </w:p>
          <w:p w14:paraId="079FD51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手工借书：支持刷卡或者扫读者证条码两种方式识别读者信息，可显示读者在借图书列表信息，包括图书借阅日期和应还日期。支持对多本图书进行批量借书操作。借书同时可批量修改图书标签的防盗位信息，与配套安全门可联动开启/关闭报警功能。</w:t>
            </w:r>
          </w:p>
          <w:p w14:paraId="105FDF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13．手工还书：支持对多本图书进行批量借书操作。还书同时可批量修改图书标签的防盗位信息，与配套安全门可联动开启/关闭报警功能。</w:t>
            </w:r>
          </w:p>
          <w:p w14:paraId="4CB7078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14．层架标管理：支持层架标转化和已转化层架标列表功能。</w:t>
            </w:r>
          </w:p>
          <w:p w14:paraId="0BFDD57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15．层架标转化：支持层架标的创建和上传后台，层架标名称支持自定义命名。可删除或者导出操作记录。</w:t>
            </w:r>
          </w:p>
          <w:p w14:paraId="793FD1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16．层架标列表：可查询创建的层架标列表信息，支持多字段查询，可批量删除和导出层架标信息。</w:t>
            </w:r>
          </w:p>
          <w:p w14:paraId="3CD545C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17．系统设置：包括系统参数配置、SIP2接口测试、版本信息、语言选择、最小化和退出系统功能。</w:t>
            </w:r>
          </w:p>
          <w:p w14:paraId="7B49575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18．系统配置：可列出工作站设备当前工作模式下各种参数信息。</w:t>
            </w:r>
          </w:p>
          <w:p w14:paraId="1B471E4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19．SIP2接口测试：可对SIP2接口进行测试，方便借还过程中出现问题的排查。包括SIP2链接测试、读者查询、图书查询、借书、还书等功能。</w:t>
            </w:r>
          </w:p>
          <w:p w14:paraId="0AD07A0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20．版本信息：可列出当前工作站客户端软件版本号和对应设备硬件相关信息。支持客户端升级包下载，方便客户端升级。</w:t>
            </w:r>
          </w:p>
          <w:p w14:paraId="6ADFE4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21．语言选择：支持工作站软件客户端界面中、英文切换。</w:t>
            </w:r>
          </w:p>
          <w:p w14:paraId="1BE59AC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22．最小化：支持当前工作站客户端软件最小化到任务栏，最小化后可切换到其他应用，方便管理员进行其他操作。</w:t>
            </w:r>
          </w:p>
          <w:p w14:paraId="76469FA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23．读者自助模式：包括登录/借书、自助还书功能，无需管理员帮助，读者可自助进行借书和还书操作，自助模式每个界面都有倒计时功能。</w:t>
            </w:r>
          </w:p>
          <w:p w14:paraId="4ECA238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24．登录/借书：支持读者使用图书馆证号密码、刷卡、人脸识别（需配套摄像头硬件）等多种方式登录，登录后可查询读者个人信息和在借图书清单。</w:t>
            </w:r>
          </w:p>
          <w:p w14:paraId="113128C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25．自助借还书时支持多本图书批量借还。</w:t>
            </w:r>
          </w:p>
          <w:p w14:paraId="51DAAD5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26．读者自助模式具有安全保护功能，可防止用户非法退出客户端。管理员可通过合法方式退出客户端软件。</w:t>
            </w:r>
          </w:p>
          <w:p w14:paraId="2BB89A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二、技术参数： </w:t>
            </w:r>
          </w:p>
          <w:p w14:paraId="22B07C3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1.尺寸（mm）：≥523.5×426.2×450.2。</w:t>
            </w:r>
          </w:p>
          <w:p w14:paraId="77465B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2.屏幕尺寸：≥21.5寸电容触摸屏。</w:t>
            </w:r>
          </w:p>
          <w:p w14:paraId="1E18E76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3.外壳材料：铝型材+钣金。</w:t>
            </w:r>
          </w:p>
          <w:p w14:paraId="011E99D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4.供电要求：AC 100V-240V，50/60Hz。</w:t>
            </w:r>
          </w:p>
          <w:p w14:paraId="005AA2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5.整机功率：＜40W。</w:t>
            </w:r>
          </w:p>
          <w:p w14:paraId="133634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6.操作系统：windows 10。</w:t>
            </w:r>
          </w:p>
          <w:p w14:paraId="12D510B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7.主机配置：内存8G，存储256G（SSD），CPU为 I5 6200U。</w:t>
            </w:r>
          </w:p>
          <w:p w14:paraId="39C037D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8.工作频率：13.56MHz。</w:t>
            </w:r>
          </w:p>
          <w:p w14:paraId="1C63E58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9.读写距离：≥30CM。</w:t>
            </w:r>
          </w:p>
          <w:p w14:paraId="59540F7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10.射频功率：≥1.5W。</w:t>
            </w:r>
          </w:p>
          <w:p w14:paraId="14CDF7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11.图书读写器：内置中功率读写器一体机，支持ISO/IEC 15693 和18000-3M1 标准。</w:t>
            </w:r>
          </w:p>
          <w:p w14:paraId="756220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12.读者证读写器：支持 ISO14443A、ISO14443B、IOS15693、ISO18092、Felica 等协议。</w:t>
            </w:r>
          </w:p>
          <w:p w14:paraId="7A72306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13.摄像头：800W 定焦笔记本摄像头。</w:t>
            </w:r>
          </w:p>
          <w:p w14:paraId="12B857C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14.扫描仪：CMOS条码识读引擎(USB)。</w:t>
            </w:r>
          </w:p>
          <w:p w14:paraId="21CD78F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15.标签转换：支持将图书条码转换成RFID标签数据。</w:t>
            </w:r>
          </w:p>
          <w:p w14:paraId="7F4A37C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16.标签改写：支持改写RFID标签数据（如：EAS/AFI）。</w:t>
            </w:r>
          </w:p>
          <w:p w14:paraId="5C540F0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17.标签参数配置：可对标签所需参数进行自定义配置。</w:t>
            </w:r>
          </w:p>
          <w:p w14:paraId="5B63D07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18.通信接口：USB 2.0×2。</w:t>
            </w:r>
          </w:p>
          <w:p w14:paraId="0406353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19.网络：有线网络、WIFI。</w:t>
            </w:r>
          </w:p>
        </w:tc>
        <w:tc>
          <w:tcPr>
            <w:tcW w:w="1024" w:type="dxa"/>
            <w:tcBorders>
              <w:top w:val="nil"/>
              <w:left w:val="nil"/>
              <w:bottom w:val="single" w:color="auto" w:sz="4" w:space="0"/>
              <w:right w:val="single" w:color="auto" w:sz="4" w:space="0"/>
            </w:tcBorders>
            <w:shd w:val="clear" w:color="auto" w:fill="auto"/>
            <w:vAlign w:val="center"/>
          </w:tcPr>
          <w:p w14:paraId="40C3C569">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1台</w:t>
            </w:r>
          </w:p>
        </w:tc>
        <w:tc>
          <w:tcPr>
            <w:tcW w:w="611" w:type="dxa"/>
            <w:tcBorders>
              <w:top w:val="nil"/>
              <w:left w:val="nil"/>
              <w:bottom w:val="single" w:color="auto" w:sz="4" w:space="0"/>
              <w:right w:val="single" w:color="auto" w:sz="4" w:space="0"/>
            </w:tcBorders>
            <w:shd w:val="clear" w:color="auto" w:fill="auto"/>
            <w:vAlign w:val="center"/>
          </w:tcPr>
          <w:p w14:paraId="71E58D82">
            <w:pPr>
              <w:jc w:val="center"/>
              <w:rPr>
                <w:rFonts w:hint="eastAsia" w:asciiTheme="minorEastAsia" w:hAnsiTheme="minorEastAsia" w:eastAsiaTheme="minorEastAsia" w:cstheme="minorEastAsia"/>
                <w:sz w:val="24"/>
                <w:szCs w:val="24"/>
              </w:rPr>
            </w:pPr>
          </w:p>
        </w:tc>
      </w:tr>
      <w:tr w14:paraId="7A0ED379">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1D8DDCF3">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w:t>
            </w:r>
          </w:p>
        </w:tc>
        <w:tc>
          <w:tcPr>
            <w:tcW w:w="1184" w:type="dxa"/>
            <w:tcBorders>
              <w:top w:val="nil"/>
              <w:left w:val="nil"/>
              <w:bottom w:val="single" w:color="auto" w:sz="4" w:space="0"/>
              <w:right w:val="single" w:color="auto" w:sz="4" w:space="0"/>
            </w:tcBorders>
            <w:shd w:val="clear" w:color="auto" w:fill="auto"/>
            <w:vAlign w:val="center"/>
          </w:tcPr>
          <w:p w14:paraId="11FBB905">
            <w:pPr>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RFID安全门</w:t>
            </w:r>
          </w:p>
        </w:tc>
        <w:tc>
          <w:tcPr>
            <w:tcW w:w="5476" w:type="dxa"/>
            <w:tcBorders>
              <w:top w:val="nil"/>
              <w:left w:val="nil"/>
              <w:bottom w:val="single" w:color="auto" w:sz="4" w:space="0"/>
              <w:right w:val="single" w:color="auto" w:sz="4" w:space="0"/>
            </w:tcBorders>
            <w:shd w:val="clear" w:color="auto" w:fill="auto"/>
            <w:vAlign w:val="center"/>
          </w:tcPr>
          <w:p w14:paraId="378CF7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一、功能参数： </w:t>
            </w:r>
          </w:p>
          <w:p w14:paraId="31F1A71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1.支持多种报警检测模式：EAS.AFI.EAS+AFI.AFI+DSFID。</w:t>
            </w:r>
          </w:p>
          <w:p w14:paraId="25415A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2.非接触式的快速识别粘贴在流通资料上的RFID标签。</w:t>
            </w:r>
          </w:p>
          <w:p w14:paraId="39FA5C0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3.对图书馆内的印刷品.视听出版物.CD及DVD等流通资料进行安全扫描操作，不损坏粘贴在流通资料中的磁性介质的资料。</w:t>
            </w:r>
          </w:p>
          <w:p w14:paraId="3EF3BBE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4.设备系统需具有高侦测性能，能够进行三维监测，要求无误报，无漏报。</w:t>
            </w:r>
          </w:p>
          <w:p w14:paraId="56C70D2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5.具有音频和视觉报警信号，且信号源可设置，报警音量可调控。</w:t>
            </w:r>
          </w:p>
          <w:p w14:paraId="2BF357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6、安全门必须配备4.3寸液晶全彩显示屏，显示屏可以显示人流量数据.日期.时间等信息。</w:t>
            </w:r>
          </w:p>
          <w:p w14:paraId="1FE158B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7.多通道安全检测门具备单通道独立报警和提示功能。</w:t>
            </w:r>
          </w:p>
          <w:p w14:paraId="408F8E7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8.具备流量计数功能， 可统计人流量信息，方便汇总分析，数据可重置。</w:t>
            </w:r>
          </w:p>
          <w:p w14:paraId="6726EDC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9.系统设备需通过简单的硬件转换即可升级，紧跟最新技术发展。</w:t>
            </w:r>
          </w:p>
          <w:p w14:paraId="0090F9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10.人员流量统计：支持对进出读者人次的双向统计，进.出读者人次计数正确。</w:t>
            </w:r>
          </w:p>
          <w:p w14:paraId="74F6ECB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11.UID卡号读取.两路联动输出.支持环境电磁干扰检测功能.射频输出功率可调。</w:t>
            </w:r>
          </w:p>
          <w:p w14:paraId="78284B1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12.要求双蜂鸣器输出，实现区分不同事件。</w:t>
            </w:r>
          </w:p>
          <w:p w14:paraId="02104CE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13.每片主门须具备独立的配置模块，同一通道的两片门可选择主.辅门。</w:t>
            </w:r>
          </w:p>
          <w:p w14:paraId="49993F1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14.系统须具有故障报警提示功能。</w:t>
            </w:r>
          </w:p>
          <w:p w14:paraId="25D91A1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15.须标配遥控器，无须打开设备箱门，即可调节音量大小和切换读者流量显示。 </w:t>
            </w:r>
          </w:p>
          <w:p w14:paraId="301CDE2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16.要求最多可支持10片门并排使用，主门有四个扩展口（可接智能门禁，智能监控等设备实现联动）。</w:t>
            </w:r>
          </w:p>
          <w:p w14:paraId="3AE36A0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二、技术参数： </w:t>
            </w:r>
          </w:p>
          <w:p w14:paraId="16F880F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1.支持的工作频率13.56Mhz。</w:t>
            </w:r>
          </w:p>
          <w:p w14:paraId="33C190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2.支持多种防盗报警条件：EAS.AFI.DSFID.EAS+AFI。</w:t>
            </w:r>
          </w:p>
          <w:p w14:paraId="17B424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3.通道宽度可选90cm或120CM。 </w:t>
            </w:r>
          </w:p>
          <w:p w14:paraId="5E8CD9D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4.输出功率调整：1-8W可调。</w:t>
            </w:r>
          </w:p>
          <w:p w14:paraId="03E5F2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5.通信接口：以太网口RJ45（TCP/IP）.RS232。</w:t>
            </w:r>
          </w:p>
          <w:p w14:paraId="63B282D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6.内置声光报警提示功能。音量可调。 </w:t>
            </w:r>
          </w:p>
          <w:p w14:paraId="03E3095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7.良好的防冲撞机制，支持多标签识读。</w:t>
            </w:r>
          </w:p>
          <w:p w14:paraId="051CE6E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8.集成三维全向感应技术。</w:t>
            </w:r>
          </w:p>
          <w:p w14:paraId="102599F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9.集成红外传感器切割分析，实现人流量统计。</w:t>
            </w:r>
          </w:p>
          <w:p w14:paraId="56E10D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10.支持噪声检测（环境电磁干扰检测）。</w:t>
            </w:r>
          </w:p>
          <w:p w14:paraId="49174C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11.支持五路继电器联动输出。</w:t>
            </w:r>
          </w:p>
          <w:p w14:paraId="378C3C5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12.支持4.3寸显示屏显示人流量信息及设备状态。</w:t>
            </w:r>
          </w:p>
          <w:p w14:paraId="16849EC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13.工作温度：-20℃～+60℃。</w:t>
            </w:r>
          </w:p>
          <w:p w14:paraId="133B547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14.存贮温度：-30℃～+80℃。</w:t>
            </w:r>
          </w:p>
          <w:p w14:paraId="169BDD8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15.存贮湿度：10%~90%(无凝露)。</w:t>
            </w:r>
          </w:p>
          <w:p w14:paraId="23E240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16.单片功耗：额定20W，最大30W。</w:t>
            </w:r>
          </w:p>
          <w:p w14:paraId="0B166A7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17.工作电压：AC100～240V/50～60Hz。</w:t>
            </w:r>
          </w:p>
          <w:p w14:paraId="336E392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18.体积：≥1686×635×120mm。</w:t>
            </w:r>
          </w:p>
        </w:tc>
        <w:tc>
          <w:tcPr>
            <w:tcW w:w="1024" w:type="dxa"/>
            <w:tcBorders>
              <w:top w:val="nil"/>
              <w:left w:val="nil"/>
              <w:bottom w:val="single" w:color="auto" w:sz="4" w:space="0"/>
              <w:right w:val="single" w:color="auto" w:sz="4" w:space="0"/>
            </w:tcBorders>
            <w:shd w:val="clear" w:color="auto" w:fill="auto"/>
            <w:vAlign w:val="center"/>
          </w:tcPr>
          <w:p w14:paraId="5674A571">
            <w:pPr>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3片</w:t>
            </w:r>
          </w:p>
        </w:tc>
        <w:tc>
          <w:tcPr>
            <w:tcW w:w="611" w:type="dxa"/>
            <w:tcBorders>
              <w:top w:val="nil"/>
              <w:left w:val="nil"/>
              <w:bottom w:val="single" w:color="auto" w:sz="4" w:space="0"/>
              <w:right w:val="single" w:color="auto" w:sz="4" w:space="0"/>
            </w:tcBorders>
            <w:shd w:val="clear" w:color="auto" w:fill="auto"/>
            <w:vAlign w:val="center"/>
          </w:tcPr>
          <w:p w14:paraId="4F0C2261">
            <w:pPr>
              <w:jc w:val="center"/>
              <w:rPr>
                <w:rFonts w:hint="eastAsia" w:asciiTheme="minorEastAsia" w:hAnsiTheme="minorEastAsia" w:eastAsiaTheme="minorEastAsia" w:cstheme="minorEastAsia"/>
                <w:sz w:val="24"/>
                <w:szCs w:val="24"/>
              </w:rPr>
            </w:pPr>
          </w:p>
        </w:tc>
      </w:tr>
      <w:tr w14:paraId="210D5B80">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4F5BE29E">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w:t>
            </w:r>
          </w:p>
        </w:tc>
        <w:tc>
          <w:tcPr>
            <w:tcW w:w="1184" w:type="dxa"/>
            <w:tcBorders>
              <w:top w:val="nil"/>
              <w:left w:val="nil"/>
              <w:bottom w:val="single" w:color="auto" w:sz="4" w:space="0"/>
              <w:right w:val="single" w:color="auto" w:sz="4" w:space="0"/>
            </w:tcBorders>
            <w:shd w:val="clear" w:color="auto" w:fill="auto"/>
            <w:vAlign w:val="center"/>
          </w:tcPr>
          <w:p w14:paraId="293D4AC4">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升降式移动还书箱</w:t>
            </w:r>
          </w:p>
        </w:tc>
        <w:tc>
          <w:tcPr>
            <w:tcW w:w="5476" w:type="dxa"/>
            <w:tcBorders>
              <w:top w:val="nil"/>
              <w:left w:val="nil"/>
              <w:bottom w:val="single" w:color="auto" w:sz="4" w:space="0"/>
              <w:right w:val="single" w:color="auto" w:sz="4" w:space="0"/>
            </w:tcBorders>
            <w:shd w:val="clear" w:color="auto" w:fill="auto"/>
            <w:vAlign w:val="center"/>
          </w:tcPr>
          <w:p w14:paraId="0332BBD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一、功能要求：</w:t>
            </w:r>
          </w:p>
          <w:p w14:paraId="5FEF8D4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1.材质工艺：型材+板材+丝印+纤维。</w:t>
            </w:r>
          </w:p>
          <w:p w14:paraId="4098F62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2.造型新颖，可以很方便地融合到图书馆的家具设施和图书馆设备环境中。</w:t>
            </w:r>
          </w:p>
          <w:p w14:paraId="2605566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3.结构稳定，4个轮子皆为万向轮，方便载重推动和转向。</w:t>
            </w:r>
          </w:p>
          <w:p w14:paraId="68673CE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4.层板自带承重进深设计，层板表面采用固制木板或高密度板。</w:t>
            </w:r>
          </w:p>
          <w:p w14:paraId="0ADC9ED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5.还书箱为自动升降式，自带滑轮，便于移动和更换。</w:t>
            </w:r>
          </w:p>
          <w:p w14:paraId="435D552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6.车轮：带刹车耐磨超静音轮。</w:t>
            </w:r>
          </w:p>
          <w:p w14:paraId="369C1D3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7.每个车轮承重超过100kg</w:t>
            </w:r>
          </w:p>
          <w:p w14:paraId="4F67C27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8.滑轮可锁死，防止无意推动。</w:t>
            </w:r>
          </w:p>
          <w:p w14:paraId="2474058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二、技术参数: </w:t>
            </w:r>
          </w:p>
          <w:p w14:paraId="6F41D9E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1.尺寸：≥长700mm,宽600mm,高800mm。</w:t>
            </w:r>
          </w:p>
          <w:p w14:paraId="3EB3FC6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2.容量：≥150册。 </w:t>
            </w:r>
          </w:p>
          <w:p w14:paraId="0D83375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3.承重:≥200KG。</w:t>
            </w:r>
          </w:p>
        </w:tc>
        <w:tc>
          <w:tcPr>
            <w:tcW w:w="1024" w:type="dxa"/>
            <w:tcBorders>
              <w:top w:val="nil"/>
              <w:left w:val="nil"/>
              <w:bottom w:val="single" w:color="auto" w:sz="4" w:space="0"/>
              <w:right w:val="single" w:color="auto" w:sz="4" w:space="0"/>
            </w:tcBorders>
            <w:shd w:val="clear" w:color="auto" w:fill="auto"/>
            <w:vAlign w:val="center"/>
          </w:tcPr>
          <w:p w14:paraId="4A74F33A">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1台</w:t>
            </w:r>
          </w:p>
        </w:tc>
        <w:tc>
          <w:tcPr>
            <w:tcW w:w="611" w:type="dxa"/>
            <w:tcBorders>
              <w:top w:val="nil"/>
              <w:left w:val="nil"/>
              <w:bottom w:val="single" w:color="auto" w:sz="4" w:space="0"/>
              <w:right w:val="single" w:color="auto" w:sz="4" w:space="0"/>
            </w:tcBorders>
            <w:shd w:val="clear" w:color="auto" w:fill="auto"/>
            <w:vAlign w:val="center"/>
          </w:tcPr>
          <w:p w14:paraId="1834EF92">
            <w:pPr>
              <w:jc w:val="center"/>
              <w:rPr>
                <w:rFonts w:hint="eastAsia" w:asciiTheme="minorEastAsia" w:hAnsiTheme="minorEastAsia" w:eastAsiaTheme="minorEastAsia" w:cstheme="minorEastAsia"/>
                <w:sz w:val="24"/>
                <w:szCs w:val="24"/>
              </w:rPr>
            </w:pPr>
          </w:p>
        </w:tc>
      </w:tr>
      <w:tr w14:paraId="4CE201A1">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042254C2">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w:t>
            </w:r>
          </w:p>
        </w:tc>
        <w:tc>
          <w:tcPr>
            <w:tcW w:w="1184" w:type="dxa"/>
            <w:tcBorders>
              <w:top w:val="nil"/>
              <w:left w:val="nil"/>
              <w:bottom w:val="single" w:color="auto" w:sz="4" w:space="0"/>
              <w:right w:val="single" w:color="auto" w:sz="4" w:space="0"/>
            </w:tcBorders>
            <w:shd w:val="clear" w:color="auto" w:fill="auto"/>
            <w:vAlign w:val="center"/>
          </w:tcPr>
          <w:p w14:paraId="76122C99">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图书查阅机</w:t>
            </w:r>
          </w:p>
        </w:tc>
        <w:tc>
          <w:tcPr>
            <w:tcW w:w="5476" w:type="dxa"/>
            <w:tcBorders>
              <w:top w:val="nil"/>
              <w:left w:val="nil"/>
              <w:bottom w:val="single" w:color="auto" w:sz="4" w:space="0"/>
              <w:right w:val="single" w:color="auto" w:sz="4" w:space="0"/>
            </w:tcBorders>
            <w:shd w:val="clear" w:color="auto" w:fill="auto"/>
            <w:vAlign w:val="center"/>
          </w:tcPr>
          <w:p w14:paraId="625DCF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一、技术参数 显示性能：</w:t>
            </w:r>
          </w:p>
          <w:p w14:paraId="651C9B7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1.液晶屏：43寸LED 液晶屏。</w:t>
            </w:r>
          </w:p>
          <w:p w14:paraId="403D4FA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2.背光类型：LED。</w:t>
            </w:r>
          </w:p>
          <w:p w14:paraId="2ADD438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3.屏幕比例：16:9。</w:t>
            </w:r>
          </w:p>
          <w:p w14:paraId="6ED263D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4.分辨率：1920×1080。</w:t>
            </w:r>
          </w:p>
          <w:p w14:paraId="3925160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5.亮度：≥300cd/m2。</w:t>
            </w:r>
          </w:p>
          <w:p w14:paraId="4E26D29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6.对比度：≥1400:1。</w:t>
            </w:r>
          </w:p>
          <w:p w14:paraId="3E6E8FE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7.寿命：≥50000小时。</w:t>
            </w:r>
          </w:p>
          <w:p w14:paraId="287AFAE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8.可视角度：≥178°(V)/178°(H)。</w:t>
            </w:r>
          </w:p>
          <w:p w14:paraId="51560B7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9.触摸类型：电容触摸。</w:t>
            </w:r>
          </w:p>
          <w:p w14:paraId="1940CB4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二、硬件配置：</w:t>
            </w:r>
          </w:p>
          <w:p w14:paraId="2B42305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1.CPU处理器：≥ARM 六核。</w:t>
            </w:r>
          </w:p>
          <w:p w14:paraId="1D7B31A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2.操作系统：Android 7.1及以上。</w:t>
            </w:r>
          </w:p>
          <w:p w14:paraId="708DC21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3.运行内存：≥4GB。</w:t>
            </w:r>
          </w:p>
          <w:p w14:paraId="0747D5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4.系统存储：≥32GB。</w:t>
            </w:r>
          </w:p>
          <w:p w14:paraId="2D23C3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5.接口配置：RJ45×1。USB×2。电源×1。耳机输出×19。</w:t>
            </w:r>
          </w:p>
          <w:p w14:paraId="208CFB3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6.安装方式：卧式。</w:t>
            </w:r>
          </w:p>
          <w:p w14:paraId="176D96A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7.功率：≤200W。</w:t>
            </w:r>
          </w:p>
        </w:tc>
        <w:tc>
          <w:tcPr>
            <w:tcW w:w="1024" w:type="dxa"/>
            <w:tcBorders>
              <w:top w:val="nil"/>
              <w:left w:val="nil"/>
              <w:bottom w:val="single" w:color="auto" w:sz="4" w:space="0"/>
              <w:right w:val="single" w:color="auto" w:sz="4" w:space="0"/>
            </w:tcBorders>
            <w:shd w:val="clear" w:color="auto" w:fill="auto"/>
            <w:vAlign w:val="center"/>
          </w:tcPr>
          <w:p w14:paraId="1D5BE642">
            <w:pPr>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1台</w:t>
            </w:r>
          </w:p>
        </w:tc>
        <w:tc>
          <w:tcPr>
            <w:tcW w:w="611" w:type="dxa"/>
            <w:tcBorders>
              <w:top w:val="nil"/>
              <w:left w:val="nil"/>
              <w:bottom w:val="single" w:color="auto" w:sz="4" w:space="0"/>
              <w:right w:val="single" w:color="auto" w:sz="4" w:space="0"/>
            </w:tcBorders>
            <w:shd w:val="clear" w:color="auto" w:fill="auto"/>
            <w:vAlign w:val="center"/>
          </w:tcPr>
          <w:p w14:paraId="7B8046C6">
            <w:pPr>
              <w:jc w:val="center"/>
              <w:rPr>
                <w:rFonts w:hint="eastAsia" w:asciiTheme="minorEastAsia" w:hAnsiTheme="minorEastAsia" w:eastAsiaTheme="minorEastAsia" w:cstheme="minorEastAsia"/>
                <w:sz w:val="24"/>
                <w:szCs w:val="24"/>
              </w:rPr>
            </w:pPr>
          </w:p>
        </w:tc>
      </w:tr>
      <w:tr w14:paraId="631F5E6C">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28D932FB">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p>
        </w:tc>
        <w:tc>
          <w:tcPr>
            <w:tcW w:w="1184" w:type="dxa"/>
            <w:tcBorders>
              <w:top w:val="nil"/>
              <w:left w:val="nil"/>
              <w:bottom w:val="single" w:color="auto" w:sz="4" w:space="0"/>
              <w:right w:val="single" w:color="auto" w:sz="4" w:space="0"/>
            </w:tcBorders>
            <w:shd w:val="clear" w:color="auto" w:fill="auto"/>
            <w:vAlign w:val="center"/>
          </w:tcPr>
          <w:p w14:paraId="34E92679">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VR航空航天学习机</w:t>
            </w:r>
          </w:p>
        </w:tc>
        <w:tc>
          <w:tcPr>
            <w:tcW w:w="5476" w:type="dxa"/>
            <w:tcBorders>
              <w:top w:val="nil"/>
              <w:left w:val="nil"/>
              <w:bottom w:val="single" w:color="auto" w:sz="4" w:space="0"/>
              <w:right w:val="single" w:color="auto" w:sz="4" w:space="0"/>
            </w:tcBorders>
            <w:shd w:val="clear" w:color="auto" w:fill="auto"/>
            <w:vAlign w:val="center"/>
          </w:tcPr>
          <w:p w14:paraId="5BBDFF6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一、技术参数：</w:t>
            </w:r>
          </w:p>
          <w:p w14:paraId="6237873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1.图标：软件中包含的16节课程均有与之相对应的16个简易小图标，分门别类。</w:t>
            </w:r>
          </w:p>
          <w:p w14:paraId="6BD7826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2.纯净系统：体验全程为纯净版内容，无广告植入及弹窗，可根据类别进行内容筛选。</w:t>
            </w:r>
          </w:p>
          <w:p w14:paraId="73D7A1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软件内容：体验者可以使用该内容学习≥【航天奇遇记】、【嫦娥六号登月体验】、【火箭发射】、【航空航天知识】、【太阳系的奥秘】、【了解空间站】、【组装空间站】、【空间站交会对接】等16节课程。</w:t>
            </w:r>
          </w:p>
          <w:p w14:paraId="7A5EA0B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4.需提供科普教育类软著证书。</w:t>
            </w:r>
          </w:p>
          <w:p w14:paraId="0D7420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5.需每节课程提供≥1张场景体验截图。</w:t>
            </w:r>
          </w:p>
          <w:p w14:paraId="58C4C4D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6.需提供体验录屏视频</w:t>
            </w:r>
          </w:p>
          <w:p w14:paraId="768AE10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7.软件体验中至少需包含月球、火箭、空间站、太空舱、飞船、星球、飞机、太空、太阳系、展厅、小行星等场景模型。</w:t>
            </w:r>
          </w:p>
          <w:p w14:paraId="06DB71D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二、硬件参数：</w:t>
            </w:r>
          </w:p>
          <w:p w14:paraId="7DAAC4E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1.头显：Pico NEO3。</w:t>
            </w:r>
          </w:p>
          <w:p w14:paraId="1F15923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2.CPU：高通 XR2，8 核 64 位，主频 ≤2.84 GHz。</w:t>
            </w:r>
          </w:p>
          <w:p w14:paraId="6AC8A9C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3.GPU：Adreno 650，主频 587MHz。</w:t>
            </w:r>
          </w:p>
          <w:p w14:paraId="40FCE9E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4.RAM：6 GB LPDDR4x，2133 MHz。</w:t>
            </w:r>
          </w:p>
          <w:p w14:paraId="74D265E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5.ROM：256 GB，UFS 3.0。</w:t>
            </w:r>
          </w:p>
          <w:p w14:paraId="67ABDA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6.WIFI：Wi-Fi 6。</w:t>
            </w:r>
          </w:p>
          <w:p w14:paraId="1CE5729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7.蓝牙：5.1。</w:t>
            </w:r>
          </w:p>
          <w:p w14:paraId="18B76E7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8.屏幕：≥5.46英寸。</w:t>
            </w:r>
          </w:p>
          <w:p w14:paraId="79F64F0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9.分辨率：≥3664×1920。</w:t>
            </w:r>
          </w:p>
          <w:p w14:paraId="0DCEA5A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10.刷新率：≤90Hz。</w:t>
            </w:r>
          </w:p>
          <w:p w14:paraId="437753B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11.视场角：98°。</w:t>
            </w:r>
          </w:p>
          <w:p w14:paraId="3E80B40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12.光学模组：菲涅尔透镜。</w:t>
            </w:r>
          </w:p>
          <w:p w14:paraId="5536873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13.瞳距调节：支持。</w:t>
            </w:r>
          </w:p>
          <w:p w14:paraId="0CB17F6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14.尺寸：≥550×550×1300~1800mm 长宽高。</w:t>
            </w:r>
          </w:p>
          <w:p w14:paraId="1651D70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15.供电方式：直供电。</w:t>
            </w:r>
          </w:p>
          <w:p w14:paraId="549A1B7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16.升降方式：电动升降。</w:t>
            </w:r>
          </w:p>
          <w:p w14:paraId="6D640E6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17.水平观看角度：0~360 °。</w:t>
            </w:r>
          </w:p>
          <w:p w14:paraId="317CCA5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18.垂直观看角度：-50~+50 °。</w:t>
            </w:r>
          </w:p>
          <w:p w14:paraId="4A69D4D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19.总控开关：支持。</w:t>
            </w:r>
          </w:p>
          <w:p w14:paraId="5BDA429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三、软件参数：</w:t>
            </w:r>
          </w:p>
          <w:p w14:paraId="1D1F9A2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1.【航天奇遇记】：</w:t>
            </w:r>
          </w:p>
          <w:p w14:paraId="7AD7D92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软件要点：太空枪射击陨石，时空领航员，神州五号详细介绍，空间站完整结构。                                                                                                                                            软件描述：在浩渺且充满未知危险的宇宙中，驾驶着先进的宇宙星舰，穿过时空隧道，驶向拥有神秘时空之门的星球。</w:t>
            </w:r>
          </w:p>
          <w:p w14:paraId="018FBE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跨入闪烁着奇异光芒的时空之门，击碎袭来的危险陨石，穿越时空，来到酒泉卫星发射中心。</w:t>
            </w:r>
          </w:p>
          <w:p w14:paraId="2AC029C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在发射中心，了解神舟五号载人飞船的各个组成部分，坚固的逃逸塔、保护飞船的整流罩、强大的芯二级与芯一级发动机，以及不可或缺的助推器。亲自组装神州5号，展现出其雄伟的姿态。</w:t>
            </w:r>
          </w:p>
          <w:p w14:paraId="4314106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等待火箭发射的倒计时，火箭升空的震撼与激动传遍整个发射中心。</w:t>
            </w:r>
          </w:p>
          <w:p w14:paraId="0919E6D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时空之门再次出现，跨入时空之门，抵达2008年的空间站。</w:t>
            </w:r>
          </w:p>
          <w:p w14:paraId="15A3A08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跟随提示逐一了解空间站的内部构造，参观人类在太空中的伟大创举。</w:t>
            </w:r>
          </w:p>
          <w:p w14:paraId="6BF1B5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体验太空中失重的感觉，穿戴专业的航空服，随后舱门缓缓打开，体验出仓后的浩瀚太空。</w:t>
            </w:r>
          </w:p>
          <w:p w14:paraId="3044291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2.【登陆月球】：科普中国载人登月工程规划及模拟月球登陆过程。</w:t>
            </w:r>
          </w:p>
          <w:p w14:paraId="38CCE4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3.【火箭发射】：科普火箭相关知识点及模拟火箭发射过程。</w:t>
            </w:r>
          </w:p>
          <w:p w14:paraId="551F3D6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4.【航空航天知识】：介绍中国航空航天的发展历程和计划。</w:t>
            </w:r>
          </w:p>
          <w:p w14:paraId="4A8B270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5.【太阳系的奥秘】：介绍宇宙及八大行星相关知识点。</w:t>
            </w:r>
          </w:p>
          <w:p w14:paraId="60BB5B9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6.【了解空间站】：介绍空间站定义及相关知识点。</w:t>
            </w:r>
          </w:p>
          <w:p w14:paraId="38A9162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7.【组装空间站】：介绍空间站部件及对部件进行组装。</w:t>
            </w:r>
          </w:p>
          <w:p w14:paraId="0A0DF6F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8.【空间站交会对接】：控制飞船完成空间站交会对接。</w:t>
            </w:r>
          </w:p>
          <w:p w14:paraId="4B2C175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9.【太空行走】：空间站各个区域介绍及出仓体验。</w:t>
            </w:r>
          </w:p>
          <w:p w14:paraId="7F69AB2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10.【模拟飞行】：控制飞船模拟飞行。</w:t>
            </w:r>
          </w:p>
          <w:p w14:paraId="55E36D1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11.【航天虚拟展厅】：展示航空航天相关的展品和知识。</w:t>
            </w:r>
          </w:p>
          <w:p w14:paraId="648E52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12.【嫦娥六号登月体验】：在软件主界面，点击开始体验，选择体验选项（嫦娥六号介绍、嫦娥六号系统组成介绍、嫦娥六号飞行任务、嫦娥六号VR体验、航天知识小测验）。</w:t>
            </w:r>
          </w:p>
          <w:p w14:paraId="464527C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13.【星球漫游】：控制飞船行驶并采集“物质1号”。</w:t>
            </w:r>
          </w:p>
          <w:p w14:paraId="185A704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14.【穿越小行星】：控制飞船穿越密集的小行星带。</w:t>
            </w:r>
          </w:p>
          <w:p w14:paraId="3416AEC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15.【星座认知】：绘制星座样子，了解星座文化知识。</w:t>
            </w:r>
          </w:p>
          <w:p w14:paraId="291766E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16.【天文观测】：近距离观察学习天文知识。</w:t>
            </w:r>
          </w:p>
        </w:tc>
        <w:tc>
          <w:tcPr>
            <w:tcW w:w="1024" w:type="dxa"/>
            <w:tcBorders>
              <w:top w:val="nil"/>
              <w:left w:val="nil"/>
              <w:bottom w:val="single" w:color="auto" w:sz="4" w:space="0"/>
              <w:right w:val="single" w:color="auto" w:sz="4" w:space="0"/>
            </w:tcBorders>
            <w:shd w:val="clear" w:color="auto" w:fill="auto"/>
            <w:vAlign w:val="center"/>
          </w:tcPr>
          <w:p w14:paraId="5455063E">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1台</w:t>
            </w:r>
          </w:p>
        </w:tc>
        <w:tc>
          <w:tcPr>
            <w:tcW w:w="611" w:type="dxa"/>
            <w:tcBorders>
              <w:top w:val="nil"/>
              <w:left w:val="nil"/>
              <w:bottom w:val="single" w:color="auto" w:sz="4" w:space="0"/>
              <w:right w:val="single" w:color="auto" w:sz="4" w:space="0"/>
            </w:tcBorders>
            <w:shd w:val="clear" w:color="auto" w:fill="auto"/>
            <w:vAlign w:val="center"/>
          </w:tcPr>
          <w:p w14:paraId="3F959692">
            <w:pPr>
              <w:jc w:val="center"/>
              <w:rPr>
                <w:rFonts w:hint="eastAsia" w:asciiTheme="minorEastAsia" w:hAnsiTheme="minorEastAsia" w:eastAsiaTheme="minorEastAsia" w:cstheme="minorEastAsia"/>
                <w:sz w:val="24"/>
                <w:szCs w:val="24"/>
              </w:rPr>
            </w:pPr>
          </w:p>
        </w:tc>
      </w:tr>
      <w:tr w14:paraId="4B703697">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65E1C38B">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0</w:t>
            </w:r>
          </w:p>
        </w:tc>
        <w:tc>
          <w:tcPr>
            <w:tcW w:w="1184" w:type="dxa"/>
            <w:tcBorders>
              <w:top w:val="nil"/>
              <w:left w:val="nil"/>
              <w:bottom w:val="single" w:color="auto" w:sz="4" w:space="0"/>
              <w:right w:val="single" w:color="auto" w:sz="4" w:space="0"/>
            </w:tcBorders>
            <w:shd w:val="clear" w:color="auto" w:fill="auto"/>
            <w:vAlign w:val="center"/>
          </w:tcPr>
          <w:p w14:paraId="139E9C35">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VR科普设备</w:t>
            </w:r>
          </w:p>
        </w:tc>
        <w:tc>
          <w:tcPr>
            <w:tcW w:w="5476" w:type="dxa"/>
            <w:tcBorders>
              <w:top w:val="nil"/>
              <w:left w:val="nil"/>
              <w:bottom w:val="single" w:color="auto" w:sz="4" w:space="0"/>
              <w:right w:val="single" w:color="auto" w:sz="4" w:space="0"/>
            </w:tcBorders>
            <w:shd w:val="clear" w:color="auto" w:fill="auto"/>
            <w:vAlign w:val="center"/>
          </w:tcPr>
          <w:p w14:paraId="05C8F93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计算平台</w:t>
            </w:r>
          </w:p>
          <w:p w14:paraId="0390B4C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1)CPU：高通XR2</w:t>
            </w:r>
          </w:p>
          <w:p w14:paraId="3534598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2)内存6GB，闪存：256GB</w:t>
            </w:r>
          </w:p>
          <w:p w14:paraId="2C14A2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3)支持：Miracast，支持无线串流Steam VR</w:t>
            </w:r>
          </w:p>
          <w:p w14:paraId="6BD0DFF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显示</w:t>
            </w:r>
          </w:p>
          <w:p w14:paraId="21D8F47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1)屏幕5.5英寸</w:t>
            </w:r>
          </w:p>
          <w:p w14:paraId="591E750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2)分辨率4K级分辨率，3664：✕1920，PPI：773</w:t>
            </w:r>
          </w:p>
          <w:p w14:paraId="31DD708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3)刷新率72Hz/90Hz</w:t>
            </w:r>
          </w:p>
          <w:p w14:paraId="45F64D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光学</w:t>
            </w:r>
          </w:p>
          <w:p w14:paraId="0D8519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1)视场角98°，菲涅尔镜片</w:t>
            </w:r>
          </w:p>
          <w:p w14:paraId="73C07DA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2)护眼模式通过：TUV：低蓝光认证，一键开启防蓝光模式</w:t>
            </w:r>
          </w:p>
          <w:p w14:paraId="284E23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4)兼容佩戴眼镜，瞳距调节默认位置：63.5mm，三档位物理调节</w:t>
            </w:r>
          </w:p>
          <w:p w14:paraId="402FF24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传感器</w:t>
            </w:r>
          </w:p>
          <w:p w14:paraId="600DC7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1)头盔：9轴传感器，实现头部精准：6DoF</w:t>
            </w:r>
          </w:p>
          <w:p w14:paraId="4199F3A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2)头盔：P-Sensor：人脸佩戴感应，用于屏幕休眠控制</w:t>
            </w:r>
          </w:p>
          <w:p w14:paraId="2618C3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交互</w:t>
            </w:r>
          </w:p>
          <w:p w14:paraId="6EF950C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1)头部空间定位全新自研 Inside-Out 房间级大空间追踪算法</w:t>
            </w:r>
          </w:p>
          <w:p w14:paraId="23B543C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2)手柄6DoF 体感手柄 ✕2</w:t>
            </w:r>
          </w:p>
          <w:p w14:paraId="7BA308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设计与人体工程</w:t>
            </w:r>
          </w:p>
          <w:p w14:paraId="40C779F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1)重量不含绑带 395g；整机 620g</w:t>
            </w:r>
          </w:p>
          <w:p w14:paraId="76C8A7A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2)自适应松紧，软质侧绑</w:t>
            </w:r>
          </w:p>
          <w:p w14:paraId="2C92691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电源</w:t>
            </w:r>
          </w:p>
          <w:p w14:paraId="0C86E8A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1)电池容量5300mAh，连续使用时间 2.5～3 小时</w:t>
            </w:r>
          </w:p>
          <w:p w14:paraId="41522C1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1.图标：软件中包含的240节课程均有与之相对应的240个简易小图标，分门别类。</w:t>
            </w:r>
          </w:p>
          <w:p w14:paraId="1F1F2D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2.纯净系统：体验全程为纯净版内容，无广告植入及弹窗，可根据类别进行内容筛选。</w:t>
            </w:r>
          </w:p>
          <w:p w14:paraId="2EC8F6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软件内容：体验者可以使用该内容学习不少于【历史】、【语文】、【数学】、【爱党爱国】、【生物】、【地理】、【物理】等37大类类别以及不少于【中国传统文化】、【四大发明】、【强渡大渡河】、【抗日战争纪念】、【抗美援朝】、【秦朝】、【唐朝】、【清朝】、【国旗】、【国徽】、【升旗体验】、【国防教育】、【民族团结】、【认识能量】、【组装简易发电机】、【导体和非导体实验】、【热空气上升实验】、【动物细胞与植物细胞】、【人体系统探秘】、【狮子】、【针叶树】、【自然灾害之火山】、【心理知识学习】、【太阳系的奥秘】、【人民教师】等240节课程。</w:t>
            </w:r>
          </w:p>
          <w:p w14:paraId="618DC40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4.需提供科普教育类软著证书。</w:t>
            </w:r>
          </w:p>
          <w:p w14:paraId="7D33F2A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5.需每节课程提供不少于1张场景体验截图。</w:t>
            </w:r>
          </w:p>
          <w:p w14:paraId="1904BF0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6.需提供体验录屏视频</w:t>
            </w:r>
          </w:p>
          <w:p w14:paraId="5519A3A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软件体验中至少需包含红色展厅、历史人物、红军长征、国旗、天安门、导弹、核弹、人造卫星、联合国大会、载人航天、青藏铁路、福娃、鸟巢、辽宁舰、北斗卫星导航、雪山、草地、渡河、抗日战争纪念馆、国防教育馆、航天教育馆、教室、公交站牌、河边、实验室、实验器材模型、实验器材组装、细胞模型、人体结构、太阳系、火山、地震、星球、能源、磁体等场景模型。</w:t>
            </w:r>
          </w:p>
          <w:p w14:paraId="6267E9D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软件参数</w:t>
            </w:r>
          </w:p>
          <w:p w14:paraId="60B2CC6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1.通过智能语音系统、虚拟仿真引擎、三维模拟等技术，引导体验者体验不少于240节课程，包括：</w:t>
            </w:r>
          </w:p>
          <w:p w14:paraId="7CC4FBF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1）【文化自信】</w:t>
            </w:r>
          </w:p>
          <w:p w14:paraId="5818C78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①中国传统文化：通过建筑、文学等五个方面介绍中国传统文化。</w:t>
            </w:r>
          </w:p>
          <w:p w14:paraId="1C6C82C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②现代科技：从人工智能、新能源、新四大发明进行介绍。</w:t>
            </w:r>
          </w:p>
          <w:p w14:paraId="116548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③航空航天：介绍航空航天知识与天文观测科普。</w:t>
            </w:r>
          </w:p>
          <w:p w14:paraId="35E594B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④国防军事：介绍国防教育与军事发展现代武器。</w:t>
            </w:r>
          </w:p>
          <w:p w14:paraId="1176750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⑤四大发明：介绍四大发明的相关知识。</w:t>
            </w:r>
          </w:p>
          <w:p w14:paraId="7061ED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2）【红色历史故事】</w:t>
            </w:r>
          </w:p>
          <w:p w14:paraId="444EC6C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①爬雪山：介绍长征事件时背景，从6个方面模拟爬雪山的场景。</w:t>
            </w:r>
          </w:p>
          <w:p w14:paraId="139E901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②过草地：红军过草地行军视角全景体验。</w:t>
            </w:r>
          </w:p>
          <w:p w14:paraId="209BD7B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③强渡大渡河：模拟大渡河事件以及战争的意义。</w:t>
            </w:r>
          </w:p>
          <w:p w14:paraId="0C482F4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④抗美援朝展厅：模拟抗美援朝事件以及战争的意义。</w:t>
            </w:r>
          </w:p>
          <w:p w14:paraId="4D6A87F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⑤抗日战争纪念：展示抗日战争相关的展品和知识。</w:t>
            </w:r>
          </w:p>
          <w:p w14:paraId="283AEAD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⑥党员宣誓：模拟党员宣誓过程，可以与虚拟场景进行互动，完成各种宣誓任务和挑战。</w:t>
            </w:r>
          </w:p>
          <w:p w14:paraId="7E64781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3）【四史】</w:t>
            </w:r>
          </w:p>
          <w:p w14:paraId="27D9A5B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①党史：学习中国共产党的历史事件。</w:t>
            </w:r>
          </w:p>
          <w:p w14:paraId="540901B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②新中国史：学习中国共产党推进建设新中国的实践史。</w:t>
            </w:r>
          </w:p>
          <w:p w14:paraId="4F9D7A4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③改革开放史：观看改革开放的介绍视频。</w:t>
            </w:r>
          </w:p>
          <w:p w14:paraId="09EFA3E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④社会主义发展史：学习中国共产党对社会主义发展史的积极意义。</w:t>
            </w:r>
          </w:p>
          <w:p w14:paraId="59D04FD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4）【博物馆】</w:t>
            </w:r>
          </w:p>
          <w:p w14:paraId="66B1647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①秦朝：还原秦朝场景，介绍秦朝历史。</w:t>
            </w:r>
          </w:p>
          <w:p w14:paraId="7007408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②汉朝：还原汉朝场景，介绍汉朝历史。</w:t>
            </w:r>
          </w:p>
          <w:p w14:paraId="51E0708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③隋朝：还原隋朝场景，介绍隋朝历史。</w:t>
            </w:r>
          </w:p>
          <w:p w14:paraId="524730E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④唐朝：还原唐朝场景，介绍唐朝历史。</w:t>
            </w:r>
          </w:p>
          <w:p w14:paraId="1625221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⑤宋朝：还原宋朝场景，介绍宋朝历史，以岳飞视角征战沙场。</w:t>
            </w:r>
          </w:p>
          <w:p w14:paraId="1AB85FF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⑥明朝：还原明朝场景，介绍明朝历史，以郑和视角下西洋。</w:t>
            </w:r>
          </w:p>
          <w:p w14:paraId="5C7497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⑦清朝：还原清朝场景，介绍清朝历史。</w:t>
            </w:r>
          </w:p>
          <w:p w14:paraId="700F766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5）【古诗文】</w:t>
            </w:r>
          </w:p>
          <w:p w14:paraId="19D890C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①古诗小游戏：10道古诗词体，在文字堆中组成一句古诗。</w:t>
            </w:r>
          </w:p>
          <w:p w14:paraId="6FF36AD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②爱莲说：置身于清幽雅致的江南水乡，穿梭于莲叶田田之间，伸手触碰，就能感受到娇嫩的莲花花瓣，深度理解古代文学魅力。</w:t>
            </w:r>
          </w:p>
          <w:p w14:paraId="4C7FF43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③天净沙秋思：置身于边疆，体验诗句中边塞的荒凉与思乡之情。</w:t>
            </w:r>
          </w:p>
          <w:p w14:paraId="23EF876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④桃花源记：切身化作渔夫，走进桃花源，感受古代文学笔下的每一处风景与人文。</w:t>
            </w:r>
          </w:p>
          <w:p w14:paraId="57377A6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⑤成语填空：10道成语填空，选项中选正确的文字。</w:t>
            </w:r>
          </w:p>
          <w:p w14:paraId="1919F5E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6）【几何图形认知】</w:t>
            </w:r>
          </w:p>
          <w:p w14:paraId="7C3C8D9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①几何图形认知:沉浸式感受几何图形的魅力，深度了解不同立体图像的横切面、计算公式等知识点。</w:t>
            </w:r>
          </w:p>
          <w:p w14:paraId="3B68918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7）【知识科普】</w:t>
            </w:r>
          </w:p>
          <w:p w14:paraId="0A5EBA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①认识磁力:介绍磁体相关知识并通过观察认识磁场。 </w:t>
            </w:r>
          </w:p>
          <w:p w14:paraId="5731A16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②认识能量:介绍能量相关知识及不同的能量类型。 </w:t>
            </w:r>
          </w:p>
          <w:p w14:paraId="7D019E1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③可再生能源:介绍4个可再生能源相关知识。 </w:t>
            </w:r>
          </w:p>
          <w:p w14:paraId="4AC4FE0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④组装电铃:通过组装电铃实验认识生活中电磁体的应用。 </w:t>
            </w:r>
          </w:p>
          <w:p w14:paraId="115E764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⑤组装电磁铁:进行电磁铁电路的组装。 </w:t>
            </w:r>
          </w:p>
          <w:p w14:paraId="4545A9D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⑥组装简易发电机:组装一台简易的发电机模型。 </w:t>
            </w:r>
          </w:p>
          <w:p w14:paraId="260B931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8）【物理实验】</w:t>
            </w:r>
          </w:p>
          <w:p w14:paraId="425BCAB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①电磁感应实验:通过实验认识电磁感应现象及生活中的应用。 </w:t>
            </w:r>
          </w:p>
          <w:p w14:paraId="3E5F8F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②导体和非导体实验:通过实验认识导体及非导体。 </w:t>
            </w:r>
          </w:p>
          <w:p w14:paraId="13F3A4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③光沿直线传播实验:通过实验感受光的直线传播。 </w:t>
            </w:r>
          </w:p>
          <w:p w14:paraId="36618F6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④制作指南针实验:通过实验感受磁化后形成指南针。 </w:t>
            </w:r>
          </w:p>
          <w:p w14:paraId="3735B54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⑤利用太阳辨别方向:通过户外实验利用太阳辨别方向。 </w:t>
            </w:r>
          </w:p>
          <w:p w14:paraId="19B314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⑥热空气上升实验:模拟热空气上升实验及知识解析。 </w:t>
            </w:r>
          </w:p>
          <w:p w14:paraId="766E370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⑦模拟降雨实验:模拟降雨实验及知识解析。 </w:t>
            </w:r>
          </w:p>
          <w:p w14:paraId="74A9963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⑧简单电路实验:通过实验了解灯泡电路形成的原理。 </w:t>
            </w:r>
          </w:p>
          <w:p w14:paraId="5DA22FD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⑨测量物体运动的平均速度:测量物体运动的平均速度实验。 </w:t>
            </w:r>
          </w:p>
          <w:p w14:paraId="6FF8B87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⑩探究音调和频率的关系:通过拨动尺子来探究音调和频率的关系。 </w:t>
            </w:r>
          </w:p>
          <w:p w14:paraId="7F5A87B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⑪探索光的反射频率实验:探索光的反射频率实验。 </w:t>
            </w:r>
          </w:p>
          <w:p w14:paraId="0CE85CE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⑫探究水沸腾时温度的变化规律:探究水沸腾时温度的变化规律实验。 </w:t>
            </w:r>
          </w:p>
          <w:p w14:paraId="452A4B9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⑬连接一个闭合的电路:连接一个闭合的电路实验。 </w:t>
            </w:r>
          </w:p>
          <w:p w14:paraId="1D601FF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⑭练习使用电流表:练习使用电流表。 </w:t>
            </w:r>
          </w:p>
          <w:p w14:paraId="1690507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⑮伏安法测电阻:利用伏安法测电阻的实验。 </w:t>
            </w:r>
          </w:p>
          <w:p w14:paraId="03E0E14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⑯能量守恒：学习何为能量守恒，能量守恒都体现在那些方面。</w:t>
            </w:r>
          </w:p>
          <w:p w14:paraId="5633EE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⑰粉尘爆炸：利用实验器材，学习粉尘爆炸的原理与威力。</w:t>
            </w:r>
          </w:p>
          <w:p w14:paraId="180CFED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⑱升华凝华：亲眼目睹干冰迅速升华，白色烟雾弥漫四周，感受固态直接向气态转变。</w:t>
            </w:r>
          </w:p>
          <w:p w14:paraId="1F903DD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9）【化学实验】</w:t>
            </w:r>
          </w:p>
          <w:p w14:paraId="10928E0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①水的沸腾:水的沸腾实验。 </w:t>
            </w:r>
          </w:p>
          <w:p w14:paraId="2536D7F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②蜡烛火焰各层温度的探究:蜡烛火焰各层温度的探究。 </w:t>
            </w:r>
          </w:p>
          <w:p w14:paraId="284F56C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③高锰酸钾制氧:高锰酸钾制氧实验。 </w:t>
            </w:r>
          </w:p>
          <w:p w14:paraId="219B75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④制取二氧化碳:制取二氧化碳实验。 </w:t>
            </w:r>
          </w:p>
          <w:p w14:paraId="5CD2DB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⑤氧气与二氧化碳的对比实验:氧气与二氧化碳的对比实验。 </w:t>
            </w:r>
          </w:p>
          <w:p w14:paraId="3D0C0B9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⑥过滤水:过滤水的实验。 </w:t>
            </w:r>
          </w:p>
          <w:p w14:paraId="6A7AD33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⑦不同溶液酸碱度测试:不同溶液酸碱度测试的实验。 </w:t>
            </w:r>
          </w:p>
          <w:p w14:paraId="580F205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⑧酸碱中和实验:酸碱中和实验。</w:t>
            </w:r>
          </w:p>
          <w:p w14:paraId="5EF48CA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⑨焰色反应： 通过燃烧产生的火焰颜色区分其中不同的化合物，并学习如何辨别氢氧化钠，最后可以观看通过化合物制作出不同颜色的烟花盛宴。</w:t>
            </w:r>
          </w:p>
          <w:p w14:paraId="57BF12C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10）【细胞】</w:t>
            </w:r>
          </w:p>
          <w:p w14:paraId="2092DB3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①认识细胞：介绍细胞相关知识及原核细胞和真核细胞。</w:t>
            </w:r>
          </w:p>
          <w:p w14:paraId="737727A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②动物细胞与植物细胞：介绍原核细胞和真核细胞及结构展示。</w:t>
            </w:r>
          </w:p>
          <w:p w14:paraId="3656AA3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③认识草履虫：介绍草履虫及结构展示并讲解这些结构发挥的作用。</w:t>
            </w:r>
          </w:p>
          <w:p w14:paraId="687502D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④腔肠动物：介绍那些生物属于腔肠动物及结构展示并介绍它们各个器官发挥怎么的作用。</w:t>
            </w:r>
          </w:p>
          <w:p w14:paraId="34AC82A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⑤认识植物细胞：介绍植物细胞及结构展示并讲解这些结构发挥的作用。</w:t>
            </w:r>
          </w:p>
          <w:p w14:paraId="3064044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11）【人体】</w:t>
            </w:r>
          </w:p>
          <w:p w14:paraId="19F4D90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①人体系统探秘：查看不同的人体系统及相关介绍。</w:t>
            </w:r>
          </w:p>
          <w:p w14:paraId="1759E41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12）【血液】</w:t>
            </w:r>
          </w:p>
          <w:p w14:paraId="3774DE9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①血液成分与形成：科普血液的成分及介绍血液的形成。</w:t>
            </w:r>
          </w:p>
          <w:p w14:paraId="72E46C9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②血型知识科普：血管内部场景下，介绍血型相关知识点。</w:t>
            </w:r>
          </w:p>
          <w:p w14:paraId="1028362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③输血知识科普：学习输血相关知识。</w:t>
            </w:r>
          </w:p>
          <w:p w14:paraId="4D95542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④献血体验：科普献血标准及模拟献血过程。</w:t>
            </w:r>
          </w:p>
          <w:p w14:paraId="3D6D1FA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13）【动物】</w:t>
            </w:r>
          </w:p>
          <w:p w14:paraId="706D594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①大象：介绍大象知识并观察大象形态。</w:t>
            </w:r>
          </w:p>
          <w:p w14:paraId="530C916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②河马：介绍河马知识并观察河马形态。</w:t>
            </w:r>
          </w:p>
          <w:p w14:paraId="2DA22BE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③狮子：介绍狮子知识并观察狮子形态。</w:t>
            </w:r>
          </w:p>
          <w:p w14:paraId="7918781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④山羊：介绍山羊知识并观察山羊形态。</w:t>
            </w:r>
          </w:p>
          <w:p w14:paraId="1D516C6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⑤乌贼：介绍乌贼知识并观察乌贼形态。</w:t>
            </w:r>
          </w:p>
          <w:p w14:paraId="50A75C9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⑥水母：介绍水母知识并观察水母形态。</w:t>
            </w:r>
          </w:p>
          <w:p w14:paraId="126CB92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⑦鳄鱼：介绍鳄鱼知识并观察鳄鱼形态。</w:t>
            </w:r>
          </w:p>
          <w:p w14:paraId="7FEF2E3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⑧霸王龙：介绍霸王龙知识并观察霸王龙形态。</w:t>
            </w:r>
          </w:p>
          <w:p w14:paraId="7C9EC1C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⑨翼龙：介绍翼龙知识并观察翼龙形态。</w:t>
            </w:r>
          </w:p>
          <w:p w14:paraId="3B01D1C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⑩三角恐龙：介绍三角恐龙知识并观察三角恐龙形态。</w:t>
            </w:r>
          </w:p>
          <w:p w14:paraId="4F29BF3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⑪腕龙：介绍蜿龙知识并观察蜿龙形态。</w:t>
            </w:r>
          </w:p>
          <w:p w14:paraId="086A9B8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⑫窃蛋龙：介绍窃蛋龙知识并观察窃蛋龙形态。</w:t>
            </w:r>
          </w:p>
          <w:p w14:paraId="1D6A2B2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⑬副栉龙：介绍副栉龙知识并观察副栉龙形态。</w:t>
            </w:r>
          </w:p>
          <w:p w14:paraId="2E3324D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⑭剑龙：介绍剑龙知识并观察剑龙形态。</w:t>
            </w:r>
          </w:p>
          <w:p w14:paraId="239BEC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⑮鲨鱼：介绍鲨鱼知识并观察鲨鱼形态。</w:t>
            </w:r>
          </w:p>
          <w:p w14:paraId="0F6B83B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⑯鲸鱼：介绍鲸鱼知识并观察鲸鱼形态。</w:t>
            </w:r>
          </w:p>
          <w:p w14:paraId="50E4E26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⑰蜜蜂：介绍蜜蜂知识并观察蜜蜂形态。</w:t>
            </w:r>
          </w:p>
          <w:p w14:paraId="4CBBA8E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⑱蜻蜓：介绍蜻蜓知识并观察蜻蜓形态。</w:t>
            </w:r>
          </w:p>
          <w:p w14:paraId="769B4D6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⑲苍蝇：介绍苍蝇知识并观察苍蝇形态。</w:t>
            </w:r>
          </w:p>
          <w:p w14:paraId="6176376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⑳蚊子：介绍蚊子知识并观察蚊子形态。</w:t>
            </w:r>
          </w:p>
          <w:p w14:paraId="19621BB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㉑乌鸦：介绍乌鸦知识并观察乌鸦形态。</w:t>
            </w:r>
          </w:p>
          <w:p w14:paraId="05D312E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㉒鹰：介绍鹰知识并观察鹰形态。</w:t>
            </w:r>
          </w:p>
          <w:p w14:paraId="40BB5AA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㉓猫头鹰：介绍猫头鹰知识并观察猫头鹰形态。</w:t>
            </w:r>
          </w:p>
          <w:p w14:paraId="67AF525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㉔海鸥：介绍海鸥知识并观察海鸥形态。</w:t>
            </w:r>
          </w:p>
          <w:p w14:paraId="00CA13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㉕麻雀：介绍麻雀知识并观察麻雀形态。</w:t>
            </w:r>
          </w:p>
          <w:p w14:paraId="7D7435C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14）【植物】</w:t>
            </w:r>
          </w:p>
          <w:p w14:paraId="6B40E95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①荷花：介绍荷花知识并观察荷花形态。</w:t>
            </w:r>
          </w:p>
          <w:p w14:paraId="7D44A5C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②针叶树：介绍针叶树知识并观察针叶树形态。</w:t>
            </w:r>
          </w:p>
          <w:p w14:paraId="65865B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③金鱼藻：介绍金鱼藻知识并观察金鱼藻形态。</w:t>
            </w:r>
          </w:p>
          <w:p w14:paraId="3539FF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④蔷薇：介绍蔷薇知识并观察蔷薇形态。</w:t>
            </w:r>
          </w:p>
          <w:p w14:paraId="230E1AD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⑤竹子：介绍竹子知识并观察竹子形态。</w:t>
            </w:r>
          </w:p>
          <w:p w14:paraId="748E55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⑥向日葵：介绍向日葵知识并观察向日葵形态。</w:t>
            </w:r>
          </w:p>
          <w:p w14:paraId="13986AB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⑦小麦：介绍小麦知识并观察小麦形态。</w:t>
            </w:r>
          </w:p>
          <w:p w14:paraId="790C2B0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⑧樱桃：介绍樱桃知识并观察樱桃形态。</w:t>
            </w:r>
          </w:p>
          <w:p w14:paraId="4AE0886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⑨玉米：介绍玉米知识并观察玉米形态。</w:t>
            </w:r>
          </w:p>
          <w:p w14:paraId="28D8E02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⑩剑蕨：介绍剑蕨知识并观察剑蕨形态。</w:t>
            </w:r>
          </w:p>
          <w:p w14:paraId="690C6C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⑪荚果蕨：介绍荚果蕨知识并观察荚果蕨形态。</w:t>
            </w:r>
          </w:p>
          <w:p w14:paraId="4D8606F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⑫黑藻：介绍黑藻知识并观察黑藻形态。</w:t>
            </w:r>
          </w:p>
          <w:p w14:paraId="33340DD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⑬珊瑚藻：介绍珊瑚藻知识并观察珊瑚藻形态。</w:t>
            </w:r>
          </w:p>
          <w:p w14:paraId="29C9BDB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⑭海藻：介绍海藻知识并观察海藻形态。</w:t>
            </w:r>
          </w:p>
          <w:p w14:paraId="270872C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15）【地理】</w:t>
            </w:r>
          </w:p>
          <w:p w14:paraId="07E3E52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①太阳系：认识太阳系的构成及其所占有的空间领域。</w:t>
            </w:r>
          </w:p>
          <w:p w14:paraId="10A9319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②地震：介绍地震的强度及其他相关知识。</w:t>
            </w:r>
          </w:p>
          <w:p w14:paraId="76E3110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③火山：介绍火山的构造及其他相关知识。</w:t>
            </w:r>
          </w:p>
          <w:p w14:paraId="5865799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16）【地震前兆】</w:t>
            </w:r>
          </w:p>
          <w:p w14:paraId="2D1758C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①地下水异常：通过观察水井查看地下水异常表现。</w:t>
            </w:r>
          </w:p>
          <w:p w14:paraId="6A53D05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②生物异常：模拟动物在地震来临前行为异常表现。</w:t>
            </w:r>
          </w:p>
          <w:p w14:paraId="4AEB2AD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③天气异常：模拟地震前天气异常表现。</w:t>
            </w:r>
          </w:p>
          <w:p w14:paraId="43E0DF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④地光异常：模拟地震前兆地光异常表现。</w:t>
            </w:r>
          </w:p>
          <w:p w14:paraId="582DD4A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⑤地声异常：模拟地震前兆地声异常表现。</w:t>
            </w:r>
          </w:p>
          <w:p w14:paraId="1BCB6A6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⑥地气异常：模拟地震前兆地声异常表现。</w:t>
            </w:r>
          </w:p>
          <w:p w14:paraId="735C52D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⑦地鼓异常：模拟地震前兆地鼓异常表现。</w:t>
            </w:r>
          </w:p>
          <w:p w14:paraId="3E3BE84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⑧电磁异常：模拟地震前兆电磁异常表现。</w:t>
            </w:r>
          </w:p>
          <w:p w14:paraId="108A820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17）【山体滑坡灾害】</w:t>
            </w:r>
          </w:p>
          <w:p w14:paraId="21805D4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①山体滑坡认知：了解山体滑坡的概念、组成、诱发因素及灾难案例。</w:t>
            </w:r>
          </w:p>
          <w:p w14:paraId="0005ED9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②山体滑坡前兆：了解八种山体滑坡前兆。</w:t>
            </w:r>
          </w:p>
          <w:p w14:paraId="1963258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③山体滑坡体验：模拟体验山体滑坡。</w:t>
            </w:r>
          </w:p>
          <w:p w14:paraId="3F7B937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18）【国家象征】</w:t>
            </w:r>
          </w:p>
          <w:p w14:paraId="4676D08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①国旗：介绍国旗产生背景，确立历程，设计要素，象征意义，重要人物。</w:t>
            </w:r>
          </w:p>
          <w:p w14:paraId="41CCCF8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②国徽：介绍国徽图案含义，由来，规范，使用，相关法律。</w:t>
            </w:r>
          </w:p>
          <w:p w14:paraId="69D28AE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③国歌：介绍国歌创作背景，歌曲歌词，歌曲鉴赏，社会影响，获奖记录，重要演出，歌曲争议。</w:t>
            </w:r>
          </w:p>
          <w:p w14:paraId="72C19ED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④首都：通过图文结合沙盘表现介绍首都知识点。</w:t>
            </w:r>
          </w:p>
          <w:p w14:paraId="33DEDDD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⑤升旗体验：体验天安门升旗仪式场景。</w:t>
            </w:r>
          </w:p>
          <w:p w14:paraId="5F2B17E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⑥问答题：10道国家象征知识小测验环节。</w:t>
            </w:r>
          </w:p>
          <w:p w14:paraId="54D363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19）【建国成就展】</w:t>
            </w:r>
          </w:p>
          <w:p w14:paraId="5781027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①两弹一星：学习两弹一星概念及知识点。</w:t>
            </w:r>
          </w:p>
          <w:p w14:paraId="4F39C5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②加入联合国：学习中国重返联合国的重大意义。</w:t>
            </w:r>
          </w:p>
          <w:p w14:paraId="1804474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③载人航天：载人航天的三步走发展策略。</w:t>
            </w:r>
          </w:p>
          <w:p w14:paraId="7AF9D40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④香港澳门回归：学习香港澳门回归的知识点。</w:t>
            </w:r>
          </w:p>
          <w:p w14:paraId="008F826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⑤青藏铁路：学习青藏线的工程内容</w:t>
            </w:r>
          </w:p>
          <w:p w14:paraId="1641FB7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⑥加入世贸组织：学习中国加入世贸的知识点及谈判历程。</w:t>
            </w:r>
          </w:p>
          <w:p w14:paraId="17905CB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⑦奥运会：学习奥运会的介绍、评论及意义。</w:t>
            </w:r>
          </w:p>
          <w:p w14:paraId="22AB6A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⑧第二大经济体：学习中国如何成为世界第二大经济体。</w:t>
            </w:r>
          </w:p>
          <w:p w14:paraId="268A0C6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⑨辽宁号：学习辽宁号的基本概况。</w:t>
            </w:r>
          </w:p>
          <w:p w14:paraId="69CDF90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⑩北斗系统：学习北斗卫星导航系统的介绍与用途。</w:t>
            </w:r>
          </w:p>
          <w:p w14:paraId="03F904B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20）【国防安全】</w:t>
            </w:r>
          </w:p>
          <w:p w14:paraId="02B5CA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①国防教育：以展馆形式展现国防教育知识科普。</w:t>
            </w:r>
          </w:p>
          <w:p w14:paraId="3C8C53F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②国土安全：以图文、视频形式展现国土安全知识科普。</w:t>
            </w:r>
          </w:p>
          <w:p w14:paraId="21AF3A5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③反间谍：了解什么是间谍行为、如何防范间谍行为以及发现间谍行为应该如何处理。</w:t>
            </w:r>
          </w:p>
          <w:p w14:paraId="595E090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21）【法律体系】</w:t>
            </w:r>
          </w:p>
          <w:p w14:paraId="63A50E4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①中国法律体系：介绍中国法律体系相关知识点及法律科普。</w:t>
            </w:r>
          </w:p>
          <w:p w14:paraId="5C40425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22) 【民族团结】</w:t>
            </w:r>
          </w:p>
          <w:p w14:paraId="0FB96EA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①民族团结：展示民族团结相关的知识和视频。</w:t>
            </w:r>
          </w:p>
          <w:p w14:paraId="7DD279D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23）【心理健康】</w:t>
            </w:r>
          </w:p>
          <w:p w14:paraId="6AB7C8F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①心理检测：共包含10道检测题，系统会根据选项进行评析打分。</w:t>
            </w:r>
          </w:p>
          <w:p w14:paraId="0AD0C2A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②防社交恐惧：在教室场景里体验克服社交恐惧。</w:t>
            </w:r>
          </w:p>
          <w:p w14:paraId="0331917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③预防游戏沉迷：游戏成瘾，预防沉迷。</w:t>
            </w:r>
          </w:p>
          <w:p w14:paraId="725235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④心理知识学习：在一个自然的场景里介绍心理减压方式。</w:t>
            </w:r>
          </w:p>
          <w:p w14:paraId="2798A62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24）【心理脱敏】</w:t>
            </w:r>
          </w:p>
          <w:p w14:paraId="49B9B88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①社交恐惧症：通过演讲模拟学习缓解调节社交恐惧症。</w:t>
            </w:r>
          </w:p>
          <w:p w14:paraId="2BA544F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②幽闭恐惧症：在昏暗的房间内找到手机以用来照明。</w:t>
            </w:r>
          </w:p>
          <w:p w14:paraId="7C0A03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③恐高症治疗：通过不同场景体验体验治疗恐高症。</w:t>
            </w:r>
          </w:p>
          <w:p w14:paraId="239DA1A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④焦虑症：通过多个舒缓方式缓解焦虑。</w:t>
            </w:r>
          </w:p>
          <w:p w14:paraId="16788FF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⑤心理自我检测：共包含15道检测题，系统会根据选项进行评析打分。</w:t>
            </w:r>
          </w:p>
          <w:p w14:paraId="4DDF131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25）【心理放松】</w:t>
            </w:r>
          </w:p>
          <w:p w14:paraId="2AB5A8F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①心理压力测试：通过一系列心理压力测试题对体验者进行测试，检查体验者的心理状态。</w:t>
            </w:r>
          </w:p>
          <w:p w14:paraId="6C00FD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②休闲体验：在此场景可以自由寻找可点击触发的物体，会有小惊喜出现。</w:t>
            </w:r>
          </w:p>
          <w:p w14:paraId="4C11E83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③音乐室：花园场景内，感受放松心情。</w:t>
            </w:r>
          </w:p>
          <w:p w14:paraId="07CAF00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④想象放松：在此场景内的海浪声音，舒缓节奏，减少焦虑感。</w:t>
            </w:r>
          </w:p>
          <w:p w14:paraId="39FC32D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⑤肌肉放松：通过放松肌肉的方式，达到放松身心的体验。</w:t>
            </w:r>
          </w:p>
          <w:p w14:paraId="1B55396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26）【航空航天】</w:t>
            </w:r>
          </w:p>
          <w:p w14:paraId="6054CDD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①登陆月球：科普中国载人登月工程规划及模拟月球登陆过程。</w:t>
            </w:r>
          </w:p>
          <w:p w14:paraId="2C3DDFC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②火箭发射：科普火箭相关知识点及模拟火箭发射过程。</w:t>
            </w:r>
          </w:p>
          <w:p w14:paraId="0FB230B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③航空航天知识：介绍中国航空航天的发展历程和计划。</w:t>
            </w:r>
          </w:p>
          <w:p w14:paraId="56DD727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④太阳系的奥秘：介绍宇宙及八大行星相关知识点。</w:t>
            </w:r>
          </w:p>
          <w:p w14:paraId="46838C1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⑤太空行走：空间站各个区域介绍及出仓体验。</w:t>
            </w:r>
          </w:p>
          <w:p w14:paraId="32A0E21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⑥模拟飞行：控制飞船模拟飞行。</w:t>
            </w:r>
          </w:p>
          <w:p w14:paraId="0EEF966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⑦航天虚拟展厅：展示航空航天相关的展品和知识。</w:t>
            </w:r>
          </w:p>
          <w:p w14:paraId="196F93E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27）【职业生涯】</w:t>
            </w:r>
          </w:p>
          <w:p w14:paraId="29B91A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①科学家：以科学家视角模拟体验小麦病毒解药的研制过程。</w:t>
            </w:r>
          </w:p>
          <w:p w14:paraId="08EEAB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②人民警察：以人民警察的视角模拟体验KTV缉毒的过程。</w:t>
            </w:r>
          </w:p>
          <w:p w14:paraId="4A9E5DE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③医生：以医生的视角模拟体验接诊腿部韧带撕裂病人的过程。</w:t>
            </w:r>
          </w:p>
          <w:p w14:paraId="45DBB62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④人民教师：以教师的视角模拟体验上课的过程。</w:t>
            </w:r>
          </w:p>
          <w:p w14:paraId="671512D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⑤消防员：以第一视角模拟消防员穿戴工作服及灭火过程。</w:t>
            </w:r>
          </w:p>
          <w:p w14:paraId="1BD5CD3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⑥流水线操作工：以第一视角模拟机械师穿戴工作服及工厂工作过程。</w:t>
            </w:r>
          </w:p>
          <w:p w14:paraId="591F60A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⑦农民：以第一视角模拟农民喂猪、收割麦子等过程。</w:t>
            </w:r>
          </w:p>
          <w:p w14:paraId="2F2A707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⑧律师：以第一视角模拟律师开庭审判的过程。</w:t>
            </w:r>
          </w:p>
          <w:p w14:paraId="6A9AEDC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28）【生命健康】</w:t>
            </w:r>
          </w:p>
          <w:p w14:paraId="1AEBF6D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①免疫知识科普：免疫规划知识科普及常用疫苗介绍。</w:t>
            </w:r>
          </w:p>
          <w:p w14:paraId="000384E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②营养与健康：科普健康的概念及如何科学饮食。</w:t>
            </w:r>
          </w:p>
          <w:p w14:paraId="2FA4957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③突发公共卫生事件：科普突发公共卫生相关知识点及事件模拟。</w:t>
            </w:r>
          </w:p>
          <w:p w14:paraId="106BC30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④常见传染病知识科普：常见传染病科普及接种疫苗的作用。</w:t>
            </w:r>
          </w:p>
          <w:p w14:paraId="6A27D33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⑤新冠病毒防疫：科普病毒相关知识点及不同场景防控指南。</w:t>
            </w:r>
          </w:p>
          <w:p w14:paraId="156D73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⑥学习心肺复苏：模拟相关案例并科普心肺复苏的方法。</w:t>
            </w:r>
          </w:p>
          <w:p w14:paraId="352EB0D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⑦学习海姆立克情：模拟呼吸道梗阻案例并科普海姆立克急救的应对方法。</w:t>
            </w:r>
          </w:p>
          <w:p w14:paraId="6A6D77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⑧学习外伤包扎：模拟外伤案例并科普外伤包扎的方法。</w:t>
            </w:r>
          </w:p>
          <w:p w14:paraId="350AEB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29）【全景视频】</w:t>
            </w:r>
          </w:p>
          <w:p w14:paraId="7F6547D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①南极洲海岸</w:t>
            </w:r>
          </w:p>
          <w:p w14:paraId="3FC4597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②博帕斯瀑布</w:t>
            </w:r>
          </w:p>
          <w:p w14:paraId="302C3AA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③斯里兰卡茶园</w:t>
            </w:r>
          </w:p>
          <w:p w14:paraId="4945E10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④日落峡谷</w:t>
            </w:r>
          </w:p>
          <w:p w14:paraId="44B8F0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⑤林中萤火虫</w:t>
            </w:r>
          </w:p>
          <w:p w14:paraId="11CB7CF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⑥梅尔塞德河</w:t>
            </w:r>
          </w:p>
          <w:p w14:paraId="257738E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⑦水牛</w:t>
            </w:r>
          </w:p>
          <w:p w14:paraId="088B24E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⑧沙漠</w:t>
            </w:r>
          </w:p>
          <w:p w14:paraId="2E87DEF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⑨洛博克河</w:t>
            </w:r>
          </w:p>
          <w:p w14:paraId="2FF6B7D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⑩海底世界</w:t>
            </w:r>
          </w:p>
          <w:p w14:paraId="0B01818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⑪海滩</w:t>
            </w:r>
          </w:p>
          <w:p w14:paraId="0A038A1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⑫海豹</w:t>
            </w:r>
          </w:p>
          <w:p w14:paraId="029DE38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⑬海边棕榈树</w:t>
            </w:r>
          </w:p>
          <w:p w14:paraId="3F71DCF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⑭菲律宾巧克力山</w:t>
            </w:r>
          </w:p>
          <w:p w14:paraId="6BC07E1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⑮雨林</w:t>
            </w:r>
          </w:p>
          <w:p w14:paraId="65733C1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⑯雪中漫步</w:t>
            </w:r>
          </w:p>
          <w:p w14:paraId="4857DBA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30）【脑机接口】</w:t>
            </w:r>
          </w:p>
          <w:p w14:paraId="08B41A1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①脑机接口定义：介绍脑机接口的定义及相关知识点。</w:t>
            </w:r>
          </w:p>
          <w:p w14:paraId="49C0294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②运动辅助应用：模拟脑机接口运动辅助功能的应用。</w:t>
            </w:r>
          </w:p>
          <w:p w14:paraId="27A6743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③强化反应应用：模拟脑机接口强化反应功能的应用。</w:t>
            </w:r>
          </w:p>
          <w:p w14:paraId="1B421C2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④沟通交流应用：模拟脑机接口沟通反应功能的应用。</w:t>
            </w:r>
          </w:p>
          <w:p w14:paraId="63E1DD9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⑤控制小球模拟游戏：控制小球到达指定高度完成游戏。</w:t>
            </w:r>
          </w:p>
          <w:p w14:paraId="755849D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⑥控制小车模拟游戏：控制小球到达指定位置完成游戏。</w:t>
            </w:r>
          </w:p>
          <w:p w14:paraId="4DB9F72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⑦无人机模拟游戏：控制无人机到达指定位置完成游戏。</w:t>
            </w:r>
          </w:p>
          <w:p w14:paraId="4ECC630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31）【新能源】</w:t>
            </w:r>
          </w:p>
          <w:p w14:paraId="3E3C3F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①中国新能源发展历程：介绍6种中国相关新能源的科普知识。</w:t>
            </w:r>
          </w:p>
          <w:p w14:paraId="4EE1B44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②新能源认知：介绍新能源的定义及相关新能源科普认知。</w:t>
            </w:r>
          </w:p>
          <w:p w14:paraId="2E30F90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③风能发电应用：介绍风能知识及模拟风能发电应用体验。</w:t>
            </w:r>
          </w:p>
          <w:p w14:paraId="5AD6470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④核能发电应用：核发电认知及模拟和发电应用体验。</w:t>
            </w:r>
          </w:p>
          <w:p w14:paraId="53B5AC5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⑤光伏发电应用：光伏发电认知及模拟光伏发电应用体验。</w:t>
            </w:r>
          </w:p>
          <w:p w14:paraId="2E505E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⑥新能源汽车应用：新能源汽车认知及模拟新能源汽车应用。</w:t>
            </w:r>
          </w:p>
          <w:p w14:paraId="2B658D9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32）【碳中和】</w:t>
            </w:r>
          </w:p>
          <w:p w14:paraId="187AE2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①碳中和介绍：科普碳中和相关知识。</w:t>
            </w:r>
          </w:p>
          <w:p w14:paraId="514AA67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②碳是如何产生的：介绍碳的产生途径。</w:t>
            </w:r>
          </w:p>
          <w:p w14:paraId="0E5EAC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③碳排放的危害：通过4个方面介绍碳排放的危害。</w:t>
            </w:r>
          </w:p>
          <w:p w14:paraId="3510015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④参与减碳活动：从个人层面与国家层面体验减碳活动。</w:t>
            </w:r>
          </w:p>
          <w:p w14:paraId="094F90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33）【公共安全】</w:t>
            </w:r>
          </w:p>
          <w:p w14:paraId="69D9357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①校园地震逃生：学习地震逃生的相关知识。</w:t>
            </w:r>
          </w:p>
          <w:p w14:paraId="40EF982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②校园火灾逃生：学习校园场景中火灾的应对方法及相关知识。</w:t>
            </w:r>
          </w:p>
          <w:p w14:paraId="57D203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③校园防欺凌：介绍不同的欺凌方式及正确的应对方法。</w:t>
            </w:r>
          </w:p>
          <w:p w14:paraId="6F994A1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④校车火灾逃生：模拟校车发生火灾如何逃生。</w:t>
            </w:r>
          </w:p>
          <w:p w14:paraId="7E0387E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⑤校园反恐：学习在校园反恐逃跑中的注意事项。</w:t>
            </w:r>
          </w:p>
          <w:p w14:paraId="692D963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⑥宿舍隐患排查：在规定时间内寻找宿舍八个火灾隐患点。</w:t>
            </w:r>
          </w:p>
          <w:p w14:paraId="3024295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⑦校园坠落防护：模拟校园意外坠落事件及坠落防护知识。</w:t>
            </w:r>
          </w:p>
          <w:p w14:paraId="21978B7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⑧电梯安全常识：介绍乘坐电梯安全常识。</w:t>
            </w:r>
          </w:p>
          <w:p w14:paraId="2AD82A8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⑨不文明乘梯行为：介绍乘坐电梯的不文明行为。</w:t>
            </w:r>
          </w:p>
          <w:p w14:paraId="4441CB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⑩乘坐扶梯注意事项：介绍乘坐扶梯时的注意事项。</w:t>
            </w:r>
          </w:p>
          <w:p w14:paraId="42770C5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⑪电梯困梯自救：学习电梯被困自救方法。</w:t>
            </w:r>
          </w:p>
          <w:p w14:paraId="584D108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⑫食品安全：从不同层面介绍食品安全知识。</w:t>
            </w:r>
          </w:p>
          <w:p w14:paraId="1E46B21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⑬交通安全四合一：以四个场景学习交通知识科普。</w:t>
            </w:r>
          </w:p>
          <w:p w14:paraId="2B9F993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⑭防踩踏：校园防踩踏安全知识点及事故预演。</w:t>
            </w:r>
          </w:p>
          <w:p w14:paraId="2579BBB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⑮溺水安全体验：学习正确的救援方式对溺水者实施救援。</w:t>
            </w:r>
          </w:p>
          <w:p w14:paraId="1310A93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⑯禁烟模拟体验：介绍香烟的危害及模拟事件体验。</w:t>
            </w:r>
          </w:p>
          <w:p w14:paraId="39B1FB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⑰人防应急演练：模拟校园防控演练。</w:t>
            </w:r>
          </w:p>
          <w:p w14:paraId="6004554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34）【青少年法治】</w:t>
            </w:r>
          </w:p>
          <w:p w14:paraId="132601B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①青少年法治防诈骗：沉着机智，预防诈骗。</w:t>
            </w:r>
          </w:p>
          <w:p w14:paraId="78D8951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②青少年法治防霸凌：守法明礼，防范霸凌。</w:t>
            </w:r>
          </w:p>
          <w:p w14:paraId="2DFC0A3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③青少年法治反恐防暴：遇事不慌，反恐防暴。</w:t>
            </w:r>
          </w:p>
          <w:p w14:paraId="147A46B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④青少年法治禁毒普法：珍爱生命，拒绝毒品。</w:t>
            </w:r>
          </w:p>
          <w:p w14:paraId="311D511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⑤青少年法治知识科普：学法用法，知法守法。</w:t>
            </w:r>
          </w:p>
          <w:p w14:paraId="7FCF485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35）【网络信息安全】</w:t>
            </w:r>
          </w:p>
          <w:p w14:paraId="082EE33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①网络信息安全：以不同视角体验网络信息安全事件。</w:t>
            </w:r>
          </w:p>
          <w:p w14:paraId="7767BD1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36）【青少年庭审】</w:t>
            </w:r>
          </w:p>
          <w:p w14:paraId="4020B09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①青少年庭审：模拟KTV吸毒案例及故意伤害的法庭庭审场景。</w:t>
            </w:r>
          </w:p>
          <w:p w14:paraId="1079CC6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37）【跳台滑雪】</w:t>
            </w:r>
          </w:p>
          <w:p w14:paraId="36F86C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①跳台滑雪：在跳台上滑动手柄开始滑雪，俯下、抬高身子冲出跳台。</w:t>
            </w:r>
          </w:p>
        </w:tc>
        <w:tc>
          <w:tcPr>
            <w:tcW w:w="1024" w:type="dxa"/>
            <w:tcBorders>
              <w:top w:val="nil"/>
              <w:left w:val="nil"/>
              <w:bottom w:val="single" w:color="auto" w:sz="4" w:space="0"/>
              <w:right w:val="single" w:color="auto" w:sz="4" w:space="0"/>
            </w:tcBorders>
            <w:shd w:val="clear" w:color="auto" w:fill="auto"/>
            <w:vAlign w:val="center"/>
          </w:tcPr>
          <w:p w14:paraId="5FFE7AE4">
            <w:pPr>
              <w:jc w:val="center"/>
              <w:textAlignment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2"/>
                <w:szCs w:val="22"/>
                <w:lang w:val="en-US" w:eastAsia="zh-CN" w:bidi="ar"/>
              </w:rPr>
              <w:t>18台</w:t>
            </w:r>
          </w:p>
        </w:tc>
        <w:tc>
          <w:tcPr>
            <w:tcW w:w="611" w:type="dxa"/>
            <w:tcBorders>
              <w:top w:val="nil"/>
              <w:left w:val="nil"/>
              <w:bottom w:val="single" w:color="auto" w:sz="4" w:space="0"/>
              <w:right w:val="single" w:color="auto" w:sz="4" w:space="0"/>
            </w:tcBorders>
            <w:shd w:val="clear" w:color="auto" w:fill="auto"/>
            <w:vAlign w:val="center"/>
          </w:tcPr>
          <w:p w14:paraId="5D769682">
            <w:pPr>
              <w:jc w:val="center"/>
              <w:rPr>
                <w:rFonts w:hint="eastAsia" w:asciiTheme="minorEastAsia" w:hAnsiTheme="minorEastAsia" w:eastAsiaTheme="minorEastAsia" w:cstheme="minorEastAsia"/>
                <w:sz w:val="24"/>
                <w:szCs w:val="24"/>
              </w:rPr>
            </w:pPr>
          </w:p>
        </w:tc>
      </w:tr>
      <w:tr w14:paraId="5426444C">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0579C96D">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1</w:t>
            </w:r>
          </w:p>
        </w:tc>
        <w:tc>
          <w:tcPr>
            <w:tcW w:w="1184" w:type="dxa"/>
            <w:tcBorders>
              <w:top w:val="nil"/>
              <w:left w:val="nil"/>
              <w:bottom w:val="single" w:color="auto" w:sz="4" w:space="0"/>
              <w:right w:val="single" w:color="auto" w:sz="4" w:space="0"/>
            </w:tcBorders>
            <w:shd w:val="clear" w:color="auto" w:fill="auto"/>
            <w:vAlign w:val="center"/>
          </w:tcPr>
          <w:p w14:paraId="13C6D718">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充电柜</w:t>
            </w:r>
          </w:p>
        </w:tc>
        <w:tc>
          <w:tcPr>
            <w:tcW w:w="5476" w:type="dxa"/>
            <w:tcBorders>
              <w:top w:val="nil"/>
              <w:left w:val="nil"/>
              <w:bottom w:val="single" w:color="auto" w:sz="4" w:space="0"/>
              <w:right w:val="single" w:color="auto" w:sz="4" w:space="0"/>
            </w:tcBorders>
            <w:shd w:val="clear" w:color="auto" w:fill="auto"/>
            <w:vAlign w:val="center"/>
          </w:tcPr>
          <w:p w14:paraId="155E930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 整体外尺寸:H580*L990*W450MM(2 抽)</w:t>
            </w:r>
          </w:p>
          <w:p w14:paraId="26DC6A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 充电要求:a:外部供电:机柜侧面板有电源开关按钮，外部有一根 220V 电源线供电 b: 内部供电:左右侧边固定 USB 插排，每层左右各 10 个充电端口，每个插槽提供 5V--500 毫安的电量。（每层10个充电位）</w:t>
            </w:r>
          </w:p>
          <w:p w14:paraId="3558841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 丝印:3D 眼镜消毒柜/3D 眼镜充电消毒柜</w:t>
            </w:r>
          </w:p>
          <w:p w14:paraId="585A2C0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 材质:外框采用宝钢冷轧钢板，耐压，强度大不易变形。</w:t>
            </w:r>
          </w:p>
          <w:p w14:paraId="7704B6F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 组合型控制系统，多门组合灵活方便</w:t>
            </w:r>
          </w:p>
          <w:p w14:paraId="15707F3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 电源:AC220</w:t>
            </w:r>
          </w:p>
          <w:p w14:paraId="3C7DD29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 内置紫外线和臭氧消毒，连接电源便可通过紫外线和臭氧为 VR 眼镜消毒</w:t>
            </w:r>
          </w:p>
          <w:p w14:paraId="6FCA478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 VR 眼镜充电消毒柜安装有锁，在不使用时可上锁，防止眼镜被随意取走</w:t>
            </w:r>
          </w:p>
          <w:p w14:paraId="7F5E3A5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 可以随时移动，车底部配有 4 个万向轮，两个固定，两个带刹车脚轮。</w:t>
            </w:r>
          </w:p>
          <w:p w14:paraId="2E75412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10、包装方式:消毒柜采用塑料薄膜加木架，双重保护</w:t>
            </w:r>
          </w:p>
        </w:tc>
        <w:tc>
          <w:tcPr>
            <w:tcW w:w="1024" w:type="dxa"/>
            <w:tcBorders>
              <w:top w:val="nil"/>
              <w:left w:val="nil"/>
              <w:bottom w:val="single" w:color="auto" w:sz="4" w:space="0"/>
              <w:right w:val="single" w:color="auto" w:sz="4" w:space="0"/>
            </w:tcBorders>
            <w:shd w:val="clear" w:color="auto" w:fill="auto"/>
            <w:vAlign w:val="center"/>
          </w:tcPr>
          <w:p w14:paraId="5A0CD404">
            <w:pPr>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1台</w:t>
            </w:r>
          </w:p>
        </w:tc>
        <w:tc>
          <w:tcPr>
            <w:tcW w:w="611" w:type="dxa"/>
            <w:tcBorders>
              <w:top w:val="nil"/>
              <w:left w:val="nil"/>
              <w:bottom w:val="single" w:color="auto" w:sz="4" w:space="0"/>
              <w:right w:val="single" w:color="auto" w:sz="4" w:space="0"/>
            </w:tcBorders>
            <w:shd w:val="clear" w:color="auto" w:fill="auto"/>
            <w:vAlign w:val="center"/>
          </w:tcPr>
          <w:p w14:paraId="2B418BFC">
            <w:pPr>
              <w:jc w:val="center"/>
              <w:rPr>
                <w:rFonts w:hint="eastAsia" w:asciiTheme="minorEastAsia" w:hAnsiTheme="minorEastAsia" w:eastAsiaTheme="minorEastAsia" w:cstheme="minorEastAsia"/>
                <w:sz w:val="24"/>
                <w:szCs w:val="24"/>
              </w:rPr>
            </w:pPr>
          </w:p>
        </w:tc>
      </w:tr>
      <w:tr w14:paraId="0EB12F75">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6FA87BB3">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2</w:t>
            </w:r>
          </w:p>
        </w:tc>
        <w:tc>
          <w:tcPr>
            <w:tcW w:w="1184" w:type="dxa"/>
            <w:tcBorders>
              <w:top w:val="nil"/>
              <w:left w:val="nil"/>
              <w:bottom w:val="single" w:color="auto" w:sz="4" w:space="0"/>
              <w:right w:val="single" w:color="auto" w:sz="4" w:space="0"/>
            </w:tcBorders>
            <w:shd w:val="clear" w:color="auto" w:fill="auto"/>
            <w:vAlign w:val="center"/>
          </w:tcPr>
          <w:p w14:paraId="63E7EF53">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数字图书借阅机系统</w:t>
            </w:r>
          </w:p>
        </w:tc>
        <w:tc>
          <w:tcPr>
            <w:tcW w:w="5476" w:type="dxa"/>
            <w:tcBorders>
              <w:top w:val="nil"/>
              <w:left w:val="nil"/>
              <w:bottom w:val="single" w:color="auto" w:sz="4" w:space="0"/>
              <w:right w:val="single" w:color="auto" w:sz="4" w:space="0"/>
            </w:tcBorders>
            <w:shd w:val="clear" w:color="auto" w:fill="auto"/>
            <w:vAlign w:val="center"/>
          </w:tcPr>
          <w:p w14:paraId="79937FF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硬件要求 </w:t>
            </w:r>
          </w:p>
          <w:p w14:paraId="2C24672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1、触摸屏：43寸，红外识别≥2点触摸，1920*1080高清分辨率；采用手指、笔或非透明物体触摸方式，反应时间&lt;10毫秒。</w:t>
            </w:r>
          </w:p>
          <w:p w14:paraId="3D3FBDE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2、★CPU主流I3及以上、双核，≥4G主机内存，不低于120G固态硬盘+1T大容量机械硬盘，板载集成声卡、显卡、网卡，配备高速USB接口。（本项须提供功能截图佐证）</w:t>
            </w:r>
          </w:p>
          <w:p w14:paraId="4246C9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系统要求</w:t>
            </w:r>
          </w:p>
          <w:p w14:paraId="647E396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1、系统采用触摸系统，可与移动客户端配合使用。</w:t>
            </w:r>
          </w:p>
          <w:p w14:paraId="3713F94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2、必须具备手机客户端应用，移动客户端是校园阅读设备配套的程序，且可与学校图书馆正在使用的移动客户端联机使用。</w:t>
            </w:r>
          </w:p>
          <w:p w14:paraId="2A1EE77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3、使用移动客户端软件可以直接扫描校园阅读设备上的图书二维码下载图书到手机、pad等终端中阅读。移动客户端软件需同时支持iOS、android系统。</w:t>
            </w:r>
          </w:p>
          <w:p w14:paraId="13283BD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基于1920*1080大屏触摸一体机研发。客户端支持不同浏览器分辨率的自动识别和支持功能，可根据不同分辨率自动调整显示效果，适应高清分辨率（1920*1080）和常用分辨率（1366*768）等多种不同分辨率。（本项须提供功能截图佐证）</w:t>
            </w:r>
          </w:p>
          <w:p w14:paraId="1F3B08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5、支持远程定时更新，支持一键更新，减少管理成本。</w:t>
            </w:r>
          </w:p>
          <w:p w14:paraId="686E78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6、提供校园文化展示功能，可通过文字、图片、视频等多媒体方式，全方位展示校园风采；用户可根据需要展示相关信息。</w:t>
            </w:r>
          </w:p>
          <w:p w14:paraId="6CF940B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7、系统模块需支持扩展功能，用户可自定义删除或增加应用模块；内置模块不少于7个。</w:t>
            </w:r>
          </w:p>
          <w:p w14:paraId="3B81CCB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8、支持音量调节功能，无需返回操作系统，在平台客户端里面即可直接调整音量大小、设置静音等操作。</w:t>
            </w:r>
          </w:p>
          <w:p w14:paraId="24AD5F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9、系统软件需支持自动升级功能，设备联网后，可自动下载升级包，实现无人值守的自动升级功能。</w:t>
            </w:r>
          </w:p>
          <w:p w14:paraId="30CB3BB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10、支持浏览器模式打开任意网址功能，方便系统扩展应用；支持第三方应用程序的扩展，如：可直接调用已经安装好的.EXE应用程序。</w:t>
            </w:r>
          </w:p>
          <w:p w14:paraId="238291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11、★需提供多种显示模式，其中必须包括“护眼模式”，用户可自由选择是否开启。（本项须提供功能截图佐证）</w:t>
            </w:r>
          </w:p>
          <w:p w14:paraId="28337C7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资源要求</w:t>
            </w:r>
          </w:p>
          <w:p w14:paraId="5063A43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1、系统内置不少于3000种正版授权的epub、pdf等格式电子图书且与原版图书保持原貌一致，如相关图片、目录等，每月定时更新不少于150种热门电子图书。</w:t>
            </w:r>
          </w:p>
          <w:p w14:paraId="33E5720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2、图书模块资源针对小学、初中、高中提供不同的版本，分别针对三种不同年龄阶段学生、家长、老师三个身份设定了不同的图书分类方式，能更精准的引导阅读。</w:t>
            </w:r>
          </w:p>
          <w:p w14:paraId="290C65D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3、图书模块的数字图书提供二维码，扫码后可直接在线阅读原版文本全文，下载的图书可永久保存在移动终端。</w:t>
            </w:r>
          </w:p>
          <w:p w14:paraId="54C05E0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提供统编版教材要求小学生必备古诗多媒体资源，古诗数量不少于75个；所有古诗内容要具有可交互性，要求以色彩丰富、能吸引小学生使用的动画形式展示；古诗配图要符合诗词所在朝代风格；古诗动画效果和画面能表达出古诗意境；古诗资源内容包含适合小学生理解和学习的字词注释；每首古诗都必须要包含作者简介、诗词大意、名句欣赏等内容；每首古诗都要有诗词的动画配音朗读和让学生根据背景音乐提示诵读古诗功能。（本项须提供功能截图佐证）</w:t>
            </w:r>
          </w:p>
          <w:p w14:paraId="1B719E1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提供统编版教材要求常用汉字动画资源，数量不少于3000个；所有汉字动画资源都要求依据现行教材开发，与教材内容同步；识字动画资源展示形式要求风格活泼可爱，趣味性强；所有识字动画资源内容都要有可交互性动画实现；识字内容包含汉字的读音、笔顺、图例、字义扩展等模块；词语解释包含英语对照和扩展汉语注音和解释；识字笔顺动画要包含每个汉字的一笔一划书写动画演示，且具备播放和暂停功能。（本项须提供功能截图佐证）</w:t>
            </w:r>
          </w:p>
          <w:p w14:paraId="1CA4CB03">
            <w:pPr>
              <w:pStyle w:val="43"/>
              <w:keepNext w:val="0"/>
              <w:keepLines w:val="0"/>
              <w:pageBreakBefore w:val="0"/>
              <w:wordWrap/>
              <w:overflowPunct/>
              <w:topLinePunct w:val="0"/>
              <w:bidi w:val="0"/>
              <w:spacing w:line="200" w:lineRule="exact"/>
              <w:ind w:left="0" w:leftChars="0" w:firstLine="0" w:firstLineChars="0"/>
              <w:jc w:val="left"/>
              <w:rPr>
                <w:rFonts w:hint="eastAsia" w:asciiTheme="minorEastAsia" w:hAnsiTheme="minorEastAsia" w:eastAsiaTheme="minorEastAsia" w:cstheme="minorEastAsia"/>
                <w:sz w:val="18"/>
                <w:szCs w:val="18"/>
                <w:lang w:eastAsia="zh-CN"/>
              </w:rPr>
            </w:pPr>
          </w:p>
          <w:p w14:paraId="18B3A4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6、★提供不少于200集的原版国外引进的Discovery Education科普视频。（本项须提供功能截图佐证）</w:t>
            </w:r>
          </w:p>
          <w:p w14:paraId="31523A9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7、提供听书资源，内置经典有声图书不少于50本，配套音频资源不少于1000个，满足学生多样化的阅读需求。</w:t>
            </w:r>
          </w:p>
          <w:p w14:paraId="3792FF8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8、提供视频资源模块，精选优质学术视频，支持在线播放。</w:t>
            </w:r>
          </w:p>
          <w:p w14:paraId="669FFFA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提供不少于150本“动画绘本”图书资源，动画绘本图书要求每本图书内容都是真正的动画形式展示，非普通图书以配图、配声音的形式展示，每本动画绘本图书都可具有可交互性，除基本触摸翻页外，还需要提供互动问答、互动游戏等环节，动画绘本图书内容适合学生阅读，需包括以下类型：少儿百科知识、国学古诗、科幻读物、科普读物、名人励志、世界名著、安全教育、中国传统经典文化，其中名著图书包括：《爱丽丝梦游仙境》，《鲁宾逊漂流记》、《穿靴子的猫》，《木偶奇遇记》，《堂吉诃德》，《汤姆索亚历险记》，《小王子》，《海底两万里》，《汤姆叔叔的小屋》，《少年维特之烦恼》等国内外经典篇目。（本项须提供功能截图佐证）</w:t>
            </w:r>
          </w:p>
          <w:p w14:paraId="2737871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10、提供不少于300种期刊资源，并实现期刊在线阅读等，提供教师、学生多种角色适用的期刊资源。</w:t>
            </w:r>
          </w:p>
          <w:p w14:paraId="62FA243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提供与小、初、高各阶段相适应的国学经典文本诵读，精选图书不少于10种，包含不少于600个篇章，不低于1000分钟，并与教材紧密结合，提供初中课本古诗文和高中课本古诗文的原文诵读，增强学习感染力。（本项须提供功能截图佐证）</w:t>
            </w:r>
          </w:p>
          <w:p w14:paraId="5C055A1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提供虚拟仿真实验类资源，实验资源数量不少于200个；每个实验资源都采用先进的H5技术开发完成，支持多浏览、多平台使用；实验内容涵盖了小学3-6年级的主流教材版本，如生命世界、物质世界、地球与宇宙等多领域科学实验内容；每个实验内容要求结构完整，至少包括实验知识导入、所用器材介绍、具体的实验步骤和最终实验结论总结等部分内容。（本项须提供功能截图佐证）</w:t>
            </w:r>
          </w:p>
          <w:p w14:paraId="21A9479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13、电子图书、古诗、汉字动画、Discovery Education科普视频、绘本动画书等资源都内置设备中，支持设备断网使用。</w:t>
            </w:r>
          </w:p>
          <w:p w14:paraId="51939F6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需提供古诗词相关内容，要求数量丰富，包括唐诗不少于200首、宋词不少于200首；提供按小初高和年级分类查询，也支持按古诗的朝代和作者查询功能；查询到的古诗可查看完整古诗原文、作者介绍、注释、赏析、写作背景等信息，便于对古诗知识的深度学习；（本项须提供功能截图佐证）</w:t>
            </w:r>
          </w:p>
          <w:p w14:paraId="612249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提供古诗填字和古诗连线两种游戏模式，每种游戏都支持排行榜功能；每种游戏关卡数量均无上限限制；</w:t>
            </w:r>
          </w:p>
          <w:p w14:paraId="3F0A736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古诗填字游戏每次隐藏古诗中的若干个汉字，通过选择汉字来补充完整古诗，继续下一关；失败后给出错误提示，可重新选择；古诗连线游戏每次将一句古诗的汉字打乱顺序，按正确顺序点击汉字连成古诗句后，算闯关成功，失败可重新开始；</w:t>
            </w:r>
          </w:p>
          <w:p w14:paraId="6168900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每种闯关成功后，均可查看古诗的详细信息，包括完整古诗、解释和作者介绍等信息，便于古诗知识深度学习。</w:t>
            </w:r>
          </w:p>
          <w:p w14:paraId="12B0147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15、★需提供成语相关内容，包含成语词典功能；按首字母检索成语后，提供相关检索结果，选中成语后，提供成语注释，包含相关成语解释、出处、示例。（本项须提供功能截图佐证）</w:t>
            </w:r>
          </w:p>
          <w:p w14:paraId="2257245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提供成语填字和成语消消乐两种游戏模式，每种游戏都支持排行榜功能；每种游戏关卡数量均无上限限制；</w:t>
            </w:r>
          </w:p>
          <w:p w14:paraId="4D50BF6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成语填字游戏，每次隐藏成语中的某些汉字，通过选择汉字来补充完整成语，过关成功，可以查看该条成语知识点，且继续下一关，失败后可有机会再试一次；成语消消乐游戏是将几组成语的汉字打乱，按顺序消除所有成语文字后算闯关成功，并且有“提示”功能。</w:t>
            </w:r>
          </w:p>
          <w:p w14:paraId="1502D7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需支持大数据展示，支持不同层级、不同类型数据的展示。通过对基础数据的横向对比和纵向分析，实现了数据管理的高效及呈现精准，帮助学校管理者了解阅读行为轨迹，为阅读推广的决策提供可靠的参照。（本项须提供功能截图佐证）</w:t>
            </w:r>
          </w:p>
          <w:p w14:paraId="2A08EE6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17、★需具备智慧投屏功能，支持移动端与一体机的无线投屏，教师可轻松调取移动端的资源投射在一体机上，方便教师利用阅读机制造的共读场域进行发散性的阅读引导和教学。（本项须提供功能截图佐证）</w:t>
            </w:r>
          </w:p>
          <w:p w14:paraId="0BAE4DA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18、★支持欢迎大屏功能，可通过配套移动端APP远程控制欢迎大屏功能的开启和关闭，并可远程配置欢迎语内容，可远程调整欢迎语文字大小，并提供不少于2种欢迎大屏模板。（本项须提供功能截图佐证）</w:t>
            </w:r>
          </w:p>
          <w:p w14:paraId="4D80929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后台及配套移动端服务要求 </w:t>
            </w:r>
          </w:p>
          <w:p w14:paraId="143799B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1、配套的移动客户端软件需提供适合智能手机、平板阅读的EPUB、PDF等多种格式图书。所有图书支持在线全文阅读，也支持全文下载并保存在移动设备中，下载的资源可离线观看。</w:t>
            </w:r>
          </w:p>
          <w:p w14:paraId="6E329B2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系统能与所有借阅终端大屏机进行信息传递，后台可查看每台机器每个月资源更新状态。后台可实现数据分析和统计，统计图书下载量和阅读量，分析平均每台机器的下载量和阅读量，图表查看数据变化。管理者可以查看学校下载量和阅读量排行榜。（本项须提供功能截图佐证）</w:t>
            </w:r>
          </w:p>
          <w:p w14:paraId="398F749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3、★对联网的终端设备需支持远程关机、重启、音量调节、远程屏幕查看等操作，便于用户维护设备。（本项须提供功能截图佐证）</w:t>
            </w:r>
          </w:p>
          <w:p w14:paraId="666F490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4、后台支持模块扩展功能，可根据用户需要随时增加阅读终端上的模块；支持为用户个性化定制功能模块服务。</w:t>
            </w:r>
          </w:p>
          <w:p w14:paraId="7EEF39E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5、手机客户端软件需提供IOS和android常用移动操作系统客户端，提供条码扫描、下载等功能，设计要符合用户的操作习惯。</w:t>
            </w:r>
          </w:p>
          <w:p w14:paraId="446A436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6、配套的手机客户端提供流媒体阅读模式和本地文件阅读模式，提供夜间模式转换，文字大小调整等功能，且图书阅读片段、章节等，可以通过主流的社交软件进行分享。</w:t>
            </w:r>
          </w:p>
          <w:p w14:paraId="5B12247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7、手机客户端需支持应用模块添加，可根据用户需求，添加相关模块，满足不同需求。</w:t>
            </w:r>
          </w:p>
          <w:p w14:paraId="6CB0381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8、手机端可扫描设备中图书借阅模块图书资源的二维码，能实现数字图书下载到移动客户端，并实现离线阅读功能。</w:t>
            </w:r>
          </w:p>
          <w:p w14:paraId="2769548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9、手机客户端提供不少于1万集的适合智能手机使用的教育相关的学术视频资源。</w:t>
            </w:r>
          </w:p>
          <w:p w14:paraId="1AEB2F4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10、手机客户端要求包含分类阅读、书单推荐、群文阅读、导读测评、专题阅读、英文阅读等栏目，为用户提供更丰富的阅读应用。</w:t>
            </w:r>
          </w:p>
          <w:p w14:paraId="56A3FDB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11、手机客户端支持多种互动社交功能，如：小组、群聊、笔记、自建专题和课程、分享等功能，支持家校互动、师生互动、亲子互动、生生互动等功能。</w:t>
            </w:r>
          </w:p>
          <w:p w14:paraId="2D0B2A5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12、手机客户端支持产品使用培训的直播、拍照、录音等记录功能。</w:t>
            </w:r>
          </w:p>
          <w:p w14:paraId="4CD8B46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其它要求 </w:t>
            </w:r>
          </w:p>
          <w:p w14:paraId="2C4875E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1、提供学校应用指导服务：根据学校需求提供产品在学校层面上关于阅读相关的应用指导，包含：阅读学习指导、专家指导等服务。</w:t>
            </w:r>
          </w:p>
          <w:p w14:paraId="6D8917D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2、提供阅读活动指导服务：根据用户需求提供大型阅读活动指导服务，制订活动方案，包含：阅读专家、活动页面设计等服务，让阅读活动常态化进行。</w:t>
            </w:r>
          </w:p>
          <w:p w14:paraId="40F3874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3、提供阅读指导师培训服务：根据用户需求定期提供阅读指导师培训服务。</w:t>
            </w:r>
          </w:p>
          <w:p w14:paraId="0363348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4、★需提供数字图书借阅机系统计算机软件著作权登记证书。</w:t>
            </w:r>
          </w:p>
        </w:tc>
        <w:tc>
          <w:tcPr>
            <w:tcW w:w="1024" w:type="dxa"/>
            <w:tcBorders>
              <w:top w:val="nil"/>
              <w:left w:val="nil"/>
              <w:bottom w:val="single" w:color="auto" w:sz="4" w:space="0"/>
              <w:right w:val="single" w:color="auto" w:sz="4" w:space="0"/>
            </w:tcBorders>
            <w:shd w:val="clear" w:color="auto" w:fill="auto"/>
            <w:vAlign w:val="center"/>
          </w:tcPr>
          <w:p w14:paraId="451814F8">
            <w:pPr>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6套</w:t>
            </w:r>
          </w:p>
        </w:tc>
        <w:tc>
          <w:tcPr>
            <w:tcW w:w="611" w:type="dxa"/>
            <w:tcBorders>
              <w:top w:val="nil"/>
              <w:left w:val="nil"/>
              <w:bottom w:val="single" w:color="auto" w:sz="4" w:space="0"/>
              <w:right w:val="single" w:color="auto" w:sz="4" w:space="0"/>
            </w:tcBorders>
            <w:shd w:val="clear" w:color="auto" w:fill="auto"/>
            <w:vAlign w:val="center"/>
          </w:tcPr>
          <w:p w14:paraId="52DC4FAA">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主要产品</w:t>
            </w:r>
          </w:p>
        </w:tc>
      </w:tr>
      <w:tr w14:paraId="030D810A">
        <w:tblPrEx>
          <w:tblCellMar>
            <w:top w:w="0" w:type="dxa"/>
            <w:left w:w="108" w:type="dxa"/>
            <w:bottom w:w="0" w:type="dxa"/>
            <w:right w:w="108" w:type="dxa"/>
          </w:tblCellMar>
        </w:tblPrEx>
        <w:trPr>
          <w:trHeight w:val="90"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22F56636">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3</w:t>
            </w:r>
          </w:p>
        </w:tc>
        <w:tc>
          <w:tcPr>
            <w:tcW w:w="1184" w:type="dxa"/>
            <w:tcBorders>
              <w:top w:val="nil"/>
              <w:left w:val="nil"/>
              <w:bottom w:val="single" w:color="auto" w:sz="4" w:space="0"/>
              <w:right w:val="single" w:color="auto" w:sz="4" w:space="0"/>
            </w:tcBorders>
            <w:shd w:val="clear" w:color="auto" w:fill="auto"/>
            <w:vAlign w:val="center"/>
          </w:tcPr>
          <w:p w14:paraId="36F50F83">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朗读亭</w:t>
            </w:r>
          </w:p>
        </w:tc>
        <w:tc>
          <w:tcPr>
            <w:tcW w:w="5476" w:type="dxa"/>
            <w:tcBorders>
              <w:top w:val="nil"/>
              <w:left w:val="nil"/>
              <w:bottom w:val="single" w:color="auto" w:sz="4" w:space="0"/>
              <w:right w:val="single" w:color="auto" w:sz="4" w:space="0"/>
            </w:tcBorders>
            <w:shd w:val="clear" w:color="auto" w:fill="auto"/>
            <w:vAlign w:val="center"/>
          </w:tcPr>
          <w:p w14:paraId="623C5F7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一、硬件参数：</w:t>
            </w:r>
          </w:p>
          <w:p w14:paraId="2179737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1.功能主件：触摸点播系统（屏）1个。影像字幕显示屏1个。主控机1个（含安卓主板、音频主板等）。</w:t>
            </w:r>
          </w:p>
          <w:p w14:paraId="4468DEC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2.双屏异显功能：32寸高清影像显示器加装钢化防爆膜（屏）1 个，分辨率为1920×1080。主控机21.5寸电容式触控显示屏加装钢化防爆膜（屏）1 个(含4核高频CPU处理器，4+32GB内存，安卓5.1.1版系统一套），对比度1000:1，灰阶响应时间5ms，亮度450cd/m。 </w:t>
            </w:r>
          </w:p>
          <w:p w14:paraId="23C8847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3.额定功率：主机功率100W，包含灯光系统。</w:t>
            </w:r>
          </w:p>
          <w:p w14:paraId="195119B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4.额定电源：AC220V 50HZ。</w:t>
            </w:r>
          </w:p>
          <w:p w14:paraId="027DBBB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5.设备附件：专业录音级电容式麦克风:2个，心形指向人声话筒，采样率为48kHz，灵敏度2.5mv/Pa，比特率16bit，频响50Hz-15kHz，最大声压级120dB。</w:t>
            </w:r>
          </w:p>
          <w:p w14:paraId="54D119D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6.高保真耳机2个，佩戴舒适，音质保真。灵敏度98dB/mW，频响范围10-30000Hz，阻抗 32Ω。</w:t>
            </w:r>
          </w:p>
          <w:p w14:paraId="242A727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7.DSP音效处理器：1套，混响，频响可调。</w:t>
            </w:r>
          </w:p>
          <w:p w14:paraId="2184A4F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8.网络：支持无线和有线。</w:t>
            </w:r>
          </w:p>
          <w:p w14:paraId="06A6B8C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9.定时器：1个，定时开关机，无需人工操作，省时省电。</w:t>
            </w:r>
          </w:p>
          <w:p w14:paraId="4F9AD3E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10.朗读亭外观尺寸：长(L)≥1.</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lang w:eastAsia="zh-CN"/>
              </w:rPr>
              <w:t>x宽(W)≥x1.</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lang w:eastAsia="zh-CN"/>
              </w:rPr>
              <w:t>x高(H)≥x2.</w:t>
            </w:r>
            <w:r>
              <w:rPr>
                <w:rFonts w:hint="eastAsia" w:asciiTheme="minorEastAsia" w:hAnsiTheme="minorEastAsia" w:eastAsiaTheme="minorEastAsia" w:cstheme="minorEastAsia"/>
                <w:sz w:val="18"/>
                <w:szCs w:val="18"/>
                <w:lang w:val="en-US" w:eastAsia="zh-CN"/>
              </w:rPr>
              <w:t>72</w:t>
            </w:r>
            <w:r>
              <w:rPr>
                <w:rFonts w:hint="eastAsia" w:asciiTheme="minorEastAsia" w:hAnsiTheme="minorEastAsia" w:eastAsiaTheme="minorEastAsia" w:cstheme="minorEastAsia"/>
                <w:sz w:val="18"/>
                <w:szCs w:val="18"/>
                <w:lang w:eastAsia="zh-CN"/>
              </w:rPr>
              <w:t>[m]。使用500兆帕强度四级钢材制作而成钢框架，采用冷扎板折弯焊接成形，表面做喷粉防锈处理。吊顶采用15mm复合防火板，亭子左右两侧加入中国风实木格删，毛重400KG。机器底部有滚轮方便移动，有座脚方便固定。</w:t>
            </w:r>
          </w:p>
          <w:p w14:paraId="0D9D92C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11.三面采用10mm钢化玻璃,钢化玻璃与金属框架之间贴合隔音棉，保护玻璃直接接触金属框架，安全，门玻璃采用整体金属包框设计达到更加隔音。</w:t>
            </w:r>
          </w:p>
          <w:p w14:paraId="729D34D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12.朗读亭内部顶采用吸音装饰铁块20x20x8块，已对声场进行处理。</w:t>
            </w:r>
          </w:p>
          <w:p w14:paraId="3C5DCD7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13.朗读亭内部文化展示牌，支持定制学校logo,尺寸968x201mm。</w:t>
            </w:r>
          </w:p>
          <w:p w14:paraId="5736AAA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14.照明系统：LED灯嵌入式照明氛围灯1Wx10盏。</w:t>
            </w:r>
          </w:p>
          <w:p w14:paraId="2D041D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15.紫外线杀菌系统：全仓配有紫外线杀菌系统，对朗读亭内进行杀菌消毒，提供一个健康朗读空间。</w:t>
            </w:r>
          </w:p>
          <w:p w14:paraId="1725A39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16.单冷新风系统：配备制冷新风系统，低能耗，免排水耐用环保，包含新风系统。</w:t>
            </w:r>
          </w:p>
          <w:p w14:paraId="6A9646A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17.座椅：铁艺木质高脚椅2张，金属框架，结实稳固，弧形高椅背，坐感舒适。</w:t>
            </w:r>
          </w:p>
          <w:p w14:paraId="3DC2BE8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18.工作环境："温度范围：0℃—40℃。噪音指标：≤40分贝</w:t>
            </w:r>
          </w:p>
          <w:p w14:paraId="5F9021F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19.安全监控摄像头360度监视，1080P循环录制功能，32GB存储，支持移动远程实时查看、网络存储等。</w:t>
            </w:r>
          </w:p>
          <w:p w14:paraId="5311499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20.智能门禁系统，三合一。指纹、密码、支持ID/IC卡刷卡开门进入朗读亭。</w:t>
            </w:r>
          </w:p>
          <w:p w14:paraId="699F62C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二、软件系统：</w:t>
            </w:r>
          </w:p>
          <w:p w14:paraId="7FDB219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1.软件系统为开放式B/S架构 ,支持定制开发。</w:t>
            </w:r>
          </w:p>
          <w:p w14:paraId="6431F5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50+大文库版块：自由朗读，亲子儿童，经典文学，唐诗宋词，诗歌散文，外语名篇，趣味配音，党章学习，赛事活动，朗读技巧，雷锋日记，中学生必读，小学生必读，K12部编版同步教材，热门排行，名家名篇，唱响主旋律，习近平著作等。</w:t>
            </w:r>
          </w:p>
          <w:p w14:paraId="5D732E9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 采用云存储，支持录制3分钟高清短视频功能，数据均保存到云端服务器、录制的视频在手机端可以同步显示，收听朗读作品时可以观看朗读者当时的视频。视频支持根据用户需求开启录制视频或者关闭录制视频。</w:t>
            </w:r>
          </w:p>
          <w:p w14:paraId="55741A6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4.一键录音，录音试听，保存上传功能。</w:t>
            </w:r>
          </w:p>
          <w:p w14:paraId="292A25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5.普通话发音测评，对流畅度，准确性，情感度三个维度进行测评，必须支持全部文章的测评及单个文字测评。</w:t>
            </w:r>
          </w:p>
          <w:p w14:paraId="2BDCF77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6.英语测评，完整度，流畅度，准确度三个维度进行测评，支持音标练习，听说模拟，单词训练，课文跟读，课文朗读，读写模拟。</w:t>
            </w:r>
          </w:p>
          <w:p w14:paraId="4B7D8DF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7.背诵功能，背诵时自动屏蔽字幕，背诵结束字幕出现，提交后进行测评，含错字、漏字、准确字以及单个文字的读音测评。</w:t>
            </w:r>
          </w:p>
          <w:p w14:paraId="744B46B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8.点读功能：支持点读模块，可在管理后台上传原文，译文，可播放示范音频。</w:t>
            </w:r>
          </w:p>
          <w:p w14:paraId="3F9DD4C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9.用户朗读后可把朗读作品发送到用户电子邮箱。</w:t>
            </w:r>
          </w:p>
          <w:p w14:paraId="51BD26D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10.朗读欣赏，可以收听其他朗读者的作品。</w:t>
            </w:r>
          </w:p>
          <w:p w14:paraId="3A0D1EE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11.朗读学习，收听名家名篇，学习，跟读功能。</w:t>
            </w:r>
          </w:p>
          <w:p w14:paraId="0FA6CF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12.卡拉OK功能，支持原唱/伴唱音轨切换。</w:t>
            </w:r>
          </w:p>
          <w:p w14:paraId="5E032D9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13.影视配音，英语配音功能。</w:t>
            </w:r>
          </w:p>
          <w:p w14:paraId="07622D0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14.配乐试听功能，多首配乐可供试听及选择。</w:t>
            </w:r>
          </w:p>
          <w:p w14:paraId="1F9FAFC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15.搜索功能，采用模糊搜索技术，同时搜索作者及文章名称。</w:t>
            </w:r>
          </w:p>
          <w:p w14:paraId="4707AB3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 5种登录方式，微信登录，学生卡登录，人脸识别登录，账号密码登录，学习通登录。</w:t>
            </w:r>
          </w:p>
          <w:p w14:paraId="3CC8C0F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17.热门文库，大数据分析推送热门读物及文章。</w:t>
            </w:r>
          </w:p>
          <w:p w14:paraId="6018279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18.智能管理平台，模块化管理。</w:t>
            </w:r>
          </w:p>
          <w:p w14:paraId="5EE4E2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19.UI界面换肤功能，用户可以根据需要自行设计UI，换肤。</w:t>
            </w:r>
          </w:p>
          <w:p w14:paraId="4DE32DF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20.延时自动退出登录，如微信登录用户离开设备时没有退出，系统自动检测超时退出该用户登录。</w:t>
            </w:r>
          </w:p>
          <w:p w14:paraId="340E489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21.帮助及常见问题解答功能，新用户快速熟悉操作流程。</w:t>
            </w:r>
          </w:p>
          <w:p w14:paraId="2277E67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22.设备故障申报，用户发现问题可以及时通知管理方。</w:t>
            </w:r>
          </w:p>
          <w:p w14:paraId="330F65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三、朗读云平台系统</w:t>
            </w:r>
          </w:p>
          <w:p w14:paraId="6D3BE1E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1.用户权限管理，根据工作需要可以设置系统用户权限，如系统管理员，审核员，操作员等。</w:t>
            </w:r>
          </w:p>
          <w:p w14:paraId="2A06E0A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2.设置及管理用户每天使用设备的时间及使用次数。</w:t>
            </w:r>
          </w:p>
          <w:p w14:paraId="5C80853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3.用户及粉丝管理，分析统计用户和粉丝数量以及属性。</w:t>
            </w:r>
          </w:p>
          <w:p w14:paraId="3938FBB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4.数据分析，读者数，粉丝增长量，作品分享排行，文章热门排行，设备录音作品数排行等。</w:t>
            </w:r>
          </w:p>
          <w:p w14:paraId="514E19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5.更新上传文库，管理员或者使用单位均可上传自己的专属文库资源，管理自己设备的文库。</w:t>
            </w:r>
          </w:p>
          <w:p w14:paraId="3F8688B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6.朗读资源分类，支持重新定义朗读资源模块，比如增加红色经典阅读等自定义模块。</w:t>
            </w:r>
          </w:p>
          <w:p w14:paraId="2741153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7.活动赛事管理，使用单位根据自己的需求创建及管理自己的活动赛事。</w:t>
            </w:r>
          </w:p>
          <w:p w14:paraId="76C10A2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8.配乐管理，可上传各种不同风格主题的配乐。</w:t>
            </w:r>
          </w:p>
          <w:p w14:paraId="0AC37E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9.录音作品管理，对录音作品分享，下载，删除录音作品，支持单个作品下载，支持朗读作品批量下载，更加方便后台下载管理。。</w:t>
            </w:r>
          </w:p>
          <w:p w14:paraId="7330577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10.作品审核功能，采取人工对用户上传发布的作品进行审核，审核通过后方可发布成功。</w:t>
            </w:r>
          </w:p>
          <w:p w14:paraId="63CED25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11. 作品外链功能，无缝连接至使用单位的微信公众号，可以收听，调用录音作品进行分享。 </w:t>
            </w:r>
          </w:p>
          <w:p w14:paraId="75AB33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12.远程设备管理，对设备进项远程监测，系统升级，文库升级等。</w:t>
            </w:r>
          </w:p>
          <w:p w14:paraId="73ADC31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13.屏保宣传文案推送，后台可推送宣传文案到设备的主屏幕，无人朗读时，自动播放视频或者图片或者文字。</w:t>
            </w:r>
          </w:p>
          <w:p w14:paraId="7BD4376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14.热门排行推送，支持手动设置热门文章，将指定的文章推送到热门排行分类中。</w:t>
            </w:r>
          </w:p>
          <w:p w14:paraId="12826B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15.评分系统：提供朗读评分系统，后台支持开关此功能。</w:t>
            </w:r>
          </w:p>
          <w:p w14:paraId="618F99D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四、文库资源</w:t>
            </w:r>
          </w:p>
          <w:p w14:paraId="758597E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1.文库资源总量≥75000+篇，支持智能搜索功能，文库定期更新添加，可自定义文库分类，支持设备单独使用该文库。</w:t>
            </w:r>
          </w:p>
          <w:p w14:paraId="40DD4C8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2.唐诗宋词元曲27500篇，含李白、杜甫、王勃、王维、孟浩然、王昌龄、王之涣、苏轼等作者作品。</w:t>
            </w:r>
          </w:p>
          <w:p w14:paraId="7FEDF5F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 经典文学2200篇，含《红楼梦》、《三国演义》、《西游记》、《家》、《十八春、《林海雪原》、《子夜》等。</w:t>
            </w:r>
          </w:p>
          <w:p w14:paraId="481A2BD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4.诗歌散文 6800篇，含毛泽东、泰戈尔、徐志摩、余光中。老舍、张爱玲、史铁生、冰心等作者作品。</w:t>
            </w:r>
          </w:p>
          <w:p w14:paraId="639C7B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5.节日精选（新年、清明节、劳动节、儿童节、建党节、建军节、父亲节、母亲节、中秋节、教师节）</w:t>
            </w:r>
          </w:p>
          <w:p w14:paraId="6DE7381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6.外语名篇 2800篇，含普希金、海明威、威廉·卡洛斯·威廉姆斯、海涅、高尔基、朗费罗等作者作品。</w:t>
            </w:r>
          </w:p>
          <w:p w14:paraId="02138D1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7.红色经典 650篇，含《保卫延安》、《红岩》等经典读本。</w:t>
            </w:r>
          </w:p>
          <w:p w14:paraId="17AF80C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8.党章学习 350篇，含《两学一做·学习教育手册》、《习近平总书记重要讲话读本》、《中国共产党章程》等。</w:t>
            </w:r>
          </w:p>
          <w:p w14:paraId="166F1F9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9.英语学习（英语四六级词汇、初高中英语词组）</w:t>
            </w:r>
          </w:p>
          <w:p w14:paraId="68A79B7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10.抗击疫情（防疫抗疫英雄人物、抗疫精神防疫抗疫故事、抗击疫情诗歌）</w:t>
            </w:r>
          </w:p>
          <w:p w14:paraId="334D11D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11.党建中心（中国共产党历史、党史人物故事）</w:t>
            </w:r>
          </w:p>
          <w:p w14:paraId="63CC038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12.普通话点读1000句，含生活、出行、工作、应急、学习等基础普通话学习。</w:t>
            </w:r>
          </w:p>
          <w:p w14:paraId="5073CE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13.唱响主旋律300首MTV。</w:t>
            </w:r>
          </w:p>
          <w:p w14:paraId="741D155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14.习近平相关著作≥18本，含习近平系列论述摘编、《平“语”近人——习近平总书记用典》、《习近平谈治国理政》等读本。</w:t>
            </w:r>
          </w:p>
          <w:p w14:paraId="6D79AE3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15.普通话测评（单音节、多音节、朗读短文、自由说话、词汇）</w:t>
            </w:r>
          </w:p>
          <w:p w14:paraId="24AE2B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16.爱我中华主题诵读库。</w:t>
            </w:r>
          </w:p>
          <w:p w14:paraId="32CB41A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17.名家经典，含鲁迅经典合集、朱自清散文集、顾城诗集、艾青诗集。冰心经典合集等名人读本。</w:t>
            </w:r>
          </w:p>
          <w:p w14:paraId="40D342C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18.国学经典，含四书五经，论语、中庸、大学、孟子、诗经，弟子规、春秋等经典著作。</w:t>
            </w:r>
          </w:p>
          <w:p w14:paraId="11FD428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19.红色家书100篇，二十四节气300篇，成语故事800篇，寓言故事500篇，绕口令100篇，雷锋日记100篇。</w:t>
            </w:r>
          </w:p>
          <w:p w14:paraId="51BA56B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20.中国诗词大会1-5季，朗读者第一季，朗读者第二季。</w:t>
            </w:r>
          </w:p>
          <w:p w14:paraId="429C092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21.地方特色方言，含四川话、广东话、闽南语、东北话、湖南话等。</w:t>
            </w:r>
          </w:p>
          <w:p w14:paraId="6C5D376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22.小语种点读（日语、英语、德语、意大利语、阿拉伯语、法语、汉语）。</w:t>
            </w:r>
          </w:p>
          <w:p w14:paraId="0154E4A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五、移动朗读分享系统</w:t>
            </w:r>
          </w:p>
          <w:p w14:paraId="5E623CB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1.微信分享功能</w:t>
            </w:r>
          </w:p>
          <w:p w14:paraId="13B5963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(1)朗读作品接入微朗读公众号。</w:t>
            </w:r>
          </w:p>
          <w:p w14:paraId="5030DC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(2)朗读作品支持接入使用单位微信公众号。</w:t>
            </w:r>
          </w:p>
          <w:p w14:paraId="1D4DEC4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朗读作品会自动推送到微信端，用户可进行试听，用户满意试听可选择分享发布，如不满意可删除录音，如满意可以将用户的录音，编辑成专辑分享传播，支持自定义音频封面，可上传手机中的照片，让文字、声音、背景融为一个整体。</w:t>
            </w:r>
          </w:p>
          <w:p w14:paraId="62D9B61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(4)积分兑换：用户朗读完成后可获取一定朗读积分，用户可在微信端积分兑换实体礼品，礼品以快递方式邮寄给用户，以鼓励更多用户参与朗读，提高设备使用率。</w:t>
            </w:r>
          </w:p>
          <w:p w14:paraId="2D951BB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(5)朗读小程序，随时随地线上朗读，支持作品编辑与分享，参与主题朗读活动。</w:t>
            </w:r>
          </w:p>
          <w:p w14:paraId="0B8BE7B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(6)作品播放前支持插播3秒内的宣传图片或者短视频用于公益宣传，管理后台自主上传。</w:t>
            </w:r>
          </w:p>
          <w:p w14:paraId="6F219F3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(7)微信端可收听到所有朗读者发布的作品，支持点赞，留言，转发。</w:t>
            </w:r>
          </w:p>
          <w:p w14:paraId="160F2B7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(8)微信端单独查看使用单位的朗读者的作品。</w:t>
            </w:r>
          </w:p>
          <w:p w14:paraId="000E30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(9)支持作品模糊搜索功能。</w:t>
            </w:r>
          </w:p>
          <w:p w14:paraId="3E15B76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(10)收听卡拉OK，影视配音，英语配音作品时，同时显示视频。</w:t>
            </w:r>
          </w:p>
          <w:p w14:paraId="6EB081C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(11)赛事活动入口，直接进入赛事活动入口，查看收听投票转发支持的作品。</w:t>
            </w:r>
          </w:p>
          <w:p w14:paraId="4FED5C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2.配套移动app功能</w:t>
            </w:r>
          </w:p>
          <w:p w14:paraId="78A2AB1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(1)可定制单位专属app学习页面，朗读应用。</w:t>
            </w:r>
          </w:p>
          <w:p w14:paraId="4DFA6A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(2)移动app内资源丰富，可提供电子图书、期刊在线阅读，电子图书可根据单位需求进行配置相应内容。</w:t>
            </w:r>
          </w:p>
          <w:p w14:paraId="42AC6EB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(3)资源的社交系统</w:t>
            </w:r>
          </w:p>
          <w:p w14:paraId="7EB5337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1)可提供全终端（移动端和pc端）的交流平台，实现兴趣小组功能。</w:t>
            </w:r>
          </w:p>
          <w:p w14:paraId="4F72041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2)用户可以创建自己的小组，可以设定小组名称、加入的权限，权限包括公开加入、邀请加入、审批加入等，用户可以浏览和发现小组。</w:t>
            </w:r>
          </w:p>
          <w:p w14:paraId="3DC1A4F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3)私有小组可以由创建者通过邀请码或使用客户端扫码邀请个人加入小组。</w:t>
            </w:r>
          </w:p>
          <w:p w14:paraId="63B9B96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4)小组内可以发表多个话题，话题可以被回复、点赞，可以被置顶。</w:t>
            </w:r>
          </w:p>
          <w:p w14:paraId="50CDB9D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5)可实现小组内话题整理，建立文件夹进行分级。</w:t>
            </w:r>
          </w:p>
          <w:p w14:paraId="0C9E59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6)实现小组一键群聊，创建小组的群聊。</w:t>
            </w:r>
          </w:p>
          <w:p w14:paraId="776D383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7)可实现小组内发表话题时，允许添加图片、录音、收藏的资源等内容。</w:t>
            </w:r>
          </w:p>
          <w:p w14:paraId="7469EF7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8)可实现用户写笔记功能，笔记可公开、可私有、可共享给部分好友。</w:t>
            </w:r>
          </w:p>
          <w:p w14:paraId="79C8C4E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9)笔记允许被好友查看、点赞、回复，并且可以作为资源转发推荐到消息、小组话题内。</w:t>
            </w:r>
          </w:p>
          <w:p w14:paraId="0C16090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10)可实现对笔记的分类，允许用户建立文件夹进行整理。</w:t>
            </w:r>
          </w:p>
          <w:p w14:paraId="3D04772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11)查看好友笔记动态时，允许给关注的人进行分组，并按照分组来查看不同分组内的人员笔记动态。</w:t>
            </w:r>
          </w:p>
          <w:p w14:paraId="644CE19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(4)其他社交</w:t>
            </w:r>
          </w:p>
          <w:p w14:paraId="1F09427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1)可实现在系统内的即时聊天，实现系统用户的消息、信函、语音聊天等主动交流的发起方式</w:t>
            </w:r>
          </w:p>
          <w:p w14:paraId="507DBC5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2)移动客户端需支持在线发起直播功能，直播可以被转发到聊天或者动态。用户点击即可打开直播，并且可以发文字进行互动。直播结束后可选择是否支持回放，允许回放可以让用户点击观看直播录像。</w:t>
            </w:r>
          </w:p>
          <w:p w14:paraId="1EF96C3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3)可实现基于专题资源进行多种形式互动分享，如：专题评论、转发，且可以转发至：小组、笔记、消息、通知、微信好友、朋友圈等，实现知识流转最大化。</w:t>
            </w:r>
          </w:p>
          <w:p w14:paraId="7863F12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4)客户端可支持管理员向用户发布公告。并且支持查看用户的已读和未读情况。公告可以支持添加图片、电子资源等。</w:t>
            </w:r>
          </w:p>
        </w:tc>
        <w:tc>
          <w:tcPr>
            <w:tcW w:w="1024" w:type="dxa"/>
            <w:tcBorders>
              <w:top w:val="nil"/>
              <w:left w:val="nil"/>
              <w:bottom w:val="single" w:color="auto" w:sz="4" w:space="0"/>
              <w:right w:val="single" w:color="auto" w:sz="4" w:space="0"/>
            </w:tcBorders>
            <w:shd w:val="clear" w:color="auto" w:fill="auto"/>
            <w:vAlign w:val="center"/>
          </w:tcPr>
          <w:p w14:paraId="6C45FB8B">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val="en-US" w:eastAsia="zh-CN" w:bidi="ar"/>
              </w:rPr>
              <w:t>2台</w:t>
            </w:r>
          </w:p>
        </w:tc>
        <w:tc>
          <w:tcPr>
            <w:tcW w:w="611" w:type="dxa"/>
            <w:tcBorders>
              <w:top w:val="nil"/>
              <w:left w:val="nil"/>
              <w:bottom w:val="single" w:color="auto" w:sz="4" w:space="0"/>
              <w:right w:val="single" w:color="auto" w:sz="4" w:space="0"/>
            </w:tcBorders>
            <w:shd w:val="clear" w:color="auto" w:fill="auto"/>
            <w:vAlign w:val="center"/>
          </w:tcPr>
          <w:p w14:paraId="69C24F19">
            <w:pPr>
              <w:jc w:val="center"/>
              <w:rPr>
                <w:rFonts w:hint="eastAsia" w:asciiTheme="minorEastAsia" w:hAnsiTheme="minorEastAsia" w:eastAsiaTheme="minorEastAsia" w:cstheme="minorEastAsia"/>
                <w:sz w:val="24"/>
                <w:szCs w:val="24"/>
              </w:rPr>
            </w:pPr>
          </w:p>
        </w:tc>
      </w:tr>
      <w:tr w14:paraId="51B8E35D">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84C480A">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4</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645EB1DC">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65寸有声信息发布展示系统</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36510EC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65寸多点触摸显示屏 4+32G内存  有声贺卡展示 播放 读书 听书 活动赛事展示 党建学习                                             </w:t>
            </w:r>
          </w:p>
          <w:p w14:paraId="5364F3A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有声信息展示发布系统  x1套                      </w:t>
            </w:r>
          </w:p>
          <w:p w14:paraId="62D5D1A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有声信息发布管理云平台系统  x1套    </w:t>
            </w:r>
          </w:p>
          <w:p w14:paraId="390F457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 海量文库资源总量不少于50000篇，支持智能搜索功能，文库定期更新添加。</w:t>
            </w:r>
          </w:p>
          <w:p w14:paraId="348EFB1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1.屏幕尺寸≥：65</w:t>
            </w:r>
          </w:p>
          <w:p w14:paraId="6E38B66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2.类型：商用液晶屏 A 规</w:t>
            </w:r>
          </w:p>
          <w:p w14:paraId="24938F3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3.分辨率≥: 3840*2160色彩：16.7M</w:t>
            </w:r>
          </w:p>
          <w:p w14:paraId="3D7841D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4.亮度:≥350cd/㎡ 对比度:≥1400：1 响应时间:&lt; 5ms 刷新频率:50/60Hz</w:t>
            </w:r>
          </w:p>
          <w:p w14:paraId="7DC062D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5.可视角度:水平178度；垂直178度</w:t>
            </w:r>
          </w:p>
          <w:p w14:paraId="1C38802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6.触摸屏类型:多点红外触摸技术</w:t>
            </w:r>
          </w:p>
          <w:p w14:paraId="480FA10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7.理论点击次数:6000 万次以上</w:t>
            </w:r>
          </w:p>
          <w:p w14:paraId="6EBF74F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8.防爆玻璃保护膜</w:t>
            </w:r>
          </w:p>
          <w:p w14:paraId="5A8FDA7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9.操作系统:Android11</w:t>
            </w:r>
          </w:p>
          <w:p w14:paraId="270EDD1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10.CPU: A73×2+A53×2</w:t>
            </w:r>
          </w:p>
          <w:p w14:paraId="746D966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11.存储≥4+32G 支持外部SD卡，USB2.0.</w:t>
            </w:r>
          </w:p>
          <w:p w14:paraId="44ABBB7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12.音视频支持MP3,WMA,WAV, APE, FLAC, AAC, OGG,M4A,3GPP , 4K、H.265硬解码10bits色深、HDMI2.0，支持1080P多格式视频解码1080P视频编码，支持H.264, VP8 和MVC图像增强处理。</w:t>
            </w:r>
          </w:p>
          <w:p w14:paraId="39EEC48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13.图片:支持 JPG、BMP、PNG 等各种图片格式浏览并支持旋转/幻灯片播放/图片放大功能</w:t>
            </w:r>
          </w:p>
          <w:p w14:paraId="220C221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14.存储接口，支持DDR3L, LPDDR2, LPDDR3接口：内嵌13M ISP 及 MIPI-CSI 接口。</w:t>
            </w:r>
          </w:p>
          <w:p w14:paraId="53B537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15.输入电源:AC110－240V 50/60Hz整机功耗:≤100W</w:t>
            </w:r>
          </w:p>
          <w:p w14:paraId="4F17315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p>
          <w:p w14:paraId="7869C64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二、有声信息展示发布系统</w:t>
            </w:r>
          </w:p>
          <w:p w14:paraId="763E121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1、推荐作品或按点赞数Top100的有声贺卡作品上屏显示，可设置自动审核有声贺卡上屏显示。</w:t>
            </w:r>
          </w:p>
          <w:p w14:paraId="4D5C9A0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2、有声贺卡自动滚动播放，实时更新，可实时播放该作品、显示点赞数量，显示作品二维码，同时用户可扫码在手机上收听作品。</w:t>
            </w:r>
          </w:p>
          <w:p w14:paraId="141F396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3、手写心愿祝福留言功能，不少于4种心愿祝福背景，审核通过后心愿祝福会展示在有声信息屏上。</w:t>
            </w:r>
          </w:p>
          <w:p w14:paraId="1D5CA7A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4、屏幕显示时间、天气、机构名称等信息。</w:t>
            </w:r>
          </w:p>
          <w:p w14:paraId="4870498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5、屏幕显示背景图片可更换。</w:t>
            </w:r>
          </w:p>
          <w:p w14:paraId="036411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6、内嵌手机朗读小程序，扫描屏幕的二维码可在手机端朗读，朗读后的作品支持上屏显示。</w:t>
            </w:r>
          </w:p>
          <w:p w14:paraId="1579D7A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7、朗读风采展示，显示机构名称，查看赛事活动作品、活动赛事说明宣传图片。显示活动赛事介绍、参赛人数等。</w:t>
            </w:r>
          </w:p>
          <w:p w14:paraId="0E7A41F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8、支持显示活动赛事二维码，用户手机扫码投票及报名参赛。</w:t>
            </w:r>
          </w:p>
          <w:p w14:paraId="3BD74D6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9、显示参赛作品，可试听作品，显示作业收听数量、点赞数量、投票数量。                                                                           </w:t>
            </w:r>
          </w:p>
          <w:p w14:paraId="294FD7D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10、显示有声图书列表，资源自动滚动显示、滑动显示，显示有声书籍封面、名称。</w:t>
            </w:r>
          </w:p>
          <w:p w14:paraId="269EDBD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11、有声图书播放，页面支持播放、暂停、进度条、上一章节、下一章节、音量加减按钮。</w:t>
            </w:r>
          </w:p>
          <w:p w14:paraId="4370614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12、显示文本类图书列表，图书支持自动滚动显示、滑动显示，显示书籍封面、名称。</w:t>
            </w:r>
          </w:p>
          <w:p w14:paraId="23129B6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13、在线阅读，页面支持左右滑动翻页，显示章节按钮，点击按钮显示书籍章节，章节可上下滑动。</w:t>
            </w:r>
          </w:p>
          <w:p w14:paraId="2FD3179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14、内嵌党建学习期刊，学习强国，学习强军。</w:t>
            </w:r>
          </w:p>
          <w:p w14:paraId="4CA177D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p>
          <w:p w14:paraId="1A49A43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三、有声信息发布管理云平台系统</w:t>
            </w:r>
          </w:p>
          <w:p w14:paraId="2F93B3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1.根据工作需要支持用户名密码，远程登录云平台，管理前端有声信息屏显示及发布相关内容。</w:t>
            </w:r>
          </w:p>
          <w:p w14:paraId="48EDB07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2.支持上传有声墙背景图片，自定义机构名称。</w:t>
            </w:r>
          </w:p>
          <w:p w14:paraId="0CF08EC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3.支持自定义编辑模上屏显示的模块顺序，模块名称</w:t>
            </w:r>
          </w:p>
          <w:p w14:paraId="5BC7459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4.编辑发布上屏的有声贺卡，管理发布上屏有声贺卡，取消有声贺卡上屏显示，有声贺卡上屏审核功能。</w:t>
            </w:r>
          </w:p>
          <w:p w14:paraId="51CED8A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5.支持手写心愿留言功能的自动与人工审核功能，设置自动审核后，用户上传的心愿留言祝福都将自动上屏显示，设置人工审核需要管理员审核该留言内容通过后，才能上屏显示。</w:t>
            </w:r>
          </w:p>
          <w:p w14:paraId="23639F3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6.管理手写心愿留言祝福，支持删除，背景更换，显示顺序。</w:t>
            </w:r>
          </w:p>
          <w:p w14:paraId="2635795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7.管理活动赛事上屏，新增活动赛事，下架活动赛事，</w:t>
            </w:r>
          </w:p>
          <w:p w14:paraId="5EDAF47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8.管理有声图书，定义有声书籍顺序，新增和删除有声书籍，支持机构上传自己的私有有声图书资源。</w:t>
            </w:r>
          </w:p>
          <w:p w14:paraId="5C4AC4B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9.管理电子文本图书，自定义电子书籍顺序，新增和删除电子书籍，支持机构上传自己的私有电子图书资源。</w:t>
            </w:r>
          </w:p>
          <w:p w14:paraId="311CB3D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10.支持新增上屏web模块，自定义web模块顺序，管理删除web模块。</w:t>
            </w:r>
          </w:p>
          <w:p w14:paraId="23244F2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11.支持软件自动在线升级，无需人工操作。</w:t>
            </w:r>
          </w:p>
          <w:p w14:paraId="5673D18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四、内容资源</w:t>
            </w:r>
          </w:p>
          <w:p w14:paraId="4BE8DFE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1.海量文库资源总量不少于50000篇，支持智能搜索功能，文库定期更新添加。</w:t>
            </w:r>
          </w:p>
          <w:p w14:paraId="30F3265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2.可自定义文库分类，支持设备单独使用该文库。</w:t>
            </w:r>
          </w:p>
          <w:p w14:paraId="26C7029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3.唐诗宋词元曲27500篇，含李白、杜甫、王勃、王维、孟浩然、王昌龄、王之涣、岑参、苏轼、辛弃疾、柳永、李清照、晏殊、周邦彦、关汉卿、白朴、。郑光祖、马致远、张养浩等作者作品。</w:t>
            </w:r>
          </w:p>
          <w:p w14:paraId="5324535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4.经典文学2200篇，含《红楼梦》、《三国演义》、《西游记》、《家》、《十八春、《林海雪原》、《子夜》等。</w:t>
            </w:r>
          </w:p>
          <w:p w14:paraId="25B750A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  诗歌散文 6800篇，含毛泽东、泰戈尔、徐志摩、余光中。老舍、张爱玲、丰子恺、史铁生、冰心、海子、林徽因、戴望舒、仓央嘉措、李叔同、胡适、林清玄、等作者作品。</w:t>
            </w:r>
          </w:p>
          <w:p w14:paraId="0BB6BA7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  亲子儿童 680篇，含经典儿歌、经典童谣、安徒生童话、格林童话等。</w:t>
            </w:r>
          </w:p>
          <w:p w14:paraId="35822C9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  外语名篇 2800篇，含普希金、海明威、威廉·卡洛斯·威廉姆斯、海涅、海伦凯勒、托马斯·纳什、高尔基、朗费罗等作者作品。</w:t>
            </w:r>
          </w:p>
          <w:p w14:paraId="24AF6C3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  红色经典 700篇，含《保卫延安》、《红岩》等经典读本。</w:t>
            </w:r>
          </w:p>
          <w:p w14:paraId="7C00BA4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  党建学习 580篇，含《两学一做·学习教育手册》、《习近平总书记重要讲话读本》、《中国共产党章程》等。</w:t>
            </w:r>
          </w:p>
          <w:p w14:paraId="041F620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 雷锋日记 100篇。</w:t>
            </w:r>
          </w:p>
          <w:p w14:paraId="6DDCD9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 中学生必读100篇。含《追风筝的人》、《麦田里的守望者》等读本。</w:t>
            </w:r>
          </w:p>
          <w:p w14:paraId="69E3A1B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 小学生必读100篇，含中国成语故事、国外经典童趣故事等读本。</w:t>
            </w:r>
          </w:p>
          <w:p w14:paraId="4526480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 示范诵读，名家名篇 100篇，（教育部颁布的必读100篇）。</w:t>
            </w:r>
          </w:p>
          <w:p w14:paraId="5CE4BCF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 普通话1000句，含生活、出行、工作、应急、学习等基础普通话学习。</w:t>
            </w:r>
          </w:p>
          <w:p w14:paraId="34486BC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 习近平相关著作不少于18本，含习近平系列论述摘编、《平“语”近人——习近平总书记用典》、《习近平谈治国理政》等读本。</w:t>
            </w:r>
          </w:p>
          <w:p w14:paraId="7FAA1B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 K12语文同步教材，含1-9年级部编版语文教材，人教版高中必修1-必修5语文教材，人教版高中选修2本。</w:t>
            </w:r>
          </w:p>
          <w:p w14:paraId="320DC52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 建国70周年主题诵读库。</w:t>
            </w:r>
          </w:p>
          <w:p w14:paraId="576CB6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18.名家经典，含鲁迅经典合集、朱自清散文集、顾城诗集、艾青诗集等名人读本。</w:t>
            </w:r>
          </w:p>
          <w:p w14:paraId="59B3394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19.国学经典，含论语、中庸、大学、孟子等经典著作。</w:t>
            </w:r>
          </w:p>
          <w:p w14:paraId="3FB9D39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20.每日有声资讯、党史故事实时轮播，要闻自动播放、将党性教育融入日常（音频+图文）。</w:t>
            </w:r>
          </w:p>
          <w:p w14:paraId="5D29281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21.中央文件发布和权威解读，第一时间获取党中央重大决策部署，及时阅览重要政策文件及官方解读；包含新华社早新闻和权威发布，每日更新国内外时政要闻、社会事件播报和党中央重要指示、重要讲话；半月谈评论和基层治理智库，专家评论员针对社会热点事件进行深度评论；当下中央会议、时政大事专栏，包括两会、中央委员会等；习近平总书记一周最新讲话、活动动态视频。</w:t>
            </w:r>
          </w:p>
          <w:p w14:paraId="718225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22.学习·党史  党史上的今天回顾 党的历史上的今天发生的重大事件；讲述党的历史上重要事件、关键人物事迹；扫码开始党史问答，定期推送；“红色百宝  奋斗百年”专题视频，百件党史文物背后的故事；国家照片档案馆专题纪录片，记录中国近代历史和重大事件。</w:t>
            </w:r>
          </w:p>
          <w:p w14:paraId="7C09331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23.《理论达人讲解脱贫攻坚》《理论达人讲解十九大》《理论达人讲解新时代》系列视频；宪法、宪法宣誓、法律法规等法治内容，响应“法治国家、法治政府、法治社会”号召，宪法宣誓誓词上墙，集纳《宪法》《民法典》等重要法律法规；总书记用典和全民阅读，习近平总书记讲话引用的经典名句典故 、经典图书扫码阅读；三农简讯和振兴案例，为广大“三农”工作者精准推荐行业内新闻资讯，汇集各地乡村振兴优秀案例。</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23E13A5F">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val="en-US" w:eastAsia="zh-CN" w:bidi="ar"/>
              </w:rPr>
              <w:t>2套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FBD2744">
            <w:pPr>
              <w:jc w:val="center"/>
              <w:rPr>
                <w:rFonts w:hint="eastAsia" w:asciiTheme="minorEastAsia" w:hAnsiTheme="minorEastAsia" w:eastAsiaTheme="minorEastAsia" w:cstheme="minorEastAsia"/>
                <w:sz w:val="24"/>
                <w:szCs w:val="24"/>
              </w:rPr>
            </w:pPr>
          </w:p>
        </w:tc>
      </w:tr>
      <w:tr w14:paraId="0FB5EC3A">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007CCC42">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15</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60C47E93">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电子墨水屏阅读器系统</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19A9024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一、显示触控屏参数：</w:t>
            </w:r>
          </w:p>
          <w:p w14:paraId="3772636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1.屏幕：≥10.3" E ink。</w:t>
            </w:r>
          </w:p>
          <w:p w14:paraId="4F76499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2.屏体分辨率：≥1440×1872 (227ppi)。</w:t>
            </w:r>
          </w:p>
          <w:p w14:paraId="6145EE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3.材质：电子墨水屏，纯平盖板。</w:t>
            </w:r>
          </w:p>
          <w:p w14:paraId="3F416BF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4.屏幕强度：4H。</w:t>
            </w:r>
          </w:p>
          <w:p w14:paraId="7CB79B8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5.屏幕颜色：黑，白，16度灰显示屏。</w:t>
            </w:r>
          </w:p>
          <w:p w14:paraId="77F7269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6.多点触摸：支持2点触控。</w:t>
            </w:r>
          </w:p>
          <w:p w14:paraId="20CDA19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7.背光：冷暖双色温背光。</w:t>
            </w:r>
          </w:p>
          <w:p w14:paraId="3C5EB93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8.触摸方式：电容触控。</w:t>
            </w:r>
          </w:p>
          <w:p w14:paraId="1DA54B8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二、硬件配置参数：</w:t>
            </w:r>
          </w:p>
          <w:p w14:paraId="0AF611F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1.CPU: 八核 主频2.3GHz。</w:t>
            </w:r>
          </w:p>
          <w:p w14:paraId="205151A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2.运行内存：4G。</w:t>
            </w:r>
          </w:p>
          <w:p w14:paraId="528AD3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3.内置存储：32G。</w:t>
            </w:r>
          </w:p>
          <w:p w14:paraId="6237123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4.操作系统：Android 11。</w:t>
            </w:r>
          </w:p>
          <w:p w14:paraId="74742C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5.电池类型：4000mAh Polymer Li-on。</w:t>
            </w:r>
          </w:p>
          <w:p w14:paraId="5D66C33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6.网络：WiFi (802.11b/g/n/ac/ax) 。</w:t>
            </w:r>
          </w:p>
          <w:p w14:paraId="7C6A4B3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7.数据传输：USB Type-C。</w:t>
            </w:r>
          </w:p>
          <w:p w14:paraId="74844F1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三、音频配置参数：</w:t>
            </w:r>
          </w:p>
          <w:p w14:paraId="2C2658F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1.麦克风：显示面板前置4阵列矩阵麦克风，支持语音输入。</w:t>
            </w:r>
          </w:p>
          <w:p w14:paraId="613BB9D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2.扬声器：1.5W。</w:t>
            </w:r>
          </w:p>
          <w:p w14:paraId="0FBC489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3.耳机接口：支持USB Type-C转3.5m音频口。</w:t>
            </w:r>
          </w:p>
          <w:p w14:paraId="595A7A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四、其它：</w:t>
            </w:r>
          </w:p>
          <w:p w14:paraId="69CB95A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尺寸：≥191.1×232.5×8.23mm 机身最薄处：5.01mm。</w:t>
            </w:r>
          </w:p>
          <w:p w14:paraId="14DFAF2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五、电子阅读器所含资源与功能：  </w:t>
            </w:r>
          </w:p>
          <w:p w14:paraId="619FC86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1.提供≥20000本适合中小学教师与学生使用的高清电子图书，图书资源针对学生、老师身份登录展示不同的资源。 </w:t>
            </w:r>
          </w:p>
          <w:p w14:paraId="6026737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 提供面向学生统编教材推荐书单、中小学阅读指导目录、学校共读书单、心智地图书单等书目推荐，推荐图书按照分类、年级等方式进行筛选，能够按照默认、最新、热门进行排序。提供学生电子书屋，支持按照学科分类、年级进行筛选。 （本项须提供功能截图佐证）</w:t>
            </w:r>
          </w:p>
          <w:p w14:paraId="6DF7AB3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3.提供面向教师的教学阅读图书与通识阅读图书，教学阅读图书支持按照阅读指导、视野拓展、教育研究、教学实践、综合素养、学科专业进行分类。 </w:t>
            </w:r>
          </w:p>
          <w:p w14:paraId="01D2BE7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4.通过在线书城下载，直接阅读原版文本全文。 （本项须提供功能截图佐证）</w:t>
            </w:r>
          </w:p>
          <w:p w14:paraId="53FBB6D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5.★提供≥1000套适合中小学学生的图书测评题库，根据图书内容进行测评，可在线答题，在线获得测评结果。 （本项须提供功能截图佐证）</w:t>
            </w:r>
          </w:p>
          <w:p w14:paraId="249B89E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6.★提供8000集音频，支持按照分类、年级进行筛选，支持按照图书进行在线点播，播放界面支持进度调整、音量控制。 （本项须提供功能截图佐证）</w:t>
            </w:r>
          </w:p>
          <w:p w14:paraId="37B446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7.支持教师用户、学生用户账号切换，学生用户支持图书下载、图书阅读、图书测评等功能。教师用户支持学习通账号关联、图书推送、图书下载、图书阅读、数据统计等功能。 </w:t>
            </w:r>
          </w:p>
          <w:p w14:paraId="0F5A177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8.支持PDF, EPUB , TXT, MOBI等格式本地图书导入阅读。支持PNG, JPG,TIFF ,BMP等格式图片导入显示 </w:t>
            </w:r>
          </w:p>
          <w:p w14:paraId="6EAB570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9.支持图书字体切换、文字划线、批注笔记、字典、搜索、书签等阅读功能 </w:t>
            </w:r>
          </w:p>
          <w:p w14:paraId="7EC794F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10.可对接校园阅读系统，实现账号、资源、数据打通，支持学生接收、完成阅读计划任务，按照教师要求阅读指定内容、参与阅读打卡、完成阅读测评、提交读后感，学生数据提交后可汇总到教师进行管理显示。</w:t>
            </w:r>
          </w:p>
          <w:p w14:paraId="1DFB9D1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11.可对接校园阅读系统，实现账号、资源、数据打通，支持教师发布签到、投票、选人、讨论等课堂互动任务及课堂资料，学生接收互动任务及课堂资料，教师回收任务反馈的智慧课堂管理流程。</w:t>
            </w:r>
          </w:p>
          <w:p w14:paraId="15B6DDA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支持在线阅读期刊，提供1000种中小学学生阅读、家长引导、教师教学相关中文期刊。支持按照小学、初中、高中进行分类显示。支持在线切换刊期阅读阅览，整本下载阅读，支持自适应排版，支持左右翻页、字体更换、间距调整阅读。 （本项须提供功能截图佐证）</w:t>
            </w:r>
          </w:p>
          <w:p w14:paraId="1294BE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13.★在线书城支持图书馆自主建立图书书单推荐，重点书单在首页推荐，并可浏览所有推荐书单，推荐详情中展示专题图书的介绍，并可查看详情下载图书。 （本项须提供功能截图佐证）</w:t>
            </w:r>
          </w:p>
          <w:p w14:paraId="5231305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14.支持后台对图书进行分类定制，支持上传自有图书，支持创建分类并将上传的图书放入不同分类管理，并将图书发布到在线书城，供读者下载阅读。</w:t>
            </w:r>
          </w:p>
          <w:p w14:paraId="0CF499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15.支持后台批量推送图书，将选定的图书或文件夹实时推送到阅读器上供读者阅读。</w:t>
            </w:r>
          </w:p>
          <w:p w14:paraId="3A7E10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16.可使用手机端扫描阅读器上二维码登录个人账号，历史阅读记录加入书架，读者可对图书进行整理，建立分类文件夹、移动删除图书，书架图书与阅读进度保存在云端，更换阅读器再次扫码即可自动同步。 </w:t>
            </w:r>
          </w:p>
          <w:p w14:paraId="1ACA5A2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17.手机客户端提供个人阅读报告，统计累计阅读时长、已读图书、最近阅读时长与图书，并可对阅读分类、阅读时长、阅读时段进行分析统计。</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1076AD71">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36套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E888CF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主要产品</w:t>
            </w:r>
          </w:p>
        </w:tc>
      </w:tr>
      <w:tr w14:paraId="4F7B5D42">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383B7CB4">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16</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963EC74">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电子墨水屏阅读系统支架</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2041A32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材质：合金</w:t>
            </w:r>
          </w:p>
          <w:p w14:paraId="6359ABD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颜色：灰黑</w:t>
            </w:r>
          </w:p>
          <w:p w14:paraId="687785F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适用6寸至10.3寸墨水屏阅读器</w:t>
            </w:r>
          </w:p>
          <w:p w14:paraId="2EDCB18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标准尺寸:125mm*125mm*155mm</w:t>
            </w:r>
          </w:p>
          <w:p w14:paraId="174F864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双轴调节，可调节前后位置与俯仰角度</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0D6DCBE0">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36套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260EAE4">
            <w:pPr>
              <w:jc w:val="center"/>
              <w:rPr>
                <w:rFonts w:hint="eastAsia" w:asciiTheme="minorEastAsia" w:hAnsiTheme="minorEastAsia" w:eastAsiaTheme="minorEastAsia" w:cstheme="minorEastAsia"/>
                <w:sz w:val="24"/>
                <w:szCs w:val="24"/>
              </w:rPr>
            </w:pPr>
          </w:p>
        </w:tc>
      </w:tr>
      <w:tr w14:paraId="5AEBCFE1">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4A443EF6">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17</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38CB52F">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电子墨水屏阅读器系统充电车</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64A4758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1.整机支持60台设备同时充电；整机尺寸：长880*宽550*高1070（mm）；柜体工位可放置最大设备尺寸≤340*240*27（mm）；</w:t>
            </w:r>
          </w:p>
          <w:p w14:paraId="5860360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2.主体材质1.0-3.0（mm）SPCC冷轧碳素钢与环保ABS工程塑料相结合;采用全封闭防盗结构、工艺上耐酸碱腐蚀、耐磨、防静电等。</w:t>
            </w:r>
          </w:p>
          <w:p w14:paraId="34815B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3.外型三方整体大圆弧过度，圆弧D80MM，外观颜色采用黑白相间的经典配置，美观大气，安全稳固。</w:t>
            </w:r>
          </w:p>
          <w:p w14:paraId="56058D3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采用分舱设计，前部为老师、学生使用区域，后部为设备调试维护区域。前后使用不同防盗锁（其中前门为双重防盗天地锁），注重前仓设备的安全保护。内部分舱，强弱电分离，学生无法接触强电部分。（前舱为设备放置充电区域，学生接触区域，无强电；后舱为电源管理控制区域，由专业管理人员控制）。</w:t>
            </w:r>
          </w:p>
          <w:p w14:paraId="36EF40C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5.高品质超静音脚轮（四轮万向，两轮带刹车）和内嵌式左右人体工学把手。</w:t>
            </w:r>
          </w:p>
          <w:p w14:paraId="416D64A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6.柜体侧面带有隐藏式置物槽，可存放电源线，无线AP等。</w:t>
            </w:r>
          </w:p>
          <w:p w14:paraId="0B10C7D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7.独创专利智能互循环散热结构，辅以温控感应控制风扇强制散热。</w:t>
            </w:r>
          </w:p>
          <w:p w14:paraId="374F024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8.环保 ABS 工程塑料单机隔断，保证隔断塑料面板厚度不低于7MM，以保证隔板强度，同时在设计上采用新颖的ABS隔板四面包围方式，以保障设备用电安全，其中内置隔板上带有卡线槽且不划伤屏幕，柜内USB线走线顺畅，美观。同时又预留凹槽方便拿取电脑。</w:t>
            </w:r>
          </w:p>
          <w:p w14:paraId="09D880A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供电安全方面采用独有的USB接口后置供电模式，5V/0.5-2A之间智能输出，电源管理芯片式集成电路设计，自动检测平板允许输入电流，优先供应低电位设备。根据电池电量自动以普通，快速，涓流三种模式供电，满电自动断电。USB接口出现故障和短路情况（比如USB线短路，平板的短路等情况）电源管理芯片具备智能化自适应、自检测、自恢复功能，保障设备的及时供电和用电安全。</w:t>
            </w:r>
          </w:p>
          <w:p w14:paraId="4162408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10.外置LED数字指示灯对应柜内相应位置的设备，集中显示，实时反映每台平板充电状态，无需开门即可轻松观测设备状态。</w:t>
            </w:r>
          </w:p>
          <w:p w14:paraId="129832A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11.配有一体化电源管理系统，集防漏电，防短路，防过载，多模式显示数码智能开关机功能为一体。可随心设置时间，节约能源，具有优先供电功能。使用（自动）时，系统默认为全天充电。</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428B209B">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38E7662">
            <w:pPr>
              <w:jc w:val="center"/>
              <w:rPr>
                <w:rFonts w:hint="eastAsia" w:asciiTheme="minorEastAsia" w:hAnsiTheme="minorEastAsia" w:eastAsiaTheme="minorEastAsia" w:cstheme="minorEastAsia"/>
                <w:sz w:val="24"/>
                <w:szCs w:val="24"/>
              </w:rPr>
            </w:pPr>
          </w:p>
        </w:tc>
      </w:tr>
      <w:tr w14:paraId="11A7F0CA">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BFFA541">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18</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A39C71A">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无线路由器</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22A0B5C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商品名称:无线路由器 FEM:外置FEM 天线:外置天线 WAN口类型:电口，其他 无线速率:5400M WAN接入口:千兆网口 LAN输出口:千兆网口 管理方式:APP管理，WEB页面，其.. 游戏加速:UU加速器 LAN口类型:电口，其他 散热方式:自然散热 独立FEM数量:6个 频段:双频，其他 APP控制:支持APP控制 无线协议:Wi-F6 其他端口:其他 防火墙:支持防火墙 机身材质:塑料 是否支持Mesh:支持Mesli 适用面积:121-150㎡ 总带机量:51-80终端 LAN口数量:3个</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4AD2C9A1">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6台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78D783D">
            <w:pPr>
              <w:jc w:val="center"/>
              <w:rPr>
                <w:rFonts w:hint="eastAsia" w:asciiTheme="minorEastAsia" w:hAnsiTheme="minorEastAsia" w:eastAsiaTheme="minorEastAsia" w:cstheme="minorEastAsia"/>
                <w:sz w:val="24"/>
                <w:szCs w:val="24"/>
              </w:rPr>
            </w:pPr>
          </w:p>
        </w:tc>
      </w:tr>
      <w:tr w14:paraId="5546699C">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133EC7A">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19</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C182897">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影音体验机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250FAB2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一、技术参数与要求：</w:t>
            </w:r>
          </w:p>
          <w:p w14:paraId="798352E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1.系统：</w:t>
            </w:r>
          </w:p>
          <w:p w14:paraId="5AA849E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（1）基于1080×1920分辨率大屏安卓触摸一体机研发，软件运行环境为Android7.1及以上系统。</w:t>
            </w:r>
          </w:p>
          <w:p w14:paraId="184AFBF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（2）系统应具备配套的手机客户端，系统内的影音资源可通过配套的手机客户端进行扫码、带走观看。手机客户端需同时支持ios、android系统。</w:t>
            </w:r>
          </w:p>
          <w:p w14:paraId="6EC4CEA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（3）支持微信等第三方扫描工具进行扫码，扫码后可进行观看。并能将资源分享至朋友圈等社交网络。</w:t>
            </w:r>
          </w:p>
          <w:p w14:paraId="70B6759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（4）支持远程升级，支持一键更新，减少管理成本。</w:t>
            </w:r>
          </w:p>
          <w:p w14:paraId="503CA93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（5）具备完善的后台管理系统，实现用户自主化管理。</w:t>
            </w:r>
          </w:p>
          <w:p w14:paraId="371CBBE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（6）提供完善的售后说明。</w:t>
            </w:r>
          </w:p>
          <w:p w14:paraId="6B23E56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2.资源配置：</w:t>
            </w:r>
          </w:p>
          <w:p w14:paraId="41D7DC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视频资源：内置≥2000集视频资源，包括不限于国学古典、经济管理、人物历史、文化艺术等覆盖各大领域资源，资源支持不定期进行更新。视频支持单集、系列选集播放，同时支持在线观看或扫码带走观看。</w:t>
            </w:r>
          </w:p>
          <w:p w14:paraId="407678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有声资源：提供≥2000集有声图书音频资源，内容包括不限于国内大奖书系《一只与肖恩同岁的鸡》、《大地的铃铛》、《鞋尖朝外》等。一年级爱科学系列丛书、上学真有趣系列丛书等精品励志助学精品故事，资源均为正版授权资源。</w:t>
            </w:r>
          </w:p>
          <w:p w14:paraId="3C95B5D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（3）国学音频：提供≥600集国学系列有声音频，内容涵盖贴合小学、中学、高中的音频资源，如《声律启蒙》、《诗经》、《笠翁对韵》等系列。音频均支持在线播放及扫码带走。</w:t>
            </w:r>
          </w:p>
          <w:p w14:paraId="109F79D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音乐鉴赏：提供6000+国内外音乐鉴赏资源，内容包括古典、少儿、中国音乐等各领域资源，包括不限于交响乐、室内乐、歌剧、芭蕾、协奏曲、乐器独奏等种类，有世界各国民族风情音乐，中国各地方民族音乐等。</w:t>
            </w:r>
          </w:p>
          <w:p w14:paraId="527DA2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（5）除了常规的影音资源外，也支持挂载图书、期刊等数字阅读资源进行呈现展示。</w:t>
            </w:r>
          </w:p>
          <w:p w14:paraId="62B22BE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3.其他：</w:t>
            </w:r>
          </w:p>
          <w:p w14:paraId="2D93BB7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（1）系统应支持个性化设置，如Logo、单位名称、背景图等自定义内容设置。</w:t>
            </w:r>
          </w:p>
          <w:p w14:paraId="09EFE8D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（2）提供后台管理平台，可以对终端内容进行统一管理、配置。</w:t>
            </w:r>
          </w:p>
          <w:p w14:paraId="1FE61E1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二、影音一体机硬件参数：</w:t>
            </w:r>
          </w:p>
          <w:p w14:paraId="4BBD783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1.视听桌外观：</w:t>
            </w:r>
          </w:p>
          <w:p w14:paraId="1C5B2D6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1）基材：选用E0级环保中密度纤维板，所有板材均经过防虫防潮处理，密度≤0.9g/cm3，含水率≤8%，静曲强度≥37MPa，弹性模量≥3000MPa，内结合强度≥0.65MPa，吸水厚度膨胀率≤10%，表面结合强度≥1MPa，板面握螺钉力≥1600N，板边握螺钉力≥1100N，甲醛释放量≤0.010mg/m³ </w:t>
            </w:r>
          </w:p>
          <w:p w14:paraId="5BBB517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油饰：采用华润或同档次品牌水性涂料，水性隐孔亚光，双面涂饰。苯系物总和含量未检出，烷基酚聚氧乙烯醚总和含量未检出。游离甲醛含量≤10mg/kg，VOC含量含量未检出，硬度≥2H。先进环保的涂料工艺，达到环保指标的要求。</w:t>
            </w:r>
          </w:p>
          <w:p w14:paraId="5815101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（3）胶粘剂：选用白乳胶，总挥发性有机物含量≤70g/L，游离甲醛未检出，苯：未检出，甲苯+二甲苯：未检出。</w:t>
            </w:r>
          </w:p>
          <w:p w14:paraId="1E45D3C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（4）五金件：五金配件，具有合理走线功能。</w:t>
            </w:r>
          </w:p>
          <w:p w14:paraId="05BE276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三、沙发：</w:t>
            </w:r>
          </w:p>
          <w:p w14:paraId="30728AC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（1）覆 面：采用麻绒阻燃面料覆面，甲醛释放量：未检出，可分解致癌芳香胺梁料：未检出。抗引燃特性评定为阻燃I级。</w:t>
            </w:r>
          </w:p>
          <w:p w14:paraId="0BB2348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（2）内框架：内框架采用一级实木，关键部位榫卯结构。背采用蛇形簧与高弹力尼龙编织带穿插编织打底，上覆泡绵：                         </w:t>
            </w:r>
          </w:p>
          <w:p w14:paraId="125A25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（3）泡棉：环保高回弹一次成型PU泡棉，座密度≥35kg/m3，背密度≥30kg/m3，回弹性≥40%。丝绵做填充，内部衬垫物干燥卫生、环保。泡棉用无苯胶粘剂粘接，且表面涂防老化变形保护膜。</w:t>
            </w:r>
          </w:p>
          <w:p w14:paraId="73C84C9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（4）底部配尼龙脚垫。结构稳固，着地平稳。 </w:t>
            </w:r>
          </w:p>
          <w:p w14:paraId="60663C7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四、硬件参数：</w:t>
            </w:r>
          </w:p>
          <w:p w14:paraId="44BFF46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1.显示屏参数：液晶屏 21.5 inch。</w:t>
            </w:r>
          </w:p>
          <w:p w14:paraId="6312620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2.触摸：10点电容触摸屏。</w:t>
            </w:r>
          </w:p>
          <w:p w14:paraId="5349186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3.屏幕分辨率：≥1920×1080。</w:t>
            </w:r>
          </w:p>
          <w:p w14:paraId="578C2C5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4.可视角度：89°/89°/89°/89°(L/R/U/D)。</w:t>
            </w:r>
          </w:p>
          <w:p w14:paraId="29F9366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5.亮度：≥250cd/m2。</w:t>
            </w:r>
          </w:p>
          <w:p w14:paraId="72F0551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6.对比度：≥1000：1。</w:t>
            </w:r>
          </w:p>
          <w:p w14:paraId="45E6433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7.显示屏颜色：16．7M。</w:t>
            </w:r>
          </w:p>
          <w:p w14:paraId="44ADDA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8.反应时间：≤14ms。</w:t>
            </w:r>
          </w:p>
          <w:p w14:paraId="318431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9.规格尺寸：耳机 头戴式降噪耳机。 </w:t>
            </w:r>
          </w:p>
          <w:p w14:paraId="24BBB0E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10.显示尺寸：≥（mm） 476.064 ×267.786。</w:t>
            </w:r>
          </w:p>
          <w:p w14:paraId="3E7B3EA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11.整机尺寸：≥（mm） 950×900×850。。</w:t>
            </w:r>
          </w:p>
          <w:p w14:paraId="4F8D9F2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12.机壳材质：木质桌面、铝合金型材面框</w:t>
            </w:r>
          </w:p>
          <w:p w14:paraId="5558CD9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13.电源与功耗：100-240VAC, 200w 。</w:t>
            </w:r>
          </w:p>
          <w:p w14:paraId="6A92348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14.内置电脑系统配置：系统 不低于Android 7.1及以上。</w:t>
            </w:r>
          </w:p>
          <w:p w14:paraId="45B1558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15.处理器：不低于RK 3399 六核 （双核A72+四核A53）主频2.0GHZ。</w:t>
            </w:r>
          </w:p>
          <w:p w14:paraId="523C57E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16.内存：≥4G 。</w:t>
            </w:r>
          </w:p>
          <w:p w14:paraId="34061C3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17.存储：≥32G。</w:t>
            </w:r>
          </w:p>
          <w:p w14:paraId="6982CF5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18.网卡：具备IEEE802.3和以太网1000M。4G（选配）。</w:t>
            </w:r>
          </w:p>
          <w:p w14:paraId="01F620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19.接口：≥RJ45×1。USB×2。电源×1。遥控×1。耳机输出×1。</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2FBC9A46">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4台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E7BD807">
            <w:pPr>
              <w:jc w:val="center"/>
              <w:rPr>
                <w:rFonts w:hint="eastAsia" w:asciiTheme="minorEastAsia" w:hAnsiTheme="minorEastAsia" w:eastAsiaTheme="minorEastAsia" w:cstheme="minorEastAsia"/>
                <w:sz w:val="24"/>
                <w:szCs w:val="24"/>
              </w:rPr>
            </w:pPr>
          </w:p>
        </w:tc>
      </w:tr>
      <w:tr w14:paraId="6DCB541E">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2BD6E59">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20</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1A2DC365">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文化长廊</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6ABF33B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1.系统：</w:t>
            </w:r>
          </w:p>
          <w:p w14:paraId="4585511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（1）软件运行环境不低于Windows10、64位操作系统。</w:t>
            </w:r>
          </w:p>
          <w:p w14:paraId="09394EA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系统必须具备配套的手机客户端，系统内的资源可通过配套的手机客户端进行扫码，下载资源至手机，下载后的资源，无需网络，随时随地进行阅读。配套的手机端应具备横屏阅读，夜间模式转换，文字大小调整等功能。手机客户端可保留相关阅读记录。手机客户端需同时支持ios、android系统。</w:t>
            </w:r>
          </w:p>
          <w:p w14:paraId="686BA7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（3）支持微信等第三方扫描工具进行扫码，扫码后获取在线阅读服务，无需下载客户端，并能将图书分享至朋友圈等社交网络。</w:t>
            </w:r>
          </w:p>
          <w:p w14:paraId="6343E92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（4）支持配置多个长廊内容，且可以随时切换查看。</w:t>
            </w:r>
          </w:p>
          <w:p w14:paraId="259E8D4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（5）支持多人共同操作，互不影响。</w:t>
            </w:r>
          </w:p>
          <w:p w14:paraId="5072756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（6）具备完善的后台管理系统，实现用户自主化管理。</w:t>
            </w:r>
          </w:p>
          <w:p w14:paraId="4953BC4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（7）支持远程升级，支持一键更新，减少管理成本。</w:t>
            </w:r>
          </w:p>
          <w:p w14:paraId="127D0C5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（8）具备良好的开放性，可以支持二次开发。</w:t>
            </w:r>
          </w:p>
          <w:p w14:paraId="280D39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（9）提供完善的售后说明。</w:t>
            </w:r>
          </w:p>
          <w:p w14:paraId="29B08BD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2.长廊配置：</w:t>
            </w:r>
          </w:p>
          <w:p w14:paraId="38B72EE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（1）长廊系统应至少支持图书、期刊、图片、名人、资讯、专题、视频、音频、少儿绘本、时间轴发展史等多种类型的资源配置到机器进行展示。 </w:t>
            </w:r>
          </w:p>
          <w:p w14:paraId="2C971EC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图书资源：系统提供≥3000册正版授权的epub格式电子图书且与原版图书保持原貌一致，如相关图片、目录等，每月定时更新≥150种热门电子图书。图书可以直接在线阅读，也可通过第三方扫描工具获取在线阅读服务或通过配套的手机客户端扫描图书二维码，下载至智能终端进行离线阅读。</w:t>
            </w:r>
          </w:p>
          <w:p w14:paraId="5E75871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（3）动态图片长廊：支持图片资源展示，支持单张或者多张展示、支持查看图片简介内容、支持手动放大缩小查看图片。</w:t>
            </w:r>
          </w:p>
          <w:p w14:paraId="78FCEF1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（4）名人长廊：支持人物信息展示，首页以人物专辑构成，支持查看该人物的成长简介信息、讲座视频、精彩图片、相关的图书。图书支持在线阅读和扫码阅读。视频支持在线观看。</w:t>
            </w:r>
          </w:p>
          <w:p w14:paraId="6F571F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（5）视频长廊：支持视频资源展示，支持单集和系列选集播放。视频支持在线观看或者扫码观看。</w:t>
            </w:r>
          </w:p>
          <w:p w14:paraId="1BEA1A6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（6）专题长廊：支持对接客户自建专题资源。每个专题支持查看目录，上下章节切换、图文混排、视频播放等。专题支持扫码阅读。</w:t>
            </w:r>
          </w:p>
          <w:p w14:paraId="7F57BE9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（7）信息资讯长廊：支持用户自主发布资讯、通知类信息。</w:t>
            </w:r>
          </w:p>
          <w:p w14:paraId="141BBB6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（8）时间轴发展史：支持展示单位大事记、发展历程等，以时间为节点展示，支持查看详细信息。</w:t>
            </w:r>
          </w:p>
          <w:p w14:paraId="12AC82F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（9）少儿音频长廊：提供≥600集国学系列有声音频，内容涵盖贴合小学、中学、高中的音频资源，如《声律启蒙》、《诗经》、《笠翁对韵》等系列。音频均支持在线播放及扫码带走。</w:t>
            </w:r>
          </w:p>
          <w:p w14:paraId="3E48A7D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（10）少儿有声绘本长廊：系统提供≥400种少儿有声绘本资源，点击可在长廊机器直接观看、互动。</w:t>
            </w:r>
          </w:p>
          <w:p w14:paraId="3137E8E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（11）期刊长廊：提供≥300种期刊，期刊支持在线阅读及扫码带走，同时支持往期查看等。</w:t>
            </w:r>
          </w:p>
          <w:p w14:paraId="48CA4C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（12）长廊系统应至少包含10种以上风格，供用户选择。各风格主题设计、色彩搭配、动画呈现各具特色。</w:t>
            </w:r>
          </w:p>
          <w:p w14:paraId="3ABA303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3.系统后台管理：</w:t>
            </w:r>
          </w:p>
          <w:p w14:paraId="122B14C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（1）支持管理长廊设备，支持查看设备版本号、在线离线状态等信息。支持进行屏保配置、长廊内容配置、长廊风格包下载等操作。</w:t>
            </w:r>
          </w:p>
          <w:p w14:paraId="7560EBE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（2）长廊后台支持创建图书、期刊、图片、名人、资讯、专题、视频、时间轴发展史等资源类型的虚拟长廊，创建数量无限制。</w:t>
            </w:r>
          </w:p>
          <w:p w14:paraId="5C4BEF6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（3）支持图书长廊管理，系统提供≥3000种正版授权的epub格式电子图书资源供用户选择配置，用户勾选对应的资源分类后，可一键推送至长廊设备进行展示。支持将单位自有版权的图书资源配置到设备进行展示。</w:t>
            </w:r>
          </w:p>
          <w:p w14:paraId="0D49ECE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（4）支持期刊长廊管理，系统提供≥300种期刊资源供用户选择配置，用户勾选对应的资源分类后，可一键推送至长廊设备进行展示。</w:t>
            </w:r>
          </w:p>
          <w:p w14:paraId="72C9C35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（5）支持图片长廊管理，支持图片封面、图片集的上传管理。支持针对每张图片添加简介信息。支持一键设置长廊资源的正序、倒叙展示。</w:t>
            </w:r>
          </w:p>
          <w:p w14:paraId="33434DC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（6）支持名人长廊管理，可针对人物的封面、头像、介绍、相关书籍、相关图片以及相关视频等多种内容模块进行管理。支持一键设置长廊资源的正序、倒叙展示。</w:t>
            </w:r>
          </w:p>
          <w:p w14:paraId="1E4B177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支持专题长廊管理，为用户提供专题创建工具，可以将文本内容、图片、视频、音频等资源进行混合编排，形成富媒体专题资源。系统支持将创建好的富媒体专题资源，添加至专题长廊，并配置到长廊设备展示。支持一键设置长廊资源的正序、倒叙展示。</w:t>
            </w:r>
          </w:p>
          <w:p w14:paraId="5F70F33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（8）支持资讯长廊管理，支持通过系统后台发布资讯信息，资讯信息支持按日展示、资讯内容支持图文混排。支持一键设置长廊资源的正序、倒叙展示。</w:t>
            </w:r>
          </w:p>
          <w:p w14:paraId="47337B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（9）支持时间轴发展史长廊管理，用户按照年份为主题管理时间轴信息，时间轴内容支持图文混排。支持一键设置长廊资源的正序、倒叙展示。</w:t>
            </w:r>
          </w:p>
          <w:p w14:paraId="67BB355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（10）支持视频长廊管理，支持通过系统后台创建视频集信息并在线上传视频资源。已上传的视频资源，系统自动生成二维码，供用户扫码观看。支持一键设置长廊资源的正序、倒叙展示。</w:t>
            </w:r>
          </w:p>
          <w:p w14:paraId="5528D84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（11）支持管理虚拟长廊信息，用户可自主创建虚拟长廊，并管理长廊资源，如资源的增、删、改、查等。</w:t>
            </w:r>
          </w:p>
          <w:p w14:paraId="3C7A35C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（12）支持将创建好的长廊进行虚拟分组，组合为长廊组。虚拟长廊与虚拟长廊组可混合排序，配置到设备展示。</w:t>
            </w:r>
          </w:p>
          <w:p w14:paraId="490144D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（13）提供数据统计功能，支持查看该单位下设备数量，支持查看指定时间段内的设备使用量、虚拟长廊使用量、单个资源使用量等信息。</w:t>
            </w:r>
          </w:p>
          <w:p w14:paraId="4D51AC2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（14）提供即时插播功能，可设置插播文字、图片、视频等多种类型的内容，插播的内容可以一键发布到指定的一台或多台长廊设备，同时也可以一键关闭插播。</w:t>
            </w:r>
          </w:p>
          <w:p w14:paraId="364CE3C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（15）提供手机端管理模块，用户可在手机上随时随地的管理单位机器。支持查看机器数量、在线离线状态等信息。支持配置推送长廊设备内容。支持对设备进行定时开关机设置等。</w:t>
            </w:r>
          </w:p>
          <w:p w14:paraId="741758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4.其他功能：</w:t>
            </w:r>
          </w:p>
          <w:p w14:paraId="5629890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（1）除常规的长廊内容展示外，系统还需支持配置应用至长廊设备，已配置的应用以图标的形式悬浮于长廊底部，不影响设备的资源展示，用户通过点击应用图标，打开该应用进行浏览。</w:t>
            </w:r>
          </w:p>
          <w:p w14:paraId="421F64C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（2）系统应支持同时配置多个应用至设备。</w:t>
            </w:r>
          </w:p>
          <w:p w14:paraId="145FB00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（3）系统支持添加待机屏保，屏保和长廊支持轮循展示。</w:t>
            </w:r>
          </w:p>
          <w:p w14:paraId="6378919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（4）系统应支持同时配置多个长廊至设备，已配置到设备的长廊应能够点击切换查看。</w:t>
            </w:r>
          </w:p>
          <w:p w14:paraId="5492F2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（5）图书、期刊、专题资源支持断网离线扫码带走，无网络时亦可正常展示流动</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256EA636">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CAD69A6">
            <w:pPr>
              <w:jc w:val="center"/>
              <w:rPr>
                <w:rFonts w:hint="eastAsia" w:asciiTheme="minorEastAsia" w:hAnsiTheme="minorEastAsia" w:eastAsiaTheme="minorEastAsia" w:cstheme="minorEastAsia"/>
                <w:sz w:val="24"/>
                <w:szCs w:val="24"/>
              </w:rPr>
            </w:pPr>
          </w:p>
        </w:tc>
      </w:tr>
      <w:tr w14:paraId="69AD741F">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39937525">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21</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254F58B">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多媒体数字光影阅读</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7A49C44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一、软件参数：</w:t>
            </w:r>
          </w:p>
          <w:p w14:paraId="08F27B1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1.资源配置：</w:t>
            </w:r>
          </w:p>
          <w:p w14:paraId="161F379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（1）系统支持展示电子图书，精选3000余册电子图书以供读者选择，提供可选资源库2w余册，每月定时更新≥150册。图书支持在线阅读、扫码带走，同时也可将图书下载到本地书架，以便读者进行本地阅读。</w:t>
            </w:r>
          </w:p>
          <w:p w14:paraId="2C03F15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（2）系统支持展示电子期刊，提供≥200余种期刊，期刊支持在线阅读、扫码带走，同时支持往期查看。</w:t>
            </w:r>
          </w:p>
          <w:p w14:paraId="5AFFFF7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（3）系统支持展示有声音频，提供≥600余集国学有声音频资源，音频均支持在线收听以及扫码带走。</w:t>
            </w:r>
          </w:p>
          <w:p w14:paraId="147B11C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（4）系统支持展示学术视频，提供≥400余集高清名师讲坛视频，视频支持在线播放，同时支持单集、系列选集播放。</w:t>
            </w:r>
          </w:p>
          <w:p w14:paraId="126FA6D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（5）系统支持配置专题资源，专题支持文本、图片、视频等内容混合编排，同时专题支持创建三级目录，创建好的专题可推送至设备进行展示。</w:t>
            </w:r>
          </w:p>
          <w:p w14:paraId="5A54684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（6）系统支持资源检索功能，可检资源库≥2w册，支持按资源名称、作者等关键信息进行查找，也可自定义设置资源检索范围。 </w:t>
            </w:r>
          </w:p>
          <w:p w14:paraId="5FAAE63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 系统管理后台：</w:t>
            </w:r>
          </w:p>
          <w:p w14:paraId="1498F5D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（1）后台支持管理光影阅读设备，可对设备信息、资源内容进行统一配置，配置后可一键推送至设备进行展示。</w:t>
            </w:r>
          </w:p>
          <w:p w14:paraId="0C65EB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（2）后台支持对设备信息进行管理查看，用户可通过后台对设备机器码、所在位置、版本号进行查看修改。logo、背景图、等内容进行自定义设置。</w:t>
            </w:r>
          </w:p>
          <w:p w14:paraId="4909443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（3）后台支持对图书资源进行配置，用户可根据自身需求勾选相应图书分类，勾选后可一键推送至设备进行展示，同时支持定制单位图书自建分类，满足用户个性化需求。</w:t>
            </w:r>
          </w:p>
          <w:p w14:paraId="000FFAE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（4）后台支持自定义设置图书资源检索范围，实现对资源的精准检索。</w:t>
            </w:r>
          </w:p>
          <w:p w14:paraId="7FDFB3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（5）后台支持对期刊资源进行配置，用户可根据自身需求勾选相应期刊分类，勾选后可一键推送至设备进行展示。</w:t>
            </w:r>
          </w:p>
          <w:p w14:paraId="3CB6411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（6）后台支持配置导航模块，用户可自定义配置导航贴图、导航名称、导航链接等内容。同时有声读物、专题、视频等资源也可通过导航模块进行配置展示。</w:t>
            </w:r>
          </w:p>
          <w:p w14:paraId="06D835B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 其他：</w:t>
            </w:r>
          </w:p>
          <w:p w14:paraId="3983E3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（1）系统支持本地阅读功能，可将在线图书下载到本地书架，无网络时也可阅读观看。</w:t>
            </w:r>
          </w:p>
          <w:p w14:paraId="0FD38B1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（2）本地阅读支持设置夜间模式、阅读背景、文字大小、字体样式等功能，同时可保留图书阅读记录，方便读者下次阅读。</w:t>
            </w:r>
          </w:p>
          <w:p w14:paraId="3385B4E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（3）系统支持自定义更换背景、logo等个性化内容展示。</w:t>
            </w:r>
          </w:p>
          <w:p w14:paraId="2AF9BB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系统具备配套的手机客户端，系统内的资源可通过配套的手机客户端进行扫码，下载资源至手机，下载后的资源，无需网络，随时随地进行阅读。配套的手机端应具备夜间模式转换，文字大小调整等功能。手机客户端可保留相关阅读记录。手机客户端需同时支持ios、android系统。</w:t>
            </w:r>
          </w:p>
          <w:p w14:paraId="796F335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（5）设备支持定时关机功能。</w:t>
            </w:r>
          </w:p>
          <w:p w14:paraId="325D3F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（6）系统应提供相应的计算机软件著作权登记证书资料。</w:t>
            </w:r>
          </w:p>
          <w:p w14:paraId="420883A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二、硬件参数：</w:t>
            </w:r>
          </w:p>
          <w:p w14:paraId="1674FB7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1.分辨率：物理分辨率≥1920×1080，兼容分辨率 4K。</w:t>
            </w:r>
          </w:p>
          <w:p w14:paraId="30B96EE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2.画面比例：标准16:9。</w:t>
            </w:r>
          </w:p>
          <w:p w14:paraId="2F8F8BC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3.投影尺寸：支持23 英寸-100 英寸。</w:t>
            </w:r>
          </w:p>
          <w:p w14:paraId="1607AB2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4.亮度：ANSI 350lumens。</w:t>
            </w:r>
          </w:p>
          <w:p w14:paraId="7FAE8EE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5.梯形校正：支持上下 40°自动校正。</w:t>
            </w:r>
          </w:p>
          <w:p w14:paraId="5D711C1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6.对焦方式：支持电动对焦。</w:t>
            </w:r>
          </w:p>
          <w:p w14:paraId="0431623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7.光机寿命：不低于30,000 小时。</w:t>
            </w:r>
          </w:p>
          <w:p w14:paraId="54D1C1B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8.触控：触控技术 支持LICT 不可见激光触控。</w:t>
            </w:r>
          </w:p>
          <w:p w14:paraId="35381AF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9.触控点数：支持10 点触控。</w:t>
            </w:r>
          </w:p>
          <w:p w14:paraId="3710D92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10.触控方式：支持桌面 23 寸手指触控、桌面墙面 100 寸笔触控。</w:t>
            </w:r>
          </w:p>
          <w:p w14:paraId="27EF98A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11.系统：操作系统 不低于安卓9.0。</w:t>
            </w:r>
          </w:p>
          <w:p w14:paraId="02FB538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12.CPU：不低于RK3399 八核 64 位Cortex-A72 主频 1.8G配置。</w:t>
            </w:r>
          </w:p>
          <w:p w14:paraId="4C65DC6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13.存储：不低于4G+128G。</w:t>
            </w:r>
          </w:p>
          <w:p w14:paraId="248802D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14.音响：36W立体声喇叭，支持外接蓝牙音响，有线音响。</w:t>
            </w:r>
          </w:p>
          <w:p w14:paraId="6A0941E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15.其他：接口 16G HDMI、双USB、耳机。</w:t>
            </w:r>
          </w:p>
          <w:p w14:paraId="04EED4B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16.网络：2.4/5.0 双频WIFI，蓝牙 4.0。</w:t>
            </w:r>
          </w:p>
          <w:p w14:paraId="48432A1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17.电源：15V/3A。</w:t>
            </w:r>
          </w:p>
          <w:p w14:paraId="13BCB53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18.尺寸：≥180×134×74mm。</w:t>
            </w:r>
          </w:p>
          <w:p w14:paraId="2419CD3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19.外壳材质：铝合金。</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2AA61E02">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4套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5DFC9B7">
            <w:pPr>
              <w:jc w:val="center"/>
              <w:rPr>
                <w:rFonts w:hint="eastAsia" w:asciiTheme="minorEastAsia" w:hAnsiTheme="minorEastAsia" w:eastAsiaTheme="minorEastAsia" w:cstheme="minorEastAsia"/>
                <w:sz w:val="24"/>
                <w:szCs w:val="24"/>
              </w:rPr>
            </w:pPr>
          </w:p>
        </w:tc>
      </w:tr>
      <w:tr w14:paraId="3B9ACEF1">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485AF26F">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22</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AC79A8A">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AI馆员数字交互系统</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2BCD6C3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一、AI馆员数字交互系统-硬件参数：</w:t>
            </w:r>
          </w:p>
          <w:p w14:paraId="05254D7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1.75英寸触摸屏，支持多点红外触摸，显示区域1650.24mm(H) x 928.26mm(V)。</w:t>
            </w:r>
          </w:p>
          <w:p w14:paraId="3797236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2.支持4K显示，分辨率3840（H）×2160（V）。</w:t>
            </w:r>
          </w:p>
          <w:p w14:paraId="07F8C1D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3.主版RK3588，CPU类型Cortex-A76+Cortex-A55八核2.4GHz，带Mali-G610 GPU处理器，带有6Tops能力的神经网络处理器。</w:t>
            </w:r>
          </w:p>
          <w:p w14:paraId="3E507BE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4.存储空间：内存8GB，扩展存储128GB。</w:t>
            </w:r>
          </w:p>
          <w:p w14:paraId="02D66E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5.操作系统：安卓12。</w:t>
            </w:r>
          </w:p>
          <w:p w14:paraId="58E26F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6.主机扩展功能：支持1路HDMI输出，1路耳机输出，USB3.0×2，TYPE-C×1。带麦克风支持语音输入。带摄像头和喇叭，支持声音外放。</w:t>
            </w:r>
          </w:p>
          <w:p w14:paraId="759BD09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7.网络接口：RJ45/LAN×1，无线网络支持2.4G/5G双频，支持WIFI6。</w:t>
            </w:r>
          </w:p>
          <w:p w14:paraId="5C27CF3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8.电源与功耗：输入电压AC220V 50/60Hz ，整机功耗≤220W。</w:t>
            </w:r>
          </w:p>
          <w:p w14:paraId="0858080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9.整机钣金面框，黑色烤漆，尺寸（mm）：≥1811 ×1002.6×705mm 。</w:t>
            </w:r>
          </w:p>
          <w:p w14:paraId="0BD404E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二、AI馆员数字交互系统-客户端参数:</w:t>
            </w:r>
          </w:p>
          <w:p w14:paraId="04A352B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1.语音识别：支持语音唤醒和触摸按钮开启问答多种交互方式，开启后可进行语音人机问答。</w:t>
            </w:r>
          </w:p>
          <w:p w14:paraId="6E6BCC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2.支持云语音朗读，回答内容支持语音朗读。</w:t>
            </w:r>
          </w:p>
          <w:p w14:paraId="286DEC4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3.常见问题：支持界面显示常见问题列表。</w:t>
            </w:r>
          </w:p>
          <w:p w14:paraId="2DB0A4A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4.支持问题模糊问答，当数字人无法精确找到问题答案时，可推荐相关问题。</w:t>
            </w:r>
          </w:p>
          <w:p w14:paraId="5EBB67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5.回答内容支持文本、富文本、图片、应用任务等多种类型。用户可根据应用任务选项进行二次人机问答交互。</w:t>
            </w:r>
          </w:p>
          <w:p w14:paraId="46E602A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6.支持大模型内容问答，大模型包括通用大模型和行业知识库。</w:t>
            </w:r>
          </w:p>
          <w:p w14:paraId="35AD1E7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7.支持“一键清屏”功能，帮助保护用户隐私，避免被后续用户看到之前询问记录。</w:t>
            </w:r>
          </w:p>
          <w:p w14:paraId="719A4AF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三、内置资源及服务：</w:t>
            </w:r>
          </w:p>
          <w:p w14:paraId="28949EF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1.图书资源：内置3000册EPUB电子图书，内容涵盖精品推荐、经典名著、经管理财、小说传记等热门分类，同时对接云端5万+图书资源库。</w:t>
            </w:r>
          </w:p>
          <w:p w14:paraId="38CFF0B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2.期刊资源：内置500种贴合大众阅读的综合文化类期刊，类型涵盖时尚生活、文化传媒、文学艺术、科技科普等资源类目，同时对接云端3000+期刊资源库。</w:t>
            </w:r>
          </w:p>
          <w:p w14:paraId="6D98D7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3.视频资源：内置10000多集视频资源库，内容覆盖文学、科学、历史、哲学、艺术等。</w:t>
            </w:r>
          </w:p>
          <w:p w14:paraId="50106D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4.专题资源：内置500余个富媒体专题资源，覆盖红色文化类、国家非遗类、文学类等类目。专题资源均支持在线阅读与扫码带走。</w:t>
            </w:r>
          </w:p>
          <w:p w14:paraId="14BE6A6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音频资源：内置600余集国学有声，为热爱国学文化的读者提供的音频资源。用户可以在线听国学，也可以扫码带走，随时随地品味经典。6.活动运营：数字人系统在支持特色资源与活动主题定制展示的同时，还会发布互动体验小应用，例如党建知识答题、元宵节猜灯谜、423知识竞答、粽情端午知识竞答等，满足节日活动运营需求。</w:t>
            </w:r>
          </w:p>
          <w:p w14:paraId="6AD8A1B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四、AI馆员数字交互系统-后台管理系统：</w:t>
            </w:r>
          </w:p>
          <w:p w14:paraId="209D557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1.支持智能问答库管理，包括问答对、问答文档、问答素材、应用任务等类型。</w:t>
            </w:r>
          </w:p>
          <w:p w14:paraId="5991E68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2.问答库支持自定义添加、编辑、删除业务问答分类，分类数量无限制。问答分类支持批量编辑，可以移动和拖拽排序。</w:t>
            </w:r>
          </w:p>
          <w:p w14:paraId="1116FFC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3.支持自定义添加、编辑、删除、批量导入、批量导出、批量删除业务问答规则，业务问答规则数量无限制。</w:t>
            </w:r>
          </w:p>
          <w:p w14:paraId="2962BF9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4.手工启用、手工停用业务问答规则，同时可根据关键词搜索业务内容。</w:t>
            </w:r>
          </w:p>
          <w:p w14:paraId="2C7B976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5.业务问答规则中，回答的答案支持文本、图片、自定义级联菜单、图文混排、链接等多种内容。</w:t>
            </w:r>
          </w:p>
          <w:p w14:paraId="1A986C5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6.自定义添加、编辑业务问答中问题标签。问答时根据标签进行问答提示。</w:t>
            </w:r>
          </w:p>
          <w:p w14:paraId="023A494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7.自动对没有答案的问题描述进行统计，按照问答频率由高到低排序，同时可以批量导出未知问题。</w:t>
            </w:r>
          </w:p>
          <w:p w14:paraId="7082081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8.支持手工添加未知问题到业务问答规则，并支持自定义修改。</w:t>
            </w:r>
          </w:p>
          <w:p w14:paraId="4DE6AFA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9.支持自动忽略无意义的问法，比如无效数字字母的组合。</w:t>
            </w:r>
          </w:p>
          <w:p w14:paraId="6EC6BC9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10.知识问答，内置通用问答库，可以回答常识类问题。</w:t>
            </w:r>
          </w:p>
          <w:p w14:paraId="491C295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11.支持未知问题回复语自定义。</w:t>
            </w:r>
          </w:p>
          <w:p w14:paraId="28B31B4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12.支持问答无匹配时，提供用户语义中相似度最高的热门问题。</w:t>
            </w:r>
          </w:p>
          <w:p w14:paraId="7434F5D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13.技能设置里支持阈值自定义。</w:t>
            </w:r>
          </w:p>
          <w:p w14:paraId="5DD3B5B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14.支持微应用智能推荐。</w:t>
            </w:r>
          </w:p>
          <w:p w14:paraId="54AAB37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15.支持智能学习功能，根据用户行为自动记录待学习问题，超级管理员可进行一键学习或一键通过。</w:t>
            </w:r>
          </w:p>
          <w:p w14:paraId="61B7BCA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16.对接图书馆管理系统，支持读者借阅记录查询。</w:t>
            </w:r>
          </w:p>
          <w:p w14:paraId="332CA6B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17.对接图书馆管理系统，支持单位纸质馆藏查询。</w:t>
            </w:r>
          </w:p>
          <w:p w14:paraId="6C72393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18.问答库支持智能导入，上传文档后可自动抽取出问答。</w:t>
            </w:r>
          </w:p>
          <w:p w14:paraId="6643BE7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五、统计分析模块：</w:t>
            </w:r>
          </w:p>
          <w:p w14:paraId="70413F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1.对接图书馆管理系统，支持单位纸质馆藏查询。</w:t>
            </w:r>
          </w:p>
          <w:p w14:paraId="2D47042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2.支持问答历史纪录查看，根据时间、来源筛选指定历史会话内容，同时可以批量导出机器人历史会话记录。</w:t>
            </w:r>
          </w:p>
          <w:p w14:paraId="566701A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3.对接图书馆管理系统，支持单位纸质馆藏查询。</w:t>
            </w:r>
          </w:p>
          <w:p w14:paraId="47D36AB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4.支持问答内容统计，根据会话内容形成问答内容统计图，实时展示机器人直接回答、未回答、引导用户回答3类问答的统计数据。</w:t>
            </w:r>
          </w:p>
          <w:p w14:paraId="7F41613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5.对接图书馆管理系统，支持单位纸质馆藏查询。</w:t>
            </w:r>
          </w:p>
          <w:p w14:paraId="23A9952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6.支持热门问题统计，根据问答分类进行热门问题统计。</w:t>
            </w:r>
          </w:p>
          <w:p w14:paraId="4A56029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7.对接图书馆管理系统，支持单位纸质馆藏查询。</w:t>
            </w:r>
          </w:p>
          <w:p w14:paraId="31062BE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8.支持访客统计，根据时间筛选查看访客数、会话数、消息总数。</w:t>
            </w:r>
          </w:p>
          <w:p w14:paraId="1036F7D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9.对接图书馆管理系统，支持单位纸质馆藏查询。</w:t>
            </w:r>
          </w:p>
          <w:p w14:paraId="38FF074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10.支持有效无效回复统计，根据时间筛选查看有效无效率。</w:t>
            </w:r>
          </w:p>
          <w:p w14:paraId="01A2439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11.对接图书馆管理系统，支持单位纸质馆藏查询。</w:t>
            </w:r>
          </w:p>
          <w:p w14:paraId="661E304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12.支持知识库分类命中次数统计。</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182DB3C1">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853C4C3">
            <w:pPr>
              <w:jc w:val="center"/>
              <w:rPr>
                <w:rFonts w:hint="eastAsia" w:asciiTheme="minorEastAsia" w:hAnsiTheme="minorEastAsia" w:eastAsiaTheme="minorEastAsia" w:cstheme="minorEastAsia"/>
                <w:sz w:val="24"/>
                <w:szCs w:val="24"/>
              </w:rPr>
            </w:pPr>
          </w:p>
        </w:tc>
      </w:tr>
      <w:tr w14:paraId="5CAAFDDC">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CF3A3FA">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23</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2EBC105">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数字书法</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1188959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一、整机要求：</w:t>
            </w:r>
          </w:p>
          <w:p w14:paraId="12E8726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一体化体验桌 </w:t>
            </w:r>
          </w:p>
          <w:p w14:paraId="5523D73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1.外部结构：</w:t>
            </w:r>
          </w:p>
          <w:p w14:paraId="799B71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材质：红花梨木</w:t>
            </w:r>
          </w:p>
          <w:p w14:paraId="352DDCD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桌子尺寸：1650mm*790mm*810mm（长*宽*高）</w:t>
            </w:r>
          </w:p>
          <w:p w14:paraId="549C3E7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官帽椅尺寸：580mm×490mm×1120mm（长*宽* 高）</w:t>
            </w:r>
          </w:p>
          <w:p w14:paraId="18F03D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外部结构：整体可拆卸，无外露螺丝</w:t>
            </w:r>
          </w:p>
          <w:p w14:paraId="76EEA9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2.红外感应屏：</w:t>
            </w:r>
          </w:p>
          <w:p w14:paraId="021376B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触摸精度  &lt;1.2mm</w:t>
            </w:r>
          </w:p>
          <w:p w14:paraId="2689D39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触摸灵敏度 5-8ms</w:t>
            </w:r>
          </w:p>
          <w:p w14:paraId="623307C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线性误差 1mm </w:t>
            </w:r>
          </w:p>
          <w:p w14:paraId="30BA337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钢化玻璃 厚2至3mm 透光率&gt;96%</w:t>
            </w:r>
          </w:p>
          <w:p w14:paraId="263B8E1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防水等级 IPX4 边框做防水处理</w:t>
            </w:r>
          </w:p>
          <w:p w14:paraId="33BDF07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静电防护等级 按照EN6100-4-2 2008:4级 接触式放电8KV 空气式放电15kv</w:t>
            </w:r>
          </w:p>
          <w:p w14:paraId="5ED4AD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安全性：直径为63mm钢球从1米高度自由落下玻璃不破</w:t>
            </w:r>
          </w:p>
          <w:p w14:paraId="068CC5E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3.主机：</w:t>
            </w:r>
          </w:p>
          <w:p w14:paraId="21DB9AA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主板：QM9850-I5-8250U      </w:t>
            </w:r>
          </w:p>
          <w:p w14:paraId="6EB4783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处理器：Intel Core i5 4核 8代 1.6GHz主频   </w:t>
            </w:r>
          </w:p>
          <w:p w14:paraId="6EF7D3A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内存：8G/DDR4 2666      </w:t>
            </w:r>
          </w:p>
          <w:p w14:paraId="59DD4AC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硬盘：256G SSD M.2接口 nvme协议     </w:t>
            </w:r>
          </w:p>
          <w:p w14:paraId="3ABA2AF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显卡：主板集成620显卡      </w:t>
            </w:r>
          </w:p>
          <w:p w14:paraId="5B0B3B9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声卡及网卡：集成6声道高保真音频声卡、集成千兆网卡 </w:t>
            </w:r>
          </w:p>
          <w:p w14:paraId="790C668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电源：150W电源      </w:t>
            </w:r>
          </w:p>
          <w:p w14:paraId="09C8207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无线网卡：双频wifi模块      </w:t>
            </w:r>
          </w:p>
          <w:p w14:paraId="451358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操作系统：Windows10(64位) </w:t>
            </w:r>
          </w:p>
          <w:p w14:paraId="70D35C9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4.显示屏：       </w:t>
            </w:r>
          </w:p>
          <w:p w14:paraId="18FD0DE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液晶屏尺寸：43"      </w:t>
            </w:r>
          </w:p>
          <w:p w14:paraId="147083E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LCD面板品牌：LG</w:t>
            </w:r>
          </w:p>
          <w:p w14:paraId="75197D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面板类型：a-Si TFT-LCD , 液晶模组      </w:t>
            </w:r>
          </w:p>
          <w:p w14:paraId="6DD770A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分辨率：1920(RGB)×1080,FHD      </w:t>
            </w:r>
          </w:p>
          <w:p w14:paraId="35798CA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亮度 450 cd/m2      </w:t>
            </w:r>
          </w:p>
          <w:p w14:paraId="35B6948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静态对比率：1100:01:00      </w:t>
            </w:r>
          </w:p>
          <w:p w14:paraId="068CE31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响应时间：12ms      </w:t>
            </w:r>
          </w:p>
          <w:p w14:paraId="4465AD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像素点距：0.4902×0.4902 mm      </w:t>
            </w:r>
          </w:p>
          <w:p w14:paraId="19D89ED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视角：89/89/89/89 (Min.)(CR≥10)      </w:t>
            </w:r>
          </w:p>
          <w:p w14:paraId="6FD7EF1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光源寿命：50K(小时)      </w:t>
            </w:r>
          </w:p>
          <w:p w14:paraId="079861A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工作温度：0~50°C      </w:t>
            </w:r>
          </w:p>
          <w:p w14:paraId="427B3FE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饱和度：72%      </w:t>
            </w:r>
          </w:p>
          <w:p w14:paraId="41DB1FC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可视面积：941.184(横)×529.416(竖) mm    </w:t>
            </w:r>
          </w:p>
          <w:p w14:paraId="30C9882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色度：Wx:0.281 Wy:0.288      </w:t>
            </w:r>
          </w:p>
          <w:p w14:paraId="0FB82E3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触摸功能：红外触摸</w:t>
            </w:r>
          </w:p>
          <w:p w14:paraId="4A1CF41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5.工作环境：</w:t>
            </w:r>
          </w:p>
          <w:p w14:paraId="427A3C5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电气参数 ：输入电压：AC 220V，电气安全规范：GB 19517-2009。网络：双频wifi或有线连接</w:t>
            </w:r>
          </w:p>
          <w:p w14:paraId="49B44D3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 置水砚台 （规格：直径147mm 高度39mm（不含盖））</w:t>
            </w:r>
          </w:p>
          <w:p w14:paraId="1E8E1CC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 笔挂，毛笔 笔挂材质：红酸枝</w:t>
            </w:r>
          </w:p>
          <w:p w14:paraId="77FB8F8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规格：3针6挂</w:t>
            </w:r>
          </w:p>
          <w:p w14:paraId="3881062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笔挂尺寸：宽18cm 高39cm</w:t>
            </w:r>
          </w:p>
          <w:p w14:paraId="73248A1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底座长7.5cm                    </w:t>
            </w:r>
          </w:p>
          <w:p w14:paraId="6EFE284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毛笔：电子屏专用毛笔</w:t>
            </w:r>
          </w:p>
          <w:p w14:paraId="3619761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 三维感应笔 1、外部结构:笔管全铝材质，表面黑色电度，全长</w:t>
            </w:r>
          </w:p>
          <w:p w14:paraId="73C0E50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（带笔头）285mm，顶部集成充电口、开关键、指示灯及悬挂结构，笔头部分为真实狼毫毛笔头，全重 34g。</w:t>
            </w:r>
          </w:p>
          <w:p w14:paraId="18673C0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2、可感应运笔时笔所受三维力，笔的姿势，最小感应力为 1g，电磁传输感应数据。</w:t>
            </w:r>
          </w:p>
          <w:p w14:paraId="439B55B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3、电气参数：充电电压： DC 5V，充电时间：0.8 小时，功耗：0.1W，持续工作时间：8 小时。</w:t>
            </w:r>
          </w:p>
          <w:p w14:paraId="45C74A7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4、环境参数：0 至 40 度，工作湿度：10%至 80%（非冷凝）。</w:t>
            </w:r>
          </w:p>
          <w:p w14:paraId="2E5188F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5、笔头取材狼毫，手工制作，支持与电子笔杆拆卸替换，书写效果满足创作级。</w:t>
            </w:r>
          </w:p>
          <w:p w14:paraId="5CEC4F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6、笔身内置智能检测系统，笔杆顶端自带磁吸充电，内置微型充电装置，正常挂在笔架上即可实现充电， 笔杆内置传感系统可准确检测运笔之角度，力度，速度，结合 4K 高清触摸大屏，完美还原书法写作效果。</w:t>
            </w:r>
          </w:p>
          <w:p w14:paraId="37C0E85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 配套笔头 1、外部结构：定制塑料笔斗（与笔杆连接可卸，旋扭拆卸），笔头材质、制做工艺与传统毛笔一致，笔头全长 70mm，重约 7.0g（未粘水状态）。</w:t>
            </w:r>
          </w:p>
          <w:p w14:paraId="62A2E6D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2、环境要求：非书写状态时需连同笔杆搁置充电笔架垂直放置。</w:t>
            </w:r>
          </w:p>
          <w:p w14:paraId="602301E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3、毛笔蘸水即可在触控屏书写，摆脱书写过程中的墨汁</w:t>
            </w:r>
          </w:p>
          <w:p w14:paraId="74EF6AF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污染，墨汁异味，清洁，环保，经济。</w:t>
            </w:r>
          </w:p>
          <w:p w14:paraId="343381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 充电笔架 1、外部结构：红木材质，最大挂笔数：1 支，充电挂座： 1 个， 宽 18cm, 高 39cm ， 底座长 7.5cm ， 全重315g，笔架顶梁内置 led 指示灯，外置 USB 接口连接线</w:t>
            </w:r>
          </w:p>
          <w:p w14:paraId="533B166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（与 USB 口充电排插连接）。</w:t>
            </w:r>
          </w:p>
          <w:p w14:paraId="5D742B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2、电气参数：输入电压 DC 5V，输出电压 DC 5V。</w:t>
            </w:r>
          </w:p>
          <w:p w14:paraId="463FE92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3、笔架内置充电装置，可与平台机身以 USB 连接，挂笔着力点即为充电接口，笔架充电指示灯可显示毛笔充电情况。</w:t>
            </w:r>
          </w:p>
          <w:p w14:paraId="25ECD37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二、系统资源：</w:t>
            </w:r>
          </w:p>
          <w:p w14:paraId="4643B48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 润笔功能：以水代墨技术，毛笔蘸水，起到润笔的效果，既捕捉传统书写的感受，又摆脱书写过程中的墨水污染，屏幕防水防爆，超液晶高清显示，清洁、环保、经济。</w:t>
            </w:r>
          </w:p>
          <w:p w14:paraId="244292F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 功能模块：1.自由书写2.名帖临摹3.书法长廊4.名帖欣赏5.书法字典6.贵宾签名7.节气海报8.书法百科</w:t>
            </w:r>
          </w:p>
          <w:p w14:paraId="02A40D7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 自由书写：体验者可使用此模块以水代墨，以屏代纸，自由书写、随性练习，可以进行完整的书法创作流程，作品保存、分享、打印等输出流程。提供不少于72幅创作背景选择，创作过程中 5 种田字格虚线、5 种竖向分隔虚线供创作者定位。作品输出过程中虚线自动消失。提供擦除功能和笔画回退功能，回退笔画数量最多支持无限次回退。</w:t>
            </w:r>
          </w:p>
          <w:p w14:paraId="7F4CCB0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 名帖临摹：提供不少于22位名家34本名帖，书体有楷书、行书、草书、篆、隶楷，名书家有：王羲之，欧阳询，颜真卿，柳公权，赵孟頫等供临摹学习，可选择描红或直接临摹，学习结果可保存分享打印</w:t>
            </w:r>
          </w:p>
          <w:p w14:paraId="1AD10D5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 书法长廊：本机保存的优秀书法作品的展示平台，让用户之间更好的交流，相互学习，提高书法艺术水平，可点赞、分享、打印。</w:t>
            </w:r>
          </w:p>
          <w:p w14:paraId="422D15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 名帖欣赏：收录从三国时期、至今各个时期、不同风格的海量书法精品不少于700幅，是书法学习、临摹、鉴赏、研究的好资源。</w:t>
            </w:r>
          </w:p>
          <w:p w14:paraId="0E3A80B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 书法字典：提供楷行隶篆草 5 种字体历代名家50 万字书法字库，学习者可手写/笔写输入查询，查询到的任何一个字任何一个名家的任何书法单字，均可直接描红、临摹，并随意切换原字体呈现模式。</w:t>
            </w:r>
          </w:p>
          <w:p w14:paraId="6B40A47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 贵宾签名：：提供会议、活动不少于6种风格背景数字签名板，与会者可直接利用书法台签名，签名位置可选择签名板的任何位置，签名板可全屏投影在会议大屏。</w:t>
            </w:r>
          </w:p>
          <w:p w14:paraId="7C320AC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 节气海报：提供春夏秋冬 24 种节气现成海报背景，每种节气提供科普和传统文化诠释；可以现成海报为原型进行书法内容临摹或者个性化书写、题字，并保持高清大图分享打印。</w:t>
            </w:r>
          </w:p>
          <w:p w14:paraId="79322E4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 书法百科：提供 20 本书法文化、书法学习所需电子图书供学习者翻阅，画面清晰、老少皆宜。</w:t>
            </w:r>
          </w:p>
          <w:p w14:paraId="4BCC961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 背景DIY：内置纯色、山水、花鸟、中国红4类共72幅书写背景可供选择，可以全屏随意书写。</w:t>
            </w:r>
          </w:p>
          <w:p w14:paraId="2D974E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 印章DIY：提供不少于12种风格的电子印章制作功能，体验者可以现场快速制作适合自身风格的印章，可选择方形或圆形等印章，印章支持放大、缩小、随意拖动位置，进行印章加盖。</w:t>
            </w:r>
          </w:p>
          <w:p w14:paraId="2FDCB67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 装裱DIY：提供立轴、镜框2种装裱形式，共8类24种风格的字画装裱背景可选，可直接对作品进行电子装裱。装裱后的作品可以打印，可分享朋友圈。</w:t>
            </w:r>
          </w:p>
          <w:p w14:paraId="2E9CDF0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 海报DIY：体验者可将手机中的照片扫码上传，并以照片为素材或者背景现场题词、制作海报；提供7种设计模板，使用模板可自动生成海报；提对海报作品的保存分享打印功能。</w:t>
            </w:r>
          </w:p>
          <w:p w14:paraId="3F0C275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 背景音乐：内置10首以上沉浸式古典背景音乐，开机自动播放，音量自由调节。</w:t>
            </w:r>
          </w:p>
          <w:p w14:paraId="5C14413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三、产品功能：</w:t>
            </w:r>
          </w:p>
          <w:p w14:paraId="2A6262B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 分享：点击分享，生成相应二维码，书写者扫描后，作品即可上传至手机，保存到本地相册、可分享到朋友圈。</w:t>
            </w:r>
          </w:p>
          <w:p w14:paraId="6CF267C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 保存功能：书写的作品可以一键保存到本地，并可随时查看。</w:t>
            </w:r>
          </w:p>
          <w:p w14:paraId="68F21DF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 后退功能：点击相应按钮，可以退一步，方便书写者修改某一笔不满意的笔画，后退次数没有限制，根据需求可以退至最初的空白背景。</w:t>
            </w:r>
          </w:p>
          <w:p w14:paraId="212290A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 重画功能：点击相应按钮，可全屏清空，全部删除掉已书写的部分。</w:t>
            </w:r>
          </w:p>
          <w:p w14:paraId="0318C13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 打印：支持在本地连接打印机，书法作品可以直接点击预览、纸张选择，打印，并即时打印出来，现场作品尺寸大小与打印机所配备的纸张大小一致。</w:t>
            </w:r>
          </w:p>
          <w:p w14:paraId="53D1825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 超尺寸打印邮寄：如有超出现场打印机配置的作品尺寸需求，可以上传至线上商城，标注好所需尺寸，联系商城打印，邮寄到家。</w:t>
            </w:r>
          </w:p>
          <w:p w14:paraId="4A5C9AE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 数据统计：利用图表把每日，每周，每月的用户体验数据通过处理分析实现数据直观展示，数据存储于本地和云数据库，开放接口，支持与其它云平台数据对接。</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6F764821">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6E45065">
            <w:pPr>
              <w:jc w:val="center"/>
              <w:rPr>
                <w:rFonts w:hint="eastAsia" w:asciiTheme="minorEastAsia" w:hAnsiTheme="minorEastAsia" w:eastAsiaTheme="minorEastAsia" w:cstheme="minorEastAsia"/>
                <w:sz w:val="24"/>
                <w:szCs w:val="24"/>
              </w:rPr>
            </w:pPr>
          </w:p>
        </w:tc>
      </w:tr>
      <w:tr w14:paraId="5C221FB3">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C499039">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24</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7BC1F0B8">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一体机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6A17F51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一、整机设计</w:t>
            </w:r>
          </w:p>
          <w:p w14:paraId="006350C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1、整机屏幕采用≥86英寸液晶显示器，采用超高清LED液晶显示屏，显示比例≥16:9，分辨率≥3840（H）×2160(V)，采用防眩光玻璃，屏幕支持防眩光功能，钢化玻璃表面硬度≥9H。</w:t>
            </w:r>
          </w:p>
          <w:p w14:paraId="33A81E6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2、支持标准、多媒体和节能三种图像模式调节。</w:t>
            </w:r>
          </w:p>
          <w:p w14:paraId="682BAE1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3、三合一电源按键，同一电源物理按键完成Android系统和Windows系统的开机、节能熄屏、关机操作；关机状态下按按键开机；开机状态下按按键实现节能熄屏/唤醒，长按按键实现关机。</w:t>
            </w:r>
          </w:p>
          <w:p w14:paraId="37EE59D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整机具备前置Type-C接口，通过Type-C接口实现音视频输入，外接电脑设备经双头Type-C线连接至整机，即可把外接电脑设备画面投到整机上，同时在整机上操作画面，可实现触摸电脑的操作，无需再连接触控USB线。</w:t>
            </w:r>
          </w:p>
          <w:p w14:paraId="3A85BEA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5、支持标准、听力、观影和AI空间感知音效模式，AI空间感知音效模式可通过内置麦克风采集教室物理环境声音，自动生成符合当前教室物理环境的频段、音量、音效。</w:t>
            </w:r>
          </w:p>
          <w:p w14:paraId="2DBA89A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4842DE2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7、整机支持提笔书写，在Windows系统下可实现无需点击任意功能入口，当检测到红外笔笔尖接触屏幕时，自动进入书写模式。</w:t>
            </w:r>
          </w:p>
          <w:p w14:paraId="68E47A4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8、整机在纸质护眼模式下，显示画面各像素点灰度不规则，减少背景干扰，全通道支持纸质护眼模式，可实现画面纹理的实时调整；支持纸质纹理：牛皮纸、素描纸、宣纸、水彩纸、水纹纸；</w:t>
            </w:r>
          </w:p>
          <w:p w14:paraId="7ACDEDA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9、整机上边框内置非独立式摄像头，可拍摄≥1300万像素的照片，具备摄像头工作指示灯，摄像头运行时，有指示灯提示。</w:t>
            </w:r>
          </w:p>
          <w:p w14:paraId="44A8607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10、整机摄像头支持人脸识别、清点人数、随机抽人；识别所有学生，显示标记，然后随机抽选，同时显示标记不少于60人。</w:t>
            </w:r>
          </w:p>
          <w:p w14:paraId="17466D4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11、整机支持发出频率为18kHz-22kHz超声波信号，智能手机通过麦克风接收后，智能手机与整机无需在同一局域网内，可实现配对，一键投屏，用户无需手动输入投屏码或扫码获取投屏码。</w:t>
            </w:r>
          </w:p>
          <w:p w14:paraId="4BB0164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12、整机内置全通道侧边栏快捷菜单，小工具、应用软件、快捷设置、亮度/音量调节、教室物联入口。</w:t>
            </w:r>
          </w:p>
          <w:p w14:paraId="0BCD623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13、整机Windows通道支持文件传输应用，支持通过扫码、wifi直联、超声三种方式与手机进行握手连接，实现文件传输功能。</w:t>
            </w:r>
          </w:p>
          <w:p w14:paraId="1CA8FE2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14、电脑模块采用按压式卡扣设计，便于维护与保养；电脑处理器：四核心八线程以上配置；内存：8GB DDR4笔记本内存或以上配置；硬盘：256GB或以上SSD固态硬盘。</w:t>
            </w:r>
          </w:p>
          <w:p w14:paraId="0E9AF96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二、白板软件</w:t>
            </w:r>
          </w:p>
          <w:p w14:paraId="2412A3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1、为全校教师提供可扩展，易于学校管理，安全可靠的云存储空间，根据每名教师使用时长与教学资料制作频率提供可扩展升级至不小于200G的个人云空间。</w:t>
            </w:r>
          </w:p>
          <w:p w14:paraId="00C6D71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2、支持老师个人账号注册登录使用，也可通过USB key进行身份快速识别登录。</w:t>
            </w:r>
          </w:p>
          <w:p w14:paraId="355FE18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3、采用备授课一体化框架设计，教师可根据教学场景自由切换类PPT界面的备课模式与触控交互教学模式，适用于教室、办公室等不同教学环境，便于教师教学使用。</w:t>
            </w:r>
          </w:p>
          <w:p w14:paraId="35B7337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白板软件APP端支持上传手机相册中的照片和视频到资料夹，且支持调用系统相机拍摄照片并直接上传；教师可以在备课端选择资源插入课件；APP版支持在线预览、下载资料夹中的图片和视频；支持对通过APP和PC端上传的资源移动、删除和重命名；资料夹中的多媒体素材可随时插入教学互动课件，同时教学互动课件内的多媒体素材可在课件内直接上传至资料夹中，便于教师调用、采集教学素材。</w:t>
            </w:r>
          </w:p>
          <w:p w14:paraId="1C93A3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白板软件支持PC端/APP端实现信息化集体备课：支持自定义编辑备课主题、集备内容、上传课件、教案、微课视频资源，可自定义添加集备教师、设置访问权限及评论和批注权限，教师可以针对课件、教案进行批注和研讨；主备人可多次修改稿件后上传，具备稿件版本对比功能；支持集备信息、数据统计、访问记录、研讨记录等查看；支持在教学教研管理平台中查看学校集体备课数据并以Excel表格的形式导出数据，便于数据的分享。</w:t>
            </w:r>
          </w:p>
          <w:p w14:paraId="3891CE8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6、互动课件内容的编辑修改无需人为保存即可自动同步至云空间，可根据教师需要调整云空间自动同步的时间间隔，避免教学资源的损坏、遗失。</w:t>
            </w:r>
          </w:p>
          <w:p w14:paraId="31BE29B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支持一对一分享云课件，用户可在软件中直接输入对方的注册手机号，可将云课件精准推送至用户教学账号云空间，用户可在软件中直接接收并打开课件。也可通过链接方式分享，并设置“公开”或“加密”的分享方式以及资料有效期限。</w:t>
            </w:r>
          </w:p>
          <w:p w14:paraId="0A5FD32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软件自带直播课堂功能，老师可在白板软件中提前创建直播课堂，并关联个人空间中的课件，生成听课码，学生只需微信扫码即可快速加入直播课堂，老师还可实时下发客观答题，学生可远程实时互动答题，并进行课堂发言和同步板书书写。</w:t>
            </w:r>
          </w:p>
          <w:p w14:paraId="61EB274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9、具备图形自由创作工具，教师可自由绘制复杂的任意多边图形及曲边图形；教师自主创作的图形可存储至个人云空间便于后续使用。</w:t>
            </w:r>
          </w:p>
          <w:p w14:paraId="5DFEF0C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10、内置专用美术画板工具，提供铅笔、毛笔、油画笔等笔触，具备符合绘画调色教学需求的模拟调色盘，可选择不同颜色混合调色，便于学生理解调色合成过程。</w:t>
            </w:r>
          </w:p>
          <w:p w14:paraId="217D5E9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白板软件支持微课文字快剪功能，支持上传本地视频文件并进行AI语音文字转写，教师只需选中对应文字内容并删除，即可完成相应微课视频片段的剪辑；支持一键勾选语气词，并进行删除；文字快剪结束后，支持一键进入视频剪辑界面，进行微课视频的精细化剪辑，可一键导出为本地微课视频或通过二维码的形式进行微课视频的分享。</w:t>
            </w:r>
          </w:p>
          <w:p w14:paraId="1EFAE68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为方便教学评课和课件分享，白板软件支持授课评价功能，可在课件中一键生成评课和课件分享二维码，方便教师实时评课。老师可选择评课标准，学校可根据实际情况自定义评课模板，支持添加评分题、主观题等类型，设定评课范围与权限。教师的评价结果马上同步到教学管理平台。</w:t>
            </w:r>
          </w:p>
          <w:p w14:paraId="537BCA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为了方便教师随时随地查看课件，白板软件APP端登录账号后，支持以列表的方式查看该账号里所有的云课件，打开云课件可对课件中的形状、文本、图片等元素克隆、删除等操作；云课件可通过微信、朋友圈、钉钉、手机号、二维码、加密链接等多种方式实现快速分享；APP具备课件回收站功能，按支持教师在3天内恢复或彻底删除单份/多份/全部已删除课件；支持通过APP录制课件讲解同步的微课视频，视频可直接同步到教师云空间。</w:t>
            </w:r>
          </w:p>
          <w:p w14:paraId="4BB1230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白板软件具备英语工具AI智能纠错功能，内置AI智能语义分析模块，可对输入的英文文本的拼写、句型、语法进行错误检查，并支持一键纠错；提供英汉字典，支持输入英文单词生成单词卡和详解页，包含单词的释义、读音、例句、词组、近义词等，可插入多个单词卡，同时支持教师自定义编辑单词释义、创建未收录的生僻单词供授课使用；配置听写工具，覆盖不少于8000个英语单词，支持自定义选择单词，根据单词智能生成读音；支持自定义听写频率和次数，一键生成听写卡；授课模式支持一键开启听写朗读，结束后可公布答案。</w:t>
            </w:r>
          </w:p>
          <w:p w14:paraId="3A2BF70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三、网络安全管理系统：</w:t>
            </w:r>
          </w:p>
          <w:p w14:paraId="31DB44F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1、支持导出设备使用风险报告，整体分析设备网络安全状况，快速了解网络安全风险，提供安全规划建设建议</w:t>
            </w:r>
          </w:p>
          <w:p w14:paraId="65077ED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2、构建文件信誉库，当一台设备发现病毒文件，全网可感知并查杀，支持选择处置病毒时是否在其它终端上同步处置</w:t>
            </w:r>
          </w:p>
          <w:p w14:paraId="6E5A2A9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3、支持对设备的漏洞情况进行扫描，查看漏洞具体情况及KB号，并显示具体修复情况</w:t>
            </w:r>
          </w:p>
          <w:p w14:paraId="7574746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支持展示流量分布排行、业务流量排行(发送，接收)、业务访问趋势（发送流速、接收流速和用户数）；服务器详情支持展示服务器的资源状态（CPU占有率、内存占有率和磁盘率）、流量分布排行、该服务器开放的服务；支持基于威胁情报的病毒特征值和域名全网终端搜索，可定位出全网该病毒的感染情况</w:t>
            </w:r>
          </w:p>
          <w:p w14:paraId="71F6437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5、支持与同厂商的下一代防火墙联动，对僵尸网络进行举证、溯源和联动查杀</w:t>
            </w:r>
          </w:p>
          <w:p w14:paraId="04AF27C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 支持Windows系统的违规外联动,能有效帮助管理员规范终端上网行为</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66D17AB8">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29FB15D">
            <w:pPr>
              <w:jc w:val="center"/>
              <w:rPr>
                <w:rFonts w:hint="eastAsia" w:asciiTheme="minorEastAsia" w:hAnsiTheme="minorEastAsia" w:eastAsiaTheme="minorEastAsia" w:cstheme="minorEastAsia"/>
                <w:sz w:val="24"/>
                <w:szCs w:val="24"/>
              </w:rPr>
            </w:pPr>
          </w:p>
        </w:tc>
      </w:tr>
      <w:tr w14:paraId="2A62F07A">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3C69D16A">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25</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7B222DCE">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智慧黑板</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2FAE8E0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一、整机要求</w:t>
            </w:r>
          </w:p>
          <w:p w14:paraId="5246696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1.整机采用全金属外壳，三拼接平面一体化设计，中间主屏幕整机采用86英寸液晶显示器，分辨率3840w×2160g。整机背板采用金属材质。无推拉式结构，外部无任何可见内部功能模块连接线。</w:t>
            </w:r>
          </w:p>
          <w:p w14:paraId="0055A15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2.嵌入式系统版本不低于Android 14，主频≥1.8GHz，内存≥2GB，存储空间≥8GB，嵌入式芯片内置2TOPS AI算力，可用于AI图像、音频处理。</w:t>
            </w:r>
          </w:p>
          <w:p w14:paraId="177B8AF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3.整机设备副屏支持磁吸附功能，可以满足带有磁吸的板擦等教具进行吸附在副屏上。</w:t>
            </w:r>
          </w:p>
          <w:p w14:paraId="2DBA4A1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4.采用红外触控方式，支持Windows、Android系统40点或以上触控书写。</w:t>
            </w:r>
          </w:p>
          <w:p w14:paraId="194FEDA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5.整机支持色彩空间可选，包含标准模式和sRGB模式，在sRGB模式下可做到高色准△E≤1</w:t>
            </w:r>
          </w:p>
          <w:p w14:paraId="102D683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6.支持标准、多媒体和节能三种图像模式调节。支持可自定义图像设置，可对对比度、屏幕色温、图像亮度、亮度范围、色彩空间等进行更进一步调节设置。</w:t>
            </w:r>
          </w:p>
          <w:p w14:paraId="5B2D053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7.设备支持自定义前置“设置"按键，可通过自定义设置实现前置面板功能按键一键启用任一全局小工具或某功能快捷开关。</w:t>
            </w:r>
          </w:p>
          <w:p w14:paraId="43FB940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8.整机支持纸质护眼模式，可以在任意通道任意画面任意软件所有显示内容下实现画面纹理的实时调整；支持透明度调节；支持色温调节。</w:t>
            </w:r>
          </w:p>
          <w:p w14:paraId="7EF25F2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9.整机侧边栏内置朗读工具，通过整机麦克风内置音频检测算法监测教室中学生的朗读情况，以游戏化界面呈现朗读积极性，调动学生朗读兴趣（提供国家权威检测报告复印件并加盖厂家公章）</w:t>
            </w:r>
          </w:p>
          <w:p w14:paraId="49F55C3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10.整机内置的阵列麦支持在无任何外部设备的情况下，实时录制用户朗读内容，识别用户声纹并进行统一身份登录操作，登录后自动获取个人云端教学课件列表，打开教学白板软件时可跳过软件自带登录步骤。</w:t>
            </w:r>
          </w:p>
          <w:p w14:paraId="61E6A40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11.支持云端在线系统固件升级。</w:t>
            </w:r>
          </w:p>
          <w:p w14:paraId="3F2E92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二、扬声器与摄像头</w:t>
            </w:r>
          </w:p>
          <w:p w14:paraId="5924F73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1.整机内置不低于2.2声道扬声器，具备多方向扬声器，额定总功率不低于60W，全部扬声器均采用模块化设计，无需打开背板即可单独拆卸，便于维护。</w:t>
            </w:r>
          </w:p>
          <w:p w14:paraId="6B1C24C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2.整机内置非独立外扩展的8阵列麦克风，拾音角度≥180°，拾音距离≥12m。</w:t>
            </w:r>
          </w:p>
          <w:p w14:paraId="4589E36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3.整机内置≥5000万摄像头，视场角≥120度。可用于远程巡课，整机摄像头支持大于等于10米距离时实现AI识别人像。具备人脸识别、快速点人数、随机抽人；识别所有学生，显示标记功能。</w:t>
            </w:r>
          </w:p>
          <w:p w14:paraId="566A6F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三、副屏板书保存</w:t>
            </w:r>
          </w:p>
          <w:p w14:paraId="139EF25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1.主屏内置浮动窗口，在副屏书写时，主屏能实时同步显示书写轨迹</w:t>
            </w:r>
          </w:p>
          <w:p w14:paraId="24378A3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2.副屏支持使用手掌、板擦擦除并在主屏板书软件中同步显示</w:t>
            </w:r>
          </w:p>
          <w:p w14:paraId="33C0FF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3.整机设备只用一路电源进行供电，无需针对副屏电子化功能再增加电源进行单独供电。</w:t>
            </w:r>
          </w:p>
          <w:p w14:paraId="71E8422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四、OPS模块</w:t>
            </w:r>
          </w:p>
          <w:p w14:paraId="0C624D9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1.处理器：Intel Core i5十二代及以上，内存：8G DDR4 或以上配置，硬盘≥256G SSD 固态硬盘，采用抽拉内置式模块化电脑，抽拉内置式，PC模块可插入整机，可实现无单独接线的插拔。</w:t>
            </w:r>
          </w:p>
          <w:p w14:paraId="365C963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2.具有独立非外扩展的电脑USB接口：≥3路USB。≥1 路 HDMI ；正版操作系统。</w:t>
            </w:r>
          </w:p>
          <w:p w14:paraId="5FC3CD3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五、教学软件</w:t>
            </w:r>
          </w:p>
          <w:p w14:paraId="7D0A9CA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1、为全校教师提供可扩展，易于学校管理，安全可靠的云存储空间，根据每名教师使用时长与教学资料制作频率提供可扩展升级至不小于200G的个人云空间。</w:t>
            </w:r>
          </w:p>
          <w:p w14:paraId="5086E0D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2、支持老师个人账号注册登录使用，也可通过USB key进行身份快速识别登录。</w:t>
            </w:r>
          </w:p>
          <w:p w14:paraId="1A406E8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3、采用备授课一体化框架设计，教师可根据教学场景自由切换类PPT界面的备课模式与触控交互教学模式，适用于教室、办公室等不同教学环境，便于教师教学使用。</w:t>
            </w:r>
          </w:p>
          <w:p w14:paraId="34DBA19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白板软件APP端支持上传手机相册中的照片和视频到资料夹，且支持调用系统相机拍摄照片并直接上传；教师可以在备课端选择资源插入课件；APP版支持在线预览、下载资料夹中的图片和视频；支持对通过APP和PC端上传的资源移动、删除和重命名；资料夹中的多媒体素材可随时插入教学互动课件，同时教学互动课件内的多媒体素材可在课件内直接上传至资料夹中，便于教师调用、采集教学素材。</w:t>
            </w:r>
          </w:p>
          <w:p w14:paraId="2523370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白板软件支持PC端/APP端实现信息化集体备课：支持自定义编辑备课主题、集备内容、上传课件、教案、微课视频资源，可自定义添加集备教师、设置访问权限及评论和批注权限，教师可以针对课件、教案进行批注和研讨；主备人可多次修改稿件后上传，具备稿件版本对比功能；支持集备信息、数据统计、访问记录、研讨记录等查看；支持在教学教研管理平台中查看学校集体备课数据并以Excel表格的形式导出数据，便于数据的分享。</w:t>
            </w:r>
          </w:p>
          <w:p w14:paraId="0B3BD9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6、互动课件内容的编辑修改无需人为保存即可自动同步至云空间，可根据教师需要调整云空间自动同步的时间间隔，避免教学资源的损坏、遗失。</w:t>
            </w:r>
          </w:p>
          <w:p w14:paraId="758E13D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支持一对一分享云课件，用户可在软件中直接输入对方的注册手机号，可将云课件精准推送至用户教学账号云空间，用户可在软件中直接接收并打开课件。也可通过链接方式分享，并设置“公开”或“加密”的分享方式以及资料有效期限。</w:t>
            </w:r>
          </w:p>
          <w:p w14:paraId="502E780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软件自带直播课堂功能，老师可在白板软件中提前创建直播课堂，并关联个人空间中的课件，生成听课码，学生只需微信扫码即可快速加入直播课堂，老师还可实时下发客观答题，学生可远程实时互动答题，并进行课堂发言和同步板书书写。</w:t>
            </w:r>
          </w:p>
          <w:p w14:paraId="60856DC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9、具备图形自由创作工具，教师可自由绘制复杂的任意多边图形及曲边图形；教师自主创作的图形可存储至个人云空间便于后续使用。</w:t>
            </w:r>
          </w:p>
          <w:p w14:paraId="134094F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10、内置专用美术画板工具，提供铅笔、毛笔、油画笔等笔触，具备符合绘画调色教学需求的模拟调色盘，可选择不同颜色混合调色，便于学生理解调色合成过程。</w:t>
            </w:r>
          </w:p>
          <w:p w14:paraId="2C22F32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白板软件支持微课文字快剪功能，支持上传本地视频文件并进行AI语音文字转写，教师只需选中对应文字内容并删除，即可完成相应微课视频片段的剪辑；支持一键勾选语气词，并进行删除；文字快剪结束后，支持一键进入视频剪辑界面，进行微课视频的精细化剪辑，可一键导出为本地微课视频或通过二维码的形式进行微课视频的分享。</w:t>
            </w:r>
          </w:p>
          <w:p w14:paraId="4C633DA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为方便教学评课和课件分享，白板软件支持授课评价功能，可在课件中一键生成评课和课件分享二维码，方便教师实时评课。老师可选择评课标准，学校可根据实际情况自定义评课模板，支持添加评分题、主观题等类型，设定评课范围与权限。教师的评价结果马上同步到教学管理平台。</w:t>
            </w:r>
          </w:p>
          <w:p w14:paraId="1A7383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为了方便教师随时随地查看课件，白板软件APP端登录账号后，支持以列表的方式查看该账号里所有的云课件，打开云课件可对课件中的形状、文本、图片等元素克隆、删除等操作；云课件可通过微信、朋友圈、钉钉、手机号、二维码、加密链接等多种方式实现快速分享；APP具备课件回收站功能，按支持教师在3天内恢复或彻底删除单份/多份/全部已删除课件；支持通过APP录制课件讲解同步的微课视频，视频可直接同步到教师云空间。</w:t>
            </w:r>
          </w:p>
          <w:p w14:paraId="42FEFA0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白板软件具备英语工具AI智能纠错功能，内置AI智能语义分析模块，可对输入的英文文本的拼写、句型、语法进行错误检查，并支持一键纠错；提供英汉字典，支持输入英文单词生成单词卡和详解页，包含单词的释义、读音、例句、词组、近义词等，可插入多个单词卡，同时支持教师自定义编辑单词释义、创建未收录的生僻单词供授课使用；配置听写工具，覆盖不少于8000个英语单词，支持自定义选择单词，根据单词智能生成读音；支持自定义听写频率和次数，一键生成听写卡；授课模式支持一键开启听写朗读，结束后可公布答案。</w:t>
            </w:r>
          </w:p>
          <w:p w14:paraId="6586A97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六、平台对接：产品自带的教学资源、软件和教研中心、统一管控，需与学校、区域现有设备集中管理、教师教研等平台实现无缝对接，</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6E3B3BA6">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3BB705D">
            <w:pPr>
              <w:jc w:val="center"/>
              <w:rPr>
                <w:rFonts w:hint="eastAsia" w:asciiTheme="minorEastAsia" w:hAnsiTheme="minorEastAsia" w:eastAsiaTheme="minorEastAsia" w:cstheme="minorEastAsia"/>
                <w:sz w:val="24"/>
                <w:szCs w:val="24"/>
              </w:rPr>
            </w:pPr>
          </w:p>
        </w:tc>
      </w:tr>
      <w:tr w14:paraId="30F40A4C">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9E8BED6">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26</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B1073EA">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纸质图书</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0FFEDBA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本次采购图书其内容必须符合小学生认知阅读水平,杜绝含有反动、黄色、恐怖、网络游戏、违反国家法律法规政策内容及其他不适合小学生阅读的图书出现，所有图书均无政治性、科学性错误出现。以文字版为主，图书应符合国家出版部门规定的图书质量。</w:t>
            </w:r>
          </w:p>
          <w:p w14:paraId="1F0E71C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技术参数要求：</w:t>
            </w:r>
          </w:p>
          <w:p w14:paraId="77872D4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图书印刷质量及装订执行标准：</w:t>
            </w:r>
          </w:p>
          <w:p w14:paraId="48144A5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1、封面印刷</w:t>
            </w:r>
          </w:p>
          <w:p w14:paraId="0733609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套印准确，字、图、点、线印迹清楚，不花、不毛、不糊，实地版墨色均匀，无回胶印，背面不脏。</w:t>
            </w:r>
          </w:p>
          <w:p w14:paraId="5925493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2、插图印刷</w:t>
            </w:r>
          </w:p>
          <w:p w14:paraId="75F337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（1）套印准确，层次分明，轮廓实，电分制版无浮雕印；</w:t>
            </w:r>
          </w:p>
          <w:p w14:paraId="72F9523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（2）网点清晰饱满，小点不秃，大点光洁不糊，质感好；</w:t>
            </w:r>
          </w:p>
          <w:p w14:paraId="0994CF6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（3）墨色均匀厚实，色彩鲜有光泽，肤色正，接版准确，色调深浅一致。</w:t>
            </w:r>
          </w:p>
          <w:p w14:paraId="6670D56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3、正文印刷</w:t>
            </w:r>
          </w:p>
          <w:p w14:paraId="34F56A9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（1）压力：压力适度，全书前后轻重一致；</w:t>
            </w:r>
          </w:p>
          <w:p w14:paraId="234A9AE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（2）墨色：全书前后墨色一致，浓淡适度；</w:t>
            </w:r>
          </w:p>
          <w:p w14:paraId="268FEAD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（3）套印：版面端正，正反套印准确；</w:t>
            </w:r>
          </w:p>
          <w:p w14:paraId="6DC7953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（4）文字：文字、标点清晰，笔锋挺秀，无缺笔断划，标题黑实不花，小字不糊不瞎；</w:t>
            </w:r>
          </w:p>
          <w:p w14:paraId="2D4FA6C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（5）其它：书面无脏污、破损，无钉花、野墨。</w:t>
            </w:r>
          </w:p>
          <w:p w14:paraId="271CEA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4、装订</w:t>
            </w:r>
          </w:p>
          <w:p w14:paraId="5C52A7A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（1）开本尺寸符合设计要求，套书规格一致，成品裁切方正，无明显刀花，无连接页、折角、破头；</w:t>
            </w:r>
          </w:p>
          <w:p w14:paraId="3D8BF0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（2）书背平整，无空背、起泡、明显皱折，书脊字居中，封面齐色，边框要色正.(八字折等)；</w:t>
            </w:r>
          </w:p>
          <w:p w14:paraId="06BA42F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（3）全书页码折正，书面平服，无皱折(八字折等)；</w:t>
            </w:r>
          </w:p>
          <w:p w14:paraId="4F615A3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（4）骑马钉、平钉的钉脚不翘，无断丝、凸肚，钉距匀称，坚实牢固易翻不脱页；</w:t>
            </w:r>
          </w:p>
          <w:p w14:paraId="6DFDD0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（5）其它：书页整洁，无赃污、破页、野胶。</w:t>
            </w:r>
          </w:p>
          <w:p w14:paraId="665BBE3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5、执行标准</w:t>
            </w:r>
          </w:p>
          <w:p w14:paraId="273F292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（1）《中华人民共和国产品质量法》及新闻出版总署公布的《图书质量管理规定》标准。</w:t>
            </w:r>
          </w:p>
          <w:p w14:paraId="29C85B0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（2）CY/T5-1999平版印刷品质量要求及检验方法。</w:t>
            </w:r>
          </w:p>
          <w:p w14:paraId="2D080C6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（3）CY/T27-1999装订质量要求及检验方法精装。</w:t>
            </w:r>
          </w:p>
          <w:p w14:paraId="1D3B84D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（4）CY/T28-1999装订质量要求及检验方法平装。</w:t>
            </w:r>
          </w:p>
          <w:p w14:paraId="019154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（5）CY/T29-1999装订质量要求及检验方法。</w:t>
            </w:r>
          </w:p>
          <w:p w14:paraId="451B2CD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6、投标的所有图书均为正版发行，出版手续齐全，无知识产权、版权纠纷；必须保证所供图书为正版图书，投标时必须提交相关承诺书。</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5C8CF6CB">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2000册</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83B44FC">
            <w:pPr>
              <w:jc w:val="center"/>
              <w:rPr>
                <w:rFonts w:hint="eastAsia" w:asciiTheme="minorEastAsia" w:hAnsiTheme="minorEastAsia" w:eastAsiaTheme="minorEastAsia" w:cstheme="minorEastAsia"/>
                <w:sz w:val="24"/>
                <w:szCs w:val="24"/>
              </w:rPr>
            </w:pPr>
          </w:p>
        </w:tc>
      </w:tr>
      <w:tr w14:paraId="6E0FDEB4">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07EFE02">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27</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1D29EC39">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高清录播主机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5315B33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一.总体要求</w:t>
            </w:r>
          </w:p>
          <w:p w14:paraId="1EA78D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1、要求本期采购高清录播主机应无缝接入伽师县教育局平台，完成整个县级区域内互动教学及教研评课无缝对接，如互动教学、视频会议、区域直播、教研磨课等，制造商提供对接承诺函。</w:t>
            </w:r>
          </w:p>
          <w:p w14:paraId="5E3AF17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2、要求录播主机与视频资源管理平台、高清摄像机设备为同一品牌。                                                                                 </w:t>
            </w:r>
          </w:p>
          <w:p w14:paraId="3A64391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二.技术要求                                                                                                                                                    </w:t>
            </w:r>
          </w:p>
          <w:p w14:paraId="6621248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1.要求录播主机功能高度集成化，单机具备录制、导播、自动跟踪、存储、点播、互动等功能，不接受外接或扩展设备方式。</w:t>
            </w:r>
          </w:p>
          <w:p w14:paraId="1332E3C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2.要求录播主机采用安全电压供电，机身不产生其他视频、强光源等影响学生课堂专注力。</w:t>
            </w:r>
          </w:p>
          <w:p w14:paraId="06BEEE8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3.要求录播主机支持EQ均衡、回声抑制、自动增益、噪声抑制等音频处理功能。</w:t>
            </w:r>
          </w:p>
          <w:p w14:paraId="7C1A3B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4.要求录播主机支持不低于4路SDI视频输入接口、不低于2路HDMI输入接口；不低于3路HDMI输出接口。</w:t>
            </w:r>
          </w:p>
          <w:p w14:paraId="376A351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5.要求录播主机的数字音频接口支持音频通过普通”双绞线“连接，可在采集数字音频信号的同时对数字麦克风进行供电。</w:t>
            </w:r>
          </w:p>
          <w:p w14:paraId="06F6C04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6.要求录播主机在通电关机或休眠状态下，断电情况下开展日常授课时（不录制、互动等）仍能完成麦克风、电脑等教学音频环出应用。</w:t>
            </w:r>
          </w:p>
          <w:p w14:paraId="5DA34F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7.录播主机支持不低于1路网络接口，10/100/1000M网络自适应。</w:t>
            </w:r>
          </w:p>
          <w:p w14:paraId="7E8EEA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8.要求录播主机内置不少于2T存储空间，用于视频文件的存储，在设备网页具备对单个视频文件查看、下载、与删除等功能。</w:t>
            </w:r>
          </w:p>
          <w:p w14:paraId="042A47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9.要求录播主机支持不低于2路控制接口，兼容RS232、RS422控制协议，用于连接控制设备。</w:t>
            </w:r>
          </w:p>
          <w:p w14:paraId="27F3BC4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10.为了便于录播设备连接鼠标、键盘进行导播控制以及设备连接U盘进行课程视频的下载，要求设备支持不低于2路USB接口。</w:t>
            </w:r>
          </w:p>
          <w:p w14:paraId="5D1A6C3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11.要求录播主机具备不低于4路数字音频输入接口、2路线性音频输入接口Linein；2路线性音频输出接口Lineout。</w:t>
            </w:r>
          </w:p>
          <w:p w14:paraId="687CD82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12.要求录播主机支持定时休眠唤醒功能，并提供自定义时间设置，可以单独设置是否定时休眠或者定时唤醒。</w:t>
            </w:r>
          </w:p>
          <w:p w14:paraId="5117EE2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13.要求录播主机采集的摄像机信号无需经过编解码，无画质损耗。具备声画同步机制，实现≤100ms的声画同步，保障录制视频质量。</w:t>
            </w:r>
          </w:p>
          <w:p w14:paraId="0498913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14.要求录播主机支持录像文件循环覆盖功能，开启循环覆盖功能后，录播硬盘在已存储90%的空间时，再次启动录制将删除录播内现存时间最早的录像文件以应对录制频率比较高的情况。</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40027E40">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615850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核心产品</w:t>
            </w:r>
          </w:p>
        </w:tc>
      </w:tr>
      <w:tr w14:paraId="41221E06">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864FF95">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28</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7F465BBC">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录播流媒体处理软件</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4C49129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1.软件兼容IE、火狐、搜狗等主流浏览器通过网络直接访问软件后台进行管理应用；</w:t>
            </w:r>
          </w:p>
          <w:p w14:paraId="40B948A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2.软件具备录制、暂停、结束等基本功能操作，并支持通过外接控制设备以及网页web登录控制等方式进行录制控制；</w:t>
            </w:r>
          </w:p>
          <w:p w14:paraId="570EB8B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3.软件具备网络导播和本地导播功能；</w:t>
            </w:r>
          </w:p>
          <w:p w14:paraId="1B62C4F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4.软件具备对录制视频按视频文件名、时间、时长进行排序，便于快速检索所需视频。支持对录像文件进行下载；</w:t>
            </w:r>
          </w:p>
          <w:p w14:paraId="7B0B2E5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5.软件具备硬盘格式化功能，对设备异常断电、宕机造成的视频文件损坏进行自动修复，具备恢复出厂设置，能够实时初始化系统状态；</w:t>
            </w:r>
          </w:p>
          <w:p w14:paraId="718D6C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6.软件具备资源模式与导播后的电影模式同时录制，支持对视频文件进行点播回放以及拖拽播放进度条播放；</w:t>
            </w:r>
          </w:p>
          <w:p w14:paraId="5FDD196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7.软件具备长视频分段录制的功能，可自定义视频文件分段时长，当录制课程时间较长时，可在不结束录制的条件下自动按分段时长将课程视频文件分割录制成多个视频文件。</w:t>
            </w:r>
          </w:p>
          <w:p w14:paraId="1C7F3C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8.软件具备摄像机云台控制技术，实现对接入摄像机的画面进行云台控制，包括画面上下左右移动、放大缩小变焦等操作。</w:t>
            </w:r>
          </w:p>
          <w:p w14:paraId="1ED38F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9.软件具备全自动、半自动、手动三种导播模式，并支持录制过程中任意切换导播模式。提供功能界面截图并加盖厂家公章。</w:t>
            </w:r>
          </w:p>
          <w:p w14:paraId="7A97CFC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软件具备全自动跟踪模式切换布局逻辑自定义，使用者可以按照自己的需求选择全自动跟踪所切换的画面内容与逻辑，且画面内容支持双分屏、画中画与自定义布局等。提供软件配套录播主机的第三方检测报告复印件。</w:t>
            </w:r>
          </w:p>
          <w:p w14:paraId="7D64F0B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11.为保证录制效果与质量，软件具备音频设置支持多场景设置配置，支持对录制、互动两个使用场景分别配置音频设置参数。并可在对应使用场景自动生效。提供软件配套录播主机的第三方检测报告复印件。</w:t>
            </w:r>
          </w:p>
          <w:p w14:paraId="46BDC7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12.软件具备对录播主机任意线性音频输入通道做单独配置，提供无线MIC或多媒体设备等多种类型选择，支持对音频比特率与采样率进行配置，保障音频效果。提供软件配套录播主机的第三方检测报告复印件。</w:t>
            </w:r>
          </w:p>
          <w:p w14:paraId="574148B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13.软件具备U盘同步录制保存的功能，在录播主机正常录制的同时，另存一份文件保存到U盘中。</w:t>
            </w:r>
          </w:p>
          <w:p w14:paraId="3794AEB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14.软件具备高低双码流同步录制，并要求支持自定义录制分辨率、码流。</w:t>
            </w:r>
          </w:p>
          <w:p w14:paraId="2528904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15.软件具备自定义推流分辨率和码率，码率512Kbps~35Mbps范围可设，以适应不同网络环境下保持直播的流畅性；提供软件配套录播主机的第三方检测报告复印件。</w:t>
            </w:r>
          </w:p>
          <w:p w14:paraId="6ACBBD0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16.软件具备自定义设置跟踪检测区域，避免如教室门窗、教学大屏等环境产生额外干扰，支持自定义选择检测区域则该区域系统将在指定区域进行图像识别分析，保障课堂正常跟踪拍摄效果。</w:t>
            </w:r>
          </w:p>
          <w:p w14:paraId="213B98D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17.软件具备双分屏、三分屏、四分屏以及自定义画面布局，支持多个视频图层自由叠加组合，自定义布局时可随意拖拉画面窗口。</w:t>
            </w:r>
          </w:p>
          <w:p w14:paraId="246FCFE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18.软件具备对视频信号源标签设置，对摄像机实时拍摄信号或HDMI高清输入信号均可自定义名称标签，为导播控制与编辑灵活性提供便利。</w:t>
            </w:r>
          </w:p>
          <w:p w14:paraId="150C8A1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19.软件具备具备 RTMP 和 RTSP 视频传输协议，不少于3路 RTMP 同步推流直播，支持自定义直播分辨率和码率，以适应不同网络环境下保持直播的流畅性。提供功能界面截图并加盖厂家公章。</w:t>
            </w:r>
          </w:p>
          <w:p w14:paraId="6E6C0C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20.软件具备 H.323、SIP 标准视音频互动协议，便捷进行远程互动教学应用。</w:t>
            </w:r>
          </w:p>
          <w:p w14:paraId="1D3A32A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21.软件具备音频处理模块，支持EQ均衡、AEC回声抑制、AGC自动增益、ANS噪声抑制等音频处理功能，提供功能界面截图并加盖厂家公章。</w:t>
            </w:r>
          </w:p>
          <w:p w14:paraId="2860696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22.软件具备双流互动功能，开启双流后，建立呼叫，支持教学场景信号与电脑课件信号以互相独立的信号进行传输；</w:t>
            </w:r>
          </w:p>
          <w:p w14:paraId="3951531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23.软件具备呼叫应答设置，默认支持自动应答与勾选手动应答两种方式以满足在专递课堂场景下听讲端的自动入会，以及在其余场景下录播教室内的用户接收到互动申请可自主选择是否加入会议的情况。提供功能界面截图并加盖厂家公章。</w:t>
            </w:r>
          </w:p>
          <w:p w14:paraId="28FC2E9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24.软件具备查询互动云系统的目录数据，查询内容包括所有已在互动云系统注册的设备账号、会议号，支持筛选查询，支持通过设备账号、会议号快速实现互动。</w:t>
            </w:r>
          </w:p>
          <w:p w14:paraId="690861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25.软件具备设置管理员权限和普通用户权限，普通权限用户无法进行配置参数修改。提供软件配套录播主机的第三方检测报告复印件。</w:t>
            </w:r>
          </w:p>
          <w:p w14:paraId="355B00C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此参数为本项目最低要求，此参数仅供参考。</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41930B00">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8FCFB96">
            <w:pPr>
              <w:jc w:val="center"/>
              <w:rPr>
                <w:rFonts w:hint="eastAsia" w:asciiTheme="minorEastAsia" w:hAnsiTheme="minorEastAsia" w:eastAsiaTheme="minorEastAsia" w:cstheme="minorEastAsia"/>
                <w:sz w:val="24"/>
                <w:szCs w:val="24"/>
              </w:rPr>
            </w:pPr>
          </w:p>
        </w:tc>
      </w:tr>
      <w:tr w14:paraId="45FB794B">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0765BF0">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29</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F24D8DC">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智能跟踪处理软件</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207464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1.软件具备智能识别摄像机的定位，并调用摄像机选用对应的跟踪逻辑，如教师跟踪、学生跟踪等；</w:t>
            </w:r>
          </w:p>
          <w:p w14:paraId="786B520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2.软件具备对摄像机的跟踪检测区域设置，可根据实景拍摄画面中框选跟踪区域，框选后只在区域中方能触发跟踪，所见所得方便操作；</w:t>
            </w:r>
          </w:p>
          <w:p w14:paraId="2753B2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软件具备自定义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p>
          <w:p w14:paraId="4266B9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4.软件具备人物校验锁定功能，支持基于人脸与肢体识别跟踪技术，当有多个人物进入拍摄画面，会经过人脸与肢体校验后锁定正确的跟拍对象，不跟丢不跟错。</w:t>
            </w:r>
          </w:p>
          <w:p w14:paraId="2EAE33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5.软件具备对设定的跟踪策略形成跟踪指令，实现多路接入摄像机的全自动跟踪画面切换。</w:t>
            </w:r>
          </w:p>
          <w:p w14:paraId="3F551F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软件具备人工智能技术，自适应调整画面拍摄比例，即使锁定跟拍对象变速或高速移动，摄像机均会持续锁定并依预设比例自动调整拍摄画面，并实现摄像机云台上下左右移动丝滑的同时焦距自动调整保障拍摄画面构图的稳定。</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1263EAA7">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164C731">
            <w:pPr>
              <w:jc w:val="center"/>
              <w:rPr>
                <w:rFonts w:hint="eastAsia" w:asciiTheme="minorEastAsia" w:hAnsiTheme="minorEastAsia" w:eastAsiaTheme="minorEastAsia" w:cstheme="minorEastAsia"/>
                <w:sz w:val="24"/>
                <w:szCs w:val="24"/>
              </w:rPr>
            </w:pPr>
          </w:p>
        </w:tc>
      </w:tr>
      <w:tr w14:paraId="2E3BEFD5">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FCAC7B3">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30</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7FAD450D">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高清摄像机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0A234A0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1.要求具备教师和学生的自动识别切换，根据部署位置、模式自主适配教师或学生的跟踪逻辑。</w:t>
            </w:r>
          </w:p>
          <w:p w14:paraId="1867064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2.要求具备基于人物识别的自动跟踪技术,单摄像机即可实现人物前后左右全方位移动的自动画面跟踪拍摄，包括水平运动、俯仰运动、变焦、聚焦四维实时跟踪。提供权威机构出具的高清摄像机功能性检测报告。</w:t>
            </w:r>
          </w:p>
          <w:p w14:paraId="64157FA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3.要求具备人体特征识别，能够自动识别并锁定跟踪人，人物丢失后再进入拍摄区域可以继续识别锁定进行跟踪。提供权威机构出具的高清摄像机功能性检测报告。</w:t>
            </w:r>
          </w:p>
          <w:p w14:paraId="570BA61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4.要求具备防干扰跟踪。多人同时出现在拍摄画面中时仍能准确识别并跟踪锁定的对象，不因其他人的闯入而误跟。提供权威机构出具的高清摄像机功能性检测报告。</w:t>
            </w:r>
          </w:p>
          <w:p w14:paraId="195DA18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5.要求具备划分自动跟踪区域，当锁定跟踪人物走出自动跟踪区域时即停止跟踪，直到重新回到区域出现在画面中为止。</w:t>
            </w:r>
          </w:p>
          <w:p w14:paraId="2B2A3D9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6.要求像素有效像素不低于200万，尺寸≥1/2.5英寸</w:t>
            </w:r>
          </w:p>
          <w:p w14:paraId="530F5A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7.云台转动：要求具备机械云台可进行转动跟踪。</w:t>
            </w:r>
          </w:p>
          <w:p w14:paraId="38FAB64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8.视频编码：要求支持H.265、H.264高清视频编码协议</w:t>
            </w:r>
          </w:p>
          <w:p w14:paraId="67634D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9.视频输出：要求具备标准SDI视频输出口≥1，HDMI视频输出口≥1</w:t>
            </w:r>
          </w:p>
          <w:p w14:paraId="09C1E76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10.图像翻转：要求支持图像水平、垂直翻转，适应摄像机不同的安装方式要求</w:t>
            </w:r>
          </w:p>
          <w:p w14:paraId="1FC23BE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11.要求具备VISCA标准摄像机控制协议</w:t>
            </w:r>
          </w:p>
          <w:p w14:paraId="3DE58EC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12.要求具备录播主机供电、POC和DC12V电源适配器等供电方式</w:t>
            </w:r>
          </w:p>
          <w:p w14:paraId="32BE0FC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13.要求摄像机与录播主机必须兼容搭配使用。</w:t>
            </w:r>
          </w:p>
          <w:p w14:paraId="210B8E3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此参数为本项目最低要求，此参数仅供参考。</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2C119C1E">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4台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9A71A32">
            <w:pPr>
              <w:jc w:val="center"/>
              <w:rPr>
                <w:rFonts w:hint="eastAsia" w:asciiTheme="minorEastAsia" w:hAnsiTheme="minorEastAsia" w:eastAsiaTheme="minorEastAsia" w:cstheme="minorEastAsia"/>
                <w:sz w:val="24"/>
                <w:szCs w:val="24"/>
              </w:rPr>
            </w:pPr>
          </w:p>
        </w:tc>
      </w:tr>
      <w:tr w14:paraId="4DF1DE45">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322DB2F4">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31</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74870E2">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高清摄像机传输管理软件</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75D6C70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1.软件支持通用浏览器直接访问进行管理。</w:t>
            </w:r>
          </w:p>
          <w:p w14:paraId="017E13E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2.软件具备曝光模式设置功能，包括自动、手动。</w:t>
            </w:r>
          </w:p>
          <w:p w14:paraId="74EDF69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3.软件具备抗闪烁频率、动态范围、光圈、快门参数设置。</w:t>
            </w:r>
          </w:p>
          <w:p w14:paraId="596E2FB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4.软件具备摄像机图像质量调节功能，包括亮度、对比度、色调、饱和度。</w:t>
            </w:r>
          </w:p>
          <w:p w14:paraId="669273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5.软件具备摄像机控制功能，包括云台控制、预置位设置与调用、焦距调节等。</w:t>
            </w:r>
          </w:p>
          <w:p w14:paraId="5E24B03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6.软件具备五分像、全身像等多种教师图像跟踪画面模式，根据实际需要设置选用教师跟踪画面的大小。提供功能截图证明。</w:t>
            </w:r>
          </w:p>
          <w:p w14:paraId="700A17D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7.软件具备学生/教师智能跟踪，根据学生/教师动作状态，进行画面跟踪拍摄，并通知录播主机完成画面切换。</w:t>
            </w:r>
          </w:p>
          <w:p w14:paraId="2978D11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8.软件具备PTZ实时跟焦，在跟踪状态下能实现摄像机水平旋转、垂直旋转、变焦的实时同步变化，不需要等拍摄对象稳定后再变焦调整画面比例。</w:t>
            </w:r>
          </w:p>
          <w:p w14:paraId="14783E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9.★供摄像机管理软件的软件著作权及软件测试报告。</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218EF9B7">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4套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80E7634">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主要产品</w:t>
            </w:r>
          </w:p>
        </w:tc>
      </w:tr>
      <w:tr w14:paraId="08B9E584">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A414DBF">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32</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D2CAFA9">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录制面板</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5D6CB28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1.支持切换互动画面的信号源，包括老师信号、学生信号、电脑信号、远端教室的画面；</w:t>
            </w:r>
          </w:p>
          <w:p w14:paraId="401EA71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2.支持一键式对电源开关控制，支持一键开启录制、停止、锁定电脑信号等功能；</w:t>
            </w:r>
          </w:p>
          <w:p w14:paraId="2C4B359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3.支持一键发起与远端设备互动连接；</w:t>
            </w:r>
          </w:p>
          <w:p w14:paraId="0AB1B71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4.支持对各画面的自由布局控制，包括单画面全屏、双分屏、三分屏、四分屏、画中画，并传输到听课室；</w:t>
            </w:r>
          </w:p>
          <w:p w14:paraId="2158007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5.支持在讲台上镶嵌式安装方式。</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78E7A432">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1个</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DBF19B0">
            <w:pPr>
              <w:jc w:val="center"/>
              <w:rPr>
                <w:rFonts w:hint="eastAsia" w:asciiTheme="minorEastAsia" w:hAnsiTheme="minorEastAsia" w:eastAsiaTheme="minorEastAsia" w:cstheme="minorEastAsia"/>
                <w:sz w:val="24"/>
                <w:szCs w:val="24"/>
              </w:rPr>
            </w:pPr>
          </w:p>
        </w:tc>
      </w:tr>
      <w:tr w14:paraId="59235318">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4930B27E">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33</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679FDEA">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音频处理器</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7322A4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1.设备采用高速处理芯片；</w:t>
            </w:r>
          </w:p>
          <w:p w14:paraId="7DE7E30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2.设备内置功放功能，可直接对接无源扬声器进行扩音；</w:t>
            </w:r>
          </w:p>
          <w:p w14:paraId="143787A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3.要求设备具备4路模拟输入+1路立体声输入+2路无线输入；支持2路模拟输出+2路功放输出的音频信号处理。</w:t>
            </w:r>
          </w:p>
          <w:p w14:paraId="579938B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4.支持通道拷贝、粘贴、联控功能。</w:t>
            </w:r>
          </w:p>
          <w:p w14:paraId="215E7A6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5.音频处理：支持音频处理功能，包含反馈消除、回声消除、噪声消除等。</w:t>
            </w:r>
          </w:p>
          <w:p w14:paraId="1979695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6.支持全功能矩阵混音功能。</w:t>
            </w:r>
          </w:p>
          <w:p w14:paraId="0429357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7.支持场景预设功能，可通过场景预设切换相应配置。</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7B7094C2">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84806C6">
            <w:pPr>
              <w:jc w:val="center"/>
              <w:rPr>
                <w:rFonts w:hint="eastAsia" w:asciiTheme="minorEastAsia" w:hAnsiTheme="minorEastAsia" w:eastAsiaTheme="minorEastAsia" w:cstheme="minorEastAsia"/>
                <w:sz w:val="24"/>
                <w:szCs w:val="24"/>
              </w:rPr>
            </w:pPr>
          </w:p>
        </w:tc>
      </w:tr>
      <w:tr w14:paraId="59187AB0">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FA9617D">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34</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766B91A7">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音频处理与功放管理软件</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0C4482A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1.软件采用C/S或B/S软件架构设计，支持对音频处理矩阵进行管理。</w:t>
            </w:r>
          </w:p>
          <w:p w14:paraId="0FFCD12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2.软件具备输入输出信道的快捷控制方式，每个通道的处理器都可以快速直通和启用，选中不同的信道，会自动切换信道信息；</w:t>
            </w:r>
          </w:p>
          <w:p w14:paraId="4226327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3.软件具备通过扩展器调整输入的动态范围；</w:t>
            </w:r>
          </w:p>
          <w:p w14:paraId="0554F59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4.软件具备通过改变输入输出压缩比例来自动控制增益的幅度，自动提升和压缩话筒音量，使之以恒定的电平输出；</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471F68D6">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8DD4817">
            <w:pPr>
              <w:jc w:val="center"/>
              <w:rPr>
                <w:rFonts w:hint="eastAsia" w:asciiTheme="minorEastAsia" w:hAnsiTheme="minorEastAsia" w:eastAsiaTheme="minorEastAsia" w:cstheme="minorEastAsia"/>
                <w:sz w:val="24"/>
                <w:szCs w:val="24"/>
              </w:rPr>
            </w:pPr>
          </w:p>
        </w:tc>
      </w:tr>
      <w:tr w14:paraId="504D57AC">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0215E39C">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35</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A6BCC4B">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采访话筒(指向性)</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10719C6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1.背极式驻极体</w:t>
            </w:r>
          </w:p>
          <w:p w14:paraId="228ED34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2.心型指向/超心型指向。</w:t>
            </w:r>
          </w:p>
          <w:p w14:paraId="2AEF785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3.频率响应：35Hz—16kHz</w:t>
            </w:r>
          </w:p>
          <w:p w14:paraId="5C91748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4.灵敏度≥-25dB±3dB灵敏度高，失真小，动态范围大。</w:t>
            </w:r>
          </w:p>
          <w:p w14:paraId="0FB4BD1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5.输出阻抗≥400Ω±20%</w:t>
            </w:r>
          </w:p>
          <w:p w14:paraId="22A93D1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6.最大声压级≥130dB</w:t>
            </w:r>
          </w:p>
          <w:p w14:paraId="09A3DB6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7.信噪比≥70dB</w:t>
            </w:r>
          </w:p>
          <w:p w14:paraId="3CE7099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8.清晰的人声拾音。</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4C53D919">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6支</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841F5F9">
            <w:pPr>
              <w:jc w:val="center"/>
              <w:rPr>
                <w:rFonts w:hint="eastAsia" w:asciiTheme="minorEastAsia" w:hAnsiTheme="minorEastAsia" w:eastAsiaTheme="minorEastAsia" w:cstheme="minorEastAsia"/>
                <w:sz w:val="24"/>
                <w:szCs w:val="24"/>
              </w:rPr>
            </w:pPr>
          </w:p>
        </w:tc>
      </w:tr>
      <w:tr w14:paraId="160B3D5F">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10A06DB">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36</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42586EA">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互动音箱</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2EAC2C4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1.高音单元1＂</w:t>
            </w:r>
          </w:p>
          <w:p w14:paraId="75EA36D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2.低音单元6.5＂</w:t>
            </w:r>
          </w:p>
          <w:p w14:paraId="5DACFD2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3.频率响应：60Hz-20KHz</w:t>
            </w:r>
          </w:p>
          <w:p w14:paraId="45606A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4.灵敏度：≥90dB</w:t>
            </w:r>
          </w:p>
          <w:p w14:paraId="5941B69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7.最大声压级：≥100dB</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3BDA0217">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1对</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176ADD6">
            <w:pPr>
              <w:jc w:val="center"/>
              <w:rPr>
                <w:rFonts w:hint="eastAsia" w:asciiTheme="minorEastAsia" w:hAnsiTheme="minorEastAsia" w:eastAsiaTheme="minorEastAsia" w:cstheme="minorEastAsia"/>
                <w:sz w:val="24"/>
                <w:szCs w:val="24"/>
              </w:rPr>
            </w:pPr>
          </w:p>
        </w:tc>
      </w:tr>
      <w:tr w14:paraId="54635A81">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F464293">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37</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17D90264">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电源管理器</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5DDCEC8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1.向录播视频系统、音频系统、显示系统提供统一的、至少八路电源管理； </w:t>
            </w:r>
          </w:p>
          <w:p w14:paraId="5E1E045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2.支持对录播系统控制功能，实现通过录制面板一键启动录播系统相关设备的电源；</w:t>
            </w:r>
          </w:p>
          <w:p w14:paraId="7E7CFEA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3.支持时序电源控制功能，每路延迟一秒，可编程控制；</w:t>
            </w:r>
          </w:p>
          <w:p w14:paraId="01A2434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4.具备内置光电隔离模块，保障负载运行安全；</w:t>
            </w:r>
          </w:p>
          <w:p w14:paraId="095B6BE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5.支持提供1路最大电流不低于10A的电源输出接口；</w:t>
            </w:r>
          </w:p>
          <w:p w14:paraId="2A7E3A6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6.支持RS-485/RS-422/RS-232 等控制协议。</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530A34B4">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63B3423">
            <w:pPr>
              <w:jc w:val="center"/>
              <w:rPr>
                <w:rFonts w:hint="eastAsia" w:asciiTheme="minorEastAsia" w:hAnsiTheme="minorEastAsia" w:eastAsiaTheme="minorEastAsia" w:cstheme="minorEastAsia"/>
                <w:sz w:val="24"/>
                <w:szCs w:val="24"/>
              </w:rPr>
            </w:pPr>
          </w:p>
        </w:tc>
      </w:tr>
      <w:tr w14:paraId="7325CE19">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A12E370">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38</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1B93F85">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机柜</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37A720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定制</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5EBE0FA6">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F637A86">
            <w:pPr>
              <w:jc w:val="center"/>
              <w:rPr>
                <w:rFonts w:hint="eastAsia" w:asciiTheme="minorEastAsia" w:hAnsiTheme="minorEastAsia" w:eastAsiaTheme="minorEastAsia" w:cstheme="minorEastAsia"/>
                <w:sz w:val="24"/>
                <w:szCs w:val="24"/>
              </w:rPr>
            </w:pPr>
          </w:p>
        </w:tc>
      </w:tr>
      <w:tr w14:paraId="0709BBE0">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F8450DB">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39</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626034FF">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线材</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6F4C9BC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满足系统布线需求</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75272A8C">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1批</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B90526B">
            <w:pPr>
              <w:jc w:val="center"/>
              <w:rPr>
                <w:rFonts w:hint="eastAsia" w:asciiTheme="minorEastAsia" w:hAnsiTheme="minorEastAsia" w:eastAsiaTheme="minorEastAsia" w:cstheme="minorEastAsia"/>
                <w:sz w:val="24"/>
                <w:szCs w:val="24"/>
              </w:rPr>
            </w:pPr>
          </w:p>
        </w:tc>
      </w:tr>
      <w:tr w14:paraId="0CD24E44">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4D285BA">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40</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6982E8A">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网络摄像机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25B17E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600万臻全彩海螺型网络摄像机</w:t>
            </w:r>
          </w:p>
          <w:p w14:paraId="6A54644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臻全彩海螺型网络摄像机，采用全彩级高灵敏度传感器，F1.0超大光圈镜头，最高分辨率可达600万像素，并在此分辨率下可输出25 fps实时图像，提供更清晰的视频流输入</w:t>
            </w:r>
          </w:p>
          <w:p w14:paraId="4E8EBD8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支持背光补偿，强光抑制，3D数字降噪，120 dB宽动态，适应不同环境</w:t>
            </w:r>
          </w:p>
          <w:p w14:paraId="4ED0141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支持柔光灯补光，照射距离最远可达30 m</w:t>
            </w:r>
          </w:p>
          <w:p w14:paraId="639BD44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内置1个内置麦克风</w:t>
            </w:r>
          </w:p>
          <w:p w14:paraId="1BB435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符合IP67防尘防水设计，可靠性高</w:t>
            </w:r>
          </w:p>
          <w:p w14:paraId="2B326A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支持区域入侵侦测，越界侦测，进入区域侦测，离开区域侦测</w:t>
            </w:r>
          </w:p>
          <w:p w14:paraId="3F53DE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p>
          <w:p w14:paraId="67758E5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传感器类型：1/1.8" Progressive Scan CMOS </w:t>
            </w:r>
          </w:p>
          <w:p w14:paraId="3CB7DE6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最低照度：彩色：0.0005 Lux</w:t>
            </w:r>
          </w:p>
          <w:p w14:paraId="2236611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宽动态：120 dB</w:t>
            </w:r>
          </w:p>
          <w:p w14:paraId="3E7C0D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调节角度：水平：0°~360°，垂直：0°~75°，旋转：0°~360° </w:t>
            </w:r>
          </w:p>
          <w:p w14:paraId="29A3DCD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焦距&amp;视场角：4 mm，水平视场角：84°，垂直视场角：46°，对角视场角：99°</w:t>
            </w:r>
          </w:p>
          <w:p w14:paraId="1107754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 mm，水平视场角：46°，垂直视场角：25°，对角视场角：54°</w:t>
            </w:r>
          </w:p>
          <w:p w14:paraId="59A6402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景深范围：4 mm：3.4 m~∞</w:t>
            </w:r>
          </w:p>
          <w:p w14:paraId="0D48B3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6 mm：8.4 m~∞ </w:t>
            </w:r>
          </w:p>
          <w:p w14:paraId="45C2921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补光灯类型：柔光灯</w:t>
            </w:r>
          </w:p>
          <w:p w14:paraId="62ACAC1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补光距离：最远可达30 m</w:t>
            </w:r>
          </w:p>
          <w:p w14:paraId="3D12CD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防补光过曝：支持 </w:t>
            </w:r>
          </w:p>
          <w:p w14:paraId="1CB2D57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最大图像尺寸：3200 × 1800</w:t>
            </w:r>
          </w:p>
          <w:p w14:paraId="01CA9DE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视频压缩标准：主码流：H.265/H.264，支持超级智能编码</w:t>
            </w:r>
          </w:p>
          <w:p w14:paraId="58E5675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子码流：H.265/H.264/MJPEG</w:t>
            </w:r>
          </w:p>
          <w:p w14:paraId="1F277E0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第三码流：H.265/H.264 </w:t>
            </w:r>
          </w:p>
          <w:p w14:paraId="5FFDFC3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网络：1个RJ45 10 M/100 M自适应以太网口</w:t>
            </w:r>
          </w:p>
          <w:p w14:paraId="56CECB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音频：1个内置麦克风 </w:t>
            </w:r>
          </w:p>
          <w:p w14:paraId="659E7EF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产品尺寸：Ø130.1 × 103.1 mm</w:t>
            </w:r>
          </w:p>
          <w:p w14:paraId="42C1FDC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包装尺寸：165 × 165 × 115 mm</w:t>
            </w:r>
          </w:p>
          <w:p w14:paraId="1B1E75F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设备重量：460 g</w:t>
            </w:r>
          </w:p>
          <w:p w14:paraId="386045F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带包装重量：675 g</w:t>
            </w:r>
          </w:p>
          <w:p w14:paraId="1ABAC29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启动及工作温湿度：-30 °C~60 °C，湿度小于95%（无凝结）</w:t>
            </w:r>
          </w:p>
          <w:p w14:paraId="50D6BE2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恢复出厂设置：支持客户端或浏览器恢复</w:t>
            </w:r>
          </w:p>
          <w:p w14:paraId="330FCBF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电流及功耗：DC：12 V，0.67A，最大功耗：8 W</w:t>
            </w:r>
          </w:p>
          <w:p w14:paraId="5A90EBB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PoE：IEEE 802.3af，CLASS 3，最大功耗：9.5 W</w:t>
            </w:r>
          </w:p>
          <w:p w14:paraId="68817BE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供电方式：DC：12 V ± 25%，支持防反接保护</w:t>
            </w:r>
          </w:p>
          <w:p w14:paraId="444127F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PoE：IEEE 802.3af，CLASS 3</w:t>
            </w:r>
          </w:p>
          <w:p w14:paraId="0C8644F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电源接口类型：Ø5.5 mm圆口 </w:t>
            </w:r>
          </w:p>
          <w:p w14:paraId="740842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防护：IP67 </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70253F75">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10台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AD9398E">
            <w:pPr>
              <w:jc w:val="center"/>
              <w:rPr>
                <w:rFonts w:hint="eastAsia" w:asciiTheme="minorEastAsia" w:hAnsiTheme="minorEastAsia" w:eastAsiaTheme="minorEastAsia" w:cstheme="minorEastAsia"/>
                <w:sz w:val="24"/>
                <w:szCs w:val="24"/>
              </w:rPr>
            </w:pPr>
          </w:p>
        </w:tc>
      </w:tr>
      <w:tr w14:paraId="17B0CFC0">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35BAA67">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41</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D60F88D">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铜缆双绞线</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443D4A2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超5类网线,Cat5e非屏蔽双绞线</w:t>
            </w:r>
          </w:p>
          <w:p w14:paraId="5C55C58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标准：符合ISO/IEC 11801、TIA-568.2-D、GB/T 18015.5要求,所用材料符合RoHS要求，性能指标优于现行5e类线缆100MHz标准；</w:t>
            </w:r>
          </w:p>
          <w:p w14:paraId="1494E61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标准装箱长度:305m±1.5m；</w:t>
            </w:r>
          </w:p>
          <w:p w14:paraId="395DE79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芯线规格:24AWG,无氧铜；</w:t>
            </w:r>
          </w:p>
          <w:p w14:paraId="01E35D6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线缆结构：4对8芯双绞线,每芯均有颜色区分,外皮印有厂商标识及电缆编码，有撕裂绳；</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56609128">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4箱</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1737F9C">
            <w:pPr>
              <w:jc w:val="center"/>
              <w:rPr>
                <w:rFonts w:hint="eastAsia" w:asciiTheme="minorEastAsia" w:hAnsiTheme="minorEastAsia" w:eastAsiaTheme="minorEastAsia" w:cstheme="minorEastAsia"/>
                <w:sz w:val="24"/>
                <w:szCs w:val="24"/>
              </w:rPr>
            </w:pPr>
          </w:p>
        </w:tc>
      </w:tr>
      <w:tr w14:paraId="2C8DBFE2">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BF6116A">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42</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7AF1598">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交换机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121579C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提供24个千兆PoE电口，2个千兆光口</w:t>
            </w:r>
          </w:p>
          <w:p w14:paraId="14C5E0B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交换容量：52 Gbps</w:t>
            </w:r>
          </w:p>
          <w:p w14:paraId="0B07B90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包转发率：38.69 Mpps</w:t>
            </w:r>
          </w:p>
          <w:p w14:paraId="0BBC799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支持IEEE 802.3at/af</w:t>
            </w:r>
          </w:p>
          <w:p w14:paraId="575B99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端口最大供电功率：30 W</w:t>
            </w:r>
          </w:p>
          <w:p w14:paraId="69D8B1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整机最大供电功率：225W</w:t>
            </w:r>
          </w:p>
          <w:p w14:paraId="64E4247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支持6 KV防浪涌（PoE口）</w:t>
            </w:r>
          </w:p>
          <w:p w14:paraId="26C3C08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支持PoE输出功率管理</w:t>
            </w:r>
          </w:p>
          <w:p w14:paraId="776C799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工作温度：0 °C ~ 45 °C</w:t>
            </w:r>
          </w:p>
          <w:p w14:paraId="5581E96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尺寸（宽×高×深）：440 mm × 44 mm × 220.8 mm</w:t>
            </w:r>
          </w:p>
          <w:p w14:paraId="5EAE6AC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安装方式：机架式（1U高，19英寸宽）</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3E829F41">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0EF026C">
            <w:pPr>
              <w:jc w:val="center"/>
              <w:rPr>
                <w:rFonts w:hint="eastAsia" w:asciiTheme="minorEastAsia" w:hAnsiTheme="minorEastAsia" w:eastAsiaTheme="minorEastAsia" w:cstheme="minorEastAsia"/>
                <w:sz w:val="24"/>
                <w:szCs w:val="24"/>
              </w:rPr>
            </w:pPr>
          </w:p>
        </w:tc>
      </w:tr>
      <w:tr w14:paraId="7235F5D5">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8306A9B">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43</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3512A2B">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交换机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5755966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提供8个千兆PoE电口，1个千兆电口，1个千兆光口</w:t>
            </w:r>
          </w:p>
          <w:p w14:paraId="2DE0C41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交换容量</w:t>
            </w:r>
            <w:r>
              <w:rPr>
                <w:rFonts w:hint="eastAsia" w:asciiTheme="minorEastAsia" w:hAnsiTheme="minorEastAsia" w:eastAsiaTheme="minorEastAsia" w:cstheme="minorEastAsia"/>
                <w:sz w:val="18"/>
                <w:szCs w:val="18"/>
                <w:lang w:eastAsia="zh-CN"/>
              </w:rPr>
              <w:tab/>
            </w:r>
            <w:r>
              <w:rPr>
                <w:rFonts w:hint="eastAsia" w:asciiTheme="minorEastAsia" w:hAnsiTheme="minorEastAsia" w:eastAsiaTheme="minorEastAsia" w:cstheme="minorEastAsia"/>
                <w:sz w:val="18"/>
                <w:szCs w:val="18"/>
                <w:lang w:eastAsia="zh-CN"/>
              </w:rPr>
              <w:t>20 Gbps</w:t>
            </w:r>
          </w:p>
          <w:p w14:paraId="37D119B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包转发率</w:t>
            </w:r>
            <w:r>
              <w:rPr>
                <w:rFonts w:hint="eastAsia" w:asciiTheme="minorEastAsia" w:hAnsiTheme="minorEastAsia" w:eastAsiaTheme="minorEastAsia" w:cstheme="minorEastAsia"/>
                <w:sz w:val="18"/>
                <w:szCs w:val="18"/>
                <w:lang w:eastAsia="zh-CN"/>
              </w:rPr>
              <w:tab/>
            </w:r>
            <w:r>
              <w:rPr>
                <w:rFonts w:hint="eastAsia" w:asciiTheme="minorEastAsia" w:hAnsiTheme="minorEastAsia" w:eastAsiaTheme="minorEastAsia" w:cstheme="minorEastAsia"/>
                <w:sz w:val="18"/>
                <w:szCs w:val="18"/>
                <w:lang w:eastAsia="zh-CN"/>
              </w:rPr>
              <w:t>14.88 Mpps</w:t>
            </w:r>
          </w:p>
          <w:p w14:paraId="63129BE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支持IEEE 802.3at/af</w:t>
            </w:r>
          </w:p>
          <w:p w14:paraId="7F26E5F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端口最大供电功率：30 W</w:t>
            </w:r>
          </w:p>
          <w:p w14:paraId="46CFE76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整机最大供电功率：60 W</w:t>
            </w:r>
          </w:p>
          <w:p w14:paraId="5FBE530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支持6 KV防浪涌（PoE口）</w:t>
            </w:r>
          </w:p>
          <w:p w14:paraId="3826613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支持PoE输出功率管理</w:t>
            </w:r>
          </w:p>
          <w:p w14:paraId="471BD8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千兆网络接入设计</w:t>
            </w:r>
          </w:p>
          <w:p w14:paraId="1C1B564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线速转发、无阻塞设计</w:t>
            </w:r>
          </w:p>
          <w:p w14:paraId="01581EA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存储转发交换方式</w:t>
            </w:r>
          </w:p>
          <w:p w14:paraId="6FC7FF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坚固式高强度金属外壳</w:t>
            </w:r>
          </w:p>
          <w:p w14:paraId="4F32C18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无风扇设计，高可靠性</w:t>
            </w:r>
          </w:p>
          <w:p w14:paraId="056F946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工作温度：0°C~40°C</w:t>
            </w:r>
          </w:p>
          <w:p w14:paraId="09191FF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安装方式：桌面式可壁挂</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7789AAA4">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8A75122">
            <w:pPr>
              <w:jc w:val="center"/>
              <w:rPr>
                <w:rFonts w:hint="eastAsia" w:asciiTheme="minorEastAsia" w:hAnsiTheme="minorEastAsia" w:eastAsiaTheme="minorEastAsia" w:cstheme="minorEastAsia"/>
                <w:sz w:val="24"/>
                <w:szCs w:val="24"/>
              </w:rPr>
            </w:pPr>
          </w:p>
        </w:tc>
      </w:tr>
      <w:tr w14:paraId="33079AC6">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54D20E4">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44</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F4AFC85">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交换机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20650D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二层网管型千兆交换机（24千兆电+4千兆光）</w:t>
            </w:r>
          </w:p>
          <w:p w14:paraId="1FDFEF7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支持所有端口线速转发，满足了用户对高带宽的需求。DS-3E2528-HL交换机可以支持9台连接，形成一个逻辑上的独立实体，简化网络设备管理，同时大大降低系统扩展的成本，保护了用户投资。</w:t>
            </w:r>
          </w:p>
          <w:p w14:paraId="6924DA1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支持ARP入侵检测功能，可有效防止黑客或攻击者通过ARP报文实施日趋盛行的“ARP欺骗攻击”。支持IP Source Guard特性，防止包括MAC欺骗、IP欺骗、MAC/IP欺骗在内的非法地址仿冒，以及DoS攻击。支持端口安全特性族，可以有效防范基于MAC地址的攻击，实现基于MAC地址允许/限制流量。提供802.1X和MAC认证方式对接入的用户进行认证。通过这些功能的应用可以对接入用户的合法性进行充分的检查和控制。</w:t>
            </w:r>
          </w:p>
          <w:p w14:paraId="19937AA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支持以太网OAM和CFD，可以有效提高对以太网的管理和维护能力，保障网络的稳定运行。</w:t>
            </w:r>
          </w:p>
          <w:p w14:paraId="3965E97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支持端口限速以及流限速功能，防止恶意侵占网络带宽，也为网络带宽的精细化管理提供了手段。</w:t>
            </w:r>
          </w:p>
          <w:p w14:paraId="7E20F59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支持L2（Layer 2）~L4（Layer 4）包过滤功能，提供流分类技术。提供灵活的对列调度算法，可以同时基于端口和队列进行设置，支持SP、WRR、SP+WRR三种模式。同时还支持入/出方向双向ACL、支持流量监管功能、支持出/入方向的端口/流镜像，用于对指定端口上的报文进行监控，以进行网络检测和故障排除。</w:t>
            </w:r>
          </w:p>
          <w:p w14:paraId="31E70A0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 EFM OAM 功能、CFM OAM 功能，提供链路连通性检测、链路故障监控、故障通知、远端环回等功能</w:t>
            </w:r>
          </w:p>
          <w:p w14:paraId="2275030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p>
          <w:p w14:paraId="499F25C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尺寸（宽×高×深）：440 mm × 43.6 mm × 160 mm</w:t>
            </w:r>
          </w:p>
          <w:p w14:paraId="0B3D3E1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标准机架高度：1U</w:t>
            </w:r>
          </w:p>
          <w:p w14:paraId="1F2E940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重量：≤ 2.1 kg</w:t>
            </w:r>
          </w:p>
          <w:p w14:paraId="150A701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工作温度：-5 ℃～45 ℃</w:t>
            </w:r>
          </w:p>
          <w:p w14:paraId="54C5299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工作湿度：5%～95%（非凝结）</w:t>
            </w:r>
          </w:p>
          <w:p w14:paraId="4FDA8F9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空载功耗：14W</w:t>
            </w:r>
          </w:p>
          <w:p w14:paraId="388381A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整机最大功耗：21 W</w:t>
            </w:r>
          </w:p>
          <w:p w14:paraId="6CC1585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交换容量：336Gbps/3.36Tbps</w:t>
            </w:r>
          </w:p>
          <w:p w14:paraId="16C2CDC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p>
          <w:p w14:paraId="7103A1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包转发率：108/126Mpps </w:t>
            </w:r>
          </w:p>
          <w:p w14:paraId="00DCD1B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端口规格：24个10/100/1000Base-T以太网端口</w:t>
            </w:r>
          </w:p>
          <w:p w14:paraId="7C2AFFE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4个1000Base-X以太网端口</w:t>
            </w:r>
          </w:p>
          <w:p w14:paraId="0A4EF72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电源特性：AC：100 V~240 V AC，50/60 Hz</w:t>
            </w:r>
          </w:p>
          <w:p w14:paraId="00BFED4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MAC地址表：支持黑洞MAC地址</w:t>
            </w:r>
          </w:p>
          <w:p w14:paraId="22B06A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支持设置端口MAC地址学习最大个数</w:t>
            </w:r>
          </w:p>
          <w:p w14:paraId="2F1AB33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VLAN：支持基于端口的VLAN</w:t>
            </w:r>
          </w:p>
          <w:p w14:paraId="342B1A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支持基于MAC的VLAN</w:t>
            </w:r>
          </w:p>
          <w:p w14:paraId="5D08AC8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支持QinQ、灵活QinQ、VLAN Mapping</w:t>
            </w:r>
          </w:p>
          <w:p w14:paraId="4B6818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ARP：支持ARP Detection功能</w:t>
            </w:r>
          </w:p>
          <w:p w14:paraId="06E0668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支持ARP限速</w:t>
            </w:r>
          </w:p>
          <w:p w14:paraId="53B0CF5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IPv4路由：支持 IPv4 静态路由</w:t>
            </w:r>
          </w:p>
          <w:p w14:paraId="24C84A0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IPv6路由：支持 IPv6 静态路由</w:t>
            </w:r>
          </w:p>
          <w:p w14:paraId="16F332F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STP：支持STP/RSTP/MSTP</w:t>
            </w:r>
          </w:p>
          <w:p w14:paraId="79F5E60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链路聚合：支持 LACP</w:t>
            </w:r>
          </w:p>
          <w:p w14:paraId="3A5163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聚合组最大支持8个端口</w:t>
            </w:r>
          </w:p>
          <w:p w14:paraId="1C298F6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风暴控制：支持风暴控制</w:t>
            </w:r>
          </w:p>
          <w:p w14:paraId="20C2B1C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流量抑制：支持广播/多播/单播流量抑制</w:t>
            </w:r>
          </w:p>
          <w:p w14:paraId="7551EDE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支持基于端口速率百分比的风暴抑制</w:t>
            </w:r>
          </w:p>
          <w:p w14:paraId="4E87E15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支持基于PPS的风暴抑制</w:t>
            </w:r>
          </w:p>
          <w:p w14:paraId="1A1639F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端口镜像：支持端口镜像、支持流镜像</w:t>
            </w:r>
          </w:p>
          <w:p w14:paraId="0C66415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QoS：支持SP/WRR/SP+WRR队列调度</w:t>
            </w:r>
          </w:p>
          <w:p w14:paraId="061E397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ACL：支持包过滤功能</w:t>
            </w:r>
          </w:p>
          <w:p w14:paraId="2EDF6C8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支持双向ACL</w:t>
            </w:r>
          </w:p>
          <w:p w14:paraId="7238630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支持基于端口的限速</w:t>
            </w:r>
          </w:p>
          <w:p w14:paraId="4194584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支持基于流的重定向</w:t>
            </w:r>
          </w:p>
          <w:p w14:paraId="17C2BD8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安全特性：支持用户分级管理和口令保护</w:t>
            </w:r>
          </w:p>
          <w:p w14:paraId="373CDB5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支持SSH2.0</w:t>
            </w:r>
          </w:p>
          <w:p w14:paraId="089DE8B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支持端口隔离</w:t>
            </w:r>
          </w:p>
          <w:p w14:paraId="40E02E8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支持802.1X</w:t>
            </w:r>
          </w:p>
          <w:p w14:paraId="69B276E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支持端口安全</w:t>
            </w:r>
          </w:p>
          <w:p w14:paraId="622DEAA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支持MAC地址认证</w:t>
            </w:r>
          </w:p>
          <w:p w14:paraId="21D875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支持IP Source Guard</w:t>
            </w:r>
          </w:p>
          <w:p w14:paraId="65E1147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支持HTTPs </w:t>
            </w:r>
          </w:p>
          <w:p w14:paraId="50CDB30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Console口：支持Console口</w:t>
            </w:r>
          </w:p>
          <w:p w14:paraId="469023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SSH：支持SSH</w:t>
            </w:r>
          </w:p>
          <w:p w14:paraId="0EB7626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Telnet：支持Telnet</w:t>
            </w:r>
          </w:p>
          <w:p w14:paraId="08C2996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SNMP：支持SNMP V1/V2/V3</w:t>
            </w:r>
          </w:p>
          <w:p w14:paraId="729DA5E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NTP：支持NTP时钟</w:t>
            </w:r>
          </w:p>
          <w:p w14:paraId="061D624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RMON：支持RMON</w:t>
            </w:r>
          </w:p>
          <w:p w14:paraId="505E07A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FTP：支持FTP文件上下载管理</w:t>
            </w:r>
          </w:p>
          <w:p w14:paraId="32AAE7E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TFTP：支持TFTP文件上下载管理</w:t>
            </w:r>
          </w:p>
          <w:p w14:paraId="2BED30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CFM：支持CFM</w:t>
            </w:r>
          </w:p>
          <w:p w14:paraId="2B30D14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EFM：支持EFM</w:t>
            </w:r>
          </w:p>
          <w:p w14:paraId="630892E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DLDP：支持DLDP，可检测发现单向连通链路</w:t>
            </w:r>
          </w:p>
          <w:p w14:paraId="53542FC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系统日志：支持系统工作日志 </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3B6CA9A9">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8E5522C">
            <w:pPr>
              <w:jc w:val="center"/>
              <w:rPr>
                <w:rFonts w:hint="eastAsia" w:asciiTheme="minorEastAsia" w:hAnsiTheme="minorEastAsia" w:eastAsiaTheme="minorEastAsia" w:cstheme="minorEastAsia"/>
                <w:sz w:val="24"/>
                <w:szCs w:val="24"/>
              </w:rPr>
            </w:pPr>
          </w:p>
        </w:tc>
      </w:tr>
      <w:tr w14:paraId="09F8F47F">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0B4D1989">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45</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D1C13DC">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网络硬盘录像机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4920C18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1.5U机架式4盘位嵌入式网络硬盘录像机，采用短机箱设计，搭载高性能ATX电源</w:t>
            </w:r>
          </w:p>
          <w:p w14:paraId="1AB1396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【硬件规格】</w:t>
            </w:r>
          </w:p>
          <w:p w14:paraId="333CA55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存储接口：4个SATA接口，可满配8TB硬盘</w:t>
            </w:r>
          </w:p>
          <w:p w14:paraId="5C27382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视频接口：1×HDMI，1×VGA</w:t>
            </w:r>
          </w:p>
          <w:p w14:paraId="0528EA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网络接口：2×RJ45 10/100/1000Mbps自适应以太网口</w:t>
            </w:r>
          </w:p>
          <w:p w14:paraId="16BF573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报警接口：16路报警输入，4路报警输出</w:t>
            </w:r>
          </w:p>
          <w:p w14:paraId="67CA9A3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串行接口：1路RS-232接口，1路半双工RS-485接口</w:t>
            </w:r>
          </w:p>
          <w:p w14:paraId="1B537D5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USB接口：3×USB 2.0</w:t>
            </w:r>
          </w:p>
          <w:p w14:paraId="4326D43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【产品性能】</w:t>
            </w:r>
          </w:p>
          <w:p w14:paraId="18D59AB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输入带宽：160Mbps</w:t>
            </w:r>
          </w:p>
          <w:p w14:paraId="75DB90D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输出带宽：80Mbps</w:t>
            </w:r>
          </w:p>
          <w:p w14:paraId="1FC007A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接入能力：16路H.264、H.265格式高清码流接入</w:t>
            </w:r>
          </w:p>
          <w:p w14:paraId="64C3810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解码能力：最大支持8×1080P</w:t>
            </w:r>
          </w:p>
          <w:p w14:paraId="07E6121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显示能力：最大支持4K输出</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2F8FE8DF">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C989026">
            <w:pPr>
              <w:jc w:val="center"/>
              <w:rPr>
                <w:rFonts w:hint="eastAsia" w:asciiTheme="minorEastAsia" w:hAnsiTheme="minorEastAsia" w:eastAsiaTheme="minorEastAsia" w:cstheme="minorEastAsia"/>
                <w:sz w:val="24"/>
                <w:szCs w:val="24"/>
              </w:rPr>
            </w:pPr>
          </w:p>
        </w:tc>
      </w:tr>
      <w:tr w14:paraId="5A0FFF32">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1CAC8240">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46</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7F9DF6A4">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硬盘</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26078BE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8TB容量，3.5英寸，SATA3.0接口，5400RPM</w:t>
            </w:r>
          </w:p>
          <w:p w14:paraId="09B9951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空气盘， CMR传统磁记录</w:t>
            </w:r>
          </w:p>
          <w:p w14:paraId="49DC3F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传输速率215MB/s，流畅存储视频有效防止丢帧</w:t>
            </w:r>
          </w:p>
          <w:p w14:paraId="78013F5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高级格式（AF）512e扇区技术，保障硬盘扇区4K对齐</w:t>
            </w:r>
          </w:p>
          <w:p w14:paraId="00A0787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满足数据严苛的7*24小时运行可靠性、安全性的需求</w:t>
            </w:r>
          </w:p>
          <w:p w14:paraId="2740BA6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支持3年有限质保服务</w:t>
            </w:r>
          </w:p>
          <w:p w14:paraId="7920EAA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适用海拔高度范围-305m至3050m</w:t>
            </w:r>
          </w:p>
          <w:p w14:paraId="3D1FD5D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p>
          <w:p w14:paraId="28603BD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标称容量：8TB</w:t>
            </w:r>
          </w:p>
          <w:p w14:paraId="06BC34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外形规格：3.5-inch</w:t>
            </w:r>
          </w:p>
          <w:p w14:paraId="387E113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接口类型：SATA</w:t>
            </w:r>
          </w:p>
          <w:p w14:paraId="30C432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刻录技术：CMR</w:t>
            </w:r>
          </w:p>
          <w:p w14:paraId="178AADE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转速：5400RPM</w:t>
            </w:r>
          </w:p>
          <w:p w14:paraId="2521D0F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缓存：256MB</w:t>
            </w:r>
          </w:p>
          <w:p w14:paraId="23EB17F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最大读取速度：215MB/s</w:t>
            </w:r>
          </w:p>
          <w:p w14:paraId="535AF08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接口传输速率（最大值）：6.0Gb/s</w:t>
            </w:r>
          </w:p>
          <w:p w14:paraId="3E73AC7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平均读写功率（W）：5.3W</w:t>
            </w:r>
          </w:p>
          <w:p w14:paraId="1D0B967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加载/卸载周期：600,000</w:t>
            </w:r>
          </w:p>
          <w:p w14:paraId="383AC2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MTBF：1,000,000</w:t>
            </w:r>
          </w:p>
          <w:p w14:paraId="225A0D4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年负荷（TB/年）：180TB</w:t>
            </w:r>
          </w:p>
          <w:p w14:paraId="2DE5E19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工作状态温度(°C)：0-65℃</w:t>
            </w:r>
          </w:p>
          <w:p w14:paraId="502303D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尺寸：147mm(L)×101.6mm(W)×26.1mm(H) </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1A358245">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4个</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A9F7910">
            <w:pPr>
              <w:jc w:val="center"/>
              <w:rPr>
                <w:rFonts w:hint="eastAsia" w:asciiTheme="minorEastAsia" w:hAnsiTheme="minorEastAsia" w:eastAsiaTheme="minorEastAsia" w:cstheme="minorEastAsia"/>
                <w:sz w:val="24"/>
                <w:szCs w:val="24"/>
              </w:rPr>
            </w:pPr>
          </w:p>
        </w:tc>
      </w:tr>
      <w:tr w14:paraId="4D554AB0">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4CB4348">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47</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9C07D5F">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安装辅材</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015F3558">
            <w:pPr>
              <w:pStyle w:val="43"/>
              <w:keepNext w:val="0"/>
              <w:keepLines w:val="0"/>
              <w:pageBreakBefore w:val="0"/>
              <w:wordWrap/>
              <w:overflowPunct/>
              <w:topLinePunct w:val="0"/>
              <w:bidi w:val="0"/>
              <w:spacing w:line="200" w:lineRule="exact"/>
              <w:ind w:left="0" w:leftChars="0" w:firstLine="0" w:firstLineChars="0"/>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安装辅材一批，主要包含、钉子，卡子，胶布等材料</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7F589986">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1批</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0EF9993">
            <w:pPr>
              <w:jc w:val="center"/>
              <w:rPr>
                <w:rFonts w:hint="eastAsia" w:asciiTheme="minorEastAsia" w:hAnsiTheme="minorEastAsia" w:eastAsiaTheme="minorEastAsia" w:cstheme="minorEastAsia"/>
                <w:sz w:val="24"/>
                <w:szCs w:val="24"/>
              </w:rPr>
            </w:pPr>
          </w:p>
        </w:tc>
      </w:tr>
      <w:tr w14:paraId="4893C4EE">
        <w:tblPrEx>
          <w:tblCellMar>
            <w:top w:w="0" w:type="dxa"/>
            <w:left w:w="108" w:type="dxa"/>
            <w:bottom w:w="0" w:type="dxa"/>
            <w:right w:w="108" w:type="dxa"/>
          </w:tblCellMar>
        </w:tblPrEx>
        <w:trPr>
          <w:trHeight w:val="499" w:hRule="atLeast"/>
        </w:trPr>
        <w:tc>
          <w:tcPr>
            <w:tcW w:w="88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5322223">
            <w:pPr>
              <w:keepNext w:val="0"/>
              <w:keepLines w:val="0"/>
              <w:pageBreakBefore w:val="0"/>
              <w:wordWrap/>
              <w:overflowPunct/>
              <w:topLinePunct w:val="0"/>
              <w:bidi w:val="0"/>
              <w:spacing w:line="200" w:lineRule="exact"/>
              <w:jc w:val="center"/>
              <w:rPr>
                <w:rFonts w:hint="eastAsia" w:asciiTheme="minorEastAsia" w:hAnsiTheme="minorEastAsia" w:eastAsiaTheme="minorEastAsia" w:cstheme="minorEastAsia"/>
                <w:b w:val="0"/>
                <w:bCs w:val="0"/>
                <w:sz w:val="18"/>
                <w:szCs w:val="18"/>
              </w:rPr>
            </w:pPr>
            <w:r>
              <w:rPr>
                <w:rStyle w:val="26"/>
                <w:rFonts w:hint="eastAsia" w:asciiTheme="minorEastAsia" w:hAnsiTheme="minorEastAsia" w:eastAsiaTheme="minorEastAsia" w:cstheme="minorEastAsia"/>
                <w:b/>
                <w:bCs w:val="0"/>
                <w:color w:val="auto"/>
                <w:sz w:val="18"/>
                <w:szCs w:val="18"/>
                <w:lang w:val="en-US" w:eastAsia="zh-CN"/>
              </w:rPr>
              <w:t>伽师县第四中学</w:t>
            </w:r>
          </w:p>
        </w:tc>
      </w:tr>
      <w:tr w14:paraId="1DCBB49B">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D3C15F8">
            <w:pPr>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b/>
                <w:bCs/>
                <w:sz w:val="24"/>
                <w:szCs w:val="24"/>
              </w:rPr>
              <w:t>序号</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79DF38B">
            <w:pPr>
              <w:jc w:val="center"/>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bCs/>
                <w:sz w:val="24"/>
                <w:szCs w:val="24"/>
                <w:lang w:eastAsia="zh-CN"/>
              </w:rPr>
              <w:t>建设内容(主要设备仪器名称)</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08B19895">
            <w:pPr>
              <w:keepNext w:val="0"/>
              <w:keepLines w:val="0"/>
              <w:pageBreakBefore w:val="0"/>
              <w:wordWrap/>
              <w:overflowPunct/>
              <w:topLinePunct w:val="0"/>
              <w:bidi w:val="0"/>
              <w:spacing w:line="200" w:lineRule="exac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b/>
                <w:bCs/>
                <w:sz w:val="18"/>
                <w:szCs w:val="18"/>
                <w:lang w:eastAsia="zh-CN"/>
              </w:rPr>
              <w:t>主要参数（规格型号）</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6C96DED5">
            <w:pPr>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b/>
                <w:bCs/>
                <w:sz w:val="24"/>
                <w:szCs w:val="24"/>
              </w:rPr>
              <w:t>数量(台套)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42E5089">
            <w:pPr>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b/>
                <w:bCs/>
                <w:sz w:val="24"/>
                <w:szCs w:val="24"/>
              </w:rPr>
              <w:t>备注</w:t>
            </w:r>
          </w:p>
        </w:tc>
      </w:tr>
      <w:tr w14:paraId="09152ACB">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4EFB952B">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1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79B140E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图书馆管理系统</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6B8C76C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一、系统配置：</w:t>
            </w:r>
          </w:p>
          <w:p w14:paraId="1C77B93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1.支持绑定微信，扫码登录。</w:t>
            </w:r>
          </w:p>
          <w:p w14:paraId="54CB967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2.支持密码强度校验，强制修改用户初始密码。</w:t>
            </w:r>
          </w:p>
          <w:p w14:paraId="5DA2B07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二、个性化：</w:t>
            </w:r>
          </w:p>
          <w:p w14:paraId="2F313E7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1.支持自定义个性化配置：系统欢迎页、logo。</w:t>
            </w:r>
          </w:p>
          <w:p w14:paraId="73A0097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三、参数配置： </w:t>
            </w:r>
          </w:p>
          <w:p w14:paraId="7BF5E5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1.完善的多级参数管理：机构参数-单馆参数-工作台参数-个人参数，灵活配置共性设置和个性化设置。</w:t>
            </w:r>
          </w:p>
          <w:p w14:paraId="25BD53F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2.完善的用户角色权限管理。权限明确到菜单权限和功能权限，一个用户可拥有多个角色。</w:t>
            </w:r>
          </w:p>
          <w:p w14:paraId="497E5EA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3.支持区域分馆管理。</w:t>
            </w:r>
          </w:p>
          <w:p w14:paraId="203BD6E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四、系统消息：</w:t>
            </w:r>
          </w:p>
          <w:p w14:paraId="38E6278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1.支持即时的消息提醒，在线即可接受消息推送。</w:t>
            </w:r>
          </w:p>
          <w:p w14:paraId="49EAFA8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2.支持消息中心，查看任务进度、系统公告。标记已读、未读。</w:t>
            </w:r>
          </w:p>
          <w:p w14:paraId="65CB80F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五、系统表格： </w:t>
            </w:r>
          </w:p>
          <w:p w14:paraId="408FE2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1.可自字段资源显示信息，包括显示项，显示顺序。</w:t>
            </w:r>
          </w:p>
          <w:p w14:paraId="1D335EC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六、资源采访数据导入：</w:t>
            </w:r>
          </w:p>
          <w:p w14:paraId="080051E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1.支持导入征订目录、导入订购记录、导入验收记录、更新订购待编记录、导入批量退订。</w:t>
            </w:r>
          </w:p>
          <w:p w14:paraId="40CF0B3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2.支持添加、编辑导入数据模板，按模板导入文件。</w:t>
            </w:r>
          </w:p>
          <w:p w14:paraId="5F0F5BC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3.支持导入任务管理。</w:t>
            </w:r>
          </w:p>
          <w:p w14:paraId="73EC668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4.数据导入支持MARC文件和Excel文件，文件格式智能识别。</w:t>
            </w:r>
          </w:p>
          <w:p w14:paraId="2A026F3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5.导入MARC文件支持GBK、UNICODE、UTF-8编码格式。</w:t>
            </w:r>
          </w:p>
          <w:p w14:paraId="123D662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6.支持同一批次征订目录、订购记录，多币种、多国别、多语种数据导入。</w:t>
            </w:r>
          </w:p>
          <w:p w14:paraId="4D09E9B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7.导入Excel文件时，支持Excel表单-Sheet的切换。</w:t>
            </w:r>
          </w:p>
          <w:p w14:paraId="21E0D36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8.实现xls和xlxs文件的自动互识互转。</w:t>
            </w:r>
          </w:p>
          <w:p w14:paraId="3A671C1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9.自动识别导入Excel文件的表头，提供匹配库，自动匹配映射字段。</w:t>
            </w:r>
          </w:p>
          <w:p w14:paraId="6236EE6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10.导入征订目录，支持导入预购套数。</w:t>
            </w:r>
          </w:p>
          <w:p w14:paraId="4C86E3A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七、批查重： </w:t>
            </w:r>
          </w:p>
          <w:p w14:paraId="75B105D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1.支持批查重：供应商查重、订前查重、订后查重。</w:t>
            </w:r>
          </w:p>
          <w:p w14:paraId="3460F27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2.支持多种条件自由组合查重：题名、标准号、责任者、出版社、主题词等。</w:t>
            </w:r>
          </w:p>
          <w:p w14:paraId="58CFFD5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3.支持多条件间与、或关系查重。</w:t>
            </w:r>
          </w:p>
          <w:p w14:paraId="62E223D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4.馆藏重复范围可选全机构、指定分馆、指定校区、指定馆藏地。</w:t>
            </w:r>
          </w:p>
          <w:p w14:paraId="0B9023C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5.针对查重结果可查看重复元数据MARC详情及重复元数据下纸质馆藏、电子馆藏、数字馆藏、订购记录。（本项须提供功能截图佐证）</w:t>
            </w:r>
          </w:p>
          <w:p w14:paraId="2DE11F3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6.支持数据筛选，元数据重复、馆藏重复、不重复。其中馆藏重复可以筛选纸质馆藏、电子馆藏、数字馆藏、订购记录重复。</w:t>
            </w:r>
          </w:p>
          <w:p w14:paraId="717427D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7.查重后可关联重复数据MARC进行订购，减少本馆元数据冗余。</w:t>
            </w:r>
          </w:p>
          <w:p w14:paraId="232F492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8.支持在查重结果内二次检索。</w:t>
            </w:r>
          </w:p>
          <w:p w14:paraId="0DE291B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9.增加查重策略的配置，支持一次利用多组条件查重，一次输出全部查重结果</w:t>
            </w:r>
          </w:p>
          <w:p w14:paraId="16FBB62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八、征订管理： </w:t>
            </w:r>
          </w:p>
          <w:p w14:paraId="31B5E91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1.支持征订目录的独有或共享。</w:t>
            </w:r>
          </w:p>
          <w:p w14:paraId="68B846D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2.支持经费的独有或共享。</w:t>
            </w:r>
          </w:p>
          <w:p w14:paraId="3645B9D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3.支持总馆与院系分馆之间以工作台协作采购，自由组配经费。并且各馆经费的使用额度能得到有效控制。</w:t>
            </w:r>
          </w:p>
          <w:p w14:paraId="6954333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4.支持订购批次与订购批次同号，自动生成订购批次号。</w:t>
            </w:r>
          </w:p>
          <w:p w14:paraId="054133D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5.同一批次，支持按照经费、订购工作小组分别输出订单。</w:t>
            </w:r>
          </w:p>
          <w:p w14:paraId="5B9FCF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6.预订数据生成唯一的采购流水号，保证完整的、可追溯的采购流程。</w:t>
            </w:r>
          </w:p>
          <w:p w14:paraId="50989AB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7.每一条采购流水的订购方式可追溯，包含征订目录订购、直接订购、读者推荐订购、中央知识库订购、PDA订购等。</w:t>
            </w:r>
          </w:p>
          <w:p w14:paraId="5C507E6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8.支持自定义资料采购类型，并进行相关统计。</w:t>
            </w:r>
          </w:p>
          <w:p w14:paraId="100392E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9.支持直接编辑数据的征订信息和MARC。</w:t>
            </w:r>
          </w:p>
          <w:p w14:paraId="02A5DEB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10.灵活的黑名单管理，支持编辑及移除黑名单。</w:t>
            </w:r>
          </w:p>
          <w:p w14:paraId="173EEBD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11.支持批次查重及关联订购、批量删除、批量订购、批量加入黑名单等处理工作。</w:t>
            </w:r>
          </w:p>
          <w:p w14:paraId="23FCC55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12.MARC子字段支持多题名、多主题词的检索。</w:t>
            </w:r>
          </w:p>
          <w:p w14:paraId="4350E9F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13.支持按订购号、采购流水号、题名、责任者、出版社、出版年、分类号、价格等多种条件排序。</w:t>
            </w:r>
          </w:p>
          <w:p w14:paraId="2A1DFEB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14.支持多条件高级检索。</w:t>
            </w:r>
          </w:p>
          <w:p w14:paraId="2D165A6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15.业务操作进行筛选书目时，可快速选用已经设置好的个人采选策略</w:t>
            </w:r>
          </w:p>
          <w:p w14:paraId="47ADF0B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16.支持根据出版年、价格、出版社、责任者、分类、币种等条件的复合筛选。</w:t>
            </w:r>
          </w:p>
          <w:p w14:paraId="15D041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17.提供标记已阅功能。</w:t>
            </w:r>
          </w:p>
          <w:p w14:paraId="63079A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18.支持跳转站外链接，豆瓣、京东、当当、亚马逊海外。</w:t>
            </w:r>
          </w:p>
          <w:p w14:paraId="13E2EF9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19.可通过中央知识库获取作者简介、图书简介、目录、封面等信息。</w:t>
            </w:r>
          </w:p>
          <w:p w14:paraId="4C4BD18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九、荐购处理：</w:t>
            </w:r>
          </w:p>
          <w:p w14:paraId="4371211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1.支持对采购单荐购和读者自由荐购记录的管理。</w:t>
            </w:r>
          </w:p>
          <w:p w14:paraId="35C8BCA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2.支持对图书和电子资源库做采购申请处理和回复。</w:t>
            </w:r>
          </w:p>
          <w:p w14:paraId="5113A3B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3.支持跳转站外链接，豆瓣、京东、当当、亚马逊海外。</w:t>
            </w:r>
          </w:p>
          <w:p w14:paraId="3A9ED3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4.支持批量查重，针对查重结果可查看重复元数据及重复元数据下纸质馆藏、电子馆藏、数字馆藏、订购记录。</w:t>
            </w:r>
          </w:p>
          <w:p w14:paraId="7EAF34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5.支持关联MRAC订购。</w:t>
            </w:r>
          </w:p>
          <w:p w14:paraId="5FFC569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6.支持关联在订记录。</w:t>
            </w:r>
          </w:p>
          <w:p w14:paraId="4CC504F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7.支持自定义维护荐购回复常用语。</w:t>
            </w:r>
          </w:p>
          <w:p w14:paraId="57AAA7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8.荐购记录被订购及入藏时，系统可自动通过EMAIL或短信自动反馈读者。</w:t>
            </w:r>
          </w:p>
          <w:p w14:paraId="09EBF30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十、资源订购：</w:t>
            </w:r>
          </w:p>
          <w:p w14:paraId="01BC621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1.支持按订购包、按全部订购记录查看本馆订单，可在全部订单中检索订购记录。</w:t>
            </w:r>
          </w:p>
          <w:p w14:paraId="2239348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2.支持检索本馆元数据、中央知识库及其他联机站点元数据，直接订购的方式。</w:t>
            </w:r>
          </w:p>
          <w:p w14:paraId="5E5BFFB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3.支持提供MARC或Excel文件，设置订购工作台、经费、套数，直接导入订购记录。</w:t>
            </w:r>
          </w:p>
          <w:p w14:paraId="435F9F9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4.支持邮件发订、导出订单、打印订单。</w:t>
            </w:r>
          </w:p>
          <w:p w14:paraId="0574BE7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5.支持直接编辑数据的订购信息和MARC。</w:t>
            </w:r>
          </w:p>
          <w:p w14:paraId="79682FA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6.支持单条、批量调整订购信息、规则分配馆藏地。</w:t>
            </w:r>
          </w:p>
          <w:p w14:paraId="08C805A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7.支持批量更新参数、调整订购、更改订购包、删除订购记录、退订。支持批量导出、打印订购记录。</w:t>
            </w:r>
          </w:p>
          <w:p w14:paraId="4C24819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8.支持批量查重。弹窗展示重复结果。</w:t>
            </w:r>
          </w:p>
          <w:p w14:paraId="39554D5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9.支持查看订购元数据的MARC详情、往年订购记录、荐购记录等。</w:t>
            </w:r>
          </w:p>
          <w:p w14:paraId="2529D2A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10.MARC子字段支持多题名、多主题词的检索。</w:t>
            </w:r>
          </w:p>
          <w:p w14:paraId="262CE6E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11.支持按订购号、采购流水号、题名、责任者、出版社、出版年、分类号、价格等多种条件排序。</w:t>
            </w:r>
          </w:p>
          <w:p w14:paraId="67ADB01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12.支持根据出版年、价格、出版社、责任者、分类、币种等条件的复合筛选。</w:t>
            </w:r>
          </w:p>
          <w:p w14:paraId="553161C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13.批次内支持按订购工作台筛选、导出订单。</w:t>
            </w:r>
          </w:p>
          <w:p w14:paraId="5A030CC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14.实时获取中国银行远期汇率，订购、验收时，人民币和外币价格可换算。</w:t>
            </w:r>
          </w:p>
          <w:p w14:paraId="34A10CB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15.支持催缺退改订。</w:t>
            </w:r>
          </w:p>
          <w:p w14:paraId="1DDF525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16.支持订单行发订审核。</w:t>
            </w:r>
          </w:p>
          <w:p w14:paraId="5BFBFD2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十一、供应商预警：</w:t>
            </w:r>
          </w:p>
          <w:p w14:paraId="4B4AF45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1.支持设置供应商预期交付时间，在机构参数设置预计交付周期后，按周期推算供应商单个批次的供全率、供准率、及时率。</w:t>
            </w:r>
          </w:p>
          <w:p w14:paraId="22951F7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2.达到预计交付日期当日，若供应商存在未到记录则输出预警文件，并向订购包创建人发送通知。</w:t>
            </w:r>
          </w:p>
          <w:p w14:paraId="4EB0414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十二、一次性接收： </w:t>
            </w:r>
          </w:p>
          <w:p w14:paraId="4098F6B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1.图书一次性接收支持订购验收、自采验收、受赠验收。</w:t>
            </w:r>
          </w:p>
          <w:p w14:paraId="6170113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2.验收时支持检索查重。</w:t>
            </w:r>
          </w:p>
          <w:p w14:paraId="47C411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3.支持总签、分签、不签多种验收方式。</w:t>
            </w:r>
          </w:p>
          <w:p w14:paraId="5529FF9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4.订购验收支持直接追加订购记录。</w:t>
            </w:r>
          </w:p>
          <w:p w14:paraId="3BE5986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5.订购验收、自采验收、受赠验收均支持新增元数据、使用已有元数据验收、检索中央元数据验收。</w:t>
            </w:r>
          </w:p>
          <w:p w14:paraId="7E1D8C8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6.支持多卷册图书的验收处理。</w:t>
            </w:r>
          </w:p>
          <w:p w14:paraId="598279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7.支持一个订购记录分多批次验收。</w:t>
            </w:r>
          </w:p>
          <w:p w14:paraId="39F2EC2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8.支持多验、少验情况的处理。</w:t>
            </w:r>
          </w:p>
          <w:p w14:paraId="4E4F8B1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9.支持批量取消验收。</w:t>
            </w:r>
          </w:p>
          <w:p w14:paraId="3EFE76E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10.支持批量更改数据的验收包。</w:t>
            </w:r>
          </w:p>
          <w:p w14:paraId="0E3ECB9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11.支持快速验收。</w:t>
            </w:r>
          </w:p>
          <w:p w14:paraId="347C318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12.财产号、条码号支持按工作台财产账参数自动分配。支持不自动分配财产账。</w:t>
            </w:r>
          </w:p>
          <w:p w14:paraId="109614D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13.支持自动生成索书号。</w:t>
            </w:r>
          </w:p>
          <w:p w14:paraId="1A89B7E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14.支持设置馆藏地分配规则，验收时自动根据规则分配馆藏地。</w:t>
            </w:r>
          </w:p>
          <w:p w14:paraId="35C495D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15.支持编目验收，同时处理验收和编目。</w:t>
            </w:r>
          </w:p>
          <w:p w14:paraId="65E4EEF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16.支持对查重结果合并元数据、移除验收等操作。</w:t>
            </w:r>
          </w:p>
          <w:p w14:paraId="29D6DC0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十三、财产帐管理：</w:t>
            </w:r>
          </w:p>
          <w:p w14:paraId="7F5D58B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1.可根据工作台设置不同资源类型下的不同的财产账号段。</w:t>
            </w:r>
          </w:p>
          <w:p w14:paraId="0D64B31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2.可为工作人员分配不同的财产号区间，区间可独有可连续。</w:t>
            </w:r>
          </w:p>
          <w:p w14:paraId="570B8CE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3.支持财产号废号及缺号查询、管理。</w:t>
            </w:r>
          </w:p>
          <w:p w14:paraId="20C4A89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4.财产号可配置保存时空号校验提醒。</w:t>
            </w:r>
          </w:p>
          <w:p w14:paraId="265AA83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十四、导入批量验收： </w:t>
            </w:r>
          </w:p>
          <w:p w14:paraId="68D192C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1.支持批量导入验收，导入时支持设置书刊状态及元数据状态。</w:t>
            </w:r>
          </w:p>
          <w:p w14:paraId="6AD825E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2.索书号重复支持导入。</w:t>
            </w:r>
          </w:p>
          <w:p w14:paraId="44F1E00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3.导入验收时支持预览MARC文件。</w:t>
            </w:r>
          </w:p>
          <w:p w14:paraId="042E70A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4.支持导入文件完成订购数据MARC和订购价格的更新。</w:t>
            </w:r>
          </w:p>
          <w:p w14:paraId="333DA8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5.批量导入验收支持查重设置。</w:t>
            </w:r>
          </w:p>
          <w:p w14:paraId="77116F8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十五、导入更新订购待编记录： </w:t>
            </w:r>
          </w:p>
          <w:p w14:paraId="0774E13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1.支持导入外部文件批量匹配、覆盖验收包、订购包原有订购状态及待编状态的MARC。</w:t>
            </w:r>
          </w:p>
          <w:p w14:paraId="6301729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2.支持更新订购MARC的价格。</w:t>
            </w:r>
          </w:p>
          <w:p w14:paraId="7A4A05C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十六、连续出版物：</w:t>
            </w:r>
          </w:p>
          <w:p w14:paraId="5A5FAE0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1.支持期刊征订数据的导入。</w:t>
            </w:r>
          </w:p>
          <w:p w14:paraId="7C0A1CB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2.支持规范征订数据的价格和出版频率。</w:t>
            </w:r>
          </w:p>
          <w:p w14:paraId="06217F9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3.支持批量发订、退订、续订。</w:t>
            </w:r>
          </w:p>
          <w:p w14:paraId="79D1877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4.支持直接编辑订购分配信息及MARC信息。</w:t>
            </w:r>
          </w:p>
          <w:p w14:paraId="4E306E6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5.支持批查重，显示重复情况，支持关联订购，并自动继承往年的订购、签收和分配参数。</w:t>
            </w:r>
          </w:p>
          <w:p w14:paraId="0FD9EC3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6.订购时支持期刊总签分签。</w:t>
            </w:r>
          </w:p>
          <w:p w14:paraId="5931C35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十七、续订： </w:t>
            </w:r>
          </w:p>
          <w:p w14:paraId="4545B53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1.支持复制订购批次续订，续订时，可选择复制的期刊类型以及是否保留原订购分配信息。</w:t>
            </w:r>
          </w:p>
          <w:p w14:paraId="640C1EB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十八、签收： </w:t>
            </w:r>
          </w:p>
          <w:p w14:paraId="6BAC090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1.支持直接编辑MARC信息以及签收信息。</w:t>
            </w:r>
          </w:p>
          <w:p w14:paraId="35E0993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2.支持继承去年签收参数生成签到卡片。</w:t>
            </w:r>
          </w:p>
          <w:p w14:paraId="3C47162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3.支持期刊卷期批量签收以及退签功能。</w:t>
            </w:r>
          </w:p>
          <w:p w14:paraId="05C4877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4.支持进入签收页面时自动定位到未签收单刊上。</w:t>
            </w:r>
          </w:p>
          <w:p w14:paraId="0185E0F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5.可针对固定频率期刊，非固定频率期刊，特殊卷期期刊分别通过参数生成准确的卷期信息。</w:t>
            </w:r>
          </w:p>
          <w:p w14:paraId="174C32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6.支持现刊分配条码自动单刊典藏。</w:t>
            </w:r>
          </w:p>
          <w:p w14:paraId="7CA737C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7.支持预到日期和催缺日期的设置。</w:t>
            </w:r>
          </w:p>
          <w:p w14:paraId="237A411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8.支持合订本装订参数的设定。</w:t>
            </w:r>
          </w:p>
          <w:p w14:paraId="2A7A49A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十九、现刊催缺： </w:t>
            </w:r>
          </w:p>
          <w:p w14:paraId="042434E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1.可按照缺刊、所有缺刊、未签刊、断刊类型进行邮件催缺。</w:t>
            </w:r>
          </w:p>
          <w:p w14:paraId="5AE2C44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2.提供按照供应商、订购年度筛选检索功能。</w:t>
            </w:r>
          </w:p>
          <w:p w14:paraId="113F6C0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二十、排架号管理： </w:t>
            </w:r>
          </w:p>
          <w:p w14:paraId="05EE1BB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1.可根据订购年度，分配地以及不同选项检索期刊。</w:t>
            </w:r>
          </w:p>
          <w:p w14:paraId="0DC1B0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2.可根据分类号，往年排架号，文件导入方式生成新一年排架号。</w:t>
            </w:r>
          </w:p>
          <w:p w14:paraId="4B59CB6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二十一、单刊典藏： </w:t>
            </w:r>
          </w:p>
          <w:p w14:paraId="2FDDD29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1.可针对期刊卷期进行批量单刊典藏操作，已单刊典藏期刊可流通借还。</w:t>
            </w:r>
          </w:p>
          <w:p w14:paraId="7134856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2.可批量修改单刊卷期信息。</w:t>
            </w:r>
          </w:p>
          <w:p w14:paraId="216D78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3.支持自动生成单刊条码号，财产号。</w:t>
            </w:r>
          </w:p>
          <w:p w14:paraId="188E0E4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二十二、资源管理： </w:t>
            </w:r>
          </w:p>
          <w:p w14:paraId="4356BDB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1.国际国内编目标准：支持CNMARC、USMARC、RDA、DC、DCTERMS等规范。</w:t>
            </w:r>
          </w:p>
          <w:p w14:paraId="35F4319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2.支持GBK、UNICODE、UTF-8字符集，实现多语种编目。</w:t>
            </w:r>
          </w:p>
          <w:p w14:paraId="0F3FD18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3.MARC模式和行列模式切换。</w:t>
            </w:r>
          </w:p>
          <w:p w14:paraId="0F8301D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4.USMARC的关联数据展现，并且根据系统生成的链接可以跳转id.loc.gov网站查看对应的LinkedData。（本项须提供功能截图佐证）</w:t>
            </w:r>
          </w:p>
          <w:p w14:paraId="7619463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5.BIBFRAME数据展示。</w:t>
            </w:r>
          </w:p>
          <w:p w14:paraId="6064003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二十三、元数据基本编辑功能： </w:t>
            </w:r>
          </w:p>
          <w:p w14:paraId="6E63899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1.提供字段基本的增加，修改和删除功能。</w:t>
            </w:r>
          </w:p>
          <w:p w14:paraId="4D0DD9B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2.支持简单编目模式编辑，可以配置简单编目模板。</w:t>
            </w:r>
          </w:p>
          <w:p w14:paraId="6B23FD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3.支持MARC审校功能，根据MARC规则自动提示错误。</w:t>
            </w:r>
          </w:p>
          <w:p w14:paraId="0BDF0D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4.支持元数据规范检测，支持查看帮助提示。</w:t>
            </w:r>
          </w:p>
          <w:p w14:paraId="2ED7F29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5.元数据规范检测不仅支持字段、子字段是否重复是否必备的校验，同时支持校验指示符和嵌套字段规则。</w:t>
            </w:r>
          </w:p>
          <w:p w14:paraId="00304C1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二十四、元数据扩展编辑功能： </w:t>
            </w:r>
          </w:p>
          <w:p w14:paraId="6EA1071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1.支持字段排序，字段复制、粘贴功能。</w:t>
            </w:r>
          </w:p>
          <w:p w14:paraId="74878FB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2.支持快捷键一键复制子字段并粘贴。</w:t>
            </w:r>
          </w:p>
          <w:p w14:paraId="5AB199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3.提供系统模板，同时支持自定义元数据模板功能，自定义模板可在机构内、机构间共享。</w:t>
            </w:r>
          </w:p>
          <w:p w14:paraId="5F210AB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4.支持用元数据模板覆盖、补缺、添加全部字段到marc中。</w:t>
            </w:r>
          </w:p>
          <w:p w14:paraId="322456E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5.支持多种自动生成字段的规则，用户可自由选择配置规则。</w:t>
            </w:r>
          </w:p>
          <w:p w14:paraId="142B0EC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6.基于中央知识库，可实现规则共享区下载、本地应用。 </w:t>
            </w:r>
          </w:p>
          <w:p w14:paraId="2A4911F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7.实现cnmarc字段中简繁体互换，生成指定字段拼音。</w:t>
            </w:r>
          </w:p>
          <w:p w14:paraId="7E0D635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8.支持MARC编辑常用快捷键，提高工作效率。</w:t>
            </w:r>
          </w:p>
          <w:p w14:paraId="1CFD14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9.支持锁定元数据，锁定状态下无法编辑，防止老师误操作。</w:t>
            </w:r>
          </w:p>
          <w:p w14:paraId="1D23B8F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10.增加中图法分类名称提示，直接根据分类号展示对应的分类名称。</w:t>
            </w:r>
          </w:p>
          <w:p w14:paraId="1A5C093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二十五、元数据上载： </w:t>
            </w:r>
          </w:p>
          <w:p w14:paraId="6184089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1.支持元数据上载，包括上载原编、上载馆藏和覆盖已有marc。</w:t>
            </w:r>
          </w:p>
          <w:p w14:paraId="0FEA2C7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二十六、元数据获取： </w:t>
            </w:r>
          </w:p>
          <w:p w14:paraId="61D033D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1.提供本地检索和联机检索，支持多索引组检索。其中联机检索支持多题名、多主题词的检索，同时可通过Z39.50广播查询下载，包括国图、CALIS等多数据来源检索。</w:t>
            </w:r>
          </w:p>
          <w:p w14:paraId="66E2479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2.支持转入套录数据，在套录库中按批次查看转入的套录元数据，并在编目页面可以检索套录数据。</w:t>
            </w:r>
          </w:p>
          <w:p w14:paraId="2495462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3.支持直接打开外部文件，查看或编辑外部文件中的元数据。</w:t>
            </w:r>
          </w:p>
          <w:p w14:paraId="4636F36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4.支持复制网页上marc数据，包括美国国会图书馆、中国国家图书馆等多个中外文网站。获取MARC的过程可以设置原MARC保留字段，可以设定来源MARC过滤字段。</w:t>
            </w:r>
          </w:p>
          <w:p w14:paraId="0E2BE6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二十七、元数据检索与查重： </w:t>
            </w:r>
          </w:p>
          <w:p w14:paraId="142214C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1.支持查重、关联检索，支持元数据分屏查看、复制字段、合并、覆盖操作。</w:t>
            </w:r>
          </w:p>
          <w:p w14:paraId="6C67D9F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2.支持Z39和数据中心的元数据查询，进入下一条数据编辑的同时可自动检索Z39.50的数据。针对外部marc可以直接覆盖本馆marc数据。</w:t>
            </w:r>
          </w:p>
          <w:p w14:paraId="3DAB9FB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3.支持按CALIS号、国会号等条件检索馆内和联机数据。</w:t>
            </w:r>
          </w:p>
          <w:p w14:paraId="0762F48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4.支持元数据的查重合并功能，进行元数据统一，形成纸电一体化管理。</w:t>
            </w:r>
          </w:p>
          <w:p w14:paraId="518B993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5.支持对元数据进行批量查重、批量合并功能，且批量合并时可自定义保留字段。</w:t>
            </w:r>
          </w:p>
          <w:p w14:paraId="22739B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6.支持设置默认查重条件。支持多种条件的查重，包括正题名、题名组、标准号等，并支持多种查重条件的自由组合。更支持多题名、多主题词的检索。查重范围可仅限本馆或全部成员馆。</w:t>
            </w:r>
          </w:p>
          <w:p w14:paraId="3F866D8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7.支持高级检索，可多条件组合（与、或）检索。</w:t>
            </w:r>
          </w:p>
          <w:p w14:paraId="6242628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二十八、索书号处理： </w:t>
            </w:r>
          </w:p>
          <w:p w14:paraId="2806A2C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1.通过著者号、卡特号、种次号、四角号码四种方式自动生成索书号，支持复分号的自动生成。</w:t>
            </w:r>
          </w:p>
          <w:p w14:paraId="3CEE547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2.支持种次号、著者号的查询，可使用索书号缺号。</w:t>
            </w:r>
          </w:p>
          <w:p w14:paraId="2A53DFE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3.实现种次号库的维护。同时支持已生成种次号的重组。</w:t>
            </w:r>
          </w:p>
          <w:p w14:paraId="135C62F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4.支持西文卡特号表维护。</w:t>
            </w:r>
          </w:p>
          <w:p w14:paraId="23F15A3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5.支持自定义四角号码生成规则。</w:t>
            </w:r>
          </w:p>
          <w:p w14:paraId="01E824F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6.支持索书号管理常用快捷键，提供工作效率。</w:t>
            </w:r>
          </w:p>
          <w:p w14:paraId="101E60C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7.支持用户自定义复分号初始值。</w:t>
            </w:r>
          </w:p>
          <w:p w14:paraId="70AEB02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8.自动生成种次号时，根据用户需求，既支持优先使用缺号，又支持优先使用最大号。</w:t>
            </w:r>
          </w:p>
          <w:p w14:paraId="31D902E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二十九、复本处理： </w:t>
            </w:r>
          </w:p>
          <w:p w14:paraId="37D8CE7B">
            <w:pPr>
              <w:pStyle w:val="43"/>
              <w:keepNext w:val="0"/>
              <w:keepLines w:val="0"/>
              <w:pageBreakBefore w:val="0"/>
              <w:numPr>
                <w:ilvl w:val="0"/>
                <w:numId w:val="10"/>
              </w:numPr>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同时支持纸质、电子、数字多资源的馆藏管理。</w:t>
            </w:r>
          </w:p>
          <w:p w14:paraId="4DC1FBA5">
            <w:pPr>
              <w:pStyle w:val="43"/>
              <w:keepNext w:val="0"/>
              <w:keepLines w:val="0"/>
              <w:pageBreakBefore w:val="0"/>
              <w:numPr>
                <w:ilvl w:val="0"/>
                <w:numId w:val="10"/>
              </w:numPr>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完善的馆藏信息，包括物理馆藏、验收记录、附件、现刊记录等模块的展示。</w:t>
            </w:r>
          </w:p>
          <w:p w14:paraId="28D0825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3.支持图片、文档、音频、视频等多种数字资源管理，支持资源本地或远程存储（数字馆藏）、收割数字资源元数据（OAI-PM）。</w:t>
            </w:r>
          </w:p>
          <w:p w14:paraId="1C449A6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4.数字资源支持资源的预览。</w:t>
            </w:r>
          </w:p>
          <w:p w14:paraId="2919E4E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5.电子复本根据资源类型分数据库的资源清单和独立访问。</w:t>
            </w:r>
          </w:p>
          <w:p w14:paraId="6F778E4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6.支持在编目页面直接将现刊装订成合订本。</w:t>
            </w:r>
          </w:p>
          <w:p w14:paraId="17AAB8F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7.支持复本变更marc链接功能。</w:t>
            </w:r>
          </w:p>
          <w:p w14:paraId="36952B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8.支持附件的管理，附件与纸本馆藏一一关联，附件馆藏地、年代等信息随纸本馆藏变化而变化。</w:t>
            </w:r>
          </w:p>
          <w:p w14:paraId="58BFDB4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三十、参数配置： </w:t>
            </w:r>
          </w:p>
          <w:p w14:paraId="5E03B0D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1.支持独立分馆和直属分馆，财产账、种次号表可以独立也可以继承。</w:t>
            </w:r>
          </w:p>
          <w:p w14:paraId="0EB6476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2.可根据工作台的分配规则或个人继承参数等规则生成复本，支持直接回溯添加复本。</w:t>
            </w:r>
          </w:p>
          <w:p w14:paraId="01F2FFF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3.支持数值比对和定长比对的条码号或财产号的缺号查询。</w:t>
            </w:r>
          </w:p>
          <w:p w14:paraId="5BCC796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4.支持主题词库的维护。</w:t>
            </w:r>
          </w:p>
          <w:p w14:paraId="52715DF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三十一、本机构资源： </w:t>
            </w:r>
          </w:p>
          <w:p w14:paraId="6E7A685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1.纸质、电子、数字三种资源元数据进行统一管理，同时支持纸质、电子、数字多资源的馆藏管理。</w:t>
            </w:r>
          </w:p>
          <w:p w14:paraId="4385386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2.平台拥有中央知识库做支撑，能够实现本馆元数据与中央知识库的挂接。</w:t>
            </w:r>
          </w:p>
          <w:p w14:paraId="7D6D387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3.支持查看期刊对应的篇级数据信息，同时显示该目录下的文章信息，包含篇名、责任者、页码和对应的URL等信息。</w:t>
            </w:r>
          </w:p>
          <w:p w14:paraId="69896D0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4.支持手动上传目录文件。</w:t>
            </w:r>
          </w:p>
          <w:p w14:paraId="182835F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三十二、MARC批处理： </w:t>
            </w:r>
          </w:p>
          <w:p w14:paraId="6D9027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1.支持对本机构资源全部资源进行检索、筛选后，加入个人工作区，或直接进行MARC批处理操作。</w:t>
            </w:r>
          </w:p>
          <w:p w14:paraId="4FFF53F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2.支持MARC批量新增字段、修改子字段、删除字段、删除子字段等。</w:t>
            </w:r>
          </w:p>
          <w:p w14:paraId="3FBF4A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三十三、个人工作区： </w:t>
            </w:r>
          </w:p>
          <w:p w14:paraId="161713D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1.支持设置个人工作区，支持多种方式添加工作区数据：上传MARC文件创建个人工作区、按检索检索数据加入工作区、按检索规则加入个人工作区。</w:t>
            </w:r>
          </w:p>
          <w:p w14:paraId="23E6EDA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2.支持批量查找本馆无财产订购记录相关的元数据加入工作区，进行本馆冗余元数据处理。</w:t>
            </w:r>
          </w:p>
          <w:p w14:paraId="1183DD0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三十四、资源典藏：</w:t>
            </w:r>
          </w:p>
          <w:p w14:paraId="42AFAD9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1.提供小程序、网页版两种书标打印功能，可补打书标。根据规则限定、单种/册扫描添加及批量添加方式获取提取书标列表。</w:t>
            </w:r>
          </w:p>
          <w:p w14:paraId="1CF3892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2.支持网页版书标打印在线调整书标打印格式、预览打印效果。</w:t>
            </w:r>
          </w:p>
          <w:p w14:paraId="39D8DC1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三十五、馆藏清单： </w:t>
            </w:r>
          </w:p>
          <w:p w14:paraId="07B759E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1.支持统计馆藏记录清单</w:t>
            </w:r>
          </w:p>
          <w:p w14:paraId="45B5A1F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2.支持按复本数查询具体馆藏信息</w:t>
            </w:r>
          </w:p>
          <w:p w14:paraId="2B4C423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3.支持打印和导出</w:t>
            </w:r>
          </w:p>
          <w:p w14:paraId="23F147B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三十六、馆藏调拨： </w:t>
            </w:r>
          </w:p>
          <w:p w14:paraId="7758848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1.支持按馆藏地、当前地方式批量调拨。</w:t>
            </w:r>
          </w:p>
          <w:p w14:paraId="793A894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2.支持导入外部文件批量调拨。</w:t>
            </w:r>
          </w:p>
          <w:p w14:paraId="140FD12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3.支持扫码单册加入调拨包。</w:t>
            </w:r>
          </w:p>
          <w:p w14:paraId="452B087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4.支持调拨时变更财产归属地，变更流通政策及借阅属性。</w:t>
            </w:r>
          </w:p>
          <w:p w14:paraId="186EB77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三十七、馆藏清查：</w:t>
            </w:r>
          </w:p>
          <w:p w14:paraId="472BB8D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1.支持导入外部清查文件。</w:t>
            </w:r>
          </w:p>
          <w:p w14:paraId="7087460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2.通过清查后对比，得到重复馆藏列表。</w:t>
            </w:r>
          </w:p>
          <w:p w14:paraId="0426569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3.支持导出清单。</w:t>
            </w:r>
          </w:p>
          <w:p w14:paraId="6A9776E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三十八、单册处理： </w:t>
            </w:r>
          </w:p>
          <w:p w14:paraId="329BB22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1.对单册图书扫码，进行报废、赠送、交换、丢失、送修、回验、上架处理。</w:t>
            </w:r>
          </w:p>
          <w:p w14:paraId="6A1C0B5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2.可更改单册图书的馆藏地、当前地、借阅属性、流通政策等信息。</w:t>
            </w:r>
          </w:p>
          <w:p w14:paraId="3BE1B2A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3.可通过移动端处理。</w:t>
            </w:r>
          </w:p>
          <w:p w14:paraId="4F5DB54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三十九、批量处理当前地：</w:t>
            </w:r>
          </w:p>
          <w:p w14:paraId="0F9477C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1.支持按照馆藏地、当前地、经手人、还书日期检索查询。</w:t>
            </w:r>
          </w:p>
          <w:p w14:paraId="2C3B848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2.支持按照馆藏地恢复当前地</w:t>
            </w:r>
          </w:p>
          <w:p w14:paraId="5397089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3.支持批量处理馆藏地和当前地。</w:t>
            </w:r>
          </w:p>
          <w:p w14:paraId="1685918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4.支持历史处理记录的查询。</w:t>
            </w:r>
          </w:p>
          <w:p w14:paraId="2793DAA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四十、馆藏管理： </w:t>
            </w:r>
          </w:p>
          <w:p w14:paraId="6D76A8C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1.支持图书的排架管理。</w:t>
            </w:r>
          </w:p>
          <w:p w14:paraId="63F795D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2.支持批量分配排架号、修改排架号。</w:t>
            </w:r>
          </w:p>
          <w:p w14:paraId="76E23B8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3.支持对排架号进行统计。</w:t>
            </w:r>
          </w:p>
          <w:p w14:paraId="391149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4.可用导入文件方式批量生成排架号。</w:t>
            </w:r>
          </w:p>
          <w:p w14:paraId="7CC88F5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5.可查看排架号处理详情。</w:t>
            </w:r>
          </w:p>
          <w:p w14:paraId="326A5CC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6.可在处理过程中修改馆藏地和借阅属性。</w:t>
            </w:r>
          </w:p>
          <w:p w14:paraId="6139936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7.可按照条码顺序号方式管理排架号。</w:t>
            </w:r>
          </w:p>
          <w:p w14:paraId="62191ED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8.可筛选排架号浏览图书。</w:t>
            </w:r>
          </w:p>
          <w:p w14:paraId="49D04D2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四十一、达标考核报表： </w:t>
            </w:r>
          </w:p>
          <w:p w14:paraId="57FFEC1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1.支持统计本馆馆情考核信息，包含文献总量、有效读者数量、有效读者平均册数、馆藏增册数、生均增册数、总借阅量、借阅册次、人均借阅量、文献流通率、文献利用率。</w:t>
            </w:r>
          </w:p>
          <w:p w14:paraId="32FF23F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四十二、更换条码： </w:t>
            </w:r>
          </w:p>
          <w:p w14:paraId="12A1683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1.支持条码号更换。</w:t>
            </w:r>
          </w:p>
          <w:p w14:paraId="6BCF62A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2.支持更换条码同时更换馆藏地和书刊状态。</w:t>
            </w:r>
          </w:p>
          <w:p w14:paraId="7FC228C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3.更换时，支持新条码号自动顺次增加。</w:t>
            </w:r>
          </w:p>
          <w:p w14:paraId="0D0FC07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4.支持更换记录的打印导出。</w:t>
            </w:r>
          </w:p>
          <w:p w14:paraId="204A33B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四十三、读者服务：</w:t>
            </w:r>
          </w:p>
          <w:p w14:paraId="5F87F43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1.提供读者新增、修改、删除功能。读者具备多种有效证件模式：借阅证、辅助证。</w:t>
            </w:r>
          </w:p>
          <w:p w14:paraId="241377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2.提供读者批量注销，注销恢复，停借，停借恢复，挂失，解挂，冻结，冻结恢复功能。</w:t>
            </w:r>
          </w:p>
          <w:p w14:paraId="24E11EF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3.支持读者属性规范化，批量规范单位、部门、职位等信息。提供读者批量密码重置功能。</w:t>
            </w:r>
          </w:p>
          <w:p w14:paraId="60990F9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4.可根据多种条件检索导出读者。可导出读者的借阅、违章、罚款信息。</w:t>
            </w:r>
          </w:p>
          <w:p w14:paraId="5BBFCF6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5.统一的行为和费用管理，可对超期、遗失等行为进行处理，可选择停借、罚款等组合处理方式。</w:t>
            </w:r>
          </w:p>
          <w:p w14:paraId="78367E1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6.提供参数化的读者数据导入配置，导入项目可以从文件内取也可以统一设置。</w:t>
            </w:r>
          </w:p>
          <w:p w14:paraId="348487E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7.提供读者照片批量导入功能，支持多种匹配方式。</w:t>
            </w:r>
          </w:p>
          <w:p w14:paraId="37CD62B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8.提供读者批量导入功能，可通过字段映射的方式进行导入。</w:t>
            </w:r>
          </w:p>
          <w:p w14:paraId="4B863DA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9.可根据多种条件检索导出读者。可导出读者的借阅、违章、罚款信息。</w:t>
            </w:r>
          </w:p>
          <w:p w14:paraId="05DA413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10.支持批量打印读者证，可设置读者证大小、正反面内容等。</w:t>
            </w:r>
          </w:p>
          <w:p w14:paraId="52638F4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11.支持每学年，年级自动升级。毕业后读者证件自动冻结等。</w:t>
            </w:r>
          </w:p>
          <w:p w14:paraId="59F7668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四十四、流通管理：</w:t>
            </w:r>
          </w:p>
          <w:p w14:paraId="05B770D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1.提供借书，还书功能，借还图书后显示图书所在地。</w:t>
            </w:r>
          </w:p>
          <w:p w14:paraId="498FD6B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2.提供遗失赔偿功能，遗失赔偿页面显示书目详细信息，可进行赔书，赔款，并支持遗失预处理功能。</w:t>
            </w:r>
          </w:p>
          <w:p w14:paraId="578742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3.提供违章处理，可自定义违章内容。</w:t>
            </w:r>
          </w:p>
          <w:p w14:paraId="098F331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4.提供超期罚款以及超期免罚功能。</w:t>
            </w:r>
          </w:p>
          <w:p w14:paraId="3AB8DA2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5.提供费用管理功能，支持收取读者手续费、押金，预付款费用。</w:t>
            </w:r>
          </w:p>
          <w:p w14:paraId="12BCFC4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6.可使用积分对超期罚款及其他自定义行为进行抵扣。</w:t>
            </w:r>
          </w:p>
          <w:p w14:paraId="70DB2F4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7.所有账目类型均支持打印收款单据。</w:t>
            </w:r>
          </w:p>
          <w:p w14:paraId="6A2A916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8.支持智能借还、人脸识别借还。</w:t>
            </w:r>
          </w:p>
          <w:p w14:paraId="68F53B0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9.提供读者签到、图书登记、读者图书登记、现刊登记功能。支持整班登记。</w:t>
            </w:r>
          </w:p>
          <w:p w14:paraId="7AACDA8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四十五、请求管理：</w:t>
            </w:r>
          </w:p>
          <w:p w14:paraId="5B6B2F1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1.提供图书预约功能，支持本地和跨馆预约。</w:t>
            </w:r>
          </w:p>
          <w:p w14:paraId="3E7719E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2.提供图书委托功能，支持本地和跨馆委托。</w:t>
            </w:r>
          </w:p>
          <w:p w14:paraId="77C419B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3.提供跨校区预约，委托的物流管理，图书的状态会随着物流变化而变化，保证读者的精确获取图书物流信息。</w:t>
            </w:r>
          </w:p>
          <w:p w14:paraId="60F9FD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4.提供新书和还书上架的物流管理，图书所在地以及状态会随物流变化而变化，保证读者在统一检索系统查询到的图书状态的准确。</w:t>
            </w:r>
          </w:p>
          <w:p w14:paraId="4F1B6F9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5.图书到书后，管理员可通过系统向读者发送到书提醒短信/邮件/学习通。</w:t>
            </w:r>
          </w:p>
          <w:p w14:paraId="4FD09F9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6.读者多次到书未取，可进行违约处罚。</w:t>
            </w:r>
          </w:p>
          <w:p w14:paraId="6C411D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四十六、高级工具： </w:t>
            </w:r>
          </w:p>
          <w:p w14:paraId="05E222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1.支持读者积分管理，可自定义读者积分类型。读者可通过不同累计积分途径，使用积分抵扣罚款。</w:t>
            </w:r>
          </w:p>
          <w:p w14:paraId="019136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2.系统可自动增删积分，也可以手动增删积分。</w:t>
            </w:r>
          </w:p>
          <w:p w14:paraId="522F1DC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3.支持发布积分公告功能。</w:t>
            </w:r>
          </w:p>
          <w:p w14:paraId="4421EE2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4.支持离线流通、临时延期。</w:t>
            </w:r>
          </w:p>
          <w:p w14:paraId="1FCEDC9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5.支持对即将到期/已过期的图书进行催还。</w:t>
            </w:r>
          </w:p>
          <w:p w14:paraId="768D87E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6.可根据多种条件检索要延期的读者。</w:t>
            </w:r>
          </w:p>
          <w:p w14:paraId="2ADF16A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7.可多选要延期的馆藏地。</w:t>
            </w:r>
          </w:p>
          <w:p w14:paraId="4151D3D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8.可自定义临时延期起始、截止、目标日期。</w:t>
            </w:r>
          </w:p>
          <w:p w14:paraId="7C3333C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四十七、流通业务参数：</w:t>
            </w:r>
          </w:p>
          <w:p w14:paraId="22844D8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1.可自定义多种读者属性，学院，系别，专业，年级，班级，类型。</w:t>
            </w:r>
          </w:p>
          <w:p w14:paraId="1945A8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2.可灵活自定义借阅规则，规则组合。</w:t>
            </w:r>
          </w:p>
          <w:p w14:paraId="76D1F54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3.可自定义积分类型，积分项目，积分兑换。</w:t>
            </w:r>
          </w:p>
          <w:p w14:paraId="1B15869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4.可自定义违章，罚款，赔偿，费用参数。</w:t>
            </w:r>
          </w:p>
          <w:p w14:paraId="0C9FAC8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四十八、统计报表：</w:t>
            </w:r>
          </w:p>
          <w:p w14:paraId="799A48F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1.提供各学校的图书馆藏统计、流通借还统计、读者数量统计等。</w:t>
            </w:r>
          </w:p>
          <w:p w14:paraId="375A517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2.提供各学校包含各馆藏地书刊状态统计、生均借阅册数统计、图书流通率统计、馆藏增长量统计等。</w:t>
            </w:r>
          </w:p>
          <w:p w14:paraId="2138908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3.提供馆藏数据统计（纸质、电子），包含：纸质馆藏（分布、分类、增长）统计，列表页面支持打印预览及导出。</w:t>
            </w:r>
          </w:p>
          <w:p w14:paraId="24BBCB5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四十九、资源利用： </w:t>
            </w:r>
          </w:p>
          <w:p w14:paraId="32B8819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综合借还、文献分类借还、人均借阅量、文献分类阅览、读者请求分类、文献借还周转率、文献借还利用率、文献借阅率、文献外借周期、文献热门排行、总分馆借阅、OPAC热门检索词、OPAC导航使用等统计，列表页面支持打印预览及导出。</w:t>
            </w:r>
          </w:p>
          <w:p w14:paraId="2C3D351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五十、读者服务： </w:t>
            </w:r>
          </w:p>
          <w:p w14:paraId="12465C2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1.提供读者服务相关统计，包含读者借还、读者借阅量、读者借阅次数、读者借还趋势、超期罚款、遗失赔偿、借阅出版社等统计。列表页面支持打印预览及导出。</w:t>
            </w:r>
          </w:p>
          <w:p w14:paraId="2F3A6FB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五十一、运行日志： </w:t>
            </w:r>
          </w:p>
          <w:p w14:paraId="7BFD503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1.提供流通日志、账目收支、工作人员日志、工作量（工作台、工作人员、工作类型）相关统计。</w:t>
            </w:r>
          </w:p>
          <w:p w14:paraId="5335998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五十二、参数配置： </w:t>
            </w:r>
          </w:p>
          <w:p w14:paraId="2AB4E01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1.提供个人统计中心，支持将统计及条件保存为模板至个人统计中心。</w:t>
            </w:r>
          </w:p>
          <w:p w14:paraId="6B70DC3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2.提供分类模板配置，支持设置每个分类的馆藏标准比例。</w:t>
            </w:r>
          </w:p>
          <w:p w14:paraId="0EA7126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五十三、统一检索：</w:t>
            </w:r>
          </w:p>
          <w:p w14:paraId="139353C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1.资源发布：支持自定义统一检索栏目菜单、首页展示内容、背景、logo、主题色等，支持配置展示的资料类型、资源状态、展示字段等。</w:t>
            </w:r>
          </w:p>
          <w:p w14:paraId="6E4B0DB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2.支持外部资源接入，支持发布问卷调查等信息。   </w:t>
            </w:r>
          </w:p>
          <w:p w14:paraId="4267B4E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五十四、检索： </w:t>
            </w:r>
          </w:p>
          <w:p w14:paraId="0B42001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1.提供关键词检索，检索首页展示近X天内的热门资源库、最新资源库、热门借阅、上架新书等。</w:t>
            </w:r>
          </w:p>
          <w:p w14:paraId="40193DE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2.具备基本检索功能的同时，支持高级检索，同时检索结果页可二次检索。</w:t>
            </w:r>
          </w:p>
          <w:p w14:paraId="5DDB2EC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3.对图书、期刊、论文均提供评分、评论、收藏、分享、引用功能，对检索条件提供订阅功能，即将检索条件进行记录保留。</w:t>
            </w:r>
          </w:p>
          <w:p w14:paraId="046FAF9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4.关键词检索所有整合的文献资源，包括并不限于本馆纸本资源、电子资源、数字资产等，将所有检索结果按资源的相关度显示出来。</w:t>
            </w:r>
          </w:p>
          <w:p w14:paraId="32951F1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5.提供纸质资源，电子资源，数字资源的整合检索，同一个元数据能同时展示元数据下对应的纸质馆藏和电子馆藏以及数字资源。纸本可直接查看详细信息，电子可链接到全文或者数据库。</w:t>
            </w:r>
          </w:p>
          <w:p w14:paraId="74022FE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6.多种检索来源，包括馆藏资源、超星发现、百度学术、维普、CNKI和万方期刊。</w:t>
            </w:r>
          </w:p>
          <w:p w14:paraId="6F543DD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7.结果根据匹配度，相关度，出版年，图书热度多个维度综合排序</w:t>
            </w:r>
          </w:p>
          <w:p w14:paraId="37D2A2E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8.资源检索详情页可通过扫二维码查看书目详细信息，提供当当、豆瓣等快捷链接。</w:t>
            </w:r>
          </w:p>
          <w:p w14:paraId="0270F6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9.可通过中央知识库展示图书封面，读者和图书简介，摘要和目次。</w:t>
            </w:r>
          </w:p>
          <w:p w14:paraId="64DB01E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10.图形化展示借阅趋势、借阅关系，将每种书刊的借阅量自动转化为曲线图。</w:t>
            </w:r>
          </w:p>
          <w:p w14:paraId="7941334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11.支持在线填写问卷调查（电子资源库试用调查问卷及一般调查问卷）。</w:t>
            </w:r>
          </w:p>
          <w:p w14:paraId="3B86127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五十五、检索结果相关信息推荐： </w:t>
            </w:r>
          </w:p>
          <w:p w14:paraId="5302ACE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1.可对资源进行评分。</w:t>
            </w:r>
          </w:p>
          <w:p w14:paraId="1DBFA0F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2.可对资源发表书评。</w:t>
            </w:r>
          </w:p>
          <w:p w14:paraId="543106C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3.可生成多种引文格式，可导出。</w:t>
            </w:r>
          </w:p>
          <w:p w14:paraId="59D8853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4.可收藏资源。</w:t>
            </w:r>
          </w:p>
          <w:p w14:paraId="287E2B7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5.可分享资源。</w:t>
            </w:r>
          </w:p>
          <w:p w14:paraId="6CB842D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6.可进行文献传递</w:t>
            </w:r>
          </w:p>
          <w:p w14:paraId="3122F73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7.提供基于智能化的相关书的推荐。</w:t>
            </w:r>
          </w:p>
          <w:p w14:paraId="3FA5F9F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五十六、热门推荐： </w:t>
            </w:r>
          </w:p>
          <w:p w14:paraId="71338FE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1.可查看馆内热门借阅、热门收藏、热门浏览、高分图书等列表</w:t>
            </w:r>
          </w:p>
          <w:p w14:paraId="7B84D4E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2.按借阅比或借阅次数、收藏人数、浏览人数、评价人数和总体评价等倒序展示一段时间内借阅的图书列表。</w:t>
            </w:r>
          </w:p>
          <w:p w14:paraId="10CDE16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3.提供按照学科、图书馆、资料类型，统计时间多种筛选条件。</w:t>
            </w:r>
          </w:p>
          <w:p w14:paraId="520DD1D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五十七、新书通报： </w:t>
            </w:r>
          </w:p>
          <w:p w14:paraId="48DA64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1.自动根据入藏时间和其他设定条件生成新书内容。</w:t>
            </w:r>
          </w:p>
          <w:p w14:paraId="5F4AD72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2.支持学科分类，中图法分类展示。</w:t>
            </w:r>
          </w:p>
          <w:p w14:paraId="0006B9F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3.提供按限制时间、资料类型、图书馆进行筛选。</w:t>
            </w:r>
          </w:p>
          <w:p w14:paraId="6E4D8E0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五十八、期刊导航： </w:t>
            </w:r>
          </w:p>
          <w:p w14:paraId="207DA90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1.可根据学科分类进行导航。</w:t>
            </w:r>
          </w:p>
          <w:p w14:paraId="22DCECF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2.可根据首字母导航。</w:t>
            </w:r>
          </w:p>
          <w:p w14:paraId="54D4DEA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3.可根据SCIE，SCI，SSCI，A&amp;HCI，SCOPUS，EI，CSSCI，CSCD，北大中文核心期刊，中国科技核心期刊目录等核心收录指标进行导航。</w:t>
            </w:r>
          </w:p>
          <w:p w14:paraId="13E84D2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五十九、读者荐购： </w:t>
            </w:r>
          </w:p>
          <w:p w14:paraId="30CA5D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1.可荐购图书、期刊和数据库。</w:t>
            </w:r>
          </w:p>
          <w:p w14:paraId="10862FF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2.可根据征订数据荐购，按照学科筛选荐购。可查看大家正在荐购的内容追加荐购。可自由荐购。</w:t>
            </w:r>
          </w:p>
          <w:p w14:paraId="4795E5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3.针对读者自由荐购提供基本的检索及查重。</w:t>
            </w:r>
          </w:p>
          <w:p w14:paraId="0EF437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六十、我的订阅： </w:t>
            </w:r>
          </w:p>
          <w:p w14:paraId="302F415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1.可订阅自定义关键词。</w:t>
            </w:r>
          </w:p>
          <w:p w14:paraId="7D54C88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六十一、我的借阅： </w:t>
            </w:r>
          </w:p>
          <w:p w14:paraId="072C3FA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1.可查看借阅历史及当前借阅书籍。</w:t>
            </w:r>
          </w:p>
          <w:p w14:paraId="1504A29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2.借书超期及借书即将到期提醒。</w:t>
            </w:r>
          </w:p>
          <w:p w14:paraId="0E368FE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3.支持单本续借和批量续借。</w:t>
            </w:r>
          </w:p>
          <w:p w14:paraId="474B656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六十二、行为记录： </w:t>
            </w:r>
          </w:p>
          <w:p w14:paraId="3E8BDDC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1.可查看自己已处理和未处理的行为。</w:t>
            </w:r>
          </w:p>
          <w:p w14:paraId="542800F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2.处理行为及新增行为提醒。</w:t>
            </w:r>
          </w:p>
          <w:p w14:paraId="40CF2ED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3.支持针对未处理行为在线缴费。</w:t>
            </w:r>
          </w:p>
          <w:p w14:paraId="7CB12A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六十三、我的地址： </w:t>
            </w:r>
          </w:p>
          <w:p w14:paraId="227C799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1.支持维护我的地址。</w:t>
            </w:r>
          </w:p>
          <w:p w14:paraId="2D01867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六十四、预约委托： </w:t>
            </w:r>
          </w:p>
          <w:p w14:paraId="036D613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1.可针对书目进行预约和委托操作。</w:t>
            </w:r>
          </w:p>
          <w:p w14:paraId="4ACD7D9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2.可选择本校区或者其他校区的取书地。</w:t>
            </w:r>
          </w:p>
          <w:p w14:paraId="6DF0D0B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3.可查看所有发起成功的预约委托请求。</w:t>
            </w:r>
          </w:p>
          <w:p w14:paraId="613CF1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4.可查看预约委托到书请求。</w:t>
            </w:r>
          </w:p>
          <w:p w14:paraId="75DABC6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六十五、我的收藏： </w:t>
            </w:r>
          </w:p>
          <w:p w14:paraId="1DC33A9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1.读者可创建并分享自己建立的书单。</w:t>
            </w:r>
          </w:p>
          <w:p w14:paraId="25984F78">
            <w:pPr>
              <w:keepNext w:val="0"/>
              <w:keepLines w:val="0"/>
              <w:pageBreakBefore w:val="0"/>
              <w:wordWrap/>
              <w:overflowPunct/>
              <w:topLinePunct w:val="0"/>
              <w:bidi w:val="0"/>
              <w:spacing w:line="200" w:lineRule="exac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rPr>
              <w:t>2.读者可在检索结果页面将内容添加至书单。</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3497D4FC">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1套 </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067F647">
            <w:pPr>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核心产品</w:t>
            </w:r>
          </w:p>
        </w:tc>
      </w:tr>
      <w:tr w14:paraId="5DA9D1B0">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30B9850B">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2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9DD885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RFID图书标签</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470C1B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1.工作频率：13.56MHz；</w:t>
            </w:r>
          </w:p>
          <w:p w14:paraId="3A88EEB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2.支持协议：ISO15693和ISO18000-3标准；</w:t>
            </w:r>
          </w:p>
          <w:p w14:paraId="4B5BEF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3.产品规格：50*50mm；</w:t>
            </w:r>
          </w:p>
          <w:p w14:paraId="0BE6D1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4.天线规格：45*45cm；</w:t>
            </w:r>
          </w:p>
          <w:p w14:paraId="01DF9B0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5.频率：13.56MHZ。</w:t>
            </w:r>
          </w:p>
          <w:p w14:paraId="312FDF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6.内存容量：≥1024 bits；</w:t>
            </w:r>
          </w:p>
          <w:p w14:paraId="3027DCA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7.有效使用寿命：≥10 年；</w:t>
            </w:r>
          </w:p>
          <w:p w14:paraId="207DE30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8.有效使用次数：≥10万次。</w:t>
            </w:r>
          </w:p>
          <w:p w14:paraId="2FADF38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功能描述：</w:t>
            </w:r>
          </w:p>
          <w:p w14:paraId="5B9FB37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1.非接触式地读取和写入；</w:t>
            </w:r>
          </w:p>
          <w:p w14:paraId="3F72982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2.具有很好的防冲突性能；</w:t>
            </w:r>
          </w:p>
          <w:p w14:paraId="3DCDF5C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3.采用防冲突的运算法则；</w:t>
            </w:r>
          </w:p>
          <w:p w14:paraId="336B7BC5">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rPr>
              <w:t>4.具有多标签识别功能；</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3C02FA21">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2000枚 </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68FFFF1">
            <w:pPr>
              <w:jc w:val="center"/>
              <w:rPr>
                <w:rFonts w:hint="eastAsia" w:asciiTheme="minorEastAsia" w:hAnsiTheme="minorEastAsia" w:eastAsiaTheme="minorEastAsia" w:cstheme="minorEastAsia"/>
                <w:color w:val="auto"/>
                <w:sz w:val="24"/>
                <w:lang w:val="en-US" w:eastAsia="zh-CN"/>
              </w:rPr>
            </w:pPr>
          </w:p>
        </w:tc>
      </w:tr>
      <w:tr w14:paraId="5C774DEC">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4A1A4C51">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3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7B3A49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RFID标签数据加工</w:t>
            </w:r>
            <w:r>
              <w:rPr>
                <w:rFonts w:hint="eastAsia" w:asciiTheme="minorEastAsia" w:hAnsiTheme="minorEastAsia" w:eastAsiaTheme="minorEastAsia" w:cstheme="minorEastAsia"/>
                <w:i w:val="0"/>
                <w:iCs w:val="0"/>
                <w:snapToGrid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(图书标签)</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0A5CAE7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1.将图书专用标签数据加工转换并准确安装在图书馆的馆藏图书内，</w:t>
            </w:r>
          </w:p>
          <w:p w14:paraId="5A91756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2.按照规范要求，为每一本需要进行处理的图书粘贴RFID标签，</w:t>
            </w:r>
          </w:p>
          <w:p w14:paraId="367A4D6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3.严格按中图法分类上架及定位。对粘贴了RFID标签的图书进行数据转换。</w:t>
            </w:r>
          </w:p>
          <w:p w14:paraId="641430C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4.确保标签粘贴有效，并且不能对图书造成任何损坏，否则应为造成的损失向招标人提供赔偿。</w:t>
            </w:r>
          </w:p>
          <w:p w14:paraId="3A55A3B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图书资料的数据转换有效无误，同时满足用户合理提出的RFID标签中数据存储的格式与内容的要求。将馆藏图书进行编目数据著录、MAC数据录入、贴条码、书标、书标保护膜，依据《中国机读目录格式》和《普通图书著录规则》的要求著录图书，图书分类引用《中国图书馆图书分类法》 (第五版）。中文图书主题标引用《中国分类主题词表》和《汉语主题词表》（增订本）。</w:t>
            </w:r>
          </w:p>
          <w:p w14:paraId="6186B8D2">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6.图书数据加工录入到图书管理系统中</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67F89C3B">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2000</w:t>
            </w:r>
            <w:r>
              <w:rPr>
                <w:rFonts w:hint="eastAsia" w:asciiTheme="minorEastAsia" w:hAnsiTheme="minorEastAsia" w:eastAsiaTheme="minorEastAsia" w:cstheme="minorEastAsia"/>
                <w:i w:val="0"/>
                <w:iCs w:val="0"/>
                <w:color w:val="000000"/>
                <w:kern w:val="0"/>
                <w:sz w:val="20"/>
                <w:szCs w:val="20"/>
                <w:u w:val="none"/>
                <w:lang w:val="en-US" w:eastAsia="zh-CN" w:bidi="ar"/>
              </w:rPr>
              <w:t>张/次</w:t>
            </w: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 </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56346F9">
            <w:pPr>
              <w:jc w:val="center"/>
              <w:rPr>
                <w:rFonts w:hint="eastAsia" w:asciiTheme="minorEastAsia" w:hAnsiTheme="minorEastAsia" w:eastAsiaTheme="minorEastAsia" w:cstheme="minorEastAsia"/>
                <w:color w:val="auto"/>
                <w:sz w:val="24"/>
                <w:lang w:val="en-US" w:eastAsia="zh-CN"/>
              </w:rPr>
            </w:pPr>
          </w:p>
        </w:tc>
      </w:tr>
      <w:tr w14:paraId="2B51152B">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32824C61">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4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47F67C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自助借还书机系统</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39513E8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1.多种登录方式：支持账号密码、刷读者证、扫码、人脸识别等方式，后台可选择登录方式，支持设置是否免密。</w:t>
            </w:r>
          </w:p>
          <w:p w14:paraId="1B125A7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人脸识别：支持读者绑定人脸信息，可以实现读者无卡登录、借书。支持读者删除已绑定的人脸信息。登录、注册时提供活体检测，验证用户是否为本人真实活体操作。支持管理员在设备后台批量上传读者的人脸信息。支持管理员在手机端拍照上传人脸。</w:t>
            </w:r>
          </w:p>
          <w:p w14:paraId="4D4B4E8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3.自助借还：具备对图书标签防盗位进行复位或置位的功能，可以一次借还多本书刊。</w:t>
            </w:r>
          </w:p>
          <w:p w14:paraId="095215B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4.读者办证：支持读者输入个人信息后注册电子证，后台可以选择是否开启办证以及读者证类型。并支持后台自定义选择要录入的读者信息，比如手机号、邮箱、学历等。支持扫码支付押金，押金金额可自定义。</w:t>
            </w:r>
          </w:p>
          <w:p w14:paraId="6007F82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5.个人中心/续借：支持读者查询个人信息、当前在借，也可续借图书。支持读者自行绑定人脸、身份证，绑定后即可使用相应的登录方式。</w:t>
            </w:r>
          </w:p>
          <w:p w14:paraId="46882BB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6.信息展示：支持显示单位logo、轮播图，并能够显示时间日期和设备的今日借还数量。</w:t>
            </w:r>
          </w:p>
          <w:p w14:paraId="301403B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7.图书查询：支持配置单位的图书查询页面，方便读者查询图书。</w:t>
            </w:r>
          </w:p>
          <w:p w14:paraId="035FD6C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8.电子书：支持配置电子书模块，点击后能够进入电子资源借阅系统，实现在线阅读、扫码下载等功能。</w:t>
            </w:r>
          </w:p>
          <w:p w14:paraId="3554603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9.图书借阅排行：支持显示自助借还设备上的图书借阅排行榜，包括排名、书名和借阅次数。</w:t>
            </w:r>
          </w:p>
          <w:p w14:paraId="7A5655D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10.首页配置：支持后台配置首页的全部内容，包括logo、轮播图、通知公告、应用模块等。模块顺序可自定义，并能够配置系统应用、网页以及第三方APP等类型。</w:t>
            </w:r>
          </w:p>
          <w:p w14:paraId="1103918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11.待机图：支持配置待机图和等待时长，在设备长时间无操作后显示待机图。</w:t>
            </w:r>
          </w:p>
          <w:p w14:paraId="76D3284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12.设备设置：支持后台设置图书标签、读者证解析等内容。</w:t>
            </w:r>
          </w:p>
          <w:p w14:paraId="6AC6C52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13.凭条打印：支持打印借书、还书、办证凭条，并支持后台设置凭条要显示的字段，比如设备位置、读者姓名、读者账号等。</w:t>
            </w:r>
          </w:p>
          <w:p w14:paraId="2F534BA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14.查看设备信息：支持后台查看设备的机器码、Mac地址、版本号、在线状态等信息。</w:t>
            </w:r>
          </w:p>
          <w:p w14:paraId="23D9BB8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15.读者隐私保护：具有保护读者隐私功能，启用后可隐藏读者部分信息。</w:t>
            </w:r>
          </w:p>
          <w:p w14:paraId="26B4FF2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16.退出密码：支持后台设置退出APP密码，设置后可在设备端退出至系统桌面。</w:t>
            </w:r>
          </w:p>
          <w:p w14:paraId="2549C18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17.断网重连：设备断网时会主动重连，连上后恢复正常状态。</w:t>
            </w:r>
          </w:p>
          <w:p w14:paraId="0B260EC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18.设备后台支持批量导入、导出图书加工信息、读者证加工信息，并可批量导入读者人脸信息。</w:t>
            </w:r>
          </w:p>
          <w:p w14:paraId="78781AD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 离线还书：设备具备离线还书的功能，能够在断网情况下支持还书操作，联网后可及时上传还书记录。</w:t>
            </w:r>
          </w:p>
          <w:p w14:paraId="72EE398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20.运行日志：设备支持自动记录当天的运行日志，支持通过后台下载设备日志。</w:t>
            </w:r>
          </w:p>
          <w:p w14:paraId="509B302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21.语音提示：设备具备语音提示，可通过语音引导读者的借还书操作。</w:t>
            </w:r>
          </w:p>
          <w:p w14:paraId="66EE190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22.设备信息：支持在设备上查看机器码、Mac地址、本机IP、外网IP、客户端版本号等信息。</w:t>
            </w:r>
          </w:p>
          <w:p w14:paraId="6EC8D95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23.图书推荐：首页提供图书推荐模块，每天至少更新一本书，支持扫码阅读。</w:t>
            </w:r>
          </w:p>
          <w:p w14:paraId="26C46D3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24.自助办证记录：通过设备办理的读者证，支持通过后台查询办证记录。</w:t>
            </w:r>
          </w:p>
          <w:p w14:paraId="69E15BC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25.设备支持对接馆内管理系统的电子证，支持扫电子证登录。</w:t>
            </w:r>
          </w:p>
          <w:p w14:paraId="3787CA8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26.设备具备登录抓拍功能，可将登录时抓拍的图片将上传到平台。 </w:t>
            </w:r>
          </w:p>
          <w:p w14:paraId="01F0935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27.远程控制：可对终端进行远程重启、远程关机、同步时间、调节音量、远程设置定时开关机、远程截图等操作。</w:t>
            </w:r>
          </w:p>
          <w:p w14:paraId="3C340EA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二、电子资源借阅系统:</w:t>
            </w:r>
          </w:p>
          <w:p w14:paraId="5395877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 借还机内置≥3000种正版授权的epub格式电子图书且与原版图书保持原貌一致，如相关图片、目录等，每月定时更新≥150种热门电子图书。支持新书、热门图书标记功能，供读者参考。</w:t>
            </w:r>
          </w:p>
          <w:p w14:paraId="2480AD2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2.内置期刊资源，期刊种类≥200种，每月定期更新。期刊支持扫描并免费收藏。</w:t>
            </w:r>
          </w:p>
          <w:p w14:paraId="100EAEE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3.图书分类支持定制：可根据用户的需求定制一个图书分类，推荐相关的电子图书到自助借还机中展示。定制的图书也可以通过扫描二维码的方式下载至手机客户端中离线阅读。</w:t>
            </w:r>
          </w:p>
          <w:p w14:paraId="42D770D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4.配套新书推荐栏目，每周更新，每周推送不低于7本。（每周新书推送，结合实事、节假日等针对不同主题，精选图书。）</w:t>
            </w:r>
          </w:p>
          <w:p w14:paraId="305E005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5.电子资源借阅系统支持定制显示单位名称、logo、待机画面、二维码，可将单位的名称和logo配置到页面中。</w:t>
            </w:r>
          </w:p>
          <w:p w14:paraId="271548C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6.提供≥5种不同风格的模版，供用户自行选择，随时更换模版以适应不同场合的需求。</w:t>
            </w:r>
          </w:p>
          <w:p w14:paraId="3AF6DDE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7.配套的手机端应具备横屏阅读，夜间模式转换，文字大小调整等功能。</w:t>
            </w:r>
          </w:p>
          <w:p w14:paraId="3F0BD0E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8.手机客户端可保留相关阅读记录。</w:t>
            </w:r>
          </w:p>
          <w:p w14:paraId="5810B20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9.手机客户端提供适合智能手机阅读的EPUB格式热门图书。图书支持全文下载，并保存在手机中。</w:t>
            </w:r>
          </w:p>
          <w:p w14:paraId="3971D03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10.手机客户端提供适合智能手机使用的学术视频。</w:t>
            </w:r>
          </w:p>
          <w:p w14:paraId="6C0756A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11.手机客户端提供有声读物资源，支持在线听书。</w:t>
            </w:r>
          </w:p>
          <w:p w14:paraId="36B602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三、技术参数： </w:t>
            </w:r>
          </w:p>
          <w:p w14:paraId="61170BE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1.尺寸（mm）：高≤1610，宽≤650，厚≤500。</w:t>
            </w:r>
          </w:p>
          <w:p w14:paraId="334F873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2.工作频率：13.56MHz。</w:t>
            </w:r>
          </w:p>
          <w:p w14:paraId="1142D5D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3.供电要求：AC220V，50Hz。</w:t>
            </w:r>
          </w:p>
          <w:p w14:paraId="4D2ECC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4.屏幕尺寸：≥31.5寸，分辨率1920×1080，十点电容触摸。</w:t>
            </w:r>
          </w:p>
          <w:p w14:paraId="21DD8E6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5.设备材质：采用冷轧钢板材质，表面钢化玻璃圆角处理，符合人体工程学设计。</w:t>
            </w:r>
          </w:p>
          <w:p w14:paraId="51438E8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6.主机配置：Android 7.1 及以上操作系统。运行内存≥4G，系统存储≥32GB EMMC。</w:t>
            </w:r>
          </w:p>
          <w:p w14:paraId="28891D7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7.读者证读卡器：支持 ISO14443A、ISO14443B、IOS15693、ISO18092、Felica标准。</w:t>
            </w:r>
          </w:p>
          <w:p w14:paraId="4E03B9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8.图书读写器：支持ISO/IEC 15693 和18000-3M1 标准。</w:t>
            </w:r>
          </w:p>
          <w:p w14:paraId="3A1317F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9.摄像头：≥500W像素，可以实现人脸识别认证，方便读者刷脸登录、借阅。</w:t>
            </w:r>
          </w:p>
          <w:p w14:paraId="7981CB9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10.扫码器：设备内置扫码器，支持二维码、条形码扫描。</w:t>
            </w:r>
          </w:p>
          <w:p w14:paraId="6B6EF6E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11.打印机：80mm热敏打印机。</w:t>
            </w:r>
          </w:p>
          <w:p w14:paraId="44951A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12.联网方式：有线、wifi。</w:t>
            </w:r>
          </w:p>
          <w:p w14:paraId="37C7F755">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须提供自助借还书机系统的软件著作权证书。</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7072F46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2台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AC9AE08">
            <w:pPr>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核心产品</w:t>
            </w:r>
          </w:p>
        </w:tc>
      </w:tr>
      <w:tr w14:paraId="3327E9AC">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522574A">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5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A8DFFB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一体化馆员工作站</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42B3B27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一、功能参数： </w:t>
            </w:r>
          </w:p>
          <w:p w14:paraId="50B8A2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1．支持RFID标签非接触式地进行阅读，有读取、写入、改写RFID标签的能力，支持图书馆流通资料的相关信息快速写入标签。</w:t>
            </w:r>
          </w:p>
          <w:p w14:paraId="216D0CB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2．多种工作模式：馆员管理模式、读者自助模式两种工作模式。</w:t>
            </w:r>
          </w:p>
          <w:p w14:paraId="0FD2341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3．图书标签管理：包含图书标签转化、图书标签读取、图书标签防盗、已转图书列表等功能。 </w:t>
            </w:r>
          </w:p>
          <w:p w14:paraId="659F357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4．图书标签转化：可按照ISO28560规范将图书条形码绑定并写入RFID标签内，同时支持将图书信息上传后台，支持操作记录的删除或导出的功能。支持离线转化或者在线转化两种工作模式。 </w:t>
            </w:r>
          </w:p>
          <w:p w14:paraId="35395E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5．图书标签读取：针对已进行标签转化的图书，可自动读取标签信息，可用来核对标签转换是否正常。支持ISO28560规范。</w:t>
            </w:r>
          </w:p>
          <w:p w14:paraId="0D6840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6．图书标签防盗：自动读取图书RFID借还标志位(EAS)状态和AFI状态，支持批量修改RFID标签防盗信息的开启和关闭。</w:t>
            </w:r>
          </w:p>
          <w:p w14:paraId="1A8BB7D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7．图书列表：可查询已转化标签的图书列表、删除选定图书标签，支持查找和删除已经转换过的标签，可通过“条码”、“RFID”、“题名”、“ISBN”等字段进行查找。支持将查询结果导出excel表格。</w:t>
            </w:r>
          </w:p>
          <w:p w14:paraId="4D32AB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8．读者证管理：包括读者证激活和读者证列表功能。</w:t>
            </w:r>
          </w:p>
          <w:p w14:paraId="5421163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9．读者证激活：可将读者基本信息写入读者证内，完成读者证激活操作，激活后的读者证可通过刷卡形式在自助设备上进行借还操作。 </w:t>
            </w:r>
          </w:p>
          <w:p w14:paraId="4C1C85B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10．读者证列表：可获取已经激活的读者证列表、查看读者证对应的读者基本信息，可批量删除或导出读者证信息。</w:t>
            </w:r>
          </w:p>
          <w:p w14:paraId="25050A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11．借还管理：支持手工借书、手工还书。</w:t>
            </w:r>
          </w:p>
          <w:p w14:paraId="0BCCBB7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手工借书：支持刷卡或者扫读者证条码两种方式识别读者信息，可显示读者在借图书列表信息，包括图书借阅日期和应还日期。支持对多本图书进行批量借书操作。借书同时可批量修改图书标签的防盗位信息，与配套安全门可联动开启/关闭报警功能。</w:t>
            </w:r>
          </w:p>
          <w:p w14:paraId="52D5759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13．手工还书：支持对多本图书进行批量借书操作。还书同时可批量修改图书标签的防盗位信息，与配套安全门可联动开启/关闭报警功能。</w:t>
            </w:r>
          </w:p>
          <w:p w14:paraId="5307D72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14．层架标管理：支持层架标转化和已转化层架标列表功能。</w:t>
            </w:r>
          </w:p>
          <w:p w14:paraId="749FB19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15．层架标转化：支持层架标的创建和上传后台，层架标名称支持自定义命名。可删除或者导出操作记录。</w:t>
            </w:r>
          </w:p>
          <w:p w14:paraId="7D564C0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16．层架标列表：可查询创建的层架标列表信息，支持多字段查询，可批量删除和导出层架标信息。</w:t>
            </w:r>
          </w:p>
          <w:p w14:paraId="63E09C2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17．系统设置：包括系统参数配置、SIP2接口测试、版本信息、语言选择、最小化和退出系统功能。</w:t>
            </w:r>
          </w:p>
          <w:p w14:paraId="2E4FE55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18．系统配置：可列出工作站设备当前工作模式下各种参数信息。</w:t>
            </w:r>
          </w:p>
          <w:p w14:paraId="4A62D58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19．SIP2接口测试：可对SIP2接口进行测试，方便借还过程中出现问题的排查。包括SIP2链接测试、读者查询、图书查询、借书、还书等功能。</w:t>
            </w:r>
          </w:p>
          <w:p w14:paraId="6B78C95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20．版本信息：可列出当前工作站客户端软件版本号和对应设备硬件相关信息。支持客户端升级包下载，方便客户端升级。</w:t>
            </w:r>
          </w:p>
          <w:p w14:paraId="1653A82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21．语言选择：支持工作站软件客户端界面中、英文切换。</w:t>
            </w:r>
          </w:p>
          <w:p w14:paraId="3127030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22．最小化：支持当前工作站客户端软件最小化到任务栏，最小化后可切换到其他应用，方便管理员进行其他操作。</w:t>
            </w:r>
          </w:p>
          <w:p w14:paraId="1D5ABF8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23．读者自助模式：包括登录/借书、自助还书功能，无需管理员帮助，读者可自助进行借书和还书操作，自助模式每个界面都有倒计时功能。</w:t>
            </w:r>
          </w:p>
          <w:p w14:paraId="40207B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24．登录/借书：支持读者使用图书馆证号密码、刷卡、人脸识别（需配套摄像头硬件）等多种方式登录，登录后可查询读者个人信息和在借图书清单。</w:t>
            </w:r>
          </w:p>
          <w:p w14:paraId="32546EC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25．自助借还书时支持多本图书批量借还。</w:t>
            </w:r>
          </w:p>
          <w:p w14:paraId="0F05F40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26．读者自助模式具有安全保护功能，可防止用户非法退出客户端。管理员可通过合法方式退出客户端软件。</w:t>
            </w:r>
          </w:p>
          <w:p w14:paraId="033AF05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二、技术参数： </w:t>
            </w:r>
          </w:p>
          <w:p w14:paraId="3B30AFA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1.尺寸（mm）：≥523.5×426.2×450.2。</w:t>
            </w:r>
          </w:p>
          <w:p w14:paraId="4F53DF3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2.屏幕尺寸：≥21.5寸电容触摸屏。</w:t>
            </w:r>
          </w:p>
          <w:p w14:paraId="4ACF96D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3.外壳材料：铝型材+钣金。</w:t>
            </w:r>
          </w:p>
          <w:p w14:paraId="5D3AC74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4.供电要求：AC 100V-240V，50/60Hz。</w:t>
            </w:r>
          </w:p>
          <w:p w14:paraId="72A06E4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5.整机功率：＜40W。</w:t>
            </w:r>
          </w:p>
          <w:p w14:paraId="46CBE22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6.操作系统：windows 10。</w:t>
            </w:r>
          </w:p>
          <w:p w14:paraId="053A344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7.主机配置：内存8G，存储256G（SSD），CPU为 I5 6200U。</w:t>
            </w:r>
          </w:p>
          <w:p w14:paraId="531C5F6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8.工作频率：13.56MHz。</w:t>
            </w:r>
          </w:p>
          <w:p w14:paraId="481536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9.读写距离：≥30CM。</w:t>
            </w:r>
          </w:p>
          <w:p w14:paraId="319D67D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10.射频功率：≥1.5W。</w:t>
            </w:r>
          </w:p>
          <w:p w14:paraId="16CBFFE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11.图书读写器：内置中功率读写器一体机，支持ISO/IEC 15693 和18000-3M1 标准。</w:t>
            </w:r>
          </w:p>
          <w:p w14:paraId="020C6A6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12.读者证读写器：支持 ISO14443A、ISO14443B、IOS15693、ISO18092、Felica 等协议。</w:t>
            </w:r>
          </w:p>
          <w:p w14:paraId="603D592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13.摄像头：800W 定焦笔记本摄像头。</w:t>
            </w:r>
          </w:p>
          <w:p w14:paraId="6D8C5F4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14.扫描仪：CMOS条码识读引擎(USB)。</w:t>
            </w:r>
          </w:p>
          <w:p w14:paraId="68149FD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15.标签转换：支持将图书条码转换成RFID标签数据。</w:t>
            </w:r>
          </w:p>
          <w:p w14:paraId="6FF161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16.标签改写：支持改写RFID标签数据（如：EAS/AFI）。</w:t>
            </w:r>
          </w:p>
          <w:p w14:paraId="112DB20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17.标签参数配置：可对标签所需参数进行自定义配置。</w:t>
            </w:r>
          </w:p>
          <w:p w14:paraId="252CEB2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18.通信接口：USB 2.0×2。</w:t>
            </w:r>
          </w:p>
          <w:p w14:paraId="118C3980">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19.网络：有线网络、WIFI。</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4F4E0A4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 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62728C8">
            <w:pPr>
              <w:jc w:val="center"/>
              <w:rPr>
                <w:rFonts w:hint="eastAsia" w:asciiTheme="minorEastAsia" w:hAnsiTheme="minorEastAsia" w:eastAsiaTheme="minorEastAsia" w:cstheme="minorEastAsia"/>
                <w:color w:val="auto"/>
                <w:sz w:val="24"/>
                <w:lang w:val="en-US" w:eastAsia="zh-CN"/>
              </w:rPr>
            </w:pPr>
          </w:p>
        </w:tc>
      </w:tr>
      <w:tr w14:paraId="2D841787">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4EF5E384">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6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192CD5A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RFID安全门</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2D4771A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一、功能参数： </w:t>
            </w:r>
          </w:p>
          <w:p w14:paraId="543A2AB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1.支持多种报警检测模式：EAS.AFI.EAS+AFI.AFI+DSFID。</w:t>
            </w:r>
          </w:p>
          <w:p w14:paraId="6CE712F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2.非接触式的快速识别粘贴在流通资料上的RFID标签。</w:t>
            </w:r>
          </w:p>
          <w:p w14:paraId="4D1BC0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3.对图书馆内的印刷品.视听出版物.CD及DVD等流通资料进行安全扫描操作，不损坏粘贴在流通资料中的磁性介质的资料。</w:t>
            </w:r>
          </w:p>
          <w:p w14:paraId="6A959A0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4.设备系统需具有高侦测性能，能够进行三维监测，要求无误报，无漏报。</w:t>
            </w:r>
          </w:p>
          <w:p w14:paraId="08F476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5.具有音频和视觉报警信号，且信号源可设置，报警音量可调控。</w:t>
            </w:r>
          </w:p>
          <w:p w14:paraId="2933336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6、安全门必须配备4.3寸液晶全彩显示屏，显示屏可以显示人流量数据.日期.时间等信息。</w:t>
            </w:r>
          </w:p>
          <w:p w14:paraId="318B113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7.多通道安全检测门具备单通道独立报警和提示功能。</w:t>
            </w:r>
          </w:p>
          <w:p w14:paraId="750C16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8.具备流量计数功能， 可统计人流量信息，方便汇总分析，数据可重置。</w:t>
            </w:r>
          </w:p>
          <w:p w14:paraId="5498E5A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9.系统设备需通过简单的硬件转换即可升级，紧跟最新技术发展。</w:t>
            </w:r>
          </w:p>
          <w:p w14:paraId="7E133F6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10.人员流量统计：支持对进出读者人次的双向统计，进.出读者人次计数正确。</w:t>
            </w:r>
          </w:p>
          <w:p w14:paraId="32FAD09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11.UID卡号读取.两路联动输出.支持环境电磁干扰检测功能.射频输出功率可调。</w:t>
            </w:r>
          </w:p>
          <w:p w14:paraId="39491BA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12.要求双蜂鸣器输出，实现区分不同事件。</w:t>
            </w:r>
          </w:p>
          <w:p w14:paraId="7E2DEF2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13.每片主门须具备独立的配置模块，同一通道的两片门可选择主.辅门。</w:t>
            </w:r>
          </w:p>
          <w:p w14:paraId="614D215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14.系统须具有故障报警提示功能。</w:t>
            </w:r>
          </w:p>
          <w:p w14:paraId="0D5EB1A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15.须标配遥控器，无须打开设备箱门，即可调节音量大小和切换读者流量显示。 </w:t>
            </w:r>
          </w:p>
          <w:p w14:paraId="091EF0B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16.要求最多可支持10片门并排使用，主门有四个扩展口（可接智能门禁，智能监控等设备实现联动）。</w:t>
            </w:r>
          </w:p>
          <w:p w14:paraId="56D6FDC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二、技术参数： </w:t>
            </w:r>
          </w:p>
          <w:p w14:paraId="7BC1943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1.支持的工作频率13.56Mhz。</w:t>
            </w:r>
          </w:p>
          <w:p w14:paraId="3289C83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2.支持多种防盗报警条件：EAS.AFI.DSFID.EAS+AFI。</w:t>
            </w:r>
          </w:p>
          <w:p w14:paraId="5F669F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3.通道宽度可选90cm或120CM。 </w:t>
            </w:r>
          </w:p>
          <w:p w14:paraId="6FEDC2B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4.输出功率调整：1-8W可调。</w:t>
            </w:r>
          </w:p>
          <w:p w14:paraId="193A049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5.通信接口：以太网口RJ45（TCP/IP）.RS232。</w:t>
            </w:r>
          </w:p>
          <w:p w14:paraId="4AD4BDF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6.内置声光报警提示功能。音量可调。 </w:t>
            </w:r>
          </w:p>
          <w:p w14:paraId="7DFE5F2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7.良好的防冲撞机制，支持多标签识读。</w:t>
            </w:r>
          </w:p>
          <w:p w14:paraId="65DCE43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8.集成三维全向感应技术。</w:t>
            </w:r>
          </w:p>
          <w:p w14:paraId="484D7E4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9.集成红外传感器切割分析，实现人流量统计。</w:t>
            </w:r>
          </w:p>
          <w:p w14:paraId="22E969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10.支持噪声检测（环境电磁干扰检测）。</w:t>
            </w:r>
          </w:p>
          <w:p w14:paraId="74416E3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11.支持五路继电器联动输出。</w:t>
            </w:r>
          </w:p>
          <w:p w14:paraId="51B3E4B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12.支持4.3寸显示屏显示人流量信息及设备状态。</w:t>
            </w:r>
          </w:p>
          <w:p w14:paraId="369C0AC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13.工作温度：-20℃～+60℃。</w:t>
            </w:r>
          </w:p>
          <w:p w14:paraId="073CB9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14.存贮温度：-30℃～+80℃。</w:t>
            </w:r>
          </w:p>
          <w:p w14:paraId="20C75F2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15.存贮湿度：10%~90%(无凝露)。</w:t>
            </w:r>
          </w:p>
          <w:p w14:paraId="58618FA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16.单片功耗：额定20W，最大30W。</w:t>
            </w:r>
          </w:p>
          <w:p w14:paraId="20F3A6F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17.工作电压：AC100～240V/50～60Hz。</w:t>
            </w:r>
          </w:p>
          <w:p w14:paraId="16FE3619">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18.体积：≥1686×635×120mm。</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6475414D">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3 片</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074E57D">
            <w:pPr>
              <w:jc w:val="center"/>
              <w:rPr>
                <w:rFonts w:hint="eastAsia" w:asciiTheme="minorEastAsia" w:hAnsiTheme="minorEastAsia" w:eastAsiaTheme="minorEastAsia" w:cstheme="minorEastAsia"/>
                <w:color w:val="auto"/>
                <w:sz w:val="24"/>
                <w:lang w:val="en-US" w:eastAsia="zh-CN"/>
              </w:rPr>
            </w:pPr>
          </w:p>
        </w:tc>
      </w:tr>
      <w:tr w14:paraId="4D8BCC32">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7232B94">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7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B424CC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升降式移动还书箱</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3BDADF7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一、功能要求：</w:t>
            </w:r>
          </w:p>
          <w:p w14:paraId="620925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1.材质工艺：型材+板材+丝印+纤维。</w:t>
            </w:r>
          </w:p>
          <w:p w14:paraId="77E29B9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2.造型新颖，可以很方便地融合到图书馆的家具设施和图书馆设备环境中。</w:t>
            </w:r>
          </w:p>
          <w:p w14:paraId="3BAC95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3.结构稳定，4个轮子皆为万向轮，方便载重推动和转向。</w:t>
            </w:r>
          </w:p>
          <w:p w14:paraId="2E230F6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4.层板自带承重进深设计，层板表面采用固制木板或高密度板。</w:t>
            </w:r>
          </w:p>
          <w:p w14:paraId="17AB5E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5.还书箱为自动升降式，自带滑轮，便于移动和更换。</w:t>
            </w:r>
          </w:p>
          <w:p w14:paraId="5DADE9D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6.车轮：带刹车耐磨超静音轮。</w:t>
            </w:r>
          </w:p>
          <w:p w14:paraId="0367D8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7.每个车轮承重超过100kg</w:t>
            </w:r>
          </w:p>
          <w:p w14:paraId="45EA1D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8.滑轮可锁死，防止无意推动。</w:t>
            </w:r>
          </w:p>
          <w:p w14:paraId="0E3346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二、技术参数: </w:t>
            </w:r>
          </w:p>
          <w:p w14:paraId="3012F95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1.尺寸：≥长700mm,宽600mm,高800mm。</w:t>
            </w:r>
          </w:p>
          <w:p w14:paraId="6EDCC9C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2.容量：≥150册。 </w:t>
            </w:r>
          </w:p>
          <w:p w14:paraId="1E9C01EC">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3.承重:≥200KG。</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0CC4D3B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 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AF4809A">
            <w:pPr>
              <w:jc w:val="center"/>
              <w:rPr>
                <w:rFonts w:hint="eastAsia" w:asciiTheme="minorEastAsia" w:hAnsiTheme="minorEastAsia" w:eastAsiaTheme="minorEastAsia" w:cstheme="minorEastAsia"/>
                <w:color w:val="auto"/>
                <w:sz w:val="24"/>
                <w:lang w:val="en-US" w:eastAsia="zh-CN"/>
              </w:rPr>
            </w:pPr>
          </w:p>
        </w:tc>
      </w:tr>
      <w:tr w14:paraId="62F76C92">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3014EB0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8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D8D273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图书查阅机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67A3045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一、技术参数 显示性能：</w:t>
            </w:r>
          </w:p>
          <w:p w14:paraId="57301B1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1.液晶屏：43寸LED 液晶屏。</w:t>
            </w:r>
          </w:p>
          <w:p w14:paraId="50089E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2.背光类型：LED。</w:t>
            </w:r>
          </w:p>
          <w:p w14:paraId="738481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3.屏幕比例：16:9。</w:t>
            </w:r>
          </w:p>
          <w:p w14:paraId="587E639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4.分辨率：1920×1080。</w:t>
            </w:r>
          </w:p>
          <w:p w14:paraId="73C4DA4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5.亮度：≥300cd/m2。</w:t>
            </w:r>
          </w:p>
          <w:p w14:paraId="1EAC56B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6.对比度：≥1400:1。</w:t>
            </w:r>
          </w:p>
          <w:p w14:paraId="4D196E1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7.寿命：≥50000小时。</w:t>
            </w:r>
          </w:p>
          <w:p w14:paraId="040F59E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8.可视角度：≥178°(V)/178°(H)。</w:t>
            </w:r>
          </w:p>
          <w:p w14:paraId="60281C1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9.触摸类型：电容触摸。</w:t>
            </w:r>
          </w:p>
          <w:p w14:paraId="34DF326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二、硬件配置：</w:t>
            </w:r>
          </w:p>
          <w:p w14:paraId="4BDB174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1.CPU处理器：≥ARM 六核。</w:t>
            </w:r>
          </w:p>
          <w:p w14:paraId="46D56B4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2.操作系统：Android 7.1及以上。</w:t>
            </w:r>
          </w:p>
          <w:p w14:paraId="67835AD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3.运行内存：≥4GB。</w:t>
            </w:r>
          </w:p>
          <w:p w14:paraId="404B5EF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4.系统存储：≥32GB。</w:t>
            </w:r>
          </w:p>
          <w:p w14:paraId="0C8750B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5.接口配置：RJ45×1。USB×2。电源×1。耳机输出×19。</w:t>
            </w:r>
          </w:p>
          <w:p w14:paraId="778AE0E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6.安装方式：卧式。</w:t>
            </w:r>
          </w:p>
          <w:p w14:paraId="7C7DD225">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7.功率：≤200W。</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767DCC51">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1台 </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C934C85">
            <w:pPr>
              <w:jc w:val="center"/>
              <w:rPr>
                <w:rFonts w:hint="eastAsia" w:asciiTheme="minorEastAsia" w:hAnsiTheme="minorEastAsia" w:eastAsiaTheme="minorEastAsia" w:cstheme="minorEastAsia"/>
                <w:color w:val="auto"/>
                <w:sz w:val="24"/>
                <w:lang w:val="en-US" w:eastAsia="zh-CN"/>
              </w:rPr>
            </w:pPr>
          </w:p>
        </w:tc>
      </w:tr>
      <w:tr w14:paraId="346E461C">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45412EB7">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9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54765B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VR航空航天学习机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765CE08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一、技术参数：</w:t>
            </w:r>
          </w:p>
          <w:p w14:paraId="486EB24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1.图标：软件中包含的16节课程均有与之相对应的16个简易小图标，分门别类。</w:t>
            </w:r>
          </w:p>
          <w:p w14:paraId="7BECBE6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2.纯净系统：体验全程为纯净版内容，无广告植入及弹窗，可根据类别进行内容筛选。</w:t>
            </w:r>
          </w:p>
          <w:p w14:paraId="7946ACC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软件内容：体验者可以使用该内容学习≥【航天奇遇记】、【嫦娥六号登月体验】、【火箭发射】、【航空航天知识】、【太阳系的奥秘】、【了解空间站】、【组装空间站】、【空间站交会对接】等16节课程。</w:t>
            </w:r>
          </w:p>
          <w:p w14:paraId="11F6894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4.需提供科普教育类软著证书。</w:t>
            </w:r>
          </w:p>
          <w:p w14:paraId="0D8DC31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5.需每节课程提供≥1张场景体验截图。</w:t>
            </w:r>
          </w:p>
          <w:p w14:paraId="6ED0061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6.需提供体验录屏视频</w:t>
            </w:r>
          </w:p>
          <w:p w14:paraId="66F29A0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7.软件体验中至少需包含月球、火箭、空间站、太空舱、飞船、星球、飞机、太空、太阳系、展厅、小行星等场景模型。</w:t>
            </w:r>
          </w:p>
          <w:p w14:paraId="007CC91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二、硬件参数：</w:t>
            </w:r>
          </w:p>
          <w:p w14:paraId="5037F2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1.头显：Pico NEO3。</w:t>
            </w:r>
          </w:p>
          <w:p w14:paraId="0A1EEBE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2.CPU：高通 XR2，8 核 64 位，主频 ≤2.84 GHz。</w:t>
            </w:r>
          </w:p>
          <w:p w14:paraId="1C0670F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3.GPU：Adreno 650，主频 587MHz。</w:t>
            </w:r>
          </w:p>
          <w:p w14:paraId="4CFB35B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4.RAM：6 GB LPDDR4x，2133 MHz。</w:t>
            </w:r>
          </w:p>
          <w:p w14:paraId="20E622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5.ROM：256 GB，UFS 3.0。</w:t>
            </w:r>
          </w:p>
          <w:p w14:paraId="3EE1370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6.WIFI：Wi-Fi 6。</w:t>
            </w:r>
          </w:p>
          <w:p w14:paraId="63EA18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7.蓝牙：5.1。</w:t>
            </w:r>
          </w:p>
          <w:p w14:paraId="13274D9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8.屏幕：≥5.46英寸。</w:t>
            </w:r>
          </w:p>
          <w:p w14:paraId="7ABC90F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9.分辨率：≥3664×1920。</w:t>
            </w:r>
          </w:p>
          <w:p w14:paraId="6B8AC3E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10.刷新率：≤90Hz。</w:t>
            </w:r>
          </w:p>
          <w:p w14:paraId="2B3B67D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11.视场角：98°。</w:t>
            </w:r>
          </w:p>
          <w:p w14:paraId="0769461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12.光学模组：菲涅尔透镜。</w:t>
            </w:r>
          </w:p>
          <w:p w14:paraId="794B3F1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13.瞳距调节：支持。</w:t>
            </w:r>
          </w:p>
          <w:p w14:paraId="644A6EC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14.尺寸：≥550×550×1300~1800mm 长宽高。</w:t>
            </w:r>
          </w:p>
          <w:p w14:paraId="5138CC6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15.供电方式：直供电。</w:t>
            </w:r>
          </w:p>
          <w:p w14:paraId="75A9552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16.升降方式：电动升降。</w:t>
            </w:r>
          </w:p>
          <w:p w14:paraId="1E169BD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17.水平观看角度：0~360 °。</w:t>
            </w:r>
          </w:p>
          <w:p w14:paraId="66CB2F8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18.垂直观看角度：-50~+50 °。</w:t>
            </w:r>
          </w:p>
          <w:p w14:paraId="571718F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19.总控开关：支持。</w:t>
            </w:r>
          </w:p>
          <w:p w14:paraId="242AE91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三、软件参数：</w:t>
            </w:r>
          </w:p>
          <w:p w14:paraId="2539F01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1.【航天奇遇记】：</w:t>
            </w:r>
          </w:p>
          <w:p w14:paraId="7F9EAAF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软件要点：太空枪射击陨石，时空领航员，神州五号详细介绍，空间站完整结构。                                                                                                                                            软件描述：在浩渺且充满未知危险的宇宙中，驾驶着先进的宇宙星舰，穿过时空隧道，驶向拥有神秘时空之门的星球。</w:t>
            </w:r>
          </w:p>
          <w:p w14:paraId="14968F3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跨入闪烁着奇异光芒的时空之门，击碎袭来的危险陨石，穿越时空，来到酒泉卫星发射中心。</w:t>
            </w:r>
          </w:p>
          <w:p w14:paraId="571A240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在发射中心，了解神舟五号载人飞船的各个组成部分，坚固的逃逸塔、保护飞船的整流罩、强大的芯二级与芯一级发动机，以及不可或缺的助推器。亲自组装神州5号，展现出其雄伟的姿态。</w:t>
            </w:r>
          </w:p>
          <w:p w14:paraId="52B925D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等待火箭发射的倒计时，火箭升空的震撼与激动传遍整个发射中心。</w:t>
            </w:r>
          </w:p>
          <w:p w14:paraId="4FD6951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时空之门再次出现，跨入时空之门，抵达2008年的空间站。</w:t>
            </w:r>
          </w:p>
          <w:p w14:paraId="527D2EB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跟随提示逐一了解空间站的内部构造，参观人类在太空中的伟大创举。</w:t>
            </w:r>
          </w:p>
          <w:p w14:paraId="3A60D3E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体验太空中失重的感觉，穿戴专业的航空服，随后舱门缓缓打开，体验出仓后的浩瀚太空。</w:t>
            </w:r>
          </w:p>
          <w:p w14:paraId="614225B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2.【登陆月球】：科普中国载人登月工程规划及模拟月球登陆过程。</w:t>
            </w:r>
          </w:p>
          <w:p w14:paraId="19F5CFB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3.【火箭发射】：科普火箭相关知识点及模拟火箭发射过程。</w:t>
            </w:r>
          </w:p>
          <w:p w14:paraId="251FF0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4.【航空航天知识】：介绍中国航空航天的发展历程和计划。</w:t>
            </w:r>
          </w:p>
          <w:p w14:paraId="2F6448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5.【太阳系的奥秘】：介绍宇宙及八大行星相关知识点。</w:t>
            </w:r>
          </w:p>
          <w:p w14:paraId="0FFA66F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6.【了解空间站】：介绍空间站定义及相关知识点。</w:t>
            </w:r>
          </w:p>
          <w:p w14:paraId="26D314A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7.【组装空间站】：介绍空间站部件及对部件进行组装。</w:t>
            </w:r>
          </w:p>
          <w:p w14:paraId="50D15A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8.【空间站交会对接】：控制飞船完成空间站交会对接。</w:t>
            </w:r>
          </w:p>
          <w:p w14:paraId="3D83750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9.【太空行走】：空间站各个区域介绍及出仓体验。</w:t>
            </w:r>
          </w:p>
          <w:p w14:paraId="6AE8CD9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10.【模拟飞行】：控制飞船模拟飞行。</w:t>
            </w:r>
          </w:p>
          <w:p w14:paraId="7B7464D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11.【航天虚拟展厅】：展示航空航天相关的展品和知识。</w:t>
            </w:r>
          </w:p>
          <w:p w14:paraId="3BD67E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12.【嫦娥六号登月体验】：在软件主界面，点击开始体验，选择体验选项（嫦娥六号介绍、嫦娥六号系统组成介绍、嫦娥六号飞行任务、嫦娥六号VR体验、航天知识小测验）。</w:t>
            </w:r>
          </w:p>
          <w:p w14:paraId="581E11A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13.【星球漫游】：控制飞船行驶并采集“物质1号”。</w:t>
            </w:r>
          </w:p>
          <w:p w14:paraId="1C7223D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14.【穿越小行星】：控制飞船穿越密集的小行星带。</w:t>
            </w:r>
          </w:p>
          <w:p w14:paraId="7C922F9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15.【星座认知】：绘制星座样子，了解星座文化知识。</w:t>
            </w:r>
          </w:p>
          <w:p w14:paraId="2925726B">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16.【天文观测】：近距离观察学习天文知识。</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1A9CF6F8">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 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DDA4321">
            <w:pPr>
              <w:jc w:val="center"/>
              <w:rPr>
                <w:rFonts w:hint="eastAsia" w:asciiTheme="minorEastAsia" w:hAnsiTheme="minorEastAsia" w:eastAsiaTheme="minorEastAsia" w:cstheme="minorEastAsia"/>
                <w:color w:val="auto"/>
                <w:sz w:val="24"/>
                <w:lang w:val="en-US" w:eastAsia="zh-CN"/>
              </w:rPr>
            </w:pPr>
          </w:p>
        </w:tc>
      </w:tr>
      <w:tr w14:paraId="2303840F">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56E4432">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10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7B0CA18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VR科普设备</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2CAB66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计算平台</w:t>
            </w:r>
          </w:p>
          <w:p w14:paraId="240C707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1)CPU：高通XR2</w:t>
            </w:r>
          </w:p>
          <w:p w14:paraId="338D6E2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2)内存6GB，闪存：256GB</w:t>
            </w:r>
          </w:p>
          <w:p w14:paraId="66A1F3A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3)支持：Miracast，支持无线串流Steam VR</w:t>
            </w:r>
          </w:p>
          <w:p w14:paraId="21A4070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显示</w:t>
            </w:r>
          </w:p>
          <w:p w14:paraId="5F1C7D1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1)屏幕5.5英寸</w:t>
            </w:r>
          </w:p>
          <w:p w14:paraId="3E45BDF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2)分辨率4K级分辨率，3664：✕1920，PPI：773</w:t>
            </w:r>
          </w:p>
          <w:p w14:paraId="671F2A6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3)刷新率72Hz/90Hz</w:t>
            </w:r>
          </w:p>
          <w:p w14:paraId="06FB1C8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光学</w:t>
            </w:r>
          </w:p>
          <w:p w14:paraId="07D67B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1)视场角98°，菲涅尔镜片</w:t>
            </w:r>
          </w:p>
          <w:p w14:paraId="05A4A13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2)护眼模式通过：TUV：低蓝光认证，一键开启防蓝光模式</w:t>
            </w:r>
          </w:p>
          <w:p w14:paraId="5710B0B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4)兼容佩戴眼镜，瞳距调节默认位置：63.5mm，三档位物理调节</w:t>
            </w:r>
          </w:p>
          <w:p w14:paraId="411D94C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传感器</w:t>
            </w:r>
          </w:p>
          <w:p w14:paraId="706CBC5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1)头盔：9轴传感器，实现头部精准：6DoF</w:t>
            </w:r>
          </w:p>
          <w:p w14:paraId="5F4E25D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2)头盔：P-Sensor：人脸佩戴感应，用于屏幕休眠控制</w:t>
            </w:r>
          </w:p>
          <w:p w14:paraId="5570EBA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交互</w:t>
            </w:r>
          </w:p>
          <w:p w14:paraId="7F3FFD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1)头部空间定位全新自研 Inside-Out 房间级大空间追踪算法</w:t>
            </w:r>
          </w:p>
          <w:p w14:paraId="09E371A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2)手柄6DoF 体感手柄 ✕2</w:t>
            </w:r>
          </w:p>
          <w:p w14:paraId="736E940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设计与人体工程</w:t>
            </w:r>
          </w:p>
          <w:p w14:paraId="3A46B8E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1)重量不含绑带 395g；整机 620g</w:t>
            </w:r>
          </w:p>
          <w:p w14:paraId="6474A5A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2)自适应松紧，软质侧绑</w:t>
            </w:r>
          </w:p>
          <w:p w14:paraId="4CBB091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电源</w:t>
            </w:r>
          </w:p>
          <w:p w14:paraId="6146A8F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1)电池容量5300mAh，连续使用时间 2.5～3 小时</w:t>
            </w:r>
          </w:p>
          <w:p w14:paraId="6FDB06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1.图标：软件中包含的240节课程均有与之相对应的240个简易小图标，分门别类。</w:t>
            </w:r>
          </w:p>
          <w:p w14:paraId="33AF20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2.纯净系统：体验全程为纯净版内容，无广告植入及弹窗，可根据类别进行内容筛选。</w:t>
            </w:r>
          </w:p>
          <w:p w14:paraId="3DF1647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软件内容：体验者可以使用该内容学习不少于【历史】、【语文】、【数学】、【爱党爱国】、【生物】、【地理】、【物理】等37大类类别以及不少于【中国传统文化】、【四大发明】、【强渡大渡河】、【抗日战争纪念】、【抗美援朝】、【秦朝】、【唐朝】、【清朝】、【国旗】、【国徽】、【升旗体验】、【国防教育】、【民族团结】、【认识能量】、【组装简易发电机】、【导体和非导体实验】、【热空气上升实验】、【动物细胞与植物细胞】、【人体系统探秘】、【狮子】、【针叶树】、【自然灾害之火山】、【心理知识学习】、【太阳系的奥秘】、【人民教师】等240节课程。</w:t>
            </w:r>
          </w:p>
          <w:p w14:paraId="770C1E5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4.需提供科普教育类软著证书。</w:t>
            </w:r>
          </w:p>
          <w:p w14:paraId="468F56F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5.需每节课程提供不少于1张场景体验截图。</w:t>
            </w:r>
          </w:p>
          <w:p w14:paraId="7F696D3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6.需提供体验录屏视频</w:t>
            </w:r>
          </w:p>
          <w:p w14:paraId="6D7C67C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软件体验中至少需包含红色展厅、历史人物、红军长征、国旗、天安门、导弹、核弹、人造卫星、联合国大会、载人航天、青藏铁路、福娃、鸟巢、辽宁舰、北斗卫星导航、雪山、草地、渡河、抗日战争纪念馆、国防教育馆、航天教育馆、教室、公交站牌、河边、实验室、实验器材模型、实验器材组装、细胞模型、人体结构、太阳系、火山、地震、星球、能源、磁体等场景模型。</w:t>
            </w:r>
          </w:p>
          <w:p w14:paraId="54147EE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软件参数</w:t>
            </w:r>
          </w:p>
          <w:p w14:paraId="23B957F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1.通过智能语音系统、虚拟仿真引擎、三维模拟等技术，引导体验者体验不少于240节课程，包括：</w:t>
            </w:r>
          </w:p>
          <w:p w14:paraId="6F7DEC0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1）【文化自信】</w:t>
            </w:r>
          </w:p>
          <w:p w14:paraId="11CC0E1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①中国传统文化：通过建筑、文学等五个方面介绍中国传统文化。</w:t>
            </w:r>
          </w:p>
          <w:p w14:paraId="40C4EC4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②现代科技：从人工智能、新能源、新四大发明进行介绍。</w:t>
            </w:r>
          </w:p>
          <w:p w14:paraId="4142BCC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③航空航天：介绍航空航天知识与天文观测科普。</w:t>
            </w:r>
          </w:p>
          <w:p w14:paraId="31A2896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④国防军事：介绍国防教育与军事发展现代武器。</w:t>
            </w:r>
          </w:p>
          <w:p w14:paraId="296D52C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⑤四大发明：介绍四大发明的相关知识。</w:t>
            </w:r>
          </w:p>
          <w:p w14:paraId="44A1BFD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2）【红色历史故事】</w:t>
            </w:r>
          </w:p>
          <w:p w14:paraId="77C7998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①爬雪山：介绍长征事件时背景，从6个方面模拟爬雪山的场景。</w:t>
            </w:r>
          </w:p>
          <w:p w14:paraId="4FC1E33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②过草地：红军过草地行军视角全景体验。</w:t>
            </w:r>
          </w:p>
          <w:p w14:paraId="0E44C2D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③强渡大渡河：模拟大渡河事件以及战争的意义。</w:t>
            </w:r>
          </w:p>
          <w:p w14:paraId="3FC37D5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④抗美援朝展厅：模拟抗美援朝事件以及战争的意义。</w:t>
            </w:r>
          </w:p>
          <w:p w14:paraId="46D9AAF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⑤抗日战争纪念：展示抗日战争相关的展品和知识。</w:t>
            </w:r>
          </w:p>
          <w:p w14:paraId="70B5D51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⑥党员宣誓：模拟党员宣誓过程，可以与虚拟场景进行互动，完成各种宣誓任务和挑战。</w:t>
            </w:r>
          </w:p>
          <w:p w14:paraId="64BF837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3）【四史】</w:t>
            </w:r>
          </w:p>
          <w:p w14:paraId="01DAE2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①党史：学习中国共产党的历史事件。</w:t>
            </w:r>
          </w:p>
          <w:p w14:paraId="573C28D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②新中国史：学习中国共产党推进建设新中国的实践史。</w:t>
            </w:r>
          </w:p>
          <w:p w14:paraId="22BD8F8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③改革开放史：观看改革开放的介绍视频。</w:t>
            </w:r>
          </w:p>
          <w:p w14:paraId="7432F45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④社会主义发展史：学习中国共产党对社会主义发展史的积极意义。</w:t>
            </w:r>
          </w:p>
          <w:p w14:paraId="2F2385E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4）【博物馆】</w:t>
            </w:r>
          </w:p>
          <w:p w14:paraId="20BE77F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①秦朝：还原秦朝场景，介绍秦朝历史。</w:t>
            </w:r>
          </w:p>
          <w:p w14:paraId="13D6967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②汉朝：还原汉朝场景，介绍汉朝历史。</w:t>
            </w:r>
          </w:p>
          <w:p w14:paraId="5A2E9F3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③隋朝：还原隋朝场景，介绍隋朝历史。</w:t>
            </w:r>
          </w:p>
          <w:p w14:paraId="052B75C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④唐朝：还原唐朝场景，介绍唐朝历史。</w:t>
            </w:r>
          </w:p>
          <w:p w14:paraId="3C75C79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⑤宋朝：还原宋朝场景，介绍宋朝历史，以岳飞视角征战沙场。</w:t>
            </w:r>
          </w:p>
          <w:p w14:paraId="704614C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⑥明朝：还原明朝场景，介绍明朝历史，以郑和视角下西洋。</w:t>
            </w:r>
          </w:p>
          <w:p w14:paraId="4D232E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⑦清朝：还原清朝场景，介绍清朝历史。</w:t>
            </w:r>
          </w:p>
          <w:p w14:paraId="68E7FDB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5）【古诗文】</w:t>
            </w:r>
          </w:p>
          <w:p w14:paraId="6397F6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①古诗小游戏：10道古诗词体，在文字堆中组成一句古诗。</w:t>
            </w:r>
          </w:p>
          <w:p w14:paraId="1BC081F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②爱莲说：置身于清幽雅致的江南水乡，穿梭于莲叶田田之间，伸手触碰，就能感受到娇嫩的莲花花瓣，深度理解古代文学魅力。</w:t>
            </w:r>
          </w:p>
          <w:p w14:paraId="6C9C306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③天净沙秋思：置身于边疆，体验诗句中边塞的荒凉与思乡之情。</w:t>
            </w:r>
          </w:p>
          <w:p w14:paraId="3342E49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④桃花源记：切身化作渔夫，走进桃花源，感受古代文学笔下的每一处风景与人文。</w:t>
            </w:r>
          </w:p>
          <w:p w14:paraId="48FD977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⑤成语填空：10道成语填空，选项中选正确的文字。</w:t>
            </w:r>
          </w:p>
          <w:p w14:paraId="676555D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6）【几何图形认知】</w:t>
            </w:r>
          </w:p>
          <w:p w14:paraId="0CC6615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①几何图形认知:沉浸式感受几何图形的魅力，深度了解不同立体图像的横切面、计算公式等知识点。</w:t>
            </w:r>
          </w:p>
          <w:p w14:paraId="3E504FB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7）【知识科普】</w:t>
            </w:r>
          </w:p>
          <w:p w14:paraId="2A0980C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①认识磁力:介绍磁体相关知识并通过观察认识磁场。 </w:t>
            </w:r>
          </w:p>
          <w:p w14:paraId="0DB6F3F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②认识能量:介绍能量相关知识及不同的能量类型。 </w:t>
            </w:r>
          </w:p>
          <w:p w14:paraId="4FDC13C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③可再生能源:介绍4个可再生能源相关知识。 </w:t>
            </w:r>
          </w:p>
          <w:p w14:paraId="7D9A20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④组装电铃:通过组装电铃实验认识生活中电磁体的应用。 </w:t>
            </w:r>
          </w:p>
          <w:p w14:paraId="11DF31D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⑤组装电磁铁:进行电磁铁电路的组装。 </w:t>
            </w:r>
          </w:p>
          <w:p w14:paraId="665420E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⑥组装简易发电机:组装一台简易的发电机模型。 </w:t>
            </w:r>
          </w:p>
          <w:p w14:paraId="757FA22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8）【物理实验】</w:t>
            </w:r>
          </w:p>
          <w:p w14:paraId="2A8B4D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①电磁感应实验:通过实验认识电磁感应现象及生活中的应用。 </w:t>
            </w:r>
          </w:p>
          <w:p w14:paraId="0EAD83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②导体和非导体实验:通过实验认识导体及非导体。 </w:t>
            </w:r>
          </w:p>
          <w:p w14:paraId="6EEA663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③光沿直线传播实验:通过实验感受光的直线传播。 </w:t>
            </w:r>
          </w:p>
          <w:p w14:paraId="26EEE62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④制作指南针实验:通过实验感受磁化后形成指南针。 </w:t>
            </w:r>
          </w:p>
          <w:p w14:paraId="6072A9A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⑤利用太阳辨别方向:通过户外实验利用太阳辨别方向。 </w:t>
            </w:r>
          </w:p>
          <w:p w14:paraId="11D1CEA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⑥热空气上升实验:模拟热空气上升实验及知识解析。 </w:t>
            </w:r>
          </w:p>
          <w:p w14:paraId="3961271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⑦模拟降雨实验:模拟降雨实验及知识解析。 </w:t>
            </w:r>
          </w:p>
          <w:p w14:paraId="04E182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⑧简单电路实验:通过实验了解灯泡电路形成的原理。 </w:t>
            </w:r>
          </w:p>
          <w:p w14:paraId="5C24272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⑨测量物体运动的平均速度:测量物体运动的平均速度实验。 </w:t>
            </w:r>
          </w:p>
          <w:p w14:paraId="329C4D1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⑩探究音调和频率的关系:通过拨动尺子来探究音调和频率的关系。 </w:t>
            </w:r>
          </w:p>
          <w:p w14:paraId="1A83796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⑪探索光的反射频率实验:探索光的反射频率实验。 </w:t>
            </w:r>
          </w:p>
          <w:p w14:paraId="3597E65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⑫探究水沸腾时温度的变化规律:探究水沸腾时温度的变化规律实验。 </w:t>
            </w:r>
          </w:p>
          <w:p w14:paraId="579B91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⑬连接一个闭合的电路:连接一个闭合的电路实验。 </w:t>
            </w:r>
          </w:p>
          <w:p w14:paraId="3313BDE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⑭练习使用电流表:练习使用电流表。 </w:t>
            </w:r>
          </w:p>
          <w:p w14:paraId="00EA97D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⑮伏安法测电阻:利用伏安法测电阻的实验。 </w:t>
            </w:r>
          </w:p>
          <w:p w14:paraId="4B5F9F4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⑯能量守恒：学习何为能量守恒，能量守恒都体现在那些方面。</w:t>
            </w:r>
          </w:p>
          <w:p w14:paraId="09D7416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⑰粉尘爆炸：利用实验器材，学习粉尘爆炸的原理与威力。</w:t>
            </w:r>
          </w:p>
          <w:p w14:paraId="1B47B57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⑱升华凝华：亲眼目睹干冰迅速升华，白色烟雾弥漫四周，感受固态直接向气态转变。</w:t>
            </w:r>
          </w:p>
          <w:p w14:paraId="72C6B53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9）【化学实验】</w:t>
            </w:r>
          </w:p>
          <w:p w14:paraId="086707A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①水的沸腾:水的沸腾实验。 </w:t>
            </w:r>
          </w:p>
          <w:p w14:paraId="4776EB1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②蜡烛火焰各层温度的探究:蜡烛火焰各层温度的探究。 </w:t>
            </w:r>
          </w:p>
          <w:p w14:paraId="23D3414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③高锰酸钾制氧:高锰酸钾制氧实验。 </w:t>
            </w:r>
          </w:p>
          <w:p w14:paraId="5C101FE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④制取二氧化碳:制取二氧化碳实验。 </w:t>
            </w:r>
          </w:p>
          <w:p w14:paraId="1199A2E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⑤氧气与二氧化碳的对比实验:氧气与二氧化碳的对比实验。 </w:t>
            </w:r>
          </w:p>
          <w:p w14:paraId="0D0EA6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⑥过滤水:过滤水的实验。 </w:t>
            </w:r>
          </w:p>
          <w:p w14:paraId="5D7F42F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⑦不同溶液酸碱度测试:不同溶液酸碱度测试的实验。 </w:t>
            </w:r>
          </w:p>
          <w:p w14:paraId="5D83558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⑧酸碱中和实验:酸碱中和实验。</w:t>
            </w:r>
          </w:p>
          <w:p w14:paraId="6D72435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⑨焰色反应： 通过燃烧产生的火焰颜色区分其中不同的化合物，并学习如何辨别氢氧化钠，最后可以观看通过化合物制作出不同颜色的烟花盛宴。</w:t>
            </w:r>
          </w:p>
          <w:p w14:paraId="65E9618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10）【细胞】</w:t>
            </w:r>
          </w:p>
          <w:p w14:paraId="7A03317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①认识细胞：介绍细胞相关知识及原核细胞和真核细胞。</w:t>
            </w:r>
          </w:p>
          <w:p w14:paraId="7128873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②动物细胞与植物细胞：介绍原核细胞和真核细胞及结构展示。</w:t>
            </w:r>
          </w:p>
          <w:p w14:paraId="1DB2D99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③认识草履虫：介绍草履虫及结构展示并讲解这些结构发挥的作用。</w:t>
            </w:r>
          </w:p>
          <w:p w14:paraId="34B9C4B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④腔肠动物：介绍那些生物属于腔肠动物及结构展示并介绍它们各个器官发挥怎么的作用。</w:t>
            </w:r>
          </w:p>
          <w:p w14:paraId="478389D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⑤认识植物细胞：介绍植物细胞及结构展示并讲解这些结构发挥的作用。</w:t>
            </w:r>
          </w:p>
          <w:p w14:paraId="37AFDF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11）【人体】</w:t>
            </w:r>
          </w:p>
          <w:p w14:paraId="491E3B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①人体系统探秘：查看不同的人体系统及相关介绍。</w:t>
            </w:r>
          </w:p>
          <w:p w14:paraId="5EFC772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12）【血液】</w:t>
            </w:r>
          </w:p>
          <w:p w14:paraId="50102E1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①血液成分与形成：科普血液的成分及介绍血液的形成。</w:t>
            </w:r>
          </w:p>
          <w:p w14:paraId="212BB4D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②血型知识科普：血管内部场景下，介绍血型相关知识点。</w:t>
            </w:r>
          </w:p>
          <w:p w14:paraId="10F9C7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③输血知识科普：学习输血相关知识。</w:t>
            </w:r>
          </w:p>
          <w:p w14:paraId="109B69F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④献血体验：科普献血标准及模拟献血过程。</w:t>
            </w:r>
          </w:p>
          <w:p w14:paraId="506C4F5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13）【动物】</w:t>
            </w:r>
          </w:p>
          <w:p w14:paraId="0A474E4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①大象：介绍大象知识并观察大象形态。</w:t>
            </w:r>
          </w:p>
          <w:p w14:paraId="5BEAF9E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②河马：介绍河马知识并观察河马形态。</w:t>
            </w:r>
          </w:p>
          <w:p w14:paraId="59D97EA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③狮子：介绍狮子知识并观察狮子形态。</w:t>
            </w:r>
          </w:p>
          <w:p w14:paraId="6299F48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④山羊：介绍山羊知识并观察山羊形态。</w:t>
            </w:r>
          </w:p>
          <w:p w14:paraId="658EBD0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⑤乌贼：介绍乌贼知识并观察乌贼形态。</w:t>
            </w:r>
          </w:p>
          <w:p w14:paraId="5205F7C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⑥水母：介绍水母知识并观察水母形态。</w:t>
            </w:r>
          </w:p>
          <w:p w14:paraId="29ABA4B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⑦鳄鱼：介绍鳄鱼知识并观察鳄鱼形态。</w:t>
            </w:r>
          </w:p>
          <w:p w14:paraId="5BC529F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⑧霸王龙：介绍霸王龙知识并观察霸王龙形态。</w:t>
            </w:r>
          </w:p>
          <w:p w14:paraId="635BF57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⑨翼龙：介绍翼龙知识并观察翼龙形态。</w:t>
            </w:r>
          </w:p>
          <w:p w14:paraId="3E53116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⑩三角恐龙：介绍三角恐龙知识并观察三角恐龙形态。</w:t>
            </w:r>
          </w:p>
          <w:p w14:paraId="5B94872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⑪腕龙：介绍蜿龙知识并观察蜿龙形态。</w:t>
            </w:r>
          </w:p>
          <w:p w14:paraId="3671FF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⑫窃蛋龙：介绍窃蛋龙知识并观察窃蛋龙形态。</w:t>
            </w:r>
          </w:p>
          <w:p w14:paraId="328B7D5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⑬副栉龙：介绍副栉龙知识并观察副栉龙形态。</w:t>
            </w:r>
          </w:p>
          <w:p w14:paraId="14D437D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⑭剑龙：介绍剑龙知识并观察剑龙形态。</w:t>
            </w:r>
          </w:p>
          <w:p w14:paraId="226CBDF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⑮鲨鱼：介绍鲨鱼知识并观察鲨鱼形态。</w:t>
            </w:r>
          </w:p>
          <w:p w14:paraId="6BE002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⑯鲸鱼：介绍鲸鱼知识并观察鲸鱼形态。</w:t>
            </w:r>
          </w:p>
          <w:p w14:paraId="184D9E9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⑰蜜蜂：介绍蜜蜂知识并观察蜜蜂形态。</w:t>
            </w:r>
          </w:p>
          <w:p w14:paraId="75193C2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⑱蜻蜓：介绍蜻蜓知识并观察蜻蜓形态。</w:t>
            </w:r>
          </w:p>
          <w:p w14:paraId="360F737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⑲苍蝇：介绍苍蝇知识并观察苍蝇形态。</w:t>
            </w:r>
          </w:p>
          <w:p w14:paraId="14A0799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⑳蚊子：介绍蚊子知识并观察蚊子形态。</w:t>
            </w:r>
          </w:p>
          <w:p w14:paraId="2F5DDE8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㉑乌鸦：介绍乌鸦知识并观察乌鸦形态。</w:t>
            </w:r>
          </w:p>
          <w:p w14:paraId="628F809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㉒鹰：介绍鹰知识并观察鹰形态。</w:t>
            </w:r>
          </w:p>
          <w:p w14:paraId="623170B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㉓猫头鹰：介绍猫头鹰知识并观察猫头鹰形态。</w:t>
            </w:r>
          </w:p>
          <w:p w14:paraId="59CF4DF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㉔海鸥：介绍海鸥知识并观察海鸥形态。</w:t>
            </w:r>
          </w:p>
          <w:p w14:paraId="0D9538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㉕麻雀：介绍麻雀知识并观察麻雀形态。</w:t>
            </w:r>
          </w:p>
          <w:p w14:paraId="44FED70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14）【植物】</w:t>
            </w:r>
          </w:p>
          <w:p w14:paraId="69317F7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①荷花：介绍荷花知识并观察荷花形态。</w:t>
            </w:r>
          </w:p>
          <w:p w14:paraId="1327BE7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②针叶树：介绍针叶树知识并观察针叶树形态。</w:t>
            </w:r>
          </w:p>
          <w:p w14:paraId="261FAB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③金鱼藻：介绍金鱼藻知识并观察金鱼藻形态。</w:t>
            </w:r>
          </w:p>
          <w:p w14:paraId="7620F97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④蔷薇：介绍蔷薇知识并观察蔷薇形态。</w:t>
            </w:r>
          </w:p>
          <w:p w14:paraId="782B712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⑤竹子：介绍竹子知识并观察竹子形态。</w:t>
            </w:r>
          </w:p>
          <w:p w14:paraId="2DE0016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⑥向日葵：介绍向日葵知识并观察向日葵形态。</w:t>
            </w:r>
          </w:p>
          <w:p w14:paraId="0423D38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⑦小麦：介绍小麦知识并观察小麦形态。</w:t>
            </w:r>
          </w:p>
          <w:p w14:paraId="0C66C47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⑧樱桃：介绍樱桃知识并观察樱桃形态。</w:t>
            </w:r>
          </w:p>
          <w:p w14:paraId="61D80A3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⑨玉米：介绍玉米知识并观察玉米形态。</w:t>
            </w:r>
          </w:p>
          <w:p w14:paraId="2CFC78B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⑩剑蕨：介绍剑蕨知识并观察剑蕨形态。</w:t>
            </w:r>
          </w:p>
          <w:p w14:paraId="3A30376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⑪荚果蕨：介绍荚果蕨知识并观察荚果蕨形态。</w:t>
            </w:r>
          </w:p>
          <w:p w14:paraId="5B83417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⑫黑藻：介绍黑藻知识并观察黑藻形态。</w:t>
            </w:r>
          </w:p>
          <w:p w14:paraId="4529183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⑬珊瑚藻：介绍珊瑚藻知识并观察珊瑚藻形态。</w:t>
            </w:r>
          </w:p>
          <w:p w14:paraId="2657A98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⑭海藻：介绍海藻知识并观察海藻形态。</w:t>
            </w:r>
          </w:p>
          <w:p w14:paraId="3BD899D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15）【地理】</w:t>
            </w:r>
          </w:p>
          <w:p w14:paraId="7A986FE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①太阳系：认识太阳系的构成及其所占有的空间领域。</w:t>
            </w:r>
          </w:p>
          <w:p w14:paraId="7B643E3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②地震：介绍地震的强度及其他相关知识。</w:t>
            </w:r>
          </w:p>
          <w:p w14:paraId="7DFC8D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③火山：介绍火山的构造及其他相关知识。</w:t>
            </w:r>
          </w:p>
          <w:p w14:paraId="0AB6EF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16）【地震前兆】</w:t>
            </w:r>
          </w:p>
          <w:p w14:paraId="5E7F90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①地下水异常：通过观察水井查看地下水异常表现。</w:t>
            </w:r>
          </w:p>
          <w:p w14:paraId="142DB43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②生物异常：模拟动物在地震来临前行为异常表现。</w:t>
            </w:r>
          </w:p>
          <w:p w14:paraId="6FBBFCC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③天气异常：模拟地震前天气异常表现。</w:t>
            </w:r>
          </w:p>
          <w:p w14:paraId="3B2CA8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④地光异常：模拟地震前兆地光异常表现。</w:t>
            </w:r>
          </w:p>
          <w:p w14:paraId="6ADD174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⑤地声异常：模拟地震前兆地声异常表现。</w:t>
            </w:r>
          </w:p>
          <w:p w14:paraId="23BBBAE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⑥地气异常：模拟地震前兆地声异常表现。</w:t>
            </w:r>
          </w:p>
          <w:p w14:paraId="77549EC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⑦地鼓异常：模拟地震前兆地鼓异常表现。</w:t>
            </w:r>
          </w:p>
          <w:p w14:paraId="3978D2D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⑧电磁异常：模拟地震前兆电磁异常表现。</w:t>
            </w:r>
          </w:p>
          <w:p w14:paraId="3292C2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17）【山体滑坡灾害】</w:t>
            </w:r>
          </w:p>
          <w:p w14:paraId="799D4C9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①山体滑坡认知：了解山体滑坡的概念、组成、诱发因素及灾难案例。</w:t>
            </w:r>
          </w:p>
          <w:p w14:paraId="11B7B3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②山体滑坡前兆：了解八种山体滑坡前兆。</w:t>
            </w:r>
          </w:p>
          <w:p w14:paraId="40E2A33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③山体滑坡体验：模拟体验山体滑坡。</w:t>
            </w:r>
          </w:p>
          <w:p w14:paraId="6D31B9E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18）【国家象征】</w:t>
            </w:r>
          </w:p>
          <w:p w14:paraId="4E8C2D3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①国旗：介绍国旗产生背景，确立历程，设计要素，象征意义，重要人物。</w:t>
            </w:r>
          </w:p>
          <w:p w14:paraId="1560BC0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②国徽：介绍国徽图案含义，由来，规范，使用，相关法律。</w:t>
            </w:r>
          </w:p>
          <w:p w14:paraId="6637741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③国歌：介绍国歌创作背景，歌曲歌词，歌曲鉴赏，社会影响，获奖记录，重要演出，歌曲争议。</w:t>
            </w:r>
          </w:p>
          <w:p w14:paraId="5CA467B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④首都：通过图文结合沙盘表现介绍首都知识点。</w:t>
            </w:r>
          </w:p>
          <w:p w14:paraId="71905AE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⑤升旗体验：体验天安门升旗仪式场景。</w:t>
            </w:r>
          </w:p>
          <w:p w14:paraId="137A511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⑥问答题：10道国家象征知识小测验环节。</w:t>
            </w:r>
          </w:p>
          <w:p w14:paraId="37BF3AF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19）【建国成就展】</w:t>
            </w:r>
          </w:p>
          <w:p w14:paraId="3F452EE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①两弹一星：学习两弹一星概念及知识点。</w:t>
            </w:r>
          </w:p>
          <w:p w14:paraId="4E3C7A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②加入联合国：学习中国重返联合国的重大意义。</w:t>
            </w:r>
          </w:p>
          <w:p w14:paraId="76DD024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③载人航天：载人航天的三步走发展策略。</w:t>
            </w:r>
          </w:p>
          <w:p w14:paraId="018291F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④香港澳门回归：学习香港澳门回归的知识点。</w:t>
            </w:r>
          </w:p>
          <w:p w14:paraId="38A32D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⑤青藏铁路：学习青藏线的工程内容</w:t>
            </w:r>
          </w:p>
          <w:p w14:paraId="20A07DE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⑥加入世贸组织：学习中国加入世贸的知识点及谈判历程。</w:t>
            </w:r>
          </w:p>
          <w:p w14:paraId="0856AEB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⑦奥运会：学习奥运会的介绍、评论及意义。</w:t>
            </w:r>
          </w:p>
          <w:p w14:paraId="46691BF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⑧第二大经济体：学习中国如何成为世界第二大经济体。</w:t>
            </w:r>
          </w:p>
          <w:p w14:paraId="100680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⑨辽宁号：学习辽宁号的基本概况。</w:t>
            </w:r>
          </w:p>
          <w:p w14:paraId="3B984B4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⑩北斗系统：学习北斗卫星导航系统的介绍与用途。</w:t>
            </w:r>
          </w:p>
          <w:p w14:paraId="68DF940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20）【国防安全】</w:t>
            </w:r>
          </w:p>
          <w:p w14:paraId="1C3C4B1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①国防教育：以展馆形式展现国防教育知识科普。</w:t>
            </w:r>
          </w:p>
          <w:p w14:paraId="647B2D5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②国土安全：以图文、视频形式展现国土安全知识科普。</w:t>
            </w:r>
          </w:p>
          <w:p w14:paraId="68A31D4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③反间谍：了解什么是间谍行为、如何防范间谍行为以及发现间谍行为应该如何处理。</w:t>
            </w:r>
          </w:p>
          <w:p w14:paraId="4B4AB23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21）【法律体系】</w:t>
            </w:r>
          </w:p>
          <w:p w14:paraId="55EFC24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①中国法律体系：介绍中国法律体系相关知识点及法律科普。</w:t>
            </w:r>
          </w:p>
          <w:p w14:paraId="0128138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22) 【民族团结】</w:t>
            </w:r>
          </w:p>
          <w:p w14:paraId="7B9165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①民族团结：展示民族团结相关的知识和视频。</w:t>
            </w:r>
          </w:p>
          <w:p w14:paraId="7FE4504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23）【心理健康】</w:t>
            </w:r>
          </w:p>
          <w:p w14:paraId="7827E07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①心理检测：共包含10道检测题，系统会根据选项进行评析打分。</w:t>
            </w:r>
          </w:p>
          <w:p w14:paraId="4892D63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②防社交恐惧：在教室场景里体验克服社交恐惧。</w:t>
            </w:r>
          </w:p>
          <w:p w14:paraId="184C80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③预防游戏沉迷：游戏成瘾，预防沉迷。</w:t>
            </w:r>
          </w:p>
          <w:p w14:paraId="7878E10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④心理知识学习：在一个自然的场景里介绍心理减压方式。</w:t>
            </w:r>
          </w:p>
          <w:p w14:paraId="44E4551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24）【心理脱敏】</w:t>
            </w:r>
          </w:p>
          <w:p w14:paraId="6B92BFC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①社交恐惧症：通过演讲模拟学习缓解调节社交恐惧症。</w:t>
            </w:r>
          </w:p>
          <w:p w14:paraId="5190ED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②幽闭恐惧症：在昏暗的房间内找到手机以用来照明。</w:t>
            </w:r>
          </w:p>
          <w:p w14:paraId="0EEEF7B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③恐高症治疗：通过不同场景体验体验治疗恐高症。</w:t>
            </w:r>
          </w:p>
          <w:p w14:paraId="5C32A11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④焦虑症：通过多个舒缓方式缓解焦虑。</w:t>
            </w:r>
          </w:p>
          <w:p w14:paraId="04C0397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⑤心理自我检测：共包含15道检测题，系统会根据选项进行评析打分。</w:t>
            </w:r>
          </w:p>
          <w:p w14:paraId="601E6F4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25）【心理放松】</w:t>
            </w:r>
          </w:p>
          <w:p w14:paraId="0CAAC8E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①心理压力测试：通过一系列心理压力测试题对体验者进行测试，检查体验者的心理状态。</w:t>
            </w:r>
          </w:p>
          <w:p w14:paraId="6BFA8C7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②休闲体验：在此场景可以自由寻找可点击触发的物体，会有小惊喜出现。</w:t>
            </w:r>
          </w:p>
          <w:p w14:paraId="789253C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③音乐室：花园场景内，感受放松心情。</w:t>
            </w:r>
          </w:p>
          <w:p w14:paraId="7D6CFF9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④想象放松：在此场景内的海浪声音，舒缓节奏，减少焦虑感。</w:t>
            </w:r>
          </w:p>
          <w:p w14:paraId="7445DD7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⑤肌肉放松：通过放松肌肉的方式，达到放松身心的体验。</w:t>
            </w:r>
          </w:p>
          <w:p w14:paraId="603AB7F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26）【航空航天】</w:t>
            </w:r>
          </w:p>
          <w:p w14:paraId="1F103BA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①登陆月球：科普中国载人登月工程规划及模拟月球登陆过程。</w:t>
            </w:r>
          </w:p>
          <w:p w14:paraId="4A76868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②火箭发射：科普火箭相关知识点及模拟火箭发射过程。</w:t>
            </w:r>
          </w:p>
          <w:p w14:paraId="602BBAC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③航空航天知识：介绍中国航空航天的发展历程和计划。</w:t>
            </w:r>
          </w:p>
          <w:p w14:paraId="2CFB567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④太阳系的奥秘：介绍宇宙及八大行星相关知识点。</w:t>
            </w:r>
          </w:p>
          <w:p w14:paraId="5E3497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⑤太空行走：空间站各个区域介绍及出仓体验。</w:t>
            </w:r>
          </w:p>
          <w:p w14:paraId="676C09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⑥模拟飞行：控制飞船模拟飞行。</w:t>
            </w:r>
          </w:p>
          <w:p w14:paraId="0999AA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⑦航天虚拟展厅：展示航空航天相关的展品和知识。</w:t>
            </w:r>
          </w:p>
          <w:p w14:paraId="3491899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27）【职业生涯】</w:t>
            </w:r>
          </w:p>
          <w:p w14:paraId="0270D74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①科学家：以科学家视角模拟体验小麦病毒解药的研制过程。</w:t>
            </w:r>
          </w:p>
          <w:p w14:paraId="771D555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②人民警察：以人民警察的视角模拟体验KTV缉毒的过程。</w:t>
            </w:r>
          </w:p>
          <w:p w14:paraId="082C6F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③医生：以医生的视角模拟体验接诊腿部韧带撕裂病人的过程。</w:t>
            </w:r>
          </w:p>
          <w:p w14:paraId="0A1C31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④人民教师：以教师的视角模拟体验上课的过程。</w:t>
            </w:r>
          </w:p>
          <w:p w14:paraId="54CA01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⑤消防员：以第一视角模拟消防员穿戴工作服及灭火过程。</w:t>
            </w:r>
          </w:p>
          <w:p w14:paraId="4D2C470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⑥流水线操作工：以第一视角模拟机械师穿戴工作服及工厂工作过程。</w:t>
            </w:r>
          </w:p>
          <w:p w14:paraId="4E93B75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⑦农民：以第一视角模拟农民喂猪、收割麦子等过程。</w:t>
            </w:r>
          </w:p>
          <w:p w14:paraId="250DA4A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⑧律师：以第一视角模拟律师开庭审判的过程。</w:t>
            </w:r>
          </w:p>
          <w:p w14:paraId="65148B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28）【生命健康】</w:t>
            </w:r>
          </w:p>
          <w:p w14:paraId="14B56F9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①免疫知识科普：免疫规划知识科普及常用疫苗介绍。</w:t>
            </w:r>
          </w:p>
          <w:p w14:paraId="0F6299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②营养与健康：科普健康的概念及如何科学饮食。</w:t>
            </w:r>
          </w:p>
          <w:p w14:paraId="18156DA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③突发公共卫生事件：科普突发公共卫生相关知识点及事件模拟。</w:t>
            </w:r>
          </w:p>
          <w:p w14:paraId="2281F4B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④常见传染病知识科普：常见传染病科普及接种疫苗的作用。</w:t>
            </w:r>
          </w:p>
          <w:p w14:paraId="12DC6EF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⑤新冠病毒防疫：科普病毒相关知识点及不同场景防控指南。</w:t>
            </w:r>
          </w:p>
          <w:p w14:paraId="02A4A9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⑥学习心肺复苏：模拟相关案例并科普心肺复苏的方法。</w:t>
            </w:r>
          </w:p>
          <w:p w14:paraId="3BA557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⑦学习海姆立克情：模拟呼吸道梗阻案例并科普海姆立克急救的应对方法。</w:t>
            </w:r>
          </w:p>
          <w:p w14:paraId="214473A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⑧学习外伤包扎：模拟外伤案例并科普外伤包扎的方法。</w:t>
            </w:r>
          </w:p>
          <w:p w14:paraId="1DB188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29）【全景视频】</w:t>
            </w:r>
          </w:p>
          <w:p w14:paraId="775738C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①南极洲海岸</w:t>
            </w:r>
          </w:p>
          <w:p w14:paraId="504E043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②博帕斯瀑布</w:t>
            </w:r>
          </w:p>
          <w:p w14:paraId="303A84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③斯里兰卡茶园</w:t>
            </w:r>
          </w:p>
          <w:p w14:paraId="015F906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④日落峡谷</w:t>
            </w:r>
          </w:p>
          <w:p w14:paraId="2E184EE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⑤林中萤火虫</w:t>
            </w:r>
          </w:p>
          <w:p w14:paraId="5A44429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⑥梅尔塞德河</w:t>
            </w:r>
          </w:p>
          <w:p w14:paraId="7FC84DE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⑦水牛</w:t>
            </w:r>
          </w:p>
          <w:p w14:paraId="42EE5DE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⑧沙漠</w:t>
            </w:r>
          </w:p>
          <w:p w14:paraId="0C0A84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⑨洛博克河</w:t>
            </w:r>
          </w:p>
          <w:p w14:paraId="0F9EADB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⑩海底世界</w:t>
            </w:r>
          </w:p>
          <w:p w14:paraId="168127C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⑪海滩</w:t>
            </w:r>
          </w:p>
          <w:p w14:paraId="5868A69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⑫海豹</w:t>
            </w:r>
          </w:p>
          <w:p w14:paraId="54DEB40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⑬海边棕榈树</w:t>
            </w:r>
          </w:p>
          <w:p w14:paraId="60A6BCA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⑭菲律宾巧克力山</w:t>
            </w:r>
          </w:p>
          <w:p w14:paraId="51FDEC7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⑮雨林</w:t>
            </w:r>
          </w:p>
          <w:p w14:paraId="3D7229A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⑯雪中漫步</w:t>
            </w:r>
          </w:p>
          <w:p w14:paraId="4A7B45F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30）【脑机接口】</w:t>
            </w:r>
          </w:p>
          <w:p w14:paraId="6613E33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①脑机接口定义：介绍脑机接口的定义及相关知识点。</w:t>
            </w:r>
          </w:p>
          <w:p w14:paraId="4EEC78B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②运动辅助应用：模拟脑机接口运动辅助功能的应用。</w:t>
            </w:r>
          </w:p>
          <w:p w14:paraId="5CA57F3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③强化反应应用：模拟脑机接口强化反应功能的应用。</w:t>
            </w:r>
          </w:p>
          <w:p w14:paraId="45E7D6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④沟通交流应用：模拟脑机接口沟通反应功能的应用。</w:t>
            </w:r>
          </w:p>
          <w:p w14:paraId="0CC56D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⑤控制小球模拟游戏：控制小球到达指定高度完成游戏。</w:t>
            </w:r>
          </w:p>
          <w:p w14:paraId="245C0DB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⑥控制小车模拟游戏：控制小球到达指定位置完成游戏。</w:t>
            </w:r>
          </w:p>
          <w:p w14:paraId="5002C17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⑦无人机模拟游戏：控制无人机到达指定位置完成游戏。</w:t>
            </w:r>
          </w:p>
          <w:p w14:paraId="665B3FE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31）【新能源】</w:t>
            </w:r>
          </w:p>
          <w:p w14:paraId="2D210BF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①中国新能源发展历程：介绍6种中国相关新能源的科普知识。</w:t>
            </w:r>
          </w:p>
          <w:p w14:paraId="3C5164A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②新能源认知：介绍新能源的定义及相关新能源科普认知。</w:t>
            </w:r>
          </w:p>
          <w:p w14:paraId="1E29567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③风能发电应用：介绍风能知识及模拟风能发电应用体验。</w:t>
            </w:r>
          </w:p>
          <w:p w14:paraId="05441AF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④核能发电应用：核发电认知及模拟和发电应用体验。</w:t>
            </w:r>
          </w:p>
          <w:p w14:paraId="3316737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⑤光伏发电应用：光伏发电认知及模拟光伏发电应用体验。</w:t>
            </w:r>
          </w:p>
          <w:p w14:paraId="38F453D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⑥新能源汽车应用：新能源汽车认知及模拟新能源汽车应用。</w:t>
            </w:r>
          </w:p>
          <w:p w14:paraId="763825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32）【碳中和】</w:t>
            </w:r>
          </w:p>
          <w:p w14:paraId="51EC6AA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①碳中和介绍：科普碳中和相关知识。</w:t>
            </w:r>
          </w:p>
          <w:p w14:paraId="72DC794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②碳是如何产生的：介绍碳的产生途径。</w:t>
            </w:r>
          </w:p>
          <w:p w14:paraId="102C7A6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③碳排放的危害：通过4个方面介绍碳排放的危害。</w:t>
            </w:r>
          </w:p>
          <w:p w14:paraId="44A8F7A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④参与减碳活动：从个人层面与国家层面体验减碳活动。</w:t>
            </w:r>
          </w:p>
          <w:p w14:paraId="7CE4BDF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33）【公共安全】</w:t>
            </w:r>
          </w:p>
          <w:p w14:paraId="49836B7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①校园地震逃生：学习地震逃生的相关知识。</w:t>
            </w:r>
          </w:p>
          <w:p w14:paraId="32E1E8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②校园火灾逃生：学习校园场景中火灾的应对方法及相关知识。</w:t>
            </w:r>
          </w:p>
          <w:p w14:paraId="6045DE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③校园防欺凌：介绍不同的欺凌方式及正确的应对方法。</w:t>
            </w:r>
          </w:p>
          <w:p w14:paraId="4094376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④校车火灾逃生：模拟校车发生火灾如何逃生。</w:t>
            </w:r>
          </w:p>
          <w:p w14:paraId="79BB9E1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⑤校园反恐：学习在校园反恐逃跑中的注意事项。</w:t>
            </w:r>
          </w:p>
          <w:p w14:paraId="0048E2F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⑥宿舍隐患排查：在规定时间内寻找宿舍八个火灾隐患点。</w:t>
            </w:r>
          </w:p>
          <w:p w14:paraId="4B61237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⑦校园坠落防护：模拟校园意外坠落事件及坠落防护知识。</w:t>
            </w:r>
          </w:p>
          <w:p w14:paraId="30CDC51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⑧电梯安全常识：介绍乘坐电梯安全常识。</w:t>
            </w:r>
          </w:p>
          <w:p w14:paraId="5A1DCFE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⑨不文明乘梯行为：介绍乘坐电梯的不文明行为。</w:t>
            </w:r>
          </w:p>
          <w:p w14:paraId="62E33FC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⑩乘坐扶梯注意事项：介绍乘坐扶梯时的注意事项。</w:t>
            </w:r>
          </w:p>
          <w:p w14:paraId="7097A8C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⑪电梯困梯自救：学习电梯被困自救方法。</w:t>
            </w:r>
          </w:p>
          <w:p w14:paraId="3399094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⑫食品安全：从不同层面介绍食品安全知识。</w:t>
            </w:r>
          </w:p>
          <w:p w14:paraId="6945892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⑬交通安全四合一：以四个场景学习交通知识科普。</w:t>
            </w:r>
          </w:p>
          <w:p w14:paraId="53B0C1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⑭防踩踏：校园防踩踏安全知识点及事故预演。</w:t>
            </w:r>
          </w:p>
          <w:p w14:paraId="2382C8E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⑮溺水安全体验：学习正确的救援方式对溺水者实施救援。</w:t>
            </w:r>
          </w:p>
          <w:p w14:paraId="7CDE0B5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⑯禁烟模拟体验：介绍香烟的危害及模拟事件体验。</w:t>
            </w:r>
          </w:p>
          <w:p w14:paraId="4BC82A5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⑰人防应急演练：模拟校园防控演练。</w:t>
            </w:r>
          </w:p>
          <w:p w14:paraId="5052B9A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34）【青少年法治】</w:t>
            </w:r>
          </w:p>
          <w:p w14:paraId="58E72E3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①青少年法治防诈骗：沉着机智，预防诈骗。</w:t>
            </w:r>
          </w:p>
          <w:p w14:paraId="0421C1C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②青少年法治防霸凌：守法明礼，防范霸凌。</w:t>
            </w:r>
          </w:p>
          <w:p w14:paraId="2A9BFC8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③青少年法治反恐防暴：遇事不慌，反恐防暴。</w:t>
            </w:r>
          </w:p>
          <w:p w14:paraId="3718A5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④青少年法治禁毒普法：珍爱生命，拒绝毒品。</w:t>
            </w:r>
          </w:p>
          <w:p w14:paraId="2B1B224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⑤青少年法治知识科普：学法用法，知法守法。</w:t>
            </w:r>
          </w:p>
          <w:p w14:paraId="1BA63F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35）【网络信息安全】</w:t>
            </w:r>
          </w:p>
          <w:p w14:paraId="057949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①网络信息安全：以不同视角体验网络信息安全事件。</w:t>
            </w:r>
          </w:p>
          <w:p w14:paraId="3B94B6F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36）【青少年庭审】</w:t>
            </w:r>
          </w:p>
          <w:p w14:paraId="1FBEB1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①青少年庭审：模拟KTV吸毒案例及故意伤害的法庭庭审场景。</w:t>
            </w:r>
          </w:p>
          <w:p w14:paraId="3FEF8C4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37）【跳台滑雪】</w:t>
            </w:r>
          </w:p>
          <w:p w14:paraId="4CAEB16D">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①跳台滑雪：在跳台上滑动手柄开始滑雪，俯下、抬高身子冲出跳台。</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01A65D55">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18 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A324F0E">
            <w:pPr>
              <w:jc w:val="center"/>
              <w:rPr>
                <w:rFonts w:hint="eastAsia" w:asciiTheme="minorEastAsia" w:hAnsiTheme="minorEastAsia" w:eastAsiaTheme="minorEastAsia" w:cstheme="minorEastAsia"/>
                <w:color w:val="auto"/>
                <w:sz w:val="24"/>
                <w:lang w:val="en-US" w:eastAsia="zh-CN"/>
              </w:rPr>
            </w:pPr>
          </w:p>
        </w:tc>
      </w:tr>
      <w:tr w14:paraId="45D74942">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30C87F37">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11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F82F99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充电柜</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167DBCC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 整体外尺寸:H580*L990*W450MM(2 抽)</w:t>
            </w:r>
          </w:p>
          <w:p w14:paraId="61B07F5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 充电要求:a:外部供电:机柜侧面板有电源开关按钮，外部有一根 220V 电源线供电 b: 内部供电:左右侧边固定 USB 插排，每层左右各 10 个充电端口，每个插槽提供 5V--500 毫安的电量。（每层10个充电位）</w:t>
            </w:r>
          </w:p>
          <w:p w14:paraId="2C70E8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 丝印:3D 眼镜消毒柜/3D 眼镜充电消毒柜</w:t>
            </w:r>
          </w:p>
          <w:p w14:paraId="142CCC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 材质:外框采用宝钢冷轧钢板，耐压，强度大不易变形。</w:t>
            </w:r>
          </w:p>
          <w:p w14:paraId="1970C16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 组合型控制系统，多门组合灵活方便</w:t>
            </w:r>
          </w:p>
          <w:p w14:paraId="1A46AD3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 电源:AC220</w:t>
            </w:r>
          </w:p>
          <w:p w14:paraId="6F4BA63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 内置紫外线和臭氧消毒，连接电源便可通过紫外线和臭氧为 VR 眼镜消毒</w:t>
            </w:r>
          </w:p>
          <w:p w14:paraId="57E3E82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 VR 眼镜充电消毒柜安装有锁，在不使用时可上锁，防止眼镜被随意取走</w:t>
            </w:r>
          </w:p>
          <w:p w14:paraId="03D681B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 可以随时移动，车底部配有 4 个万向轮，两个固定，两个带刹车脚轮。</w:t>
            </w:r>
          </w:p>
          <w:p w14:paraId="23C190B3">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10、包装方式:消毒柜采用塑料薄膜加木架，双重保护</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2D0E7BBD">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 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C9DDF38">
            <w:pPr>
              <w:jc w:val="center"/>
              <w:rPr>
                <w:rFonts w:hint="eastAsia" w:asciiTheme="minorEastAsia" w:hAnsiTheme="minorEastAsia" w:eastAsiaTheme="minorEastAsia" w:cstheme="minorEastAsia"/>
                <w:color w:val="auto"/>
                <w:sz w:val="24"/>
                <w:lang w:val="en-US" w:eastAsia="zh-CN"/>
              </w:rPr>
            </w:pPr>
          </w:p>
        </w:tc>
      </w:tr>
      <w:tr w14:paraId="5E66BA10">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019C45DD">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12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2AACCD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数字图书借阅机系统（中学）</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3CD771D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一、硬件要求</w:t>
            </w:r>
          </w:p>
          <w:p w14:paraId="1686431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整机一体设计，无棱角防磕碰设计，电源及设备接口内置，提供安全锁，关机自动断电设计，正面4mm厚防爆级钢化玻璃保护机器。屏幕尺寸:≥43寸。物理钢化莫氏7级防爆，屏体分辨率:≥1920×1080。红外识别。支持真6点触摸。响应时间：&lt;5ms。CPU:四核 2G。内存：2G。操作系统：Android。支持定时开关机，支持按日、按周设置定时开关机时间，设备自带滚轮，方便移动设备。同时滚轮带锁死功能。</w:t>
            </w:r>
          </w:p>
          <w:p w14:paraId="03E853A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二、系统要求</w:t>
            </w:r>
          </w:p>
          <w:p w14:paraId="28C2492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1.系统采用主流安卓系统。必须具备手机客户端应用，通过手机客户端可以直接扫描借阅机上的图书二维码下载图书到手机等终端中阅读。</w:t>
            </w:r>
          </w:p>
          <w:p w14:paraId="75E21D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2.支持新书、热门图书标记功能，供读者参考。</w:t>
            </w:r>
          </w:p>
          <w:p w14:paraId="5F3B9BA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3.提供直接在线阅读图书全文。也可根据读者喜好选择下载客户端通过二维码扫描阅读。软件需同时支持ios、android系统。</w:t>
            </w:r>
          </w:p>
          <w:p w14:paraId="26237B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4.图书分类支持定制：用户可根据需求自行推荐相关电子书。通过后台上传至借阅机中使用。</w:t>
            </w:r>
          </w:p>
          <w:p w14:paraId="603AC5E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5.根据使用者不同，提供信息动态、图书阅读、期刊杂志、特色专题、科普视频、名师讲坛等多类型的学习应用模块，可按需定制删减。</w:t>
            </w:r>
          </w:p>
          <w:p w14:paraId="1EACE4C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6.借阅机系统软件支持自动升级功能，设备联网后，可自动下载升级包，实现无人值守的自动升级功能。</w:t>
            </w:r>
          </w:p>
          <w:p w14:paraId="28246E5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强大的后台管理系统能与所有自助借阅终端机进行信息传递，实时监控全部自助借阅机的运行情况，实现数据分析和统计，统计图书下载量和阅读量，分析平均每台机器的下载量和阅读量，图表查看数据变化。管理者可以查看学校下载量和阅读量排行榜。</w:t>
            </w:r>
          </w:p>
          <w:p w14:paraId="5F95320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三、资源要求</w:t>
            </w:r>
          </w:p>
          <w:p w14:paraId="4504917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1.★提供≥3000种适合初中的EPUB、PDF等格式正版数字图书，分别针对学生、家长、老师三个身份设定了不同的图书分类方式，能更精准的引导阅读。并且图书每月更新≥150种。（本项须提供功能截图佐证）</w:t>
            </w:r>
          </w:p>
          <w:p w14:paraId="5E21716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2.★提供≥300种期刊模块，支持在线阅读。（本项须提供功能截图佐证）</w:t>
            </w:r>
          </w:p>
          <w:p w14:paraId="0BDBFB3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3.提供≥200集的原版国外引进的Discovery Education科普视频。</w:t>
            </w:r>
          </w:p>
          <w:p w14:paraId="1C8CB8B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4.★提供≥400集名师讲坛视频资源，内容包括历史传记类、中国国学类、公共礼仪类、职场礼仪类等类别的视频资源。（本项须提供功能截图佐证）</w:t>
            </w:r>
          </w:p>
          <w:p w14:paraId="40EDC32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提供≥100门选修课程，包含：民歌鉴赏、口才艺术与社交礼仪、辩论修养、有效沟通技巧、情绪管理、道德之行、法治思维、青春信仰、青少年心理健康、国防军事教育（中国国防）、高中生生涯规划等课程。（本项须提供功能截图佐证）</w:t>
            </w:r>
          </w:p>
          <w:p w14:paraId="314CF4B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6.提供专题阅读模块，可根据用户需要配置专题类图书，比如“国学类”、“艺术类”、“安全类”等。</w:t>
            </w:r>
          </w:p>
          <w:p w14:paraId="36D848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7.移动端内需提供5000集以上的有声读物。</w:t>
            </w:r>
          </w:p>
          <w:p w14:paraId="311BCA8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四、个性化要求</w:t>
            </w:r>
          </w:p>
          <w:p w14:paraId="5635DF8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1.数字图书借阅机系统终端设备支持定制显示单位名称、logo、待机画面、首页背景图，可将购买单位的名称和logo配置到程序中。可设置待机画面，通过后台可进行相关待机画面修改，随时满足用户的使用要求。</w:t>
            </w:r>
          </w:p>
          <w:p w14:paraId="0660ED2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2.提供≥5种不同风格的模版，供用户自行选择，随时更换模版以适应不同场合的需求。</w:t>
            </w:r>
          </w:p>
          <w:p w14:paraId="155E3D5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3.提供校园文化展示功能，可通过文字、图片等多媒体方式，全访问展示校园风采。</w:t>
            </w:r>
          </w:p>
          <w:p w14:paraId="087CABC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4.具备自定义发布信息管理及后台。</w:t>
            </w:r>
          </w:p>
          <w:p w14:paraId="69C6A7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5.首页各APP可通过后台维护自定义更改，满足用户个性化需求，首页各APP排列顺序和位置可调整。</w:t>
            </w:r>
          </w:p>
          <w:p w14:paraId="0E8326C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五、后台及配套移动端服务要求</w:t>
            </w:r>
          </w:p>
          <w:p w14:paraId="017255E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1.通过移动客户端可提供适合智能手机、平板阅读的EPUB、PDF等多种格式图书。所有图书支持在线全文阅读，也支持全文下载并保存在移动设备中，下载的资源可离线观看。</w:t>
            </w:r>
          </w:p>
          <w:p w14:paraId="35071D0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2.强大的后台管理系统能与所有自助借阅终端机进行信息传递，后台可查看每台机器的每个月资源更新状态。  后台可实现数据分析和统计，统计图书下载量和阅读量，分析平均每台机器的下载量和阅读量，图表查看数据变化。管理者可以查看学校下载量和阅读量排行榜。</w:t>
            </w:r>
          </w:p>
          <w:p w14:paraId="7C82D30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3.系统对联网的终端设置支持远程关机、重启、退出客户端等操作，便于用户维护设备。</w:t>
            </w:r>
          </w:p>
          <w:p w14:paraId="4085990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4.具备用户管理后台。</w:t>
            </w:r>
          </w:p>
          <w:p w14:paraId="7531311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5.提供IOS和android主流移动操作系统客户端。</w:t>
            </w:r>
          </w:p>
          <w:p w14:paraId="4B72480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6.配套的手机端应具备横屏阅读，夜间模式转换，文字大小调整等功能，并可通过主流的社交软件进行分享。</w:t>
            </w:r>
          </w:p>
          <w:p w14:paraId="6A55397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7.手机端支持应用添加，可根据用户需求，添加相关模块，满足不同需求。</w:t>
            </w:r>
          </w:p>
          <w:p w14:paraId="3FB83F0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8.数字图书借阅机系统终端设备中所有图书借阅资源都可在手机端下载，阅读。</w:t>
            </w:r>
          </w:p>
          <w:p w14:paraId="27F0079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9.可保留相关阅读记录。</w:t>
            </w:r>
          </w:p>
          <w:p w14:paraId="41CB97F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10.后台支持模块扩展功能，可根据用户需要随时增加阅读终端上的模块。</w:t>
            </w:r>
          </w:p>
          <w:p w14:paraId="6E524DA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11.支持为用户个性化定制功能模块服务。</w:t>
            </w:r>
          </w:p>
          <w:p w14:paraId="580FA00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13.移动端要求包含分类阅读、书单推荐、主题阅读、导读测评、专题阅读等栏目，为用户提供更丰富的阅读应用。</w:t>
            </w:r>
          </w:p>
          <w:p w14:paraId="54F5FC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14.移动端支持多种互动社交功能，如：小组、群聊、笔记、自建专题和课程、分享等功能，支持家校互动、师生互动、生生互动等功能。</w:t>
            </w:r>
          </w:p>
          <w:p w14:paraId="7DC1987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15.移动端支持产品使用培训的记录功能，可将培训过程通过平台记录并保存下来，形成培训课程包。</w:t>
            </w:r>
          </w:p>
          <w:p w14:paraId="1DF2E51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六、其他要求</w:t>
            </w:r>
          </w:p>
          <w:p w14:paraId="0BAE2AB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1.提供学校应用指导服务：根据学校需求提供产品在学校层面上关于阅读相关的应用指导，包含：阅读学习指导、专家指导等服务。</w:t>
            </w:r>
          </w:p>
          <w:p w14:paraId="653AE94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2.提供阅读活动指导服务：根据用户需求提供大型阅读活动指导服务，制订活动方案，包含：阅读专家、活动页面设计等服务，让阅读活动常态化进行。</w:t>
            </w:r>
          </w:p>
          <w:p w14:paraId="4A1DDA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3.提供阅读指导师培训服务：根据用户需求定期提供阅读指导师培训服务。</w:t>
            </w:r>
          </w:p>
          <w:p w14:paraId="4E7868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4.承担与原作品版权有关的全部法律义务与责任。</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7F2D637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3 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795E364">
            <w:pPr>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sz w:val="24"/>
                <w:szCs w:val="24"/>
                <w:lang w:val="en-US" w:eastAsia="zh-CN"/>
              </w:rPr>
              <w:t>主要产品</w:t>
            </w:r>
          </w:p>
        </w:tc>
      </w:tr>
      <w:tr w14:paraId="228D2B9D">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B521A0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13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792DABD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朗读亭</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7E8285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一、硬件参数：</w:t>
            </w:r>
          </w:p>
          <w:p w14:paraId="59FEF61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1.功能主件：触摸点播系统（屏）1个。影像字幕显示屏1个。主控机1个（含安卓主板、音频主板等）。</w:t>
            </w:r>
          </w:p>
          <w:p w14:paraId="583508B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2.双屏异显功能：32寸高清影像显示器加装钢化防爆膜（屏）1 个，分辨率为1920×1080。主控机21.5寸电容式触控显示屏加装钢化防爆膜（屏）1 个(含4核高频CPU处理器，4+32GB内存，安卓5.1.1版系统一套），对比度1000:1，灰阶响应时间5ms，亮度450cd/m。 </w:t>
            </w:r>
          </w:p>
          <w:p w14:paraId="2F3AEE9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3.额定功率：主机功率100W，包含灯光系统。</w:t>
            </w:r>
          </w:p>
          <w:p w14:paraId="25597AF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4.额定电源：AC220V 50HZ。</w:t>
            </w:r>
          </w:p>
          <w:p w14:paraId="1814C8A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5.设备附件：专业录音级电容式麦克风:2个，心形指向人声话筒，采样率为48kHz，灵敏度2.5mv/Pa，比特率16bit，频响50Hz-15kHz，最大声压级120dB。</w:t>
            </w:r>
          </w:p>
          <w:p w14:paraId="3F73B2A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6.高保真耳机2个，佩戴舒适，音质保真。灵敏度98dB/mW，频响范围10-30000Hz，阻抗 32Ω。</w:t>
            </w:r>
          </w:p>
          <w:p w14:paraId="4671A6A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7.DSP音效处理器：1套，混响，频响可调。</w:t>
            </w:r>
          </w:p>
          <w:p w14:paraId="12188E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8.网络：支持无线和有线。</w:t>
            </w:r>
          </w:p>
          <w:p w14:paraId="6C215ED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9.定时器：1个，定时开关机，无需人工操作，省时省电。</w:t>
            </w:r>
          </w:p>
          <w:p w14:paraId="6A623B2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10.朗读亭外观尺寸：长(L)≥1.</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lang w:eastAsia="zh-CN"/>
              </w:rPr>
              <w:t>x宽(W)≥x1.</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lang w:eastAsia="zh-CN"/>
              </w:rPr>
              <w:t>x高(H)≥x2.</w:t>
            </w:r>
            <w:r>
              <w:rPr>
                <w:rFonts w:hint="eastAsia" w:asciiTheme="minorEastAsia" w:hAnsiTheme="minorEastAsia" w:eastAsiaTheme="minorEastAsia" w:cstheme="minorEastAsia"/>
                <w:sz w:val="18"/>
                <w:szCs w:val="18"/>
                <w:lang w:val="en-US" w:eastAsia="zh-CN"/>
              </w:rPr>
              <w:t>72</w:t>
            </w:r>
            <w:r>
              <w:rPr>
                <w:rFonts w:hint="eastAsia" w:asciiTheme="minorEastAsia" w:hAnsiTheme="minorEastAsia" w:eastAsiaTheme="minorEastAsia" w:cstheme="minorEastAsia"/>
                <w:sz w:val="18"/>
                <w:szCs w:val="18"/>
                <w:lang w:eastAsia="zh-CN"/>
              </w:rPr>
              <w:t>[m]。使用500兆帕强度四级钢材制作而成钢框架，采用冷扎板折弯焊接成形，表面做喷粉防锈处理。吊顶采用15mm复合防火板，亭子左右两侧加入中国风实木格删，毛重400KG。机器底部有滚轮方便移动，有座脚方便固定。</w:t>
            </w:r>
          </w:p>
          <w:p w14:paraId="7D50A5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11.三面采用10mm钢化玻璃,钢化玻璃与金属框架之间贴合隔音棉，保护玻璃直接接触金属框架，安全，门玻璃采用整体金属包框设计达到更加隔音。</w:t>
            </w:r>
          </w:p>
          <w:p w14:paraId="1C7614C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12.朗读亭内部顶采用吸音装饰铁块20x20x8块，已对声场进行处理。</w:t>
            </w:r>
          </w:p>
          <w:p w14:paraId="09FB40E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13.朗读亭内部文化展示牌，支持定制学校logo,尺寸968x201mm。</w:t>
            </w:r>
          </w:p>
          <w:p w14:paraId="46AC254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14.照明系统：LED灯嵌入式照明氛围灯1Wx10盏。</w:t>
            </w:r>
          </w:p>
          <w:p w14:paraId="0ACA07C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15.紫外线杀菌系统：全仓配有紫外线杀菌系统，对朗读亭内进行杀菌消毒，提供一个健康朗读空间。</w:t>
            </w:r>
          </w:p>
          <w:p w14:paraId="43F6392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16.单冷新风系统：配备制冷新风系统，低能耗，免排水耐用环保，包含新风系统。</w:t>
            </w:r>
          </w:p>
          <w:p w14:paraId="1084322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17.座椅：铁艺木质高脚椅2张，金属框架，结实稳固，弧形高椅背，坐感舒适。</w:t>
            </w:r>
          </w:p>
          <w:p w14:paraId="3574FC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18.工作环境："温度范围：0℃—40℃。噪音指标：≤40分贝</w:t>
            </w:r>
          </w:p>
          <w:p w14:paraId="4C83494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19.安全监控摄像头360度监视，1080P循环录制功能，32GB存储，支持移动远程实时查看、网络存储等。</w:t>
            </w:r>
          </w:p>
          <w:p w14:paraId="2835B03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20.智能门禁系统，三合一。指纹、密码、支持ID/IC卡刷卡开门进入朗读亭。</w:t>
            </w:r>
          </w:p>
          <w:p w14:paraId="2117F05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二、软件系统：</w:t>
            </w:r>
          </w:p>
          <w:p w14:paraId="5062F49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1.软件系统为开放式B/S架构 ,支持定制开发。</w:t>
            </w:r>
          </w:p>
          <w:p w14:paraId="1898AFF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50+大文库版块：自由朗读，亲子儿童，经典文学，唐诗宋词，诗歌散文，外语名篇，趣味配音，党章学习，赛事活动，朗读技巧，雷锋日记，中学生必读，小学生必读，K12部编版同步教材，热门排行，名家名篇，唱响主旋律，习近平著作等。</w:t>
            </w:r>
          </w:p>
          <w:p w14:paraId="61EF491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 采用云存储，支持录制3分钟高清短视频功能，数据均保存到云端服务器、录制的视频在手机端可以同步显示，收听朗读作品时可以观看朗读者当时的视频。视频支持根据用户需求开启录制视频或者关闭录制视频。</w:t>
            </w:r>
          </w:p>
          <w:p w14:paraId="3B8F412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4.一键录音，录音试听，保存上传功能。</w:t>
            </w:r>
          </w:p>
          <w:p w14:paraId="39AC5E5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5.普通话发音测评，对流畅度，准确性，情感度三个维度进行测评，必须支持全部文章的测评及单个文字测评。</w:t>
            </w:r>
          </w:p>
          <w:p w14:paraId="1FE09CF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6.英语测评，完整度，流畅度，准确度三个维度进行测评，支持音标练习，听说模拟，单词训练，课文跟读，课文朗读，读写模拟。</w:t>
            </w:r>
          </w:p>
          <w:p w14:paraId="15C35FB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7.背诵功能，背诵时自动屏蔽字幕，背诵结束字幕出现，提交后进行测评，含错字、漏字、准确字以及单个文字的读音测评。</w:t>
            </w:r>
          </w:p>
          <w:p w14:paraId="6EE79C6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8.点读功能：支持点读模块，可在管理后台上传原文，译文，可播放示范音频。</w:t>
            </w:r>
          </w:p>
          <w:p w14:paraId="49620E7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9.用户朗读后可把朗读作品发送到用户电子邮箱。</w:t>
            </w:r>
          </w:p>
          <w:p w14:paraId="069BEBB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10.朗读欣赏，可以收听其他朗读者的作品。</w:t>
            </w:r>
          </w:p>
          <w:p w14:paraId="08C8736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11.朗读学习，收听名家名篇，学习，跟读功能。</w:t>
            </w:r>
          </w:p>
          <w:p w14:paraId="1E6301B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12.卡拉OK功能，支持原唱/伴唱音轨切换。</w:t>
            </w:r>
          </w:p>
          <w:p w14:paraId="084B0C0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13.影视配音，英语配音功能。</w:t>
            </w:r>
          </w:p>
          <w:p w14:paraId="1C2D1C3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14.配乐试听功能，多首配乐可供试听及选择。</w:t>
            </w:r>
          </w:p>
          <w:p w14:paraId="4CB3A9F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15.搜索功能，采用模糊搜索技术，同时搜索作者及文章名称。</w:t>
            </w:r>
          </w:p>
          <w:p w14:paraId="29DB9DC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 5种登录方式，微信登录，学生卡登录，人脸识别登录，账号密码登录，学习通登录。</w:t>
            </w:r>
          </w:p>
          <w:p w14:paraId="759545A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17.热门文库，大数据分析推送热门读物及文章。</w:t>
            </w:r>
          </w:p>
          <w:p w14:paraId="2D3D1EA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18.智能管理平台，模块化管理。</w:t>
            </w:r>
          </w:p>
          <w:p w14:paraId="51A283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19.UI界面换肤功能，用户可以根据需要自行设计UI，换肤。</w:t>
            </w:r>
          </w:p>
          <w:p w14:paraId="7964775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20.延时自动退出登录，如微信登录用户离开设备时没有退出，系统自动检测超时退出该用户登录。</w:t>
            </w:r>
          </w:p>
          <w:p w14:paraId="495C723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21.帮助及常见问题解答功能，新用户快速熟悉操作流程。</w:t>
            </w:r>
          </w:p>
          <w:p w14:paraId="7C8755A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22.设备故障申报，用户发现问题可以及时通知管理方。</w:t>
            </w:r>
          </w:p>
          <w:p w14:paraId="6BFF58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三、朗读云平台系统</w:t>
            </w:r>
          </w:p>
          <w:p w14:paraId="67215E1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1.用户权限管理，根据工作需要可以设置系统用户权限，如系统管理员，审核员，操作员等。</w:t>
            </w:r>
          </w:p>
          <w:p w14:paraId="3DB0ED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2.设置及管理用户每天使用设备的时间及使用次数。</w:t>
            </w:r>
          </w:p>
          <w:p w14:paraId="40C93C7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3.用户及粉丝管理，分析统计用户和粉丝数量以及属性。</w:t>
            </w:r>
          </w:p>
          <w:p w14:paraId="2616603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4.数据分析，读者数，粉丝增长量，作品分享排行，文章热门排行，设备录音作品数排行等。</w:t>
            </w:r>
          </w:p>
          <w:p w14:paraId="073F2B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5.更新上传文库，管理员或者使用单位均可上传自己的专属文库资源，管理自己设备的文库。</w:t>
            </w:r>
          </w:p>
          <w:p w14:paraId="3299900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6.朗读资源分类，支持重新定义朗读资源模块，比如增加红色经典阅读等自定义模块。</w:t>
            </w:r>
          </w:p>
          <w:p w14:paraId="35C7769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7.活动赛事管理，使用单位根据自己的需求创建及管理自己的活动赛事。</w:t>
            </w:r>
          </w:p>
          <w:p w14:paraId="730BC7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8.配乐管理，可上传各种不同风格主题的配乐。</w:t>
            </w:r>
          </w:p>
          <w:p w14:paraId="7A13F15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9.录音作品管理，对录音作品分享，下载，删除录音作品，支持单个作品下载，支持朗读作品批量下载，更加方便后台下载管理。。</w:t>
            </w:r>
          </w:p>
          <w:p w14:paraId="3F5B8E9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10.作品审核功能，采取人工对用户上传发布的作品进行审核，审核通过后方可发布成功。</w:t>
            </w:r>
          </w:p>
          <w:p w14:paraId="464D520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11. 作品外链功能，无缝连接至使用单位的微信公众号，可以收听，调用录音作品进行分享。 </w:t>
            </w:r>
          </w:p>
          <w:p w14:paraId="4E7ACC7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12.远程设备管理，对设备进项远程监测，系统升级，文库升级等。</w:t>
            </w:r>
          </w:p>
          <w:p w14:paraId="153B79A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13.屏保宣传文案推送，后台可推送宣传文案到设备的主屏幕，无人朗读时，自动播放视频或者图片或者文字。</w:t>
            </w:r>
          </w:p>
          <w:p w14:paraId="0AFB1DE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14.热门排行推送，支持手动设置热门文章，将指定的文章推送到热门排行分类中。</w:t>
            </w:r>
          </w:p>
          <w:p w14:paraId="3583EC2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15.评分系统：提供朗读评分系统，后台支持开关此功能。</w:t>
            </w:r>
          </w:p>
          <w:p w14:paraId="01CBE8A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四、文库资源</w:t>
            </w:r>
          </w:p>
          <w:p w14:paraId="6CA5860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1.文库资源总量≥75000+篇，支持智能搜索功能，文库定期更新添加，可自定义文库分类，支持设备单独使用该文库。</w:t>
            </w:r>
          </w:p>
          <w:p w14:paraId="4588DF4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2.唐诗宋词元曲27500篇，含李白、杜甫、王勃、王维、孟浩然、王昌龄、王之涣、苏轼等作者作品。</w:t>
            </w:r>
          </w:p>
          <w:p w14:paraId="2376511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 经典文学2200篇，含《红楼梦》、《三国演义》、《西游记》、《家》、《十八春、《林海雪原》、《子夜》等。</w:t>
            </w:r>
          </w:p>
          <w:p w14:paraId="1EFBE68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4.诗歌散文 6800篇，含毛泽东、泰戈尔、徐志摩、余光中。老舍、张爱玲、史铁生、冰心等作者作品。</w:t>
            </w:r>
          </w:p>
          <w:p w14:paraId="7BE71A6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5.节日精选（新年、清明节、劳动节、儿童节、建党节、建军节、父亲节、母亲节、中秋节、教师节）</w:t>
            </w:r>
          </w:p>
          <w:p w14:paraId="7A78D36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6.外语名篇 2800篇，含普希金、海明威、威廉·卡洛斯·威廉姆斯、海涅、高尔基、朗费罗等作者作品。</w:t>
            </w:r>
          </w:p>
          <w:p w14:paraId="729226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7.红色经典 650篇，含《保卫延安》、《红岩》等经典读本。</w:t>
            </w:r>
          </w:p>
          <w:p w14:paraId="51292ED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8.党章学习 350篇，含《两学一做·学习教育手册》、《习近平总书记重要讲话读本》、《中国共产党章程》等。</w:t>
            </w:r>
          </w:p>
          <w:p w14:paraId="5FC7624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9.英语学习（英语四六级词汇、初高中英语词组）</w:t>
            </w:r>
          </w:p>
          <w:p w14:paraId="4AFB887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10.抗击疫情（防疫抗疫英雄人物、抗疫精神防疫抗疫故事、抗击疫情诗歌）</w:t>
            </w:r>
          </w:p>
          <w:p w14:paraId="1AA8148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11.党建中心（中国共产党历史、党史人物故事）</w:t>
            </w:r>
          </w:p>
          <w:p w14:paraId="51EB253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12.普通话点读1000句，含生活、出行、工作、应急、学习等基础普通话学习。</w:t>
            </w:r>
          </w:p>
          <w:p w14:paraId="62EBCD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13.唱响主旋律300首MTV。</w:t>
            </w:r>
          </w:p>
          <w:p w14:paraId="49D5967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14.习近平相关著作≥18本，含习近平系列论述摘编、《平“语”近人——习近平总书记用典》、《习近平谈治国理政》等读本。</w:t>
            </w:r>
          </w:p>
          <w:p w14:paraId="404834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15.普通话测评（单音节、多音节、朗读短文、自由说话、词汇）</w:t>
            </w:r>
          </w:p>
          <w:p w14:paraId="6BD100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16.爱我中华主题诵读库。</w:t>
            </w:r>
          </w:p>
          <w:p w14:paraId="3C04E1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17.名家经典，含鲁迅经典合集、朱自清散文集、顾城诗集、艾青诗集。冰心经典合集等名人读本。</w:t>
            </w:r>
          </w:p>
          <w:p w14:paraId="1912EBD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18.国学经典，含四书五经，论语、中庸、大学、孟子、诗经，弟子规、春秋等经典著作。</w:t>
            </w:r>
          </w:p>
          <w:p w14:paraId="555AB5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19.红色家书100篇，二十四节气300篇，成语故事800篇，寓言故事500篇，绕口令100篇，雷锋日记100篇。</w:t>
            </w:r>
          </w:p>
          <w:p w14:paraId="3F7EA5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20.中国诗词大会1-5季，朗读者第一季，朗读者第二季。</w:t>
            </w:r>
          </w:p>
          <w:p w14:paraId="3B82969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21.地方特色方言，含四川话、广东话、闽南语、东北话、湖南话等。</w:t>
            </w:r>
          </w:p>
          <w:p w14:paraId="62F39A3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22.小语种点读（日语、英语、德语、意大利语、阿拉伯语、法语、汉语）。</w:t>
            </w:r>
          </w:p>
          <w:p w14:paraId="4A923C0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五、移动朗读分享系统</w:t>
            </w:r>
          </w:p>
          <w:p w14:paraId="2E70102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1.微信分享功能</w:t>
            </w:r>
          </w:p>
          <w:p w14:paraId="1A27990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(1)朗读作品接入微朗读公众号。</w:t>
            </w:r>
          </w:p>
          <w:p w14:paraId="22CE11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(2)朗读作品支持接入使用单位微信公众号。</w:t>
            </w:r>
          </w:p>
          <w:p w14:paraId="6993D22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朗读作品会自动推送到微信端，用户可进行试听，用户满意试听可选择分享发布，如不满意可删除录音，如满意可以将用户的录音，编辑成专辑分享传播，支持自定义音频封面，可上传手机中的照片，让文字、声音、背景融为一个整体。</w:t>
            </w:r>
          </w:p>
          <w:p w14:paraId="3BA4BC0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(4)积分兑换：用户朗读完成后可获取一定朗读积分，用户可在微信端积分兑换实体礼品，礼品以快递方式邮寄给用户，以鼓励更多用户参与朗读，提高设备使用率。</w:t>
            </w:r>
          </w:p>
          <w:p w14:paraId="1BA832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(5)朗读小程序，随时随地线上朗读，支持作品编辑与分享，参与主题朗读活动。</w:t>
            </w:r>
          </w:p>
          <w:p w14:paraId="762DBFB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(6)作品播放前支持插播3秒内的宣传图片或者短视频用于公益宣传，管理后台自主上传。</w:t>
            </w:r>
          </w:p>
          <w:p w14:paraId="48982BD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(7)微信端可收听到所有朗读者发布的作品，支持点赞，留言，转发。</w:t>
            </w:r>
          </w:p>
          <w:p w14:paraId="3D1F2C9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(8)微信端单独查看使用单位的朗读者的作品。</w:t>
            </w:r>
          </w:p>
          <w:p w14:paraId="36D2EA5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(9)支持作品模糊搜索功能。</w:t>
            </w:r>
          </w:p>
          <w:p w14:paraId="2E85C28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(10)收听卡拉OK，影视配音，英语配音作品时，同时显示视频。</w:t>
            </w:r>
          </w:p>
          <w:p w14:paraId="08A2336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(11)赛事活动入口，直接进入赛事活动入口，查看收听投票转发支持的作品。</w:t>
            </w:r>
          </w:p>
          <w:p w14:paraId="41073F2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2.配套移动app功能</w:t>
            </w:r>
          </w:p>
          <w:p w14:paraId="5FAF227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(1)可定制单位专属app学习页面，朗读应用。</w:t>
            </w:r>
          </w:p>
          <w:p w14:paraId="108CD09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(2)移动app内资源丰富，可提供电子图书、期刊在线阅读，电子图书可根据单位需求进行配置相应内容。</w:t>
            </w:r>
          </w:p>
          <w:p w14:paraId="55CE186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(3)资源的社交系统</w:t>
            </w:r>
          </w:p>
          <w:p w14:paraId="0E2564D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1)可提供全终端（移动端和pc端）的交流平台，实现兴趣小组功能。</w:t>
            </w:r>
          </w:p>
          <w:p w14:paraId="5C5EF8A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2)用户可以创建自己的小组，可以设定小组名称、加入的权限，权限包括公开加入、邀请加入、审批加入等，用户可以浏览和发现小组。</w:t>
            </w:r>
          </w:p>
          <w:p w14:paraId="31B9058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3)私有小组可以由创建者通过邀请码或使用客户端扫码邀请个人加入小组。</w:t>
            </w:r>
          </w:p>
          <w:p w14:paraId="79EC37B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4)小组内可以发表多个话题，话题可以被回复、点赞，可以被置顶。</w:t>
            </w:r>
          </w:p>
          <w:p w14:paraId="2A3AFDA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5)可实现小组内话题整理，建立文件夹进行分级。</w:t>
            </w:r>
          </w:p>
          <w:p w14:paraId="1E7C1E5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6)实现小组一键群聊，创建小组的群聊。</w:t>
            </w:r>
          </w:p>
          <w:p w14:paraId="15ADD75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7)可实现小组内发表话题时，允许添加图片、录音、收藏的资源等内容。</w:t>
            </w:r>
          </w:p>
          <w:p w14:paraId="3CAAF5A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8)可实现用户写笔记功能，笔记可公开、可私有、可共享给部分好友。</w:t>
            </w:r>
          </w:p>
          <w:p w14:paraId="73598E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9)笔记允许被好友查看、点赞、回复，并且可以作为资源转发推荐到消息、小组话题内。</w:t>
            </w:r>
          </w:p>
          <w:p w14:paraId="3D8368B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10)可实现对笔记的分类，允许用户建立文件夹进行整理。</w:t>
            </w:r>
          </w:p>
          <w:p w14:paraId="07E3382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11)查看好友笔记动态时，允许给关注的人进行分组，并按照分组来查看不同分组内的人员笔记动态。</w:t>
            </w:r>
          </w:p>
          <w:p w14:paraId="5944CBA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(4)其他社交</w:t>
            </w:r>
          </w:p>
          <w:p w14:paraId="585B07F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1)可实现在系统内的即时聊天，实现系统用户的消息、信函、语音聊天等主动交流的发起方式</w:t>
            </w:r>
          </w:p>
          <w:p w14:paraId="7A4E69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2)移动客户端需支持在线发起直播功能，直播可以被转发到聊天或者动态。用户点击即可打开直播，并且可以发文字进行互动。直播结束后可选择是否支持回放，允许回放可以让用户点击观看直播录像。</w:t>
            </w:r>
          </w:p>
          <w:p w14:paraId="4F4A26C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3)可实现基于专题资源进行多种形式互动分享，如：专题评论、转发，且可以转发至：小组、笔记、消息、通知、微信好友、朋友圈等，实现知识流转最大化。</w:t>
            </w:r>
          </w:p>
          <w:p w14:paraId="12DDE4D1">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4)客户端可支持管理员向用户发布公告。并且支持查看用户的已读和未读情况。公告可以支持添加图片、电子资源等。</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467E2C8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2 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8661148">
            <w:pPr>
              <w:jc w:val="center"/>
              <w:rPr>
                <w:rFonts w:hint="eastAsia" w:asciiTheme="minorEastAsia" w:hAnsiTheme="minorEastAsia" w:eastAsiaTheme="minorEastAsia" w:cstheme="minorEastAsia"/>
                <w:color w:val="auto"/>
                <w:sz w:val="24"/>
                <w:lang w:val="en-US" w:eastAsia="zh-CN"/>
              </w:rPr>
            </w:pPr>
          </w:p>
        </w:tc>
      </w:tr>
      <w:tr w14:paraId="21900CD0">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3848F64">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14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9FC9CD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65寸有声信息发布展示系统</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4941525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65寸多点触摸显示屏 4+32G内存  有声贺卡展示 播放 读书 听书 活动赛事展示 党建学习                                             </w:t>
            </w:r>
          </w:p>
          <w:p w14:paraId="39670A9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有声信息展示发布系统  x1套                      </w:t>
            </w:r>
          </w:p>
          <w:p w14:paraId="5350115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有声信息发布管理云平台系统  x1套    </w:t>
            </w:r>
          </w:p>
          <w:p w14:paraId="69215F7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 海量文库资源总量不少于50000篇，支持智能搜索功能，文库定期更新添加。</w:t>
            </w:r>
          </w:p>
          <w:p w14:paraId="304D5D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1.屏幕尺寸≥：65</w:t>
            </w:r>
          </w:p>
          <w:p w14:paraId="27430BA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2.类型：商用液晶屏 A 规</w:t>
            </w:r>
          </w:p>
          <w:p w14:paraId="4B84324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3.分辨率≥: 3840*2160色彩：16.7M</w:t>
            </w:r>
          </w:p>
          <w:p w14:paraId="195EC73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4.亮度:≥350cd/㎡ 对比度:≥1400：1 响应时间:&lt; 5ms 刷新频率:50/60Hz</w:t>
            </w:r>
          </w:p>
          <w:p w14:paraId="268ABFB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5.可视角度:水平178度；垂直178度</w:t>
            </w:r>
          </w:p>
          <w:p w14:paraId="299143D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6.触摸屏类型:多点红外触摸技术</w:t>
            </w:r>
          </w:p>
          <w:p w14:paraId="173600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7.理论点击次数:6000 万次以上</w:t>
            </w:r>
          </w:p>
          <w:p w14:paraId="2B912AA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8.防爆玻璃保护膜</w:t>
            </w:r>
          </w:p>
          <w:p w14:paraId="3267196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9.操作系统:Android11</w:t>
            </w:r>
          </w:p>
          <w:p w14:paraId="298535F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10.CPU: A73×2+A53×2</w:t>
            </w:r>
          </w:p>
          <w:p w14:paraId="1C379A8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11.存储≥4+32G 支持外部SD卡，USB2.0.</w:t>
            </w:r>
          </w:p>
          <w:p w14:paraId="66C03FA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12.音视频支持MP3,WMA,WAV, APE, FLAC, AAC, OGG,M4A,3GPP , 4K、H.265硬解码10bits色深、HDMI2.0，支持1080P多格式视频解码1080P视频编码，支持H.264, VP8 和MVC图像增强处理。</w:t>
            </w:r>
          </w:p>
          <w:p w14:paraId="54F211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13.图片:支持 JPG、BMP、PNG 等各种图片格式浏览并支持旋转/幻灯片播放/图片放大功能</w:t>
            </w:r>
          </w:p>
          <w:p w14:paraId="4991B11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14.存储接口，支持DDR3L, LPDDR2, LPDDR3接口：内嵌13M ISP 及 MIPI-CSI 接口。</w:t>
            </w:r>
          </w:p>
          <w:p w14:paraId="385C4DC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15.输入电源:AC110－240V 50/60Hz整机功耗:≤100W</w:t>
            </w:r>
          </w:p>
          <w:p w14:paraId="3FD1BB0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p>
          <w:p w14:paraId="3DE08AC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二、有声信息展示发布系统</w:t>
            </w:r>
          </w:p>
          <w:p w14:paraId="60BBC72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1、推荐作品或按点赞数Top100的有声贺卡作品上屏显示，可设置自动审核有声贺卡上屏显示。</w:t>
            </w:r>
          </w:p>
          <w:p w14:paraId="0FCFB45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2、有声贺卡自动滚动播放，实时更新，可实时播放该作品、显示点赞数量，显示作品二维码，同时用户可扫码在手机上收听作品。</w:t>
            </w:r>
          </w:p>
          <w:p w14:paraId="270E46D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3、手写心愿祝福留言功能，不少于4种心愿祝福背景，审核通过后心愿祝福会展示在有声信息屏上。</w:t>
            </w:r>
          </w:p>
          <w:p w14:paraId="3EAE997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4、屏幕显示时间、天气、机构名称等信息。</w:t>
            </w:r>
          </w:p>
          <w:p w14:paraId="21AE5E8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5、屏幕显示背景图片可更换。</w:t>
            </w:r>
          </w:p>
          <w:p w14:paraId="1F26157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6、内嵌手机朗读小程序，扫描屏幕的二维码可在手机端朗读，朗读后的作品支持上屏显示。</w:t>
            </w:r>
          </w:p>
          <w:p w14:paraId="6FE0F14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7、朗读风采展示，显示机构名称，查看赛事活动作品、活动赛事说明宣传图片。显示活动赛事介绍、参赛人数等。</w:t>
            </w:r>
          </w:p>
          <w:p w14:paraId="2473C66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8、支持显示活动赛事二维码，用户手机扫码投票及报名参赛。</w:t>
            </w:r>
          </w:p>
          <w:p w14:paraId="1DCBE8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9、显示参赛作品，可试听作品，显示作业收听数量、点赞数量、投票数量。                                                                           </w:t>
            </w:r>
          </w:p>
          <w:p w14:paraId="08A8EF4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10、显示有声图书列表，资源自动滚动显示、滑动显示，显示有声书籍封面、名称。</w:t>
            </w:r>
          </w:p>
          <w:p w14:paraId="6CD5767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11、有声图书播放，页面支持播放、暂停、进度条、上一章节、下一章节、音量加减按钮。</w:t>
            </w:r>
          </w:p>
          <w:p w14:paraId="3D1EFB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12、显示文本类图书列表，图书支持自动滚动显示、滑动显示，显示书籍封面、名称。</w:t>
            </w:r>
          </w:p>
          <w:p w14:paraId="35E7A4F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13、在线阅读，页面支持左右滑动翻页，显示章节按钮，点击按钮显示书籍章节，章节可上下滑动。</w:t>
            </w:r>
          </w:p>
          <w:p w14:paraId="3B7A2A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14、内嵌党建学习期刊，学习强国，学习强军。</w:t>
            </w:r>
          </w:p>
          <w:p w14:paraId="0E18D80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p>
          <w:p w14:paraId="118737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三、有声信息发布管理云平台系统</w:t>
            </w:r>
          </w:p>
          <w:p w14:paraId="0B617F3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1.根据工作需要支持用户名密码，远程登录云平台，管理前端有声信息屏显示及发布相关内容。</w:t>
            </w:r>
          </w:p>
          <w:p w14:paraId="6479DB3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2.支持上传有声墙背景图片，自定义机构名称。</w:t>
            </w:r>
          </w:p>
          <w:p w14:paraId="0143F0E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3.支持自定义编辑模上屏显示的模块顺序，模块名称</w:t>
            </w:r>
          </w:p>
          <w:p w14:paraId="03E71E5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4.编辑发布上屏的有声贺卡，管理发布上屏有声贺卡，取消有声贺卡上屏显示，有声贺卡上屏审核功能。</w:t>
            </w:r>
          </w:p>
          <w:p w14:paraId="0132B05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5.支持手写心愿留言功能的自动与人工审核功能，设置自动审核后，用户上传的心愿留言祝福都将自动上屏显示，设置人工审核需要管理员审核该留言内容通过后，才能上屏显示。</w:t>
            </w:r>
          </w:p>
          <w:p w14:paraId="4F60B2B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6.管理手写心愿留言祝福，支持删除，背景更换，显示顺序。</w:t>
            </w:r>
          </w:p>
          <w:p w14:paraId="4C808DD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7.管理活动赛事上屏，新增活动赛事，下架活动赛事，</w:t>
            </w:r>
          </w:p>
          <w:p w14:paraId="40DEDD0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8.管理有声图书，定义有声书籍顺序，新增和删除有声书籍，支持机构上传自己的私有有声图书资源。</w:t>
            </w:r>
          </w:p>
          <w:p w14:paraId="350F69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9.管理电子文本图书，自定义电子书籍顺序，新增和删除电子书籍，支持机构上传自己的私有电子图书资源。</w:t>
            </w:r>
          </w:p>
          <w:p w14:paraId="0310D83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10.支持新增上屏web模块，自定义web模块顺序，管理删除web模块。</w:t>
            </w:r>
          </w:p>
          <w:p w14:paraId="39A59E9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11.支持软件自动在线升级，无需人工操作。</w:t>
            </w:r>
          </w:p>
          <w:p w14:paraId="0ECF641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四、内容资源</w:t>
            </w:r>
          </w:p>
          <w:p w14:paraId="5E1C710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1.海量文库资源总量不少于50000篇，支持智能搜索功能，文库定期更新添加。</w:t>
            </w:r>
          </w:p>
          <w:p w14:paraId="5D14372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2.可自定义文库分类，支持设备单独使用该文库。</w:t>
            </w:r>
          </w:p>
          <w:p w14:paraId="2327A9C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3.唐诗宋词元曲27500篇，含李白、杜甫、王勃、王维、孟浩然、王昌龄、王之涣、岑参、苏轼、辛弃疾、柳永、李清照、晏殊、周邦彦、关汉卿、白朴、。郑光祖、马致远、张养浩等作者作品。</w:t>
            </w:r>
          </w:p>
          <w:p w14:paraId="231DD7D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4.经典文学2200篇，含《红楼梦》、《三国演义》、《西游记》、《家》、《十八春、《林海雪原》、《子夜》等。</w:t>
            </w:r>
          </w:p>
          <w:p w14:paraId="77CD6F8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  诗歌散文 6800篇，含毛泽东、泰戈尔、徐志摩、余光中。老舍、张爱玲、丰子恺、史铁生、冰心、海子、林徽因、戴望舒、仓央嘉措、李叔同、胡适、林清玄、等作者作品。</w:t>
            </w:r>
          </w:p>
          <w:p w14:paraId="584CD02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  亲子儿童 680篇，含经典儿歌、经典童谣、安徒生童话、格林童话等。</w:t>
            </w:r>
          </w:p>
          <w:p w14:paraId="605AEB5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  外语名篇 2800篇，含普希金、海明威、威廉·卡洛斯·威廉姆斯、海涅、海伦凯勒、托马斯·纳什、高尔基、朗费罗等作者作品。</w:t>
            </w:r>
          </w:p>
          <w:p w14:paraId="28B68CF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  红色经典 700篇，含《保卫延安》、《红岩》等经典读本。</w:t>
            </w:r>
          </w:p>
          <w:p w14:paraId="2387705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  党建学习 580篇，含《两学一做·学习教育手册》、《习近平总书记重要讲话读本》、《中国共产党章程》等。</w:t>
            </w:r>
          </w:p>
          <w:p w14:paraId="246204F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 雷锋日记 100篇。</w:t>
            </w:r>
          </w:p>
          <w:p w14:paraId="587867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 中学生必读100篇。含《追风筝的人》、《麦田里的守望者》等读本。</w:t>
            </w:r>
          </w:p>
          <w:p w14:paraId="1E8C3CD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 小学生必读100篇，含中国成语故事、国外经典童趣故事等读本。</w:t>
            </w:r>
          </w:p>
          <w:p w14:paraId="4E01286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 示范诵读，名家名篇 100篇，（教育部颁布的必读100篇）。</w:t>
            </w:r>
          </w:p>
          <w:p w14:paraId="759FD19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 普通话1000句，含生活、出行、工作、应急、学习等基础普通话学习。</w:t>
            </w:r>
          </w:p>
          <w:p w14:paraId="2E31B20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 习近平相关著作不少于18本，含习近平系列论述摘编、《平“语”近人——习近平总书记用典》、《习近平谈治国理政》等读本。</w:t>
            </w:r>
          </w:p>
          <w:p w14:paraId="102793C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 K12语文同步教材，含1-9年级部编版语文教材，人教版高中必修1-必修5语文教材，人教版高中选修2本。</w:t>
            </w:r>
          </w:p>
          <w:p w14:paraId="0C13EF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 建国70周年主题诵读库。</w:t>
            </w:r>
          </w:p>
          <w:p w14:paraId="1CB7018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18.名家经典，含鲁迅经典合集、朱自清散文集、顾城诗集、艾青诗集等名人读本。</w:t>
            </w:r>
          </w:p>
          <w:p w14:paraId="381047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19.国学经典，含论语、中庸、大学、孟子等经典著作。</w:t>
            </w:r>
          </w:p>
          <w:p w14:paraId="1A33DC2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20.每日有声资讯、党史故事实时轮播，要闻自动播放、将党性教育融入日常（音频+图文）。</w:t>
            </w:r>
          </w:p>
          <w:p w14:paraId="23DFBC0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21.中央文件发布和权威解读，第一时间获取党中央重大决策部署，及时阅览重要政策文件及官方解读；包含新华社早新闻和权威发布，每日更新国内外时政要闻、社会事件播报和党中央重要指示、重要讲话；半月谈评论和基层治理智库，专家评论员针对社会热点事件进行深度评论；当下中央会议、时政大事专栏，包括两会、中央委员会等；习近平总书记一周最新讲话、活动动态视频。</w:t>
            </w:r>
          </w:p>
          <w:p w14:paraId="5A6DF4D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22.学习·党史  党史上的今天回顾 党的历史上的今天发生的重大事件；讲述党的历史上重要事件、关键人物事迹；扫码开始党史问答，定期推送；“红色百宝  奋斗百年”专题视频，百件党史文物背后的故事；国家照片档案馆专题纪录片，记录中国近代历史和重大事件。</w:t>
            </w:r>
          </w:p>
          <w:p w14:paraId="611726BE">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23.《理论达人讲解脱贫攻坚》《理论达人讲解十九大》《理论达人讲解新时代》系列视频；宪法、宪法宣誓、法律法规等法治内容，响应“法治国家、法治政府、法治社会”号召，宪法宣誓誓词上墙，集纳《宪法》《民法典》等重要法律法规；总书记用典和全民阅读，习近平总书记讲话引用的经典名句典故 、经典图书扫码阅读；三农简讯和振兴案例，为广大“三农”工作者精准推荐行业内新闻资讯，汇集各地乡村振兴优秀案例。</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22339AB7">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2 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70574DA">
            <w:pPr>
              <w:jc w:val="center"/>
              <w:rPr>
                <w:rFonts w:hint="eastAsia" w:asciiTheme="minorEastAsia" w:hAnsiTheme="minorEastAsia" w:eastAsiaTheme="minorEastAsia" w:cstheme="minorEastAsia"/>
                <w:color w:val="auto"/>
                <w:sz w:val="24"/>
                <w:lang w:val="en-US" w:eastAsia="zh-CN"/>
              </w:rPr>
            </w:pPr>
          </w:p>
        </w:tc>
      </w:tr>
      <w:tr w14:paraId="11249F62">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8D8832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15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1EC7262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电子墨水屏阅读器系统</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5A49CFC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一、显示触控屏参数：</w:t>
            </w:r>
          </w:p>
          <w:p w14:paraId="14B74E2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1.屏幕：≥10.3" E ink。</w:t>
            </w:r>
          </w:p>
          <w:p w14:paraId="16378A7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2.屏体分辨率：≥1440×1872 (227ppi)。</w:t>
            </w:r>
          </w:p>
          <w:p w14:paraId="27DCCEE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3.材质：电子墨水屏，纯平盖板。</w:t>
            </w:r>
          </w:p>
          <w:p w14:paraId="24F3D5C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4.屏幕强度：4H。</w:t>
            </w:r>
          </w:p>
          <w:p w14:paraId="2EEA526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5.屏幕颜色：黑，白，16度灰显示屏。</w:t>
            </w:r>
          </w:p>
          <w:p w14:paraId="24E7116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6.多点触摸：支持2点触控。</w:t>
            </w:r>
          </w:p>
          <w:p w14:paraId="54C225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7.背光：冷暖双色温背光。</w:t>
            </w:r>
          </w:p>
          <w:p w14:paraId="3891E68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8.触摸方式：电容触控。</w:t>
            </w:r>
          </w:p>
          <w:p w14:paraId="46BC439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二、硬件配置参数：</w:t>
            </w:r>
          </w:p>
          <w:p w14:paraId="4421BBB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1.CPU: 八核 主频2.3GHz。</w:t>
            </w:r>
          </w:p>
          <w:p w14:paraId="5383A23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2.运行内存：4G。</w:t>
            </w:r>
          </w:p>
          <w:p w14:paraId="1D14F26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3.内置存储：32G。</w:t>
            </w:r>
          </w:p>
          <w:p w14:paraId="07EA978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4.操作系统：Android 11。</w:t>
            </w:r>
          </w:p>
          <w:p w14:paraId="2137C2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5.电池类型：4000mAh Polymer Li-on。</w:t>
            </w:r>
          </w:p>
          <w:p w14:paraId="0951FDE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6.网络：WiFi (802.11b/g/n/ac/ax) 。</w:t>
            </w:r>
          </w:p>
          <w:p w14:paraId="0F5B0F3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7.数据传输：USB Type-C。</w:t>
            </w:r>
          </w:p>
          <w:p w14:paraId="69E5E26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三、音频配置参数：</w:t>
            </w:r>
          </w:p>
          <w:p w14:paraId="592C429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1.麦克风：显示面板前置4阵列矩阵麦克风，支持语音输入。</w:t>
            </w:r>
          </w:p>
          <w:p w14:paraId="038344C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2.扬声器：1.5W。</w:t>
            </w:r>
          </w:p>
          <w:p w14:paraId="29FC5EA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3.耳机接口：支持USB Type-C转3.5m音频口。</w:t>
            </w:r>
          </w:p>
          <w:p w14:paraId="3886089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四、其它：</w:t>
            </w:r>
          </w:p>
          <w:p w14:paraId="25E710A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尺寸：≥191.1×232.5×8.23mm 机身最薄处：5.01mm。</w:t>
            </w:r>
          </w:p>
          <w:p w14:paraId="336810D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五、电子阅读器所含资源与功能：  </w:t>
            </w:r>
          </w:p>
          <w:p w14:paraId="394AA5E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1.提供≥20000本适合中小学教师与学生使用的高清电子图书，图书资源针对学生、老师身份登录展示不同的资源。 </w:t>
            </w:r>
          </w:p>
          <w:p w14:paraId="1E1E531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2. 提供面向学生统编教材推荐书单、中小学阅读指导目录、学校共读书单、心智地图书单等书目推荐，推荐图书按照分类、年级等方式进行筛选，能够按照默认、最新、热门进行排序。提供学生电子书屋，支持按照学科分类、年级进行筛选。 </w:t>
            </w:r>
          </w:p>
          <w:p w14:paraId="3BB2A42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3.提供面向教师的教学阅读图书与通识阅读图书，教学阅读图书支持按照阅读指导、视野拓展、教育研究、教学实践、综合素养、学科专业进行分类。 </w:t>
            </w:r>
          </w:p>
          <w:p w14:paraId="78425D4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4.通过在线书城下载，直接阅读原版文本全文。</w:t>
            </w:r>
          </w:p>
          <w:p w14:paraId="3236197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5.提供≥1000套适合中小学学生的图书测评题库，根据图书内容进行测评，可在线答题，在线获得测评结果。 </w:t>
            </w:r>
          </w:p>
          <w:p w14:paraId="07CB2C3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6.提供8000集音频，支持按照分类、年级进行筛选，支持按照图书进行在线点播，播放界面支持进度调整、音量控制。 </w:t>
            </w:r>
          </w:p>
          <w:p w14:paraId="1A1DD1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7.支持教师用户、学生用户账号切换，学生用户支持图书下载、图书阅读、图书测评等功能。教师用户支持学习通账号关联、图书推送、图书下载、图书阅读、数据统计等功能。 </w:t>
            </w:r>
          </w:p>
          <w:p w14:paraId="206AB68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8.支持PDF, EPUB , TXT, MOBI等格式本地图书导入阅读。支持PNG, JPG,TIFF ,BMP等格式图片导入显示 </w:t>
            </w:r>
          </w:p>
          <w:p w14:paraId="70D1A5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9.支持图书字体切换、文字划线、批注笔记、字典、搜索、书签等阅读功能 </w:t>
            </w:r>
          </w:p>
          <w:p w14:paraId="4B059C3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10.可对接校园阅读系统，实现账号、资源、数据打通，支持学生接收、完成阅读计划任务，按照教师要求阅读指定内容、参与阅读打卡、完成阅读测评、提交读后感，学生数据提交后可汇总到教师进行管理显示。</w:t>
            </w:r>
          </w:p>
          <w:p w14:paraId="1ED9590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11.可对接校园阅读系统，实现账号、资源、数据打通，支持教师发布签到、投票、选人、讨论等课堂互动任务及课堂资料，学生接收互动任务及课堂资料，教师回收任务反馈的智慧课堂管理流程。</w:t>
            </w:r>
          </w:p>
          <w:p w14:paraId="78F907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12.支持在线阅读期刊，提供1000种中小学学生阅读、家长引导、教师教学相关中文期刊。支持按照小学、初中、高中进行分类显示。支持在线切换刊期阅读阅览，整本下载阅读，支持自适应排版，支持左右翻页、字体更换、间距调整阅读。 </w:t>
            </w:r>
          </w:p>
          <w:p w14:paraId="538CA74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13.在线书城支持图书馆自主建立图书书单推荐，重点书单在首页推荐，并可浏览所有推荐书单，推荐详情中展示专题图书的介绍，并可查看详情下载图书。 </w:t>
            </w:r>
          </w:p>
          <w:p w14:paraId="318B6B1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14.支持后台对图书进行分类定制，支持上传自有图书，支持创建分类并将上传的图书放入不同分类管理，并将图书发布到在线书城，供读者下载阅读。</w:t>
            </w:r>
          </w:p>
          <w:p w14:paraId="5BE2AEA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15.支持后台批量推送图书，将选定的图书或文件夹实时推送到阅读器上供读者阅读。</w:t>
            </w:r>
          </w:p>
          <w:p w14:paraId="2122709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16.可使用手机端扫描阅读器上二维码登录个人账号，历史阅读记录加入书架，读者可对图书进行整理，建立分类文件夹、移动删除图书，书架图书与阅读进度保存在云端，更换阅读器再次扫码即可自动同步。 </w:t>
            </w:r>
          </w:p>
          <w:p w14:paraId="51E0A803">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17.手机客户端提供个人阅读报告，统计累计阅读时长、已读图书、最近阅读时长与图书，并可对阅读分类、阅读时长、阅读时段进行分析统计。</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7CF0E4FF">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50台 </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C9B5E2A">
            <w:pPr>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sz w:val="24"/>
                <w:szCs w:val="24"/>
                <w:lang w:val="en-US" w:eastAsia="zh-CN"/>
              </w:rPr>
              <w:t>主要产品</w:t>
            </w:r>
          </w:p>
        </w:tc>
      </w:tr>
      <w:tr w14:paraId="5E970235">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1A40CEA8">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16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1170A2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电子墨水屏阅读系统支架</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0AA658B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材质：合金</w:t>
            </w:r>
          </w:p>
          <w:p w14:paraId="1A33546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颜色：灰黑</w:t>
            </w:r>
          </w:p>
          <w:p w14:paraId="53AAA86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适用6寸至10.3寸墨水屏阅读器</w:t>
            </w:r>
          </w:p>
          <w:p w14:paraId="38934B2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标准尺寸:125mm*125mm*155mm</w:t>
            </w:r>
          </w:p>
          <w:p w14:paraId="4A31D75A">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双轴调节，可调节前后位置与俯仰角度</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7273286A">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50套 </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6F978C1">
            <w:pPr>
              <w:jc w:val="center"/>
              <w:rPr>
                <w:rFonts w:hint="eastAsia" w:asciiTheme="minorEastAsia" w:hAnsiTheme="minorEastAsia" w:eastAsiaTheme="minorEastAsia" w:cstheme="minorEastAsia"/>
                <w:color w:val="auto"/>
                <w:sz w:val="24"/>
                <w:lang w:val="en-US" w:eastAsia="zh-CN"/>
              </w:rPr>
            </w:pPr>
          </w:p>
        </w:tc>
      </w:tr>
      <w:tr w14:paraId="14451BDB">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84C3FF1">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17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A50BD6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电子墨水屏阅读器系统充电</w:t>
            </w:r>
            <w:r>
              <w:rPr>
                <w:rFonts w:hint="eastAsia" w:asciiTheme="minorEastAsia" w:hAnsiTheme="minorEastAsia" w:eastAsiaTheme="minorEastAsia" w:cstheme="minorEastAsia"/>
                <w:i w:val="0"/>
                <w:iCs w:val="0"/>
                <w:snapToGrid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车</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35DB6A3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1.整机支持60台设备同时充电；整机尺寸：长880*宽550*高1070（mm）；柜体工位可放置最大设备尺寸≤340*240*27（mm）；</w:t>
            </w:r>
          </w:p>
          <w:p w14:paraId="24578D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2.主体材质1.0-3.0（mm）SPCC冷轧碳素钢与环保ABS工程塑料相结合;采用全封闭防盗结构、工艺上耐酸碱腐蚀、耐磨、防静电等。</w:t>
            </w:r>
          </w:p>
          <w:p w14:paraId="4F9492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3.外型三方整体大圆弧过度，圆弧D80MM，外观颜色采用黑白相间的经典配置，美观大气，安全稳固。</w:t>
            </w:r>
          </w:p>
          <w:p w14:paraId="76C2B40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采用分舱设计，前部为老师、学生使用区域，后部为设备调试维护区域。前后使用不同防盗锁（其中前门为双重防盗天地锁），注重前仓设备的安全保护。内部分舱，强弱电分离，学生无法接触强电部分。（前舱为设备放置充电区域，学生接触区域，无强电；后舱为电源管理控制区域，由专业管理人员控制）。</w:t>
            </w:r>
          </w:p>
          <w:p w14:paraId="5ECC9DE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5.高品质超静音脚轮（四轮万向，两轮带刹车）和内嵌式左右人体工学把手。</w:t>
            </w:r>
          </w:p>
          <w:p w14:paraId="444FA4E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6.柜体侧面带有隐藏式置物槽，可存放电源线，无线AP等。</w:t>
            </w:r>
          </w:p>
          <w:p w14:paraId="3A4FF6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7.独创专利智能互循环散热结构，辅以温控感应控制风扇强制散热。</w:t>
            </w:r>
          </w:p>
          <w:p w14:paraId="69F0BD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8.环保 ABS 工程塑料单机隔断，保证隔断塑料面板厚度不低于7MM，以保证隔板强度，同时在设计上采用新颖的ABS隔板四面包围方式，以保障设备用电安全，其中内置隔板上带有卡线槽且不划伤屏幕，柜内USB线走线顺畅，美观。同时又预留凹槽方便拿取电脑。</w:t>
            </w:r>
          </w:p>
          <w:p w14:paraId="70CF5AD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供电安全方面采用独有的USB接口后置供电模式，5V/0.5-2A之间智能输出，电源管理芯片式集成电路设计，自动检测平板允许输入电流，优先供应低电位设备。根据电池电量自动以普通，快速，涓流三种模式供电，满电自动断电。USB接口出现故障和短路情况（比如USB线短路，平板的短路等情况）电源管理芯片具备智能化自适应、自检测、自恢复功能，保障设备的及时供电和用电安全。</w:t>
            </w:r>
          </w:p>
          <w:p w14:paraId="47FF3DC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10.外置LED数字指示灯对应柜内相应位置的设备，集中显示，实时反映每台平板充电状态，无需开门即可轻松观测设备状态。</w:t>
            </w:r>
          </w:p>
          <w:p w14:paraId="61B81C09">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11.配有一体化电源管理系统，集防漏电，防短路，防过载，多模式显示数码智能开关机功能为一体。可随心设置时间，节约能源，具有优先供电功能。使用（自动）时，系统默认为全天充电。</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05CB9E0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1台 </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6BA02F9">
            <w:pPr>
              <w:jc w:val="center"/>
              <w:rPr>
                <w:rFonts w:hint="eastAsia" w:asciiTheme="minorEastAsia" w:hAnsiTheme="minorEastAsia" w:eastAsiaTheme="minorEastAsia" w:cstheme="minorEastAsia"/>
                <w:color w:val="auto"/>
                <w:sz w:val="24"/>
                <w:lang w:val="en-US" w:eastAsia="zh-CN"/>
              </w:rPr>
            </w:pPr>
          </w:p>
        </w:tc>
      </w:tr>
      <w:tr w14:paraId="1D2632BD">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DD435DD">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18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B912E8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无线路由器</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01071E49">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商品名称:无线路由器 FEM:外置FEM 天线:外置天线 WAN口类型:电口，其他 无线速率:5400M WAN接入口:千兆网口 LAN输出口:千兆网口 管理方式:APP管理，WEB页面，其.. 游戏加速:UU加速器 LAN口类型:电口，其他 散热方式:自然散热 独立FEM数量:6个 频段:双频，其他 APP控制:支持APP控制 无线协议:Wi-F6 其他端口:其他 防火墙:支持防火墙 机身材质:塑料 是否支持Mesh:支持Mesli 适用面积:121-150㎡ 总带机量:51-80终端 LAN口数量:3个</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515667B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8 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4E57D5F">
            <w:pPr>
              <w:jc w:val="center"/>
              <w:rPr>
                <w:rFonts w:hint="eastAsia" w:asciiTheme="minorEastAsia" w:hAnsiTheme="minorEastAsia" w:eastAsiaTheme="minorEastAsia" w:cstheme="minorEastAsia"/>
                <w:color w:val="auto"/>
                <w:sz w:val="24"/>
                <w:lang w:val="en-US" w:eastAsia="zh-CN"/>
              </w:rPr>
            </w:pPr>
          </w:p>
        </w:tc>
      </w:tr>
      <w:tr w14:paraId="3A4B349E">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3D3667F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19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7E83C5E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影音体验机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5B602AF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一、技术参数与要求：</w:t>
            </w:r>
          </w:p>
          <w:p w14:paraId="0C12CD8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1.系统：</w:t>
            </w:r>
          </w:p>
          <w:p w14:paraId="6BA0FA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（1）基于1080×1920分辨率大屏安卓触摸一体机研发，软件运行环境为Android7.1及以上系统。</w:t>
            </w:r>
          </w:p>
          <w:p w14:paraId="0075123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（2）系统应具备配套的手机客户端，系统内的影音资源可通过配套的手机客户端进行扫码、带走观看。手机客户端需同时支持ios、android系统。</w:t>
            </w:r>
          </w:p>
          <w:p w14:paraId="5AE3802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（3）支持微信等第三方扫描工具进行扫码，扫码后可进行观看。并能将资源分享至朋友圈等社交网络。</w:t>
            </w:r>
          </w:p>
          <w:p w14:paraId="6F2D666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（4）支持远程升级，支持一键更新，减少管理成本。</w:t>
            </w:r>
          </w:p>
          <w:p w14:paraId="3603277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（5）具备完善的后台管理系统，实现用户自主化管理。</w:t>
            </w:r>
          </w:p>
          <w:p w14:paraId="5CB6695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（6）提供完善的售后说明。</w:t>
            </w:r>
          </w:p>
          <w:p w14:paraId="2090C1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2.资源配置：</w:t>
            </w:r>
          </w:p>
          <w:p w14:paraId="481C223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视频资源：内置≥2000集视频资源，包括不限于国学古典、经济管理、人物历史、文化艺术等覆盖各大领域资源，资源支持不定期进行更新。视频支持单集、系列选集播放，同时支持在线观看或扫码带走观看。</w:t>
            </w:r>
          </w:p>
          <w:p w14:paraId="47964E0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有声资源：提供≥2000集有声图书音频资源，内容包括不限于国内大奖书系《一只与肖恩同岁的鸡》、《大地的铃铛》、《鞋尖朝外》等。一年级爱科学系列丛书、上学真有趣系列丛书等精品励志助学精品故事，资源均为正版授权资源。</w:t>
            </w:r>
          </w:p>
          <w:p w14:paraId="6949992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（3）国学音频：提供≥600集国学系列有声音频，内容涵盖贴合小学、中学、高中的音频资源，如《声律启蒙》、《诗经》、《笠翁对韵》等系列。音频均支持在线播放及扫码带走。</w:t>
            </w:r>
          </w:p>
          <w:p w14:paraId="56C2024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音乐鉴赏：提供6000+国内外音乐鉴赏资源，内容包括古典、少儿、中国音乐等各领域资源，包括不限于交响乐、室内乐、歌剧、芭蕾、协奏曲、乐器独奏等种类，有世界各国民族风情音乐，中国各地方民族音乐等。</w:t>
            </w:r>
          </w:p>
          <w:p w14:paraId="3313623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（5）除了常规的影音资源外，也支持挂载图书、期刊等数字阅读资源进行呈现展示。</w:t>
            </w:r>
          </w:p>
          <w:p w14:paraId="126D99A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3.其他：</w:t>
            </w:r>
          </w:p>
          <w:p w14:paraId="06A3A51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（1）系统应支持个性化设置，如Logo、单位名称、背景图等自定义内容设置。</w:t>
            </w:r>
          </w:p>
          <w:p w14:paraId="69973E0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（2）提供后台管理平台，可以对终端内容进行统一管理、配置。</w:t>
            </w:r>
          </w:p>
          <w:p w14:paraId="0BFA1D0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二、影音一体机硬件参数：</w:t>
            </w:r>
          </w:p>
          <w:p w14:paraId="11B72AD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1.视听桌外观：</w:t>
            </w:r>
          </w:p>
          <w:p w14:paraId="422B70A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1）基材：选用E0级环保中密度纤维板，所有板材均经过防虫防潮处理，密度≤0.9g/cm3，含水率≤8%，静曲强度≥37MPa，弹性模量≥3000MPa，内结合强度≥0.65MPa，吸水厚度膨胀率≤10%，表面结合强度≥1MPa，板面握螺钉力≥1600N，板边握螺钉力≥1100N，甲醛释放量≤0.010mg/m³ </w:t>
            </w:r>
          </w:p>
          <w:p w14:paraId="3FE8F5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油饰：采用华润或同档次品牌水性涂料，水性隐孔亚光，双面涂饰。苯系物总和含量未检出，烷基酚聚氧乙烯醚总和含量未检出。游离甲醛含量≤10mg/kg，VOC含量含量未检出，硬度≥2H。先进环保的涂料工艺，达到环保指标的要求。</w:t>
            </w:r>
          </w:p>
          <w:p w14:paraId="66B7EDB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（3）胶粘剂：选用白乳胶，总挥发性有机物含量≤70g/L，游离甲醛未检出，苯：未检出，甲苯+二甲苯：未检出。</w:t>
            </w:r>
          </w:p>
          <w:p w14:paraId="5DFEDE3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（4）五金件：五金配件，具有合理走线功能。</w:t>
            </w:r>
          </w:p>
          <w:p w14:paraId="13C6DC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三、沙发：</w:t>
            </w:r>
          </w:p>
          <w:p w14:paraId="1BEC20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（1）覆 面：采用麻绒阻燃面料覆面，甲醛释放量：未检出，可分解致癌芳香胺梁料：未检出。抗引燃特性评定为阻燃I级。</w:t>
            </w:r>
          </w:p>
          <w:p w14:paraId="34B029D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（2）内框架：内框架采用一级实木，关键部位榫卯结构。背采用蛇形簧与高弹力尼龙编织带穿插编织打底，上覆泡绵：                         </w:t>
            </w:r>
          </w:p>
          <w:p w14:paraId="70407FC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（3）泡棉：环保高回弹一次成型PU泡棉，座密度≥35kg/m3，背密度≥30kg/m3，回弹性≥40%。丝绵做填充，内部衬垫物干燥卫生、环保。泡棉用无苯胶粘剂粘接，且表面涂防老化变形保护膜。</w:t>
            </w:r>
          </w:p>
          <w:p w14:paraId="2300FFA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（4）底部配尼龙脚垫。结构稳固，着地平稳。 </w:t>
            </w:r>
          </w:p>
          <w:p w14:paraId="3035B18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四、硬件参数：</w:t>
            </w:r>
          </w:p>
          <w:p w14:paraId="3B2A9B3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1.显示屏参数：液晶屏 21.5 inch。</w:t>
            </w:r>
          </w:p>
          <w:p w14:paraId="4BF00A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2.触摸：10点电容触摸屏。</w:t>
            </w:r>
          </w:p>
          <w:p w14:paraId="2D7F118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3.屏幕分辨率：≥1920×1080。</w:t>
            </w:r>
          </w:p>
          <w:p w14:paraId="59C2C29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4.可视角度：89°/89°/89°/89°(L/R/U/D)。</w:t>
            </w:r>
          </w:p>
          <w:p w14:paraId="1295DEF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5.亮度：≥250cd/m2。</w:t>
            </w:r>
          </w:p>
          <w:p w14:paraId="729D9FC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6.对比度：≥1000：1。</w:t>
            </w:r>
          </w:p>
          <w:p w14:paraId="23B9200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7.显示屏颜色：16．7M。</w:t>
            </w:r>
          </w:p>
          <w:p w14:paraId="30CF74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8.反应时间：≤14ms。</w:t>
            </w:r>
          </w:p>
          <w:p w14:paraId="21C814D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9.规格尺寸：耳机 头戴式降噪耳机。 </w:t>
            </w:r>
          </w:p>
          <w:p w14:paraId="24617C6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10.显示尺寸：≥（mm） 476.064 ×267.786。</w:t>
            </w:r>
          </w:p>
          <w:p w14:paraId="62AF1A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11.整机尺寸：≥（mm） 950×900×850。。</w:t>
            </w:r>
          </w:p>
          <w:p w14:paraId="4C571BA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12.机壳材质：木质桌面、铝合金型材面框</w:t>
            </w:r>
          </w:p>
          <w:p w14:paraId="354D9B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13.电源与功耗：100-240VAC, 200w 。</w:t>
            </w:r>
          </w:p>
          <w:p w14:paraId="6A49681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14.内置电脑系统配置：系统 不低于Android 7.1及以上。</w:t>
            </w:r>
          </w:p>
          <w:p w14:paraId="4B15C8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15.处理器：不低于RK 3399 六核 （双核A72+四核A53）主频2.0GHZ。</w:t>
            </w:r>
          </w:p>
          <w:p w14:paraId="06BD0E0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16.内存：≥4G 。</w:t>
            </w:r>
          </w:p>
          <w:p w14:paraId="49255A0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17.存储：≥32G。</w:t>
            </w:r>
          </w:p>
          <w:p w14:paraId="5D518D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18.网卡：具备IEEE802.3和以太网1000M。4G（选配）。</w:t>
            </w:r>
          </w:p>
          <w:p w14:paraId="28FEFFCF">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19.接口：≥RJ45×1。USB×2。电源×1。遥控×1。耳机输出×1。</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54ADBAD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4 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3855BCB">
            <w:pPr>
              <w:jc w:val="center"/>
              <w:rPr>
                <w:rFonts w:hint="eastAsia" w:asciiTheme="minorEastAsia" w:hAnsiTheme="minorEastAsia" w:eastAsiaTheme="minorEastAsia" w:cstheme="minorEastAsia"/>
                <w:color w:val="auto"/>
                <w:sz w:val="24"/>
                <w:lang w:val="en-US" w:eastAsia="zh-CN"/>
              </w:rPr>
            </w:pPr>
          </w:p>
        </w:tc>
      </w:tr>
      <w:tr w14:paraId="76B38E42">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0A30F6E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20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E1507D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文化长廊</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0624C04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1.系统：</w:t>
            </w:r>
          </w:p>
          <w:p w14:paraId="6BFF4DE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（1）软件运行环境不低于Windows10、64位操作系统。</w:t>
            </w:r>
          </w:p>
          <w:p w14:paraId="685C13D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系统必须具备配套的手机客户端，系统内的资源可通过配套的手机客户端进行扫码，下载资源至手机，下载后的资源，无需网络，随时随地进行阅读。配套的手机端应具备横屏阅读，夜间模式转换，文字大小调整等功能。手机客户端可保留相关阅读记录。手机客户端需同时支持ios、android系统。</w:t>
            </w:r>
          </w:p>
          <w:p w14:paraId="5042BA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（3）支持微信等第三方扫描工具进行扫码，扫码后获取在线阅读服务，无需下载客户端，并能将图书分享至朋友圈等社交网络。</w:t>
            </w:r>
          </w:p>
          <w:p w14:paraId="72680AD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（4）支持配置多个长廊内容，且可以随时切换查看。</w:t>
            </w:r>
          </w:p>
          <w:p w14:paraId="6A2499C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（5）支持多人共同操作，互不影响。</w:t>
            </w:r>
          </w:p>
          <w:p w14:paraId="3F53C3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（6）具备完善的后台管理系统，实现用户自主化管理。</w:t>
            </w:r>
          </w:p>
          <w:p w14:paraId="31F2FCE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（7）支持远程升级，支持一键更新，减少管理成本。</w:t>
            </w:r>
          </w:p>
          <w:p w14:paraId="1F467B2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（8）具备良好的开放性，可以支持二次开发。</w:t>
            </w:r>
          </w:p>
          <w:p w14:paraId="3945108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（9）提供完善的售后说明。</w:t>
            </w:r>
          </w:p>
          <w:p w14:paraId="2CF68A3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2.长廊配置：</w:t>
            </w:r>
          </w:p>
          <w:p w14:paraId="6EB0367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（1）长廊系统应至少支持图书、期刊、图片、名人、资讯、专题、视频、音频、少儿绘本、时间轴发展史等多种类型的资源配置到机器进行展示。 </w:t>
            </w:r>
          </w:p>
          <w:p w14:paraId="1E46496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图书资源：系统提供≥3000册正版授权的epub格式电子图书且与原版图书保持原貌一致，如相关图片、目录等，每月定时更新≥150种热门电子图书。图书可以直接在线阅读，也可通过第三方扫描工具获取在线阅读服务或通过配套的手机客户端扫描图书二维码，下载至智能终端进行离线阅读。</w:t>
            </w:r>
          </w:p>
          <w:p w14:paraId="39EBF84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（3）动态图片长廊：支持图片资源展示，支持单张或者多张展示、支持查看图片简介内容、支持手动放大缩小查看图片。</w:t>
            </w:r>
          </w:p>
          <w:p w14:paraId="75D71EA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（4）名人长廊：支持人物信息展示，首页以人物专辑构成，支持查看该人物的成长简介信息、讲座视频、精彩图片、相关的图书。图书支持在线阅读和扫码阅读。视频支持在线观看。</w:t>
            </w:r>
          </w:p>
          <w:p w14:paraId="5FB33EE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（5）视频长廊：支持视频资源展示，支持单集和系列选集播放。视频支持在线观看或者扫码观看。</w:t>
            </w:r>
          </w:p>
          <w:p w14:paraId="5C10780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（6）专题长廊：支持对接客户自建专题资源。每个专题支持查看目录，上下章节切换、图文混排、视频播放等。专题支持扫码阅读。</w:t>
            </w:r>
          </w:p>
          <w:p w14:paraId="7C0C6EC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（7）信息资讯长廊：支持用户自主发布资讯、通知类信息。</w:t>
            </w:r>
          </w:p>
          <w:p w14:paraId="59AD269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（8）时间轴发展史：支持展示单位大事记、发展历程等，以时间为节点展示，支持查看详细信息。</w:t>
            </w:r>
          </w:p>
          <w:p w14:paraId="2B9474F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（9）少儿音频长廊：提供≥600集国学系列有声音频，内容涵盖贴合小学、中学、高中的音频资源，如《声律启蒙》、《诗经》、《笠翁对韵》等系列。音频均支持在线播放及扫码带走。</w:t>
            </w:r>
          </w:p>
          <w:p w14:paraId="2FCB2B7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（10）少儿有声绘本长廊：系统提供≥400种少儿有声绘本资源，点击可在长廊机器直接观看、互动。</w:t>
            </w:r>
          </w:p>
          <w:p w14:paraId="70DB31B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（11）期刊长廊：提供≥300种期刊，期刊支持在线阅读及扫码带走，同时支持往期查看等。</w:t>
            </w:r>
          </w:p>
          <w:p w14:paraId="1E86D29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（12）长廊系统应至少包含10种以上风格，供用户选择。各风格主题设计、色彩搭配、动画呈现各具特色。</w:t>
            </w:r>
          </w:p>
          <w:p w14:paraId="451BB94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3.系统后台管理：</w:t>
            </w:r>
          </w:p>
          <w:p w14:paraId="6E2C3A7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（1）支持管理长廊设备，支持查看设备版本号、在线离线状态等信息。支持进行屏保配置、长廊内容配置、长廊风格包下载等操作。</w:t>
            </w:r>
          </w:p>
          <w:p w14:paraId="058A379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（2）长廊后台支持创建图书、期刊、图片、名人、资讯、专题、视频、时间轴发展史等资源类型的虚拟长廊，创建数量无限制。</w:t>
            </w:r>
          </w:p>
          <w:p w14:paraId="558BE2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（3）支持图书长廊管理，系统提供≥3000种正版授权的epub格式电子图书资源供用户选择配置，用户勾选对应的资源分类后，可一键推送至长廊设备进行展示。支持将单位自有版权的图书资源配置到设备进行展示。</w:t>
            </w:r>
          </w:p>
          <w:p w14:paraId="0E5DC51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（4）支持期刊长廊管理，系统提供≥300种期刊资源供用户选择配置，用户勾选对应的资源分类后，可一键推送至长廊设备进行展示。</w:t>
            </w:r>
          </w:p>
          <w:p w14:paraId="4EDFC7C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（5）支持图片长廊管理，支持图片封面、图片集的上传管理。支持针对每张图片添加简介信息。支持一键设置长廊资源的正序、倒叙展示。</w:t>
            </w:r>
          </w:p>
          <w:p w14:paraId="2470F2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（6）支持名人长廊管理，可针对人物的封面、头像、介绍、相关书籍、相关图片以及相关视频等多种内容模块进行管理。支持一键设置长廊资源的正序、倒叙展示。</w:t>
            </w:r>
          </w:p>
          <w:p w14:paraId="0753863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支持专题长廊管理，为用户提供专题创建工具，可以将文本内容、图片、视频、音频等资源进行混合编排，形成富媒体专题资源。系统支持将创建好的富媒体专题资源，添加至专题长廊，并配置到长廊设备展示。支持一键设置长廊资源的正序、倒叙展示。</w:t>
            </w:r>
          </w:p>
          <w:p w14:paraId="471A3EE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（8）支持资讯长廊管理，支持通过系统后台发布资讯信息，资讯信息支持按日展示、资讯内容支持图文混排。支持一键设置长廊资源的正序、倒叙展示。</w:t>
            </w:r>
          </w:p>
          <w:p w14:paraId="705B9EA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（9）支持时间轴发展史长廊管理，用户按照年份为主题管理时间轴信息，时间轴内容支持图文混排。支持一键设置长廊资源的正序、倒叙展示。</w:t>
            </w:r>
          </w:p>
          <w:p w14:paraId="5B1F401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（10）支持视频长廊管理，支持通过系统后台创建视频集信息并在线上传视频资源。已上传的视频资源，系统自动生成二维码，供用户扫码观看。支持一键设置长廊资源的正序、倒叙展示。</w:t>
            </w:r>
          </w:p>
          <w:p w14:paraId="240C5D0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（11）支持管理虚拟长廊信息，用户可自主创建虚拟长廊，并管理长廊资源，如资源的增、删、改、查等。</w:t>
            </w:r>
          </w:p>
          <w:p w14:paraId="7266B5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（12）支持将创建好的长廊进行虚拟分组，组合为长廊组。虚拟长廊与虚拟长廊组可混合排序，配置到设备展示。</w:t>
            </w:r>
          </w:p>
          <w:p w14:paraId="07D2977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（13）提供数据统计功能，支持查看该单位下设备数量，支持查看指定时间段内的设备使用量、虚拟长廊使用量、单个资源使用量等信息。</w:t>
            </w:r>
          </w:p>
          <w:p w14:paraId="12E8AC6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（14）提供即时插播功能，可设置插播文字、图片、视频等多种类型的内容，插播的内容可以一键发布到指定的一台或多台长廊设备，同时也可以一键关闭插播。</w:t>
            </w:r>
          </w:p>
          <w:p w14:paraId="4B7957B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（15）提供手机端管理模块，用户可在手机上随时随地的管理单位机器。支持查看机器数量、在线离线状态等信息。支持配置推送长廊设备内容。支持对设备进行定时开关机设置等。</w:t>
            </w:r>
          </w:p>
          <w:p w14:paraId="103DD54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4.其他功能：</w:t>
            </w:r>
          </w:p>
          <w:p w14:paraId="6B8DE1A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（1）除常规的长廊内容展示外，系统还需支持配置应用至长廊设备，已配置的应用以图标的形式悬浮于长廊底部，不影响设备的资源展示，用户通过点击应用图标，打开该应用进行浏览。</w:t>
            </w:r>
          </w:p>
          <w:p w14:paraId="6357E23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（2）系统应支持同时配置多个应用至设备。</w:t>
            </w:r>
          </w:p>
          <w:p w14:paraId="7253356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（3）系统支持添加待机屏保，屏保和长廊支持轮循展示。</w:t>
            </w:r>
          </w:p>
          <w:p w14:paraId="5711055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（4）系统应支持同时配置多个长廊至设备，已配置到设备的长廊应能够点击切换查看。</w:t>
            </w:r>
          </w:p>
          <w:p w14:paraId="2D07EABC">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（5）图书、期刊、专题资源支持断网离线扫码带走，无网络时亦可正常展示流动</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13DC3CDB">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 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B2B1ED8">
            <w:pPr>
              <w:jc w:val="center"/>
              <w:rPr>
                <w:rFonts w:hint="eastAsia" w:asciiTheme="minorEastAsia" w:hAnsiTheme="minorEastAsia" w:eastAsiaTheme="minorEastAsia" w:cstheme="minorEastAsia"/>
                <w:color w:val="auto"/>
                <w:sz w:val="24"/>
                <w:lang w:val="en-US" w:eastAsia="zh-CN"/>
              </w:rPr>
            </w:pPr>
          </w:p>
        </w:tc>
      </w:tr>
      <w:tr w14:paraId="13E00C09">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47939E8">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21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6D03173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多媒体数字光影阅读</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76F13DE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一、软件参数：</w:t>
            </w:r>
          </w:p>
          <w:p w14:paraId="3E9AD28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1.资源配置：</w:t>
            </w:r>
          </w:p>
          <w:p w14:paraId="25D22A0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（1）系统支持展示电子图书，精选3000余册电子图书以供读者选择，提供可选资源库2w余册，每月定时更新≥150册。图书支持在线阅读、扫码带走，同时也可将图书下载到本地书架，以便读者进行本地阅读。</w:t>
            </w:r>
          </w:p>
          <w:p w14:paraId="1D1A542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（2）系统支持展示电子期刊，提供≥200余种期刊，期刊支持在线阅读、扫码带走，同时支持往期查看。</w:t>
            </w:r>
          </w:p>
          <w:p w14:paraId="6233119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（3）系统支持展示有声音频，提供≥600余集国学有声音频资源，音频均支持在线收听以及扫码带走。</w:t>
            </w:r>
          </w:p>
          <w:p w14:paraId="7F341C9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（4）系统支持展示学术视频，提供≥400余集高清名师讲坛视频，视频支持在线播放，同时支持单集、系列选集播放。</w:t>
            </w:r>
          </w:p>
          <w:p w14:paraId="16305AE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（5）系统支持配置专题资源，专题支持文本、图片、视频等内容混合编排，同时专题支持创建三级目录，创建好的专题可推送至设备进行展示。</w:t>
            </w:r>
          </w:p>
          <w:p w14:paraId="3C18CF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（6）系统支持资源检索功能，可检资源库≥2w册，支持按资源名称、作者等关键信息进行查找，也可自定义设置资源检索范围。 </w:t>
            </w:r>
          </w:p>
          <w:p w14:paraId="55453A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 系统管理后台：</w:t>
            </w:r>
          </w:p>
          <w:p w14:paraId="008AF1D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（1）后台支持管理光影阅读设备，可对设备信息、资源内容进行统一配置，配置后可一键推送至设备进行展示。</w:t>
            </w:r>
          </w:p>
          <w:p w14:paraId="6AED1B7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（2）后台支持对设备信息进行管理查看，用户可通过后台对设备机器码、所在位置、版本号进行查看修改。logo、背景图、等内容进行自定义设置。</w:t>
            </w:r>
          </w:p>
          <w:p w14:paraId="7D85130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（3）后台支持对图书资源进行配置，用户可根据自身需求勾选相应图书分类，勾选后可一键推送至设备进行展示，同时支持定制单位图书自建分类，满足用户个性化需求。</w:t>
            </w:r>
          </w:p>
          <w:p w14:paraId="14291F4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（4）后台支持自定义设置图书资源检索范围，实现对资源的精准检索。</w:t>
            </w:r>
          </w:p>
          <w:p w14:paraId="4D2457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（5）后台支持对期刊资源进行配置，用户可根据自身需求勾选相应期刊分类，勾选后可一键推送至设备进行展示。</w:t>
            </w:r>
          </w:p>
          <w:p w14:paraId="493D10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（6）后台支持配置导航模块，用户可自定义配置导航贴图、导航名称、导航链接等内容。同时有声读物、专题、视频等资源也可通过导航模块进行配置展示。</w:t>
            </w:r>
          </w:p>
          <w:p w14:paraId="0EAA71B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 其他：</w:t>
            </w:r>
          </w:p>
          <w:p w14:paraId="11BF87D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（1）系统支持本地阅读功能，可将在线图书下载到本地书架，无网络时也可阅读观看。</w:t>
            </w:r>
          </w:p>
          <w:p w14:paraId="21B9264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（2）本地阅读支持设置夜间模式、阅读背景、文字大小、字体样式等功能，同时可保留图书阅读记录，方便读者下次阅读。</w:t>
            </w:r>
          </w:p>
          <w:p w14:paraId="7771B8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（3）系统支持自定义更换背景、logo等个性化内容展示。</w:t>
            </w:r>
          </w:p>
          <w:p w14:paraId="7D069A1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系统具备配套的手机客户端，系统内的资源可通过配套的手机客户端进行扫码，下载资源至手机，下载后的资源，无需网络，随时随地进行阅读。配套的手机端应具备夜间模式转换，文字大小调整等功能。手机客户端可保留相关阅读记录。手机客户端需同时支持ios、android系统。</w:t>
            </w:r>
          </w:p>
          <w:p w14:paraId="2AAD9C3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（5）设备支持定时关机功能。</w:t>
            </w:r>
          </w:p>
          <w:p w14:paraId="22ABB13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（6）系统应提供相应的计算机软件著作权登记证书资料。</w:t>
            </w:r>
          </w:p>
          <w:p w14:paraId="5BC3C5A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二、硬件参数：</w:t>
            </w:r>
          </w:p>
          <w:p w14:paraId="432CEB5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1.分辨率：物理分辨率≥1920×1080，兼容分辨率 4K。</w:t>
            </w:r>
          </w:p>
          <w:p w14:paraId="76E7770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2.画面比例：标准16:9。</w:t>
            </w:r>
          </w:p>
          <w:p w14:paraId="7AE189F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3.投影尺寸：支持23 英寸-100 英寸。</w:t>
            </w:r>
          </w:p>
          <w:p w14:paraId="3177EB7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4.亮度：ANSI 350lumens。</w:t>
            </w:r>
          </w:p>
          <w:p w14:paraId="4D4F519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5.梯形校正：支持上下 40°自动校正。</w:t>
            </w:r>
          </w:p>
          <w:p w14:paraId="6C4C6FE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6.对焦方式：支持电动对焦。</w:t>
            </w:r>
          </w:p>
          <w:p w14:paraId="6AC4078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7.光机寿命：不低于30,000 小时。</w:t>
            </w:r>
          </w:p>
          <w:p w14:paraId="7B7EB5B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8.触控：触控技术 支持LICT 不可见激光触控。</w:t>
            </w:r>
          </w:p>
          <w:p w14:paraId="108111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9.触控点数：支持10 点触控。</w:t>
            </w:r>
          </w:p>
          <w:p w14:paraId="3C7FE03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10.触控方式：支持桌面 23 寸手指触控、桌面墙面 100 寸笔触控。</w:t>
            </w:r>
          </w:p>
          <w:p w14:paraId="2923DB3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11.系统：操作系统 不低于安卓9.0。</w:t>
            </w:r>
          </w:p>
          <w:p w14:paraId="0F37586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12.CPU：不低于RK3399 八核 64 位Cortex-A72 主频 1.8G配置。</w:t>
            </w:r>
          </w:p>
          <w:p w14:paraId="354CFE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13.存储：不低于4G+128G。</w:t>
            </w:r>
          </w:p>
          <w:p w14:paraId="7BBEE6E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14.音响：36W立体声喇叭，支持外接蓝牙音响，有线音响。</w:t>
            </w:r>
          </w:p>
          <w:p w14:paraId="7B8E396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15.其他：接口 16G HDMI、双USB、耳机。</w:t>
            </w:r>
          </w:p>
          <w:p w14:paraId="5B760E3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16.网络：2.4/5.0 双频WIFI，蓝牙 4.0。</w:t>
            </w:r>
          </w:p>
          <w:p w14:paraId="036430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17.电源：15V/3A。</w:t>
            </w:r>
          </w:p>
          <w:p w14:paraId="0160D6E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18.尺寸：≥180×134×74mm。</w:t>
            </w:r>
          </w:p>
          <w:p w14:paraId="26833190">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19.外壳材质：铝合金。</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43EB662D">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3 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D88E062">
            <w:pPr>
              <w:jc w:val="center"/>
              <w:rPr>
                <w:rFonts w:hint="eastAsia" w:asciiTheme="minorEastAsia" w:hAnsiTheme="minorEastAsia" w:eastAsiaTheme="minorEastAsia" w:cstheme="minorEastAsia"/>
                <w:color w:val="auto"/>
                <w:sz w:val="24"/>
                <w:lang w:val="en-US" w:eastAsia="zh-CN"/>
              </w:rPr>
            </w:pPr>
          </w:p>
        </w:tc>
      </w:tr>
      <w:tr w14:paraId="4C6E7760">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62D2B4A">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22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A84A8C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AI馆员数字交互系统</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6E84D3F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一、AI馆员数字交互系统-硬件参数：</w:t>
            </w:r>
          </w:p>
          <w:p w14:paraId="0B84A0D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1.75英寸触摸屏，支持多点红外触摸，显示区域1650.24mm(H) x 928.26mm(V)。</w:t>
            </w:r>
          </w:p>
          <w:p w14:paraId="1C70DB0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2.支持4K显示，分辨率3840（H）×2160（V）。</w:t>
            </w:r>
          </w:p>
          <w:p w14:paraId="13B36BE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3.主版RK3588，CPU类型Cortex-A76+Cortex-A55八核2.4GHz，带Mali-G610 GPU处理器，带有6Tops能力的神经网络处理器。</w:t>
            </w:r>
          </w:p>
          <w:p w14:paraId="306B19D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4.存储空间：内存8GB，扩展存储128GB。</w:t>
            </w:r>
          </w:p>
          <w:p w14:paraId="099EC25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5.操作系统：安卓12。</w:t>
            </w:r>
          </w:p>
          <w:p w14:paraId="5D376EC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6.主机扩展功能：支持1路HDMI输出，1路耳机输出，USB3.0×2，TYPE-C×1。带麦克风支持语音输入。带摄像头和喇叭，支持声音外放。</w:t>
            </w:r>
          </w:p>
          <w:p w14:paraId="761A720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7.网络接口：RJ45/LAN×1，无线网络支持2.4G/5G双频，支持WIFI6。</w:t>
            </w:r>
          </w:p>
          <w:p w14:paraId="36930C3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8.电源与功耗：输入电压AC220V 50/60Hz ，整机功耗≤220W。</w:t>
            </w:r>
          </w:p>
          <w:p w14:paraId="78140AC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9.整机钣金面框，黑色烤漆，尺寸（mm）：≥1811 ×1002.6×705mm 。</w:t>
            </w:r>
          </w:p>
          <w:p w14:paraId="0CAC5D7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二、AI馆员数字交互系统-客户端参数:</w:t>
            </w:r>
          </w:p>
          <w:p w14:paraId="160FCD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1.语音识别：支持语音唤醒和触摸按钮开启问答多种交互方式，开启后可进行语音人机问答。</w:t>
            </w:r>
          </w:p>
          <w:p w14:paraId="5BD2E4C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2.支持云语音朗读，回答内容支持语音朗读。</w:t>
            </w:r>
          </w:p>
          <w:p w14:paraId="765854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3.常见问题：支持界面显示常见问题列表。</w:t>
            </w:r>
          </w:p>
          <w:p w14:paraId="5BBC1AD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4.支持问题模糊问答，当数字人无法精确找到问题答案时，可推荐相关问题。</w:t>
            </w:r>
          </w:p>
          <w:p w14:paraId="1F0F4F1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5.回答内容支持文本、富文本、图片、应用任务等多种类型。用户可根据应用任务选项进行二次人机问答交互。</w:t>
            </w:r>
          </w:p>
          <w:p w14:paraId="15B7FEB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6.支持大模型内容问答，大模型包括通用大模型和行业知识库。</w:t>
            </w:r>
          </w:p>
          <w:p w14:paraId="28A79AF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7.支持“一键清屏”功能，帮助保护用户隐私，避免被后续用户看到之前询问记录。</w:t>
            </w:r>
          </w:p>
          <w:p w14:paraId="4DDF8BD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三、内置资源及服务：</w:t>
            </w:r>
          </w:p>
          <w:p w14:paraId="516EAAC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1.图书资源：内置3000册EPUB电子图书，内容涵盖精品推荐、经典名著、经管理财、小说传记等热门分类，同时对接云端5万+图书资源库。</w:t>
            </w:r>
          </w:p>
          <w:p w14:paraId="24F9F8C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2.期刊资源：内置500种贴合大众阅读的综合文化类期刊，类型涵盖时尚生活、文化传媒、文学艺术、科技科普等资源类目，同时对接云端3000+期刊资源库。</w:t>
            </w:r>
          </w:p>
          <w:p w14:paraId="25DAFC4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3.视频资源：内置10000多集视频资源库，内容覆盖文学、科学、历史、哲学、艺术等。</w:t>
            </w:r>
          </w:p>
          <w:p w14:paraId="69F487B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4.专题资源：内置500余个富媒体专题资源，覆盖红色文化类、国家非遗类、文学类等类目。专题资源均支持在线阅读与扫码带走。</w:t>
            </w:r>
          </w:p>
          <w:p w14:paraId="4FF4F36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音频资源：内置600余集国学有声，为热爱国学文化的读者提供的音频资源。用户可以在线听国学，也可以扫码带走，随时随地品味经典。6.活动运营：数字人系统在支持特色资源与活动主题定制展示的同时，还会发布互动体验小应用，例如党建知识答题、元宵节猜灯谜、423知识竞答、粽情端午知识竞答等，满足节日活动运营需求。</w:t>
            </w:r>
          </w:p>
          <w:p w14:paraId="4398F9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四、AI馆员数字交互系统-后台管理系统：</w:t>
            </w:r>
          </w:p>
          <w:p w14:paraId="081F15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1.支持智能问答库管理，包括问答对、问答文档、问答素材、应用任务等类型。</w:t>
            </w:r>
          </w:p>
          <w:p w14:paraId="315A661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2.问答库支持自定义添加、编辑、删除业务问答分类，分类数量无限制。问答分类支持批量编辑，可以移动和拖拽排序。</w:t>
            </w:r>
          </w:p>
          <w:p w14:paraId="3DFD964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3.支持自定义添加、编辑、删除、批量导入、批量导出、批量删除业务问答规则，业务问答规则数量无限制。</w:t>
            </w:r>
          </w:p>
          <w:p w14:paraId="0ED366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4.手工启用、手工停用业务问答规则，同时可根据关键词搜索业务内容。</w:t>
            </w:r>
          </w:p>
          <w:p w14:paraId="1B581B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5.业务问答规则中，回答的答案支持文本、图片、自定义级联菜单、图文混排、链接等多种内容。</w:t>
            </w:r>
          </w:p>
          <w:p w14:paraId="7F757BA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6.自定义添加、编辑业务问答中问题标签。问答时根据标签进行问答提示。</w:t>
            </w:r>
          </w:p>
          <w:p w14:paraId="728780C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7.自动对没有答案的问题描述进行统计，按照问答频率由高到低排序，同时可以批量导出未知问题。</w:t>
            </w:r>
          </w:p>
          <w:p w14:paraId="34DA331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8.支持手工添加未知问题到业务问答规则，并支持自定义修改。</w:t>
            </w:r>
          </w:p>
          <w:p w14:paraId="44C8F18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9.支持自动忽略无意义的问法，比如无效数字字母的组合。</w:t>
            </w:r>
          </w:p>
          <w:p w14:paraId="2813B1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10.知识问答，内置通用问答库，可以回答常识类问题。</w:t>
            </w:r>
          </w:p>
          <w:p w14:paraId="6F3647F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11.支持未知问题回复语自定义。</w:t>
            </w:r>
          </w:p>
          <w:p w14:paraId="1DA435E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12.支持问答无匹配时，提供用户语义中相似度最高的热门问题。</w:t>
            </w:r>
          </w:p>
          <w:p w14:paraId="12096C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13.技能设置里支持阈值自定义。</w:t>
            </w:r>
          </w:p>
          <w:p w14:paraId="433867B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14.支持微应用智能推荐。</w:t>
            </w:r>
          </w:p>
          <w:p w14:paraId="113A29F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15.支持智能学习功能，根据用户行为自动记录待学习问题，超级管理员可进行一键学习或一键通过。</w:t>
            </w:r>
          </w:p>
          <w:p w14:paraId="3243A47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16.对接图书馆管理系统，支持读者借阅记录查询。</w:t>
            </w:r>
          </w:p>
          <w:p w14:paraId="6F2D82E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17.对接图书馆管理系统，支持单位纸质馆藏查询。</w:t>
            </w:r>
          </w:p>
          <w:p w14:paraId="5C94705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18.问答库支持智能导入，上传文档后可自动抽取出问答。</w:t>
            </w:r>
          </w:p>
          <w:p w14:paraId="329C95F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五、统计分析模块：</w:t>
            </w:r>
          </w:p>
          <w:p w14:paraId="3D0F89E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1.对接图书馆管理系统，支持单位纸质馆藏查询。</w:t>
            </w:r>
          </w:p>
          <w:p w14:paraId="4B4119F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2.支持问答历史纪录查看，根据时间、来源筛选指定历史会话内容，同时可以批量导出机器人历史会话记录。</w:t>
            </w:r>
          </w:p>
          <w:p w14:paraId="67DDDA4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3.对接图书馆管理系统，支持单位纸质馆藏查询。</w:t>
            </w:r>
          </w:p>
          <w:p w14:paraId="36C6E5C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4.支持问答内容统计，根据会话内容形成问答内容统计图，实时展示机器人直接回答、未回答、引导用户回答3类问答的统计数据。</w:t>
            </w:r>
          </w:p>
          <w:p w14:paraId="733F9C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5.对接图书馆管理系统，支持单位纸质馆藏查询。</w:t>
            </w:r>
          </w:p>
          <w:p w14:paraId="6F222B8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6.支持热门问题统计，根据问答分类进行热门问题统计。</w:t>
            </w:r>
          </w:p>
          <w:p w14:paraId="5FF1EAE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7.对接图书馆管理系统，支持单位纸质馆藏查询。</w:t>
            </w:r>
          </w:p>
          <w:p w14:paraId="465F6C1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8.支持访客统计，根据时间筛选查看访客数、会话数、消息总数。</w:t>
            </w:r>
          </w:p>
          <w:p w14:paraId="568B02A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9.对接图书馆管理系统，支持单位纸质馆藏查询。</w:t>
            </w:r>
          </w:p>
          <w:p w14:paraId="52FEA4C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10.支持有效无效回复统计，根据时间筛选查看有效无效率。</w:t>
            </w:r>
          </w:p>
          <w:p w14:paraId="4310AAE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11.对接图书馆管理系统，支持单位纸质馆藏查询。</w:t>
            </w:r>
          </w:p>
          <w:p w14:paraId="26BCF820">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12.支持知识库分类命中次数统计。</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03A11A72">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 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F2C2488">
            <w:pPr>
              <w:jc w:val="center"/>
              <w:rPr>
                <w:rFonts w:hint="eastAsia" w:asciiTheme="minorEastAsia" w:hAnsiTheme="minorEastAsia" w:eastAsiaTheme="minorEastAsia" w:cstheme="minorEastAsia"/>
                <w:color w:val="auto"/>
                <w:sz w:val="24"/>
                <w:lang w:val="en-US" w:eastAsia="zh-CN"/>
              </w:rPr>
            </w:pPr>
          </w:p>
        </w:tc>
      </w:tr>
      <w:tr w14:paraId="4B88DBC0">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3174E2E8">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23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6998C08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数字书法</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26C9081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一、整机要求：</w:t>
            </w:r>
          </w:p>
          <w:p w14:paraId="237B204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一体化体验桌 </w:t>
            </w:r>
          </w:p>
          <w:p w14:paraId="67796B4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1.外部结构：</w:t>
            </w:r>
          </w:p>
          <w:p w14:paraId="48ADFDD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材质：红花梨木</w:t>
            </w:r>
          </w:p>
          <w:p w14:paraId="2EC3B9D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桌子尺寸：1650mm*790mm*810mm（长*宽*高）</w:t>
            </w:r>
          </w:p>
          <w:p w14:paraId="7D83808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官帽椅尺寸：580mm×490mm×1120mm（长*宽* 高）</w:t>
            </w:r>
          </w:p>
          <w:p w14:paraId="6CE4D7F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外部结构：整体可拆卸，无外露螺丝</w:t>
            </w:r>
          </w:p>
          <w:p w14:paraId="36D381F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2.红外感应屏：</w:t>
            </w:r>
          </w:p>
          <w:p w14:paraId="0B426C4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触摸精度  &lt;1.2mm</w:t>
            </w:r>
          </w:p>
          <w:p w14:paraId="0ADACF1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触摸灵敏度 5-8ms</w:t>
            </w:r>
          </w:p>
          <w:p w14:paraId="6CA1D19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线性误差 1mm </w:t>
            </w:r>
          </w:p>
          <w:p w14:paraId="59159AA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钢化玻璃 厚2至3mm 透光率&gt;96%</w:t>
            </w:r>
          </w:p>
          <w:p w14:paraId="64C1D6C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防水等级 IPX4 边框做防水处理</w:t>
            </w:r>
          </w:p>
          <w:p w14:paraId="3F2DB5F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静电防护等级 按照EN6100-4-2 2008:4级 接触式放电8KV 空气式放电15kv</w:t>
            </w:r>
          </w:p>
          <w:p w14:paraId="4F99161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安全性：直径为63mm钢球从1米高度自由落下玻璃不破</w:t>
            </w:r>
          </w:p>
          <w:p w14:paraId="6149506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3.主机：</w:t>
            </w:r>
          </w:p>
          <w:p w14:paraId="53DDF2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主板：QM9850-I5-8250U      </w:t>
            </w:r>
          </w:p>
          <w:p w14:paraId="57D9DD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处理器：Intel Core i5 4核 8代 1.6GHz主频   </w:t>
            </w:r>
          </w:p>
          <w:p w14:paraId="374C82D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内存：8G/DDR4 2666      </w:t>
            </w:r>
          </w:p>
          <w:p w14:paraId="5E4CDAA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硬盘：256G SSD M.2接口 nvme协议     </w:t>
            </w:r>
          </w:p>
          <w:p w14:paraId="45C981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显卡：主板集成620显卡      </w:t>
            </w:r>
          </w:p>
          <w:p w14:paraId="5E35881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声卡及网卡：集成6声道高保真音频声卡、集成千兆网卡 </w:t>
            </w:r>
          </w:p>
          <w:p w14:paraId="7FFF488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电源：150W电源      </w:t>
            </w:r>
          </w:p>
          <w:p w14:paraId="319535B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无线网卡：双频wifi模块      </w:t>
            </w:r>
          </w:p>
          <w:p w14:paraId="4DBEE16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操作系统：Windows10(64位) </w:t>
            </w:r>
          </w:p>
          <w:p w14:paraId="7935AD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4.显示屏：       </w:t>
            </w:r>
          </w:p>
          <w:p w14:paraId="170176B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液晶屏尺寸：43"      </w:t>
            </w:r>
          </w:p>
          <w:p w14:paraId="450FC94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LCD面板品牌：LG</w:t>
            </w:r>
          </w:p>
          <w:p w14:paraId="6FDB3BC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面板类型：a-Si TFT-LCD , 液晶模组      </w:t>
            </w:r>
          </w:p>
          <w:p w14:paraId="7F9A25F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分辨率：1920(RGB)×1080,FHD      </w:t>
            </w:r>
          </w:p>
          <w:p w14:paraId="6FB2DCF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亮度 450 cd/m2      </w:t>
            </w:r>
          </w:p>
          <w:p w14:paraId="132ADEE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静态对比率：1100:01:00      </w:t>
            </w:r>
          </w:p>
          <w:p w14:paraId="549C1DA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响应时间：12ms      </w:t>
            </w:r>
          </w:p>
          <w:p w14:paraId="6E3E818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像素点距：0.4902×0.4902 mm      </w:t>
            </w:r>
          </w:p>
          <w:p w14:paraId="1D5BAF1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视角：89/89/89/89 (Min.)(CR≥10)      </w:t>
            </w:r>
          </w:p>
          <w:p w14:paraId="1AFCFF9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光源寿命：50K(小时)      </w:t>
            </w:r>
          </w:p>
          <w:p w14:paraId="5ECBDDC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工作温度：0~50°C      </w:t>
            </w:r>
          </w:p>
          <w:p w14:paraId="0A8881D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饱和度：72%      </w:t>
            </w:r>
          </w:p>
          <w:p w14:paraId="6BF550A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可视面积：941.184(横)×529.416(竖) mm    </w:t>
            </w:r>
          </w:p>
          <w:p w14:paraId="2CDFD64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色度：Wx:0.281 Wy:0.288      </w:t>
            </w:r>
          </w:p>
          <w:p w14:paraId="64C72DC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触摸功能：红外触摸</w:t>
            </w:r>
          </w:p>
          <w:p w14:paraId="0715E2D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5.工作环境：</w:t>
            </w:r>
          </w:p>
          <w:p w14:paraId="303EA47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电气参数 ：输入电压：AC 220V，电气安全规范：GB 19517-2009。网络：双频wifi或有线连接</w:t>
            </w:r>
          </w:p>
          <w:p w14:paraId="6C82FBC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 置水砚台 （规格：直径147mm 高度39mm（不含盖））</w:t>
            </w:r>
          </w:p>
          <w:p w14:paraId="2E8F886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 笔挂，毛笔 笔挂材质：红酸枝</w:t>
            </w:r>
          </w:p>
          <w:p w14:paraId="7733B51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规格：3针6挂</w:t>
            </w:r>
          </w:p>
          <w:p w14:paraId="5549A32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笔挂尺寸：宽18cm 高39cm</w:t>
            </w:r>
          </w:p>
          <w:p w14:paraId="57863DC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底座长7.5cm                    </w:t>
            </w:r>
          </w:p>
          <w:p w14:paraId="1DB68E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毛笔：电子屏专用毛笔</w:t>
            </w:r>
          </w:p>
          <w:p w14:paraId="5B7CBFF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 三维感应笔 1、外部结构:笔管全铝材质，表面黑色电度，全长</w:t>
            </w:r>
          </w:p>
          <w:p w14:paraId="388216C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（带笔头）285mm，顶部集成充电口、开关键、指示灯及悬挂结构，笔头部分为真实狼毫毛笔头，全重 34g。</w:t>
            </w:r>
          </w:p>
          <w:p w14:paraId="2DDDE67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2、可感应运笔时笔所受三维力，笔的姿势，最小感应力为 1g，电磁传输感应数据。</w:t>
            </w:r>
          </w:p>
          <w:p w14:paraId="3436185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3、电气参数：充电电压： DC 5V，充电时间：0.8 小时，功耗：0.1W，持续工作时间：8 小时。</w:t>
            </w:r>
          </w:p>
          <w:p w14:paraId="1532F9D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4、环境参数：0 至 40 度，工作湿度：10%至 80%（非冷凝）。</w:t>
            </w:r>
          </w:p>
          <w:p w14:paraId="42F3682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5、笔头取材狼毫，手工制作，支持与电子笔杆拆卸替换，书写效果满足创作级。</w:t>
            </w:r>
          </w:p>
          <w:p w14:paraId="2D93F0B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6、笔身内置智能检测系统，笔杆顶端自带磁吸充电，内置微型充电装置，正常挂在笔架上即可实现充电， 笔杆内置传感系统可准确检测运笔之角度，力度，速度，结合 4K 高清触摸大屏，完美还原书法写作效果。</w:t>
            </w:r>
          </w:p>
          <w:p w14:paraId="68339CF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 配套笔头 1、外部结构：定制塑料笔斗（与笔杆连接可卸，旋扭拆卸），笔头材质、制做工艺与传统毛笔一致，笔头全长 70mm，重约 7.0g（未粘水状态）。</w:t>
            </w:r>
          </w:p>
          <w:p w14:paraId="7F2A8DF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2、环境要求：非书写状态时需连同笔杆搁置充电笔架垂直放置。</w:t>
            </w:r>
          </w:p>
          <w:p w14:paraId="2D0D085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3、毛笔蘸水即可在触控屏书写，摆脱书写过程中的墨汁</w:t>
            </w:r>
          </w:p>
          <w:p w14:paraId="09DD9AC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污染，墨汁异味，清洁，环保，经济。</w:t>
            </w:r>
          </w:p>
          <w:p w14:paraId="03B69E2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 充电笔架 1、外部结构：红木材质，最大挂笔数：1 支，充电挂座： 1 个， 宽 18cm, 高 39cm ， 底座长 7.5cm ， 全重315g，笔架顶梁内置 led 指示灯，外置 USB 接口连接线</w:t>
            </w:r>
          </w:p>
          <w:p w14:paraId="19F01B7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（与 USB 口充电排插连接）。</w:t>
            </w:r>
          </w:p>
          <w:p w14:paraId="13FFBE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2、电气参数：输入电压 DC 5V，输出电压 DC 5V。</w:t>
            </w:r>
          </w:p>
          <w:p w14:paraId="7B806DC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3、笔架内置充电装置，可与平台机身以 USB 连接，挂笔着力点即为充电接口，笔架充电指示灯可显示毛笔充电情况。</w:t>
            </w:r>
          </w:p>
          <w:p w14:paraId="708318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二、系统资源：</w:t>
            </w:r>
          </w:p>
          <w:p w14:paraId="51797C6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 润笔功能：以水代墨技术，毛笔蘸水，起到润笔的效果，既捕捉传统书写的感受，又摆脱书写过程中的墨水污染，屏幕防水防爆，超液晶高清显示，清洁、环保、经济。</w:t>
            </w:r>
          </w:p>
          <w:p w14:paraId="3FC175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 功能模块：1.自由书写2.名帖临摹3.书法长廊4.名帖欣赏5.书法字典6.贵宾签名7.节气海报8.书法百科</w:t>
            </w:r>
          </w:p>
          <w:p w14:paraId="0EAB666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 自由书写：体验者可使用此模块以水代墨，以屏代纸，自由书写、随性练习，可以进行完整的书法创作流程，作品保存、分享、打印等输出流程。提供不少于72幅创作背景选择，创作过程中 5 种田字格虚线、5 种竖向分隔虚线供创作者定位。作品输出过程中虚线自动消失。提供擦除功能和笔画回退功能，回退笔画数量最多支持无限次回退。</w:t>
            </w:r>
          </w:p>
          <w:p w14:paraId="534CC8C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 名帖临摹：提供不少于22位名家34本名帖，书体有楷书、行书、草书、篆、隶楷，名书家有：王羲之，欧阳询，颜真卿，柳公权，赵孟頫等供临摹学习，可选择描红或直接临摹，学习结果可保存分享打印</w:t>
            </w:r>
          </w:p>
          <w:p w14:paraId="594C776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 书法长廊：本机保存的优秀书法作品的展示平台，让用户之间更好的交流，相互学习，提高书法艺术水平，可点赞、分享、打印。</w:t>
            </w:r>
          </w:p>
          <w:p w14:paraId="3684CCA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 名帖欣赏：收录从三国时期、至今各个时期、不同风格的海量书法精品不少于700幅，是书法学习、临摹、鉴赏、研究的好资源。</w:t>
            </w:r>
          </w:p>
          <w:p w14:paraId="3A5B2B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 书法字典：提供楷行隶篆草 5 种字体历代名家50 万字书法字库，学习者可手写/笔写输入查询，查询到的任何一个字任何一个名家的任何书法单字，均可直接描红、临摹，并随意切换原字体呈现模式。</w:t>
            </w:r>
          </w:p>
          <w:p w14:paraId="2979CE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 贵宾签名：：提供会议、活动不少于6种风格背景数字签名板，与会者可直接利用书法台签名，签名位置可选择签名板的任何位置，签名板可全屏投影在会议大屏。</w:t>
            </w:r>
          </w:p>
          <w:p w14:paraId="2A0226F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 节气海报：提供春夏秋冬 24 种节气现成海报背景，每种节气提供科普和传统文化诠释；可以现成海报为原型进行书法内容临摹或者个性化书写、题字，并保持高清大图分享打印。</w:t>
            </w:r>
          </w:p>
          <w:p w14:paraId="56B6E7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 书法百科：提供 20 本书法文化、书法学习所需电子图书供学习者翻阅，画面清晰、老少皆宜。</w:t>
            </w:r>
          </w:p>
          <w:p w14:paraId="4D9ED79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 背景DIY：内置纯色、山水、花鸟、中国红4类共72幅书写背景可供选择，可以全屏随意书写。</w:t>
            </w:r>
          </w:p>
          <w:p w14:paraId="07D1D72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 印章DIY：提供不少于12种风格的电子印章制作功能，体验者可以现场快速制作适合自身风格的印章，可选择方形或圆形等印章，印章支持放大、缩小、随意拖动位置，进行印章加盖。</w:t>
            </w:r>
          </w:p>
          <w:p w14:paraId="7787C10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 装裱DIY：提供立轴、镜框2种装裱形式，共8类24种风格的字画装裱背景可选，可直接对作品进行电子装裱。装裱后的作品可以打印，可分享朋友圈。</w:t>
            </w:r>
          </w:p>
          <w:p w14:paraId="5D4CB43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 海报DIY：体验者可将手机中的照片扫码上传，并以照片为素材或者背景现场题词、制作海报；提供7种设计模板，使用模板可自动生成海报；提对海报作品的保存分享打印功能。</w:t>
            </w:r>
          </w:p>
          <w:p w14:paraId="07B4CE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 背景音乐：内置10首以上沉浸式古典背景音乐，开机自动播放，音量自由调节。</w:t>
            </w:r>
          </w:p>
          <w:p w14:paraId="6D9564A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三、产品功能：</w:t>
            </w:r>
          </w:p>
          <w:p w14:paraId="673B3D1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 分享：点击分享，生成相应二维码，书写者扫描后，作品即可上传至手机，保存到本地相册、可分享到朋友圈。</w:t>
            </w:r>
          </w:p>
          <w:p w14:paraId="76D26CD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 保存功能：书写的作品可以一键保存到本地，并可随时查看。</w:t>
            </w:r>
          </w:p>
          <w:p w14:paraId="1D01BDC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 后退功能：点击相应按钮，可以退一步，方便书写者修改某一笔不满意的笔画，后退次数没有限制，根据需求可以退至最初的空白背景。</w:t>
            </w:r>
          </w:p>
          <w:p w14:paraId="783613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 重画功能：点击相应按钮，可全屏清空，全部删除掉已书写的部分。</w:t>
            </w:r>
          </w:p>
          <w:p w14:paraId="3251457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 打印：支持在本地连接打印机，书法作品可以直接点击预览、纸张选择，打印，并即时打印出来，现场作品尺寸大小与打印机所配备的纸张大小一致。</w:t>
            </w:r>
          </w:p>
          <w:p w14:paraId="116424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 超尺寸打印邮寄：如有超出现场打印机配置的作品尺寸需求，可以上传至线上商城，标注好所需尺寸，联系商城打印，邮寄到家。</w:t>
            </w:r>
          </w:p>
          <w:p w14:paraId="27D8387B">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8 数据统计：利用图表把每日，每周，每月的用户体验数据通过处理分析实现数据直观展示，数据存储于本地和云数据库，开放接口，支持与其它云平台数据对接。</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211481D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2 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7102043">
            <w:pPr>
              <w:jc w:val="center"/>
              <w:rPr>
                <w:rFonts w:hint="eastAsia" w:asciiTheme="minorEastAsia" w:hAnsiTheme="minorEastAsia" w:eastAsiaTheme="minorEastAsia" w:cstheme="minorEastAsia"/>
                <w:color w:val="auto"/>
                <w:sz w:val="24"/>
                <w:lang w:val="en-US" w:eastAsia="zh-CN"/>
              </w:rPr>
            </w:pPr>
          </w:p>
        </w:tc>
      </w:tr>
      <w:tr w14:paraId="66686612">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79EF70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24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E62E66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一体机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69FF759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一、整机设计</w:t>
            </w:r>
          </w:p>
          <w:p w14:paraId="7F7FF8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1、整机屏幕采用≥86英寸液晶显示器，采用超高清LED液晶显示屏，显示比例≥16:9，分辨率≥3840（H）×2160(V)，采用防眩光玻璃，屏幕支持防眩光功能，钢化玻璃表面硬度≥9H。</w:t>
            </w:r>
          </w:p>
          <w:p w14:paraId="19DF04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2、支持标准、多媒体和节能三种图像模式调节。</w:t>
            </w:r>
          </w:p>
          <w:p w14:paraId="3E44034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3、三合一电源按键，同一电源物理按键完成Android系统和Windows系统的开机、节能熄屏、关机操作；关机状态下按按键开机；开机状态下按按键实现节能熄屏/唤醒，长按按键实现关机。</w:t>
            </w:r>
          </w:p>
          <w:p w14:paraId="6CB3A6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整机具备前置Type-C接口，通过Type-C接口实现音视频输入，外接电脑设备经双头Type-C线连接至整机，即可把外接电脑设备画面投到整机上，同时在整机上操作画面，可实现触摸电脑的操作，无需再连接触控USB线。</w:t>
            </w:r>
          </w:p>
          <w:p w14:paraId="087DB2C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5、支持标准、听力、观影和AI空间感知音效模式，AI空间感知音效模式可通过内置麦克风采集教室物理环境声音，自动生成符合当前教室物理环境的频段、音量、音效。</w:t>
            </w:r>
          </w:p>
          <w:p w14:paraId="0AAE88E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141B80A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7、整机支持提笔书写，在Windows系统下可实现无需点击任意功能入口，当检测到红外笔笔尖接触屏幕时，自动进入书写模式。</w:t>
            </w:r>
          </w:p>
          <w:p w14:paraId="6F20FCF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8、整机在纸质护眼模式下，显示画面各像素点灰度不规则，减少背景干扰，全通道支持纸质护眼模式，可实现画面纹理的实时调整；支持纸质纹理：牛皮纸、素描纸、宣纸、水彩纸、水纹纸；</w:t>
            </w:r>
          </w:p>
          <w:p w14:paraId="20EFB5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9、整机上边框内置非独立式摄像头，可拍摄≥1300万像素的照片，具备摄像头工作指示灯，摄像头运行时，有指示灯提示。</w:t>
            </w:r>
          </w:p>
          <w:p w14:paraId="30179AD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10、整机摄像头支持人脸识别、清点人数、随机抽人；识别所有学生，显示标记，然后随机抽选，同时显示标记不少于60人。</w:t>
            </w:r>
          </w:p>
          <w:p w14:paraId="37801EA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11、整机支持发出频率为18kHz-22kHz超声波信号，智能手机通过麦克风接收后，智能手机与整机无需在同一局域网内，可实现配对，一键投屏，用户无需手动输入投屏码或扫码获取投屏码。</w:t>
            </w:r>
          </w:p>
          <w:p w14:paraId="0368DCE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12、整机内置全通道侧边栏快捷菜单，小工具、应用软件、快捷设置、亮度/音量调节、教室物联入口。</w:t>
            </w:r>
          </w:p>
          <w:p w14:paraId="3C81EB3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13、整机Windows通道支持文件传输应用，支持通过扫码、wifi直联、超声三种方式与手机进行握手连接，实现文件传输功能。</w:t>
            </w:r>
          </w:p>
          <w:p w14:paraId="6FFC103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14、电脑模块采用按压式卡扣设计，便于维护与保养；电脑处理器：四核心八线程以上配置；内存：8GB DDR4笔记本内存或以上配置；硬盘：256GB或以上SSD固态硬盘。</w:t>
            </w:r>
          </w:p>
          <w:p w14:paraId="3CFFF59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二、白板软件</w:t>
            </w:r>
          </w:p>
          <w:p w14:paraId="22DDB08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1、为全校教师提供可扩展，易于学校管理，安全可靠的云存储空间，根据每名教师使用时长与教学资料制作频率提供可扩展升级至不小于200G的个人云空间。</w:t>
            </w:r>
          </w:p>
          <w:p w14:paraId="4855012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2、支持老师个人账号注册登录使用，也可通过USB key进行身份快速识别登录。</w:t>
            </w:r>
          </w:p>
          <w:p w14:paraId="671DDA5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3、采用备授课一体化框架设计，教师可根据教学场景自由切换类PPT界面的备课模式与触控交互教学模式，适用于教室、办公室等不同教学环境，便于教师教学使用。</w:t>
            </w:r>
          </w:p>
          <w:p w14:paraId="3D88883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白板软件APP端支持上传手机相册中的照片和视频到资料夹，且支持调用系统相机拍摄照片并直接上传；教师可以在备课端选择资源插入课件；APP版支持在线预览、下载资料夹中的图片和视频；支持对通过APP和PC端上传的资源移动、删除和重命名；资料夹中的多媒体素材可随时插入教学互动课件，同时教学互动课件内的多媒体素材可在课件内直接上传至资料夹中，便于教师调用、采集教学素材。</w:t>
            </w:r>
          </w:p>
          <w:p w14:paraId="0E9D351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白板软件支持PC端/APP端实现信息化集体备课：支持自定义编辑备课主题、集备内容、上传课件、教案、微课视频资源，可自定义添加集备教师、设置访问权限及评论和批注权限，教师可以针对课件、教案进行批注和研讨；主备人可多次修改稿件后上传，具备稿件版本对比功能；支持集备信息、数据统计、访问记录、研讨记录等查看；支持在教学教研管理平台中查看学校集体备课数据并以Excel表格的形式导出数据，便于数据的分享。</w:t>
            </w:r>
          </w:p>
          <w:p w14:paraId="3BD66E7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6、互动课件内容的编辑修改无需人为保存即可自动同步至云空间，可根据教师需要调整云空间自动同步的时间间隔，避免教学资源的损坏、遗失。</w:t>
            </w:r>
          </w:p>
          <w:p w14:paraId="748459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支持一对一分享云课件，用户可在软件中直接输入对方的注册手机号，可将云课件精准推送至用户教学账号云空间，用户可在软件中直接接收并打开课件。也可通过链接方式分享，并设置“公开”或“加密”的分享方式以及资料有效期限。</w:t>
            </w:r>
          </w:p>
          <w:p w14:paraId="1917D56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软件自带直播课堂功能，老师可在白板软件中提前创建直播课堂，并关联个人空间中的课件，生成听课码，学生只需微信扫码即可快速加入直播课堂，老师还可实时下发客观答题，学生可远程实时互动答题，并进行课堂发言和同步板书书写。</w:t>
            </w:r>
          </w:p>
          <w:p w14:paraId="1CC324A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9、具备图形自由创作工具，教师可自由绘制复杂的任意多边图形及曲边图形；教师自主创作的图形可存储至个人云空间便于后续使用。</w:t>
            </w:r>
          </w:p>
          <w:p w14:paraId="680A45F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10、内置专用美术画板工具，提供铅笔、毛笔、油画笔等笔触，具备符合绘画调色教学需求的模拟调色盘，可选择不同颜色混合调色，便于学生理解调色合成过程。</w:t>
            </w:r>
          </w:p>
          <w:p w14:paraId="2062EC2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白板软件支持微课文字快剪功能，支持上传本地视频文件并进行AI语音文字转写，教师只需选中对应文字内容并删除，即可完成相应微课视频片段的剪辑；支持一键勾选语气词，并进行删除；文字快剪结束后，支持一键进入视频剪辑界面，进行微课视频的精细化剪辑，可一键导出为本地微课视频或通过二维码的形式进行微课视频的分享。</w:t>
            </w:r>
          </w:p>
          <w:p w14:paraId="309CB41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为方便教学评课和课件分享，白板软件支持授课评价功能，可在课件中一键生成评课和课件分享二维码，方便教师实时评课。老师可选择评课标准，学校可根据实际情况自定义评课模板，支持添加评分题、主观题等类型，设定评课范围与权限。教师的评价结果马上同步到教学管理平台。</w:t>
            </w:r>
          </w:p>
          <w:p w14:paraId="2551984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为了方便教师随时随地查看课件，白板软件APP端登录账号后，支持以列表的方式查看该账号里所有的云课件，打开云课件可对课件中的形状、文本、图片等元素克隆、删除等操作；云课件可通过微信、朋友圈、钉钉、手机号、二维码、加密链接等多种方式实现快速分享；APP具备课件回收站功能，按支持教师在3天内恢复或彻底删除单份/多份/全部已删除课件；支持通过APP录制课件讲解同步的微课视频，视频可直接同步到教师云空间。</w:t>
            </w:r>
          </w:p>
          <w:p w14:paraId="491D3AA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白板软件具备英语工具AI智能纠错功能，内置AI智能语义分析模块，可对输入的英文文本的拼写、句型、语法进行错误检查，并支持一键纠错；提供英汉字典，支持输入英文单词生成单词卡和详解页，包含单词的释义、读音、例句、词组、近义词等，可插入多个单词卡，同时支持教师自定义编辑单词释义、创建未收录的生僻单词供授课使用；配置听写工具，覆盖不少于8000个英语单词，支持自定义选择单词，根据单词智能生成读音；支持自定义听写频率和次数，一键生成听写卡；授课模式支持一键开启听写朗读，结束后可公布答案。</w:t>
            </w:r>
          </w:p>
          <w:p w14:paraId="03E0E77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三、网络安全管理系统：</w:t>
            </w:r>
          </w:p>
          <w:p w14:paraId="4AF79CA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1、支持导出设备使用风险报告，整体分析设备网络安全状况，快速了解网络安全风险，提供安全规划建设建议</w:t>
            </w:r>
          </w:p>
          <w:p w14:paraId="20B3A7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2、构建文件信誉库，当一台设备发现病毒文件，全网可感知并查杀，支持选择处置病毒时是否在其它终端上同步处置</w:t>
            </w:r>
          </w:p>
          <w:p w14:paraId="74B2124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3、支持对设备的漏洞情况进行扫描，查看漏洞具体情况及KB号，并显示具体修复情况</w:t>
            </w:r>
          </w:p>
          <w:p w14:paraId="6E1E7BD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支持展示流量分布排行、业务流量排行(发送，接收)、业务访问趋势（发送流速、接收流速和用户数）；服务器详情支持展示服务器的资源状态（CPU占有率、内存占有率和磁盘率）、流量分布排行、该服务器开放的服务；支持基于威胁情报的病毒特征值和域名全网终端搜索，可定位出全网该病毒的感染情况</w:t>
            </w:r>
          </w:p>
          <w:p w14:paraId="17049DA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5、支持与同厂商的下一代防火墙联动，对僵尸网络进行举证、溯源和联动查杀</w:t>
            </w:r>
          </w:p>
          <w:p w14:paraId="76D54539">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6、 支持Windows系统的违规外联动,能有效帮助管理员规范终端上网行为</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3122ACA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2 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198EC30">
            <w:pPr>
              <w:jc w:val="center"/>
              <w:rPr>
                <w:rFonts w:hint="eastAsia" w:asciiTheme="minorEastAsia" w:hAnsiTheme="minorEastAsia" w:eastAsiaTheme="minorEastAsia" w:cstheme="minorEastAsia"/>
                <w:color w:val="auto"/>
                <w:sz w:val="24"/>
                <w:lang w:val="en-US" w:eastAsia="zh-CN"/>
              </w:rPr>
            </w:pPr>
          </w:p>
        </w:tc>
      </w:tr>
      <w:tr w14:paraId="395E32D8">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1E09314D">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25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9553F2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智慧黑板</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09DEE54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一、整机要求</w:t>
            </w:r>
          </w:p>
          <w:p w14:paraId="3F66E68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1.整机采用全金属外壳，三拼接平面一体化设计，中间主屏幕整机采用86英寸液晶显示器，分辨率3840w×2160g。整机背板采用金属材质。无推拉式结构，外部无任何可见内部功能模块连接线。</w:t>
            </w:r>
          </w:p>
          <w:p w14:paraId="203AA38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2.嵌入式系统版本不低于Android 14，主频≥1.8GHz，内存≥2GB，存储空间≥8GB，嵌入式芯片内置2TOPS AI算力，可用于AI图像、音频处理。</w:t>
            </w:r>
          </w:p>
          <w:p w14:paraId="2502F58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3.整机设备副屏支持磁吸附功能，可以满足带有磁吸的板擦等教具进行吸附在副屏上。</w:t>
            </w:r>
          </w:p>
          <w:p w14:paraId="10F7D3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4.采用红外触控方式，支持Windows、Android系统40点或以上触控书写。</w:t>
            </w:r>
          </w:p>
          <w:p w14:paraId="52E2320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5.整机支持色彩空间可选，包含标准模式和sRGB模式，在sRGB模式下可做到高色准△E≤1</w:t>
            </w:r>
          </w:p>
          <w:p w14:paraId="6D83248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6.支持标准、多媒体和节能三种图像模式调节。支持可自定义图像设置，可对对比度、屏幕色温、图像亮度、亮度范围、色彩空间等进行更进一步调节设置。</w:t>
            </w:r>
          </w:p>
          <w:p w14:paraId="5239D6E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7.设备支持自定义前置“设置"按键，可通过自定义设置实现前置面板功能按键一键启用任一全局小工具或某功能快捷开关。</w:t>
            </w:r>
          </w:p>
          <w:p w14:paraId="632F727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8.整机支持纸质护眼模式，可以在任意通道任意画面任意软件所有显示内容下实现画面纹理的实时调整；支持透明度调节；支持色温调节。</w:t>
            </w:r>
          </w:p>
          <w:p w14:paraId="377FA6F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9.整机侧边栏内置朗读工具，通过整机麦克风内置音频检测算法监测教室中学生的朗读情况，以游戏化界面呈现朗读积极性，调动学生朗读兴趣（提供国家权威检测报告复印件并加盖厂家公章）</w:t>
            </w:r>
          </w:p>
          <w:p w14:paraId="1B6D6A9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10.整机内置的阵列麦支持在无任何外部设备的情况下，实时录制用户朗读内容，识别用户声纹并进行统一身份登录操作，登录后自动获取个人云端教学课件列表，打开教学白板软件时可跳过软件自带登录步骤。</w:t>
            </w:r>
          </w:p>
          <w:p w14:paraId="438C35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11.支持云端在线系统固件升级。</w:t>
            </w:r>
          </w:p>
          <w:p w14:paraId="443C1A8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二、扬声器与摄像头</w:t>
            </w:r>
          </w:p>
          <w:p w14:paraId="1AFF18F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1.整机内置不低于2.2声道扬声器，具备多方向扬声器，额定总功率不低于60W，全部扬声器均采用模块化设计，无需打开背板即可单独拆卸，便于维护。</w:t>
            </w:r>
          </w:p>
          <w:p w14:paraId="2739AA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2.整机内置非独立外扩展的8阵列麦克风，拾音角度≥180°，拾音距离≥12m。</w:t>
            </w:r>
          </w:p>
          <w:p w14:paraId="418C309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3.整机内置≥5000万摄像头，视场角≥120度。可用于远程巡课，整机摄像头支持大于等于10米距离时实现AI识别人像。具备人脸识别、快速点人数、随机抽人；识别所有学生，显示标记功能。</w:t>
            </w:r>
          </w:p>
          <w:p w14:paraId="687C943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三、副屏板书保存</w:t>
            </w:r>
          </w:p>
          <w:p w14:paraId="37EE52D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1.主屏内置浮动窗口，在副屏书写时，主屏能实时同步显示书写轨迹</w:t>
            </w:r>
          </w:p>
          <w:p w14:paraId="3FC1608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2.副屏支持使用手掌、板擦擦除并在主屏板书软件中同步显示</w:t>
            </w:r>
          </w:p>
          <w:p w14:paraId="234F8AB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3.整机设备只用一路电源进行供电，无需针对副屏电子化功能再增加电源进行单独供电。</w:t>
            </w:r>
          </w:p>
          <w:p w14:paraId="1E97500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四、OPS模块</w:t>
            </w:r>
          </w:p>
          <w:p w14:paraId="3D69906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1.处理器：Intel Core i5十二代及以上，内存：8G DDR4 或以上配置，硬盘≥256G SSD 固态硬盘，采用抽拉内置式模块化电脑，抽拉内置式，PC模块可插入整机，可实现无单独接线的插拔。</w:t>
            </w:r>
          </w:p>
          <w:p w14:paraId="7E2A3AC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2.具有独立非外扩展的电脑USB接口：≥3路USB。≥1 路 HDMI ；正版操作系统。</w:t>
            </w:r>
          </w:p>
          <w:p w14:paraId="2885E40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五、教学软件</w:t>
            </w:r>
          </w:p>
          <w:p w14:paraId="2E388A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1、为全校教师提供可扩展，易于学校管理，安全可靠的云存储空间，根据每名教师使用时长与教学资料制作频率提供可扩展升级至不小于200G的个人云空间。</w:t>
            </w:r>
          </w:p>
          <w:p w14:paraId="0361F8D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2、支持老师个人账号注册登录使用，也可通过USB key进行身份快速识别登录。</w:t>
            </w:r>
          </w:p>
          <w:p w14:paraId="5FEE2ED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3、采用备授课一体化框架设计，教师可根据教学场景自由切换类PPT界面的备课模式与触控交互教学模式，适用于教室、办公室等不同教学环境，便于教师教学使用。</w:t>
            </w:r>
          </w:p>
          <w:p w14:paraId="17371ED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白板软件APP端支持上传手机相册中的照片和视频到资料夹，且支持调用系统相机拍摄照片并直接上传；教师可以在备课端选择资源插入课件；APP版支持在线预览、下载资料夹中的图片和视频；支持对通过APP和PC端上传的资源移动、删除和重命名；资料夹中的多媒体素材可随时插入教学互动课件，同时教学互动课件内的多媒体素材可在课件内直接上传至资料夹中，便于教师调用、采集教学素材。</w:t>
            </w:r>
          </w:p>
          <w:p w14:paraId="0552DB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白板软件支持PC端/APP端实现信息化集体备课：支持自定义编辑备课主题、集备内容、上传课件、教案、微课视频资源，可自定义添加集备教师、设置访问权限及评论和批注权限，教师可以针对课件、教案进行批注和研讨；主备人可多次修改稿件后上传，具备稿件版本对比功能；支持集备信息、数据统计、访问记录、研讨记录等查看；支持在教学教研管理平台中查看学校集体备课数据并以Excel表格的形式导出数据，便于数据的分享。</w:t>
            </w:r>
          </w:p>
          <w:p w14:paraId="55DBE3A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6、互动课件内容的编辑修改无需人为保存即可自动同步至云空间，可根据教师需要调整云空间自动同步的时间间隔，避免教学资源的损坏、遗失。</w:t>
            </w:r>
          </w:p>
          <w:p w14:paraId="767C366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支持一对一分享云课件，用户可在软件中直接输入对方的注册手机号，可将云课件精准推送至用户教学账号云空间，用户可在软件中直接接收并打开课件。也可通过链接方式分享，并设置“公开”或“加密”的分享方式以及资料有效期限。</w:t>
            </w:r>
          </w:p>
          <w:p w14:paraId="15EF219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软件自带直播课堂功能，老师可在白板软件中提前创建直播课堂，并关联个人空间中的课件，生成听课码，学生只需微信扫码即可快速加入直播课堂，老师还可实时下发客观答题，学生可远程实时互动答题，并进行课堂发言和同步板书书写。</w:t>
            </w:r>
          </w:p>
          <w:p w14:paraId="7DEA3B9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9、具备图形自由创作工具，教师可自由绘制复杂的任意多边图形及曲边图形；教师自主创作的图形可存储至个人云空间便于后续使用。</w:t>
            </w:r>
          </w:p>
          <w:p w14:paraId="4FA9C2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10、内置专用美术画板工具，提供铅笔、毛笔、油画笔等笔触，具备符合绘画调色教学需求的模拟调色盘，可选择不同颜色混合调色，便于学生理解调色合成过程。</w:t>
            </w:r>
          </w:p>
          <w:p w14:paraId="3C27ED8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白板软件支持微课文字快剪功能，支持上传本地视频文件并进行AI语音文字转写，教师只需选中对应文字内容并删除，即可完成相应微课视频片段的剪辑；支持一键勾选语气词，并进行删除；文字快剪结束后，支持一键进入视频剪辑界面，进行微课视频的精细化剪辑，可一键导出为本地微课视频或通过二维码的形式进行微课视频的分享。</w:t>
            </w:r>
          </w:p>
          <w:p w14:paraId="7592215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为方便教学评课和课件分享，白板软件支持授课评价功能，可在课件中一键生成评课和课件分享二维码，方便教师实时评课。老师可选择评课标准，学校可根据实际情况自定义评课模板，支持添加评分题、主观题等类型，设定评课范围与权限。教师的评价结果马上同步到教学管理平台。</w:t>
            </w:r>
          </w:p>
          <w:p w14:paraId="09C29EF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为了方便教师随时随地查看课件，白板软件APP端登录账号后，支持以列表的方式查看该账号里所有的云课件，打开云课件可对课件中的形状、文本、图片等元素克隆、删除等操作；云课件可通过微信、朋友圈、钉钉、手机号、二维码、加密链接等多种方式实现快速分享；APP具备课件回收站功能，按支持教师在3天内恢复或彻底删除单份/多份/全部已删除课件；支持通过APP录制课件讲解同步的微课视频，视频可直接同步到教师云空间。</w:t>
            </w:r>
          </w:p>
          <w:p w14:paraId="197D2F3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白板软件具备英语工具AI智能纠错功能，内置AI智能语义分析模块，可对输入的英文文本的拼写、句型、语法进行错误检查，并支持一键纠错；提供英汉字典，支持输入英文单词生成单词卡和详解页，包含单词的释义、读音、例句、词组、近义词等，可插入多个单词卡，同时支持教师自定义编辑单词释义、创建未收录的生僻单词供授课使用；配置听写工具，覆盖不少于8000个英语单词，支持自定义选择单词，根据单词智能生成读音；支持自定义听写频率和次数，一键生成听写卡；授课模式支持一键开启听写朗读，结束后可公布答案。</w:t>
            </w:r>
          </w:p>
          <w:p w14:paraId="15976388">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六、平台对接：产品自带的教学资源、软件和教研中心、统一管控，需与学校、区域现有设备集中管理、教师教研等平台实现无缝对接，</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1663CE4F">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1台 </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EAFEA81">
            <w:pPr>
              <w:jc w:val="center"/>
              <w:rPr>
                <w:rFonts w:hint="eastAsia" w:asciiTheme="minorEastAsia" w:hAnsiTheme="minorEastAsia" w:eastAsiaTheme="minorEastAsia" w:cstheme="minorEastAsia"/>
                <w:color w:val="auto"/>
                <w:sz w:val="24"/>
                <w:lang w:val="en-US" w:eastAsia="zh-CN"/>
              </w:rPr>
            </w:pPr>
          </w:p>
        </w:tc>
      </w:tr>
      <w:tr w14:paraId="6CA281EC">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1E7F2518">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26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BB92F6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纸质图书</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6AFDCC7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本次采购图书其内容必须符合小学生认知阅读水平,杜绝含有反动、黄色、恐怖、网络游戏、违反国家法律法规政策内容及其他不适合小学生阅读的图书出现，所有图书均无政治性、科学性错误出现。以文字版为主，图书应符合国家出版部门规定的图书质量。</w:t>
            </w:r>
          </w:p>
          <w:p w14:paraId="3289007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技术参数要求：</w:t>
            </w:r>
          </w:p>
          <w:p w14:paraId="16F474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图书印刷质量及装订执行标准：</w:t>
            </w:r>
          </w:p>
          <w:p w14:paraId="2C56248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1、封面印刷</w:t>
            </w:r>
          </w:p>
          <w:p w14:paraId="4A10261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套印准确，字、图、点、线印迹清楚，不花、不毛、不糊，实地版墨色均匀，无回胶印，背面不脏。</w:t>
            </w:r>
          </w:p>
          <w:p w14:paraId="425215C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2、插图印刷</w:t>
            </w:r>
          </w:p>
          <w:p w14:paraId="2F5DF3E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（1）套印准确，层次分明，轮廓实，电分制版无浮雕印；</w:t>
            </w:r>
          </w:p>
          <w:p w14:paraId="278A960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（2）网点清晰饱满，小点不秃，大点光洁不糊，质感好；</w:t>
            </w:r>
          </w:p>
          <w:p w14:paraId="648715C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（3）墨色均匀厚实，色彩鲜有光泽，肤色正，接版准确，色调深浅一致。</w:t>
            </w:r>
          </w:p>
          <w:p w14:paraId="7535F58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3、正文印刷</w:t>
            </w:r>
          </w:p>
          <w:p w14:paraId="04B268D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（1）压力：压力适度，全书前后轻重一致；</w:t>
            </w:r>
          </w:p>
          <w:p w14:paraId="5D41630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（2）墨色：全书前后墨色一致，浓淡适度；</w:t>
            </w:r>
          </w:p>
          <w:p w14:paraId="306E177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（3）套印：版面端正，正反套印准确；</w:t>
            </w:r>
          </w:p>
          <w:p w14:paraId="10DA0B5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（4）文字：文字、标点清晰，笔锋挺秀，无缺笔断划，标题黑实不花，小字不糊不瞎；</w:t>
            </w:r>
          </w:p>
          <w:p w14:paraId="651B59E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（5）其它：书面无脏污、破损，无钉花、野墨。</w:t>
            </w:r>
          </w:p>
          <w:p w14:paraId="5A1160D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4、装订</w:t>
            </w:r>
          </w:p>
          <w:p w14:paraId="6E153D4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（1）开本尺寸符合设计要求，套书规格一致，成品裁切方正，无明显刀花，无连接页、折角、破头；</w:t>
            </w:r>
          </w:p>
          <w:p w14:paraId="34763C3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（2）书背平整，无空背、起泡、明显皱折，书脊字居中，封面齐色，边框要色正.(八字折等)；</w:t>
            </w:r>
          </w:p>
          <w:p w14:paraId="0136A2A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（3）全书页码折正，书面平服，无皱折(八字折等)；</w:t>
            </w:r>
          </w:p>
          <w:p w14:paraId="0352546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（4）骑马钉、平钉的钉脚不翘，无断丝、凸肚，钉距匀称，坚实牢固易翻不脱页；</w:t>
            </w:r>
          </w:p>
          <w:p w14:paraId="1FBE968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（5）其它：书页整洁，无赃污、破页、野胶。</w:t>
            </w:r>
          </w:p>
          <w:p w14:paraId="1F0DEEF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5、执行标准</w:t>
            </w:r>
          </w:p>
          <w:p w14:paraId="594DA01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（1）《中华人民共和国产品质量法》及新闻出版总署公布的《图书质量管理规定》标准。</w:t>
            </w:r>
          </w:p>
          <w:p w14:paraId="03FCB11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（2）CY/T5-1999平版印刷品质量要求及检验方法。</w:t>
            </w:r>
          </w:p>
          <w:p w14:paraId="58AFD28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（3）CY/T27-1999装订质量要求及检验方法精装。</w:t>
            </w:r>
          </w:p>
          <w:p w14:paraId="2F80D25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（4）CY/T28-1999装订质量要求及检验方法平装。</w:t>
            </w:r>
          </w:p>
          <w:p w14:paraId="0737C43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（5）CY/T29-1999装订质量要求及检验方法。</w:t>
            </w:r>
          </w:p>
          <w:p w14:paraId="6E205995">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6、投标的所有图书均为正版发行，出版手续齐全，无知识产权、版权纠纷；必须保证所供图书为正版图书，投标时必须提交相关承诺书。</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4F20E68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2000 册</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9469D70">
            <w:pPr>
              <w:jc w:val="center"/>
              <w:rPr>
                <w:rFonts w:hint="eastAsia" w:asciiTheme="minorEastAsia" w:hAnsiTheme="minorEastAsia" w:eastAsiaTheme="minorEastAsia" w:cstheme="minorEastAsia"/>
                <w:color w:val="auto"/>
                <w:sz w:val="24"/>
                <w:lang w:val="en-US" w:eastAsia="zh-CN"/>
              </w:rPr>
            </w:pPr>
          </w:p>
        </w:tc>
      </w:tr>
      <w:tr w14:paraId="4F094D30">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46F246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27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C3BE4A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高清录播主机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53CAC25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一.总体要求</w:t>
            </w:r>
          </w:p>
          <w:p w14:paraId="002C806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1、要求本期采购高清录播主机应无缝接入伽师县教育局平台，完成整个县级区域内互动教学及教研评课无缝对接，如互动教学、视频会议、区域直播、教研磨课等。</w:t>
            </w:r>
          </w:p>
          <w:p w14:paraId="101279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2、要求录播主机与视频资源管理平台、高清摄像机设备为同一品牌。                                                                                 </w:t>
            </w:r>
          </w:p>
          <w:p w14:paraId="753A220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二.技术要求                                                                                                                                                    </w:t>
            </w:r>
          </w:p>
          <w:p w14:paraId="7A4CF1F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1.要求录播主机功能高度集成化，单机具备录制、导播、自动跟踪、存储、点播、互动等功能，不接受外接或扩展设备方式。</w:t>
            </w:r>
          </w:p>
          <w:p w14:paraId="2572741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2.要求录播主机采用安全电压供电，机身不产生其他视频、强光源等影响学生课堂专注力。</w:t>
            </w:r>
          </w:p>
          <w:p w14:paraId="573FD53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3.要求录播主机支持EQ均衡、回声抑制、自动增益、噪声抑制等音频处理功能。</w:t>
            </w:r>
          </w:p>
          <w:p w14:paraId="2B0C88B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4.要求录播主机支持不低于4路SDI视频输入接口、不低于2路HDMI输入接口；不低于3路HDMI输出接口。</w:t>
            </w:r>
          </w:p>
          <w:p w14:paraId="34B3175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5.要求录播主机的数字音频接口支持音频通过普通”双绞线“连接，可在采集数字音频信号的同时对数字麦克风进行供电。</w:t>
            </w:r>
          </w:p>
          <w:p w14:paraId="66F7B2E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6.要求录播主机在通电关机或休眠状态下，断电情况下开展日常授课时（不录制、互动等）仍能完成麦克风、电脑等教学音频环出应用。</w:t>
            </w:r>
          </w:p>
          <w:p w14:paraId="3DDC7EF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7.录播主机支持不低于1路网络接口，10/100/1000M网络自适应。</w:t>
            </w:r>
          </w:p>
          <w:p w14:paraId="14AC4A9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8.要求录播主机内置不少于2T存储空间，用于视频文件的存储，在设备网页具备对单个视频文件查看、下载、与删除等功能。</w:t>
            </w:r>
          </w:p>
          <w:p w14:paraId="7153018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9.要求录播主机支持不低于2路控制接口，兼容RS232、RS422控制协议，用于连接控制设备。</w:t>
            </w:r>
          </w:p>
          <w:p w14:paraId="4EA03D4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10.为了便于录播设备连接鼠标、键盘进行导播控制以及设备连接U盘进行课程视频的下载，要求设备支持不低于2路USB接口。</w:t>
            </w:r>
          </w:p>
          <w:p w14:paraId="5DE0B8E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11.要求录播主机具备不低于4路数字音频输入接口、2路线性音频输入接口Linein；2路线性音频输出接口Lineout。</w:t>
            </w:r>
          </w:p>
          <w:p w14:paraId="6988ED3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12.要求录播主机支持定时休眠唤醒功能，并提供自定义时间设置，可以单独设置是否定时休眠或者定时唤醒。</w:t>
            </w:r>
          </w:p>
          <w:p w14:paraId="64F8DA2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13.要求录播主机采集的摄像机信号无需经过编解码，无画质损耗。具备声画同步机制，实现≤100ms的声画同步，保障录制视频质量。</w:t>
            </w:r>
          </w:p>
          <w:p w14:paraId="6B6A8342">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14.要求录播主机支持录像文件循环覆盖功能，开启循环覆盖功能后，录播硬盘在已存储90%的空间时，再次启动录制将删除录播内现存时间最早的录像文件以应对录制频率比较高的情况。</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2A09869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zh-CN" w:bidi="ar"/>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 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717B29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zh-CN" w:bidi="ar"/>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核心产品</w:t>
            </w:r>
          </w:p>
        </w:tc>
      </w:tr>
      <w:tr w14:paraId="250E711F">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33BB2F4C">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28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7F32AF6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录播流媒体处理软件</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12723D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1.软件兼容IE、火狐、搜狗等主流浏览器通过网络直接访问软件后台进行管理应用；</w:t>
            </w:r>
          </w:p>
          <w:p w14:paraId="3784C4E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2.软件具备录制、暂停、结束等基本功能操作，并支持通过外接控制设备以及网页web登录控制等方式进行录制控制；</w:t>
            </w:r>
          </w:p>
          <w:p w14:paraId="46C7F63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3.软件具备网络导播和本地导播功能；</w:t>
            </w:r>
          </w:p>
          <w:p w14:paraId="7EB95AA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4.软件具备对录制视频按视频文件名、时间、时长进行排序，便于快速检索所需视频。支持对录像文件进行下载；</w:t>
            </w:r>
          </w:p>
          <w:p w14:paraId="4BDD90F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5.软件具备硬盘格式化功能，对设备异常断电、宕机造成的视频文件损坏进行自动修复，具备恢复出厂设置，能够实时初始化系统状态；</w:t>
            </w:r>
          </w:p>
          <w:p w14:paraId="3D016A0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6.软件具备资源模式与导播后的电影模式同时录制，支持对视频文件进行点播回放以及拖拽播放进度条播放；</w:t>
            </w:r>
          </w:p>
          <w:p w14:paraId="48D4A7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7.软件具备长视频分段录制的功能，可自定义视频文件分段时长，当录制课程时间较长时，可在不结束录制的条件下自动按分段时长将课程视频文件分割录制成多个视频文件。</w:t>
            </w:r>
          </w:p>
          <w:p w14:paraId="7A3B57D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8.软件具备摄像机云台控制技术，实现对接入摄像机的画面进行云台控制，包括画面上下左右移动、放大缩小变焦等操作。</w:t>
            </w:r>
          </w:p>
          <w:p w14:paraId="149C166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9.软件具备全自动、半自动、手动三种导播模式，并支持录制过程中任意切换导播模式。提供功能界面截图并加盖厂家公章。</w:t>
            </w:r>
          </w:p>
          <w:p w14:paraId="52D8C8E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软件具备全自动跟踪模式切换布局逻辑自定义，使用者可以按照自己的需求选择全自动跟踪所切换的画面内容与逻辑，且画面内容支持双分屏、画中画与自定义布局等。提供软件配套录播主机的第三方检测报告复印件。</w:t>
            </w:r>
          </w:p>
          <w:p w14:paraId="02CDDB9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11.为保证录制效果与质量，软件具备音频设置支持多场景设置配置，支持对录制、互动两个使用场景分别配置音频设置参数。并可在对应使用场景自动生效。提供软件配套录播主机的第三方检测报告复印件。</w:t>
            </w:r>
          </w:p>
          <w:p w14:paraId="6C5E562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12.软件具备对录播主机任意线性音频输入通道做单独配置，提供无线MIC或多媒体设备等多种类型选择，支持对音频比特率与采样率进行配置，保障音频效果。提供软件配套录播主机的第三方检测报告复印件。</w:t>
            </w:r>
          </w:p>
          <w:p w14:paraId="53E3F57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13.软件具备U盘同步录制保存的功能，在录播主机正常录制的同时，另存一份文件保存到U盘中。</w:t>
            </w:r>
          </w:p>
          <w:p w14:paraId="0DC0631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14.软件具备高低双码流同步录制，并要求支持自定义录制分辨率、码流。</w:t>
            </w:r>
          </w:p>
          <w:p w14:paraId="205B217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15.软件具备自定义推流分辨率和码率，码率512Kbps~35Mbps范围可设，以适应不同网络环境下保持直播的流畅性；提供软件配套录播主机的第三方检测报告复印件。</w:t>
            </w:r>
          </w:p>
          <w:p w14:paraId="02438E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16.软件具备自定义设置跟踪检测区域，避免如教室门窗、教学大屏等环境产生额外干扰，支持自定义选择检测区域则该区域系统将在指定区域进行图像识别分析，保障课堂正常跟踪拍摄效果。</w:t>
            </w:r>
          </w:p>
          <w:p w14:paraId="35C4DB5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17.软件具备双分屏、三分屏、四分屏以及自定义画面布局，支持多个视频图层自由叠加组合，自定义布局时可随意拖拉画面窗口。</w:t>
            </w:r>
          </w:p>
          <w:p w14:paraId="11A1817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18.软件具备对视频信号源标签设置，对摄像机实时拍摄信号或HDMI高清输入信号均可自定义名称标签，为导播控制与编辑灵活性提供便利。</w:t>
            </w:r>
          </w:p>
          <w:p w14:paraId="66DEB06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19.软件具备具备 RTMP 和 RTSP 视频传输协议，不少于3路 RTMP 同步推流直播，支持自定义直播分辨率和码率，以适应不同网络环境下保持直播的流畅性。提供功能界面截图并加盖厂家公章。</w:t>
            </w:r>
          </w:p>
          <w:p w14:paraId="210AEEB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20.软件具备 H.323、SIP 标准视音频互动协议，便捷进行远程互动教学应用。</w:t>
            </w:r>
          </w:p>
          <w:p w14:paraId="7E7766F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21.软件具备音频处理模块，支持EQ均衡、AEC回声抑制、AGC自动增益、ANS噪声抑制等音频处理功能，提供功能界面截图并加盖厂家公章。</w:t>
            </w:r>
          </w:p>
          <w:p w14:paraId="0167AD5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22.软件具备双流互动功能，开启双流后，建立呼叫，支持教学场景信号与电脑课件信号以互相独立的信号进行传输；</w:t>
            </w:r>
          </w:p>
          <w:p w14:paraId="02C1411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23.软件具备呼叫应答设置，默认支持自动应答与勾选手动应答两种方式以满足在专递课堂场景下听讲端的自动入会，以及在其余场景下录播教室内的用户接收到互动申请可自主选择是否加入会议的情况。提供功能界面截图并加盖厂家公章。</w:t>
            </w:r>
          </w:p>
          <w:p w14:paraId="69094B1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24.软件具备查询互动云系统的目录数据，查询内容包括所有已在互动云系统注册的设备账号、会议号，支持筛选查询，支持通过设备账号、会议号快速实现互动。</w:t>
            </w:r>
          </w:p>
          <w:p w14:paraId="3B41548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25.软件具备设置管理员权限和普通用户权限，普通权限用户无法进行配置参数修改。提供软件配套录播主机的第三方检测报告复印件。</w:t>
            </w:r>
          </w:p>
          <w:p w14:paraId="10D28D82">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此参数为本项目最低要求，此参数仅供参考。</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1266041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1套 </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6DB84F3">
            <w:pPr>
              <w:jc w:val="center"/>
              <w:rPr>
                <w:rFonts w:hint="eastAsia" w:asciiTheme="minorEastAsia" w:hAnsiTheme="minorEastAsia" w:eastAsiaTheme="minorEastAsia" w:cstheme="minorEastAsia"/>
                <w:color w:val="auto"/>
                <w:sz w:val="24"/>
                <w:lang w:val="en-US" w:eastAsia="zh-CN"/>
              </w:rPr>
            </w:pPr>
          </w:p>
        </w:tc>
      </w:tr>
      <w:tr w14:paraId="4ED9216C">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169218F0">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29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A63335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智能跟踪处理软件</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5A4191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1.软件具备智能识别摄像机的定位，并调用摄像机选用对应的跟踪逻辑，如教师跟踪、学生跟踪等；</w:t>
            </w:r>
          </w:p>
          <w:p w14:paraId="4963764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2.软件具备对摄像机的跟踪检测区域设置，可根据实景拍摄画面中框选跟踪区域，框选后只在区域中方能触发跟踪，所见所得方便操作；</w:t>
            </w:r>
          </w:p>
          <w:p w14:paraId="6C6CF7D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软件具备自定义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p>
          <w:p w14:paraId="663485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4.软件具备人物校验锁定功能，支持基于人脸与肢体识别跟踪技术，当有多个人物进入拍摄画面，会经过人脸与肢体校验后锁定正确的跟拍对象，不跟丢不跟错。</w:t>
            </w:r>
          </w:p>
          <w:p w14:paraId="447E80D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5.软件具备对设定的跟踪策略形成跟踪指令，实现多路接入摄像机的全自动跟踪画面切换。</w:t>
            </w:r>
          </w:p>
          <w:p w14:paraId="32237535">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6.软件具备人工智能技术，自适应调整画面拍摄比例，即使锁定跟拍对象变速或高速移动，摄像机均会持续锁定并依预设比例自动调整拍摄画面，并实现摄像机云台上下左右移动丝滑的同时焦距自动调整保障拍摄画面构图的稳定。</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5107354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 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AA01A8E">
            <w:pPr>
              <w:jc w:val="center"/>
              <w:rPr>
                <w:rFonts w:hint="eastAsia" w:asciiTheme="minorEastAsia" w:hAnsiTheme="minorEastAsia" w:eastAsiaTheme="minorEastAsia" w:cstheme="minorEastAsia"/>
                <w:color w:val="auto"/>
                <w:sz w:val="24"/>
                <w:lang w:val="en-US" w:eastAsia="zh-CN"/>
              </w:rPr>
            </w:pPr>
          </w:p>
        </w:tc>
      </w:tr>
      <w:tr w14:paraId="3FA4A04E">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305FABD">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30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7EC038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高清摄像机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23E10F0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1.要求具备教师和学生的自动识别切换，根据部署位置、模式自主适配教师或学生的跟踪逻辑。</w:t>
            </w:r>
          </w:p>
          <w:p w14:paraId="7FAD52A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2.要求具备基于人物识别的自动跟踪技术,单摄像机即可实现人物前后左右全方位移动的自动画面跟踪拍摄，包括水平运动、俯仰运动、变焦、聚焦四维实时跟踪。提供权威机构出具的高清摄像机功能性检测报告。</w:t>
            </w:r>
          </w:p>
          <w:p w14:paraId="5533D33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3.要求具备人体特征识别，能够自动识别并锁定跟踪人，人物丢失后再进入拍摄区域可以继续识别锁定进行跟踪。提供权威机构出具的高清摄像机功能性检测报告。</w:t>
            </w:r>
          </w:p>
          <w:p w14:paraId="786EB5B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4.要求具备防干扰跟踪。多人同时出现在拍摄画面中时仍能准确识别并跟踪锁定的对象，不因其他人的闯入而误跟。提供权威机构出具的高清摄像机功能性检测报告。</w:t>
            </w:r>
          </w:p>
          <w:p w14:paraId="09C36A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5.要求具备划分自动跟踪区域，当锁定跟踪人物走出自动跟踪区域时即停止跟踪，直到重新回到区域出现在画面中为止。</w:t>
            </w:r>
          </w:p>
          <w:p w14:paraId="54CD36F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6.要求像素有效像素不低于200万，尺寸≥1/2.5英寸</w:t>
            </w:r>
          </w:p>
          <w:p w14:paraId="572083E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7.云台转动：要求具备机械云台可进行转动跟踪。</w:t>
            </w:r>
          </w:p>
          <w:p w14:paraId="24B8D09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8.视频编码：要求支持H.265、H.264高清视频编码协议</w:t>
            </w:r>
          </w:p>
          <w:p w14:paraId="1CC2542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9.视频输出：要求具备标准SDI视频输出口≥1，HDMI视频输出口≥1</w:t>
            </w:r>
          </w:p>
          <w:p w14:paraId="2B23659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10.图像翻转：要求支持图像水平、垂直翻转，适应摄像机不同的安装方式要求</w:t>
            </w:r>
          </w:p>
          <w:p w14:paraId="2D9ECFA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11.要求具备VISCA标准摄像机控制协议</w:t>
            </w:r>
          </w:p>
          <w:p w14:paraId="6ABC032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12.要求具备录播主机供电、POC和DC12V电源适配器等供电方式</w:t>
            </w:r>
          </w:p>
          <w:p w14:paraId="1A01CED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13.要求摄像机与录播主机必须兼容搭配使用。</w:t>
            </w:r>
          </w:p>
          <w:p w14:paraId="137DF5E9">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此参数为本项目最低要求，此参数仅供参考。</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1F7BE4CD">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4 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41A32DE">
            <w:pPr>
              <w:jc w:val="center"/>
              <w:rPr>
                <w:rFonts w:hint="eastAsia" w:asciiTheme="minorEastAsia" w:hAnsiTheme="minorEastAsia" w:eastAsiaTheme="minorEastAsia" w:cstheme="minorEastAsia"/>
                <w:color w:val="auto"/>
                <w:sz w:val="24"/>
                <w:lang w:val="en-US" w:eastAsia="zh-CN"/>
              </w:rPr>
            </w:pPr>
          </w:p>
        </w:tc>
      </w:tr>
      <w:tr w14:paraId="09514050">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C52E04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31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CC2A75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高清摄像机传输管理软件</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358166D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1.软件支持通用浏览器直接访问进行管理。</w:t>
            </w:r>
          </w:p>
          <w:p w14:paraId="278AE5D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2.软件具备曝光模式设置功能，包括自动、手动。</w:t>
            </w:r>
          </w:p>
          <w:p w14:paraId="44D5581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3.软件具备抗闪烁频率、动态范围、光圈、快门参数设置。</w:t>
            </w:r>
          </w:p>
          <w:p w14:paraId="07D78A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4.软件具备摄像机图像质量调节功能，包括亮度、对比度、色调、饱和度。</w:t>
            </w:r>
          </w:p>
          <w:p w14:paraId="36CCC6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5.软件具备摄像机控制功能，包括云台控制、预置位设置与调用、焦距调节等。</w:t>
            </w:r>
          </w:p>
          <w:p w14:paraId="1009256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6.软件具备五分像、全身像等多种教师图像跟踪画面模式，根据实际需要设置选用教师跟踪画面的大小。提供功能截图证明。</w:t>
            </w:r>
          </w:p>
          <w:p w14:paraId="33C0E64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7.软件具备学生/教师智能跟踪，根据学生/教师动作状态，进行画面跟踪拍摄，并通知录播主机完成画面切换。</w:t>
            </w:r>
          </w:p>
          <w:p w14:paraId="7CAB599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8.软件具备PTZ实时跟焦，在跟踪状态下能实现摄像机水平旋转、垂直旋转、变焦的实时同步变化，不需要等拍摄对象稳定后再变焦调整画面比例。</w:t>
            </w:r>
          </w:p>
          <w:p w14:paraId="200AA1A0">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9.供摄像机管理软件的软件著作权及软件测试报告。</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1DBFC645">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4 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C99DCAD">
            <w:pPr>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sz w:val="24"/>
                <w:szCs w:val="24"/>
                <w:lang w:val="en-US" w:eastAsia="zh-CN"/>
              </w:rPr>
              <w:t>主要产品</w:t>
            </w:r>
          </w:p>
        </w:tc>
      </w:tr>
      <w:tr w14:paraId="5E6F5AF5">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1BBA13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32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98F343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录制面板</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410233A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1.支持切换互动画面的信号源，包括老师信号、学生信号、电脑信号、远端教室的画面；</w:t>
            </w:r>
          </w:p>
          <w:p w14:paraId="279CA1F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2.支持一键式对电源开关控制，支持一键开启录制、停止、锁定电脑信号等功能；</w:t>
            </w:r>
          </w:p>
          <w:p w14:paraId="3FB1179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3.支持一键发起与远端设备互动连接；</w:t>
            </w:r>
          </w:p>
          <w:p w14:paraId="61D2EF4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4.支持对各画面的自由布局控制，包括单画面全屏、双分屏、三分屏、四分屏、画中画，并传输到听课室；</w:t>
            </w:r>
          </w:p>
          <w:p w14:paraId="5222B1DF">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5.支持在讲台上镶嵌式安装方式。</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39FA58E5">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 个</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41000EB">
            <w:pPr>
              <w:jc w:val="center"/>
              <w:rPr>
                <w:rFonts w:hint="eastAsia" w:asciiTheme="minorEastAsia" w:hAnsiTheme="minorEastAsia" w:eastAsiaTheme="minorEastAsia" w:cstheme="minorEastAsia"/>
                <w:color w:val="auto"/>
                <w:sz w:val="24"/>
                <w:lang w:val="en-US" w:eastAsia="zh-CN"/>
              </w:rPr>
            </w:pPr>
          </w:p>
        </w:tc>
      </w:tr>
      <w:tr w14:paraId="21D18AD7">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3D3C4152">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33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333609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音频处理器</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31D7A8C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1.设备采用高速处理芯片；</w:t>
            </w:r>
          </w:p>
          <w:p w14:paraId="5DA1E54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2.设备内置功放功能，可直接对接无源扬声器进行扩音；</w:t>
            </w:r>
          </w:p>
          <w:p w14:paraId="027268C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3.要求设备具备4路模拟输入+1路立体声输入+2路无线输入；支持2路模拟输出+2路功放输出的音频信号处理。</w:t>
            </w:r>
          </w:p>
          <w:p w14:paraId="5EB327D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4.支持通道拷贝、粘贴、联控功能。</w:t>
            </w:r>
          </w:p>
          <w:p w14:paraId="437EC8E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5.音频处理：支持音频处理功能，包含反馈消除、回声消除、噪声消除等。</w:t>
            </w:r>
          </w:p>
          <w:p w14:paraId="558B1BC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6.支持全功能矩阵混音功能。</w:t>
            </w:r>
          </w:p>
          <w:p w14:paraId="4AF95188">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7.支持场景预设功能，可通过场景预设切换相应配置。</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4AD8865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 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612567B">
            <w:pPr>
              <w:jc w:val="center"/>
              <w:rPr>
                <w:rFonts w:hint="eastAsia" w:asciiTheme="minorEastAsia" w:hAnsiTheme="minorEastAsia" w:eastAsiaTheme="minorEastAsia" w:cstheme="minorEastAsia"/>
                <w:color w:val="auto"/>
                <w:sz w:val="24"/>
                <w:lang w:val="en-US" w:eastAsia="zh-CN"/>
              </w:rPr>
            </w:pPr>
          </w:p>
        </w:tc>
      </w:tr>
      <w:tr w14:paraId="6AB7B7D0">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1FAB239A">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34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9B6DD7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音频处理与功放管理软件</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51E1FB9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1.软件采用C/S或B/S软件架构设计，支持对音频处理矩阵进行管理。</w:t>
            </w:r>
          </w:p>
          <w:p w14:paraId="390297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2.软件具备输入输出信道的快捷控制方式，每个通道的处理器都可以快速直通和启用，选中不同的信道，会自动切换信道信息；</w:t>
            </w:r>
          </w:p>
          <w:p w14:paraId="1F354BC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3.软件具备通过扩展器调整输入的动态范围；</w:t>
            </w:r>
          </w:p>
          <w:p w14:paraId="1889DB03">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4.软件具备通过改变输入输出压缩比例来自动控制增益的幅度，自动提升和压缩话筒音量，使之以恒定的电平输出；</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074E45F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1套 </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5C6EC41">
            <w:pPr>
              <w:jc w:val="center"/>
              <w:rPr>
                <w:rFonts w:hint="eastAsia" w:asciiTheme="minorEastAsia" w:hAnsiTheme="minorEastAsia" w:eastAsiaTheme="minorEastAsia" w:cstheme="minorEastAsia"/>
                <w:color w:val="auto"/>
                <w:sz w:val="24"/>
                <w:lang w:val="en-US" w:eastAsia="zh-CN"/>
              </w:rPr>
            </w:pPr>
          </w:p>
        </w:tc>
      </w:tr>
      <w:tr w14:paraId="544C63B4">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0CBEEA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35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B49FF0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采访话筒(指向性)</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4931A3A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1.背极式驻极体</w:t>
            </w:r>
          </w:p>
          <w:p w14:paraId="6726126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2.心型指向/超心型指向。</w:t>
            </w:r>
          </w:p>
          <w:p w14:paraId="4DCFBD0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3.频率响应：35Hz—16kHz</w:t>
            </w:r>
          </w:p>
          <w:p w14:paraId="1E1589D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4.灵敏度≥-25dB±3dB灵敏度高，失真小，动态范围大。</w:t>
            </w:r>
          </w:p>
          <w:p w14:paraId="73D511C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5.输出阻抗≥400Ω±20%</w:t>
            </w:r>
          </w:p>
          <w:p w14:paraId="5CC7534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6.最大声压级≥130dB</w:t>
            </w:r>
          </w:p>
          <w:p w14:paraId="7324B2D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7.信噪比≥70dB</w:t>
            </w:r>
          </w:p>
          <w:p w14:paraId="44BAECC8">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8.清晰的人声拾音。</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62BCB6EC">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6 支</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B9F0C31">
            <w:pPr>
              <w:jc w:val="center"/>
              <w:rPr>
                <w:rFonts w:hint="eastAsia" w:asciiTheme="minorEastAsia" w:hAnsiTheme="minorEastAsia" w:eastAsiaTheme="minorEastAsia" w:cstheme="minorEastAsia"/>
                <w:color w:val="auto"/>
                <w:sz w:val="24"/>
                <w:lang w:val="en-US" w:eastAsia="zh-CN"/>
              </w:rPr>
            </w:pPr>
          </w:p>
        </w:tc>
      </w:tr>
      <w:tr w14:paraId="4AAB3827">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185547A7">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36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257040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互动音箱</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46F76D6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1.高音单元1＂</w:t>
            </w:r>
          </w:p>
          <w:p w14:paraId="7C19ECB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2.低音单元6.5＂</w:t>
            </w:r>
          </w:p>
          <w:p w14:paraId="229D636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3.频率响应：60Hz-20KHz</w:t>
            </w:r>
          </w:p>
          <w:p w14:paraId="58AE42D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4.灵敏度：≥90dB</w:t>
            </w:r>
          </w:p>
          <w:p w14:paraId="75EE479C">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7.最大声压级：≥100dB</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3C4C4DCA">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 对</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330F4B8">
            <w:pPr>
              <w:jc w:val="center"/>
              <w:rPr>
                <w:rFonts w:hint="eastAsia" w:asciiTheme="minorEastAsia" w:hAnsiTheme="minorEastAsia" w:eastAsiaTheme="minorEastAsia" w:cstheme="minorEastAsia"/>
                <w:color w:val="auto"/>
                <w:sz w:val="24"/>
                <w:lang w:val="en-US" w:eastAsia="zh-CN"/>
              </w:rPr>
            </w:pPr>
          </w:p>
        </w:tc>
      </w:tr>
      <w:tr w14:paraId="31C99C71">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9FF645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37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71B35AB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电源管理器</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53A8DF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1.向录播视频系统、音频系统、显示系统提供统一的、至少八路电源管理； </w:t>
            </w:r>
          </w:p>
          <w:p w14:paraId="73E7C9C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2.支持对录播系统控制功能，实现通过录制面板一键启动录播系统相关设备的电源；</w:t>
            </w:r>
          </w:p>
          <w:p w14:paraId="2A5914D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3.支持时序电源控制功能，每路延迟一秒，可编程控制；</w:t>
            </w:r>
          </w:p>
          <w:p w14:paraId="07FF53A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4.具备内置光电隔离模块，保障负载运行安全；</w:t>
            </w:r>
          </w:p>
          <w:p w14:paraId="65DB45A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5.支持提供1路最大电流不低于10A的电源输出接口；</w:t>
            </w:r>
          </w:p>
          <w:p w14:paraId="2A147223">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6.支持RS-485/RS-422/RS-232 等控制协议。</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4B93A3DD">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 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67436D7">
            <w:pPr>
              <w:jc w:val="center"/>
              <w:rPr>
                <w:rFonts w:hint="eastAsia" w:asciiTheme="minorEastAsia" w:hAnsiTheme="minorEastAsia" w:eastAsiaTheme="minorEastAsia" w:cstheme="minorEastAsia"/>
                <w:color w:val="auto"/>
                <w:sz w:val="24"/>
                <w:lang w:val="en-US" w:eastAsia="zh-CN"/>
              </w:rPr>
            </w:pPr>
          </w:p>
        </w:tc>
      </w:tr>
      <w:tr w14:paraId="3E4FAC5D">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37870054">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38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26A66D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机柜</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01AE16E6">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定制</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00FC91C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5852DA7">
            <w:pPr>
              <w:jc w:val="center"/>
              <w:rPr>
                <w:rFonts w:hint="eastAsia" w:asciiTheme="minorEastAsia" w:hAnsiTheme="minorEastAsia" w:eastAsiaTheme="minorEastAsia" w:cstheme="minorEastAsia"/>
                <w:color w:val="auto"/>
                <w:sz w:val="24"/>
                <w:lang w:val="en-US" w:eastAsia="zh-CN"/>
              </w:rPr>
            </w:pPr>
          </w:p>
        </w:tc>
      </w:tr>
      <w:tr w14:paraId="05E752B3">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3B140C3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39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7EB1250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线材</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1BACB25D">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满足系统布线需求</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4A19D5EF">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 批</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33466C4">
            <w:pPr>
              <w:jc w:val="center"/>
              <w:rPr>
                <w:rFonts w:hint="eastAsia" w:asciiTheme="minorEastAsia" w:hAnsiTheme="minorEastAsia" w:eastAsiaTheme="minorEastAsia" w:cstheme="minorEastAsia"/>
                <w:color w:val="auto"/>
                <w:sz w:val="24"/>
                <w:lang w:val="en-US" w:eastAsia="zh-CN"/>
              </w:rPr>
            </w:pPr>
          </w:p>
        </w:tc>
      </w:tr>
      <w:tr w14:paraId="39914657">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FEC2E24">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40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1A31E8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网络摄像机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60D5404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600万臻全彩海螺型网络摄像机</w:t>
            </w:r>
          </w:p>
          <w:p w14:paraId="6A6894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臻全彩海螺型网络摄像机，采用全彩级高灵敏度传感器，F1.0超大光圈镜头，最高分辨率可达600万像素，并在此分辨率下可输出25 fps实时图像，提供更清晰的视频流输入</w:t>
            </w:r>
          </w:p>
          <w:p w14:paraId="6053C3E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支持背光补偿，强光抑制，3D数字降噪，120 dB宽动态，适应不同环境</w:t>
            </w:r>
          </w:p>
          <w:p w14:paraId="4D35571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支持柔光灯补光，照射距离最远可达30 m</w:t>
            </w:r>
          </w:p>
          <w:p w14:paraId="6AD8CAC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内置1个内置麦克风</w:t>
            </w:r>
          </w:p>
          <w:p w14:paraId="2BD22B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符合IP67防尘防水设计，可靠性高</w:t>
            </w:r>
          </w:p>
          <w:p w14:paraId="25415F6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支持区域入侵侦测，越界侦测，进入区域侦测，离开区域侦测</w:t>
            </w:r>
          </w:p>
          <w:p w14:paraId="2ACD60F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p>
          <w:p w14:paraId="0B2F71C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传感器类型：1/1.8" Progressive Scan CMOS </w:t>
            </w:r>
          </w:p>
          <w:p w14:paraId="1AC973F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最低照度：彩色：0.0005 Lux</w:t>
            </w:r>
          </w:p>
          <w:p w14:paraId="438F422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宽动态：120 dB</w:t>
            </w:r>
          </w:p>
          <w:p w14:paraId="2E1DC42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调节角度：水平：0°~360°，垂直：0°~75°，旋转：0°~360° </w:t>
            </w:r>
          </w:p>
          <w:p w14:paraId="1D5D804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焦距&amp;视场角：4 mm，水平视场角：84°，垂直视场角：46°，对角视场角：99°</w:t>
            </w:r>
          </w:p>
          <w:p w14:paraId="67D5509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 mm，水平视场角：46°，垂直视场角：25°，对角视场角：54°</w:t>
            </w:r>
          </w:p>
          <w:p w14:paraId="44D0BF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景深范围：4 mm：3.4 m~∞</w:t>
            </w:r>
          </w:p>
          <w:p w14:paraId="6DF8A12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6 mm：8.4 m~∞ </w:t>
            </w:r>
          </w:p>
          <w:p w14:paraId="7C7E7E5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补光灯类型：柔光灯</w:t>
            </w:r>
          </w:p>
          <w:p w14:paraId="37CFFE4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补光距离：最远可达30 m</w:t>
            </w:r>
          </w:p>
          <w:p w14:paraId="55646EB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防补光过曝：支持 </w:t>
            </w:r>
          </w:p>
          <w:p w14:paraId="15314DC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最大图像尺寸：3200 × 1800</w:t>
            </w:r>
          </w:p>
          <w:p w14:paraId="68D5A09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视频压缩标准：主码流：H.265/H.264，支持超级智能编码</w:t>
            </w:r>
          </w:p>
          <w:p w14:paraId="087F41D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子码流：H.265/H.264/MJPEG</w:t>
            </w:r>
          </w:p>
          <w:p w14:paraId="112832D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第三码流：H.265/H.264 </w:t>
            </w:r>
          </w:p>
          <w:p w14:paraId="419B922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网络：1个RJ45 10 M/100 M自适应以太网口</w:t>
            </w:r>
          </w:p>
          <w:p w14:paraId="18ADC82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音频：1个内置麦克风 </w:t>
            </w:r>
          </w:p>
          <w:p w14:paraId="6AE8066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产品尺寸：Ø130.1 × 103.1 mm</w:t>
            </w:r>
          </w:p>
          <w:p w14:paraId="1E7D3EA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包装尺寸：165 × 165 × 115 mm</w:t>
            </w:r>
          </w:p>
          <w:p w14:paraId="7C07535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设备重量：460 g</w:t>
            </w:r>
          </w:p>
          <w:p w14:paraId="26B858E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带包装重量：675 g</w:t>
            </w:r>
          </w:p>
          <w:p w14:paraId="2ACB029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启动及工作温湿度：-30 °C~60 °C，湿度小于95%（无凝结）</w:t>
            </w:r>
          </w:p>
          <w:p w14:paraId="130665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恢复出厂设置：支持客户端或浏览器恢复</w:t>
            </w:r>
          </w:p>
          <w:p w14:paraId="28F1EFD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电流及功耗：DC：12 V，0.67A，最大功耗：8 W</w:t>
            </w:r>
          </w:p>
          <w:p w14:paraId="0B3D5E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PoE：IEEE 802.3af，CLASS 3，最大功耗：9.5 W</w:t>
            </w:r>
          </w:p>
          <w:p w14:paraId="15B4AA1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供电方式：DC：12 V ± 25%，支持防反接保护</w:t>
            </w:r>
          </w:p>
          <w:p w14:paraId="6A43054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PoE：IEEE 802.3af，CLASS 3</w:t>
            </w:r>
          </w:p>
          <w:p w14:paraId="625633E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电源接口类型：Ø5.5 mm圆口 </w:t>
            </w:r>
          </w:p>
          <w:p w14:paraId="40BF1C65">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 xml:space="preserve">防护：IP67 </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5F8159D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10 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BC01EF4">
            <w:pPr>
              <w:jc w:val="center"/>
              <w:rPr>
                <w:rFonts w:hint="eastAsia" w:asciiTheme="minorEastAsia" w:hAnsiTheme="minorEastAsia" w:eastAsiaTheme="minorEastAsia" w:cstheme="minorEastAsia"/>
                <w:color w:val="auto"/>
                <w:sz w:val="24"/>
                <w:lang w:val="en-US" w:eastAsia="zh-CN"/>
              </w:rPr>
            </w:pPr>
          </w:p>
        </w:tc>
      </w:tr>
      <w:tr w14:paraId="719EDB26">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0E7A9515">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41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5BB096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铜缆双绞线</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6CF6546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超5类网线,Cat5e非屏蔽双绞线</w:t>
            </w:r>
          </w:p>
          <w:p w14:paraId="1FAADBB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标准：符合ISO/IEC 11801、TIA-568.2-D、GB/T 18015.5要求,所用材料符合RoHS要求，性能指标优于现行5e类线缆100MHz标准；</w:t>
            </w:r>
          </w:p>
          <w:p w14:paraId="08DF7F7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标准装箱长度:305m±1.5m；</w:t>
            </w:r>
          </w:p>
          <w:p w14:paraId="3F82BDA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芯线规格:24AWG,无氧铜；</w:t>
            </w:r>
          </w:p>
          <w:p w14:paraId="6FAF67EB">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线缆结构：4对8芯双绞线,每芯均有颜色区分,外皮印有厂商标识及电缆编码，有撕裂绳；</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268A23C4">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4箱 </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CF34557">
            <w:pPr>
              <w:jc w:val="center"/>
              <w:rPr>
                <w:rFonts w:hint="eastAsia" w:asciiTheme="minorEastAsia" w:hAnsiTheme="minorEastAsia" w:eastAsiaTheme="minorEastAsia" w:cstheme="minorEastAsia"/>
                <w:color w:val="auto"/>
                <w:sz w:val="24"/>
                <w:lang w:val="en-US" w:eastAsia="zh-CN"/>
              </w:rPr>
            </w:pPr>
          </w:p>
        </w:tc>
      </w:tr>
      <w:tr w14:paraId="139B1A73">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692A740">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42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F9AF59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交换机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1DC7BCD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提供24个千兆PoE电口，2个千兆光口</w:t>
            </w:r>
          </w:p>
          <w:p w14:paraId="2250612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交换容量：52 Gbps</w:t>
            </w:r>
          </w:p>
          <w:p w14:paraId="314E442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包转发率：38.69 Mpps</w:t>
            </w:r>
          </w:p>
          <w:p w14:paraId="44C326D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支持IEEE 802.3at/af</w:t>
            </w:r>
          </w:p>
          <w:p w14:paraId="088F2E1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端口最大供电功率：30 W</w:t>
            </w:r>
          </w:p>
          <w:p w14:paraId="32082A7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整机最大供电功率：225W</w:t>
            </w:r>
          </w:p>
          <w:p w14:paraId="0F3F0C4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支持6 KV防浪涌（PoE口）</w:t>
            </w:r>
          </w:p>
          <w:p w14:paraId="4DA8CD8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支持PoE输出功率管理</w:t>
            </w:r>
          </w:p>
          <w:p w14:paraId="0665CF2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工作温度：0 °C ~ 45 °C</w:t>
            </w:r>
          </w:p>
          <w:p w14:paraId="04A125F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尺寸（宽×高×深）：440 mm × 44 mm × 220.8 mm</w:t>
            </w:r>
          </w:p>
          <w:p w14:paraId="159C19C9">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安装方式：机架式（1U高，19英寸宽）</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3267A67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1台 </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60F70E0">
            <w:pPr>
              <w:jc w:val="center"/>
              <w:rPr>
                <w:rFonts w:hint="eastAsia" w:asciiTheme="minorEastAsia" w:hAnsiTheme="minorEastAsia" w:eastAsiaTheme="minorEastAsia" w:cstheme="minorEastAsia"/>
                <w:color w:val="auto"/>
                <w:sz w:val="24"/>
                <w:lang w:val="en-US" w:eastAsia="zh-CN"/>
              </w:rPr>
            </w:pPr>
          </w:p>
        </w:tc>
      </w:tr>
      <w:tr w14:paraId="71A0909C">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7543AE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43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7DCA16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交换机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0730D8A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提供8个千兆PoE电口，1个千兆电口，1个千兆光口</w:t>
            </w:r>
          </w:p>
          <w:p w14:paraId="5E9E8FE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交换容量</w:t>
            </w:r>
            <w:r>
              <w:rPr>
                <w:rFonts w:hint="eastAsia" w:asciiTheme="minorEastAsia" w:hAnsiTheme="minorEastAsia" w:eastAsiaTheme="minorEastAsia" w:cstheme="minorEastAsia"/>
                <w:sz w:val="18"/>
                <w:szCs w:val="18"/>
                <w:lang w:eastAsia="zh-CN"/>
              </w:rPr>
              <w:tab/>
            </w:r>
            <w:r>
              <w:rPr>
                <w:rFonts w:hint="eastAsia" w:asciiTheme="minorEastAsia" w:hAnsiTheme="minorEastAsia" w:eastAsiaTheme="minorEastAsia" w:cstheme="minorEastAsia"/>
                <w:sz w:val="18"/>
                <w:szCs w:val="18"/>
                <w:lang w:eastAsia="zh-CN"/>
              </w:rPr>
              <w:t>20 Gbps</w:t>
            </w:r>
          </w:p>
          <w:p w14:paraId="30428E1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包转发率</w:t>
            </w:r>
            <w:r>
              <w:rPr>
                <w:rFonts w:hint="eastAsia" w:asciiTheme="minorEastAsia" w:hAnsiTheme="minorEastAsia" w:eastAsiaTheme="minorEastAsia" w:cstheme="minorEastAsia"/>
                <w:sz w:val="18"/>
                <w:szCs w:val="18"/>
                <w:lang w:eastAsia="zh-CN"/>
              </w:rPr>
              <w:tab/>
            </w:r>
            <w:r>
              <w:rPr>
                <w:rFonts w:hint="eastAsia" w:asciiTheme="minorEastAsia" w:hAnsiTheme="minorEastAsia" w:eastAsiaTheme="minorEastAsia" w:cstheme="minorEastAsia"/>
                <w:sz w:val="18"/>
                <w:szCs w:val="18"/>
                <w:lang w:eastAsia="zh-CN"/>
              </w:rPr>
              <w:t>14.88 Mpps</w:t>
            </w:r>
          </w:p>
          <w:p w14:paraId="7481D7F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支持IEEE 802.3at/af</w:t>
            </w:r>
          </w:p>
          <w:p w14:paraId="1E68996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端口最大供电功率：30 W</w:t>
            </w:r>
          </w:p>
          <w:p w14:paraId="7D971EB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整机最大供电功率：60 W</w:t>
            </w:r>
          </w:p>
          <w:p w14:paraId="7CB779A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支持6 KV防浪涌（PoE口）</w:t>
            </w:r>
          </w:p>
          <w:p w14:paraId="025E46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支持PoE输出功率管理</w:t>
            </w:r>
          </w:p>
          <w:p w14:paraId="6D12DC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千兆网络接入设计</w:t>
            </w:r>
          </w:p>
          <w:p w14:paraId="111B226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线速转发、无阻塞设计</w:t>
            </w:r>
          </w:p>
          <w:p w14:paraId="4AC15EB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存储转发交换方式</w:t>
            </w:r>
          </w:p>
          <w:p w14:paraId="0287657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坚固式高强度金属外壳</w:t>
            </w:r>
          </w:p>
          <w:p w14:paraId="4CBF10B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无风扇设计，高可靠性</w:t>
            </w:r>
          </w:p>
          <w:p w14:paraId="0E3E608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工作温度：0°C~40°C</w:t>
            </w:r>
          </w:p>
          <w:p w14:paraId="3830A0A9">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安装方式：桌面式可壁挂</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7993B43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 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AE2AFDE">
            <w:pPr>
              <w:jc w:val="center"/>
              <w:rPr>
                <w:rFonts w:hint="eastAsia" w:asciiTheme="minorEastAsia" w:hAnsiTheme="minorEastAsia" w:eastAsiaTheme="minorEastAsia" w:cstheme="minorEastAsia"/>
                <w:color w:val="auto"/>
                <w:sz w:val="24"/>
                <w:lang w:val="en-US" w:eastAsia="zh-CN"/>
              </w:rPr>
            </w:pPr>
          </w:p>
        </w:tc>
      </w:tr>
      <w:tr w14:paraId="19A1F38C">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4292484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44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66ADB0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交换机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62B668D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二层网管型千兆交换机（24千兆电+4千兆光）</w:t>
            </w:r>
          </w:p>
          <w:p w14:paraId="3881730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支持所有端口线速转发，满足了用户对高带宽的需求。DS-3E2528-HL交换机可以支持9台连接，形成一个逻辑上的独立实体，简化网络设备管理，同时大大降低系统扩展的成本，保护了用户投资。</w:t>
            </w:r>
          </w:p>
          <w:p w14:paraId="7D18C0B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支持ARP入侵检测功能，可有效防止黑客或攻击者通过ARP报文实施日趋盛行的“ARP欺骗攻击”。支持IP Source Guard特性，防止包括MAC欺骗、IP欺骗、MAC/IP欺骗在内的非法地址仿冒，以及DoS攻击。支持端口安全特性族，可以有效防范基于MAC地址的攻击，实现基于MAC地址允许/限制流量。提供802.1X和MAC认证方式对接入的用户进行认证。通过这些功能的应用可以对接入用户的合法性进行充分的检查和控制。</w:t>
            </w:r>
          </w:p>
          <w:p w14:paraId="7A2DD6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支持以太网OAM和CFD，可以有效提高对以太网的管理和维护能力，保障网络的稳定运行。</w:t>
            </w:r>
          </w:p>
          <w:p w14:paraId="20820C3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支持端口限速以及流限速功能，防止恶意侵占网络带宽，也为网络带宽的精细化管理提供了手段。</w:t>
            </w:r>
          </w:p>
          <w:p w14:paraId="7818E99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支持L2（Layer 2）~L4（Layer 4）包过滤功能，提供流分类技术。提供灵活的对列调度算法，可以同时基于端口和队列进行设置，支持SP、WRR、SP+WRR三种模式。同时还支持入/出方向双向ACL、支持流量监管功能、支持出/入方向的端口/流镜像，用于对指定端口上的报文进行监控，以进行网络检测和故障排除。</w:t>
            </w:r>
          </w:p>
          <w:p w14:paraId="48FB98B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 EFM OAM 功能、CFM OAM 功能，提供链路连通性检测、链路故障监控、故障通知、远端环回等功能</w:t>
            </w:r>
          </w:p>
          <w:p w14:paraId="2CDE8DB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p>
          <w:p w14:paraId="1BE862B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尺寸（宽×高×深）：440 mm × 43.6 mm × 160 mm</w:t>
            </w:r>
          </w:p>
          <w:p w14:paraId="0CC3967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标准机架高度：1U</w:t>
            </w:r>
          </w:p>
          <w:p w14:paraId="6E0D65A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重量：≤ 2.1 kg</w:t>
            </w:r>
          </w:p>
          <w:p w14:paraId="2E851F9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工作温度：-5 ℃～45 ℃</w:t>
            </w:r>
          </w:p>
          <w:p w14:paraId="589CE26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工作湿度：5%～95%（非凝结）</w:t>
            </w:r>
          </w:p>
          <w:p w14:paraId="0A29C10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空载功耗：14W</w:t>
            </w:r>
          </w:p>
          <w:p w14:paraId="2E4DB33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整机最大功耗：21 W</w:t>
            </w:r>
          </w:p>
          <w:p w14:paraId="03E35E3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交换容量：336Gbps/3.36Tbps</w:t>
            </w:r>
          </w:p>
          <w:p w14:paraId="4623B9A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p>
          <w:p w14:paraId="4F45B5F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包转发率：108/126Mpps </w:t>
            </w:r>
          </w:p>
          <w:p w14:paraId="4E582E9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端口规格：24个10/100/1000Base-T以太网端口</w:t>
            </w:r>
          </w:p>
          <w:p w14:paraId="11FF4F2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4个1000Base-X以太网端口</w:t>
            </w:r>
          </w:p>
          <w:p w14:paraId="3DB6146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电源特性：AC：100 V~240 V AC，50/60 Hz</w:t>
            </w:r>
          </w:p>
          <w:p w14:paraId="20F8679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MAC地址表：支持黑洞MAC地址</w:t>
            </w:r>
          </w:p>
          <w:p w14:paraId="520565D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支持设置端口MAC地址学习最大个数</w:t>
            </w:r>
          </w:p>
          <w:p w14:paraId="673CB33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VLAN：支持基于端口的VLAN</w:t>
            </w:r>
          </w:p>
          <w:p w14:paraId="7682087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支持基于MAC的VLAN</w:t>
            </w:r>
          </w:p>
          <w:p w14:paraId="06D3D93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支持QinQ、灵活QinQ、VLAN Mapping</w:t>
            </w:r>
          </w:p>
          <w:p w14:paraId="47FA523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ARP：支持ARP Detection功能</w:t>
            </w:r>
          </w:p>
          <w:p w14:paraId="332B804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支持ARP限速</w:t>
            </w:r>
          </w:p>
          <w:p w14:paraId="45B68B8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IPv4路由：支持 IPv4 静态路由</w:t>
            </w:r>
          </w:p>
          <w:p w14:paraId="477D9CD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IPv6路由：支持 IPv6 静态路由</w:t>
            </w:r>
          </w:p>
          <w:p w14:paraId="672260E2">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STP：支持STP/RSTP/MSTP</w:t>
            </w:r>
          </w:p>
          <w:p w14:paraId="220CA37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链路聚合：支持 LACP</w:t>
            </w:r>
          </w:p>
          <w:p w14:paraId="5FD53AD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聚合组最大支持8个端口</w:t>
            </w:r>
          </w:p>
          <w:p w14:paraId="5DF1E7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风暴控制：支持风暴控制</w:t>
            </w:r>
          </w:p>
          <w:p w14:paraId="55E3687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流量抑制：支持广播/多播/单播流量抑制</w:t>
            </w:r>
          </w:p>
          <w:p w14:paraId="718BA17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支持基于端口速率百分比的风暴抑制</w:t>
            </w:r>
          </w:p>
          <w:p w14:paraId="496CAC1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支持基于PPS的风暴抑制</w:t>
            </w:r>
          </w:p>
          <w:p w14:paraId="0102D56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端口镜像：支持端口镜像、支持流镜像</w:t>
            </w:r>
          </w:p>
          <w:p w14:paraId="5C57B5B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QoS：支持SP/WRR/SP+WRR队列调度</w:t>
            </w:r>
          </w:p>
          <w:p w14:paraId="2D19C23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ACL：支持包过滤功能</w:t>
            </w:r>
          </w:p>
          <w:p w14:paraId="0F90B84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支持双向ACL</w:t>
            </w:r>
          </w:p>
          <w:p w14:paraId="73EF284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支持基于端口的限速</w:t>
            </w:r>
          </w:p>
          <w:p w14:paraId="03D7EA2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支持基于流的重定向</w:t>
            </w:r>
          </w:p>
          <w:p w14:paraId="7F1AE9A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安全特性：支持用户分级管理和口令保护</w:t>
            </w:r>
          </w:p>
          <w:p w14:paraId="3689391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支持SSH2.0</w:t>
            </w:r>
          </w:p>
          <w:p w14:paraId="6C14D22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支持端口隔离</w:t>
            </w:r>
          </w:p>
          <w:p w14:paraId="39A5B54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支持802.1X</w:t>
            </w:r>
          </w:p>
          <w:p w14:paraId="019B22F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支持端口安全</w:t>
            </w:r>
          </w:p>
          <w:p w14:paraId="054A4AB3">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支持MAC地址认证</w:t>
            </w:r>
          </w:p>
          <w:p w14:paraId="4CC6335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支持IP Source Guard</w:t>
            </w:r>
          </w:p>
          <w:p w14:paraId="48E799D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xml:space="preserve">支持HTTPs </w:t>
            </w:r>
          </w:p>
          <w:p w14:paraId="16006D2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Console口：支持Console口</w:t>
            </w:r>
          </w:p>
          <w:p w14:paraId="48707B1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SSH：支持SSH</w:t>
            </w:r>
          </w:p>
          <w:p w14:paraId="50A6C7D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Telnet：支持Telnet</w:t>
            </w:r>
          </w:p>
          <w:p w14:paraId="13753D2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SNMP：支持SNMP V1/V2/V3</w:t>
            </w:r>
          </w:p>
          <w:p w14:paraId="68FBC48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NTP：支持NTP时钟</w:t>
            </w:r>
          </w:p>
          <w:p w14:paraId="0A67CEE7">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RMON：支持RMON</w:t>
            </w:r>
          </w:p>
          <w:p w14:paraId="27FF0131">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FTP：支持FTP文件上下载管理</w:t>
            </w:r>
          </w:p>
          <w:p w14:paraId="45166B1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TFTP：支持TFTP文件上下载管理</w:t>
            </w:r>
          </w:p>
          <w:p w14:paraId="1C89060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CFM：支持CFM</w:t>
            </w:r>
          </w:p>
          <w:p w14:paraId="7B8B337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EFM：支持EFM</w:t>
            </w:r>
          </w:p>
          <w:p w14:paraId="249B6D5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DLDP：支持DLDP，可检测发现单向连通链路</w:t>
            </w:r>
          </w:p>
          <w:p w14:paraId="70CC3FD6">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 xml:space="preserve">系统日志：支持系统工作日志 </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7D1390D7">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2 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21E218A">
            <w:pPr>
              <w:jc w:val="center"/>
              <w:rPr>
                <w:rFonts w:hint="eastAsia" w:asciiTheme="minorEastAsia" w:hAnsiTheme="minorEastAsia" w:eastAsiaTheme="minorEastAsia" w:cstheme="minorEastAsia"/>
                <w:color w:val="auto"/>
                <w:sz w:val="24"/>
                <w:lang w:val="en-US" w:eastAsia="zh-CN"/>
              </w:rPr>
            </w:pPr>
          </w:p>
        </w:tc>
      </w:tr>
      <w:tr w14:paraId="5DB5E7EB">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6DCAC00">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45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440F83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网络硬盘录像机</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7B727A7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1.5U机架式4盘位嵌入式网络硬盘录像机，采用短机箱设计，搭载高性能ATX电源</w:t>
            </w:r>
          </w:p>
          <w:p w14:paraId="2FE92E2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【硬件规格】</w:t>
            </w:r>
          </w:p>
          <w:p w14:paraId="295241DC">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存储接口：4个SATA接口，可满配8TB硬盘</w:t>
            </w:r>
          </w:p>
          <w:p w14:paraId="6C49DA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视频接口：1×HDMI，1×VGA</w:t>
            </w:r>
          </w:p>
          <w:p w14:paraId="63C4F38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网络接口：2×RJ45 10/100/1000Mbps自适应以太网口</w:t>
            </w:r>
          </w:p>
          <w:p w14:paraId="6BAB874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报警接口：16路报警输入，4路报警输出</w:t>
            </w:r>
          </w:p>
          <w:p w14:paraId="33894B2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串行接口：1路RS-232接口，1路半双工RS-485接口</w:t>
            </w:r>
          </w:p>
          <w:p w14:paraId="73C9C38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USB接口：3×USB 2.0</w:t>
            </w:r>
          </w:p>
          <w:p w14:paraId="0C6980B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【产品性能】</w:t>
            </w:r>
          </w:p>
          <w:p w14:paraId="5A4D278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输入带宽：160Mbps</w:t>
            </w:r>
          </w:p>
          <w:p w14:paraId="1ADDA59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输出带宽：80Mbps</w:t>
            </w:r>
          </w:p>
          <w:p w14:paraId="6819EA4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接入能力：16路H.264、H.265格式高清码流接入</w:t>
            </w:r>
          </w:p>
          <w:p w14:paraId="733C30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解码能力：最大支持8×1080P</w:t>
            </w:r>
          </w:p>
          <w:p w14:paraId="26B0D3FE">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显示能力：最大支持4K输出</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2BA9504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 台</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45F332B">
            <w:pPr>
              <w:jc w:val="center"/>
              <w:rPr>
                <w:rFonts w:hint="eastAsia" w:asciiTheme="minorEastAsia" w:hAnsiTheme="minorEastAsia" w:eastAsiaTheme="minorEastAsia" w:cstheme="minorEastAsia"/>
                <w:color w:val="auto"/>
                <w:sz w:val="24"/>
                <w:lang w:val="en-US" w:eastAsia="zh-CN"/>
              </w:rPr>
            </w:pPr>
          </w:p>
        </w:tc>
      </w:tr>
      <w:tr w14:paraId="63BC8C31">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44040F5">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46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BEAE66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硬盘</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2FCEA9B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8TB容量，3.5英寸，SATA3.0接口，5400RPM</w:t>
            </w:r>
          </w:p>
          <w:p w14:paraId="0171003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空气盘， CMR传统磁记录</w:t>
            </w:r>
          </w:p>
          <w:p w14:paraId="38380F60">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传输速率215MB/s，流畅存储视频有效防止丢帧</w:t>
            </w:r>
          </w:p>
          <w:p w14:paraId="6B3ABAE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高级格式（AF）512e扇区技术，保障硬盘扇区4K对齐</w:t>
            </w:r>
          </w:p>
          <w:p w14:paraId="073513D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满足数据严苛的7*24小时运行可靠性、安全性的需求</w:t>
            </w:r>
          </w:p>
          <w:p w14:paraId="38915228">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支持3年有限质保服务</w:t>
            </w:r>
          </w:p>
          <w:p w14:paraId="301B8EF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适用海拔高度范围-305m至3050m</w:t>
            </w:r>
          </w:p>
          <w:p w14:paraId="38CA6F59">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p>
          <w:p w14:paraId="1C8D4244">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标称容量：8TB</w:t>
            </w:r>
          </w:p>
          <w:p w14:paraId="17FD10AF">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外形规格：3.5-inch</w:t>
            </w:r>
          </w:p>
          <w:p w14:paraId="7D8482E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接口类型：SATA</w:t>
            </w:r>
          </w:p>
          <w:p w14:paraId="6793CC5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刻录技术：CMR</w:t>
            </w:r>
          </w:p>
          <w:p w14:paraId="7990190A">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转速：5400RPM</w:t>
            </w:r>
          </w:p>
          <w:p w14:paraId="08EE31A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缓存：256MB</w:t>
            </w:r>
          </w:p>
          <w:p w14:paraId="079BAF2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最大读取速度：215MB/s</w:t>
            </w:r>
          </w:p>
          <w:p w14:paraId="01E616F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接口传输速率（最大值）：6.0Gb/s</w:t>
            </w:r>
          </w:p>
          <w:p w14:paraId="36FCB4AE">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平均读写功率（W）：5.3W</w:t>
            </w:r>
          </w:p>
          <w:p w14:paraId="63956A26">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加载/卸载周期：600,000</w:t>
            </w:r>
          </w:p>
          <w:p w14:paraId="1B04E2BD">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MTBF：1,000,000</w:t>
            </w:r>
          </w:p>
          <w:p w14:paraId="74670C4B">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年负荷（TB/年）：180TB</w:t>
            </w:r>
          </w:p>
          <w:p w14:paraId="1CB30CB5">
            <w:pPr>
              <w:pStyle w:val="43"/>
              <w:keepNext w:val="0"/>
              <w:keepLines w:val="0"/>
              <w:pageBreakBefore w:val="0"/>
              <w:wordWrap/>
              <w:overflowPunct/>
              <w:topLinePunct w:val="0"/>
              <w:bidi w:val="0"/>
              <w:spacing w:line="2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工作状态温度(°C)：0-65℃</w:t>
            </w:r>
          </w:p>
          <w:p w14:paraId="229CC6BB">
            <w:pPr>
              <w:pStyle w:val="43"/>
              <w:keepNext w:val="0"/>
              <w:keepLines w:val="0"/>
              <w:pageBreakBefore w:val="0"/>
              <w:wordWrap/>
              <w:overflowPunct/>
              <w:topLinePunct w:val="0"/>
              <w:bidi w:val="0"/>
              <w:spacing w:line="200" w:lineRule="exact"/>
              <w:ind w:firstLine="360" w:firstLineChars="20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 xml:space="preserve">尺寸：147mm(L)×101.6mm(W)×26.1mm(H) </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036D5F34">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4 个</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62CE32D">
            <w:pPr>
              <w:jc w:val="center"/>
              <w:rPr>
                <w:rFonts w:hint="eastAsia" w:asciiTheme="minorEastAsia" w:hAnsiTheme="minorEastAsia" w:eastAsiaTheme="minorEastAsia" w:cstheme="minorEastAsia"/>
                <w:color w:val="auto"/>
                <w:sz w:val="24"/>
                <w:lang w:val="en-US" w:eastAsia="zh-CN"/>
              </w:rPr>
            </w:pPr>
          </w:p>
        </w:tc>
      </w:tr>
      <w:tr w14:paraId="0F334134">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72B40D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 xml:space="preserve">47 </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B1DD1A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安装辅材</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2B7C9A76">
            <w:pPr>
              <w:pStyle w:val="43"/>
              <w:keepNext w:val="0"/>
              <w:keepLines w:val="0"/>
              <w:pageBreakBefore w:val="0"/>
              <w:wordWrap/>
              <w:overflowPunct/>
              <w:topLinePunct w:val="0"/>
              <w:bidi w:val="0"/>
              <w:spacing w:line="200" w:lineRule="exact"/>
              <w:ind w:left="0" w:leftChars="0" w:firstLine="0" w:firstLineChars="0"/>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eastAsia="zh-CN"/>
              </w:rPr>
              <w:t>安装辅材一批，主要包含、钉子，卡子，胶布等材料</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16D6AC22">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snapToGrid w:val="0"/>
                <w:color w:val="000000"/>
                <w:kern w:val="0"/>
                <w:sz w:val="24"/>
                <w:szCs w:val="24"/>
                <w:u w:val="none"/>
                <w:lang w:val="en-US" w:eastAsia="zh-CN" w:bidi="ar"/>
              </w:rPr>
              <w:t>1 批</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FB22728">
            <w:pPr>
              <w:jc w:val="center"/>
              <w:rPr>
                <w:rFonts w:hint="eastAsia" w:asciiTheme="minorEastAsia" w:hAnsiTheme="minorEastAsia" w:eastAsiaTheme="minorEastAsia" w:cstheme="minorEastAsia"/>
                <w:color w:val="auto"/>
                <w:sz w:val="24"/>
                <w:lang w:val="en-US" w:eastAsia="zh-CN"/>
              </w:rPr>
            </w:pPr>
          </w:p>
        </w:tc>
      </w:tr>
    </w:tbl>
    <w:p w14:paraId="0D21E639">
      <w:pPr>
        <w:pStyle w:val="27"/>
        <w:spacing w:line="560" w:lineRule="exact"/>
        <w:rPr>
          <w:rFonts w:hint="eastAsia" w:asciiTheme="minorEastAsia" w:hAnsiTheme="minorEastAsia" w:eastAsiaTheme="minorEastAsia" w:cstheme="minorEastAsia"/>
          <w:b/>
          <w:bCs/>
          <w:sz w:val="24"/>
          <w:szCs w:val="24"/>
          <w:highlight w:val="yellow"/>
          <w:lang w:val="en-US" w:eastAsia="zh-CN"/>
        </w:rPr>
      </w:pPr>
      <w:r>
        <w:rPr>
          <w:rFonts w:hint="eastAsia" w:asciiTheme="minorEastAsia" w:hAnsiTheme="minorEastAsia" w:eastAsiaTheme="minorEastAsia" w:cstheme="minorEastAsia"/>
          <w:b/>
          <w:bCs/>
          <w:color w:val="FF0000"/>
          <w:sz w:val="28"/>
          <w:lang w:val="en-US" w:eastAsia="zh-CN"/>
        </w:rPr>
        <w:t>本项目核心产品为：</w:t>
      </w:r>
      <w:r>
        <w:rPr>
          <w:rFonts w:hint="eastAsia" w:asciiTheme="minorEastAsia" w:hAnsiTheme="minorEastAsia" w:eastAsiaTheme="minorEastAsia" w:cstheme="minorEastAsia"/>
          <w:b/>
          <w:bCs/>
          <w:sz w:val="24"/>
          <w:szCs w:val="24"/>
          <w:highlight w:val="yellow"/>
          <w:lang w:val="en-US" w:eastAsia="zh-CN"/>
        </w:rPr>
        <w:t>图书馆管理系统、自助借还书机系统、高清录播主机</w:t>
      </w:r>
    </w:p>
    <w:p w14:paraId="68969DEF">
      <w:pPr>
        <w:pStyle w:val="27"/>
        <w:spacing w:line="560" w:lineRule="exact"/>
        <w:rPr>
          <w:rFonts w:hint="eastAsia" w:asciiTheme="minorEastAsia" w:hAnsiTheme="minorEastAsia" w:eastAsiaTheme="minorEastAsia" w:cstheme="minorEastAsia"/>
          <w:b/>
          <w:bCs/>
          <w:color w:val="FF0000"/>
          <w:sz w:val="28"/>
          <w:lang w:eastAsia="zh-CN"/>
        </w:rPr>
      </w:pPr>
      <w:r>
        <w:rPr>
          <w:rFonts w:hint="eastAsia" w:asciiTheme="minorEastAsia" w:hAnsiTheme="minorEastAsia" w:eastAsiaTheme="minorEastAsia" w:cstheme="minorEastAsia"/>
          <w:b/>
          <w:bCs/>
          <w:color w:val="FF0000"/>
          <w:sz w:val="28"/>
          <w:lang w:eastAsia="zh-CN"/>
        </w:rPr>
        <w:t>本项目主要产品为：</w:t>
      </w:r>
      <w:r>
        <w:rPr>
          <w:rFonts w:hint="eastAsia" w:asciiTheme="minorEastAsia" w:hAnsiTheme="minorEastAsia" w:eastAsiaTheme="minorEastAsia" w:cstheme="minorEastAsia"/>
          <w:b/>
          <w:bCs/>
          <w:color w:val="FF0000"/>
          <w:sz w:val="28"/>
          <w:lang w:val="en-US" w:eastAsia="zh-CN"/>
        </w:rPr>
        <w:t>数字图书借阅机系统、电子墨水屏阅读器系统、数字图书借阅机系统（中学）、高清摄像机传输管理软件,</w:t>
      </w:r>
      <w:r>
        <w:rPr>
          <w:rFonts w:hint="eastAsia" w:asciiTheme="minorEastAsia" w:hAnsiTheme="minorEastAsia" w:eastAsiaTheme="minorEastAsia" w:cstheme="minorEastAsia"/>
          <w:b/>
          <w:bCs/>
          <w:color w:val="FF0000"/>
          <w:sz w:val="28"/>
          <w:lang w:eastAsia="zh-CN"/>
        </w:rPr>
        <w:t>将按照《政府采购货物和服务招投标管理办法》第六十九条规定，公告以上产品的详细信息。</w:t>
      </w:r>
    </w:p>
    <w:p w14:paraId="5F65CBDD">
      <w:pPr>
        <w:pStyle w:val="27"/>
        <w:spacing w:line="560" w:lineRule="exact"/>
        <w:rPr>
          <w:rFonts w:hint="eastAsia" w:asciiTheme="minorEastAsia" w:hAnsiTheme="minorEastAsia" w:eastAsiaTheme="minorEastAsia" w:cstheme="minorEastAsia"/>
          <w:b/>
          <w:bCs/>
          <w:color w:val="FF0000"/>
          <w:sz w:val="28"/>
          <w:lang w:eastAsia="zh-CN"/>
        </w:rPr>
      </w:pPr>
      <w:r>
        <w:rPr>
          <w:rFonts w:hint="eastAsia" w:asciiTheme="minorEastAsia" w:hAnsiTheme="minorEastAsia" w:eastAsiaTheme="minorEastAsia" w:cstheme="minorEastAsia"/>
          <w:b/>
          <w:bCs/>
          <w:color w:val="FF0000"/>
          <w:sz w:val="28"/>
          <w:lang w:eastAsia="zh-CN"/>
        </w:rPr>
        <w:t>注：供应商提供所有产品及零部件均为全新，若存在非全新产品、 部</w:t>
      </w:r>
    </w:p>
    <w:p w14:paraId="53DF4FC4">
      <w:pPr>
        <w:pStyle w:val="27"/>
        <w:spacing w:line="560" w:lineRule="exact"/>
        <w:rPr>
          <w:rFonts w:hint="eastAsia" w:asciiTheme="minorEastAsia" w:hAnsiTheme="minorEastAsia" w:eastAsiaTheme="minorEastAsia" w:cstheme="minorEastAsia"/>
          <w:b/>
          <w:bCs/>
          <w:color w:val="FF0000"/>
          <w:sz w:val="28"/>
          <w:lang w:eastAsia="zh-CN"/>
        </w:rPr>
      </w:pPr>
      <w:r>
        <w:rPr>
          <w:rFonts w:hint="eastAsia" w:asciiTheme="minorEastAsia" w:hAnsiTheme="minorEastAsia" w:eastAsiaTheme="minorEastAsia" w:cstheme="minorEastAsia"/>
          <w:b/>
          <w:bCs/>
          <w:color w:val="FF0000"/>
          <w:sz w:val="28"/>
          <w:lang w:eastAsia="zh-CN"/>
        </w:rPr>
        <w:t>件问题甲方将退货处理，供应商承担所造成的全部责任及损失。</w:t>
      </w:r>
    </w:p>
    <w:p w14:paraId="1483A90B">
      <w:pPr>
        <w:pStyle w:val="34"/>
        <w:spacing w:line="400" w:lineRule="exact"/>
        <w:jc w:val="both"/>
        <w:textAlignment w:val="auto"/>
        <w:rPr>
          <w:rFonts w:hint="eastAsia" w:asciiTheme="minorEastAsia" w:hAnsiTheme="minorEastAsia" w:eastAsiaTheme="minorEastAsia" w:cstheme="minorEastAsia"/>
          <w:color w:val="auto"/>
          <w:sz w:val="28"/>
          <w:szCs w:val="28"/>
          <w:lang w:eastAsia="zh-CN"/>
        </w:rPr>
      </w:pPr>
      <w:bookmarkStart w:id="913" w:name="_Toc10035"/>
      <w:r>
        <w:rPr>
          <w:rFonts w:hint="eastAsia" w:asciiTheme="minorEastAsia" w:hAnsiTheme="minorEastAsia" w:eastAsiaTheme="minorEastAsia" w:cstheme="minorEastAsia"/>
          <w:color w:val="auto"/>
          <w:sz w:val="28"/>
          <w:szCs w:val="28"/>
          <w:lang w:eastAsia="zh-CN"/>
        </w:rPr>
        <w:t>一、交货期及交付地点付款方式</w:t>
      </w:r>
      <w:bookmarkEnd w:id="913"/>
    </w:p>
    <w:p w14:paraId="2974D397">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1、交货期：合同签订后 </w:t>
      </w:r>
      <w:r>
        <w:rPr>
          <w:rFonts w:hint="eastAsia" w:asciiTheme="minorEastAsia" w:hAnsiTheme="minorEastAsia" w:eastAsiaTheme="minorEastAsia" w:cstheme="minorEastAsia"/>
          <w:color w:val="auto"/>
          <w:sz w:val="24"/>
          <w:lang w:val="en-US" w:eastAsia="zh-CN"/>
        </w:rPr>
        <w:t>45</w:t>
      </w:r>
      <w:r>
        <w:rPr>
          <w:rFonts w:hint="eastAsia" w:asciiTheme="minorEastAsia" w:hAnsiTheme="minorEastAsia" w:eastAsiaTheme="minorEastAsia" w:cstheme="minorEastAsia"/>
          <w:color w:val="auto"/>
          <w:sz w:val="24"/>
          <w:lang w:eastAsia="zh-CN"/>
        </w:rPr>
        <w:t xml:space="preserve"> 日内到送货至采购人指定地点，安装调试使用培训 完毕。</w:t>
      </w:r>
    </w:p>
    <w:p w14:paraId="122747D3">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2、交货地点：伽师县</w:t>
      </w:r>
      <w:r>
        <w:rPr>
          <w:rFonts w:hint="eastAsia" w:asciiTheme="minorEastAsia" w:hAnsiTheme="minorEastAsia" w:eastAsiaTheme="minorEastAsia" w:cstheme="minorEastAsia"/>
          <w:color w:val="auto"/>
          <w:sz w:val="24"/>
          <w:lang w:val="en-US" w:eastAsia="zh-CN"/>
        </w:rPr>
        <w:t>巴仁镇第三小学、伽师县第四中学</w:t>
      </w:r>
      <w:r>
        <w:rPr>
          <w:rFonts w:hint="eastAsia" w:asciiTheme="minorEastAsia" w:hAnsiTheme="minorEastAsia" w:eastAsiaTheme="minorEastAsia" w:cstheme="minorEastAsia"/>
          <w:color w:val="auto"/>
          <w:sz w:val="24"/>
          <w:lang w:eastAsia="zh-CN"/>
        </w:rPr>
        <w:t>。</w:t>
      </w:r>
    </w:p>
    <w:p w14:paraId="302A4F48">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3、付款方式： 以合同约定方式，分批次完成付款：预付合同总价款的 40%，全部供货完成后，支付合同总价款的 50%，验收、安装调试设备合格后，支付合同总价款的 10%（</w:t>
      </w:r>
      <w:r>
        <w:rPr>
          <w:rFonts w:hint="eastAsia" w:asciiTheme="minorEastAsia" w:hAnsiTheme="minorEastAsia" w:eastAsiaTheme="minorEastAsia" w:cstheme="minorEastAsia"/>
          <w:color w:val="auto"/>
          <w:sz w:val="24"/>
          <w:lang w:val="en-US" w:eastAsia="zh-CN"/>
        </w:rPr>
        <w:t>具体以双方签订合同时协商为准</w:t>
      </w:r>
      <w:r>
        <w:rPr>
          <w:rFonts w:hint="eastAsia" w:asciiTheme="minorEastAsia" w:hAnsiTheme="minorEastAsia" w:eastAsiaTheme="minorEastAsia" w:cstheme="minorEastAsia"/>
          <w:color w:val="auto"/>
          <w:sz w:val="24"/>
          <w:lang w:eastAsia="zh-CN"/>
        </w:rPr>
        <w:t>）。</w:t>
      </w:r>
    </w:p>
    <w:p w14:paraId="6EFCA11A">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4、质保期：验收合格后，质保</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lang w:eastAsia="zh-CN"/>
        </w:rPr>
        <w:t>年，终身维修。（保修期后配件损坏更换按优于市场价购买）。</w:t>
      </w:r>
    </w:p>
    <w:p w14:paraId="59A4AD69">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5、售后服务：</w:t>
      </w:r>
    </w:p>
    <w:p w14:paraId="13336C74">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设备和软件出现故障，必须</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lang w:eastAsia="zh-CN"/>
        </w:rPr>
        <w:t>小时有应答，</w:t>
      </w:r>
      <w:r>
        <w:rPr>
          <w:rFonts w:hint="eastAsia" w:asciiTheme="minorEastAsia" w:hAnsiTheme="minorEastAsia" w:eastAsiaTheme="minorEastAsia" w:cstheme="minorEastAsia"/>
          <w:color w:val="auto"/>
          <w:sz w:val="24"/>
          <w:lang w:val="en-US" w:eastAsia="zh-CN"/>
        </w:rPr>
        <w:t>24</w:t>
      </w:r>
      <w:r>
        <w:rPr>
          <w:rFonts w:hint="eastAsia" w:asciiTheme="minorEastAsia" w:hAnsiTheme="minorEastAsia" w:eastAsiaTheme="minorEastAsia" w:cstheme="minorEastAsia"/>
          <w:color w:val="auto"/>
          <w:sz w:val="24"/>
          <w:lang w:eastAsia="zh-CN"/>
        </w:rPr>
        <w:t>小时到场处理,常年提供技术咨询,质保期内定期对设备进行维护，保养，保证运行状态稳定，质保期内工程师提供 24 小时维修服务,质保期内正常使用情况下，涉及零配件维修及更换的一切费用由供应商负担,终身提供设备的维修和配件。</w:t>
      </w:r>
    </w:p>
    <w:p w14:paraId="07609505">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6、安装标准：符合我国国家有关技术规范和技术标准。（须向采购方提供设备的运行、安装、使用环境要求）</w:t>
      </w:r>
    </w:p>
    <w:p w14:paraId="4A833A02">
      <w:pPr>
        <w:widowControl w:val="0"/>
        <w:spacing w:line="360" w:lineRule="auto"/>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t>7、验收标准：按照招标文件的要求及国家相关技术质量标准验收；项目实施需保证我单位设备的顺利接入，并提供详细的安装方案，方案内容应满足设备调试、设备操作、设备安装使用人员培训。</w:t>
      </w:r>
    </w:p>
    <w:p w14:paraId="0EF12EAB">
      <w:pPr>
        <w:pStyle w:val="2"/>
        <w:tabs>
          <w:tab w:val="left" w:pos="0"/>
        </w:tabs>
        <w:spacing w:before="0" w:after="0" w:line="240" w:lineRule="atLeast"/>
        <w:ind w:firstLine="1325" w:firstLineChars="300"/>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44"/>
          <w:szCs w:val="44"/>
          <w:lang w:eastAsia="zh-CN"/>
        </w:rPr>
        <w:t xml:space="preserve">第六章  </w:t>
      </w:r>
      <w:bookmarkStart w:id="914" w:name="_Toc507399907"/>
      <w:bookmarkStart w:id="915" w:name="_Toc515647832"/>
      <w:bookmarkStart w:id="916" w:name="_Toc23331"/>
      <w:bookmarkStart w:id="917" w:name="_Toc7971"/>
      <w:bookmarkStart w:id="918" w:name="_Toc32647"/>
      <w:r>
        <w:rPr>
          <w:rFonts w:hint="eastAsia" w:asciiTheme="minorEastAsia" w:hAnsiTheme="minorEastAsia" w:eastAsiaTheme="minorEastAsia" w:cstheme="minorEastAsia"/>
          <w:color w:val="auto"/>
          <w:sz w:val="44"/>
          <w:szCs w:val="44"/>
          <w:lang w:eastAsia="zh-CN"/>
        </w:rPr>
        <w:t>评标方法和标准</w:t>
      </w:r>
      <w:bookmarkEnd w:id="911"/>
      <w:bookmarkEnd w:id="912"/>
      <w:bookmarkEnd w:id="914"/>
      <w:bookmarkEnd w:id="915"/>
      <w:bookmarkEnd w:id="916"/>
      <w:bookmarkEnd w:id="917"/>
      <w:bookmarkEnd w:id="918"/>
    </w:p>
    <w:p w14:paraId="642A457A">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 总则</w:t>
      </w:r>
    </w:p>
    <w:p w14:paraId="35FE68CD">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1.1 根据《中华人民共和国政府采购法》、《中华人民共和国政府采购法实施条例》、《政府采购货物和服务招标投标管理办法（财政部第87号令）》等法律制度，结合采购项目特点制定本评标办法。</w:t>
      </w:r>
    </w:p>
    <w:p w14:paraId="502D0E9A">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1.2 评标工作由采购代理机构负责组织，具体评标事务由采购代理机构依法组建的评标委员会负责。评标委员会由采购人代表和有关技术、经济、法律等方面的专家组成。</w:t>
      </w:r>
    </w:p>
    <w:p w14:paraId="02145222">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1.3 评标工作应遵循公平、公正、科学及择优的原则，并以相同的评标程序和标准对待所有的投标人。</w:t>
      </w:r>
    </w:p>
    <w:p w14:paraId="5285D675">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1.4 评标委员会按照招标文件规定的评标方法和标准进行评标，并独立履行下列职责：</w:t>
      </w:r>
    </w:p>
    <w:p w14:paraId="37571FB1">
      <w:pPr>
        <w:pStyle w:val="8"/>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（一）审查、评价投标文件是否符合招标文件的商务、技术等实质性要求；</w:t>
      </w:r>
    </w:p>
    <w:p w14:paraId="2C6421F8">
      <w:pPr>
        <w:pStyle w:val="8"/>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（二）要求投标人对投标文件有关事项作出澄清或者说明；</w:t>
      </w:r>
    </w:p>
    <w:p w14:paraId="198A5340">
      <w:pPr>
        <w:pStyle w:val="8"/>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（三）对投标文件进行比较和评价；</w:t>
      </w:r>
    </w:p>
    <w:p w14:paraId="10DDE9B1">
      <w:pPr>
        <w:pStyle w:val="8"/>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（四）确定中标候选人名单，以及根据采购人委托直接确定中标人；</w:t>
      </w:r>
    </w:p>
    <w:p w14:paraId="06CF7490">
      <w:pPr>
        <w:pStyle w:val="8"/>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（五）向采购人、采购代理机构或者有关部门报告评标中发现的违法行为。</w:t>
      </w:r>
    </w:p>
    <w:p w14:paraId="123075C1">
      <w:pPr>
        <w:pStyle w:val="8"/>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（六）法律、法规和规章规定的其他职责。</w:t>
      </w:r>
    </w:p>
    <w:p w14:paraId="33F211EC">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1.5 评标过程独立、保密。投标人非法干预评标过程的行为将导致其投标文件作为无效处理。</w:t>
      </w:r>
    </w:p>
    <w:p w14:paraId="63A22024">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1.6评标委员会评价投标文件的响应性，对于投标人而言，除评标委员会要求其澄清、说明或者更正而提供的资料外，仅依据投标文件本身的内容，不寻求其他外部证据。</w:t>
      </w:r>
    </w:p>
    <w:p w14:paraId="2B4743D4">
      <w:pPr>
        <w:pStyle w:val="8"/>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 xml:space="preserve"> 1.7采购人或者采购代理机构负责组织评标工作，并履行下列职责：</w:t>
      </w:r>
    </w:p>
    <w:p w14:paraId="60FB517C">
      <w:pPr>
        <w:pStyle w:val="8"/>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（一）核对评审专家身份和采购人代表信息，对评审专家在政府采购活动中的职责履行情况予以记录，并及时将有关违法违规行为向财政部门报告；</w:t>
      </w:r>
    </w:p>
    <w:p w14:paraId="1AB4559B">
      <w:pPr>
        <w:pStyle w:val="8"/>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（二）宣布评标纪律；</w:t>
      </w:r>
    </w:p>
    <w:p w14:paraId="67D214CF">
      <w:pPr>
        <w:pStyle w:val="8"/>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（三）公布投标人名单，告知评审专家应当回避的情形；</w:t>
      </w:r>
    </w:p>
    <w:p w14:paraId="2D51B010">
      <w:pPr>
        <w:pStyle w:val="8"/>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（四）组织评标委员会推选评标组长，采购人代表不得担任组长；</w:t>
      </w:r>
    </w:p>
    <w:p w14:paraId="04D03174">
      <w:pPr>
        <w:pStyle w:val="8"/>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（五）在评标期间采取必要的通讯管理措施，保证评标活动不受外界干扰；</w:t>
      </w:r>
    </w:p>
    <w:p w14:paraId="54187CCC">
      <w:pPr>
        <w:pStyle w:val="8"/>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（六）根据评标委员会的要求介绍政府采购相关政策法规、招标文件；</w:t>
      </w:r>
    </w:p>
    <w:p w14:paraId="4F3CFDF1">
      <w:pPr>
        <w:pStyle w:val="8"/>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（七）维护评标秩序，监督评标委员会依照招标文件规定的评标程序、方法和标准进行独立评审，及时制止和纠正采购人代表、评审专家的倾向性言论或者违法违规行为；</w:t>
      </w:r>
    </w:p>
    <w:p w14:paraId="530BC9B3">
      <w:pPr>
        <w:pStyle w:val="8"/>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（八）核对评标结果，有财政部87号令第六十四条规定情形的，要求评标委员会复核或者书面说明理由，评标委员会拒绝的，应予记录并向本级财政部门报告；</w:t>
      </w:r>
    </w:p>
    <w:p w14:paraId="0B4889FA">
      <w:pPr>
        <w:pStyle w:val="8"/>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　（九）处理与评标有关的其他事项。</w:t>
      </w:r>
    </w:p>
    <w:p w14:paraId="6A6A0193">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采购人可以在评标前说明项目背景和采购需求，说明内容不得含有歧视性、倾向性意见，不得超出招标文件所述范围。说明应当提交书面材料，并随采购文件一并存档。</w:t>
      </w:r>
    </w:p>
    <w:p w14:paraId="0E7366AF">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2、评标方法</w:t>
      </w:r>
    </w:p>
    <w:p w14:paraId="6EE7F3D1">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本项目评标方法为：综合评分法。</w:t>
      </w:r>
    </w:p>
    <w:p w14:paraId="41599B0E">
      <w:pPr>
        <w:pStyle w:val="8"/>
        <w:tabs>
          <w:tab w:val="left" w:pos="567"/>
        </w:tabs>
        <w:spacing w:line="360" w:lineRule="auto"/>
        <w:ind w:firstLine="480" w:firstLineChars="2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3、评标程序</w:t>
      </w:r>
    </w:p>
    <w:p w14:paraId="067F172C">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3.1 熟悉和理解招标文件和停止评标。</w:t>
      </w:r>
    </w:p>
    <w:p w14:paraId="00B2062A">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3.1.1 评标委员会正式评标前，应当对招标文件进行熟悉和理解，内容主要包括招标文件中采购项目技术、服务和商务要求、评标方法和标准以及可能涉及签订政府采购合同的内容等。</w:t>
      </w:r>
    </w:p>
    <w:p w14:paraId="64BF06F3">
      <w:pPr>
        <w:pStyle w:val="8"/>
        <w:tabs>
          <w:tab w:val="left" w:pos="567"/>
        </w:tabs>
        <w:spacing w:line="360" w:lineRule="auto"/>
        <w:ind w:left="-199" w:leftChars="-95" w:firstLine="199" w:firstLineChars="83"/>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115E3F4">
      <w:pPr>
        <w:spacing w:line="360" w:lineRule="auto"/>
        <w:rPr>
          <w:rFonts w:hint="eastAsia" w:asciiTheme="minorEastAsia" w:hAnsiTheme="minorEastAsia" w:eastAsiaTheme="minorEastAsia" w:cstheme="minorEastAsia"/>
          <w:color w:val="auto"/>
        </w:rPr>
      </w:pPr>
      <w:r>
        <w:rPr>
          <w:rStyle w:val="26"/>
          <w:rFonts w:hint="eastAsia" w:asciiTheme="minorEastAsia" w:hAnsiTheme="minorEastAsia" w:eastAsiaTheme="minorEastAsia" w:cstheme="minorEastAsia"/>
          <w:iCs/>
          <w:color w:val="auto"/>
          <w:sz w:val="24"/>
          <w:szCs w:val="24"/>
          <w:lang w:eastAsia="zh-CN"/>
        </w:rPr>
        <w:t>4.1</w:t>
      </w:r>
      <w:r>
        <w:rPr>
          <w:rFonts w:hint="eastAsia" w:asciiTheme="minorEastAsia" w:hAnsiTheme="minorEastAsia" w:eastAsiaTheme="minorEastAsia" w:cstheme="minorEastAsia"/>
          <w:iCs/>
          <w:color w:val="auto"/>
          <w:sz w:val="24"/>
          <w:szCs w:val="24"/>
          <w:lang w:eastAsia="zh-CN"/>
        </w:rPr>
        <w:t>根据《关于落实好政府采购支持中小企业发展的通知》（新财购〔2022〕22号）、《关于进一步加大政府采购支持中小企业力度的通知》（财库(2022〕19号）、《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w:t>
      </w:r>
      <w:r>
        <w:rPr>
          <w:rFonts w:hint="eastAsia" w:asciiTheme="minorEastAsia" w:hAnsiTheme="minorEastAsia" w:eastAsiaTheme="minorEastAsia" w:cstheme="minorEastAsia"/>
          <w:color w:val="auto"/>
          <w:sz w:val="24"/>
          <w:szCs w:val="24"/>
          <w:lang w:eastAsia="zh-CN"/>
        </w:rPr>
        <w:t>或省级以上监狱管理局、戒毒管理局（含新疆生产建设兵团）出具的属于监狱企业的证明文件的投标人，其投标报价扣除10%后参与评审。</w:t>
      </w:r>
      <w:r>
        <w:rPr>
          <w:rFonts w:hint="eastAsia" w:asciiTheme="minorEastAsia" w:hAnsiTheme="minorEastAsia" w:eastAsiaTheme="minorEastAsia" w:cstheme="minorEastAsia"/>
          <w:color w:val="auto"/>
          <w:sz w:val="24"/>
          <w:szCs w:val="24"/>
        </w:rPr>
        <w:t>具体办法详见招标文件第6章。</w:t>
      </w:r>
    </w:p>
    <w:p w14:paraId="2960DAD9">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iCs/>
          <w:color w:val="auto"/>
        </w:rPr>
        <w:t>5.1资格性检查</w:t>
      </w:r>
    </w:p>
    <w:tbl>
      <w:tblPr>
        <w:tblStyle w:val="22"/>
        <w:tblW w:w="8894" w:type="dxa"/>
        <w:tblInd w:w="-127" w:type="dxa"/>
        <w:tblLayout w:type="fixed"/>
        <w:tblCellMar>
          <w:top w:w="15" w:type="dxa"/>
          <w:left w:w="15" w:type="dxa"/>
          <w:bottom w:w="15" w:type="dxa"/>
          <w:right w:w="15" w:type="dxa"/>
        </w:tblCellMar>
      </w:tblPr>
      <w:tblGrid>
        <w:gridCol w:w="406"/>
        <w:gridCol w:w="446"/>
        <w:gridCol w:w="680"/>
        <w:gridCol w:w="1031"/>
        <w:gridCol w:w="659"/>
        <w:gridCol w:w="1112"/>
        <w:gridCol w:w="1574"/>
        <w:gridCol w:w="1159"/>
        <w:gridCol w:w="1159"/>
        <w:gridCol w:w="668"/>
      </w:tblGrid>
      <w:tr w14:paraId="20BA760D">
        <w:tblPrEx>
          <w:tblCellMar>
            <w:top w:w="15" w:type="dxa"/>
            <w:left w:w="15" w:type="dxa"/>
            <w:bottom w:w="15" w:type="dxa"/>
            <w:right w:w="15" w:type="dxa"/>
          </w:tblCellMar>
        </w:tblPrEx>
        <w:trPr>
          <w:trHeight w:val="1540" w:hRule="atLeast"/>
        </w:trPr>
        <w:tc>
          <w:tcPr>
            <w:tcW w:w="406" w:type="dxa"/>
            <w:tcBorders>
              <w:top w:val="single" w:color="000000" w:sz="4" w:space="0"/>
              <w:left w:val="single" w:color="000000" w:sz="4" w:space="0"/>
              <w:bottom w:val="single" w:color="000000" w:sz="4" w:space="0"/>
              <w:right w:val="single" w:color="000000" w:sz="4" w:space="0"/>
            </w:tcBorders>
            <w:noWrap/>
            <w:vAlign w:val="center"/>
          </w:tcPr>
          <w:p w14:paraId="6F4FF917">
            <w:pPr>
              <w:jc w:val="center"/>
              <w:textAlignment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序号</w:t>
            </w:r>
          </w:p>
        </w:tc>
        <w:tc>
          <w:tcPr>
            <w:tcW w:w="446" w:type="dxa"/>
            <w:tcBorders>
              <w:top w:val="single" w:color="000000" w:sz="4" w:space="0"/>
              <w:left w:val="single" w:color="000000" w:sz="4" w:space="0"/>
              <w:bottom w:val="single" w:color="000000" w:sz="4" w:space="0"/>
              <w:right w:val="single" w:color="000000" w:sz="4" w:space="0"/>
            </w:tcBorders>
            <w:noWrap/>
            <w:vAlign w:val="center"/>
          </w:tcPr>
          <w:p w14:paraId="00CBC1B4">
            <w:pPr>
              <w:jc w:val="center"/>
              <w:textAlignment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投 标 单 位</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9F1B4AC">
            <w:pPr>
              <w:jc w:val="center"/>
              <w:textAlignment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提供有效的营业执照</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6D8414A8">
            <w:pPr>
              <w:jc w:val="center"/>
              <w:textAlignment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eastAsia="zh-CN"/>
              </w:rPr>
              <w:t>法定代表人证明或法定代表人授权委托书签字（章）并加盖公章</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72346EB">
            <w:pPr>
              <w:jc w:val="center"/>
              <w:textAlignment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eastAsia="zh-CN"/>
              </w:rPr>
              <w:t>提供投标单位近三个月内（任意一个月）的社保证明</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60DFFC95">
            <w:pPr>
              <w:jc w:val="center"/>
              <w:textAlignment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eastAsia="zh-CN"/>
              </w:rPr>
              <w:t>近三个月所属期限内（任意一个月）依法缴纳税收的证明（税务部门出具的完税凭证或缴税证明或银行出具的“银行电子缴税付款凭证”）</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3437FB60">
            <w:pPr>
              <w:jc w:val="center"/>
              <w:textAlignment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eastAsia="zh-CN"/>
              </w:rPr>
              <w:t>良好的商业信誉和健全的财务会计制度证明材料（会计事务所出具的2023年或2024年的年度财务审计报告书；注册成立未满一年新公司可提供近三个月内任意一个月的银行资信证明）；</w:t>
            </w:r>
          </w:p>
        </w:tc>
        <w:tc>
          <w:tcPr>
            <w:tcW w:w="1159" w:type="dxa"/>
            <w:tcBorders>
              <w:top w:val="single" w:color="000000" w:sz="4" w:space="0"/>
              <w:left w:val="single" w:color="000000" w:sz="4" w:space="0"/>
              <w:bottom w:val="single" w:color="000000" w:sz="4" w:space="0"/>
              <w:right w:val="single" w:color="000000" w:sz="4" w:space="0"/>
            </w:tcBorders>
            <w:noWrap/>
            <w:vAlign w:val="center"/>
          </w:tcPr>
          <w:p w14:paraId="19B2831A">
            <w:pPr>
              <w:jc w:val="center"/>
              <w:textAlignment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eastAsia="zh-CN"/>
              </w:rPr>
              <w:t>投标单位（供应商）其法人参加本次采购活动前三年内，在经营活动中没有重大违法记录的声明及对本次项目《反商业贿赂承诺书》</w:t>
            </w:r>
          </w:p>
        </w:tc>
        <w:tc>
          <w:tcPr>
            <w:tcW w:w="1159" w:type="dxa"/>
            <w:tcBorders>
              <w:top w:val="single" w:color="000000" w:sz="4" w:space="0"/>
              <w:left w:val="single" w:color="000000" w:sz="4" w:space="0"/>
              <w:bottom w:val="single" w:color="000000" w:sz="4" w:space="0"/>
              <w:right w:val="single" w:color="000000" w:sz="4" w:space="0"/>
            </w:tcBorders>
            <w:noWrap/>
            <w:vAlign w:val="center"/>
          </w:tcPr>
          <w:p w14:paraId="1E5CC6E0">
            <w:pPr>
              <w:pStyle w:val="15"/>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eastAsia="zh-CN"/>
              </w:rPr>
              <w:t>提供投标单位按招标文件要求缴纳投标保证金的缴款凭证或金融机构、担保机构出具的保函；</w:t>
            </w:r>
          </w:p>
        </w:tc>
        <w:tc>
          <w:tcPr>
            <w:tcW w:w="668" w:type="dxa"/>
            <w:tcBorders>
              <w:top w:val="single" w:color="000000" w:sz="4" w:space="0"/>
              <w:left w:val="single" w:color="000000" w:sz="4" w:space="0"/>
              <w:bottom w:val="single" w:color="000000" w:sz="4" w:space="0"/>
              <w:right w:val="single" w:color="000000" w:sz="4" w:space="0"/>
            </w:tcBorders>
            <w:noWrap/>
            <w:vAlign w:val="center"/>
          </w:tcPr>
          <w:p w14:paraId="5DDDF413">
            <w:pPr>
              <w:jc w:val="center"/>
              <w:textAlignment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是否通过审查</w:t>
            </w:r>
          </w:p>
        </w:tc>
      </w:tr>
      <w:tr w14:paraId="6E842B19">
        <w:tblPrEx>
          <w:tblCellMar>
            <w:top w:w="15" w:type="dxa"/>
            <w:left w:w="15" w:type="dxa"/>
            <w:bottom w:w="15" w:type="dxa"/>
            <w:right w:w="15" w:type="dxa"/>
          </w:tblCellMar>
        </w:tblPrEx>
        <w:trPr>
          <w:trHeight w:val="587" w:hRule="atLeast"/>
        </w:trPr>
        <w:tc>
          <w:tcPr>
            <w:tcW w:w="406" w:type="dxa"/>
            <w:tcBorders>
              <w:top w:val="single" w:color="000000" w:sz="4" w:space="0"/>
              <w:left w:val="single" w:color="000000" w:sz="4" w:space="0"/>
              <w:bottom w:val="single" w:color="000000" w:sz="4" w:space="0"/>
              <w:right w:val="single" w:color="000000" w:sz="4" w:space="0"/>
            </w:tcBorders>
            <w:noWrap/>
            <w:vAlign w:val="center"/>
          </w:tcPr>
          <w:p w14:paraId="09658AE9">
            <w:pPr>
              <w:jc w:val="center"/>
              <w:textAlignment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1</w:t>
            </w:r>
          </w:p>
        </w:tc>
        <w:tc>
          <w:tcPr>
            <w:tcW w:w="446" w:type="dxa"/>
            <w:tcBorders>
              <w:top w:val="single" w:color="000000" w:sz="4" w:space="0"/>
              <w:left w:val="single" w:color="000000" w:sz="4" w:space="0"/>
              <w:bottom w:val="single" w:color="000000" w:sz="4" w:space="0"/>
              <w:right w:val="single" w:color="000000" w:sz="4" w:space="0"/>
            </w:tcBorders>
            <w:noWrap/>
            <w:vAlign w:val="center"/>
          </w:tcPr>
          <w:p w14:paraId="2B237D4F">
            <w:pPr>
              <w:rPr>
                <w:rFonts w:hint="eastAsia" w:asciiTheme="minorEastAsia" w:hAnsiTheme="minorEastAsia" w:eastAsiaTheme="minorEastAsia" w:cstheme="minorEastAsia"/>
                <w:color w:val="auto"/>
                <w:sz w:val="20"/>
                <w:szCs w:val="20"/>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86916E4">
            <w:pPr>
              <w:jc w:val="center"/>
              <w:textAlignment w:val="center"/>
              <w:rPr>
                <w:rFonts w:hint="eastAsia" w:asciiTheme="minorEastAsia" w:hAnsiTheme="minorEastAsia" w:eastAsiaTheme="minorEastAsia" w:cstheme="minorEastAsia"/>
                <w:color w:val="auto"/>
                <w:sz w:val="15"/>
                <w:szCs w:val="15"/>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16B3F5CF">
            <w:pPr>
              <w:jc w:val="center"/>
              <w:rPr>
                <w:rFonts w:hint="eastAsia" w:asciiTheme="minorEastAsia" w:hAnsiTheme="minorEastAsia" w:eastAsiaTheme="minorEastAsia" w:cstheme="minorEastAsia"/>
                <w:color w:val="auto"/>
                <w:sz w:val="20"/>
                <w:szCs w:val="20"/>
              </w:rPr>
            </w:pP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1B3C517">
            <w:pPr>
              <w:jc w:val="center"/>
              <w:rPr>
                <w:rFonts w:hint="eastAsia" w:asciiTheme="minorEastAsia" w:hAnsiTheme="minorEastAsia" w:eastAsiaTheme="minorEastAsia" w:cstheme="minorEastAsia"/>
                <w:color w:val="auto"/>
                <w:sz w:val="20"/>
                <w:szCs w:val="20"/>
              </w:rPr>
            </w:pPr>
          </w:p>
        </w:tc>
        <w:tc>
          <w:tcPr>
            <w:tcW w:w="1112" w:type="dxa"/>
            <w:tcBorders>
              <w:top w:val="single" w:color="000000" w:sz="4" w:space="0"/>
              <w:left w:val="single" w:color="000000" w:sz="4" w:space="0"/>
              <w:bottom w:val="single" w:color="000000" w:sz="4" w:space="0"/>
              <w:right w:val="single" w:color="000000" w:sz="4" w:space="0"/>
            </w:tcBorders>
            <w:noWrap/>
          </w:tcPr>
          <w:p w14:paraId="3E37D2C6">
            <w:pPr>
              <w:jc w:val="center"/>
              <w:rPr>
                <w:rFonts w:hint="eastAsia" w:asciiTheme="minorEastAsia" w:hAnsiTheme="minorEastAsia" w:eastAsiaTheme="minorEastAsia" w:cstheme="minorEastAsia"/>
                <w:color w:val="auto"/>
                <w:sz w:val="20"/>
                <w:szCs w:val="20"/>
              </w:rPr>
            </w:pP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0FF8AE4D">
            <w:pPr>
              <w:jc w:val="center"/>
              <w:rPr>
                <w:rFonts w:hint="eastAsia" w:asciiTheme="minorEastAsia" w:hAnsiTheme="minorEastAsia" w:eastAsiaTheme="minorEastAsia" w:cstheme="minorEastAsia"/>
                <w:color w:val="auto"/>
                <w:sz w:val="20"/>
                <w:szCs w:val="20"/>
              </w:rPr>
            </w:pPr>
          </w:p>
        </w:tc>
        <w:tc>
          <w:tcPr>
            <w:tcW w:w="1159" w:type="dxa"/>
            <w:tcBorders>
              <w:top w:val="single" w:color="000000" w:sz="4" w:space="0"/>
              <w:left w:val="single" w:color="000000" w:sz="4" w:space="0"/>
              <w:bottom w:val="single" w:color="000000" w:sz="4" w:space="0"/>
              <w:right w:val="single" w:color="000000" w:sz="4" w:space="0"/>
            </w:tcBorders>
            <w:noWrap/>
            <w:vAlign w:val="center"/>
          </w:tcPr>
          <w:p w14:paraId="6482B51C">
            <w:pPr>
              <w:jc w:val="center"/>
              <w:rPr>
                <w:rFonts w:hint="eastAsia" w:asciiTheme="minorEastAsia" w:hAnsiTheme="minorEastAsia" w:eastAsiaTheme="minorEastAsia" w:cstheme="minorEastAsia"/>
                <w:color w:val="auto"/>
                <w:sz w:val="20"/>
                <w:szCs w:val="20"/>
              </w:rPr>
            </w:pPr>
          </w:p>
        </w:tc>
        <w:tc>
          <w:tcPr>
            <w:tcW w:w="1159" w:type="dxa"/>
            <w:tcBorders>
              <w:top w:val="single" w:color="000000" w:sz="4" w:space="0"/>
              <w:left w:val="single" w:color="000000" w:sz="4" w:space="0"/>
              <w:bottom w:val="single" w:color="000000" w:sz="4" w:space="0"/>
              <w:right w:val="single" w:color="000000" w:sz="4" w:space="0"/>
            </w:tcBorders>
            <w:noWrap/>
            <w:vAlign w:val="center"/>
          </w:tcPr>
          <w:p w14:paraId="66AED599">
            <w:pPr>
              <w:jc w:val="center"/>
              <w:rPr>
                <w:rFonts w:hint="eastAsia" w:asciiTheme="minorEastAsia" w:hAnsiTheme="minorEastAsia" w:eastAsiaTheme="minorEastAsia" w:cstheme="minorEastAsia"/>
                <w:color w:val="auto"/>
                <w:sz w:val="20"/>
                <w:szCs w:val="20"/>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14:paraId="3A70DDC9">
            <w:pPr>
              <w:jc w:val="center"/>
              <w:rPr>
                <w:rFonts w:hint="eastAsia" w:asciiTheme="minorEastAsia" w:hAnsiTheme="minorEastAsia" w:eastAsiaTheme="minorEastAsia" w:cstheme="minorEastAsia"/>
                <w:color w:val="auto"/>
                <w:sz w:val="20"/>
                <w:szCs w:val="20"/>
              </w:rPr>
            </w:pPr>
          </w:p>
        </w:tc>
      </w:tr>
    </w:tbl>
    <w:p w14:paraId="55072FFF">
      <w:pPr>
        <w:pStyle w:val="8"/>
        <w:spacing w:line="360" w:lineRule="auto"/>
        <w:ind w:left="-181" w:leftChars="-86" w:firstLine="607" w:firstLineChars="275"/>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2"/>
          <w:szCs w:val="22"/>
          <w:lang w:eastAsia="zh-CN"/>
        </w:rPr>
        <w:t>注：按评审标准对上述内容评审，满足要求的在对应的框内打“√”，不满足要求的在对应的框内打“×”。对可以进入详评的投标人，在该投标人所对应的“是否通过评审“栏中打“√”。</w:t>
      </w:r>
      <w:r>
        <w:rPr>
          <w:rFonts w:hint="eastAsia" w:asciiTheme="minorEastAsia" w:hAnsiTheme="minorEastAsia" w:eastAsiaTheme="minorEastAsia" w:cstheme="minorEastAsia"/>
          <w:b/>
          <w:color w:val="auto"/>
          <w:sz w:val="22"/>
          <w:szCs w:val="22"/>
        </w:rPr>
        <w:t>一项未提供，则不通过。</w:t>
      </w:r>
    </w:p>
    <w:p w14:paraId="51A23BCF">
      <w:pPr>
        <w:spacing w:line="360" w:lineRule="auto"/>
        <w:jc w:val="left"/>
        <w:rPr>
          <w:rFonts w:ascii="宋体" w:hAnsi="宋体" w:cs="宋体"/>
          <w:b/>
          <w:sz w:val="24"/>
        </w:rPr>
      </w:pPr>
      <w:r>
        <w:rPr>
          <w:rFonts w:hint="eastAsia" w:ascii="宋体" w:hAnsi="宋体" w:cs="宋体"/>
          <w:b/>
          <w:sz w:val="24"/>
        </w:rPr>
        <w:t>5.2符合性审查</w:t>
      </w:r>
    </w:p>
    <w:tbl>
      <w:tblPr>
        <w:tblStyle w:val="22"/>
        <w:tblpPr w:leftFromText="180" w:rightFromText="180" w:vertAnchor="text" w:horzAnchor="page" w:tblpXSpec="center" w:tblpY="262"/>
        <w:tblOverlap w:val="never"/>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730"/>
        <w:gridCol w:w="1462"/>
      </w:tblGrid>
      <w:tr w14:paraId="2EFE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020" w:type="dxa"/>
            <w:gridSpan w:val="3"/>
            <w:noWrap/>
            <w:vAlign w:val="center"/>
          </w:tcPr>
          <w:p w14:paraId="21B3607D">
            <w:pPr>
              <w:pStyle w:val="5"/>
              <w:spacing w:line="300" w:lineRule="auto"/>
              <w:ind w:firstLine="0"/>
              <w:jc w:val="center"/>
              <w:rPr>
                <w:rFonts w:ascii="仿宋" w:hAnsi="仿宋" w:eastAsia="仿宋" w:cs="宋体"/>
                <w:b/>
                <w:szCs w:val="21"/>
              </w:rPr>
            </w:pPr>
            <w:r>
              <w:rPr>
                <w:rFonts w:hint="eastAsia" w:ascii="仿宋" w:hAnsi="仿宋" w:eastAsia="仿宋" w:cs="宋体"/>
                <w:b/>
                <w:bCs/>
                <w:kern w:val="0"/>
                <w:sz w:val="32"/>
                <w:szCs w:val="32"/>
              </w:rPr>
              <w:t>商务符合性审查表</w:t>
            </w:r>
          </w:p>
        </w:tc>
      </w:tr>
      <w:tr w14:paraId="0912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58" w:type="dxa"/>
            <w:gridSpan w:val="2"/>
            <w:noWrap/>
            <w:vAlign w:val="center"/>
          </w:tcPr>
          <w:p w14:paraId="2027D008">
            <w:pPr>
              <w:spacing w:line="300" w:lineRule="auto"/>
              <w:jc w:val="center"/>
              <w:rPr>
                <w:rFonts w:ascii="仿宋" w:hAnsi="仿宋" w:eastAsia="仿宋" w:cs="宋体"/>
                <w:spacing w:val="-2"/>
                <w:szCs w:val="21"/>
              </w:rPr>
            </w:pPr>
            <w:r>
              <w:rPr>
                <w:rFonts w:hint="eastAsia" w:ascii="仿宋" w:hAnsi="仿宋" w:eastAsia="仿宋" w:cs="宋体"/>
                <w:spacing w:val="-2"/>
                <w:szCs w:val="21"/>
              </w:rPr>
              <w:t>评审内容</w:t>
            </w:r>
          </w:p>
        </w:tc>
        <w:tc>
          <w:tcPr>
            <w:tcW w:w="1462" w:type="dxa"/>
            <w:noWrap/>
            <w:vAlign w:val="center"/>
          </w:tcPr>
          <w:p w14:paraId="2984C39D">
            <w:pPr>
              <w:spacing w:line="300" w:lineRule="auto"/>
              <w:jc w:val="center"/>
              <w:rPr>
                <w:rFonts w:ascii="仿宋" w:hAnsi="仿宋" w:eastAsia="仿宋" w:cs="宋体"/>
                <w:spacing w:val="-2"/>
                <w:szCs w:val="21"/>
              </w:rPr>
            </w:pPr>
            <w:r>
              <w:rPr>
                <w:rFonts w:hint="eastAsia" w:ascii="仿宋" w:hAnsi="仿宋" w:eastAsia="仿宋" w:cs="宋体"/>
                <w:b/>
                <w:szCs w:val="21"/>
              </w:rPr>
              <w:t>评审意见</w:t>
            </w:r>
          </w:p>
        </w:tc>
      </w:tr>
      <w:tr w14:paraId="353D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8" w:type="dxa"/>
            <w:noWrap/>
            <w:vAlign w:val="center"/>
          </w:tcPr>
          <w:p w14:paraId="14125271">
            <w:pPr>
              <w:spacing w:line="300" w:lineRule="auto"/>
              <w:jc w:val="center"/>
              <w:rPr>
                <w:rFonts w:ascii="仿宋" w:hAnsi="仿宋" w:eastAsia="仿宋" w:cs="宋体"/>
                <w:szCs w:val="21"/>
              </w:rPr>
            </w:pPr>
            <w:r>
              <w:rPr>
                <w:rFonts w:hint="eastAsia" w:ascii="仿宋" w:hAnsi="仿宋" w:eastAsia="仿宋" w:cs="宋体"/>
                <w:szCs w:val="21"/>
              </w:rPr>
              <w:t>序号</w:t>
            </w:r>
          </w:p>
        </w:tc>
        <w:tc>
          <w:tcPr>
            <w:tcW w:w="6730" w:type="dxa"/>
            <w:noWrap/>
            <w:vAlign w:val="center"/>
          </w:tcPr>
          <w:p w14:paraId="6B14C153">
            <w:pPr>
              <w:spacing w:line="300" w:lineRule="auto"/>
              <w:jc w:val="center"/>
              <w:rPr>
                <w:rFonts w:ascii="仿宋" w:hAnsi="仿宋" w:eastAsia="仿宋" w:cs="宋体"/>
                <w:spacing w:val="-2"/>
                <w:szCs w:val="21"/>
              </w:rPr>
            </w:pPr>
          </w:p>
        </w:tc>
        <w:tc>
          <w:tcPr>
            <w:tcW w:w="1462" w:type="dxa"/>
            <w:noWrap/>
            <w:vAlign w:val="center"/>
          </w:tcPr>
          <w:p w14:paraId="55150417">
            <w:pPr>
              <w:spacing w:line="300" w:lineRule="auto"/>
              <w:jc w:val="center"/>
              <w:rPr>
                <w:rFonts w:ascii="仿宋" w:hAnsi="仿宋" w:eastAsia="仿宋" w:cs="宋体"/>
                <w:spacing w:val="-2"/>
                <w:szCs w:val="21"/>
              </w:rPr>
            </w:pPr>
            <w:r>
              <w:rPr>
                <w:rFonts w:hint="eastAsia" w:ascii="仿宋" w:hAnsi="仿宋" w:eastAsia="仿宋" w:cs="宋体"/>
                <w:spacing w:val="-2"/>
                <w:szCs w:val="21"/>
              </w:rPr>
              <w:t>是否合格</w:t>
            </w:r>
          </w:p>
        </w:tc>
      </w:tr>
      <w:tr w14:paraId="646C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7C68067D">
            <w:pPr>
              <w:spacing w:line="300" w:lineRule="auto"/>
              <w:jc w:val="center"/>
              <w:rPr>
                <w:rFonts w:ascii="仿宋" w:hAnsi="仿宋" w:eastAsia="仿宋" w:cs="宋体"/>
                <w:szCs w:val="21"/>
              </w:rPr>
            </w:pPr>
            <w:r>
              <w:rPr>
                <w:rFonts w:hint="eastAsia" w:ascii="仿宋" w:hAnsi="仿宋" w:eastAsia="仿宋" w:cs="宋体"/>
                <w:szCs w:val="21"/>
              </w:rPr>
              <w:t>1</w:t>
            </w:r>
          </w:p>
        </w:tc>
        <w:tc>
          <w:tcPr>
            <w:tcW w:w="6730" w:type="dxa"/>
            <w:noWrap/>
            <w:vAlign w:val="center"/>
          </w:tcPr>
          <w:p w14:paraId="66F5BD04">
            <w:pPr>
              <w:spacing w:line="300" w:lineRule="auto"/>
              <w:jc w:val="left"/>
              <w:rPr>
                <w:rFonts w:hint="eastAsia" w:ascii="仿宋" w:hAnsi="仿宋" w:eastAsia="仿宋" w:cs="宋体"/>
                <w:szCs w:val="21"/>
                <w:lang w:eastAsia="zh-CN"/>
              </w:rPr>
            </w:pPr>
            <w:r>
              <w:rPr>
                <w:rFonts w:hint="eastAsia" w:ascii="仿宋" w:hAnsi="仿宋" w:eastAsia="仿宋" w:cs="宋体"/>
                <w:szCs w:val="21"/>
              </w:rPr>
              <w:t>投标报价不得高于预算金额</w:t>
            </w:r>
            <w:r>
              <w:rPr>
                <w:rFonts w:hint="eastAsia" w:ascii="仿宋" w:hAnsi="仿宋" w:eastAsia="仿宋" w:cs="宋体"/>
                <w:szCs w:val="21"/>
                <w:lang w:eastAsia="zh-CN"/>
              </w:rPr>
              <w:t>；</w:t>
            </w:r>
          </w:p>
        </w:tc>
        <w:tc>
          <w:tcPr>
            <w:tcW w:w="1462" w:type="dxa"/>
            <w:noWrap/>
            <w:vAlign w:val="center"/>
          </w:tcPr>
          <w:p w14:paraId="34E81810">
            <w:pPr>
              <w:spacing w:line="300" w:lineRule="auto"/>
              <w:rPr>
                <w:rFonts w:ascii="仿宋" w:hAnsi="仿宋" w:eastAsia="仿宋" w:cs="宋体"/>
                <w:spacing w:val="-2"/>
                <w:szCs w:val="21"/>
              </w:rPr>
            </w:pPr>
          </w:p>
        </w:tc>
      </w:tr>
      <w:tr w14:paraId="3077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0C1A444E">
            <w:pPr>
              <w:spacing w:line="300" w:lineRule="auto"/>
              <w:jc w:val="center"/>
              <w:rPr>
                <w:rFonts w:hint="eastAsia" w:ascii="仿宋" w:hAnsi="仿宋" w:eastAsia="仿宋" w:cs="宋体"/>
                <w:szCs w:val="21"/>
              </w:rPr>
            </w:pPr>
            <w:r>
              <w:rPr>
                <w:rFonts w:hint="eastAsia" w:ascii="仿宋" w:hAnsi="仿宋" w:eastAsia="仿宋" w:cs="宋体"/>
                <w:szCs w:val="21"/>
              </w:rPr>
              <w:t>2</w:t>
            </w:r>
          </w:p>
        </w:tc>
        <w:tc>
          <w:tcPr>
            <w:tcW w:w="6730" w:type="dxa"/>
            <w:noWrap/>
            <w:vAlign w:val="center"/>
          </w:tcPr>
          <w:p w14:paraId="707811A1">
            <w:pPr>
              <w:spacing w:line="300" w:lineRule="auto"/>
              <w:jc w:val="left"/>
              <w:rPr>
                <w:rFonts w:hint="eastAsia" w:ascii="仿宋" w:hAnsi="仿宋" w:eastAsia="仿宋" w:cs="宋体"/>
                <w:szCs w:val="21"/>
              </w:rPr>
            </w:pPr>
            <w:r>
              <w:rPr>
                <w:rFonts w:hint="eastAsia" w:ascii="仿宋" w:hAnsi="仿宋" w:eastAsia="仿宋" w:cs="宋体"/>
                <w:szCs w:val="21"/>
              </w:rPr>
              <w:t>未投标人之间或者投标人与采购人串通投标的；</w:t>
            </w:r>
          </w:p>
        </w:tc>
        <w:tc>
          <w:tcPr>
            <w:tcW w:w="1462" w:type="dxa"/>
            <w:noWrap/>
            <w:vAlign w:val="center"/>
          </w:tcPr>
          <w:p w14:paraId="482094F0">
            <w:pPr>
              <w:spacing w:line="300" w:lineRule="auto"/>
              <w:rPr>
                <w:rFonts w:ascii="仿宋" w:hAnsi="仿宋" w:eastAsia="仿宋" w:cs="宋体"/>
                <w:spacing w:val="-2"/>
                <w:szCs w:val="21"/>
              </w:rPr>
            </w:pPr>
          </w:p>
        </w:tc>
      </w:tr>
      <w:tr w14:paraId="0A0C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290A91B3">
            <w:pPr>
              <w:spacing w:line="300" w:lineRule="auto"/>
              <w:jc w:val="center"/>
              <w:rPr>
                <w:rFonts w:hint="eastAsia" w:ascii="仿宋" w:hAnsi="仿宋" w:eastAsia="仿宋" w:cs="宋体"/>
                <w:szCs w:val="21"/>
              </w:rPr>
            </w:pPr>
            <w:r>
              <w:rPr>
                <w:rFonts w:hint="eastAsia" w:ascii="仿宋" w:hAnsi="仿宋" w:eastAsia="仿宋" w:cs="宋体"/>
                <w:szCs w:val="21"/>
              </w:rPr>
              <w:t>3</w:t>
            </w:r>
          </w:p>
        </w:tc>
        <w:tc>
          <w:tcPr>
            <w:tcW w:w="6730" w:type="dxa"/>
            <w:noWrap/>
            <w:vAlign w:val="center"/>
          </w:tcPr>
          <w:p w14:paraId="3707B0FD">
            <w:pPr>
              <w:spacing w:line="300" w:lineRule="auto"/>
              <w:jc w:val="left"/>
              <w:rPr>
                <w:rFonts w:hint="eastAsia" w:ascii="仿宋" w:hAnsi="仿宋" w:eastAsia="仿宋" w:cs="宋体"/>
                <w:szCs w:val="21"/>
              </w:rPr>
            </w:pPr>
            <w:r>
              <w:rPr>
                <w:rFonts w:hint="eastAsia" w:ascii="仿宋" w:hAnsi="仿宋" w:eastAsia="仿宋" w:cs="宋体"/>
                <w:szCs w:val="21"/>
              </w:rPr>
              <w:t>未以行贿手段谋取中标或者未以其他弄虚作假方式投标的；</w:t>
            </w:r>
          </w:p>
        </w:tc>
        <w:tc>
          <w:tcPr>
            <w:tcW w:w="1462" w:type="dxa"/>
            <w:noWrap/>
            <w:vAlign w:val="center"/>
          </w:tcPr>
          <w:p w14:paraId="4AABEAF5">
            <w:pPr>
              <w:spacing w:line="300" w:lineRule="auto"/>
              <w:rPr>
                <w:rFonts w:ascii="仿宋" w:hAnsi="仿宋" w:eastAsia="仿宋" w:cs="宋体"/>
                <w:szCs w:val="21"/>
              </w:rPr>
            </w:pPr>
          </w:p>
        </w:tc>
      </w:tr>
      <w:tr w14:paraId="70EC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3EE754CB">
            <w:pPr>
              <w:spacing w:line="300" w:lineRule="auto"/>
              <w:jc w:val="center"/>
              <w:rPr>
                <w:rFonts w:hint="eastAsia" w:ascii="仿宋" w:hAnsi="仿宋" w:eastAsia="仿宋" w:cs="宋体"/>
                <w:szCs w:val="21"/>
              </w:rPr>
            </w:pPr>
            <w:r>
              <w:rPr>
                <w:rFonts w:hint="eastAsia" w:ascii="仿宋" w:hAnsi="仿宋" w:eastAsia="仿宋" w:cs="宋体"/>
                <w:szCs w:val="21"/>
              </w:rPr>
              <w:t>4</w:t>
            </w:r>
          </w:p>
        </w:tc>
        <w:tc>
          <w:tcPr>
            <w:tcW w:w="6730" w:type="dxa"/>
            <w:noWrap/>
            <w:vAlign w:val="center"/>
          </w:tcPr>
          <w:p w14:paraId="18C945E2">
            <w:pPr>
              <w:spacing w:line="300" w:lineRule="auto"/>
              <w:jc w:val="left"/>
              <w:rPr>
                <w:rFonts w:hint="eastAsia" w:ascii="仿宋" w:hAnsi="仿宋" w:eastAsia="仿宋" w:cs="宋体"/>
                <w:szCs w:val="21"/>
              </w:rPr>
            </w:pPr>
            <w:r>
              <w:rPr>
                <w:rFonts w:hint="eastAsia" w:ascii="仿宋" w:hAnsi="仿宋" w:eastAsia="仿宋" w:cs="宋体"/>
                <w:szCs w:val="21"/>
              </w:rPr>
              <w:t>评标委员会共同确定没有实质上不响应招标文件要求的；</w:t>
            </w:r>
          </w:p>
        </w:tc>
        <w:tc>
          <w:tcPr>
            <w:tcW w:w="1462" w:type="dxa"/>
            <w:noWrap/>
            <w:vAlign w:val="center"/>
          </w:tcPr>
          <w:p w14:paraId="3795920B">
            <w:pPr>
              <w:spacing w:line="300" w:lineRule="auto"/>
              <w:rPr>
                <w:rFonts w:ascii="仿宋" w:hAnsi="仿宋" w:eastAsia="仿宋" w:cs="宋体"/>
                <w:spacing w:val="-2"/>
                <w:szCs w:val="21"/>
              </w:rPr>
            </w:pPr>
          </w:p>
        </w:tc>
      </w:tr>
      <w:tr w14:paraId="7F88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41B6025C">
            <w:pPr>
              <w:spacing w:line="300" w:lineRule="auto"/>
              <w:jc w:val="center"/>
              <w:rPr>
                <w:rFonts w:hint="eastAsia" w:ascii="仿宋" w:hAnsi="仿宋" w:eastAsia="仿宋" w:cs="宋体"/>
                <w:szCs w:val="21"/>
              </w:rPr>
            </w:pPr>
            <w:r>
              <w:rPr>
                <w:rFonts w:hint="eastAsia" w:ascii="仿宋" w:hAnsi="仿宋" w:eastAsia="仿宋" w:cs="宋体"/>
                <w:szCs w:val="21"/>
              </w:rPr>
              <w:t>5</w:t>
            </w:r>
          </w:p>
        </w:tc>
        <w:tc>
          <w:tcPr>
            <w:tcW w:w="6730" w:type="dxa"/>
            <w:noWrap/>
            <w:vAlign w:val="center"/>
          </w:tcPr>
          <w:p w14:paraId="71A4CB9D">
            <w:pPr>
              <w:spacing w:line="300" w:lineRule="auto"/>
              <w:jc w:val="left"/>
              <w:rPr>
                <w:rFonts w:hint="eastAsia" w:ascii="仿宋" w:hAnsi="仿宋" w:eastAsia="仿宋" w:cs="宋体"/>
                <w:szCs w:val="21"/>
              </w:rPr>
            </w:pPr>
            <w:r>
              <w:rPr>
                <w:rFonts w:hint="eastAsia" w:ascii="仿宋" w:hAnsi="仿宋" w:eastAsia="仿宋" w:cs="宋体"/>
                <w:szCs w:val="21"/>
              </w:rPr>
              <w:t>投标文件有投标单位法定代表人或其授权代表签字（章）和加盖投标单位公章的；（投标文件正本的印章和签字不能为</w:t>
            </w:r>
            <w:r>
              <w:rPr>
                <w:rFonts w:hint="eastAsia" w:ascii="仿宋" w:hAnsi="仿宋" w:eastAsia="仿宋" w:cs="宋体"/>
                <w:szCs w:val="21"/>
                <w:lang w:eastAsia="zh-CN"/>
              </w:rPr>
              <w:t>复印</w:t>
            </w:r>
            <w:r>
              <w:rPr>
                <w:rFonts w:hint="eastAsia" w:ascii="仿宋" w:hAnsi="仿宋" w:eastAsia="仿宋" w:cs="宋体"/>
                <w:szCs w:val="21"/>
              </w:rPr>
              <w:t>件）；</w:t>
            </w:r>
          </w:p>
        </w:tc>
        <w:tc>
          <w:tcPr>
            <w:tcW w:w="1462" w:type="dxa"/>
            <w:noWrap/>
            <w:vAlign w:val="center"/>
          </w:tcPr>
          <w:p w14:paraId="6DBD2E9D">
            <w:pPr>
              <w:spacing w:line="300" w:lineRule="auto"/>
              <w:rPr>
                <w:rFonts w:ascii="仿宋" w:hAnsi="仿宋" w:eastAsia="仿宋" w:cs="宋体"/>
                <w:spacing w:val="-2"/>
                <w:szCs w:val="21"/>
              </w:rPr>
            </w:pPr>
          </w:p>
        </w:tc>
      </w:tr>
      <w:tr w14:paraId="1974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5D214111">
            <w:pPr>
              <w:spacing w:line="300" w:lineRule="auto"/>
              <w:jc w:val="center"/>
              <w:rPr>
                <w:rFonts w:hint="eastAsia" w:ascii="仿宋" w:hAnsi="仿宋" w:eastAsia="仿宋" w:cs="宋体"/>
                <w:szCs w:val="21"/>
              </w:rPr>
            </w:pPr>
            <w:r>
              <w:rPr>
                <w:rFonts w:hint="eastAsia" w:ascii="仿宋" w:hAnsi="仿宋" w:eastAsia="仿宋" w:cs="宋体"/>
                <w:szCs w:val="21"/>
              </w:rPr>
              <w:t>6</w:t>
            </w:r>
          </w:p>
        </w:tc>
        <w:tc>
          <w:tcPr>
            <w:tcW w:w="6730" w:type="dxa"/>
            <w:noWrap/>
            <w:vAlign w:val="center"/>
          </w:tcPr>
          <w:p w14:paraId="5EBE03AE">
            <w:pPr>
              <w:spacing w:line="300" w:lineRule="auto"/>
              <w:jc w:val="left"/>
              <w:rPr>
                <w:rFonts w:hint="eastAsia" w:ascii="仿宋" w:hAnsi="仿宋" w:eastAsia="仿宋" w:cs="宋体"/>
                <w:szCs w:val="21"/>
              </w:rPr>
            </w:pPr>
            <w:r>
              <w:rPr>
                <w:rFonts w:hint="eastAsia" w:ascii="仿宋" w:hAnsi="仿宋" w:eastAsia="仿宋" w:cs="宋体"/>
                <w:szCs w:val="21"/>
              </w:rPr>
              <w:t>投标的政府采购项目完成期限未超过招标文件规定期限的；</w:t>
            </w:r>
          </w:p>
        </w:tc>
        <w:tc>
          <w:tcPr>
            <w:tcW w:w="1462" w:type="dxa"/>
            <w:noWrap/>
            <w:vAlign w:val="center"/>
          </w:tcPr>
          <w:p w14:paraId="4AF3E122">
            <w:pPr>
              <w:spacing w:line="300" w:lineRule="auto"/>
              <w:rPr>
                <w:rFonts w:ascii="仿宋" w:hAnsi="仿宋" w:eastAsia="仿宋" w:cs="宋体"/>
                <w:spacing w:val="-2"/>
                <w:szCs w:val="21"/>
              </w:rPr>
            </w:pPr>
          </w:p>
        </w:tc>
      </w:tr>
      <w:tr w14:paraId="10E3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6F35869D">
            <w:pPr>
              <w:spacing w:line="300" w:lineRule="auto"/>
              <w:jc w:val="center"/>
              <w:rPr>
                <w:rFonts w:hint="eastAsia" w:ascii="仿宋" w:hAnsi="仿宋" w:eastAsia="仿宋" w:cs="宋体"/>
                <w:szCs w:val="21"/>
              </w:rPr>
            </w:pPr>
            <w:r>
              <w:rPr>
                <w:rFonts w:hint="eastAsia" w:ascii="仿宋" w:hAnsi="仿宋" w:eastAsia="仿宋" w:cs="宋体"/>
                <w:szCs w:val="21"/>
              </w:rPr>
              <w:t>7</w:t>
            </w:r>
          </w:p>
        </w:tc>
        <w:tc>
          <w:tcPr>
            <w:tcW w:w="6730" w:type="dxa"/>
            <w:noWrap/>
            <w:vAlign w:val="center"/>
          </w:tcPr>
          <w:p w14:paraId="38981C8E">
            <w:pPr>
              <w:spacing w:line="300" w:lineRule="auto"/>
              <w:jc w:val="left"/>
              <w:rPr>
                <w:rFonts w:hint="eastAsia" w:ascii="仿宋" w:hAnsi="仿宋" w:eastAsia="仿宋" w:cs="宋体"/>
                <w:szCs w:val="21"/>
              </w:rPr>
            </w:pPr>
            <w:r>
              <w:rPr>
                <w:rFonts w:hint="eastAsia" w:ascii="仿宋" w:hAnsi="仿宋" w:eastAsia="仿宋" w:cs="宋体"/>
                <w:szCs w:val="21"/>
              </w:rPr>
              <w:t>投标文件未附有采购人不能接受条件的；</w:t>
            </w:r>
          </w:p>
        </w:tc>
        <w:tc>
          <w:tcPr>
            <w:tcW w:w="1462" w:type="dxa"/>
            <w:noWrap/>
            <w:vAlign w:val="center"/>
          </w:tcPr>
          <w:p w14:paraId="37370DD4">
            <w:pPr>
              <w:spacing w:line="300" w:lineRule="auto"/>
              <w:rPr>
                <w:rFonts w:ascii="仿宋" w:hAnsi="仿宋" w:eastAsia="仿宋" w:cs="宋体"/>
                <w:spacing w:val="-2"/>
                <w:szCs w:val="21"/>
              </w:rPr>
            </w:pPr>
          </w:p>
        </w:tc>
      </w:tr>
      <w:tr w14:paraId="16F1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4F97631F">
            <w:pPr>
              <w:spacing w:line="300" w:lineRule="auto"/>
              <w:jc w:val="center"/>
              <w:rPr>
                <w:rFonts w:hint="eastAsia" w:ascii="仿宋" w:hAnsi="仿宋" w:eastAsia="仿宋" w:cs="宋体"/>
                <w:szCs w:val="21"/>
              </w:rPr>
            </w:pPr>
            <w:r>
              <w:rPr>
                <w:rFonts w:hint="eastAsia" w:ascii="仿宋" w:hAnsi="仿宋" w:eastAsia="仿宋" w:cs="宋体"/>
                <w:szCs w:val="21"/>
              </w:rPr>
              <w:t>8</w:t>
            </w:r>
          </w:p>
        </w:tc>
        <w:tc>
          <w:tcPr>
            <w:tcW w:w="6730" w:type="dxa"/>
            <w:noWrap/>
            <w:vAlign w:val="center"/>
          </w:tcPr>
          <w:p w14:paraId="5DF1A7C6">
            <w:pPr>
              <w:spacing w:line="300" w:lineRule="auto"/>
              <w:jc w:val="left"/>
              <w:rPr>
                <w:rFonts w:hint="eastAsia" w:ascii="仿宋" w:hAnsi="仿宋" w:eastAsia="仿宋" w:cs="宋体"/>
                <w:szCs w:val="21"/>
              </w:rPr>
            </w:pPr>
            <w:r>
              <w:rPr>
                <w:rFonts w:hint="eastAsia" w:ascii="仿宋" w:hAnsi="仿宋" w:eastAsia="仿宋" w:cs="宋体"/>
                <w:szCs w:val="21"/>
              </w:rPr>
              <w:t>满足招标文件实质性要求的其他情形；</w:t>
            </w:r>
          </w:p>
        </w:tc>
        <w:tc>
          <w:tcPr>
            <w:tcW w:w="1462" w:type="dxa"/>
            <w:noWrap/>
            <w:vAlign w:val="center"/>
          </w:tcPr>
          <w:p w14:paraId="1F9DF297">
            <w:pPr>
              <w:spacing w:line="300" w:lineRule="auto"/>
              <w:rPr>
                <w:rFonts w:ascii="仿宋" w:hAnsi="仿宋" w:eastAsia="仿宋" w:cs="宋体"/>
                <w:szCs w:val="21"/>
              </w:rPr>
            </w:pPr>
          </w:p>
        </w:tc>
      </w:tr>
      <w:tr w14:paraId="2C63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2EB2ED5A">
            <w:pPr>
              <w:spacing w:line="300" w:lineRule="auto"/>
              <w:jc w:val="center"/>
              <w:rPr>
                <w:rFonts w:hint="eastAsia" w:ascii="仿宋" w:hAnsi="仿宋" w:eastAsia="仿宋" w:cs="宋体"/>
                <w:szCs w:val="21"/>
                <w:lang w:val="en-US" w:eastAsia="zh-CN"/>
              </w:rPr>
            </w:pPr>
            <w:r>
              <w:rPr>
                <w:rFonts w:hint="eastAsia" w:ascii="仿宋" w:hAnsi="仿宋" w:eastAsia="仿宋" w:cs="宋体"/>
                <w:szCs w:val="21"/>
                <w:lang w:val="en-US" w:eastAsia="zh-CN"/>
              </w:rPr>
              <w:t>9</w:t>
            </w:r>
          </w:p>
        </w:tc>
        <w:tc>
          <w:tcPr>
            <w:tcW w:w="6730" w:type="dxa"/>
            <w:noWrap/>
            <w:vAlign w:val="center"/>
          </w:tcPr>
          <w:p w14:paraId="54390785">
            <w:pPr>
              <w:spacing w:line="300" w:lineRule="auto"/>
              <w:jc w:val="left"/>
              <w:rPr>
                <w:rFonts w:hint="eastAsia" w:ascii="仿宋" w:hAnsi="仿宋" w:eastAsia="仿宋" w:cs="宋体"/>
                <w:szCs w:val="21"/>
              </w:rPr>
            </w:pPr>
            <w:r>
              <w:rPr>
                <w:rFonts w:hint="eastAsia" w:ascii="仿宋" w:hAnsi="仿宋" w:eastAsia="仿宋" w:cs="宋体"/>
                <w:szCs w:val="21"/>
              </w:rPr>
              <w:t>本项目不接受联合体投标</w:t>
            </w:r>
          </w:p>
        </w:tc>
        <w:tc>
          <w:tcPr>
            <w:tcW w:w="1462" w:type="dxa"/>
            <w:noWrap/>
            <w:vAlign w:val="center"/>
          </w:tcPr>
          <w:p w14:paraId="047E0E98">
            <w:pPr>
              <w:spacing w:line="300" w:lineRule="auto"/>
              <w:rPr>
                <w:rFonts w:ascii="仿宋" w:hAnsi="仿宋" w:eastAsia="仿宋" w:cs="宋体"/>
                <w:szCs w:val="21"/>
              </w:rPr>
            </w:pPr>
          </w:p>
        </w:tc>
      </w:tr>
      <w:tr w14:paraId="4A33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32232FE0">
            <w:pPr>
              <w:spacing w:line="300" w:lineRule="auto"/>
              <w:jc w:val="center"/>
              <w:rPr>
                <w:rFonts w:hint="default" w:ascii="仿宋" w:hAnsi="仿宋" w:eastAsia="仿宋" w:cs="宋体"/>
                <w:szCs w:val="21"/>
                <w:lang w:val="en-US" w:eastAsia="zh-CN"/>
              </w:rPr>
            </w:pPr>
            <w:r>
              <w:rPr>
                <w:rFonts w:hint="eastAsia" w:ascii="仿宋" w:hAnsi="仿宋" w:eastAsia="仿宋" w:cs="宋体"/>
                <w:szCs w:val="21"/>
                <w:lang w:val="en-US" w:eastAsia="zh-CN"/>
              </w:rPr>
              <w:t>10</w:t>
            </w:r>
          </w:p>
        </w:tc>
        <w:tc>
          <w:tcPr>
            <w:tcW w:w="6730" w:type="dxa"/>
            <w:noWrap/>
            <w:vAlign w:val="center"/>
          </w:tcPr>
          <w:p w14:paraId="5E00379F">
            <w:pPr>
              <w:spacing w:line="300" w:lineRule="auto"/>
              <w:jc w:val="left"/>
              <w:rPr>
                <w:rFonts w:hint="eastAsia" w:ascii="仿宋" w:hAnsi="仿宋" w:eastAsia="仿宋" w:cs="宋体"/>
                <w:szCs w:val="21"/>
              </w:rPr>
            </w:pPr>
            <w:r>
              <w:rPr>
                <w:rFonts w:hint="eastAsia" w:ascii="仿宋" w:hAnsi="仿宋" w:eastAsia="仿宋" w:cs="宋体"/>
                <w:szCs w:val="21"/>
              </w:rPr>
              <w:t>在同一标包内，单位负责人非同一人或者不存在直接控股、管理关系的不同供应商</w:t>
            </w:r>
          </w:p>
        </w:tc>
        <w:tc>
          <w:tcPr>
            <w:tcW w:w="1462" w:type="dxa"/>
            <w:noWrap/>
            <w:vAlign w:val="center"/>
          </w:tcPr>
          <w:p w14:paraId="5EC0558E">
            <w:pPr>
              <w:spacing w:line="300" w:lineRule="auto"/>
              <w:rPr>
                <w:rFonts w:ascii="仿宋" w:hAnsi="仿宋" w:eastAsia="仿宋" w:cs="宋体"/>
                <w:szCs w:val="21"/>
              </w:rPr>
            </w:pPr>
          </w:p>
        </w:tc>
      </w:tr>
      <w:tr w14:paraId="70F7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8" w:type="dxa"/>
            <w:noWrap/>
            <w:vAlign w:val="center"/>
          </w:tcPr>
          <w:p w14:paraId="2922B79A">
            <w:pPr>
              <w:spacing w:line="300" w:lineRule="auto"/>
              <w:jc w:val="center"/>
              <w:rPr>
                <w:rFonts w:hint="default" w:ascii="仿宋" w:hAnsi="仿宋" w:eastAsia="仿宋" w:cs="宋体"/>
                <w:szCs w:val="21"/>
                <w:lang w:val="en-US" w:eastAsia="zh-CN"/>
              </w:rPr>
            </w:pPr>
            <w:r>
              <w:rPr>
                <w:rFonts w:hint="eastAsia" w:ascii="仿宋" w:hAnsi="仿宋" w:eastAsia="仿宋" w:cs="宋体"/>
                <w:szCs w:val="21"/>
                <w:lang w:val="en-US" w:eastAsia="zh-CN"/>
              </w:rPr>
              <w:t>11</w:t>
            </w:r>
          </w:p>
        </w:tc>
        <w:tc>
          <w:tcPr>
            <w:tcW w:w="6730" w:type="dxa"/>
            <w:noWrap/>
            <w:vAlign w:val="center"/>
          </w:tcPr>
          <w:p w14:paraId="22999485">
            <w:pPr>
              <w:spacing w:line="300" w:lineRule="auto"/>
              <w:jc w:val="left"/>
              <w:rPr>
                <w:rFonts w:hint="eastAsia" w:ascii="仿宋" w:hAnsi="仿宋" w:eastAsia="仿宋" w:cs="宋体"/>
                <w:szCs w:val="21"/>
              </w:rPr>
            </w:pPr>
            <w:r>
              <w:rPr>
                <w:rFonts w:hint="eastAsia" w:ascii="仿宋" w:hAnsi="仿宋" w:eastAsia="仿宋" w:cs="宋体"/>
                <w:szCs w:val="21"/>
              </w:rPr>
              <w:t>投标人在投标过程中未向采购人提供、给予任何有价值的物品，影响其正常决策行为</w:t>
            </w:r>
          </w:p>
        </w:tc>
        <w:tc>
          <w:tcPr>
            <w:tcW w:w="1462" w:type="dxa"/>
            <w:noWrap/>
            <w:vAlign w:val="center"/>
          </w:tcPr>
          <w:p w14:paraId="68A9C609">
            <w:pPr>
              <w:spacing w:line="300" w:lineRule="auto"/>
              <w:rPr>
                <w:rFonts w:ascii="仿宋" w:hAnsi="仿宋" w:eastAsia="仿宋" w:cs="宋体"/>
                <w:szCs w:val="21"/>
              </w:rPr>
            </w:pPr>
          </w:p>
        </w:tc>
      </w:tr>
      <w:tr w14:paraId="6DAF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5DB82698">
            <w:pPr>
              <w:spacing w:line="300" w:lineRule="auto"/>
              <w:jc w:val="center"/>
              <w:rPr>
                <w:rFonts w:hint="default" w:ascii="仿宋" w:hAnsi="仿宋" w:eastAsia="仿宋" w:cs="宋体"/>
                <w:szCs w:val="21"/>
                <w:lang w:val="en-US" w:eastAsia="zh-CN"/>
              </w:rPr>
            </w:pPr>
            <w:r>
              <w:rPr>
                <w:rFonts w:hint="eastAsia" w:ascii="仿宋" w:hAnsi="仿宋" w:eastAsia="仿宋" w:cs="宋体"/>
                <w:szCs w:val="21"/>
                <w:lang w:val="en-US" w:eastAsia="zh-CN"/>
              </w:rPr>
              <w:t>12</w:t>
            </w:r>
          </w:p>
        </w:tc>
        <w:tc>
          <w:tcPr>
            <w:tcW w:w="6730" w:type="dxa"/>
            <w:noWrap/>
            <w:vAlign w:val="center"/>
          </w:tcPr>
          <w:p w14:paraId="7D0BFCA3">
            <w:pPr>
              <w:spacing w:line="300" w:lineRule="auto"/>
              <w:jc w:val="left"/>
              <w:rPr>
                <w:rFonts w:hint="eastAsia" w:ascii="仿宋" w:hAnsi="仿宋" w:eastAsia="仿宋" w:cs="宋体"/>
                <w:szCs w:val="21"/>
              </w:rPr>
            </w:pPr>
            <w:r>
              <w:rPr>
                <w:rFonts w:hint="eastAsia" w:ascii="仿宋" w:hAnsi="仿宋" w:eastAsia="仿宋" w:cs="宋体"/>
                <w:szCs w:val="21"/>
              </w:rPr>
              <w:t>投标人对所投分包招标文件中所列的所有服务内容进行投标</w:t>
            </w:r>
          </w:p>
        </w:tc>
        <w:tc>
          <w:tcPr>
            <w:tcW w:w="1462" w:type="dxa"/>
            <w:noWrap/>
            <w:vAlign w:val="center"/>
          </w:tcPr>
          <w:p w14:paraId="6E9C2447">
            <w:pPr>
              <w:spacing w:line="300" w:lineRule="auto"/>
              <w:rPr>
                <w:rFonts w:ascii="仿宋" w:hAnsi="仿宋" w:eastAsia="仿宋" w:cs="宋体"/>
                <w:szCs w:val="21"/>
              </w:rPr>
            </w:pPr>
          </w:p>
        </w:tc>
      </w:tr>
      <w:tr w14:paraId="2D83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16CFD478">
            <w:pPr>
              <w:spacing w:line="300" w:lineRule="auto"/>
              <w:jc w:val="center"/>
              <w:rPr>
                <w:rFonts w:hint="default" w:ascii="仿宋" w:hAnsi="仿宋" w:eastAsia="仿宋" w:cs="宋体"/>
                <w:szCs w:val="21"/>
                <w:lang w:val="en-US" w:eastAsia="zh-CN"/>
              </w:rPr>
            </w:pPr>
            <w:r>
              <w:rPr>
                <w:rFonts w:hint="eastAsia" w:ascii="仿宋" w:hAnsi="仿宋" w:eastAsia="仿宋" w:cs="宋体"/>
                <w:szCs w:val="21"/>
                <w:lang w:val="en-US" w:eastAsia="zh-CN"/>
              </w:rPr>
              <w:t>13</w:t>
            </w:r>
          </w:p>
        </w:tc>
        <w:tc>
          <w:tcPr>
            <w:tcW w:w="6730" w:type="dxa"/>
            <w:noWrap/>
            <w:vAlign w:val="center"/>
          </w:tcPr>
          <w:p w14:paraId="508BBA82">
            <w:pPr>
              <w:spacing w:line="300" w:lineRule="auto"/>
              <w:jc w:val="left"/>
              <w:rPr>
                <w:rFonts w:hint="eastAsia" w:ascii="仿宋" w:hAnsi="仿宋" w:eastAsia="仿宋" w:cs="宋体"/>
                <w:szCs w:val="21"/>
              </w:rPr>
            </w:pPr>
            <w:r>
              <w:rPr>
                <w:rFonts w:hint="eastAsia" w:ascii="仿宋" w:hAnsi="仿宋" w:eastAsia="仿宋" w:cs="宋体"/>
                <w:szCs w:val="21"/>
              </w:rPr>
              <w:t>投标人所报的各分项投标报价在合同履行过程中是固定不变的，不得以任何理由予以变更。</w:t>
            </w:r>
          </w:p>
        </w:tc>
        <w:tc>
          <w:tcPr>
            <w:tcW w:w="1462" w:type="dxa"/>
            <w:noWrap/>
            <w:vAlign w:val="center"/>
          </w:tcPr>
          <w:p w14:paraId="0B73A1DA">
            <w:pPr>
              <w:spacing w:line="300" w:lineRule="auto"/>
              <w:rPr>
                <w:rFonts w:ascii="仿宋" w:hAnsi="仿宋" w:eastAsia="仿宋" w:cs="宋体"/>
                <w:szCs w:val="21"/>
              </w:rPr>
            </w:pPr>
          </w:p>
        </w:tc>
      </w:tr>
      <w:tr w14:paraId="6DC2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492BBBD5">
            <w:pPr>
              <w:spacing w:line="300" w:lineRule="auto"/>
              <w:jc w:val="center"/>
              <w:rPr>
                <w:rFonts w:hint="default" w:ascii="仿宋" w:hAnsi="仿宋" w:eastAsia="仿宋" w:cs="宋体"/>
                <w:szCs w:val="21"/>
                <w:lang w:val="en-US" w:eastAsia="zh-CN"/>
              </w:rPr>
            </w:pPr>
            <w:r>
              <w:rPr>
                <w:rFonts w:hint="eastAsia" w:ascii="仿宋" w:hAnsi="仿宋" w:eastAsia="仿宋" w:cs="宋体"/>
                <w:szCs w:val="21"/>
                <w:lang w:val="en-US" w:eastAsia="zh-CN"/>
              </w:rPr>
              <w:t>14</w:t>
            </w:r>
          </w:p>
        </w:tc>
        <w:tc>
          <w:tcPr>
            <w:tcW w:w="6730" w:type="dxa"/>
            <w:noWrap/>
            <w:vAlign w:val="center"/>
          </w:tcPr>
          <w:p w14:paraId="617767FD">
            <w:pPr>
              <w:spacing w:line="300" w:lineRule="auto"/>
              <w:jc w:val="left"/>
              <w:rPr>
                <w:rFonts w:hint="eastAsia" w:ascii="仿宋" w:hAnsi="仿宋" w:eastAsia="仿宋" w:cs="宋体"/>
                <w:szCs w:val="21"/>
              </w:rPr>
            </w:pPr>
            <w:r>
              <w:rPr>
                <w:rFonts w:hint="eastAsia" w:ascii="仿宋" w:hAnsi="仿宋" w:eastAsia="仿宋" w:cs="宋体"/>
                <w:szCs w:val="21"/>
              </w:rPr>
              <w:t>自提交投标文件截止之日起90日历日内</w:t>
            </w:r>
          </w:p>
        </w:tc>
        <w:tc>
          <w:tcPr>
            <w:tcW w:w="1462" w:type="dxa"/>
            <w:noWrap/>
            <w:vAlign w:val="center"/>
          </w:tcPr>
          <w:p w14:paraId="2665017A">
            <w:pPr>
              <w:spacing w:line="300" w:lineRule="auto"/>
              <w:rPr>
                <w:rFonts w:ascii="仿宋" w:hAnsi="仿宋" w:eastAsia="仿宋" w:cs="宋体"/>
                <w:szCs w:val="21"/>
              </w:rPr>
            </w:pPr>
          </w:p>
        </w:tc>
      </w:tr>
      <w:tr w14:paraId="35CA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0576C2ED">
            <w:pPr>
              <w:spacing w:line="300" w:lineRule="auto"/>
              <w:jc w:val="center"/>
              <w:rPr>
                <w:rFonts w:hint="default" w:ascii="仿宋" w:hAnsi="仿宋" w:eastAsia="仿宋" w:cs="宋体"/>
                <w:szCs w:val="21"/>
                <w:lang w:val="en-US" w:eastAsia="zh-CN"/>
              </w:rPr>
            </w:pPr>
            <w:r>
              <w:rPr>
                <w:rFonts w:hint="eastAsia" w:ascii="仿宋" w:hAnsi="仿宋" w:eastAsia="仿宋" w:cs="宋体"/>
                <w:szCs w:val="21"/>
                <w:lang w:val="en-US" w:eastAsia="zh-CN"/>
              </w:rPr>
              <w:t>15</w:t>
            </w:r>
          </w:p>
        </w:tc>
        <w:tc>
          <w:tcPr>
            <w:tcW w:w="6730" w:type="dxa"/>
            <w:noWrap/>
            <w:vAlign w:val="center"/>
          </w:tcPr>
          <w:p w14:paraId="5C9417FA">
            <w:pPr>
              <w:spacing w:line="300" w:lineRule="auto"/>
              <w:jc w:val="left"/>
              <w:rPr>
                <w:rFonts w:hint="eastAsia" w:ascii="仿宋" w:hAnsi="仿宋" w:eastAsia="仿宋" w:cs="宋体"/>
                <w:szCs w:val="21"/>
              </w:rPr>
            </w:pPr>
            <w:r>
              <w:rPr>
                <w:rFonts w:hint="eastAsia" w:ascii="仿宋" w:hAnsi="仿宋" w:eastAsia="仿宋" w:cs="宋体"/>
                <w:szCs w:val="21"/>
              </w:rPr>
              <w:t>投标文件报价出现前后不一致的，应按照招标文件规定的顺序修正</w:t>
            </w:r>
          </w:p>
        </w:tc>
        <w:tc>
          <w:tcPr>
            <w:tcW w:w="1462" w:type="dxa"/>
            <w:noWrap/>
            <w:vAlign w:val="center"/>
          </w:tcPr>
          <w:p w14:paraId="51CCC9CE">
            <w:pPr>
              <w:spacing w:line="300" w:lineRule="auto"/>
              <w:rPr>
                <w:rFonts w:ascii="仿宋" w:hAnsi="仿宋" w:eastAsia="仿宋" w:cs="宋体"/>
                <w:szCs w:val="21"/>
              </w:rPr>
            </w:pPr>
          </w:p>
        </w:tc>
      </w:tr>
      <w:tr w14:paraId="496B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04FD7094">
            <w:pPr>
              <w:spacing w:line="300" w:lineRule="auto"/>
              <w:jc w:val="center"/>
              <w:rPr>
                <w:rFonts w:hint="default" w:ascii="仿宋" w:hAnsi="仿宋" w:eastAsia="仿宋" w:cs="宋体"/>
                <w:szCs w:val="21"/>
                <w:lang w:val="en-US" w:eastAsia="zh-CN"/>
              </w:rPr>
            </w:pPr>
            <w:r>
              <w:rPr>
                <w:rFonts w:hint="eastAsia" w:ascii="仿宋" w:hAnsi="仿宋" w:eastAsia="仿宋" w:cs="宋体"/>
                <w:szCs w:val="21"/>
                <w:lang w:val="en-US" w:eastAsia="zh-CN"/>
              </w:rPr>
              <w:t>16</w:t>
            </w:r>
          </w:p>
        </w:tc>
        <w:tc>
          <w:tcPr>
            <w:tcW w:w="6730" w:type="dxa"/>
            <w:noWrap/>
            <w:vAlign w:val="center"/>
          </w:tcPr>
          <w:p w14:paraId="0CDEDCA2">
            <w:pPr>
              <w:spacing w:line="300" w:lineRule="auto"/>
              <w:jc w:val="left"/>
              <w:rPr>
                <w:rFonts w:hint="eastAsia" w:ascii="仿宋" w:hAnsi="仿宋" w:eastAsia="仿宋" w:cs="宋体"/>
                <w:szCs w:val="21"/>
              </w:rPr>
            </w:pPr>
            <w:r>
              <w:rPr>
                <w:rFonts w:hint="eastAsia" w:ascii="仿宋" w:hAnsi="仿宋" w:eastAsia="仿宋" w:cs="宋体"/>
                <w:szCs w:val="21"/>
              </w:rPr>
              <w:t>投标人的报价明显低于其他通过符合性审查投标人的报价，有可能影响履约的，投标人能按照规定证明其报价合理性。</w:t>
            </w:r>
          </w:p>
        </w:tc>
        <w:tc>
          <w:tcPr>
            <w:tcW w:w="1462" w:type="dxa"/>
            <w:noWrap/>
            <w:vAlign w:val="center"/>
          </w:tcPr>
          <w:p w14:paraId="2A2D4C8F">
            <w:pPr>
              <w:spacing w:line="300" w:lineRule="auto"/>
              <w:rPr>
                <w:rFonts w:ascii="仿宋" w:hAnsi="仿宋" w:eastAsia="仿宋" w:cs="宋体"/>
                <w:szCs w:val="21"/>
              </w:rPr>
            </w:pPr>
          </w:p>
        </w:tc>
      </w:tr>
      <w:tr w14:paraId="7422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58" w:type="dxa"/>
            <w:gridSpan w:val="2"/>
            <w:noWrap/>
            <w:vAlign w:val="center"/>
          </w:tcPr>
          <w:p w14:paraId="07F79341">
            <w:pPr>
              <w:spacing w:line="300" w:lineRule="auto"/>
              <w:ind w:firstLine="370" w:firstLineChars="180"/>
              <w:rPr>
                <w:rFonts w:ascii="仿宋" w:hAnsi="仿宋" w:eastAsia="仿宋" w:cs="宋体"/>
                <w:spacing w:val="-2"/>
                <w:szCs w:val="21"/>
              </w:rPr>
            </w:pPr>
            <w:r>
              <w:rPr>
                <w:rFonts w:hint="eastAsia" w:ascii="仿宋" w:hAnsi="仿宋" w:eastAsia="仿宋" w:cs="宋体"/>
                <w:spacing w:val="-2"/>
                <w:szCs w:val="21"/>
              </w:rPr>
              <w:t>结论：通过评审打“√”，未通过评审打“×”</w:t>
            </w:r>
          </w:p>
        </w:tc>
        <w:tc>
          <w:tcPr>
            <w:tcW w:w="1462" w:type="dxa"/>
            <w:noWrap/>
            <w:vAlign w:val="center"/>
          </w:tcPr>
          <w:p w14:paraId="0189F5DE">
            <w:pPr>
              <w:spacing w:line="300" w:lineRule="auto"/>
              <w:ind w:firstLine="370" w:firstLineChars="180"/>
              <w:rPr>
                <w:rFonts w:ascii="仿宋" w:hAnsi="仿宋" w:eastAsia="仿宋" w:cs="宋体"/>
                <w:spacing w:val="-2"/>
                <w:szCs w:val="21"/>
              </w:rPr>
            </w:pPr>
          </w:p>
        </w:tc>
      </w:tr>
    </w:tbl>
    <w:p w14:paraId="52ADCF3E">
      <w:pPr>
        <w:spacing w:line="300" w:lineRule="auto"/>
        <w:ind w:left="60"/>
        <w:rPr>
          <w:rFonts w:ascii="仿宋" w:hAnsi="仿宋" w:eastAsia="仿宋" w:cs="宋体"/>
          <w:szCs w:val="21"/>
        </w:rPr>
      </w:pPr>
      <w:r>
        <w:rPr>
          <w:rFonts w:hint="eastAsia" w:ascii="仿宋" w:hAnsi="仿宋" w:eastAsia="仿宋" w:cs="宋体"/>
          <w:szCs w:val="21"/>
        </w:rPr>
        <w:t>说明：</w:t>
      </w:r>
    </w:p>
    <w:p w14:paraId="65F16879">
      <w:pPr>
        <w:numPr>
          <w:ilvl w:val="1"/>
          <w:numId w:val="11"/>
        </w:numPr>
        <w:spacing w:line="300" w:lineRule="auto"/>
        <w:rPr>
          <w:rFonts w:ascii="仿宋" w:hAnsi="仿宋" w:eastAsia="仿宋" w:cs="宋体"/>
          <w:szCs w:val="21"/>
        </w:rPr>
      </w:pPr>
      <w:r>
        <w:rPr>
          <w:rFonts w:hint="eastAsia" w:ascii="仿宋" w:hAnsi="仿宋" w:eastAsia="仿宋" w:cs="宋体"/>
          <w:szCs w:val="21"/>
        </w:rPr>
        <w:t>上述各项中用“√”表示通过，“×”表示不通过；</w:t>
      </w:r>
    </w:p>
    <w:p w14:paraId="726E23E4">
      <w:pPr>
        <w:numPr>
          <w:ilvl w:val="1"/>
          <w:numId w:val="11"/>
        </w:numPr>
        <w:spacing w:line="300" w:lineRule="auto"/>
        <w:rPr>
          <w:rFonts w:ascii="仿宋" w:hAnsi="仿宋" w:eastAsia="仿宋" w:cs="宋体"/>
          <w:szCs w:val="21"/>
        </w:rPr>
      </w:pPr>
      <w:r>
        <w:rPr>
          <w:rFonts w:hint="eastAsia" w:ascii="仿宋" w:hAnsi="仿宋" w:eastAsia="仿宋" w:cs="宋体"/>
          <w:szCs w:val="21"/>
        </w:rPr>
        <w:t>上述各项中如有一项为“×”，则结论为“×”，表示该投标文件中存在重大偏差，不能通过初步评审；评委对某一分项评审认为不合格时，必须要写明原因。</w:t>
      </w:r>
    </w:p>
    <w:p w14:paraId="281BCE0B">
      <w:pPr>
        <w:numPr>
          <w:ilvl w:val="1"/>
          <w:numId w:val="11"/>
        </w:numPr>
        <w:spacing w:line="300" w:lineRule="auto"/>
        <w:rPr>
          <w:rFonts w:ascii="仿宋" w:hAnsi="仿宋" w:eastAsia="仿宋" w:cs="宋体"/>
          <w:szCs w:val="21"/>
        </w:rPr>
      </w:pPr>
      <w:r>
        <w:rPr>
          <w:rFonts w:hint="eastAsia" w:ascii="仿宋" w:hAnsi="仿宋" w:eastAsia="仿宋" w:cs="宋体"/>
          <w:szCs w:val="21"/>
        </w:rPr>
        <w:t>投标文件最终合格与否，以所有评委的评审意见中少数服从多数为原则定论。</w:t>
      </w:r>
    </w:p>
    <w:p w14:paraId="2EEE79BB">
      <w:pPr>
        <w:spacing w:line="300" w:lineRule="auto"/>
        <w:rPr>
          <w:rFonts w:ascii="仿宋" w:hAnsi="仿宋" w:eastAsia="仿宋" w:cs="宋体"/>
          <w:b/>
          <w:bCs/>
          <w:sz w:val="28"/>
          <w:szCs w:val="28"/>
        </w:rPr>
      </w:pPr>
      <w:r>
        <w:rPr>
          <w:rFonts w:hint="eastAsia" w:ascii="仿宋" w:hAnsi="仿宋" w:eastAsia="仿宋" w:cs="宋体"/>
          <w:b/>
          <w:bCs/>
          <w:sz w:val="28"/>
          <w:szCs w:val="28"/>
        </w:rPr>
        <w:t>注：如果投标文件中有一项未通过上述审查标准，评标委员会将认定整个投标文件未响应招标文件而予以废标处理。</w:t>
      </w:r>
    </w:p>
    <w:p w14:paraId="6F7A6AB0">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3.3.2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CC4C31F">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3.3.3投标文件正本、副本以骑缝章的形式代替投标文件内容逐页盖章的（但是骑缝章模糊不清，印章名称无法辨认的除外）本项目不作为实质性要求进行规定，即不作为符合性审查事项，不得作为无效投标处理：</w:t>
      </w:r>
    </w:p>
    <w:p w14:paraId="1956966D">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3.3.4投标人有下列情形之一的,评标委员会认定为投标人串通投标，其投标无效，书面报告财政部门：</w:t>
      </w:r>
    </w:p>
    <w:p w14:paraId="3B552938">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（1）不同投标人的投标文件由同一单位或者个人编制；</w:t>
      </w:r>
    </w:p>
    <w:p w14:paraId="69A2C7B3">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（2）不同投标人委托同一单位或者个人办理投标事宜；</w:t>
      </w:r>
    </w:p>
    <w:p w14:paraId="5C5A1D09">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（3）不同投标人的投标文件载明的项目管理成员或者联系人员为同一人；</w:t>
      </w:r>
    </w:p>
    <w:p w14:paraId="22CDCA4E">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（4）不同投标人的投标文件异常一致或者投标报价呈规律性差异；</w:t>
      </w:r>
    </w:p>
    <w:p w14:paraId="116747F8">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（5）不同投标人的投标文件相互混装；</w:t>
      </w:r>
    </w:p>
    <w:p w14:paraId="3997AB9A">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3.4比较与评价。按招标文件中规定的评标方法和标准，对未作无效投标处理的投标文件进行技术、服务、商务等方面评估，综合比较与评价。</w:t>
      </w:r>
    </w:p>
    <w:p w14:paraId="3C2D17A8">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3.4.1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p>
    <w:p w14:paraId="2C042431">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iCs/>
          <w:color w:val="auto"/>
        </w:rPr>
        <w:t>详细评分表：</w:t>
      </w:r>
    </w:p>
    <w:tbl>
      <w:tblPr>
        <w:tblStyle w:val="35"/>
        <w:tblW w:w="9001" w:type="dxa"/>
        <w:tblInd w:w="-6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7"/>
        <w:gridCol w:w="1095"/>
        <w:gridCol w:w="5982"/>
        <w:gridCol w:w="587"/>
      </w:tblGrid>
      <w:tr w14:paraId="476D2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432" w:type="dxa"/>
            <w:gridSpan w:val="2"/>
          </w:tcPr>
          <w:p w14:paraId="4C0FDF87">
            <w:pPr>
              <w:spacing w:before="169" w:line="228" w:lineRule="auto"/>
              <w:ind w:firstLine="253" w:firstLineChars="1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标准项目</w:t>
            </w:r>
          </w:p>
        </w:tc>
        <w:tc>
          <w:tcPr>
            <w:tcW w:w="5982" w:type="dxa"/>
          </w:tcPr>
          <w:p w14:paraId="6E23523D">
            <w:pPr>
              <w:spacing w:before="169" w:line="228" w:lineRule="auto"/>
              <w:ind w:left="2703"/>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评分标准</w:t>
            </w:r>
          </w:p>
        </w:tc>
        <w:tc>
          <w:tcPr>
            <w:tcW w:w="587" w:type="dxa"/>
            <w:vAlign w:val="center"/>
          </w:tcPr>
          <w:p w14:paraId="79F4810D">
            <w:pPr>
              <w:spacing w:before="174" w:line="216" w:lineRule="auto"/>
              <w:ind w:left="34"/>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分 值</w:t>
            </w:r>
          </w:p>
        </w:tc>
      </w:tr>
      <w:tr w14:paraId="0E34F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432" w:type="dxa"/>
            <w:gridSpan w:val="2"/>
          </w:tcPr>
          <w:p w14:paraId="08956AAD">
            <w:pPr>
              <w:spacing w:line="243" w:lineRule="auto"/>
              <w:rPr>
                <w:rFonts w:hint="eastAsia" w:asciiTheme="minorEastAsia" w:hAnsiTheme="minorEastAsia" w:eastAsiaTheme="minorEastAsia" w:cstheme="minorEastAsia"/>
                <w:color w:val="auto"/>
                <w:sz w:val="24"/>
                <w:szCs w:val="24"/>
              </w:rPr>
            </w:pPr>
          </w:p>
          <w:p w14:paraId="7A56108F">
            <w:pPr>
              <w:spacing w:line="243" w:lineRule="auto"/>
              <w:rPr>
                <w:rFonts w:hint="eastAsia" w:asciiTheme="minorEastAsia" w:hAnsiTheme="minorEastAsia" w:eastAsiaTheme="minorEastAsia" w:cstheme="minorEastAsia"/>
                <w:color w:val="auto"/>
                <w:sz w:val="24"/>
                <w:szCs w:val="24"/>
              </w:rPr>
            </w:pPr>
          </w:p>
          <w:p w14:paraId="38C6AC2E">
            <w:pPr>
              <w:spacing w:before="65" w:line="226"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pacing w:val="6"/>
                <w:sz w:val="24"/>
                <w:szCs w:val="24"/>
              </w:rPr>
              <w:t>报价部分</w:t>
            </w:r>
            <w:r>
              <w:rPr>
                <w:rFonts w:hint="eastAsia" w:asciiTheme="minorEastAsia" w:hAnsiTheme="minorEastAsia" w:eastAsiaTheme="minorEastAsia" w:cstheme="minorEastAsia"/>
                <w:b/>
                <w:bCs/>
                <w:color w:val="auto"/>
                <w:spacing w:val="6"/>
                <w:sz w:val="24"/>
                <w:szCs w:val="24"/>
                <w:lang w:eastAsia="zh-CN"/>
              </w:rPr>
              <w:t>（</w:t>
            </w:r>
            <w:r>
              <w:rPr>
                <w:rFonts w:hint="eastAsia" w:asciiTheme="minorEastAsia" w:hAnsiTheme="minorEastAsia" w:eastAsiaTheme="minorEastAsia" w:cstheme="minorEastAsia"/>
                <w:b/>
                <w:bCs/>
                <w:color w:val="auto"/>
                <w:spacing w:val="6"/>
                <w:sz w:val="24"/>
                <w:szCs w:val="24"/>
                <w:lang w:val="en-US" w:eastAsia="zh-CN"/>
              </w:rPr>
              <w:t>30分</w:t>
            </w:r>
            <w:r>
              <w:rPr>
                <w:rFonts w:hint="eastAsia" w:asciiTheme="minorEastAsia" w:hAnsiTheme="minorEastAsia" w:eastAsiaTheme="minorEastAsia" w:cstheme="minorEastAsia"/>
                <w:b/>
                <w:bCs/>
                <w:color w:val="auto"/>
                <w:spacing w:val="6"/>
                <w:sz w:val="24"/>
                <w:szCs w:val="24"/>
                <w:lang w:eastAsia="zh-CN"/>
              </w:rPr>
              <w:t>）</w:t>
            </w:r>
          </w:p>
        </w:tc>
        <w:tc>
          <w:tcPr>
            <w:tcW w:w="5982" w:type="dxa"/>
          </w:tcPr>
          <w:p w14:paraId="38CB1E8D">
            <w:pPr>
              <w:keepNext w:val="0"/>
              <w:keepLines w:val="0"/>
              <w:pageBreakBefore w:val="0"/>
              <w:widowControl/>
              <w:kinsoku w:val="0"/>
              <w:wordWrap/>
              <w:overflowPunct/>
              <w:topLinePunct w:val="0"/>
              <w:autoSpaceDE w:val="0"/>
              <w:autoSpaceDN w:val="0"/>
              <w:bidi w:val="0"/>
              <w:adjustRightInd w:val="0"/>
              <w:snapToGrid w:val="0"/>
              <w:spacing w:before="20" w:line="240" w:lineRule="exact"/>
              <w:ind w:left="13"/>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综合评分法中的价格分统一采用平均价法计算，即满足招标文件要求且投标价格的平均报价为评标基准价，其价格分为满分30分，其投标报价得分=(评标基准价/投标报价)x价格杈值x100</w:t>
            </w:r>
            <w:r>
              <w:rPr>
                <w:rFonts w:hint="eastAsia" w:asciiTheme="minorEastAsia" w:hAnsiTheme="minorEastAsia" w:eastAsiaTheme="minorEastAsia" w:cstheme="minorEastAsia"/>
                <w:spacing w:val="3"/>
                <w:sz w:val="21"/>
                <w:szCs w:val="21"/>
              </w:rPr>
              <w:t>。</w:t>
            </w:r>
          </w:p>
          <w:p w14:paraId="7266A78D">
            <w:pPr>
              <w:keepNext w:val="0"/>
              <w:keepLines w:val="0"/>
              <w:pageBreakBefore w:val="0"/>
              <w:widowControl/>
              <w:kinsoku w:val="0"/>
              <w:wordWrap/>
              <w:overflowPunct/>
              <w:topLinePunct w:val="0"/>
              <w:autoSpaceDE w:val="0"/>
              <w:autoSpaceDN w:val="0"/>
              <w:bidi w:val="0"/>
              <w:adjustRightInd w:val="0"/>
              <w:snapToGrid w:val="0"/>
              <w:spacing w:before="25" w:line="240" w:lineRule="exact"/>
              <w:ind w:left="114" w:right="100" w:firstLine="15"/>
              <w:jc w:val="both"/>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pacing w:val="-5"/>
                <w:sz w:val="21"/>
                <w:szCs w:val="21"/>
                <w:lang w:val="en-US" w:eastAsia="zh-CN"/>
              </w:rPr>
              <w:t>2</w:t>
            </w:r>
            <w:r>
              <w:rPr>
                <w:rFonts w:hint="eastAsia" w:asciiTheme="minorEastAsia" w:hAnsiTheme="minorEastAsia" w:eastAsiaTheme="minorEastAsia" w:cstheme="minorEastAsia"/>
                <w:spacing w:val="-5"/>
                <w:sz w:val="21"/>
                <w:szCs w:val="21"/>
              </w:rPr>
              <w:t>. 得分保留至小数点后两位，第三位四舍五入</w:t>
            </w:r>
            <w:r>
              <w:rPr>
                <w:rFonts w:hint="eastAsia" w:asciiTheme="minorEastAsia" w:hAnsiTheme="minorEastAsia" w:eastAsiaTheme="minorEastAsia" w:cstheme="minorEastAsia"/>
                <w:spacing w:val="-3"/>
                <w:sz w:val="21"/>
                <w:szCs w:val="21"/>
              </w:rPr>
              <w:t>。</w:t>
            </w:r>
          </w:p>
        </w:tc>
        <w:tc>
          <w:tcPr>
            <w:tcW w:w="587" w:type="dxa"/>
            <w:vAlign w:val="center"/>
          </w:tcPr>
          <w:p w14:paraId="1156ED28">
            <w:pPr>
              <w:spacing w:before="65" w:line="189"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0</w:t>
            </w:r>
          </w:p>
        </w:tc>
      </w:tr>
      <w:tr w14:paraId="4D9C7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1337" w:type="dxa"/>
            <w:vMerge w:val="restart"/>
          </w:tcPr>
          <w:p w14:paraId="5176EB5B">
            <w:pPr>
              <w:spacing w:before="65"/>
              <w:ind w:left="170" w:right="162" w:firstLine="1"/>
              <w:rPr>
                <w:rFonts w:hint="eastAsia" w:asciiTheme="minorEastAsia" w:hAnsiTheme="minorEastAsia" w:eastAsiaTheme="minorEastAsia" w:cstheme="minorEastAsia"/>
                <w:b/>
                <w:bCs/>
                <w:color w:val="auto"/>
                <w:spacing w:val="1"/>
                <w:sz w:val="24"/>
                <w:szCs w:val="24"/>
                <w:lang w:eastAsia="zh-CN"/>
              </w:rPr>
            </w:pPr>
            <w:r>
              <w:rPr>
                <w:rFonts w:hint="eastAsia" w:asciiTheme="minorEastAsia" w:hAnsiTheme="minorEastAsia" w:eastAsiaTheme="minorEastAsia" w:cstheme="minorEastAsia"/>
                <w:b/>
                <w:bCs/>
                <w:color w:val="auto"/>
                <w:spacing w:val="1"/>
                <w:sz w:val="24"/>
                <w:szCs w:val="24"/>
                <w:lang w:eastAsia="zh-CN"/>
              </w:rPr>
              <w:t>技术部分</w:t>
            </w:r>
          </w:p>
          <w:p w14:paraId="4FA45358">
            <w:pPr>
              <w:spacing w:before="65"/>
              <w:ind w:left="170" w:right="162" w:firstLine="1"/>
              <w:rPr>
                <w:rFonts w:hint="eastAsia" w:asciiTheme="minorEastAsia" w:hAnsiTheme="minorEastAsia" w:eastAsiaTheme="minorEastAsia" w:cstheme="minorEastAsia"/>
                <w:b/>
                <w:bCs/>
                <w:color w:val="auto"/>
                <w:spacing w:val="1"/>
                <w:sz w:val="24"/>
                <w:szCs w:val="24"/>
                <w:lang w:eastAsia="zh-CN"/>
              </w:rPr>
            </w:pPr>
            <w:r>
              <w:rPr>
                <w:rFonts w:hint="eastAsia" w:asciiTheme="minorEastAsia" w:hAnsiTheme="minorEastAsia" w:eastAsiaTheme="minorEastAsia" w:cstheme="minorEastAsia"/>
                <w:b/>
                <w:bCs/>
                <w:color w:val="auto"/>
                <w:spacing w:val="1"/>
                <w:sz w:val="24"/>
                <w:szCs w:val="24"/>
                <w:lang w:eastAsia="zh-CN"/>
              </w:rPr>
              <w:t>（</w:t>
            </w:r>
            <w:r>
              <w:rPr>
                <w:rFonts w:hint="eastAsia" w:asciiTheme="minorEastAsia" w:hAnsiTheme="minorEastAsia" w:eastAsiaTheme="minorEastAsia" w:cstheme="minorEastAsia"/>
                <w:b/>
                <w:bCs/>
                <w:color w:val="auto"/>
                <w:spacing w:val="1"/>
                <w:sz w:val="24"/>
                <w:szCs w:val="24"/>
                <w:lang w:val="en-US" w:eastAsia="zh-CN"/>
              </w:rPr>
              <w:t>45分</w:t>
            </w:r>
            <w:r>
              <w:rPr>
                <w:rFonts w:hint="eastAsia" w:asciiTheme="minorEastAsia" w:hAnsiTheme="minorEastAsia" w:eastAsiaTheme="minorEastAsia" w:cstheme="minorEastAsia"/>
                <w:b/>
                <w:bCs/>
                <w:color w:val="auto"/>
                <w:spacing w:val="1"/>
                <w:sz w:val="24"/>
                <w:szCs w:val="24"/>
                <w:lang w:eastAsia="zh-CN"/>
              </w:rPr>
              <w:t>）</w:t>
            </w:r>
          </w:p>
        </w:tc>
        <w:tc>
          <w:tcPr>
            <w:tcW w:w="1095" w:type="dxa"/>
            <w:vAlign w:val="center"/>
          </w:tcPr>
          <w:p w14:paraId="5B39164F">
            <w:pPr>
              <w:spacing w:before="72" w:line="220" w:lineRule="auto"/>
              <w:jc w:val="center"/>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产品性能指标</w:t>
            </w:r>
          </w:p>
        </w:tc>
        <w:tc>
          <w:tcPr>
            <w:tcW w:w="5982" w:type="dxa"/>
          </w:tcPr>
          <w:p w14:paraId="7E54AA9F">
            <w:pPr>
              <w:keepNext w:val="0"/>
              <w:keepLines w:val="0"/>
              <w:pageBreakBefore w:val="0"/>
              <w:widowControl/>
              <w:kinsoku w:val="0"/>
              <w:wordWrap/>
              <w:overflowPunct/>
              <w:topLinePunct w:val="0"/>
              <w:autoSpaceDE w:val="0"/>
              <w:autoSpaceDN w:val="0"/>
              <w:bidi w:val="0"/>
              <w:adjustRightInd w:val="0"/>
              <w:snapToGrid w:val="0"/>
              <w:spacing w:before="23" w:line="240" w:lineRule="exact"/>
              <w:ind w:right="130" w:firstLine="210" w:firstLineChars="100"/>
              <w:jc w:val="both"/>
              <w:textAlignment w:val="baseline"/>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1.技术指标满足或优于招标文件技术标准要求得</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val="zh-CN" w:eastAsia="zh-CN"/>
              </w:rPr>
              <w:t>分。若一个“★”条款存在负偏离，扣减0.5分，直至扣到0分为止。</w:t>
            </w:r>
          </w:p>
          <w:p w14:paraId="20A671F4">
            <w:pPr>
              <w:keepNext w:val="0"/>
              <w:keepLines w:val="0"/>
              <w:pageBreakBefore w:val="0"/>
              <w:widowControl/>
              <w:kinsoku w:val="0"/>
              <w:wordWrap/>
              <w:overflowPunct/>
              <w:topLinePunct w:val="0"/>
              <w:autoSpaceDE w:val="0"/>
              <w:autoSpaceDN w:val="0"/>
              <w:bidi w:val="0"/>
              <w:adjustRightInd w:val="0"/>
              <w:snapToGrid w:val="0"/>
              <w:spacing w:before="23" w:line="240" w:lineRule="exact"/>
              <w:ind w:right="130" w:firstLine="210" w:firstLineChars="100"/>
              <w:jc w:val="both"/>
              <w:textAlignment w:val="baseline"/>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2.核心产品需提供原厂授权书及售后服务承诺</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zh-CN" w:eastAsia="zh-CN"/>
              </w:rPr>
              <w:t>分。</w:t>
            </w:r>
          </w:p>
          <w:p w14:paraId="3B70CCF0">
            <w:pPr>
              <w:keepNext w:val="0"/>
              <w:keepLines w:val="0"/>
              <w:pageBreakBefore w:val="0"/>
              <w:widowControl/>
              <w:kinsoku w:val="0"/>
              <w:wordWrap/>
              <w:overflowPunct/>
              <w:topLinePunct w:val="0"/>
              <w:autoSpaceDE w:val="0"/>
              <w:autoSpaceDN w:val="0"/>
              <w:bidi w:val="0"/>
              <w:adjustRightInd w:val="0"/>
              <w:snapToGrid w:val="0"/>
              <w:spacing w:before="23" w:line="240" w:lineRule="exact"/>
              <w:ind w:right="130"/>
              <w:jc w:val="both"/>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lang w:val="zh-CN" w:eastAsia="zh-CN"/>
              </w:rPr>
              <w:t>注：供应商对采购需求中标注★号的条款应提供详细真实的证明材料（真实平台的截图或相关资质证书等，如有伪造，包括在后续交付验收阶段发现伪造证明，将根据相关法律追究其法律任）。</w:t>
            </w:r>
          </w:p>
        </w:tc>
        <w:tc>
          <w:tcPr>
            <w:tcW w:w="587" w:type="dxa"/>
            <w:vAlign w:val="center"/>
          </w:tcPr>
          <w:p w14:paraId="5CFEB923">
            <w:pPr>
              <w:spacing w:before="65" w:line="190" w:lineRule="auto"/>
              <w:ind w:left="199"/>
              <w:jc w:val="both"/>
              <w:rPr>
                <w:rFonts w:hint="eastAsia"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z w:val="24"/>
                <w:szCs w:val="24"/>
                <w:lang w:val="en-US" w:eastAsia="zh-CN"/>
              </w:rPr>
              <w:t>35</w:t>
            </w:r>
          </w:p>
        </w:tc>
      </w:tr>
      <w:tr w14:paraId="1EE30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337" w:type="dxa"/>
            <w:vMerge w:val="continue"/>
          </w:tcPr>
          <w:p w14:paraId="7F1AF5C2">
            <w:pPr>
              <w:spacing w:before="65"/>
              <w:ind w:left="170" w:right="162" w:firstLine="1"/>
              <w:rPr>
                <w:rFonts w:hint="eastAsia" w:asciiTheme="minorEastAsia" w:hAnsiTheme="minorEastAsia" w:eastAsiaTheme="minorEastAsia" w:cstheme="minorEastAsia"/>
                <w:b/>
                <w:bCs/>
                <w:color w:val="auto"/>
                <w:spacing w:val="1"/>
                <w:sz w:val="24"/>
                <w:szCs w:val="24"/>
                <w:lang w:eastAsia="zh-CN"/>
              </w:rPr>
            </w:pPr>
          </w:p>
        </w:tc>
        <w:tc>
          <w:tcPr>
            <w:tcW w:w="1095" w:type="dxa"/>
            <w:vAlign w:val="center"/>
          </w:tcPr>
          <w:p w14:paraId="6583BD5D">
            <w:pPr>
              <w:spacing w:before="72" w:line="220" w:lineRule="auto"/>
              <w:jc w:val="center"/>
              <w:rPr>
                <w:rFonts w:hint="eastAsia" w:asciiTheme="minorEastAsia" w:hAnsiTheme="minorEastAsia" w:eastAsiaTheme="minorEastAsia" w:cstheme="minorEastAsia"/>
                <w:sz w:val="24"/>
                <w:szCs w:val="24"/>
                <w:shd w:val="clear" w:color="auto" w:fill="auto"/>
                <w:lang w:eastAsia="zh-CN" w:bidi="ar"/>
              </w:rPr>
            </w:pPr>
            <w:r>
              <w:rPr>
                <w:rFonts w:hint="eastAsia" w:asciiTheme="minorEastAsia" w:hAnsiTheme="minorEastAsia" w:eastAsiaTheme="minorEastAsia" w:cstheme="minorEastAsia"/>
                <w:sz w:val="24"/>
                <w:szCs w:val="24"/>
                <w:shd w:val="clear" w:color="auto" w:fill="auto"/>
              </w:rPr>
              <w:t>技术资质及专业支持</w:t>
            </w:r>
          </w:p>
        </w:tc>
        <w:tc>
          <w:tcPr>
            <w:tcW w:w="5982" w:type="dxa"/>
          </w:tcPr>
          <w:p w14:paraId="1EF05408">
            <w:pPr>
              <w:keepNext w:val="0"/>
              <w:keepLines w:val="0"/>
              <w:pageBreakBefore w:val="0"/>
              <w:widowControl/>
              <w:kinsoku w:val="0"/>
              <w:wordWrap/>
              <w:overflowPunct/>
              <w:topLinePunct w:val="0"/>
              <w:autoSpaceDE w:val="0"/>
              <w:autoSpaceDN w:val="0"/>
              <w:bidi w:val="0"/>
              <w:adjustRightInd w:val="0"/>
              <w:snapToGrid w:val="0"/>
              <w:spacing w:before="35" w:line="240" w:lineRule="exact"/>
              <w:ind w:right="183"/>
              <w:jc w:val="both"/>
              <w:textAlignment w:val="baseline"/>
              <w:rPr>
                <w:rFonts w:hint="eastAsia" w:asciiTheme="minorEastAsia" w:hAnsiTheme="minorEastAsia" w:eastAsiaTheme="minorEastAsia" w:cstheme="minorEastAsia"/>
                <w:color w:val="auto"/>
                <w:sz w:val="21"/>
                <w:szCs w:val="21"/>
                <w:shd w:val="clear" w:color="auto" w:fill="auto"/>
                <w:lang w:eastAsia="zh-CN"/>
              </w:rPr>
            </w:pPr>
            <w:r>
              <w:rPr>
                <w:rFonts w:hint="eastAsia" w:asciiTheme="minorEastAsia" w:hAnsiTheme="minorEastAsia" w:eastAsiaTheme="minorEastAsia" w:cstheme="minorEastAsia"/>
                <w:color w:val="auto"/>
                <w:sz w:val="21"/>
                <w:szCs w:val="21"/>
                <w:shd w:val="clear" w:color="auto" w:fill="auto"/>
                <w:lang w:eastAsia="zh-CN"/>
              </w:rPr>
              <w:t>1.提供自有的《软件能力成熟度集成模型》的（CMMI）三级及以上证书，得2</w:t>
            </w:r>
            <w:r>
              <w:rPr>
                <w:rFonts w:hint="eastAsia" w:asciiTheme="minorEastAsia" w:hAnsiTheme="minorEastAsia" w:eastAsiaTheme="minorEastAsia" w:cstheme="minorEastAsia"/>
                <w:color w:val="auto"/>
                <w:sz w:val="21"/>
                <w:szCs w:val="21"/>
                <w:shd w:val="clear" w:color="auto" w:fill="auto"/>
                <w:lang w:val="en-US" w:eastAsia="zh-CN"/>
              </w:rPr>
              <w:t>.5</w:t>
            </w:r>
            <w:r>
              <w:rPr>
                <w:rFonts w:hint="eastAsia" w:asciiTheme="minorEastAsia" w:hAnsiTheme="minorEastAsia" w:eastAsiaTheme="minorEastAsia" w:cstheme="minorEastAsia"/>
                <w:color w:val="auto"/>
                <w:sz w:val="21"/>
                <w:szCs w:val="21"/>
                <w:shd w:val="clear" w:color="auto" w:fill="auto"/>
                <w:lang w:eastAsia="zh-CN"/>
              </w:rPr>
              <w:t>分；设备生产厂商提供相应复印件加盖公章。</w:t>
            </w:r>
          </w:p>
          <w:p w14:paraId="4C6C7346">
            <w:pPr>
              <w:keepNext w:val="0"/>
              <w:keepLines w:val="0"/>
              <w:pageBreakBefore w:val="0"/>
              <w:widowControl/>
              <w:kinsoku w:val="0"/>
              <w:wordWrap/>
              <w:overflowPunct/>
              <w:topLinePunct w:val="0"/>
              <w:autoSpaceDE w:val="0"/>
              <w:autoSpaceDN w:val="0"/>
              <w:bidi w:val="0"/>
              <w:adjustRightInd w:val="0"/>
              <w:snapToGrid w:val="0"/>
              <w:spacing w:before="35" w:line="240" w:lineRule="exact"/>
              <w:ind w:right="183"/>
              <w:jc w:val="both"/>
              <w:textAlignment w:val="baseline"/>
              <w:rPr>
                <w:rFonts w:hint="eastAsia" w:asciiTheme="minorEastAsia" w:hAnsiTheme="minorEastAsia" w:eastAsiaTheme="minorEastAsia" w:cstheme="minorEastAsia"/>
                <w:color w:val="auto"/>
                <w:sz w:val="21"/>
                <w:szCs w:val="21"/>
                <w:shd w:val="clear" w:color="auto" w:fill="auto"/>
                <w:lang w:eastAsia="zh-CN"/>
              </w:rPr>
            </w:pPr>
            <w:r>
              <w:rPr>
                <w:rFonts w:hint="eastAsia" w:asciiTheme="minorEastAsia" w:hAnsiTheme="minorEastAsia" w:eastAsiaTheme="minorEastAsia" w:cstheme="minorEastAsia"/>
                <w:color w:val="auto"/>
                <w:sz w:val="21"/>
                <w:szCs w:val="21"/>
                <w:shd w:val="clear" w:color="auto" w:fill="auto"/>
                <w:lang w:eastAsia="zh-CN"/>
              </w:rPr>
              <w:t>2.提供ITSS信息技术服务标准符合性证书（三级及以上）得2</w:t>
            </w:r>
            <w:r>
              <w:rPr>
                <w:rFonts w:hint="eastAsia" w:asciiTheme="minorEastAsia" w:hAnsiTheme="minorEastAsia" w:eastAsiaTheme="minorEastAsia" w:cstheme="minorEastAsia"/>
                <w:color w:val="auto"/>
                <w:sz w:val="21"/>
                <w:szCs w:val="21"/>
                <w:shd w:val="clear" w:color="auto" w:fill="auto"/>
                <w:lang w:val="en-US" w:eastAsia="zh-CN"/>
              </w:rPr>
              <w:t>.5</w:t>
            </w:r>
            <w:r>
              <w:rPr>
                <w:rFonts w:hint="eastAsia" w:asciiTheme="minorEastAsia" w:hAnsiTheme="minorEastAsia" w:eastAsiaTheme="minorEastAsia" w:cstheme="minorEastAsia"/>
                <w:color w:val="auto"/>
                <w:sz w:val="21"/>
                <w:szCs w:val="21"/>
                <w:shd w:val="clear" w:color="auto" w:fill="auto"/>
                <w:lang w:eastAsia="zh-CN"/>
              </w:rPr>
              <w:t>分；设备生产厂商提供相应复印件加盖公章。</w:t>
            </w:r>
          </w:p>
          <w:p w14:paraId="69327251">
            <w:pPr>
              <w:keepNext w:val="0"/>
              <w:keepLines w:val="0"/>
              <w:pageBreakBefore w:val="0"/>
              <w:widowControl/>
              <w:kinsoku w:val="0"/>
              <w:wordWrap/>
              <w:overflowPunct/>
              <w:topLinePunct w:val="0"/>
              <w:autoSpaceDE w:val="0"/>
              <w:autoSpaceDN w:val="0"/>
              <w:bidi w:val="0"/>
              <w:adjustRightInd w:val="0"/>
              <w:snapToGrid w:val="0"/>
              <w:spacing w:before="35" w:line="240" w:lineRule="exact"/>
              <w:ind w:right="183"/>
              <w:jc w:val="both"/>
              <w:textAlignment w:val="baseline"/>
              <w:rPr>
                <w:rFonts w:hint="eastAsia" w:asciiTheme="minorEastAsia" w:hAnsiTheme="minorEastAsia" w:eastAsiaTheme="minorEastAsia" w:cstheme="minorEastAsia"/>
                <w:color w:val="auto"/>
                <w:sz w:val="21"/>
                <w:szCs w:val="21"/>
                <w:shd w:val="clear" w:color="auto" w:fill="auto"/>
                <w:lang w:eastAsia="zh-CN"/>
              </w:rPr>
            </w:pPr>
            <w:r>
              <w:rPr>
                <w:rFonts w:hint="eastAsia" w:asciiTheme="minorEastAsia" w:hAnsiTheme="minorEastAsia" w:eastAsiaTheme="minorEastAsia" w:cstheme="minorEastAsia"/>
                <w:color w:val="auto"/>
                <w:sz w:val="21"/>
                <w:szCs w:val="21"/>
                <w:shd w:val="clear" w:color="auto" w:fill="auto"/>
                <w:lang w:eastAsia="zh-CN"/>
              </w:rPr>
              <w:t>3.提供ISO9001质量管理体系认证证书、提供信息安全管理体系认证证书，得2</w:t>
            </w:r>
            <w:r>
              <w:rPr>
                <w:rFonts w:hint="eastAsia" w:asciiTheme="minorEastAsia" w:hAnsiTheme="minorEastAsia" w:eastAsiaTheme="minorEastAsia" w:cstheme="minorEastAsia"/>
                <w:color w:val="auto"/>
                <w:sz w:val="21"/>
                <w:szCs w:val="21"/>
                <w:shd w:val="clear" w:color="auto" w:fill="auto"/>
                <w:lang w:val="en-US" w:eastAsia="zh-CN"/>
              </w:rPr>
              <w:t>.5</w:t>
            </w:r>
            <w:r>
              <w:rPr>
                <w:rFonts w:hint="eastAsia" w:asciiTheme="minorEastAsia" w:hAnsiTheme="minorEastAsia" w:eastAsiaTheme="minorEastAsia" w:cstheme="minorEastAsia"/>
                <w:color w:val="auto"/>
                <w:sz w:val="21"/>
                <w:szCs w:val="21"/>
                <w:shd w:val="clear" w:color="auto" w:fill="auto"/>
                <w:lang w:eastAsia="zh-CN"/>
              </w:rPr>
              <w:t>分。设备生产厂商提供相应复印件加盖公章。</w:t>
            </w:r>
          </w:p>
          <w:p w14:paraId="5182E4EA">
            <w:pPr>
              <w:keepNext w:val="0"/>
              <w:keepLines w:val="0"/>
              <w:pageBreakBefore w:val="0"/>
              <w:widowControl/>
              <w:kinsoku w:val="0"/>
              <w:wordWrap/>
              <w:overflowPunct/>
              <w:topLinePunct w:val="0"/>
              <w:autoSpaceDE w:val="0"/>
              <w:autoSpaceDN w:val="0"/>
              <w:bidi w:val="0"/>
              <w:adjustRightInd w:val="0"/>
              <w:snapToGrid w:val="0"/>
              <w:spacing w:before="35" w:line="240" w:lineRule="exact"/>
              <w:ind w:right="183"/>
              <w:jc w:val="both"/>
              <w:textAlignment w:val="baseline"/>
              <w:rPr>
                <w:rFonts w:hint="eastAsia" w:asciiTheme="minorEastAsia" w:hAnsiTheme="minorEastAsia" w:eastAsiaTheme="minorEastAsia" w:cstheme="minorEastAsia"/>
                <w:color w:val="auto"/>
                <w:sz w:val="21"/>
                <w:szCs w:val="21"/>
                <w:shd w:val="clear" w:color="auto" w:fill="auto"/>
                <w:lang w:eastAsia="zh-CN"/>
              </w:rPr>
            </w:pPr>
            <w:r>
              <w:rPr>
                <w:rFonts w:hint="eastAsia" w:asciiTheme="minorEastAsia" w:hAnsiTheme="minorEastAsia" w:eastAsiaTheme="minorEastAsia" w:cstheme="minorEastAsia"/>
                <w:color w:val="auto"/>
                <w:sz w:val="21"/>
                <w:szCs w:val="21"/>
                <w:shd w:val="clear" w:color="auto" w:fill="auto"/>
                <w:lang w:eastAsia="zh-CN"/>
              </w:rPr>
              <w:t>4、电子资源出版厂商须具备网络出版资质，提供新闻出版局颁发的《出版物经营许可证》,《信息网络传播视听节目许可证》，得2</w:t>
            </w:r>
            <w:r>
              <w:rPr>
                <w:rFonts w:hint="eastAsia" w:asciiTheme="minorEastAsia" w:hAnsiTheme="minorEastAsia" w:eastAsiaTheme="minorEastAsia" w:cstheme="minorEastAsia"/>
                <w:color w:val="auto"/>
                <w:sz w:val="21"/>
                <w:szCs w:val="21"/>
                <w:shd w:val="clear" w:color="auto" w:fill="auto"/>
                <w:lang w:val="en-US" w:eastAsia="zh-CN"/>
              </w:rPr>
              <w:t>.5</w:t>
            </w:r>
            <w:r>
              <w:rPr>
                <w:rFonts w:hint="eastAsia" w:asciiTheme="minorEastAsia" w:hAnsiTheme="minorEastAsia" w:eastAsiaTheme="minorEastAsia" w:cstheme="minorEastAsia"/>
                <w:color w:val="auto"/>
                <w:sz w:val="21"/>
                <w:szCs w:val="21"/>
                <w:shd w:val="clear" w:color="auto" w:fill="auto"/>
                <w:lang w:eastAsia="zh-CN"/>
              </w:rPr>
              <w:t>分.设备生产厂商提供相应复印件加盖公章。</w:t>
            </w:r>
          </w:p>
          <w:p w14:paraId="1E66FAC3">
            <w:pPr>
              <w:keepNext w:val="0"/>
              <w:keepLines w:val="0"/>
              <w:pageBreakBefore w:val="0"/>
              <w:widowControl/>
              <w:kinsoku w:val="0"/>
              <w:wordWrap/>
              <w:overflowPunct/>
              <w:topLinePunct w:val="0"/>
              <w:autoSpaceDE w:val="0"/>
              <w:autoSpaceDN w:val="0"/>
              <w:bidi w:val="0"/>
              <w:adjustRightInd w:val="0"/>
              <w:snapToGrid w:val="0"/>
              <w:spacing w:before="35" w:line="240" w:lineRule="exact"/>
              <w:ind w:right="183"/>
              <w:jc w:val="both"/>
              <w:textAlignment w:val="baseline"/>
              <w:rPr>
                <w:rFonts w:hint="eastAsia" w:asciiTheme="minorEastAsia" w:hAnsiTheme="minorEastAsia" w:eastAsiaTheme="minorEastAsia" w:cstheme="minorEastAsia"/>
                <w:color w:val="auto"/>
                <w:sz w:val="21"/>
                <w:szCs w:val="21"/>
                <w:shd w:val="clear" w:color="auto" w:fill="auto"/>
                <w:lang w:eastAsia="zh-CN"/>
              </w:rPr>
            </w:pPr>
            <w:r>
              <w:rPr>
                <w:rFonts w:hint="eastAsia" w:asciiTheme="minorEastAsia" w:hAnsiTheme="minorEastAsia" w:eastAsiaTheme="minorEastAsia" w:cstheme="minorEastAsia"/>
                <w:color w:val="auto"/>
                <w:sz w:val="21"/>
                <w:szCs w:val="21"/>
                <w:shd w:val="clear" w:color="auto" w:fill="auto"/>
                <w:lang w:eastAsia="zh-CN"/>
              </w:rPr>
              <w:t>注：所提供证书必须真实有效，如有伪造，包括在后续交付验收阶段发现伪造证书，将根据相关法律追究其法律责任。</w:t>
            </w:r>
          </w:p>
        </w:tc>
        <w:tc>
          <w:tcPr>
            <w:tcW w:w="587" w:type="dxa"/>
            <w:vAlign w:val="center"/>
          </w:tcPr>
          <w:p w14:paraId="40BB8DE8">
            <w:pPr>
              <w:spacing w:before="65" w:line="190" w:lineRule="auto"/>
              <w:ind w:left="199"/>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r>
      <w:tr w14:paraId="04BD8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337" w:type="dxa"/>
            <w:vMerge w:val="restart"/>
            <w:vAlign w:val="center"/>
          </w:tcPr>
          <w:p w14:paraId="296AF620">
            <w:pPr>
              <w:spacing w:before="65"/>
              <w:ind w:right="162" w:rightChars="0"/>
              <w:jc w:val="center"/>
              <w:rPr>
                <w:rFonts w:hint="eastAsia" w:asciiTheme="minorEastAsia" w:hAnsiTheme="minorEastAsia" w:eastAsiaTheme="minorEastAsia" w:cstheme="minorEastAsia"/>
                <w:b/>
                <w:bCs/>
                <w:color w:val="auto"/>
                <w:spacing w:val="2"/>
                <w:sz w:val="24"/>
                <w:szCs w:val="24"/>
              </w:rPr>
            </w:pPr>
            <w:r>
              <w:rPr>
                <w:rFonts w:hint="eastAsia" w:asciiTheme="minorEastAsia" w:hAnsiTheme="minorEastAsia" w:eastAsiaTheme="minorEastAsia" w:cstheme="minorEastAsia"/>
                <w:b/>
                <w:bCs/>
                <w:color w:val="auto"/>
                <w:spacing w:val="1"/>
                <w:sz w:val="24"/>
                <w:szCs w:val="24"/>
              </w:rPr>
              <w:t>商务</w:t>
            </w:r>
            <w:r>
              <w:rPr>
                <w:rFonts w:hint="eastAsia" w:asciiTheme="minorEastAsia" w:hAnsiTheme="minorEastAsia" w:eastAsiaTheme="minorEastAsia" w:cstheme="minorEastAsia"/>
                <w:b/>
                <w:bCs/>
                <w:color w:val="auto"/>
                <w:spacing w:val="2"/>
                <w:sz w:val="24"/>
                <w:szCs w:val="24"/>
              </w:rPr>
              <w:t>部分</w:t>
            </w:r>
          </w:p>
          <w:p w14:paraId="36A865EB">
            <w:pPr>
              <w:spacing w:before="65"/>
              <w:ind w:left="170" w:leftChars="0" w:right="162" w:rightChars="0" w:firstLine="1" w:firstLineChars="0"/>
              <w:jc w:val="center"/>
              <w:rPr>
                <w:rFonts w:hint="eastAsia" w:asciiTheme="minorEastAsia" w:hAnsiTheme="minorEastAsia" w:eastAsiaTheme="minorEastAsia" w:cstheme="minorEastAsia"/>
                <w:b/>
                <w:bCs/>
                <w:color w:val="auto"/>
                <w:spacing w:val="2"/>
                <w:sz w:val="24"/>
                <w:szCs w:val="24"/>
                <w:lang w:eastAsia="zh-CN"/>
              </w:rPr>
            </w:pPr>
            <w:r>
              <w:rPr>
                <w:rFonts w:hint="eastAsia" w:asciiTheme="minorEastAsia" w:hAnsiTheme="minorEastAsia" w:eastAsiaTheme="minorEastAsia" w:cstheme="minorEastAsia"/>
                <w:b/>
                <w:bCs/>
                <w:color w:val="auto"/>
                <w:spacing w:val="2"/>
                <w:sz w:val="24"/>
                <w:szCs w:val="24"/>
                <w:lang w:eastAsia="zh-CN"/>
              </w:rPr>
              <w:t>（</w:t>
            </w:r>
            <w:r>
              <w:rPr>
                <w:rFonts w:hint="eastAsia" w:asciiTheme="minorEastAsia" w:hAnsiTheme="minorEastAsia" w:eastAsiaTheme="minorEastAsia" w:cstheme="minorEastAsia"/>
                <w:b/>
                <w:bCs/>
                <w:color w:val="auto"/>
                <w:spacing w:val="2"/>
                <w:sz w:val="24"/>
                <w:szCs w:val="24"/>
                <w:lang w:val="en-US" w:eastAsia="zh-CN"/>
              </w:rPr>
              <w:t>25分</w:t>
            </w:r>
            <w:r>
              <w:rPr>
                <w:rFonts w:hint="eastAsia" w:asciiTheme="minorEastAsia" w:hAnsiTheme="minorEastAsia" w:eastAsiaTheme="minorEastAsia" w:cstheme="minorEastAsia"/>
                <w:b/>
                <w:bCs/>
                <w:color w:val="auto"/>
                <w:spacing w:val="2"/>
                <w:sz w:val="24"/>
                <w:szCs w:val="24"/>
                <w:lang w:eastAsia="zh-CN"/>
              </w:rPr>
              <w:t>）</w:t>
            </w:r>
          </w:p>
        </w:tc>
        <w:tc>
          <w:tcPr>
            <w:tcW w:w="1095" w:type="dxa"/>
            <w:vAlign w:val="center"/>
          </w:tcPr>
          <w:p w14:paraId="7BDF48A3">
            <w:pPr>
              <w:spacing w:before="35" w:line="234" w:lineRule="auto"/>
              <w:ind w:right="183"/>
              <w:jc w:val="center"/>
              <w:rPr>
                <w:rFonts w:hint="eastAsia" w:asciiTheme="minorEastAsia" w:hAnsiTheme="minorEastAsia" w:eastAsiaTheme="minorEastAsia" w:cstheme="minorEastAsia"/>
                <w:color w:val="auto"/>
                <w:sz w:val="24"/>
                <w:szCs w:val="24"/>
                <w:shd w:val="clear" w:color="auto" w:fill="auto"/>
                <w:lang w:eastAsia="zh-CN"/>
              </w:rPr>
            </w:pPr>
            <w:r>
              <w:rPr>
                <w:rFonts w:hint="eastAsia" w:asciiTheme="minorEastAsia" w:hAnsiTheme="minorEastAsia" w:eastAsiaTheme="minorEastAsia" w:cstheme="minorEastAsia"/>
                <w:color w:val="auto"/>
                <w:sz w:val="24"/>
                <w:szCs w:val="24"/>
                <w:shd w:val="clear" w:color="auto" w:fill="auto"/>
                <w:lang w:eastAsia="zh-CN"/>
              </w:rPr>
              <w:t>技术服务保障</w:t>
            </w:r>
          </w:p>
        </w:tc>
        <w:tc>
          <w:tcPr>
            <w:tcW w:w="5982" w:type="dxa"/>
          </w:tcPr>
          <w:p w14:paraId="293AEABF">
            <w:pPr>
              <w:keepNext w:val="0"/>
              <w:keepLines w:val="0"/>
              <w:pageBreakBefore w:val="0"/>
              <w:widowControl/>
              <w:kinsoku w:val="0"/>
              <w:wordWrap/>
              <w:overflowPunct/>
              <w:topLinePunct w:val="0"/>
              <w:autoSpaceDE w:val="0"/>
              <w:autoSpaceDN w:val="0"/>
              <w:bidi w:val="0"/>
              <w:adjustRightInd w:val="0"/>
              <w:snapToGrid w:val="0"/>
              <w:spacing w:before="35" w:line="240" w:lineRule="exact"/>
              <w:ind w:right="183"/>
              <w:jc w:val="both"/>
              <w:textAlignment w:val="baseline"/>
              <w:rPr>
                <w:rFonts w:hint="eastAsia" w:asciiTheme="minorEastAsia" w:hAnsiTheme="minorEastAsia" w:eastAsiaTheme="minorEastAsia" w:cstheme="minorEastAsia"/>
                <w:color w:val="auto"/>
                <w:sz w:val="21"/>
                <w:szCs w:val="21"/>
                <w:shd w:val="clear" w:color="auto" w:fill="auto"/>
                <w:lang w:eastAsia="zh-CN"/>
              </w:rPr>
            </w:pPr>
            <w:r>
              <w:rPr>
                <w:rFonts w:hint="eastAsia" w:asciiTheme="minorEastAsia" w:hAnsiTheme="minorEastAsia" w:eastAsiaTheme="minorEastAsia" w:cstheme="minorEastAsia"/>
                <w:color w:val="auto"/>
                <w:sz w:val="21"/>
                <w:szCs w:val="21"/>
                <w:shd w:val="clear" w:color="auto" w:fill="auto"/>
                <w:lang w:eastAsia="zh-CN"/>
              </w:rPr>
              <w:t>项目负责人具有高级工程师职称的，得 2 分，不具备不得分，提供连续三个月社保缴费证明。</w:t>
            </w:r>
          </w:p>
          <w:p w14:paraId="23B59139">
            <w:pPr>
              <w:keepNext w:val="0"/>
              <w:keepLines w:val="0"/>
              <w:pageBreakBefore w:val="0"/>
              <w:widowControl/>
              <w:kinsoku w:val="0"/>
              <w:wordWrap/>
              <w:overflowPunct/>
              <w:topLinePunct w:val="0"/>
              <w:autoSpaceDE w:val="0"/>
              <w:autoSpaceDN w:val="0"/>
              <w:bidi w:val="0"/>
              <w:adjustRightInd w:val="0"/>
              <w:snapToGrid w:val="0"/>
              <w:spacing w:before="35" w:line="240" w:lineRule="exact"/>
              <w:ind w:right="183"/>
              <w:jc w:val="both"/>
              <w:textAlignment w:val="baseline"/>
              <w:rPr>
                <w:rFonts w:hint="eastAsia" w:asciiTheme="minorEastAsia" w:hAnsiTheme="minorEastAsia" w:eastAsiaTheme="minorEastAsia" w:cstheme="minorEastAsia"/>
                <w:color w:val="auto"/>
                <w:sz w:val="21"/>
                <w:szCs w:val="21"/>
                <w:shd w:val="clear" w:color="auto" w:fill="auto"/>
                <w:lang w:eastAsia="zh-CN"/>
              </w:rPr>
            </w:pPr>
            <w:r>
              <w:rPr>
                <w:rFonts w:hint="eastAsia" w:asciiTheme="minorEastAsia" w:hAnsiTheme="minorEastAsia" w:eastAsiaTheme="minorEastAsia" w:cstheme="minorEastAsia"/>
                <w:color w:val="auto"/>
                <w:sz w:val="21"/>
                <w:szCs w:val="21"/>
                <w:shd w:val="clear" w:color="auto" w:fill="auto"/>
                <w:lang w:eastAsia="zh-CN"/>
              </w:rPr>
              <w:t>(说明：</w:t>
            </w:r>
            <w:r>
              <w:rPr>
                <w:rFonts w:hint="eastAsia" w:asciiTheme="minorEastAsia" w:hAnsiTheme="minorEastAsia" w:eastAsiaTheme="minorEastAsia" w:cstheme="minorEastAsia"/>
                <w:color w:val="auto"/>
                <w:sz w:val="21"/>
                <w:szCs w:val="21"/>
                <w:shd w:val="clear" w:color="auto" w:fill="auto"/>
                <w:lang w:val="en-US" w:eastAsia="zh-CN"/>
              </w:rPr>
              <w:t>负责人需为投标企业员工，且</w:t>
            </w:r>
            <w:r>
              <w:rPr>
                <w:rFonts w:hint="eastAsia" w:asciiTheme="minorEastAsia" w:hAnsiTheme="minorEastAsia" w:eastAsiaTheme="minorEastAsia" w:cstheme="minorEastAsia"/>
                <w:color w:val="auto"/>
                <w:sz w:val="21"/>
                <w:szCs w:val="21"/>
                <w:shd w:val="clear" w:color="auto" w:fill="auto"/>
                <w:lang w:eastAsia="zh-CN"/>
              </w:rPr>
              <w:t>需提供相关职称证书扫描件及投标人为其缴纳近三个月连续社保的证明文件，未提供不得分)。</w:t>
            </w:r>
          </w:p>
        </w:tc>
        <w:tc>
          <w:tcPr>
            <w:tcW w:w="587" w:type="dxa"/>
            <w:vAlign w:val="center"/>
          </w:tcPr>
          <w:p w14:paraId="133F97CD">
            <w:pPr>
              <w:spacing w:before="65" w:line="190" w:lineRule="auto"/>
              <w:ind w:left="199"/>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r>
      <w:tr w14:paraId="1F16F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337" w:type="dxa"/>
            <w:vMerge w:val="continue"/>
            <w:vAlign w:val="center"/>
          </w:tcPr>
          <w:p w14:paraId="2F57E7E5">
            <w:pPr>
              <w:spacing w:before="65"/>
              <w:ind w:left="170" w:leftChars="0" w:right="162" w:rightChars="0" w:firstLine="1" w:firstLineChars="0"/>
              <w:jc w:val="center"/>
              <w:rPr>
                <w:rFonts w:hint="eastAsia" w:asciiTheme="minorEastAsia" w:hAnsiTheme="minorEastAsia" w:eastAsiaTheme="minorEastAsia" w:cstheme="minorEastAsia"/>
                <w:b/>
                <w:bCs/>
                <w:color w:val="auto"/>
                <w:spacing w:val="1"/>
                <w:sz w:val="24"/>
                <w:szCs w:val="24"/>
                <w:lang w:eastAsia="zh-CN"/>
              </w:rPr>
            </w:pPr>
          </w:p>
        </w:tc>
        <w:tc>
          <w:tcPr>
            <w:tcW w:w="1095" w:type="dxa"/>
            <w:vAlign w:val="center"/>
          </w:tcPr>
          <w:p w14:paraId="3DC22168">
            <w:pPr>
              <w:spacing w:before="35" w:line="234" w:lineRule="auto"/>
              <w:ind w:right="183"/>
              <w:jc w:val="center"/>
              <w:rPr>
                <w:rFonts w:hint="eastAsia" w:asciiTheme="minorEastAsia" w:hAnsiTheme="minorEastAsia" w:eastAsiaTheme="minorEastAsia" w:cstheme="minorEastAsia"/>
                <w:color w:val="auto"/>
                <w:sz w:val="24"/>
                <w:szCs w:val="24"/>
                <w:shd w:val="clear" w:color="auto" w:fill="auto"/>
                <w:lang w:eastAsia="zh-CN"/>
              </w:rPr>
            </w:pPr>
            <w:r>
              <w:rPr>
                <w:rFonts w:hint="eastAsia" w:asciiTheme="minorEastAsia" w:hAnsiTheme="minorEastAsia" w:eastAsiaTheme="minorEastAsia" w:cstheme="minorEastAsia"/>
                <w:color w:val="auto"/>
                <w:sz w:val="24"/>
                <w:szCs w:val="24"/>
                <w:shd w:val="clear" w:color="auto" w:fill="auto"/>
                <w:lang w:eastAsia="zh-CN"/>
              </w:rPr>
              <w:t>类似业绩</w:t>
            </w:r>
          </w:p>
          <w:p w14:paraId="559FCED9">
            <w:pPr>
              <w:spacing w:before="35" w:line="234" w:lineRule="auto"/>
              <w:ind w:right="183"/>
              <w:jc w:val="center"/>
              <w:rPr>
                <w:rFonts w:hint="eastAsia" w:asciiTheme="minorEastAsia" w:hAnsiTheme="minorEastAsia" w:eastAsiaTheme="minorEastAsia" w:cstheme="minorEastAsia"/>
                <w:color w:val="auto"/>
                <w:sz w:val="24"/>
                <w:szCs w:val="24"/>
                <w:shd w:val="clear" w:color="auto" w:fill="auto"/>
                <w:lang w:eastAsia="zh-CN"/>
              </w:rPr>
            </w:pPr>
          </w:p>
        </w:tc>
        <w:tc>
          <w:tcPr>
            <w:tcW w:w="5982" w:type="dxa"/>
            <w:vAlign w:val="top"/>
          </w:tcPr>
          <w:p w14:paraId="4D02C6FC">
            <w:pPr>
              <w:keepNext w:val="0"/>
              <w:keepLines w:val="0"/>
              <w:pageBreakBefore w:val="0"/>
              <w:widowControl/>
              <w:kinsoku w:val="0"/>
              <w:wordWrap/>
              <w:overflowPunct/>
              <w:topLinePunct w:val="0"/>
              <w:autoSpaceDE w:val="0"/>
              <w:autoSpaceDN w:val="0"/>
              <w:bidi w:val="0"/>
              <w:adjustRightInd w:val="0"/>
              <w:snapToGrid w:val="0"/>
              <w:spacing w:before="35" w:line="240" w:lineRule="exact"/>
              <w:ind w:right="183"/>
              <w:jc w:val="both"/>
              <w:textAlignment w:val="baseline"/>
              <w:rPr>
                <w:rFonts w:hint="eastAsia" w:asciiTheme="minorEastAsia" w:hAnsiTheme="minorEastAsia" w:eastAsiaTheme="minorEastAsia" w:cstheme="minorEastAsia"/>
                <w:color w:val="auto"/>
                <w:sz w:val="21"/>
                <w:szCs w:val="21"/>
                <w:shd w:val="clear" w:color="auto" w:fill="auto"/>
                <w:lang w:eastAsia="zh-CN"/>
              </w:rPr>
            </w:pPr>
            <w:r>
              <w:rPr>
                <w:rFonts w:hint="eastAsia" w:asciiTheme="minorEastAsia" w:hAnsiTheme="minorEastAsia" w:eastAsiaTheme="minorEastAsia" w:cstheme="minorEastAsia"/>
                <w:color w:val="auto"/>
                <w:sz w:val="21"/>
                <w:szCs w:val="21"/>
                <w:shd w:val="clear" w:color="auto" w:fill="auto"/>
                <w:lang w:eastAsia="zh-CN"/>
              </w:rPr>
              <w:t>审查投标人投标截止时间近3年内(202</w:t>
            </w:r>
            <w:r>
              <w:rPr>
                <w:rFonts w:hint="eastAsia" w:asciiTheme="minorEastAsia" w:hAnsiTheme="minorEastAsia" w:eastAsiaTheme="minorEastAsia" w:cstheme="minorEastAsia"/>
                <w:color w:val="auto"/>
                <w:sz w:val="21"/>
                <w:szCs w:val="21"/>
                <w:shd w:val="clear" w:color="auto" w:fill="auto"/>
                <w:lang w:val="en-US" w:eastAsia="zh-CN"/>
              </w:rPr>
              <w:t>2</w:t>
            </w:r>
            <w:r>
              <w:rPr>
                <w:rFonts w:hint="eastAsia" w:asciiTheme="minorEastAsia" w:hAnsiTheme="minorEastAsia" w:eastAsiaTheme="minorEastAsia" w:cstheme="minorEastAsia"/>
                <w:color w:val="auto"/>
                <w:sz w:val="21"/>
                <w:szCs w:val="21"/>
                <w:shd w:val="clear" w:color="auto" w:fill="auto"/>
                <w:lang w:eastAsia="zh-CN"/>
              </w:rPr>
              <w:t xml:space="preserve"> 年12月之后， 以合同签订日期为准) 类似项目案例， 提供中标通知书及合同。每提供一个符合要求的案例得 </w:t>
            </w:r>
            <w:r>
              <w:rPr>
                <w:rFonts w:hint="eastAsia" w:asciiTheme="minorEastAsia" w:hAnsiTheme="minorEastAsia" w:eastAsiaTheme="minorEastAsia" w:cstheme="minorEastAsia"/>
                <w:color w:val="auto"/>
                <w:sz w:val="21"/>
                <w:szCs w:val="21"/>
                <w:shd w:val="clear" w:color="auto" w:fill="auto"/>
                <w:lang w:val="en-US" w:eastAsia="zh-CN"/>
              </w:rPr>
              <w:t>1.5</w:t>
            </w:r>
            <w:r>
              <w:rPr>
                <w:rFonts w:hint="eastAsia" w:asciiTheme="minorEastAsia" w:hAnsiTheme="minorEastAsia" w:eastAsiaTheme="minorEastAsia" w:cstheme="minorEastAsia"/>
                <w:color w:val="auto"/>
                <w:sz w:val="21"/>
                <w:szCs w:val="21"/>
                <w:shd w:val="clear" w:color="auto" w:fill="auto"/>
                <w:lang w:eastAsia="zh-CN"/>
              </w:rPr>
              <w:t>分，最多得</w:t>
            </w:r>
            <w:r>
              <w:rPr>
                <w:rFonts w:hint="eastAsia" w:asciiTheme="minorEastAsia" w:hAnsiTheme="minorEastAsia" w:eastAsiaTheme="minorEastAsia" w:cstheme="minorEastAsia"/>
                <w:color w:val="auto"/>
                <w:sz w:val="21"/>
                <w:szCs w:val="21"/>
                <w:shd w:val="clear" w:color="auto" w:fill="auto"/>
                <w:lang w:val="en-US" w:eastAsia="zh-CN"/>
              </w:rPr>
              <w:t>3</w:t>
            </w:r>
            <w:r>
              <w:rPr>
                <w:rFonts w:hint="eastAsia" w:asciiTheme="minorEastAsia" w:hAnsiTheme="minorEastAsia" w:eastAsiaTheme="minorEastAsia" w:cstheme="minorEastAsia"/>
                <w:color w:val="auto"/>
                <w:sz w:val="21"/>
                <w:szCs w:val="21"/>
                <w:shd w:val="clear" w:color="auto" w:fill="auto"/>
                <w:lang w:eastAsia="zh-CN"/>
              </w:rPr>
              <w:t>分。</w:t>
            </w:r>
          </w:p>
        </w:tc>
        <w:tc>
          <w:tcPr>
            <w:tcW w:w="587" w:type="dxa"/>
            <w:vAlign w:val="center"/>
          </w:tcPr>
          <w:p w14:paraId="59793FCC">
            <w:pPr>
              <w:spacing w:line="30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p>
        </w:tc>
      </w:tr>
      <w:tr w14:paraId="4AD7C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2" w:hRule="atLeast"/>
        </w:trPr>
        <w:tc>
          <w:tcPr>
            <w:tcW w:w="1337" w:type="dxa"/>
            <w:vMerge w:val="continue"/>
            <w:vAlign w:val="top"/>
          </w:tcPr>
          <w:p w14:paraId="2556568C">
            <w:pPr>
              <w:spacing w:before="65"/>
              <w:ind w:left="170" w:leftChars="0" w:right="162" w:rightChars="0" w:firstLine="1" w:firstLineChars="0"/>
              <w:rPr>
                <w:rFonts w:hint="eastAsia" w:asciiTheme="minorEastAsia" w:hAnsiTheme="minorEastAsia" w:eastAsiaTheme="minorEastAsia" w:cstheme="minorEastAsia"/>
                <w:b/>
                <w:bCs/>
                <w:color w:val="auto"/>
                <w:spacing w:val="1"/>
                <w:sz w:val="24"/>
                <w:szCs w:val="24"/>
                <w:lang w:eastAsia="zh-CN"/>
              </w:rPr>
            </w:pPr>
          </w:p>
        </w:tc>
        <w:tc>
          <w:tcPr>
            <w:tcW w:w="1095" w:type="dxa"/>
            <w:vAlign w:val="center"/>
          </w:tcPr>
          <w:p w14:paraId="71BD6D79">
            <w:pPr>
              <w:spacing w:before="35" w:line="234" w:lineRule="auto"/>
              <w:ind w:right="183"/>
              <w:jc w:val="center"/>
              <w:rPr>
                <w:rFonts w:hint="eastAsia" w:asciiTheme="minorEastAsia" w:hAnsiTheme="minorEastAsia" w:eastAsiaTheme="minorEastAsia" w:cstheme="minorEastAsia"/>
                <w:color w:val="auto"/>
                <w:sz w:val="24"/>
                <w:szCs w:val="24"/>
                <w:shd w:val="clear" w:color="auto" w:fill="auto"/>
                <w:lang w:eastAsia="zh-CN"/>
              </w:rPr>
            </w:pPr>
            <w:r>
              <w:rPr>
                <w:rFonts w:hint="eastAsia" w:asciiTheme="minorEastAsia" w:hAnsiTheme="minorEastAsia" w:eastAsiaTheme="minorEastAsia" w:cstheme="minorEastAsia"/>
                <w:color w:val="auto"/>
                <w:sz w:val="24"/>
                <w:szCs w:val="24"/>
                <w:shd w:val="clear" w:color="auto" w:fill="auto"/>
                <w:lang w:eastAsia="zh-CN"/>
              </w:rPr>
              <w:t>企业综合实力</w:t>
            </w:r>
          </w:p>
        </w:tc>
        <w:tc>
          <w:tcPr>
            <w:tcW w:w="5982" w:type="dxa"/>
            <w:vAlign w:val="top"/>
          </w:tcPr>
          <w:p w14:paraId="5C864D65">
            <w:pPr>
              <w:keepNext w:val="0"/>
              <w:keepLines w:val="0"/>
              <w:pageBreakBefore w:val="0"/>
              <w:widowControl/>
              <w:kinsoku w:val="0"/>
              <w:wordWrap/>
              <w:overflowPunct/>
              <w:topLinePunct w:val="0"/>
              <w:autoSpaceDE w:val="0"/>
              <w:autoSpaceDN w:val="0"/>
              <w:bidi w:val="0"/>
              <w:adjustRightInd w:val="0"/>
              <w:snapToGrid w:val="0"/>
              <w:spacing w:before="35" w:line="240" w:lineRule="exact"/>
              <w:ind w:right="183"/>
              <w:jc w:val="both"/>
              <w:textAlignment w:val="baseline"/>
              <w:rPr>
                <w:rFonts w:hint="eastAsia" w:asciiTheme="minorEastAsia" w:hAnsiTheme="minorEastAsia" w:eastAsiaTheme="minorEastAsia" w:cstheme="minorEastAsia"/>
                <w:color w:val="auto"/>
                <w:sz w:val="21"/>
                <w:szCs w:val="21"/>
                <w:shd w:val="clear" w:color="auto" w:fill="auto"/>
                <w:lang w:eastAsia="zh-CN"/>
              </w:rPr>
            </w:pPr>
            <w:r>
              <w:rPr>
                <w:rFonts w:hint="eastAsia" w:asciiTheme="minorEastAsia" w:hAnsiTheme="minorEastAsia" w:eastAsiaTheme="minorEastAsia" w:cstheme="minorEastAsia"/>
                <w:color w:val="auto"/>
                <w:sz w:val="21"/>
                <w:szCs w:val="21"/>
                <w:shd w:val="clear" w:color="auto" w:fill="auto"/>
                <w:lang w:eastAsia="zh-CN"/>
              </w:rPr>
              <w:t>1.投标人具备有效期内的信息安全应急处理服务证书，达到一级得</w:t>
            </w:r>
            <w:r>
              <w:rPr>
                <w:rFonts w:hint="eastAsia" w:asciiTheme="minorEastAsia" w:hAnsiTheme="minorEastAsia" w:eastAsiaTheme="minorEastAsia" w:cstheme="minorEastAsia"/>
                <w:color w:val="auto"/>
                <w:sz w:val="21"/>
                <w:szCs w:val="21"/>
                <w:shd w:val="clear" w:color="auto" w:fill="auto"/>
                <w:lang w:val="en-US" w:eastAsia="zh-CN"/>
              </w:rPr>
              <w:t>2.5</w:t>
            </w:r>
            <w:r>
              <w:rPr>
                <w:rFonts w:hint="eastAsia" w:asciiTheme="minorEastAsia" w:hAnsiTheme="minorEastAsia" w:eastAsiaTheme="minorEastAsia" w:cstheme="minorEastAsia"/>
                <w:color w:val="auto"/>
                <w:sz w:val="21"/>
                <w:szCs w:val="21"/>
                <w:shd w:val="clear" w:color="auto" w:fill="auto"/>
                <w:lang w:eastAsia="zh-CN"/>
              </w:rPr>
              <w:t>分，低于一级及以下得0.5分，不提供不得分；</w:t>
            </w:r>
          </w:p>
          <w:p w14:paraId="5A7494ED">
            <w:pPr>
              <w:keepNext w:val="0"/>
              <w:keepLines w:val="0"/>
              <w:pageBreakBefore w:val="0"/>
              <w:widowControl/>
              <w:kinsoku w:val="0"/>
              <w:wordWrap/>
              <w:overflowPunct/>
              <w:topLinePunct w:val="0"/>
              <w:autoSpaceDE w:val="0"/>
              <w:autoSpaceDN w:val="0"/>
              <w:bidi w:val="0"/>
              <w:adjustRightInd w:val="0"/>
              <w:snapToGrid w:val="0"/>
              <w:spacing w:before="35" w:line="240" w:lineRule="exact"/>
              <w:ind w:right="183"/>
              <w:jc w:val="both"/>
              <w:textAlignment w:val="baseline"/>
              <w:rPr>
                <w:rFonts w:hint="eastAsia" w:asciiTheme="minorEastAsia" w:hAnsiTheme="minorEastAsia" w:eastAsiaTheme="minorEastAsia" w:cstheme="minorEastAsia"/>
                <w:color w:val="auto"/>
                <w:sz w:val="21"/>
                <w:szCs w:val="21"/>
                <w:shd w:val="clear" w:color="auto" w:fill="auto"/>
                <w:lang w:eastAsia="zh-CN"/>
              </w:rPr>
            </w:pPr>
            <w:r>
              <w:rPr>
                <w:rFonts w:hint="eastAsia" w:asciiTheme="minorEastAsia" w:hAnsiTheme="minorEastAsia" w:eastAsiaTheme="minorEastAsia" w:cstheme="minorEastAsia"/>
                <w:color w:val="auto"/>
                <w:sz w:val="21"/>
                <w:szCs w:val="21"/>
                <w:shd w:val="clear" w:color="auto" w:fill="auto"/>
                <w:lang w:eastAsia="zh-CN"/>
              </w:rPr>
              <w:t>2.投标人具备有效期内的CCRC-信息系统安全集成证书，达到一级得2</w:t>
            </w:r>
            <w:r>
              <w:rPr>
                <w:rFonts w:hint="eastAsia" w:asciiTheme="minorEastAsia" w:hAnsiTheme="minorEastAsia" w:eastAsiaTheme="minorEastAsia" w:cstheme="minorEastAsia"/>
                <w:color w:val="auto"/>
                <w:sz w:val="21"/>
                <w:szCs w:val="21"/>
                <w:shd w:val="clear" w:color="auto" w:fill="auto"/>
                <w:lang w:val="en-US" w:eastAsia="zh-CN"/>
              </w:rPr>
              <w:t>.5</w:t>
            </w:r>
            <w:r>
              <w:rPr>
                <w:rFonts w:hint="eastAsia" w:asciiTheme="minorEastAsia" w:hAnsiTheme="minorEastAsia" w:eastAsiaTheme="minorEastAsia" w:cstheme="minorEastAsia"/>
                <w:color w:val="auto"/>
                <w:sz w:val="21"/>
                <w:szCs w:val="21"/>
                <w:shd w:val="clear" w:color="auto" w:fill="auto"/>
                <w:lang w:eastAsia="zh-CN"/>
              </w:rPr>
              <w:t>分，一级及以下得 0.5 分，不提供不得分；</w:t>
            </w:r>
          </w:p>
          <w:p w14:paraId="1B21E5DC">
            <w:pPr>
              <w:keepNext w:val="0"/>
              <w:keepLines w:val="0"/>
              <w:pageBreakBefore w:val="0"/>
              <w:widowControl/>
              <w:kinsoku w:val="0"/>
              <w:wordWrap/>
              <w:overflowPunct/>
              <w:topLinePunct w:val="0"/>
              <w:autoSpaceDE w:val="0"/>
              <w:autoSpaceDN w:val="0"/>
              <w:bidi w:val="0"/>
              <w:adjustRightInd w:val="0"/>
              <w:snapToGrid w:val="0"/>
              <w:spacing w:before="35" w:line="240" w:lineRule="exact"/>
              <w:ind w:right="183"/>
              <w:jc w:val="both"/>
              <w:textAlignment w:val="baseline"/>
              <w:rPr>
                <w:rFonts w:hint="eastAsia" w:asciiTheme="minorEastAsia" w:hAnsiTheme="minorEastAsia" w:eastAsiaTheme="minorEastAsia" w:cstheme="minorEastAsia"/>
                <w:color w:val="auto"/>
                <w:sz w:val="21"/>
                <w:szCs w:val="21"/>
                <w:shd w:val="clear" w:color="auto" w:fill="auto"/>
                <w:lang w:eastAsia="zh-CN"/>
              </w:rPr>
            </w:pPr>
            <w:r>
              <w:rPr>
                <w:rFonts w:hint="eastAsia" w:asciiTheme="minorEastAsia" w:hAnsiTheme="minorEastAsia" w:eastAsiaTheme="minorEastAsia" w:cstheme="minorEastAsia"/>
                <w:color w:val="auto"/>
                <w:sz w:val="21"/>
                <w:szCs w:val="21"/>
                <w:shd w:val="clear" w:color="auto" w:fill="auto"/>
                <w:lang w:eastAsia="zh-CN"/>
              </w:rPr>
              <w:t>3.投标人具有有效期内的信息安全服务证书，达到一级得2</w:t>
            </w:r>
            <w:r>
              <w:rPr>
                <w:rFonts w:hint="eastAsia" w:asciiTheme="minorEastAsia" w:hAnsiTheme="minorEastAsia" w:eastAsiaTheme="minorEastAsia" w:cstheme="minorEastAsia"/>
                <w:color w:val="auto"/>
                <w:sz w:val="21"/>
                <w:szCs w:val="21"/>
                <w:shd w:val="clear" w:color="auto" w:fill="auto"/>
                <w:lang w:val="en-US" w:eastAsia="zh-CN"/>
              </w:rPr>
              <w:t>.5</w:t>
            </w:r>
            <w:r>
              <w:rPr>
                <w:rFonts w:hint="eastAsia" w:asciiTheme="minorEastAsia" w:hAnsiTheme="minorEastAsia" w:eastAsiaTheme="minorEastAsia" w:cstheme="minorEastAsia"/>
                <w:color w:val="auto"/>
                <w:sz w:val="21"/>
                <w:szCs w:val="21"/>
                <w:shd w:val="clear" w:color="auto" w:fill="auto"/>
                <w:lang w:eastAsia="zh-CN"/>
              </w:rPr>
              <w:t>分，二级及以下得0.5分，不提供不得分；</w:t>
            </w:r>
          </w:p>
          <w:p w14:paraId="2C6E4DEE">
            <w:pPr>
              <w:keepNext w:val="0"/>
              <w:keepLines w:val="0"/>
              <w:pageBreakBefore w:val="0"/>
              <w:widowControl/>
              <w:kinsoku w:val="0"/>
              <w:wordWrap/>
              <w:overflowPunct/>
              <w:topLinePunct w:val="0"/>
              <w:autoSpaceDE w:val="0"/>
              <w:autoSpaceDN w:val="0"/>
              <w:bidi w:val="0"/>
              <w:adjustRightInd w:val="0"/>
              <w:snapToGrid w:val="0"/>
              <w:spacing w:before="35" w:line="240" w:lineRule="exact"/>
              <w:ind w:right="183"/>
              <w:jc w:val="both"/>
              <w:textAlignment w:val="baseline"/>
              <w:rPr>
                <w:rFonts w:hint="eastAsia" w:asciiTheme="minorEastAsia" w:hAnsiTheme="minorEastAsia" w:eastAsiaTheme="minorEastAsia" w:cstheme="minorEastAsia"/>
                <w:color w:val="auto"/>
                <w:sz w:val="21"/>
                <w:szCs w:val="21"/>
                <w:shd w:val="clear" w:color="auto" w:fill="auto"/>
                <w:lang w:eastAsia="zh-CN"/>
              </w:rPr>
            </w:pPr>
            <w:r>
              <w:rPr>
                <w:rFonts w:hint="eastAsia" w:asciiTheme="minorEastAsia" w:hAnsiTheme="minorEastAsia" w:eastAsiaTheme="minorEastAsia" w:cstheme="minorEastAsia"/>
                <w:color w:val="auto"/>
                <w:sz w:val="21"/>
                <w:szCs w:val="21"/>
                <w:shd w:val="clear" w:color="auto" w:fill="auto"/>
                <w:lang w:eastAsia="zh-CN"/>
              </w:rPr>
              <w:t>4.投标人具备有效期内的信息系统建设和服务能力等级证书，资质等级 CS2 级及以上的，得0.5分， 资质等级CS4级及以上的，得2</w:t>
            </w:r>
            <w:r>
              <w:rPr>
                <w:rFonts w:hint="eastAsia" w:asciiTheme="minorEastAsia" w:hAnsiTheme="minorEastAsia" w:eastAsiaTheme="minorEastAsia" w:cstheme="minorEastAsia"/>
                <w:color w:val="auto"/>
                <w:sz w:val="21"/>
                <w:szCs w:val="21"/>
                <w:shd w:val="clear" w:color="auto" w:fill="auto"/>
                <w:lang w:val="en-US" w:eastAsia="zh-CN"/>
              </w:rPr>
              <w:t>.5</w:t>
            </w:r>
            <w:r>
              <w:rPr>
                <w:rFonts w:hint="eastAsia" w:asciiTheme="minorEastAsia" w:hAnsiTheme="minorEastAsia" w:eastAsiaTheme="minorEastAsia" w:cstheme="minorEastAsia"/>
                <w:color w:val="auto"/>
                <w:sz w:val="21"/>
                <w:szCs w:val="21"/>
                <w:shd w:val="clear" w:color="auto" w:fill="auto"/>
                <w:lang w:eastAsia="zh-CN"/>
              </w:rPr>
              <w:t>分，不具备不得分；</w:t>
            </w:r>
            <w:bookmarkStart w:id="920" w:name="_GoBack"/>
            <w:bookmarkEnd w:id="920"/>
          </w:p>
          <w:p w14:paraId="6A5935CE">
            <w:pPr>
              <w:keepNext w:val="0"/>
              <w:keepLines w:val="0"/>
              <w:pageBreakBefore w:val="0"/>
              <w:widowControl/>
              <w:kinsoku w:val="0"/>
              <w:wordWrap/>
              <w:overflowPunct/>
              <w:topLinePunct w:val="0"/>
              <w:autoSpaceDE w:val="0"/>
              <w:autoSpaceDN w:val="0"/>
              <w:bidi w:val="0"/>
              <w:adjustRightInd w:val="0"/>
              <w:snapToGrid w:val="0"/>
              <w:spacing w:before="35" w:line="240" w:lineRule="exact"/>
              <w:ind w:right="183"/>
              <w:jc w:val="both"/>
              <w:textAlignment w:val="baseline"/>
              <w:rPr>
                <w:rFonts w:hint="eastAsia" w:asciiTheme="minorEastAsia" w:hAnsiTheme="minorEastAsia" w:eastAsiaTheme="minorEastAsia" w:cstheme="minorEastAsia"/>
                <w:color w:val="auto"/>
                <w:sz w:val="21"/>
                <w:szCs w:val="21"/>
                <w:shd w:val="clear" w:color="auto" w:fill="auto"/>
                <w:lang w:eastAsia="zh-CN"/>
              </w:rPr>
            </w:pPr>
            <w:r>
              <w:rPr>
                <w:rFonts w:hint="eastAsia" w:asciiTheme="minorEastAsia" w:hAnsiTheme="minorEastAsia" w:eastAsiaTheme="minorEastAsia" w:cstheme="minorEastAsia"/>
                <w:color w:val="auto"/>
                <w:sz w:val="21"/>
                <w:szCs w:val="21"/>
                <w:shd w:val="clear" w:color="auto" w:fill="auto"/>
                <w:lang w:eastAsia="zh-CN"/>
              </w:rPr>
              <w:t>注：所提供证书必须真实有效，如有伪造，包括在后续交付验收阶段发现伪造证书，将根据相关法律追究其法律责任。</w:t>
            </w:r>
          </w:p>
        </w:tc>
        <w:tc>
          <w:tcPr>
            <w:tcW w:w="587" w:type="dxa"/>
            <w:vAlign w:val="center"/>
          </w:tcPr>
          <w:p w14:paraId="4F62D4BF">
            <w:pPr>
              <w:spacing w:before="65" w:line="19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r>
      <w:tr w14:paraId="4EB95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337" w:type="dxa"/>
            <w:vMerge w:val="continue"/>
            <w:vAlign w:val="top"/>
          </w:tcPr>
          <w:p w14:paraId="2F7BB6F8">
            <w:pPr>
              <w:spacing w:before="65"/>
              <w:ind w:left="170" w:leftChars="0" w:right="162" w:rightChars="0" w:firstLine="1" w:firstLineChars="0"/>
              <w:rPr>
                <w:rFonts w:hint="eastAsia" w:asciiTheme="minorEastAsia" w:hAnsiTheme="minorEastAsia" w:eastAsiaTheme="minorEastAsia" w:cstheme="minorEastAsia"/>
                <w:b/>
                <w:bCs/>
                <w:color w:val="auto"/>
                <w:spacing w:val="1"/>
                <w:sz w:val="24"/>
                <w:szCs w:val="24"/>
                <w:lang w:eastAsia="zh-CN"/>
              </w:rPr>
            </w:pPr>
          </w:p>
        </w:tc>
        <w:tc>
          <w:tcPr>
            <w:tcW w:w="1095" w:type="dxa"/>
            <w:shd w:val="clear" w:color="auto" w:fill="auto"/>
            <w:vAlign w:val="center"/>
          </w:tcPr>
          <w:p w14:paraId="4CF73F70">
            <w:pPr>
              <w:spacing w:before="35" w:line="234" w:lineRule="auto"/>
              <w:ind w:right="183" w:rightChars="0"/>
              <w:jc w:val="center"/>
              <w:rPr>
                <w:rFonts w:hint="eastAsia" w:asciiTheme="minorEastAsia" w:hAnsiTheme="minorEastAsia" w:eastAsiaTheme="minorEastAsia" w:cstheme="minorEastAsia"/>
                <w:snapToGrid w:val="0"/>
                <w:color w:val="auto"/>
                <w:sz w:val="24"/>
                <w:szCs w:val="24"/>
                <w:shd w:val="clear" w:color="auto" w:fill="auto"/>
                <w:lang w:val="en-US" w:eastAsia="zh-CN" w:bidi="ar-SA"/>
              </w:rPr>
            </w:pPr>
            <w:r>
              <w:rPr>
                <w:rFonts w:hint="eastAsia" w:asciiTheme="minorEastAsia" w:hAnsiTheme="minorEastAsia" w:eastAsiaTheme="minorEastAsia" w:cstheme="minorEastAsia"/>
                <w:color w:val="auto"/>
                <w:sz w:val="24"/>
                <w:szCs w:val="24"/>
                <w:shd w:val="clear" w:color="auto" w:fill="auto"/>
                <w:lang w:eastAsia="zh-CN"/>
              </w:rPr>
              <w:t>售后服务方案</w:t>
            </w:r>
          </w:p>
        </w:tc>
        <w:tc>
          <w:tcPr>
            <w:tcW w:w="5982" w:type="dxa"/>
            <w:shd w:val="clear" w:color="auto" w:fill="auto"/>
            <w:vAlign w:val="top"/>
          </w:tcPr>
          <w:p w14:paraId="72C63D26">
            <w:pPr>
              <w:keepNext w:val="0"/>
              <w:keepLines w:val="0"/>
              <w:pageBreakBefore w:val="0"/>
              <w:widowControl/>
              <w:kinsoku w:val="0"/>
              <w:wordWrap/>
              <w:overflowPunct/>
              <w:topLinePunct w:val="0"/>
              <w:autoSpaceDE w:val="0"/>
              <w:autoSpaceDN w:val="0"/>
              <w:bidi w:val="0"/>
              <w:adjustRightInd w:val="0"/>
              <w:snapToGrid w:val="0"/>
              <w:spacing w:before="35" w:line="240" w:lineRule="exact"/>
              <w:ind w:right="183"/>
              <w:jc w:val="both"/>
              <w:textAlignment w:val="baseline"/>
              <w:rPr>
                <w:rFonts w:hint="eastAsia" w:asciiTheme="minorEastAsia" w:hAnsiTheme="minorEastAsia" w:eastAsiaTheme="minorEastAsia" w:cstheme="minorEastAsia"/>
                <w:color w:val="auto"/>
                <w:sz w:val="21"/>
                <w:szCs w:val="21"/>
                <w:shd w:val="clear" w:color="auto" w:fill="auto"/>
                <w:lang w:eastAsia="zh-CN"/>
              </w:rPr>
            </w:pPr>
            <w:r>
              <w:rPr>
                <w:rFonts w:hint="eastAsia" w:asciiTheme="minorEastAsia" w:hAnsiTheme="minorEastAsia" w:eastAsiaTheme="minorEastAsia" w:cstheme="minorEastAsia"/>
                <w:color w:val="auto"/>
                <w:sz w:val="21"/>
                <w:szCs w:val="21"/>
                <w:shd w:val="clear" w:color="auto" w:fill="auto"/>
                <w:lang w:eastAsia="zh-CN"/>
              </w:rPr>
              <w:t>售后服务方案包含：</w:t>
            </w:r>
            <w:r>
              <w:rPr>
                <w:rFonts w:hint="eastAsia" w:asciiTheme="minorEastAsia" w:hAnsiTheme="minorEastAsia" w:eastAsiaTheme="minorEastAsia" w:cstheme="minorEastAsia"/>
                <w:sz w:val="21"/>
                <w:szCs w:val="21"/>
              </w:rPr>
              <w:t>①</w:t>
            </w:r>
            <w:r>
              <w:rPr>
                <w:rFonts w:hint="eastAsia" w:asciiTheme="minorEastAsia" w:hAnsiTheme="minorEastAsia" w:eastAsiaTheme="minorEastAsia" w:cstheme="minorEastAsia"/>
                <w:color w:val="auto"/>
                <w:sz w:val="21"/>
                <w:szCs w:val="21"/>
                <w:shd w:val="clear" w:color="auto" w:fill="auto"/>
                <w:lang w:eastAsia="zh-CN"/>
              </w:rPr>
              <w:t>售后服务流程</w:t>
            </w:r>
            <w:r>
              <w:rPr>
                <w:rFonts w:hint="eastAsia" w:asciiTheme="minorEastAsia" w:hAnsiTheme="minorEastAsia" w:eastAsiaTheme="minorEastAsia" w:cstheme="minorEastAsia"/>
                <w:sz w:val="21"/>
                <w:szCs w:val="21"/>
              </w:rPr>
              <w:t>②</w:t>
            </w:r>
            <w:r>
              <w:rPr>
                <w:rFonts w:hint="eastAsia" w:asciiTheme="minorEastAsia" w:hAnsiTheme="minorEastAsia" w:eastAsiaTheme="minorEastAsia" w:cstheme="minorEastAsia"/>
                <w:color w:val="auto"/>
                <w:sz w:val="21"/>
                <w:szCs w:val="21"/>
                <w:shd w:val="clear" w:color="auto" w:fill="auto"/>
                <w:lang w:eastAsia="zh-CN"/>
              </w:rPr>
              <w:t>故障维修、质保期</w:t>
            </w:r>
            <w:r>
              <w:rPr>
                <w:rFonts w:hint="eastAsia" w:asciiTheme="minorEastAsia" w:hAnsiTheme="minorEastAsia" w:eastAsiaTheme="minorEastAsia" w:cstheme="minorEastAsia"/>
                <w:sz w:val="21"/>
                <w:szCs w:val="21"/>
              </w:rPr>
              <w:t>③</w:t>
            </w:r>
            <w:r>
              <w:rPr>
                <w:rFonts w:hint="eastAsia" w:asciiTheme="minorEastAsia" w:hAnsiTheme="minorEastAsia" w:eastAsiaTheme="minorEastAsia" w:cstheme="minorEastAsia"/>
                <w:color w:val="auto"/>
                <w:sz w:val="21"/>
                <w:szCs w:val="21"/>
                <w:shd w:val="clear" w:color="auto" w:fill="auto"/>
                <w:lang w:eastAsia="zh-CN"/>
              </w:rPr>
              <w:t>人员配备</w:t>
            </w:r>
            <w:r>
              <w:rPr>
                <w:rFonts w:hint="eastAsia" w:asciiTheme="minorEastAsia" w:hAnsiTheme="minorEastAsia" w:eastAsiaTheme="minorEastAsia" w:cstheme="minorEastAsia"/>
                <w:sz w:val="21"/>
                <w:szCs w:val="21"/>
              </w:rPr>
              <w:t>④</w:t>
            </w:r>
            <w:r>
              <w:rPr>
                <w:rFonts w:hint="eastAsia" w:asciiTheme="minorEastAsia" w:hAnsiTheme="minorEastAsia" w:eastAsiaTheme="minorEastAsia" w:cstheme="minorEastAsia"/>
                <w:color w:val="auto"/>
                <w:sz w:val="21"/>
                <w:szCs w:val="21"/>
                <w:shd w:val="clear" w:color="auto" w:fill="auto"/>
                <w:lang w:val="en-US" w:eastAsia="zh-CN"/>
              </w:rPr>
              <w:t>售后响应及处理时间</w:t>
            </w:r>
            <w:r>
              <w:rPr>
                <w:rFonts w:hint="eastAsia" w:asciiTheme="minorEastAsia" w:hAnsiTheme="minorEastAsia" w:eastAsiaTheme="minorEastAsia" w:cstheme="minorEastAsia"/>
                <w:sz w:val="21"/>
                <w:szCs w:val="21"/>
                <w:lang w:val="en-US" w:eastAsia="zh-CN"/>
              </w:rPr>
              <w:t>⑤</w:t>
            </w:r>
            <w:r>
              <w:rPr>
                <w:rFonts w:hint="eastAsia" w:asciiTheme="minorEastAsia" w:hAnsiTheme="minorEastAsia" w:eastAsiaTheme="minorEastAsia" w:cstheme="minorEastAsia"/>
                <w:color w:val="auto"/>
                <w:sz w:val="21"/>
                <w:szCs w:val="21"/>
                <w:shd w:val="clear" w:color="auto" w:fill="auto"/>
                <w:lang w:eastAsia="zh-CN"/>
              </w:rPr>
              <w:t>技术支持</w:t>
            </w:r>
          </w:p>
          <w:p w14:paraId="464AA5C9">
            <w:pPr>
              <w:keepNext w:val="0"/>
              <w:keepLines w:val="0"/>
              <w:pageBreakBefore w:val="0"/>
              <w:widowControl/>
              <w:kinsoku w:val="0"/>
              <w:wordWrap/>
              <w:overflowPunct/>
              <w:topLinePunct w:val="0"/>
              <w:autoSpaceDE w:val="0"/>
              <w:autoSpaceDN w:val="0"/>
              <w:bidi w:val="0"/>
              <w:adjustRightInd w:val="0"/>
              <w:snapToGrid w:val="0"/>
              <w:spacing w:before="35" w:line="240" w:lineRule="exact"/>
              <w:ind w:right="183" w:rightChars="0"/>
              <w:jc w:val="both"/>
              <w:textAlignment w:val="baseline"/>
              <w:rPr>
                <w:rFonts w:hint="eastAsia" w:asciiTheme="minorEastAsia" w:hAnsiTheme="minorEastAsia" w:eastAsiaTheme="minorEastAsia" w:cstheme="minorEastAsia"/>
                <w:snapToGrid w:val="0"/>
                <w:color w:val="auto"/>
                <w:sz w:val="21"/>
                <w:szCs w:val="21"/>
                <w:shd w:val="clear" w:color="auto" w:fill="auto"/>
                <w:lang w:val="en-US" w:eastAsia="zh-CN" w:bidi="ar-SA"/>
              </w:rPr>
            </w:pPr>
            <w:r>
              <w:rPr>
                <w:rFonts w:hint="eastAsia" w:asciiTheme="minorEastAsia" w:hAnsiTheme="minorEastAsia" w:eastAsiaTheme="minorEastAsia" w:cstheme="minorEastAsia"/>
                <w:color w:val="auto"/>
                <w:sz w:val="21"/>
                <w:szCs w:val="21"/>
                <w:shd w:val="clear" w:color="auto" w:fill="auto"/>
                <w:lang w:eastAsia="zh-CN"/>
              </w:rPr>
              <w:t>所有要素齐全且完全满足项目要求得</w:t>
            </w:r>
            <w:r>
              <w:rPr>
                <w:rFonts w:hint="eastAsia" w:asciiTheme="minorEastAsia" w:hAnsiTheme="minorEastAsia" w:eastAsiaTheme="minorEastAsia" w:cstheme="minorEastAsia"/>
                <w:color w:val="auto"/>
                <w:sz w:val="21"/>
                <w:szCs w:val="21"/>
                <w:shd w:val="clear" w:color="auto" w:fill="auto"/>
                <w:lang w:val="en-US" w:eastAsia="zh-CN"/>
              </w:rPr>
              <w:t>10</w:t>
            </w:r>
            <w:r>
              <w:rPr>
                <w:rFonts w:hint="eastAsia" w:asciiTheme="minorEastAsia" w:hAnsiTheme="minorEastAsia" w:eastAsiaTheme="minorEastAsia" w:cstheme="minorEastAsia"/>
                <w:color w:val="auto"/>
                <w:sz w:val="21"/>
                <w:szCs w:val="21"/>
                <w:shd w:val="clear" w:color="auto" w:fill="auto"/>
                <w:lang w:eastAsia="zh-CN"/>
              </w:rPr>
              <w:t>分，每个要素里每有一处内容缺陷扣1分（扣完为止）。</w:t>
            </w:r>
          </w:p>
        </w:tc>
        <w:tc>
          <w:tcPr>
            <w:tcW w:w="587" w:type="dxa"/>
            <w:shd w:val="clear" w:color="auto" w:fill="auto"/>
            <w:vAlign w:val="center"/>
          </w:tcPr>
          <w:p w14:paraId="7E62BBE9">
            <w:pPr>
              <w:spacing w:before="65" w:line="190" w:lineRule="auto"/>
              <w:ind w:left="199" w:leftChars="0"/>
              <w:jc w:val="both"/>
              <w:rPr>
                <w:rFonts w:hint="eastAsia" w:asciiTheme="minorEastAsia" w:hAnsiTheme="minorEastAsia" w:eastAsiaTheme="minorEastAsia" w:cstheme="minorEastAsia"/>
                <w:snapToGrid w:val="0"/>
                <w:color w:val="auto"/>
                <w:sz w:val="24"/>
                <w:szCs w:val="24"/>
                <w:lang w:val="en-US" w:eastAsia="zh-CN" w:bidi="ar-SA"/>
              </w:rPr>
            </w:pPr>
            <w:r>
              <w:rPr>
                <w:rFonts w:hint="eastAsia" w:asciiTheme="minorEastAsia" w:hAnsiTheme="minorEastAsia" w:eastAsiaTheme="minorEastAsia" w:cstheme="minorEastAsia"/>
                <w:snapToGrid w:val="0"/>
                <w:color w:val="auto"/>
                <w:sz w:val="24"/>
                <w:szCs w:val="24"/>
                <w:lang w:val="en-US" w:eastAsia="zh-CN" w:bidi="ar-SA"/>
              </w:rPr>
              <w:t>10</w:t>
            </w:r>
          </w:p>
        </w:tc>
      </w:tr>
    </w:tbl>
    <w:p w14:paraId="68C889FE">
      <w:pPr>
        <w:spacing w:before="23" w:line="229" w:lineRule="auto"/>
        <w:ind w:right="130" w:firstLine="218" w:firstLineChars="100"/>
        <w:jc w:val="both"/>
        <w:rPr>
          <w:rFonts w:hint="eastAsia" w:asciiTheme="minorEastAsia" w:hAnsiTheme="minorEastAsia" w:eastAsiaTheme="minorEastAsia" w:cstheme="minorEastAsia"/>
          <w:iCs/>
          <w:color w:val="auto"/>
          <w:sz w:val="24"/>
          <w:szCs w:val="24"/>
        </w:rPr>
      </w:pPr>
      <w:r>
        <w:rPr>
          <w:rFonts w:hint="eastAsia" w:asciiTheme="minorEastAsia" w:hAnsiTheme="minorEastAsia" w:eastAsiaTheme="minorEastAsia" w:cstheme="minorEastAsia"/>
          <w:color w:val="auto"/>
          <w:spacing w:val="-1"/>
          <w:sz w:val="22"/>
          <w:szCs w:val="22"/>
          <w:lang w:val="zh-CN" w:eastAsia="zh-CN"/>
        </w:rPr>
        <w:t>备注：</w:t>
      </w:r>
    </w:p>
    <w:p w14:paraId="4866E500">
      <w:pPr>
        <w:pStyle w:val="8"/>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评审完毕，评标委员会根据汇总各投标企业的综合得分，按照得分高低进行排序，取前三名作为中标候选人推荐给招标委员会。如果两投标人的得分相同，投标价格低者排在前。</w:t>
      </w:r>
    </w:p>
    <w:p w14:paraId="661DEAC3">
      <w:pPr>
        <w:pStyle w:val="36"/>
        <w:spacing w:line="500" w:lineRule="exact"/>
        <w:ind w:left="0" w:firstLineChars="200"/>
        <w:rPr>
          <w:rStyle w:val="26"/>
          <w:rFonts w:hint="eastAsia" w:asciiTheme="minorEastAsia" w:hAnsiTheme="minorEastAsia" w:eastAsiaTheme="minorEastAsia" w:cstheme="minorEastAsia"/>
          <w:iCs/>
          <w:color w:val="auto"/>
          <w:szCs w:val="24"/>
          <w:lang w:eastAsia="zh-CN"/>
        </w:rPr>
      </w:pPr>
      <w:r>
        <w:rPr>
          <w:rStyle w:val="26"/>
          <w:rFonts w:hint="eastAsia" w:asciiTheme="minorEastAsia" w:hAnsiTheme="minorEastAsia" w:eastAsiaTheme="minorEastAsia" w:cstheme="minorEastAsia"/>
          <w:iCs/>
          <w:color w:val="auto"/>
          <w:szCs w:val="24"/>
          <w:lang w:eastAsia="zh-CN"/>
        </w:rPr>
        <w:t>本项目参数要求、评审内容如有指向性，仅作为招标参考，投标产品不应低于招标要求，如有不符合要求，视为不响应招标文件规定。</w:t>
      </w:r>
    </w:p>
    <w:p w14:paraId="571C54A7">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3.5复核。评分汇总结束后，评标委员会应当进行复核，特别要对拟推荐为中标候选供应商的、报价最低的、投标文件被认定为无效的进行重点复核。</w:t>
      </w:r>
    </w:p>
    <w:p w14:paraId="17025B0A">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3.6推荐中标候选供应商。中标候选供应商应当排序。</w:t>
      </w:r>
    </w:p>
    <w:p w14:paraId="73CB7F55">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3.7出具评标报告。评标委员会推荐中标候选供应商后，应当向招标采购单位出具评标报告。评标报告应当包括下列内容：</w:t>
      </w:r>
    </w:p>
    <w:p w14:paraId="79EFED64">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（一）招标公告刊登的媒体名称、开标日期和地点；</w:t>
      </w:r>
    </w:p>
    <w:p w14:paraId="1B7A083D">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（二）评标委员会成员名单；</w:t>
      </w:r>
    </w:p>
    <w:p w14:paraId="763BC6D6">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（三）评标方法和标准；</w:t>
      </w:r>
    </w:p>
    <w:p w14:paraId="7C34BB0E">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（四）开标记录和评标情况及说明，包括无效投标人名单及原因；</w:t>
      </w:r>
    </w:p>
    <w:p w14:paraId="16E49CEB">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（五）评标结果，确定的中标候选人名单或者经采购人委托直接确定的中标人；</w:t>
      </w:r>
    </w:p>
    <w:p w14:paraId="2FBF4993">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（六）其他需要说明的情况，包括评标过程中投标人根据评标委员会要求进行的澄清、说明或者补正，评标委员会成员的更换等。</w:t>
      </w:r>
    </w:p>
    <w:p w14:paraId="41050DC2">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67BB03F7">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6D131723">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3.9供应商应当书面澄清、说明或者更正。</w:t>
      </w:r>
    </w:p>
    <w:p w14:paraId="2F34C12A">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2DE6346C">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 xml:space="preserve">  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14:paraId="6D89A72A">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3.9.3评标委员会要求供应商澄清、说明或者更正，不得超出招标文件的范围，不得以此让供应商实质改变投标文件的内容，不得影响供应商公平竞争。本项目下列内容不得澄清：</w:t>
      </w:r>
    </w:p>
    <w:p w14:paraId="1B2D2603">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（一）按财政部规定应当在评标时不予承认的投标文件内容事项；</w:t>
      </w:r>
    </w:p>
    <w:p w14:paraId="0C46D74C">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（二）投标文件中已经明确的内容事项；</w:t>
      </w:r>
    </w:p>
    <w:p w14:paraId="2D43B9EE">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（三）投标文件未提供的材料。</w:t>
      </w:r>
    </w:p>
    <w:p w14:paraId="3E756C1A">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3.10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DA042B4">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2C75B994">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3.11招标采购单位现场复核评标结果。</w:t>
      </w:r>
    </w:p>
    <w:p w14:paraId="2457D5AF">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3.11.1评标结果汇总完成后，评标委员会拟出具评标报告前，招标采购单位应当组织本单位工作人员，在采购现场监督人员的监督之下，依据有关的法律制度和采购文件对评标结果进行复核，提出复核意见。</w:t>
      </w:r>
    </w:p>
    <w:p w14:paraId="6D390CA0">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1EFFBD4">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5、 废 标</w:t>
      </w:r>
    </w:p>
    <w:p w14:paraId="329DEF73">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废标后，采购代理机构应在网上公告。投标人需要知晓导致废标情形的具体原因和理由的，可以通过书面形式询问招标采购单位。</w:t>
      </w:r>
    </w:p>
    <w:p w14:paraId="6E369D11">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对于评标过程中废标的采购项目，评标委员会应当对招标文件是否存在倾向性和歧视性、是否存在不合理条款进行论证，并出具书面论证意见。</w:t>
      </w:r>
    </w:p>
    <w:p w14:paraId="2E5C6FCD">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6、定标</w:t>
      </w:r>
    </w:p>
    <w:p w14:paraId="4E1919C6">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6.1. 定标原则：由采购人根据评标委员会的推荐意见确定中标供应商。</w:t>
      </w:r>
    </w:p>
    <w:p w14:paraId="568AC471">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6.2. 定标程序</w:t>
      </w:r>
    </w:p>
    <w:p w14:paraId="0F2AA14B">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6.2.1 评标委员会将评标情况写出书面报告，推荐中标候选供应商。</w:t>
      </w:r>
    </w:p>
    <w:p w14:paraId="45204255">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6.2.2 采购代理机构在评标结束后2个工作日内将评标报告送采购人。</w:t>
      </w:r>
    </w:p>
    <w:p w14:paraId="5689D804">
      <w:pPr>
        <w:pStyle w:val="19"/>
        <w:spacing w:beforeAutospacing="0" w:afterAutospacing="0" w:line="520" w:lineRule="atLeast"/>
        <w:ind w:firstLine="480" w:firstLineChars="200"/>
        <w:jc w:val="both"/>
        <w:rPr>
          <w:rFonts w:hint="eastAsia" w:asciiTheme="minorEastAsia" w:hAnsiTheme="minorEastAsia" w:eastAsiaTheme="minorEastAsia" w:cstheme="minorEastAsia"/>
          <w:iCs/>
          <w:color w:val="auto"/>
          <w:kern w:val="2"/>
          <w:szCs w:val="24"/>
          <w:lang w:eastAsia="zh-CN"/>
        </w:rPr>
      </w:pPr>
      <w:r>
        <w:rPr>
          <w:rFonts w:hint="eastAsia" w:asciiTheme="minorEastAsia" w:hAnsiTheme="minorEastAsia" w:eastAsiaTheme="minorEastAsia" w:cstheme="minorEastAsia"/>
          <w:iCs/>
          <w:color w:val="auto"/>
          <w:kern w:val="2"/>
          <w:szCs w:val="24"/>
          <w:lang w:eastAsia="zh-CN"/>
        </w:rPr>
        <w:t>6.2.3 采购人在收到评标报告后5个工作日内，按照评标报告中推荐的中标候选供应商顺序确定中标供应商。</w:t>
      </w:r>
    </w:p>
    <w:p w14:paraId="75CE4662">
      <w:pPr>
        <w:pStyle w:val="19"/>
        <w:spacing w:beforeAutospacing="0" w:afterAutospacing="0" w:line="520" w:lineRule="atLeast"/>
        <w:ind w:left="147" w:firstLine="480" w:firstLineChars="200"/>
        <w:jc w:val="both"/>
        <w:rPr>
          <w:rFonts w:hint="eastAsia" w:asciiTheme="minorEastAsia" w:hAnsiTheme="minorEastAsia" w:eastAsiaTheme="minorEastAsia" w:cstheme="minorEastAsia"/>
          <w:iCs/>
          <w:color w:val="auto"/>
          <w:kern w:val="2"/>
          <w:szCs w:val="24"/>
          <w:lang w:eastAsia="zh-CN"/>
        </w:rPr>
      </w:pPr>
      <w:r>
        <w:rPr>
          <w:rFonts w:hint="eastAsia" w:asciiTheme="minorEastAsia" w:hAnsiTheme="minorEastAsia" w:eastAsiaTheme="minorEastAsia" w:cstheme="minorEastAsia"/>
          <w:iCs/>
          <w:color w:val="auto"/>
          <w:kern w:val="2"/>
          <w:szCs w:val="24"/>
          <w:lang w:eastAsia="zh-CN"/>
        </w:rPr>
        <w:t>采用最低评标价法的，评标结果按投标报价由低到高顺序排列。投标报价相同的并列。投标文件满足招标文件全部实质性要求且投标报价最低的投标人为排名第一的中标候选人。</w:t>
      </w:r>
    </w:p>
    <w:p w14:paraId="78165ADE">
      <w:pPr>
        <w:pStyle w:val="16"/>
        <w:spacing w:line="500" w:lineRule="exact"/>
        <w:ind w:left="0" w:firstLineChars="200"/>
        <w:rPr>
          <w:rFonts w:hint="eastAsia" w:asciiTheme="minorEastAsia" w:hAnsiTheme="minorEastAsia" w:eastAsiaTheme="minorEastAsia" w:cstheme="minorEastAsia"/>
          <w:iCs/>
          <w:color w:val="auto"/>
          <w:kern w:val="2"/>
          <w:szCs w:val="24"/>
          <w:lang w:eastAsia="zh-CN"/>
        </w:rPr>
      </w:pPr>
      <w:r>
        <w:rPr>
          <w:rFonts w:hint="eastAsia" w:asciiTheme="minorEastAsia" w:hAnsiTheme="minorEastAsia" w:eastAsiaTheme="minorEastAsia" w:cstheme="minorEastAsia"/>
          <w:iCs/>
          <w:color w:val="auto"/>
          <w:kern w:val="2"/>
          <w:szCs w:val="24"/>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3C56C6C">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6.2.4 根据采购人确定的中标供应商，采购代理机构在新疆政府采购网上发布中标公告，并自采购人确定中标之日起3个工作日内向中标供应商发出中标通知书。</w:t>
      </w:r>
    </w:p>
    <w:p w14:paraId="41398E9C">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r>
        <w:rPr>
          <w:rStyle w:val="26"/>
          <w:rFonts w:hint="eastAsia" w:asciiTheme="minorEastAsia" w:hAnsiTheme="minorEastAsia" w:eastAsiaTheme="minorEastAsia" w:cstheme="minorEastAsia"/>
          <w:iCs/>
          <w:color w:val="auto"/>
          <w:kern w:val="2"/>
          <w:szCs w:val="24"/>
          <w:lang w:eastAsia="zh-CN"/>
        </w:rPr>
        <w:t>6.2.5 招标采购单位不退回投标人投标文件和其他投标资料。</w:t>
      </w:r>
    </w:p>
    <w:p w14:paraId="6499D4B5">
      <w:pPr>
        <w:rPr>
          <w:rStyle w:val="26"/>
          <w:rFonts w:hint="eastAsia" w:asciiTheme="minorEastAsia" w:hAnsiTheme="minorEastAsia" w:eastAsiaTheme="minorEastAsia" w:cstheme="minorEastAsia"/>
          <w:b/>
          <w:color w:val="auto"/>
          <w:sz w:val="52"/>
          <w:szCs w:val="52"/>
          <w:lang w:eastAsia="zh-CN"/>
        </w:rPr>
      </w:pPr>
      <w:r>
        <w:rPr>
          <w:rStyle w:val="26"/>
          <w:rFonts w:hint="eastAsia" w:asciiTheme="minorEastAsia" w:hAnsiTheme="minorEastAsia" w:eastAsiaTheme="minorEastAsia" w:cstheme="minorEastAsia"/>
          <w:b/>
          <w:color w:val="auto"/>
          <w:sz w:val="52"/>
          <w:szCs w:val="52"/>
          <w:lang w:eastAsia="zh-CN"/>
        </w:rPr>
        <w:br w:type="page"/>
      </w:r>
    </w:p>
    <w:p w14:paraId="42F3F850">
      <w:pPr>
        <w:spacing w:line="240" w:lineRule="atLeast"/>
        <w:jc w:val="center"/>
        <w:rPr>
          <w:rStyle w:val="26"/>
          <w:rFonts w:hint="eastAsia" w:asciiTheme="minorEastAsia" w:hAnsiTheme="minorEastAsia" w:eastAsiaTheme="minorEastAsia" w:cstheme="minorEastAsia"/>
          <w:b/>
          <w:color w:val="auto"/>
          <w:sz w:val="52"/>
          <w:szCs w:val="52"/>
          <w:lang w:eastAsia="zh-CN"/>
        </w:rPr>
      </w:pPr>
    </w:p>
    <w:p w14:paraId="241935B5">
      <w:pPr>
        <w:spacing w:line="240" w:lineRule="atLeast"/>
        <w:jc w:val="center"/>
        <w:rPr>
          <w:rStyle w:val="26"/>
          <w:rFonts w:hint="eastAsia" w:asciiTheme="minorEastAsia" w:hAnsiTheme="minorEastAsia" w:eastAsiaTheme="minorEastAsia" w:cstheme="minorEastAsia"/>
          <w:b/>
          <w:color w:val="auto"/>
          <w:sz w:val="52"/>
          <w:szCs w:val="52"/>
          <w:lang w:eastAsia="zh-CN"/>
        </w:rPr>
      </w:pPr>
      <w:r>
        <w:rPr>
          <w:rStyle w:val="26"/>
          <w:rFonts w:hint="eastAsia" w:asciiTheme="minorEastAsia" w:hAnsiTheme="minorEastAsia" w:eastAsiaTheme="minorEastAsia" w:cstheme="minorEastAsia"/>
          <w:b/>
          <w:color w:val="auto"/>
          <w:sz w:val="52"/>
          <w:szCs w:val="52"/>
          <w:lang w:eastAsia="zh-CN"/>
        </w:rPr>
        <w:t>货物类</w:t>
      </w:r>
    </w:p>
    <w:p w14:paraId="10B7035E">
      <w:pPr>
        <w:spacing w:line="240" w:lineRule="atLeast"/>
        <w:jc w:val="both"/>
        <w:rPr>
          <w:rStyle w:val="26"/>
          <w:rFonts w:hint="eastAsia" w:asciiTheme="minorEastAsia" w:hAnsiTheme="minorEastAsia" w:eastAsiaTheme="minorEastAsia" w:cstheme="minorEastAsia"/>
          <w:b/>
          <w:color w:val="auto"/>
          <w:sz w:val="52"/>
          <w:szCs w:val="52"/>
          <w:lang w:eastAsia="zh-CN"/>
        </w:rPr>
      </w:pPr>
    </w:p>
    <w:p w14:paraId="7CE1F35B">
      <w:pPr>
        <w:spacing w:line="240" w:lineRule="atLeast"/>
        <w:ind w:left="1080" w:leftChars="257" w:hanging="540"/>
        <w:jc w:val="center"/>
        <w:rPr>
          <w:rStyle w:val="26"/>
          <w:rFonts w:hint="eastAsia" w:asciiTheme="minorEastAsia" w:hAnsiTheme="minorEastAsia" w:eastAsiaTheme="minorEastAsia" w:cstheme="minorEastAsia"/>
          <w:b/>
          <w:color w:val="auto"/>
          <w:sz w:val="52"/>
          <w:szCs w:val="52"/>
          <w:lang w:eastAsia="zh-CN"/>
        </w:rPr>
      </w:pPr>
    </w:p>
    <w:p w14:paraId="363D56D2">
      <w:pPr>
        <w:spacing w:line="240" w:lineRule="atLeast"/>
        <w:ind w:firstLine="2088" w:firstLineChars="400"/>
        <w:jc w:val="both"/>
        <w:rPr>
          <w:rStyle w:val="26"/>
          <w:rFonts w:hint="eastAsia" w:asciiTheme="minorEastAsia" w:hAnsiTheme="minorEastAsia" w:eastAsiaTheme="minorEastAsia" w:cstheme="minorEastAsia"/>
          <w:b/>
          <w:color w:val="auto"/>
          <w:sz w:val="52"/>
          <w:szCs w:val="52"/>
          <w:lang w:eastAsia="zh-CN"/>
        </w:rPr>
      </w:pPr>
      <w:r>
        <w:rPr>
          <w:rStyle w:val="26"/>
          <w:rFonts w:hint="eastAsia" w:asciiTheme="minorEastAsia" w:hAnsiTheme="minorEastAsia" w:eastAsiaTheme="minorEastAsia" w:cstheme="minorEastAsia"/>
          <w:b/>
          <w:color w:val="auto"/>
          <w:sz w:val="52"/>
          <w:szCs w:val="52"/>
          <w:lang w:eastAsia="zh-CN"/>
        </w:rPr>
        <w:t>政府采购公开招标文件</w:t>
      </w:r>
    </w:p>
    <w:p w14:paraId="32008A43">
      <w:pPr>
        <w:spacing w:line="240" w:lineRule="atLeast"/>
        <w:ind w:left="1080" w:leftChars="257" w:hanging="540"/>
        <w:jc w:val="center"/>
        <w:rPr>
          <w:rStyle w:val="26"/>
          <w:rFonts w:hint="eastAsia" w:asciiTheme="minorEastAsia" w:hAnsiTheme="minorEastAsia" w:eastAsiaTheme="minorEastAsia" w:cstheme="minorEastAsia"/>
          <w:b/>
          <w:color w:val="auto"/>
          <w:sz w:val="32"/>
          <w:szCs w:val="32"/>
          <w:lang w:eastAsia="zh-CN"/>
        </w:rPr>
      </w:pPr>
    </w:p>
    <w:p w14:paraId="027BB3D0">
      <w:pPr>
        <w:pStyle w:val="8"/>
        <w:tabs>
          <w:tab w:val="left" w:pos="567"/>
        </w:tabs>
        <w:rPr>
          <w:rFonts w:hint="eastAsia" w:asciiTheme="minorEastAsia" w:hAnsiTheme="minorEastAsia" w:eastAsiaTheme="minorEastAsia" w:cstheme="minorEastAsia"/>
          <w:color w:val="auto"/>
          <w:lang w:eastAsia="zh-CN"/>
        </w:rPr>
      </w:pPr>
    </w:p>
    <w:p w14:paraId="3CFA24F1">
      <w:pPr>
        <w:spacing w:line="240" w:lineRule="atLeast"/>
        <w:rPr>
          <w:rStyle w:val="26"/>
          <w:rFonts w:hint="eastAsia" w:asciiTheme="minorEastAsia" w:hAnsiTheme="minorEastAsia" w:eastAsiaTheme="minorEastAsia" w:cstheme="minorEastAsia"/>
          <w:b/>
          <w:color w:val="auto"/>
          <w:sz w:val="28"/>
          <w:lang w:eastAsia="zh-CN"/>
        </w:rPr>
      </w:pPr>
    </w:p>
    <w:p w14:paraId="66AF5CD6">
      <w:pPr>
        <w:spacing w:line="240" w:lineRule="atLeast"/>
        <w:ind w:left="1080" w:leftChars="257" w:hanging="540"/>
        <w:jc w:val="center"/>
        <w:rPr>
          <w:rStyle w:val="26"/>
          <w:rFonts w:hint="eastAsia" w:asciiTheme="minorEastAsia" w:hAnsiTheme="minorEastAsia" w:eastAsiaTheme="minorEastAsia" w:cstheme="minorEastAsia"/>
          <w:b/>
          <w:color w:val="auto"/>
          <w:sz w:val="48"/>
          <w:szCs w:val="48"/>
          <w:lang w:eastAsia="zh-CN"/>
        </w:rPr>
      </w:pPr>
    </w:p>
    <w:p w14:paraId="54FE65F3">
      <w:pPr>
        <w:spacing w:line="240" w:lineRule="atLeast"/>
        <w:ind w:left="1080" w:leftChars="257" w:hanging="540"/>
        <w:jc w:val="center"/>
        <w:rPr>
          <w:rStyle w:val="26"/>
          <w:rFonts w:hint="eastAsia" w:asciiTheme="minorEastAsia" w:hAnsiTheme="minorEastAsia" w:eastAsiaTheme="minorEastAsia" w:cstheme="minorEastAsia"/>
          <w:b/>
          <w:color w:val="auto"/>
          <w:sz w:val="48"/>
          <w:szCs w:val="48"/>
          <w:lang w:eastAsia="zh-CN"/>
        </w:rPr>
      </w:pPr>
    </w:p>
    <w:p w14:paraId="5CD82026">
      <w:pPr>
        <w:spacing w:line="240" w:lineRule="atLeast"/>
        <w:ind w:left="1080" w:leftChars="257" w:hanging="540"/>
        <w:jc w:val="center"/>
        <w:rPr>
          <w:rStyle w:val="26"/>
          <w:rFonts w:hint="eastAsia" w:asciiTheme="minorEastAsia" w:hAnsiTheme="minorEastAsia" w:eastAsiaTheme="minorEastAsia" w:cstheme="minorEastAsia"/>
          <w:b/>
          <w:color w:val="auto"/>
          <w:sz w:val="48"/>
          <w:szCs w:val="48"/>
          <w:lang w:eastAsia="zh-CN"/>
        </w:rPr>
      </w:pPr>
    </w:p>
    <w:p w14:paraId="2D95CE82">
      <w:pPr>
        <w:spacing w:line="240" w:lineRule="atLeast"/>
        <w:ind w:left="1080" w:leftChars="257" w:hanging="540"/>
        <w:jc w:val="center"/>
        <w:rPr>
          <w:rStyle w:val="26"/>
          <w:rFonts w:hint="eastAsia" w:asciiTheme="minorEastAsia" w:hAnsiTheme="minorEastAsia" w:eastAsiaTheme="minorEastAsia" w:cstheme="minorEastAsia"/>
          <w:b/>
          <w:color w:val="auto"/>
          <w:sz w:val="48"/>
          <w:szCs w:val="48"/>
          <w:lang w:eastAsia="zh-CN"/>
        </w:rPr>
      </w:pPr>
    </w:p>
    <w:p w14:paraId="50E344AE">
      <w:pPr>
        <w:spacing w:line="240" w:lineRule="atLeast"/>
        <w:ind w:left="1080" w:leftChars="257" w:hanging="540"/>
        <w:jc w:val="center"/>
        <w:rPr>
          <w:rStyle w:val="26"/>
          <w:rFonts w:hint="eastAsia" w:asciiTheme="minorEastAsia" w:hAnsiTheme="minorEastAsia" w:eastAsiaTheme="minorEastAsia" w:cstheme="minorEastAsia"/>
          <w:b/>
          <w:color w:val="auto"/>
          <w:sz w:val="48"/>
          <w:szCs w:val="48"/>
          <w:lang w:eastAsia="zh-CN"/>
        </w:rPr>
      </w:pPr>
    </w:p>
    <w:p w14:paraId="2CF8B4EF">
      <w:pPr>
        <w:spacing w:line="240" w:lineRule="atLeast"/>
        <w:ind w:left="1080" w:leftChars="257" w:hanging="540"/>
        <w:jc w:val="center"/>
        <w:rPr>
          <w:rStyle w:val="26"/>
          <w:rFonts w:hint="eastAsia" w:asciiTheme="minorEastAsia" w:hAnsiTheme="minorEastAsia" w:eastAsiaTheme="minorEastAsia" w:cstheme="minorEastAsia"/>
          <w:b/>
          <w:color w:val="auto"/>
          <w:sz w:val="48"/>
          <w:szCs w:val="48"/>
          <w:lang w:eastAsia="zh-CN"/>
        </w:rPr>
      </w:pPr>
      <w:r>
        <w:rPr>
          <w:rStyle w:val="26"/>
          <w:rFonts w:hint="eastAsia" w:asciiTheme="minorEastAsia" w:hAnsiTheme="minorEastAsia" w:eastAsiaTheme="minorEastAsia" w:cstheme="minorEastAsia"/>
          <w:b/>
          <w:color w:val="auto"/>
          <w:sz w:val="48"/>
          <w:szCs w:val="48"/>
          <w:lang w:eastAsia="zh-CN"/>
        </w:rPr>
        <w:t>第三册</w:t>
      </w:r>
    </w:p>
    <w:p w14:paraId="6E0A2E21">
      <w:pPr>
        <w:spacing w:line="240" w:lineRule="atLeast"/>
        <w:ind w:left="1080" w:leftChars="257" w:hanging="540"/>
        <w:jc w:val="center"/>
        <w:rPr>
          <w:rStyle w:val="26"/>
          <w:rFonts w:hint="eastAsia" w:asciiTheme="minorEastAsia" w:hAnsiTheme="minorEastAsia" w:eastAsiaTheme="minorEastAsia" w:cstheme="minorEastAsia"/>
          <w:b/>
          <w:color w:val="auto"/>
          <w:sz w:val="52"/>
          <w:lang w:eastAsia="zh-CN"/>
        </w:rPr>
      </w:pPr>
    </w:p>
    <w:p w14:paraId="199C2B7F">
      <w:pPr>
        <w:pStyle w:val="27"/>
        <w:rPr>
          <w:rStyle w:val="26"/>
          <w:rFonts w:hint="eastAsia" w:asciiTheme="minorEastAsia" w:hAnsiTheme="minorEastAsia" w:eastAsiaTheme="minorEastAsia" w:cstheme="minorEastAsia"/>
          <w:b/>
          <w:color w:val="auto"/>
          <w:sz w:val="52"/>
          <w:lang w:eastAsia="zh-CN"/>
        </w:rPr>
      </w:pPr>
    </w:p>
    <w:p w14:paraId="21F193A7">
      <w:pPr>
        <w:pStyle w:val="27"/>
        <w:rPr>
          <w:rStyle w:val="26"/>
          <w:rFonts w:hint="eastAsia" w:asciiTheme="minorEastAsia" w:hAnsiTheme="minorEastAsia" w:eastAsiaTheme="minorEastAsia" w:cstheme="minorEastAsia"/>
          <w:b/>
          <w:color w:val="auto"/>
          <w:sz w:val="52"/>
          <w:lang w:eastAsia="zh-CN"/>
        </w:rPr>
      </w:pPr>
    </w:p>
    <w:p w14:paraId="22031993">
      <w:pPr>
        <w:pStyle w:val="27"/>
        <w:rPr>
          <w:rStyle w:val="26"/>
          <w:rFonts w:hint="eastAsia" w:asciiTheme="minorEastAsia" w:hAnsiTheme="minorEastAsia" w:eastAsiaTheme="minorEastAsia" w:cstheme="minorEastAsia"/>
          <w:b/>
          <w:color w:val="auto"/>
          <w:sz w:val="52"/>
          <w:lang w:eastAsia="zh-CN"/>
        </w:rPr>
      </w:pPr>
    </w:p>
    <w:p w14:paraId="7AEFF9C0">
      <w:pPr>
        <w:pStyle w:val="27"/>
        <w:rPr>
          <w:rStyle w:val="26"/>
          <w:rFonts w:hint="eastAsia" w:asciiTheme="minorEastAsia" w:hAnsiTheme="minorEastAsia" w:eastAsiaTheme="minorEastAsia" w:cstheme="minorEastAsia"/>
          <w:b/>
          <w:color w:val="auto"/>
          <w:sz w:val="52"/>
          <w:lang w:eastAsia="zh-CN"/>
        </w:rPr>
      </w:pPr>
    </w:p>
    <w:p w14:paraId="313F2CFB">
      <w:pPr>
        <w:pStyle w:val="27"/>
        <w:rPr>
          <w:rStyle w:val="26"/>
          <w:rFonts w:hint="eastAsia" w:asciiTheme="minorEastAsia" w:hAnsiTheme="minorEastAsia" w:eastAsiaTheme="minorEastAsia" w:cstheme="minorEastAsia"/>
          <w:b/>
          <w:color w:val="auto"/>
          <w:sz w:val="52"/>
          <w:lang w:eastAsia="zh-CN"/>
        </w:rPr>
      </w:pPr>
    </w:p>
    <w:p w14:paraId="5AAD2847">
      <w:pPr>
        <w:pStyle w:val="27"/>
        <w:rPr>
          <w:rStyle w:val="26"/>
          <w:rFonts w:hint="eastAsia" w:asciiTheme="minorEastAsia" w:hAnsiTheme="minorEastAsia" w:eastAsiaTheme="minorEastAsia" w:cstheme="minorEastAsia"/>
          <w:b/>
          <w:color w:val="auto"/>
          <w:sz w:val="52"/>
          <w:lang w:eastAsia="zh-CN"/>
        </w:rPr>
      </w:pPr>
    </w:p>
    <w:p w14:paraId="0EF415D0">
      <w:pPr>
        <w:rPr>
          <w:rFonts w:hint="eastAsia" w:asciiTheme="minorEastAsia" w:hAnsiTheme="minorEastAsia" w:eastAsiaTheme="minorEastAsia" w:cstheme="minorEastAsia"/>
          <w:color w:val="auto"/>
          <w:sz w:val="44"/>
          <w:szCs w:val="44"/>
          <w:lang w:eastAsia="zh-CN"/>
        </w:rPr>
      </w:pPr>
      <w:bookmarkStart w:id="919" w:name="_Toc3397"/>
      <w:r>
        <w:rPr>
          <w:rFonts w:hint="eastAsia" w:asciiTheme="minorEastAsia" w:hAnsiTheme="minorEastAsia" w:eastAsiaTheme="minorEastAsia" w:cstheme="minorEastAsia"/>
          <w:color w:val="auto"/>
          <w:sz w:val="44"/>
          <w:szCs w:val="44"/>
          <w:lang w:eastAsia="zh-CN"/>
        </w:rPr>
        <w:br w:type="page"/>
      </w:r>
    </w:p>
    <w:p w14:paraId="0A73738A">
      <w:pPr>
        <w:rPr>
          <w:rFonts w:hint="eastAsia" w:asciiTheme="minorEastAsia" w:hAnsiTheme="minorEastAsia" w:eastAsiaTheme="minorEastAsia" w:cstheme="minorEastAsia"/>
          <w:color w:val="auto"/>
          <w:lang w:eastAsia="zh-CN"/>
        </w:rPr>
      </w:pPr>
    </w:p>
    <w:p w14:paraId="1B87651B">
      <w:pPr>
        <w:pStyle w:val="2"/>
        <w:tabs>
          <w:tab w:val="left" w:pos="0"/>
        </w:tabs>
        <w:kinsoku/>
        <w:spacing w:before="0" w:after="0" w:line="240" w:lineRule="atLeast"/>
        <w:rPr>
          <w:rFonts w:hint="eastAsia" w:asciiTheme="minorEastAsia" w:hAnsiTheme="minorEastAsia" w:eastAsiaTheme="minorEastAsia" w:cstheme="minorEastAsia"/>
          <w:color w:val="auto"/>
          <w:sz w:val="44"/>
          <w:szCs w:val="44"/>
          <w:lang w:eastAsia="zh-CN"/>
        </w:rPr>
      </w:pPr>
      <w:r>
        <w:rPr>
          <w:rFonts w:hint="eastAsia" w:asciiTheme="minorEastAsia" w:hAnsiTheme="minorEastAsia" w:eastAsiaTheme="minorEastAsia" w:cstheme="minorEastAsia"/>
          <w:color w:val="auto"/>
          <w:sz w:val="44"/>
          <w:szCs w:val="44"/>
          <w:lang w:eastAsia="zh-CN"/>
        </w:rPr>
        <w:t>第七章  政府采购合同</w:t>
      </w:r>
      <w:bookmarkEnd w:id="919"/>
    </w:p>
    <w:p w14:paraId="403B6280">
      <w:pPr>
        <w:spacing w:line="240" w:lineRule="atLeast"/>
        <w:rPr>
          <w:rStyle w:val="26"/>
          <w:rFonts w:hint="eastAsia" w:asciiTheme="minorEastAsia" w:hAnsiTheme="minorEastAsia" w:eastAsiaTheme="minorEastAsia" w:cstheme="minorEastAsia"/>
          <w:b/>
          <w:color w:val="auto"/>
          <w:kern w:val="44"/>
          <w:sz w:val="32"/>
          <w:szCs w:val="20"/>
          <w:lang w:eastAsia="zh-CN"/>
        </w:rPr>
      </w:pPr>
    </w:p>
    <w:p w14:paraId="3069A164">
      <w:pPr>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合同编号：</w:t>
      </w:r>
    </w:p>
    <w:p w14:paraId="1305242C">
      <w:pPr>
        <w:spacing w:line="480" w:lineRule="auto"/>
        <w:jc w:val="center"/>
        <w:rPr>
          <w:rStyle w:val="26"/>
          <w:rFonts w:hint="eastAsia" w:asciiTheme="minorEastAsia" w:hAnsiTheme="minorEastAsia" w:eastAsiaTheme="minorEastAsia" w:cstheme="minorEastAsia"/>
          <w:b/>
          <w:color w:val="auto"/>
          <w:sz w:val="28"/>
          <w:szCs w:val="28"/>
          <w:lang w:eastAsia="zh-CN"/>
        </w:rPr>
      </w:pPr>
    </w:p>
    <w:p w14:paraId="65C8BE5A">
      <w:pPr>
        <w:spacing w:line="480" w:lineRule="auto"/>
        <w:jc w:val="center"/>
        <w:rPr>
          <w:rStyle w:val="26"/>
          <w:rFonts w:hint="eastAsia" w:asciiTheme="minorEastAsia" w:hAnsiTheme="minorEastAsia" w:eastAsiaTheme="minorEastAsia" w:cstheme="minorEastAsia"/>
          <w:b/>
          <w:color w:val="auto"/>
          <w:sz w:val="44"/>
          <w:szCs w:val="44"/>
          <w:lang w:eastAsia="zh-CN"/>
        </w:rPr>
      </w:pPr>
    </w:p>
    <w:p w14:paraId="77913353">
      <w:pPr>
        <w:spacing w:line="480" w:lineRule="auto"/>
        <w:jc w:val="center"/>
        <w:rPr>
          <w:rStyle w:val="26"/>
          <w:rFonts w:hint="eastAsia" w:asciiTheme="minorEastAsia" w:hAnsiTheme="minorEastAsia" w:eastAsiaTheme="minorEastAsia" w:cstheme="minorEastAsia"/>
          <w:b/>
          <w:color w:val="auto"/>
          <w:sz w:val="44"/>
          <w:szCs w:val="44"/>
          <w:lang w:eastAsia="zh-CN"/>
        </w:rPr>
      </w:pPr>
      <w:r>
        <w:rPr>
          <w:rStyle w:val="26"/>
          <w:rFonts w:hint="eastAsia" w:asciiTheme="minorEastAsia" w:hAnsiTheme="minorEastAsia" w:eastAsiaTheme="minorEastAsia" w:cstheme="minorEastAsia"/>
          <w:b/>
          <w:color w:val="auto"/>
          <w:sz w:val="44"/>
          <w:szCs w:val="44"/>
          <w:lang w:eastAsia="zh-CN"/>
        </w:rPr>
        <w:t>政府采购合同草案</w:t>
      </w:r>
    </w:p>
    <w:p w14:paraId="2DB72DA8">
      <w:pPr>
        <w:spacing w:line="480" w:lineRule="auto"/>
        <w:jc w:val="center"/>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（货物类）</w:t>
      </w:r>
    </w:p>
    <w:p w14:paraId="73731DFA">
      <w:pPr>
        <w:pStyle w:val="37"/>
        <w:ind w:firstLine="0"/>
        <w:rPr>
          <w:rStyle w:val="26"/>
          <w:rFonts w:hint="eastAsia" w:asciiTheme="minorEastAsia" w:hAnsiTheme="minorEastAsia" w:eastAsiaTheme="minorEastAsia" w:cstheme="minorEastAsia"/>
          <w:color w:val="auto"/>
          <w:szCs w:val="24"/>
          <w:lang w:eastAsia="zh-CN"/>
        </w:rPr>
      </w:pPr>
    </w:p>
    <w:p w14:paraId="3B7D2A02">
      <w:pPr>
        <w:pStyle w:val="37"/>
        <w:ind w:firstLine="0"/>
        <w:rPr>
          <w:rStyle w:val="26"/>
          <w:rFonts w:hint="eastAsia" w:asciiTheme="minorEastAsia" w:hAnsiTheme="minorEastAsia" w:eastAsiaTheme="minorEastAsia" w:cstheme="minorEastAsia"/>
          <w:color w:val="auto"/>
          <w:szCs w:val="24"/>
          <w:lang w:eastAsia="zh-CN"/>
        </w:rPr>
      </w:pPr>
    </w:p>
    <w:p w14:paraId="44E5A3E0">
      <w:pPr>
        <w:pStyle w:val="37"/>
        <w:ind w:firstLine="0"/>
        <w:rPr>
          <w:rStyle w:val="26"/>
          <w:rFonts w:hint="eastAsia" w:asciiTheme="minorEastAsia" w:hAnsiTheme="minorEastAsia" w:eastAsiaTheme="minorEastAsia" w:cstheme="minorEastAsia"/>
          <w:color w:val="auto"/>
          <w:szCs w:val="24"/>
          <w:lang w:eastAsia="zh-CN"/>
        </w:rPr>
      </w:pPr>
    </w:p>
    <w:p w14:paraId="454AEE75">
      <w:pPr>
        <w:pStyle w:val="37"/>
        <w:ind w:firstLine="0"/>
        <w:jc w:val="center"/>
        <w:rPr>
          <w:rStyle w:val="26"/>
          <w:rFonts w:hint="eastAsia" w:asciiTheme="minorEastAsia" w:hAnsiTheme="minorEastAsia" w:eastAsiaTheme="minorEastAsia" w:cstheme="minorEastAsia"/>
          <w:b/>
          <w:color w:val="auto"/>
          <w:szCs w:val="24"/>
          <w:lang w:eastAsia="zh-CN"/>
        </w:rPr>
      </w:pPr>
      <w:r>
        <w:rPr>
          <w:rStyle w:val="26"/>
          <w:rFonts w:hint="eastAsia" w:asciiTheme="minorEastAsia" w:hAnsiTheme="minorEastAsia" w:eastAsiaTheme="minorEastAsia" w:cstheme="minorEastAsia"/>
          <w:b/>
          <w:color w:val="auto"/>
          <w:szCs w:val="24"/>
          <w:lang w:eastAsia="zh-CN"/>
        </w:rPr>
        <w:t>第一部分 合同书</w:t>
      </w:r>
    </w:p>
    <w:p w14:paraId="4AB77C7B">
      <w:pPr>
        <w:pStyle w:val="37"/>
        <w:ind w:firstLine="0"/>
        <w:rPr>
          <w:rStyle w:val="26"/>
          <w:rFonts w:hint="eastAsia" w:asciiTheme="minorEastAsia" w:hAnsiTheme="minorEastAsia" w:eastAsiaTheme="minorEastAsia" w:cstheme="minorEastAsia"/>
          <w:color w:val="auto"/>
          <w:szCs w:val="24"/>
          <w:lang w:eastAsia="zh-CN"/>
        </w:rPr>
      </w:pPr>
    </w:p>
    <w:p w14:paraId="7D72952A">
      <w:pPr>
        <w:pStyle w:val="37"/>
        <w:ind w:firstLine="0"/>
        <w:rPr>
          <w:rStyle w:val="26"/>
          <w:rFonts w:hint="eastAsia" w:asciiTheme="minorEastAsia" w:hAnsiTheme="minorEastAsia" w:eastAsiaTheme="minorEastAsia" w:cstheme="minorEastAsia"/>
          <w:color w:val="auto"/>
          <w:szCs w:val="24"/>
          <w:lang w:eastAsia="zh-CN"/>
        </w:rPr>
      </w:pPr>
    </w:p>
    <w:p w14:paraId="41AC22FE">
      <w:pPr>
        <w:spacing w:before="120" w:line="240" w:lineRule="atLeast"/>
        <w:rPr>
          <w:rStyle w:val="26"/>
          <w:rFonts w:hint="eastAsia" w:asciiTheme="minorEastAsia" w:hAnsiTheme="minorEastAsia" w:eastAsiaTheme="minorEastAsia" w:cstheme="minorEastAsia"/>
          <w:color w:val="auto"/>
          <w:sz w:val="24"/>
          <w:lang w:eastAsia="zh-CN"/>
        </w:rPr>
      </w:pPr>
    </w:p>
    <w:p w14:paraId="40D3384C">
      <w:pPr>
        <w:spacing w:before="120" w:line="240" w:lineRule="atLeast"/>
        <w:ind w:left="960"/>
        <w:rPr>
          <w:rStyle w:val="26"/>
          <w:rFonts w:hint="eastAsia" w:asciiTheme="minorEastAsia" w:hAnsiTheme="minorEastAsia" w:eastAsiaTheme="minorEastAsia" w:cstheme="minorEastAsia"/>
          <w:color w:val="auto"/>
          <w:sz w:val="24"/>
          <w:lang w:eastAsia="zh-CN"/>
        </w:rPr>
      </w:pPr>
    </w:p>
    <w:p w14:paraId="79B613A7">
      <w:pPr>
        <w:spacing w:before="120" w:line="240" w:lineRule="atLeast"/>
        <w:ind w:left="960"/>
        <w:rPr>
          <w:rStyle w:val="26"/>
          <w:rFonts w:hint="eastAsia" w:asciiTheme="minorEastAsia" w:hAnsiTheme="minorEastAsia" w:eastAsiaTheme="minorEastAsia" w:cstheme="minorEastAsia"/>
          <w:color w:val="auto"/>
          <w:sz w:val="24"/>
          <w:lang w:eastAsia="zh-CN"/>
        </w:rPr>
      </w:pPr>
    </w:p>
    <w:p w14:paraId="016FA0D5">
      <w:pPr>
        <w:spacing w:before="120" w:line="240" w:lineRule="atLeast"/>
        <w:ind w:left="960"/>
        <w:rPr>
          <w:rStyle w:val="26"/>
          <w:rFonts w:hint="eastAsia" w:asciiTheme="minorEastAsia" w:hAnsiTheme="minorEastAsia" w:eastAsiaTheme="minorEastAsia" w:cstheme="minorEastAsia"/>
          <w:color w:val="auto"/>
          <w:sz w:val="24"/>
          <w:lang w:eastAsia="zh-CN"/>
        </w:rPr>
      </w:pPr>
    </w:p>
    <w:p w14:paraId="037BAC95">
      <w:pPr>
        <w:spacing w:before="120" w:line="240" w:lineRule="atLeast"/>
        <w:ind w:left="96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项目名称：</w:t>
      </w:r>
    </w:p>
    <w:p w14:paraId="0880A444">
      <w:pPr>
        <w:pStyle w:val="38"/>
        <w:spacing w:before="120" w:line="240" w:lineRule="atLeast"/>
        <w:rPr>
          <w:rStyle w:val="26"/>
          <w:rFonts w:hint="eastAsia" w:asciiTheme="minorEastAsia" w:hAnsiTheme="minorEastAsia" w:eastAsiaTheme="minorEastAsia" w:cstheme="minorEastAsia"/>
          <w:color w:val="auto"/>
          <w:szCs w:val="24"/>
          <w:lang w:eastAsia="zh-CN"/>
        </w:rPr>
      </w:pPr>
    </w:p>
    <w:p w14:paraId="2EBE4EAC">
      <w:pPr>
        <w:pStyle w:val="38"/>
        <w:spacing w:before="120" w:line="240" w:lineRule="atLeast"/>
        <w:rPr>
          <w:rStyle w:val="26"/>
          <w:rFonts w:hint="eastAsia" w:asciiTheme="minorEastAsia" w:hAnsiTheme="minorEastAsia" w:eastAsiaTheme="minorEastAsia" w:cstheme="minorEastAsia"/>
          <w:color w:val="auto"/>
          <w:szCs w:val="24"/>
          <w:lang w:eastAsia="zh-CN"/>
        </w:rPr>
      </w:pPr>
    </w:p>
    <w:p w14:paraId="0E798AE8">
      <w:pPr>
        <w:rPr>
          <w:rStyle w:val="26"/>
          <w:rFonts w:hint="eastAsia" w:asciiTheme="minorEastAsia" w:hAnsiTheme="minorEastAsia" w:eastAsiaTheme="minorEastAsia" w:cstheme="minorEastAsia"/>
          <w:color w:val="auto"/>
          <w:lang w:eastAsia="zh-CN"/>
        </w:rPr>
      </w:pPr>
    </w:p>
    <w:p w14:paraId="490E5BB8">
      <w:pPr>
        <w:spacing w:before="120" w:line="240" w:lineRule="atLeast"/>
        <w:ind w:left="960"/>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甲方：</w:t>
      </w:r>
    </w:p>
    <w:p w14:paraId="74DB2C7D">
      <w:pPr>
        <w:spacing w:before="120" w:line="240" w:lineRule="atLeast"/>
        <w:rPr>
          <w:rStyle w:val="26"/>
          <w:rFonts w:hint="eastAsia" w:asciiTheme="minorEastAsia" w:hAnsiTheme="minorEastAsia" w:eastAsiaTheme="minorEastAsia" w:cstheme="minorEastAsia"/>
          <w:color w:val="auto"/>
          <w:sz w:val="24"/>
          <w:lang w:eastAsia="zh-CN"/>
        </w:rPr>
      </w:pPr>
    </w:p>
    <w:p w14:paraId="383B6570">
      <w:pPr>
        <w:spacing w:before="120" w:line="240" w:lineRule="atLeast"/>
        <w:ind w:left="960"/>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乙方：</w:t>
      </w:r>
    </w:p>
    <w:p w14:paraId="7DCD198A">
      <w:pPr>
        <w:spacing w:before="120" w:line="240" w:lineRule="atLeast"/>
        <w:rPr>
          <w:rStyle w:val="26"/>
          <w:rFonts w:hint="eastAsia" w:asciiTheme="minorEastAsia" w:hAnsiTheme="minorEastAsia" w:eastAsiaTheme="minorEastAsia" w:cstheme="minorEastAsia"/>
          <w:color w:val="auto"/>
          <w:sz w:val="24"/>
          <w:lang w:eastAsia="zh-CN"/>
        </w:rPr>
      </w:pPr>
    </w:p>
    <w:p w14:paraId="244AA1AD">
      <w:pPr>
        <w:spacing w:before="120" w:line="240" w:lineRule="atLeast"/>
        <w:ind w:firstLine="960" w:firstLineChars="400"/>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签订地：</w:t>
      </w:r>
    </w:p>
    <w:p w14:paraId="7DC02F6B">
      <w:pPr>
        <w:spacing w:before="120" w:line="240" w:lineRule="atLeast"/>
        <w:rPr>
          <w:rStyle w:val="26"/>
          <w:rFonts w:hint="eastAsia" w:asciiTheme="minorEastAsia" w:hAnsiTheme="minorEastAsia" w:eastAsiaTheme="minorEastAsia" w:cstheme="minorEastAsia"/>
          <w:color w:val="auto"/>
          <w:sz w:val="24"/>
          <w:lang w:eastAsia="zh-CN"/>
        </w:rPr>
      </w:pPr>
    </w:p>
    <w:p w14:paraId="6D543F80">
      <w:pPr>
        <w:spacing w:before="120" w:line="240" w:lineRule="atLeast"/>
        <w:ind w:firstLine="960" w:firstLineChars="400"/>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签订日期：年月日</w:t>
      </w:r>
    </w:p>
    <w:p w14:paraId="37184FC2">
      <w:pPr>
        <w:spacing w:line="600" w:lineRule="exact"/>
        <w:ind w:firstLine="640"/>
        <w:jc w:val="center"/>
        <w:rPr>
          <w:rStyle w:val="26"/>
          <w:rFonts w:hint="eastAsia" w:asciiTheme="minorEastAsia" w:hAnsiTheme="minorEastAsia" w:eastAsiaTheme="minorEastAsia" w:cstheme="minorEastAsia"/>
          <w:color w:val="auto"/>
          <w:sz w:val="24"/>
          <w:lang w:eastAsia="zh-CN"/>
        </w:rPr>
        <w:sectPr>
          <w:headerReference r:id="rId17" w:type="default"/>
          <w:footerReference r:id="rId18" w:type="default"/>
          <w:pgSz w:w="11907" w:h="16840"/>
          <w:pgMar w:top="1247" w:right="1814" w:bottom="1247" w:left="1814" w:header="851" w:footer="850" w:gutter="0"/>
          <w:cols w:space="0" w:num="1"/>
          <w:docGrid w:linePitch="462" w:charSpace="0"/>
        </w:sectPr>
      </w:pPr>
    </w:p>
    <w:p w14:paraId="5A8FA17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center"/>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val="zh-CN" w:eastAsia="zh-CN"/>
        </w:rPr>
        <w:t>年</w:t>
      </w:r>
      <w:r>
        <w:rPr>
          <w:rStyle w:val="26"/>
          <w:rFonts w:hint="eastAsia" w:asciiTheme="minorEastAsia" w:hAnsiTheme="minorEastAsia" w:eastAsiaTheme="minorEastAsia" w:cstheme="minorEastAsia"/>
          <w:color w:val="auto"/>
          <w:sz w:val="24"/>
          <w:lang w:val="en-US" w:eastAsia="zh-CN"/>
        </w:rPr>
        <w:t xml:space="preserve"> </w:t>
      </w:r>
      <w:r>
        <w:rPr>
          <w:rStyle w:val="26"/>
          <w:rFonts w:hint="eastAsia" w:asciiTheme="minorEastAsia" w:hAnsiTheme="minorEastAsia" w:eastAsiaTheme="minorEastAsia" w:cstheme="minorEastAsia"/>
          <w:color w:val="auto"/>
          <w:sz w:val="24"/>
          <w:lang w:val="zh-CN" w:eastAsia="zh-CN"/>
        </w:rPr>
        <w:t>月</w:t>
      </w:r>
      <w:r>
        <w:rPr>
          <w:rStyle w:val="26"/>
          <w:rFonts w:hint="eastAsia" w:asciiTheme="minorEastAsia" w:hAnsiTheme="minorEastAsia" w:eastAsiaTheme="minorEastAsia" w:cstheme="minorEastAsia"/>
          <w:color w:val="auto"/>
          <w:sz w:val="24"/>
          <w:lang w:val="en-US" w:eastAsia="zh-CN"/>
        </w:rPr>
        <w:t xml:space="preserve"> </w:t>
      </w:r>
      <w:r>
        <w:rPr>
          <w:rStyle w:val="26"/>
          <w:rFonts w:hint="eastAsia" w:asciiTheme="minorEastAsia" w:hAnsiTheme="minorEastAsia" w:eastAsiaTheme="minorEastAsia" w:cstheme="minorEastAsia"/>
          <w:color w:val="auto"/>
          <w:sz w:val="24"/>
          <w:lang w:val="zh-CN" w:eastAsia="zh-CN"/>
        </w:rPr>
        <w:t>日</w:t>
      </w:r>
      <w:r>
        <w:rPr>
          <w:rStyle w:val="26"/>
          <w:rFonts w:hint="eastAsia" w:asciiTheme="minorEastAsia" w:hAnsiTheme="minorEastAsia" w:eastAsiaTheme="minorEastAsia" w:cstheme="minorEastAsia"/>
          <w:color w:val="auto"/>
          <w:sz w:val="24"/>
          <w:lang w:eastAsia="zh-CN"/>
        </w:rPr>
        <w:t>，</w:t>
      </w:r>
      <w:r>
        <w:rPr>
          <w:rStyle w:val="26"/>
          <w:rFonts w:hint="eastAsia" w:asciiTheme="minorEastAsia" w:hAnsiTheme="minorEastAsia" w:eastAsiaTheme="minorEastAsia" w:cstheme="minorEastAsia"/>
          <w:color w:val="auto"/>
          <w:sz w:val="24"/>
          <w:u w:val="single" w:color="000000"/>
          <w:lang w:eastAsia="zh-CN"/>
        </w:rPr>
        <w:t xml:space="preserve">   （采购人名称）   </w:t>
      </w:r>
      <w:r>
        <w:rPr>
          <w:rStyle w:val="26"/>
          <w:rFonts w:hint="eastAsia" w:asciiTheme="minorEastAsia" w:hAnsiTheme="minorEastAsia" w:eastAsiaTheme="minorEastAsia" w:cstheme="minorEastAsia"/>
          <w:color w:val="auto"/>
          <w:sz w:val="24"/>
          <w:lang w:eastAsia="zh-CN"/>
        </w:rPr>
        <w:t>以</w:t>
      </w:r>
      <w:r>
        <w:rPr>
          <w:rStyle w:val="26"/>
          <w:rFonts w:hint="eastAsia" w:asciiTheme="minorEastAsia" w:hAnsiTheme="minorEastAsia" w:eastAsiaTheme="minorEastAsia" w:cstheme="minorEastAsia"/>
          <w:color w:val="auto"/>
          <w:sz w:val="24"/>
          <w:u w:val="single" w:color="000000"/>
          <w:lang w:eastAsia="zh-CN"/>
        </w:rPr>
        <w:t xml:space="preserve">   （政府采购方式）  </w:t>
      </w:r>
      <w:r>
        <w:rPr>
          <w:rStyle w:val="26"/>
          <w:rFonts w:hint="eastAsia" w:asciiTheme="minorEastAsia" w:hAnsiTheme="minorEastAsia" w:eastAsiaTheme="minorEastAsia" w:cstheme="minorEastAsia"/>
          <w:color w:val="auto"/>
          <w:sz w:val="24"/>
          <w:lang w:eastAsia="zh-CN"/>
        </w:rPr>
        <w:t>对</w:t>
      </w:r>
      <w:r>
        <w:rPr>
          <w:rStyle w:val="26"/>
          <w:rFonts w:hint="eastAsia" w:asciiTheme="minorEastAsia" w:hAnsiTheme="minorEastAsia" w:eastAsiaTheme="minorEastAsia" w:cstheme="minorEastAsia"/>
          <w:color w:val="auto"/>
          <w:sz w:val="24"/>
          <w:u w:val="single" w:color="000000"/>
          <w:lang w:eastAsia="zh-CN"/>
        </w:rPr>
        <w:t xml:space="preserve">   （同前页项目名称）   </w:t>
      </w:r>
      <w:r>
        <w:rPr>
          <w:rStyle w:val="26"/>
          <w:rFonts w:hint="eastAsia" w:asciiTheme="minorEastAsia" w:hAnsiTheme="minorEastAsia" w:eastAsiaTheme="minorEastAsia" w:cstheme="minorEastAsia"/>
          <w:color w:val="auto"/>
          <w:sz w:val="24"/>
          <w:lang w:eastAsia="zh-CN"/>
        </w:rPr>
        <w:t>项目进行了采购。经</w:t>
      </w:r>
      <w:r>
        <w:rPr>
          <w:rStyle w:val="26"/>
          <w:rFonts w:hint="eastAsia" w:asciiTheme="minorEastAsia" w:hAnsiTheme="minorEastAsia" w:eastAsiaTheme="minorEastAsia" w:cstheme="minorEastAsia"/>
          <w:color w:val="auto"/>
          <w:sz w:val="24"/>
          <w:u w:val="single" w:color="000000"/>
          <w:lang w:eastAsia="zh-CN"/>
        </w:rPr>
        <w:t xml:space="preserve">   （相关评定主体名称）   </w:t>
      </w:r>
      <w:r>
        <w:rPr>
          <w:rStyle w:val="26"/>
          <w:rFonts w:hint="eastAsia" w:asciiTheme="minorEastAsia" w:hAnsiTheme="minorEastAsia" w:eastAsiaTheme="minorEastAsia" w:cstheme="minorEastAsia"/>
          <w:color w:val="auto"/>
          <w:sz w:val="24"/>
          <w:lang w:eastAsia="zh-CN"/>
        </w:rPr>
        <w:t>评定，</w:t>
      </w:r>
      <w:r>
        <w:rPr>
          <w:rStyle w:val="26"/>
          <w:rFonts w:hint="eastAsia" w:asciiTheme="minorEastAsia" w:hAnsiTheme="minorEastAsia" w:eastAsiaTheme="minorEastAsia" w:cstheme="minorEastAsia"/>
          <w:color w:val="auto"/>
          <w:sz w:val="24"/>
          <w:u w:val="single" w:color="000000"/>
          <w:lang w:eastAsia="zh-CN"/>
        </w:rPr>
        <w:t xml:space="preserve">   （中标供应商名称）</w:t>
      </w:r>
      <w:r>
        <w:rPr>
          <w:rStyle w:val="26"/>
          <w:rFonts w:hint="eastAsia" w:asciiTheme="minorEastAsia" w:hAnsiTheme="minorEastAsia" w:eastAsiaTheme="minorEastAsia" w:cstheme="minorEastAsia"/>
          <w:color w:val="auto"/>
          <w:sz w:val="24"/>
          <w:lang w:eastAsia="zh-CN"/>
        </w:rPr>
        <w:t>为该项目中标供应商。现于中标通知书发出之日起三十日内，按照采购文件确定的事项签订本合同。</w:t>
      </w:r>
    </w:p>
    <w:p w14:paraId="51E7079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val="zh-CN" w:eastAsia="zh-CN"/>
        </w:rPr>
        <w:t>根据《中华人民共和国合同法》、《中华人民共和国政府采购法》等相关法律法规之规定，按照平等、自愿、公平和诚实信用的原则，经</w:t>
      </w:r>
      <w:r>
        <w:rPr>
          <w:rStyle w:val="26"/>
          <w:rFonts w:hint="eastAsia" w:asciiTheme="minorEastAsia" w:hAnsiTheme="minorEastAsia" w:eastAsiaTheme="minorEastAsia" w:cstheme="minorEastAsia"/>
          <w:color w:val="auto"/>
          <w:sz w:val="24"/>
          <w:u w:val="single" w:color="000000"/>
          <w:lang w:eastAsia="zh-CN"/>
        </w:rPr>
        <w:t xml:space="preserve">   （采购人名称）   </w:t>
      </w:r>
      <w:r>
        <w:rPr>
          <w:rStyle w:val="26"/>
          <w:rFonts w:hint="eastAsia" w:asciiTheme="minorEastAsia" w:hAnsiTheme="minorEastAsia" w:eastAsiaTheme="minorEastAsia" w:cstheme="minorEastAsia"/>
          <w:color w:val="auto"/>
          <w:sz w:val="24"/>
          <w:lang w:val="zh-CN" w:eastAsia="zh-CN"/>
        </w:rPr>
        <w:t>(以下简称：甲方)和</w:t>
      </w:r>
      <w:r>
        <w:rPr>
          <w:rStyle w:val="26"/>
          <w:rFonts w:hint="eastAsia" w:asciiTheme="minorEastAsia" w:hAnsiTheme="minorEastAsia" w:eastAsiaTheme="minorEastAsia" w:cstheme="minorEastAsia"/>
          <w:color w:val="auto"/>
          <w:sz w:val="24"/>
          <w:u w:val="single" w:color="000000"/>
          <w:lang w:eastAsia="zh-CN"/>
        </w:rPr>
        <w:t xml:space="preserve">   （中标供应商名称）   </w:t>
      </w:r>
      <w:r>
        <w:rPr>
          <w:rStyle w:val="26"/>
          <w:rFonts w:hint="eastAsia" w:asciiTheme="minorEastAsia" w:hAnsiTheme="minorEastAsia" w:eastAsiaTheme="minorEastAsia" w:cstheme="minorEastAsia"/>
          <w:color w:val="auto"/>
          <w:sz w:val="24"/>
          <w:lang w:val="zh-CN" w:eastAsia="zh-CN"/>
        </w:rPr>
        <w:t>(以下简称：乙方)协商一致，约定以下合同</w:t>
      </w:r>
      <w:r>
        <w:rPr>
          <w:rStyle w:val="26"/>
          <w:rFonts w:hint="eastAsia" w:asciiTheme="minorEastAsia" w:hAnsiTheme="minorEastAsia" w:eastAsiaTheme="minorEastAsia" w:cstheme="minorEastAsia"/>
          <w:color w:val="auto"/>
          <w:sz w:val="24"/>
          <w:lang w:eastAsia="zh-CN"/>
        </w:rPr>
        <w:t>条款，以兹共同遵守、全面履行。</w:t>
      </w:r>
    </w:p>
    <w:p w14:paraId="13F088B9">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1.1 合同组成部分</w:t>
      </w:r>
    </w:p>
    <w:p w14:paraId="3253D05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C79D67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1.1.1 本合同及其补充合同、变更协议；</w:t>
      </w:r>
    </w:p>
    <w:p w14:paraId="12DC238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1.1.2 中标通知书；</w:t>
      </w:r>
    </w:p>
    <w:p w14:paraId="727898A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1.1.3 投标文件（含澄清或者说明文件）；</w:t>
      </w:r>
    </w:p>
    <w:p w14:paraId="509F6A1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1.1.4 招标文件（含澄清或者修改文件）；</w:t>
      </w:r>
    </w:p>
    <w:p w14:paraId="1F2622C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1.1.5 其他相关采购文件。</w:t>
      </w:r>
    </w:p>
    <w:p w14:paraId="073EFE4C">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1.2 货物</w:t>
      </w:r>
    </w:p>
    <w:p w14:paraId="4B802EC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1.2.1 货物称：；</w:t>
      </w:r>
    </w:p>
    <w:p w14:paraId="3E876B2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1.2.2 货物量：；</w:t>
      </w:r>
    </w:p>
    <w:p w14:paraId="5A0C4E6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1.2.3 货物量：</w:t>
      </w:r>
      <w:r>
        <w:rPr>
          <w:rStyle w:val="26"/>
          <w:rFonts w:hint="eastAsia" w:asciiTheme="minorEastAsia" w:hAnsiTheme="minorEastAsia" w:eastAsiaTheme="minorEastAsia" w:cstheme="minorEastAsia"/>
          <w:color w:val="auto"/>
          <w:sz w:val="24"/>
          <w:u w:val="single" w:color="000000"/>
          <w:lang w:eastAsia="zh-CN"/>
        </w:rPr>
        <w:t xml:space="preserve">　　　　　　　　　                      　      </w:t>
      </w:r>
      <w:r>
        <w:rPr>
          <w:rStyle w:val="26"/>
          <w:rFonts w:hint="eastAsia" w:asciiTheme="minorEastAsia" w:hAnsiTheme="minorEastAsia" w:eastAsiaTheme="minorEastAsia" w:cstheme="minorEastAsia"/>
          <w:color w:val="auto"/>
          <w:sz w:val="24"/>
          <w:lang w:eastAsia="zh-CN"/>
        </w:rPr>
        <w:t>。</w:t>
      </w:r>
    </w:p>
    <w:p w14:paraId="598C003D">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1.3 价款</w:t>
      </w:r>
    </w:p>
    <w:p w14:paraId="0F62568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本合同总价为：￥元（大写：元人民币）。</w:t>
      </w:r>
    </w:p>
    <w:p w14:paraId="0A044BF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u w:val="single"/>
        </w:rPr>
      </w:pPr>
      <w:r>
        <w:rPr>
          <w:rStyle w:val="26"/>
          <w:rFonts w:hint="eastAsia" w:asciiTheme="minorEastAsia" w:hAnsiTheme="minorEastAsia" w:eastAsiaTheme="minorEastAsia" w:cstheme="minorEastAsia"/>
          <w:color w:val="auto"/>
          <w:sz w:val="24"/>
        </w:rPr>
        <w:t>分项价格：</w:t>
      </w:r>
    </w:p>
    <w:tbl>
      <w:tblPr>
        <w:tblStyle w:val="22"/>
        <w:tblW w:w="7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02"/>
        <w:gridCol w:w="2552"/>
      </w:tblGrid>
      <w:tr w14:paraId="09135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1DFCF79">
            <w:pPr>
              <w:pStyle w:val="39"/>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26"/>
                <w:rFonts w:hint="eastAsia" w:asciiTheme="minorEastAsia" w:hAnsiTheme="minorEastAsia" w:eastAsiaTheme="minorEastAsia" w:cstheme="minorEastAsia"/>
                <w:color w:val="auto"/>
                <w:kern w:val="2"/>
                <w:sz w:val="24"/>
                <w:szCs w:val="24"/>
              </w:rPr>
            </w:pPr>
            <w:r>
              <w:rPr>
                <w:rStyle w:val="26"/>
                <w:rFonts w:hint="eastAsia" w:asciiTheme="minorEastAsia" w:hAnsiTheme="minorEastAsia" w:eastAsiaTheme="minorEastAsia" w:cstheme="minorEastAsia"/>
                <w:color w:val="auto"/>
                <w:kern w:val="2"/>
                <w:sz w:val="24"/>
                <w:szCs w:val="24"/>
              </w:rPr>
              <w:t>序号</w:t>
            </w:r>
          </w:p>
        </w:tc>
        <w:tc>
          <w:tcPr>
            <w:tcW w:w="3402" w:type="dxa"/>
            <w:tcBorders>
              <w:top w:val="single" w:color="000000" w:sz="4" w:space="0"/>
              <w:left w:val="single" w:color="000000" w:sz="4" w:space="0"/>
              <w:bottom w:val="single" w:color="000000" w:sz="4" w:space="0"/>
              <w:right w:val="single" w:color="000000" w:sz="4" w:space="0"/>
            </w:tcBorders>
            <w:vAlign w:val="center"/>
          </w:tcPr>
          <w:p w14:paraId="2F3335B0">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00"/>
              <w:jc w:val="center"/>
              <w:textAlignment w:val="baseline"/>
              <w:rPr>
                <w:rStyle w:val="26"/>
                <w:rFonts w:hint="eastAsia" w:asciiTheme="minorEastAsia" w:hAnsiTheme="minorEastAsia" w:eastAsiaTheme="minorEastAsia" w:cstheme="minorEastAsia"/>
                <w:color w:val="auto"/>
                <w:kern w:val="2"/>
                <w:sz w:val="24"/>
                <w:szCs w:val="24"/>
              </w:rPr>
            </w:pPr>
            <w:r>
              <w:rPr>
                <w:rStyle w:val="26"/>
                <w:rFonts w:hint="eastAsia" w:asciiTheme="minorEastAsia" w:hAnsiTheme="minorEastAsia" w:eastAsiaTheme="minorEastAsia" w:cstheme="minorEastAsia"/>
                <w:color w:val="auto"/>
                <w:kern w:val="2"/>
                <w:sz w:val="24"/>
                <w:szCs w:val="24"/>
              </w:rPr>
              <w:t>分项名称</w:t>
            </w:r>
          </w:p>
        </w:tc>
        <w:tc>
          <w:tcPr>
            <w:tcW w:w="2552" w:type="dxa"/>
            <w:tcBorders>
              <w:top w:val="single" w:color="000000" w:sz="4" w:space="0"/>
              <w:left w:val="single" w:color="000000" w:sz="4" w:space="0"/>
              <w:bottom w:val="single" w:color="000000" w:sz="4" w:space="0"/>
              <w:right w:val="single" w:color="000000" w:sz="4" w:space="0"/>
            </w:tcBorders>
            <w:vAlign w:val="center"/>
          </w:tcPr>
          <w:p w14:paraId="6E804D54">
            <w:pPr>
              <w:pStyle w:val="39"/>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26"/>
                <w:rFonts w:hint="eastAsia" w:asciiTheme="minorEastAsia" w:hAnsiTheme="minorEastAsia" w:eastAsiaTheme="minorEastAsia" w:cstheme="minorEastAsia"/>
                <w:color w:val="auto"/>
                <w:kern w:val="2"/>
                <w:sz w:val="24"/>
                <w:szCs w:val="24"/>
              </w:rPr>
            </w:pPr>
            <w:r>
              <w:rPr>
                <w:rStyle w:val="26"/>
                <w:rFonts w:hint="eastAsia" w:asciiTheme="minorEastAsia" w:hAnsiTheme="minorEastAsia" w:eastAsiaTheme="minorEastAsia" w:cstheme="minorEastAsia"/>
                <w:color w:val="auto"/>
                <w:kern w:val="2"/>
                <w:sz w:val="24"/>
                <w:szCs w:val="24"/>
              </w:rPr>
              <w:t>分项价格</w:t>
            </w:r>
          </w:p>
        </w:tc>
      </w:tr>
      <w:tr w14:paraId="2FEB1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7AED76F">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00"/>
              <w:jc w:val="center"/>
              <w:textAlignment w:val="baseline"/>
              <w:rPr>
                <w:rStyle w:val="26"/>
                <w:rFonts w:hint="eastAsia" w:asciiTheme="minorEastAsia" w:hAnsiTheme="minorEastAsia" w:eastAsiaTheme="minorEastAsia" w:cstheme="minorEastAsia"/>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1DEEC5BE">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00"/>
              <w:jc w:val="center"/>
              <w:textAlignment w:val="baseline"/>
              <w:rPr>
                <w:rStyle w:val="26"/>
                <w:rFonts w:hint="eastAsia" w:asciiTheme="minorEastAsia" w:hAnsiTheme="minorEastAsia" w:eastAsiaTheme="minorEastAsia" w:cstheme="minorEastAsia"/>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6779126">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00"/>
              <w:jc w:val="center"/>
              <w:textAlignment w:val="baseline"/>
              <w:rPr>
                <w:rStyle w:val="26"/>
                <w:rFonts w:hint="eastAsia" w:asciiTheme="minorEastAsia" w:hAnsiTheme="minorEastAsia" w:eastAsiaTheme="minorEastAsia" w:cstheme="minorEastAsia"/>
                <w:color w:val="auto"/>
                <w:kern w:val="2"/>
                <w:sz w:val="24"/>
                <w:szCs w:val="24"/>
              </w:rPr>
            </w:pPr>
          </w:p>
        </w:tc>
      </w:tr>
      <w:tr w14:paraId="218CC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3E57D29">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00"/>
              <w:jc w:val="center"/>
              <w:textAlignment w:val="baseline"/>
              <w:rPr>
                <w:rStyle w:val="26"/>
                <w:rFonts w:hint="eastAsia" w:asciiTheme="minorEastAsia" w:hAnsiTheme="minorEastAsia" w:eastAsiaTheme="minorEastAsia" w:cstheme="minorEastAsia"/>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491D586C">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00"/>
              <w:jc w:val="center"/>
              <w:textAlignment w:val="baseline"/>
              <w:rPr>
                <w:rStyle w:val="26"/>
                <w:rFonts w:hint="eastAsia" w:asciiTheme="minorEastAsia" w:hAnsiTheme="minorEastAsia" w:eastAsiaTheme="minorEastAsia" w:cstheme="minorEastAsia"/>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C42C4EF">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00"/>
              <w:jc w:val="center"/>
              <w:textAlignment w:val="baseline"/>
              <w:rPr>
                <w:rStyle w:val="26"/>
                <w:rFonts w:hint="eastAsia" w:asciiTheme="minorEastAsia" w:hAnsiTheme="minorEastAsia" w:eastAsiaTheme="minorEastAsia" w:cstheme="minorEastAsia"/>
                <w:color w:val="auto"/>
                <w:kern w:val="2"/>
                <w:sz w:val="24"/>
                <w:szCs w:val="24"/>
              </w:rPr>
            </w:pPr>
          </w:p>
        </w:tc>
      </w:tr>
      <w:tr w14:paraId="1AB99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9847891">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00"/>
              <w:jc w:val="center"/>
              <w:textAlignment w:val="baseline"/>
              <w:rPr>
                <w:rStyle w:val="26"/>
                <w:rFonts w:hint="eastAsia" w:asciiTheme="minorEastAsia" w:hAnsiTheme="minorEastAsia" w:eastAsiaTheme="minorEastAsia" w:cstheme="minorEastAsia"/>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597B50EE">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00"/>
              <w:jc w:val="center"/>
              <w:textAlignment w:val="baseline"/>
              <w:rPr>
                <w:rStyle w:val="26"/>
                <w:rFonts w:hint="eastAsia" w:asciiTheme="minorEastAsia" w:hAnsiTheme="minorEastAsia" w:eastAsiaTheme="minorEastAsia" w:cstheme="minorEastAsia"/>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26F256D">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00"/>
              <w:jc w:val="center"/>
              <w:textAlignment w:val="baseline"/>
              <w:rPr>
                <w:rStyle w:val="26"/>
                <w:rFonts w:hint="eastAsia" w:asciiTheme="minorEastAsia" w:hAnsiTheme="minorEastAsia" w:eastAsiaTheme="minorEastAsia" w:cstheme="minorEastAsia"/>
                <w:color w:val="auto"/>
                <w:kern w:val="2"/>
                <w:sz w:val="24"/>
                <w:szCs w:val="24"/>
              </w:rPr>
            </w:pPr>
          </w:p>
        </w:tc>
      </w:tr>
      <w:tr w14:paraId="23C2B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7EAB4B9">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00"/>
              <w:jc w:val="center"/>
              <w:textAlignment w:val="baseline"/>
              <w:rPr>
                <w:rStyle w:val="26"/>
                <w:rFonts w:hint="eastAsia" w:asciiTheme="minorEastAsia" w:hAnsiTheme="minorEastAsia" w:eastAsiaTheme="minorEastAsia" w:cstheme="minorEastAsia"/>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117D82A8">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00"/>
              <w:jc w:val="center"/>
              <w:textAlignment w:val="baseline"/>
              <w:rPr>
                <w:rStyle w:val="26"/>
                <w:rFonts w:hint="eastAsia" w:asciiTheme="minorEastAsia" w:hAnsiTheme="minorEastAsia" w:eastAsiaTheme="minorEastAsia" w:cstheme="minorEastAsia"/>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164B7C19">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00"/>
              <w:jc w:val="center"/>
              <w:textAlignment w:val="baseline"/>
              <w:rPr>
                <w:rStyle w:val="26"/>
                <w:rFonts w:hint="eastAsia" w:asciiTheme="minorEastAsia" w:hAnsiTheme="minorEastAsia" w:eastAsiaTheme="minorEastAsia" w:cstheme="minorEastAsia"/>
                <w:color w:val="auto"/>
                <w:kern w:val="2"/>
                <w:sz w:val="24"/>
                <w:szCs w:val="24"/>
              </w:rPr>
            </w:pPr>
          </w:p>
        </w:tc>
      </w:tr>
      <w:tr w14:paraId="0FF90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03" w:type="dxa"/>
            <w:gridSpan w:val="2"/>
            <w:tcBorders>
              <w:top w:val="single" w:color="000000" w:sz="4" w:space="0"/>
              <w:left w:val="single" w:color="000000" w:sz="4" w:space="0"/>
              <w:bottom w:val="single" w:color="000000" w:sz="4" w:space="0"/>
              <w:right w:val="single" w:color="000000" w:sz="4" w:space="0"/>
            </w:tcBorders>
            <w:vAlign w:val="center"/>
          </w:tcPr>
          <w:p w14:paraId="5402F535">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00"/>
              <w:jc w:val="center"/>
              <w:textAlignment w:val="baseline"/>
              <w:rPr>
                <w:rStyle w:val="26"/>
                <w:rFonts w:hint="eastAsia" w:asciiTheme="minorEastAsia" w:hAnsiTheme="minorEastAsia" w:eastAsiaTheme="minorEastAsia" w:cstheme="minorEastAsia"/>
                <w:color w:val="auto"/>
                <w:kern w:val="2"/>
                <w:sz w:val="24"/>
                <w:szCs w:val="24"/>
              </w:rPr>
            </w:pPr>
            <w:r>
              <w:rPr>
                <w:rStyle w:val="26"/>
                <w:rFonts w:hint="eastAsia" w:asciiTheme="minorEastAsia" w:hAnsiTheme="minorEastAsia" w:eastAsiaTheme="minorEastAsia" w:cstheme="minorEastAsia"/>
                <w:color w:val="auto"/>
                <w:kern w:val="2"/>
                <w:sz w:val="24"/>
                <w:szCs w:val="24"/>
              </w:rPr>
              <w:t>总价</w:t>
            </w:r>
          </w:p>
        </w:tc>
        <w:tc>
          <w:tcPr>
            <w:tcW w:w="2552" w:type="dxa"/>
            <w:tcBorders>
              <w:top w:val="single" w:color="000000" w:sz="4" w:space="0"/>
              <w:left w:val="single" w:color="000000" w:sz="4" w:space="0"/>
              <w:bottom w:val="single" w:color="000000" w:sz="4" w:space="0"/>
              <w:right w:val="single" w:color="000000" w:sz="4" w:space="0"/>
            </w:tcBorders>
            <w:vAlign w:val="center"/>
          </w:tcPr>
          <w:p w14:paraId="171BFABD">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00"/>
              <w:jc w:val="center"/>
              <w:textAlignment w:val="baseline"/>
              <w:rPr>
                <w:rStyle w:val="26"/>
                <w:rFonts w:hint="eastAsia" w:asciiTheme="minorEastAsia" w:hAnsiTheme="minorEastAsia" w:eastAsiaTheme="minorEastAsia" w:cstheme="minorEastAsia"/>
                <w:color w:val="auto"/>
                <w:kern w:val="2"/>
                <w:sz w:val="24"/>
                <w:szCs w:val="24"/>
              </w:rPr>
            </w:pPr>
          </w:p>
        </w:tc>
      </w:tr>
    </w:tbl>
    <w:p w14:paraId="7C390820">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1.4 付款方式和发票开具方式</w:t>
      </w:r>
    </w:p>
    <w:p w14:paraId="08A39EA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1.4.1 付款方式：；</w:t>
      </w:r>
    </w:p>
    <w:p w14:paraId="6C55E31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1.4.2 发票开具方式：。</w:t>
      </w:r>
    </w:p>
    <w:p w14:paraId="76EBE975">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1.5 货物交付期限、地点和方式</w:t>
      </w:r>
    </w:p>
    <w:p w14:paraId="26934C2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1.5.1 交付限：；</w:t>
      </w:r>
    </w:p>
    <w:p w14:paraId="0F0087B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1.5.2 交付点：；</w:t>
      </w:r>
    </w:p>
    <w:p w14:paraId="3EF09D0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1.5.3 交付式：</w:t>
      </w:r>
      <w:r>
        <w:rPr>
          <w:rStyle w:val="26"/>
          <w:rFonts w:hint="eastAsia" w:asciiTheme="minorEastAsia" w:hAnsiTheme="minorEastAsia" w:eastAsiaTheme="minorEastAsia" w:cstheme="minorEastAsia"/>
          <w:color w:val="auto"/>
          <w:sz w:val="24"/>
          <w:u w:val="single"/>
          <w:lang w:eastAsia="zh-CN"/>
        </w:rPr>
        <w:t xml:space="preserve">              </w:t>
      </w:r>
      <w:r>
        <w:rPr>
          <w:rStyle w:val="26"/>
          <w:rFonts w:hint="eastAsia" w:asciiTheme="minorEastAsia" w:hAnsiTheme="minorEastAsia" w:eastAsiaTheme="minorEastAsia" w:cstheme="minorEastAsia"/>
          <w:color w:val="auto"/>
          <w:sz w:val="24"/>
          <w:u w:val="single" w:color="000000"/>
          <w:lang w:eastAsia="zh-CN"/>
        </w:rPr>
        <w:t xml:space="preserve">                           </w:t>
      </w:r>
      <w:r>
        <w:rPr>
          <w:rStyle w:val="26"/>
          <w:rFonts w:hint="eastAsia" w:asciiTheme="minorEastAsia" w:hAnsiTheme="minorEastAsia" w:eastAsiaTheme="minorEastAsia" w:cstheme="minorEastAsia"/>
          <w:color w:val="auto"/>
          <w:sz w:val="24"/>
          <w:lang w:eastAsia="zh-CN"/>
        </w:rPr>
        <w:t>。</w:t>
      </w:r>
    </w:p>
    <w:p w14:paraId="1C8BA3B6">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1.6 违约责任</w:t>
      </w:r>
    </w:p>
    <w:p w14:paraId="6445903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14:paraId="2F612FF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1AE6F19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F25AC1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3DC574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F3CCD2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1.6.6 如果出现政府采购监督管理部门在处理投诉事项期间，书面通知甲方暂停采购活动的情形，或者询问或质疑事项可能影响中标结果的，导致甲方中止履行合同的情形，均不视为甲方违约。</w:t>
      </w:r>
    </w:p>
    <w:p w14:paraId="54E59CA3">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1.7 合同争议的解决</w:t>
      </w:r>
    </w:p>
    <w:p w14:paraId="73A7118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本合同履行过程中发生的任何争议，双方当事人均可通过和解或者调解解决；不愿和解、调解或者和解、调解不成的，可以选择下列第种方式解决：</w:t>
      </w:r>
    </w:p>
    <w:p w14:paraId="0BB23A0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1.7.1 将争议提交仲裁委员会依申请仲裁时其现行有效的仲裁规则裁决；</w:t>
      </w:r>
    </w:p>
    <w:p w14:paraId="57D32DA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1.7.2 向</w:t>
      </w:r>
      <w:r>
        <w:rPr>
          <w:rStyle w:val="26"/>
          <w:rFonts w:hint="eastAsia" w:asciiTheme="minorEastAsia" w:hAnsiTheme="minorEastAsia" w:eastAsiaTheme="minorEastAsia" w:cstheme="minorEastAsia"/>
          <w:color w:val="auto"/>
          <w:sz w:val="24"/>
          <w:u w:val="single" w:color="000000"/>
          <w:lang w:eastAsia="zh-CN"/>
        </w:rPr>
        <w:t xml:space="preserve">   （被告住所地、合同履行地、合同签订地、原告住所地、标的物所在地等与争议有实际联系的地点中选出的人民法院名称）    </w:t>
      </w:r>
      <w:r>
        <w:rPr>
          <w:rStyle w:val="26"/>
          <w:rFonts w:hint="eastAsia" w:asciiTheme="minorEastAsia" w:hAnsiTheme="minorEastAsia" w:eastAsiaTheme="minorEastAsia" w:cstheme="minorEastAsia"/>
          <w:color w:val="auto"/>
          <w:sz w:val="24"/>
          <w:lang w:eastAsia="zh-CN"/>
        </w:rPr>
        <w:t>人民法院起诉。</w:t>
      </w:r>
    </w:p>
    <w:p w14:paraId="0448D511">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1.8 合同生效</w:t>
      </w:r>
    </w:p>
    <w:p w14:paraId="719A94B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color w:val="auto"/>
          <w:sz w:val="24"/>
          <w:lang w:eastAsia="zh-CN"/>
        </w:rPr>
        <w:t>本合同自双方当事人盖章或者签字时生效。</w:t>
      </w:r>
    </w:p>
    <w:p w14:paraId="7BD0DC2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lang w:val="zh-CN" w:eastAsia="zh-CN"/>
        </w:rPr>
      </w:pPr>
    </w:p>
    <w:p w14:paraId="7BE8D74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b/>
          <w:color w:val="auto"/>
          <w:sz w:val="24"/>
          <w:lang w:val="zh-CN" w:eastAsia="zh-CN"/>
        </w:rPr>
        <w:t>甲方</w:t>
      </w:r>
      <w:r>
        <w:rPr>
          <w:rStyle w:val="26"/>
          <w:rFonts w:hint="eastAsia" w:asciiTheme="minorEastAsia" w:hAnsiTheme="minorEastAsia" w:eastAsiaTheme="minorEastAsia" w:cstheme="minorEastAsia"/>
          <w:color w:val="auto"/>
          <w:sz w:val="24"/>
          <w:lang w:val="zh-CN" w:eastAsia="zh-CN"/>
        </w:rPr>
        <w:t xml:space="preserve">：                             </w:t>
      </w:r>
      <w:r>
        <w:rPr>
          <w:rStyle w:val="26"/>
          <w:rFonts w:hint="eastAsia" w:asciiTheme="minorEastAsia" w:hAnsiTheme="minorEastAsia" w:eastAsiaTheme="minorEastAsia" w:cstheme="minorEastAsia"/>
          <w:b/>
          <w:color w:val="auto"/>
          <w:sz w:val="24"/>
          <w:lang w:val="zh-CN" w:eastAsia="zh-CN"/>
        </w:rPr>
        <w:t xml:space="preserve">      乙方</w:t>
      </w:r>
      <w:r>
        <w:rPr>
          <w:rStyle w:val="26"/>
          <w:rFonts w:hint="eastAsia" w:asciiTheme="minorEastAsia" w:hAnsiTheme="minorEastAsia" w:eastAsiaTheme="minorEastAsia" w:cstheme="minorEastAsia"/>
          <w:color w:val="auto"/>
          <w:sz w:val="24"/>
          <w:lang w:val="zh-CN" w:eastAsia="zh-CN"/>
        </w:rPr>
        <w:t>：</w:t>
      </w:r>
    </w:p>
    <w:p w14:paraId="4BC8F69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统一社会信用代码：                  统一社会信用代码或身份证号码：</w:t>
      </w:r>
    </w:p>
    <w:p w14:paraId="490FD8D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lang w:val="zh-CN" w:eastAsia="zh-CN"/>
        </w:rPr>
      </w:pPr>
    </w:p>
    <w:p w14:paraId="7013ECC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住所：                                   住所：</w:t>
      </w:r>
    </w:p>
    <w:p w14:paraId="724D0D1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法定代表人或                             法定代表人</w:t>
      </w:r>
    </w:p>
    <w:p w14:paraId="2E806BE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 xml:space="preserve">授权代表（签字）：                        或授权代表（签字）: </w:t>
      </w:r>
    </w:p>
    <w:p w14:paraId="5203A4D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联系人：                                 联系人：</w:t>
      </w:r>
    </w:p>
    <w:p w14:paraId="31DE908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约定送达地址：                           约定送达地址：</w:t>
      </w:r>
    </w:p>
    <w:p w14:paraId="3953F14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邮政编码：                               邮政编码：</w:t>
      </w:r>
    </w:p>
    <w:p w14:paraId="04D1590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 xml:space="preserve">电话:                                    电话: </w:t>
      </w:r>
    </w:p>
    <w:p w14:paraId="08E2ABD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传真:                                    传真:</w:t>
      </w:r>
    </w:p>
    <w:p w14:paraId="53D5F1A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val="zh-CN" w:eastAsia="zh-CN"/>
        </w:rPr>
        <w:t>电子邮箱：                               电子邮箱：</w:t>
      </w:r>
    </w:p>
    <w:p w14:paraId="13CCB9D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 xml:space="preserve">开户银行：                               开户银行： </w:t>
      </w:r>
    </w:p>
    <w:p w14:paraId="1802EEE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 xml:space="preserve">开户名称：                               开户名称： </w:t>
      </w:r>
    </w:p>
    <w:p w14:paraId="2949747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开户账号：                               开户账号：</w:t>
      </w:r>
    </w:p>
    <w:p w14:paraId="6CA4D61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b/>
          <w:color w:val="auto"/>
          <w:lang w:eastAsia="zh-CN"/>
        </w:rPr>
      </w:pPr>
    </w:p>
    <w:p w14:paraId="01CF39E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b/>
          <w:color w:val="auto"/>
          <w:lang w:eastAsia="zh-CN"/>
        </w:rPr>
      </w:pPr>
    </w:p>
    <w:p w14:paraId="3A2EB19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b/>
          <w:color w:val="auto"/>
          <w:sz w:val="24"/>
          <w:lang w:eastAsia="zh-CN"/>
        </w:rPr>
      </w:pPr>
    </w:p>
    <w:p w14:paraId="2F111D67">
      <w:pPr>
        <w:pStyle w:val="37"/>
        <w:keepNext w:val="0"/>
        <w:keepLines w:val="0"/>
        <w:pageBreakBefore w:val="0"/>
        <w:widowControl/>
        <w:kinsoku w:val="0"/>
        <w:wordWrap/>
        <w:overflowPunct/>
        <w:topLinePunct w:val="0"/>
        <w:autoSpaceDE w:val="0"/>
        <w:autoSpaceDN w:val="0"/>
        <w:bidi w:val="0"/>
        <w:adjustRightInd w:val="0"/>
        <w:snapToGrid w:val="0"/>
        <w:spacing w:line="400" w:lineRule="exact"/>
        <w:ind w:firstLine="200"/>
        <w:jc w:val="center"/>
        <w:textAlignment w:val="baseline"/>
        <w:rPr>
          <w:rStyle w:val="26"/>
          <w:rFonts w:hint="eastAsia" w:asciiTheme="minorEastAsia" w:hAnsiTheme="minorEastAsia" w:eastAsiaTheme="minorEastAsia" w:cstheme="minorEastAsia"/>
          <w:b/>
          <w:color w:val="auto"/>
          <w:szCs w:val="24"/>
          <w:lang w:eastAsia="zh-CN"/>
        </w:rPr>
      </w:pPr>
      <w:r>
        <w:rPr>
          <w:rStyle w:val="26"/>
          <w:rFonts w:hint="eastAsia" w:asciiTheme="minorEastAsia" w:hAnsiTheme="minorEastAsia" w:eastAsiaTheme="minorEastAsia" w:cstheme="minorEastAsia"/>
          <w:b/>
          <w:color w:val="auto"/>
          <w:szCs w:val="24"/>
          <w:lang w:eastAsia="zh-CN"/>
        </w:rPr>
        <w:t>第二部分 合同一般条款</w:t>
      </w:r>
    </w:p>
    <w:p w14:paraId="54447E8D">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 定义</w:t>
      </w:r>
    </w:p>
    <w:p w14:paraId="22F75AF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本合同中的下列词语应按以下内容进行解释：</w:t>
      </w:r>
    </w:p>
    <w:p w14:paraId="4A1B6CC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2.1.1 “合同”系指采购人和中标供应商签订的载明双方当事人所达成的协议，并包括所有的附件、附录和构成合同的其他文件。</w:t>
      </w:r>
    </w:p>
    <w:p w14:paraId="0E50192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2.1.2 “合同价”系指根据合同约定，中标供应商在完全履行合同义务后，采购人应支付给中标供应商的价格。</w:t>
      </w:r>
    </w:p>
    <w:p w14:paraId="426A057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2.1.3 “货物”系指中标供应商根据合同约定应向采购人交付的一切各种形态和种类的物品，包括原材料、燃料、设备、机械、仪表、备件、计算机软件、产品等，并包括工具、手册等其他相关资料。</w:t>
      </w:r>
    </w:p>
    <w:p w14:paraId="1EB2226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2.1.4 “甲方”系指与中标供应商签署合同的采购人；采购人委托采购代理机构代表其与乙方签订合同的，采购人的授权委托书作为合同附件。</w:t>
      </w:r>
    </w:p>
    <w:p w14:paraId="76ADF6A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3A38EF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2.1.6 “现场”系指合同约定货物将要运至或者安装的地点。</w:t>
      </w:r>
    </w:p>
    <w:p w14:paraId="14594108">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2.2 技术规范</w:t>
      </w:r>
    </w:p>
    <w:p w14:paraId="10A06F7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E2B6BD6">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2.3 知识产权</w:t>
      </w:r>
    </w:p>
    <w:p w14:paraId="7066266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BC228F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2.3.2具有知识产权的计算机软件等货物的知识产权归属，详见</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w:t>
      </w:r>
    </w:p>
    <w:p w14:paraId="222F4431">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2.4 包装和装运</w:t>
      </w:r>
    </w:p>
    <w:p w14:paraId="7EAA892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2.4.1除</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8A26E3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2.4.2 装运货物的要求和通知，详见</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w:t>
      </w:r>
    </w:p>
    <w:p w14:paraId="5A44315B">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2.5 履约检查和问题反馈</w:t>
      </w:r>
    </w:p>
    <w:p w14:paraId="212487C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2601410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2.5.2 合同履行期间，甲方有权将履行过程中出现的问题反馈给乙方，双方当事人应以书面形式约定需要完善和改进的内容。</w:t>
      </w:r>
    </w:p>
    <w:p w14:paraId="6F1C9FF1">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2.6 结算方式和付款条件</w:t>
      </w:r>
    </w:p>
    <w:p w14:paraId="05C223D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详见</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w:t>
      </w:r>
    </w:p>
    <w:p w14:paraId="508BD845">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2.7 技术资料和保密义务</w:t>
      </w:r>
    </w:p>
    <w:p w14:paraId="13F8EB6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2.7.1 乙方有权依据合同约定和项目需要，向甲方了解有关情况，调阅有关资料等，甲方应予积极配合；</w:t>
      </w:r>
    </w:p>
    <w:p w14:paraId="0664E4A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2.7.2 乙方有义务妥善保管和保护由甲方提供的前款信息和资料等；</w:t>
      </w:r>
    </w:p>
    <w:p w14:paraId="6FA8D22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56975A">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2.8 质量保证</w:t>
      </w:r>
    </w:p>
    <w:p w14:paraId="2E8D136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2.8.1 乙方应建立和完善履行合同的内部质量保证体系，并提供相关内部规章制度给甲方，以便甲方进行监督检查；</w:t>
      </w:r>
    </w:p>
    <w:p w14:paraId="75DAFB1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2.8.2 乙方应保证履行合同的人员数量和素质、软件和硬件设备的配置、场地、环境和设施等满足全面履行合同的要求，并应接受甲方的监督检查。</w:t>
      </w:r>
    </w:p>
    <w:p w14:paraId="22B0BC3B">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2.9 货物的风险负担</w:t>
      </w:r>
    </w:p>
    <w:p w14:paraId="66BC0B9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color w:val="auto"/>
          <w:sz w:val="24"/>
          <w:lang w:eastAsia="zh-CN"/>
        </w:rPr>
        <w:t>货物或者在途货物或者交付给第一承运人后的货物毁损、灭失的风险负担详见</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w:t>
      </w:r>
    </w:p>
    <w:p w14:paraId="2A9E6DF0">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2.10 延迟交货</w:t>
      </w:r>
    </w:p>
    <w:p w14:paraId="1B53C46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62AF6F3D">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2.11 合同变更</w:t>
      </w:r>
    </w:p>
    <w:p w14:paraId="4110C7B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2.11.1双方当事人协商一致，可以签订书面补充合同的形式变更合同，但不得违背采购文件确定的事项，且如果系追加与合同标的相同的货物的，那么所有补充合同的采购金额不得超过原合同价的10%；</w:t>
      </w:r>
    </w:p>
    <w:p w14:paraId="3135D58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2.11.2 合同继续履行将损害国家利益和社会公共利益的，双方当事人应当以书面形式变更合同。有过错的一方应当承担赔偿责任，双方当事人都有过错的，各自承担相应的责任。</w:t>
      </w:r>
    </w:p>
    <w:p w14:paraId="4DB94E7B">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2.12 合同转让和分包</w:t>
      </w:r>
    </w:p>
    <w:p w14:paraId="394EFBB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1DDF8A6">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2.13 不可抗力</w:t>
      </w:r>
    </w:p>
    <w:p w14:paraId="6908BEF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2.13.1如果任何一方遭遇法律规定的不可抗力，致使合同履行受阻时，履行合同的期限应予延长，延长的期限应相当于不可抗力所影响的时间；</w:t>
      </w:r>
    </w:p>
    <w:p w14:paraId="375015E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2.13.2 因不可抗力致使不能实现合同目的的，当事人可以解除合同；</w:t>
      </w:r>
    </w:p>
    <w:p w14:paraId="3ACD987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2.13.3 因不可抗力致使合同有变更必要的，双方当事人应在</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约定时间内以书面形式变更合同；</w:t>
      </w:r>
    </w:p>
    <w:p w14:paraId="2637074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2.13.4受不可抗力影响的一方在不可抗力发生后，应在</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约定时间内以书面形式通知对方当事人，并在</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约定时间内，将有关部门出具的证明文件送达对方当事人。</w:t>
      </w:r>
    </w:p>
    <w:p w14:paraId="06DBD129">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2.14 税费</w:t>
      </w:r>
    </w:p>
    <w:p w14:paraId="78BA2EF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与合同有关的一切税费，均按照中华人民共和国法律的相关规定。</w:t>
      </w:r>
    </w:p>
    <w:p w14:paraId="2E2A107C">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2.15 乙方破产</w:t>
      </w:r>
    </w:p>
    <w:p w14:paraId="0E7C996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9E792C4">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2.16 合同中止、终止</w:t>
      </w:r>
    </w:p>
    <w:p w14:paraId="1BE1A02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2.16.1 双方当事人不得擅自中止或者终止合同；</w:t>
      </w:r>
    </w:p>
    <w:p w14:paraId="654214A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2.16.2合同继续履行将损害国家利益和社会公共利益的，双方当事人应当中止或者终止合同。有过错的一方应当承担赔偿责任，双方当事人都有过错的，各自承担相应的责任。</w:t>
      </w:r>
    </w:p>
    <w:p w14:paraId="093CFEE2">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2.17 检验和验收</w:t>
      </w:r>
    </w:p>
    <w:p w14:paraId="19C5D301">
      <w:pPr>
        <w:keepNext w:val="0"/>
        <w:keepLines w:val="0"/>
        <w:pageBreakBefore w:val="0"/>
        <w:widowControl/>
        <w:tabs>
          <w:tab w:val="left" w:pos="360"/>
          <w:tab w:val="left" w:pos="540"/>
          <w:tab w:val="left" w:pos="1080"/>
        </w:tabs>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2.17.1货物交付前，乙方应对货物的质量、数量等方面进行详细、全面的检验，并向甲方出具证明货物符合合同约定的文件；货物交付时，乙方在</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约定时间内组织验收，并可依法邀请相关方参加，验收应出具验收书。</w:t>
      </w:r>
    </w:p>
    <w:p w14:paraId="3402632E">
      <w:pPr>
        <w:keepNext w:val="0"/>
        <w:keepLines w:val="0"/>
        <w:pageBreakBefore w:val="0"/>
        <w:widowControl/>
        <w:tabs>
          <w:tab w:val="left" w:pos="360"/>
          <w:tab w:val="left" w:pos="540"/>
          <w:tab w:val="left" w:pos="1080"/>
        </w:tabs>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333AB48">
      <w:pPr>
        <w:keepNext w:val="0"/>
        <w:keepLines w:val="0"/>
        <w:pageBreakBefore w:val="0"/>
        <w:widowControl/>
        <w:tabs>
          <w:tab w:val="left" w:pos="360"/>
          <w:tab w:val="left" w:pos="540"/>
          <w:tab w:val="left" w:pos="1080"/>
        </w:tabs>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2.17.3 检验和验收标准、程序等具体内容以及前述验收书的效力详见</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i/>
          <w:color w:val="auto"/>
          <w:sz w:val="24"/>
          <w:lang w:eastAsia="zh-CN"/>
        </w:rPr>
        <w:t>。</w:t>
      </w:r>
    </w:p>
    <w:p w14:paraId="03902529">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2.18 通知和送达</w:t>
      </w:r>
    </w:p>
    <w:p w14:paraId="0C432FD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p>
    <w:p w14:paraId="6C46299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64A80D04">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2.19 计量单位</w:t>
      </w:r>
    </w:p>
    <w:p w14:paraId="77D9DA8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除技术规范中另有规定外,合同的计量单位均使用国家法定计量单位。</w:t>
      </w:r>
    </w:p>
    <w:p w14:paraId="3E044DAD">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rPr>
      </w:pPr>
      <w:r>
        <w:rPr>
          <w:rStyle w:val="26"/>
          <w:rFonts w:hint="eastAsia" w:asciiTheme="minorEastAsia" w:hAnsiTheme="minorEastAsia" w:eastAsiaTheme="minorEastAsia" w:cstheme="minorEastAsia"/>
          <w:b/>
          <w:color w:val="auto"/>
          <w:sz w:val="24"/>
        </w:rPr>
        <w:t>2.20 合同使用的文字和适用的法律</w:t>
      </w:r>
    </w:p>
    <w:p w14:paraId="47E49E2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2.20.1 合同使用汉语书就、变更和解释；</w:t>
      </w:r>
    </w:p>
    <w:p w14:paraId="346568A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2.20.2 合同适用中华人民共和国法律。</w:t>
      </w:r>
    </w:p>
    <w:p w14:paraId="31791F71">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2.21 履约保证金</w:t>
      </w:r>
    </w:p>
    <w:p w14:paraId="6FEF482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2.21.1 采购文件要求乙方提交履约保证金的，乙方应按</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约定的方式，以支票、汇票、本票或者金融机构、担保机构出具的保函等非现金形式，提交不超过合同价10%的履约保证金；</w:t>
      </w:r>
    </w:p>
    <w:p w14:paraId="109C104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2.21.2  履约保证金在</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约定期间内或者货物质量保证期内不予退还或者应完全有效，前述约定期间届满或者货物质量保证期届满之日起个工作日内，甲方应将履约保证金退还乙方；</w:t>
      </w:r>
    </w:p>
    <w:p w14:paraId="74BB148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D395A07">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2.22 合同份数</w:t>
      </w:r>
    </w:p>
    <w:p w14:paraId="024D0D0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合同份数按</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规定，每份均具有同等法律效力。</w:t>
      </w:r>
    </w:p>
    <w:p w14:paraId="2C2DBCFE">
      <w:pPr>
        <w:pStyle w:val="37"/>
        <w:keepNext w:val="0"/>
        <w:keepLines w:val="0"/>
        <w:pageBreakBefore w:val="0"/>
        <w:widowControl/>
        <w:kinsoku w:val="0"/>
        <w:wordWrap/>
        <w:overflowPunct/>
        <w:topLinePunct w:val="0"/>
        <w:autoSpaceDE w:val="0"/>
        <w:autoSpaceDN w:val="0"/>
        <w:bidi w:val="0"/>
        <w:adjustRightInd w:val="0"/>
        <w:snapToGrid w:val="0"/>
        <w:spacing w:line="400" w:lineRule="exact"/>
        <w:ind w:firstLine="0"/>
        <w:jc w:val="center"/>
        <w:textAlignment w:val="baseline"/>
        <w:rPr>
          <w:rStyle w:val="26"/>
          <w:rFonts w:hint="eastAsia" w:asciiTheme="minorEastAsia" w:hAnsiTheme="minorEastAsia" w:eastAsiaTheme="minorEastAsia" w:cstheme="minorEastAsia"/>
          <w:color w:val="auto"/>
          <w:szCs w:val="24"/>
          <w:lang w:eastAsia="zh-CN"/>
        </w:rPr>
      </w:pPr>
      <w:r>
        <w:rPr>
          <w:rStyle w:val="26"/>
          <w:rFonts w:hint="eastAsia" w:asciiTheme="minorEastAsia" w:hAnsiTheme="minorEastAsia" w:eastAsiaTheme="minorEastAsia" w:cstheme="minorEastAsia"/>
          <w:color w:val="auto"/>
          <w:szCs w:val="24"/>
          <w:lang w:eastAsia="zh-CN"/>
        </w:rPr>
        <w:br w:type="page"/>
      </w:r>
    </w:p>
    <w:p w14:paraId="7463130E">
      <w:pPr>
        <w:pStyle w:val="37"/>
        <w:keepNext w:val="0"/>
        <w:keepLines w:val="0"/>
        <w:pageBreakBefore w:val="0"/>
        <w:widowControl/>
        <w:kinsoku w:val="0"/>
        <w:wordWrap/>
        <w:overflowPunct/>
        <w:topLinePunct w:val="0"/>
        <w:autoSpaceDE w:val="0"/>
        <w:autoSpaceDN w:val="0"/>
        <w:bidi w:val="0"/>
        <w:adjustRightInd w:val="0"/>
        <w:snapToGrid w:val="0"/>
        <w:spacing w:line="400" w:lineRule="exact"/>
        <w:ind w:firstLine="0"/>
        <w:jc w:val="center"/>
        <w:textAlignment w:val="baseline"/>
        <w:rPr>
          <w:rStyle w:val="26"/>
          <w:rFonts w:hint="eastAsia" w:asciiTheme="minorEastAsia" w:hAnsiTheme="minorEastAsia" w:eastAsiaTheme="minorEastAsia" w:cstheme="minorEastAsia"/>
          <w:b/>
          <w:color w:val="auto"/>
          <w:szCs w:val="24"/>
          <w:lang w:eastAsia="zh-CN"/>
        </w:rPr>
      </w:pPr>
      <w:r>
        <w:rPr>
          <w:rStyle w:val="26"/>
          <w:rFonts w:hint="eastAsia" w:asciiTheme="minorEastAsia" w:hAnsiTheme="minorEastAsia" w:eastAsiaTheme="minorEastAsia" w:cstheme="minorEastAsia"/>
          <w:b/>
          <w:color w:val="auto"/>
          <w:szCs w:val="24"/>
          <w:lang w:eastAsia="zh-CN"/>
        </w:rPr>
        <w:t>第三部分  合同专用条款</w:t>
      </w:r>
    </w:p>
    <w:p w14:paraId="22F7947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W w:w="8434"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0"/>
        <w:gridCol w:w="7364"/>
      </w:tblGrid>
      <w:tr w14:paraId="132DA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2D18FEA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26"/>
                <w:rFonts w:hint="eastAsia" w:asciiTheme="minorEastAsia" w:hAnsiTheme="minorEastAsia" w:eastAsiaTheme="minorEastAsia" w:cstheme="minorEastAsia"/>
                <w:b/>
                <w:color w:val="auto"/>
                <w:sz w:val="24"/>
              </w:rPr>
            </w:pPr>
            <w:r>
              <w:rPr>
                <w:rStyle w:val="26"/>
                <w:rFonts w:hint="eastAsia" w:asciiTheme="minorEastAsia" w:hAnsiTheme="minorEastAsia" w:eastAsiaTheme="minorEastAsia" w:cstheme="minorEastAsia"/>
                <w:b/>
                <w:color w:val="auto"/>
                <w:sz w:val="24"/>
              </w:rPr>
              <w:t>条款号</w:t>
            </w:r>
          </w:p>
        </w:tc>
        <w:tc>
          <w:tcPr>
            <w:tcW w:w="7364" w:type="dxa"/>
            <w:tcBorders>
              <w:top w:val="single" w:color="000000" w:sz="6" w:space="0"/>
              <w:left w:val="single" w:color="000000" w:sz="6" w:space="0"/>
              <w:bottom w:val="single" w:color="000000" w:sz="6" w:space="0"/>
              <w:right w:val="single" w:color="000000" w:sz="6" w:space="0"/>
            </w:tcBorders>
            <w:vAlign w:val="center"/>
          </w:tcPr>
          <w:p w14:paraId="6922643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26"/>
                <w:rFonts w:hint="eastAsia" w:asciiTheme="minorEastAsia" w:hAnsiTheme="minorEastAsia" w:eastAsiaTheme="minorEastAsia" w:cstheme="minorEastAsia"/>
                <w:b/>
                <w:color w:val="auto"/>
                <w:sz w:val="24"/>
              </w:rPr>
            </w:pPr>
            <w:r>
              <w:rPr>
                <w:rStyle w:val="26"/>
                <w:rFonts w:hint="eastAsia" w:asciiTheme="minorEastAsia" w:hAnsiTheme="minorEastAsia" w:eastAsiaTheme="minorEastAsia" w:cstheme="minorEastAsia"/>
                <w:b/>
                <w:color w:val="auto"/>
                <w:sz w:val="24"/>
              </w:rPr>
              <w:t>约定内容</w:t>
            </w:r>
          </w:p>
        </w:tc>
      </w:tr>
      <w:tr w14:paraId="7AAB1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31627C5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3F62442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r>
      <w:tr w14:paraId="51AA7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1A4F497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78FDDD6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r>
      <w:tr w14:paraId="1C66C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3BE7652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0F34B2E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r>
      <w:tr w14:paraId="20647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4A2CC03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7014589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r>
      <w:tr w14:paraId="0A330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4872948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4EA5959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u w:val="single"/>
              </w:rPr>
            </w:pPr>
          </w:p>
        </w:tc>
      </w:tr>
      <w:tr w14:paraId="3AC19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5A57071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70A81C8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r>
      <w:tr w14:paraId="41175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53E0490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5293439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u w:val="single"/>
              </w:rPr>
            </w:pPr>
          </w:p>
        </w:tc>
      </w:tr>
      <w:tr w14:paraId="423DF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2763CA6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29C1FED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r>
      <w:tr w14:paraId="5E27D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6E4BDAF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37B5296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r>
      <w:tr w14:paraId="20808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6795EE1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62BE014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r>
      <w:tr w14:paraId="507D3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1543429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50C1659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r>
      <w:tr w14:paraId="60E05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72EFD98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0DA6020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Style w:val="26"/>
                <w:rFonts w:hint="eastAsia" w:asciiTheme="minorEastAsia" w:hAnsiTheme="minorEastAsia" w:eastAsiaTheme="minorEastAsia" w:cstheme="minorEastAsia"/>
                <w:color w:val="auto"/>
                <w:sz w:val="24"/>
              </w:rPr>
            </w:pPr>
          </w:p>
        </w:tc>
      </w:tr>
    </w:tbl>
    <w:p w14:paraId="3F9BEA3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rPr>
      </w:pPr>
    </w:p>
    <w:p w14:paraId="1BF62888">
      <w:pPr>
        <w:rPr>
          <w:rFonts w:hint="eastAsia" w:asciiTheme="minorEastAsia" w:hAnsiTheme="minorEastAsia" w:eastAsiaTheme="minorEastAsia" w:cstheme="minorEastAsia"/>
        </w:rPr>
      </w:pPr>
    </w:p>
    <w:sectPr>
      <w:footerReference r:id="rId19" w:type="default"/>
      <w:pgSz w:w="11907" w:h="16840"/>
      <w:pgMar w:top="1474" w:right="1814" w:bottom="1474" w:left="1814" w:header="851" w:footer="850" w:gutter="0"/>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embedRegular r:id="rId1" w:fontKey="{47E1D60A-698D-4CA5-87BE-DD56FC711BB2}"/>
  </w:font>
  <w:font w:name="仿宋">
    <w:panose1 w:val="02010609060101010101"/>
    <w:charset w:val="86"/>
    <w:family w:val="modern"/>
    <w:pitch w:val="default"/>
    <w:sig w:usb0="800002BF" w:usb1="38CF7CFA" w:usb2="00000016" w:usb3="00000000" w:csb0="00040001" w:csb1="00000000"/>
    <w:embedRegular r:id="rId2" w:fontKey="{1F66E68F-CE25-4237-83FC-61C6B4E3E6E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AC27D">
    <w:pPr>
      <w:pStyle w:val="1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6BE1D">
    <w:pPr>
      <w:pStyle w:val="12"/>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9CF86">
    <w:pPr>
      <w:pStyle w:val="12"/>
      <w:ind w:right="360" w:firstLine="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85C27">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0285C27">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87D20">
    <w:pPr>
      <w:pStyle w:val="12"/>
      <w:ind w:right="360" w:firstLine="36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14FE4">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5614FE4">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82349">
    <w:pPr>
      <w:pStyle w:val="1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B4F58">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39B4F58">
                    <w:pPr>
                      <w:pStyle w:val="12"/>
                    </w:pPr>
                    <w:r>
                      <w:fldChar w:fldCharType="begin"/>
                    </w:r>
                    <w:r>
                      <w:instrText xml:space="preserve"> PAGE  \* MERGEFORMAT </w:instrText>
                    </w:r>
                    <w:r>
                      <w:fldChar w:fldCharType="separate"/>
                    </w:r>
                    <w:r>
                      <w:t>24</w:t>
                    </w:r>
                    <w:r>
                      <w:fldChar w:fldCharType="end"/>
                    </w:r>
                  </w:p>
                </w:txbxContent>
              </v:textbox>
            </v:shape>
          </w:pict>
        </mc:Fallback>
      </mc:AlternateContent>
    </w:r>
  </w:p>
  <w:p w14:paraId="6E699908">
    <w:pPr>
      <w:pStyle w:val="12"/>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E78BC">
    <w:pPr>
      <w:pStyle w:val="12"/>
      <w:jc w:val="center"/>
      <w:rPr>
        <w:rStyle w:val="26"/>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24752">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0524752">
                    <w:pPr>
                      <w:pStyle w:val="12"/>
                    </w:pPr>
                    <w:r>
                      <w:fldChar w:fldCharType="begin"/>
                    </w:r>
                    <w:r>
                      <w:instrText xml:space="preserve"> PAGE  \* MERGEFORMAT </w:instrText>
                    </w:r>
                    <w:r>
                      <w:fldChar w:fldCharType="separate"/>
                    </w:r>
                    <w:r>
                      <w:t>28</w:t>
                    </w:r>
                    <w:r>
                      <w:fldChar w:fldCharType="end"/>
                    </w:r>
                  </w:p>
                </w:txbxContent>
              </v:textbox>
            </v:shape>
          </w:pict>
        </mc:Fallback>
      </mc:AlternateContent>
    </w:r>
    <w:r>
      <w:rPr>
        <w:rStyle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630DC9BB">
                          <w:pPr>
                            <w:pStyle w:val="12"/>
                            <w:jc w:val="center"/>
                            <w:rPr>
                              <w:rStyle w:val="26"/>
                            </w:rPr>
                          </w:pPr>
                        </w:p>
                        <w:p w14:paraId="04247C51">
                          <w:pPr>
                            <w:tabs>
                              <w:tab w:val="center" w:pos="4153"/>
                              <w:tab w:val="right" w:pos="8306"/>
                            </w:tabs>
                            <w:jc w:val="center"/>
                            <w:rPr>
                              <w:rStyle w:val="26"/>
                            </w:rPr>
                          </w:pPr>
                        </w:p>
                      </w:txbxContent>
                    </wps:txbx>
                    <wps:bodyPr lIns="0" tIns="0" rIns="0" bIns="0" upright="1"/>
                  </wps:wsp>
                </a:graphicData>
              </a:graphic>
            </wp:anchor>
          </w:drawing>
        </mc:Choice>
        <mc:Fallback>
          <w:pict>
            <v:shape id="文本框 3" o:spid="_x0000_s1026" o:spt="202" type="#_x0000_t202" style="position:absolute;left:0pt;margin-top:0pt;height:11.7pt;width:9.05pt;mso-position-horizontal:center;mso-position-horizontal-relative:margin;z-index:251659264;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LbSjVi/AQAAfwMAAA4AAABkcnMvZTJvRG9jLnhtbK1TzY7TMBC+&#10;I/EOlu807f6g3ajpSqhahIQAaeEBXGfcWLI9lu026QvAG3Diwp3n6nMwdtKyLJc9cHHGM+Nv5vtm&#10;srwbrGF7CFGja/hiNucMnMRWu23Dv3y+f3XDWUzCtcKgg4YfIPK71csXy97XcIEdmhYCIxAX6943&#10;vEvJ11UVZQdWxBl6cBRUGKxIdA3bqg2iJ3Rrqov5/HXVY2h9QAkxknc9BvmEGJ4DiEppCWuUOwsu&#10;jagBjEhEKXbaR74q3SoFMn1UKkJipuHENJWTipC9yWe1Wop6G4TvtJxaEM9p4QknK7SjomeotUiC&#10;7YL+B8pqGTCiSjOJthqJFEWIxWL+RJuHTngoXEjq6M+ix/8HKz/sPwWmW9oEzpywNPDj92/HH7+O&#10;P7+yyyxP72NNWQ+e8tLwBoecOvkjOTPrQQWbv8SHUZzEPZzFhSExmR8trm4vrzmTFFpc3VzfFvGr&#10;P499iOktoGXZaHig2RVJxf59TFSQUk8puZbDe21MmZ9xfzkocfRAWYDpdeYx9putNGyGicQG2wNx&#10;M+8c6Zp35GSEk7E5GTsf9Laj5ooCVQaiuZTWph3Kg398J/vxf7P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pEM5TTAAAAAwEAAA8AAAAAAAAAAQAgAAAAIgAAAGRycy9kb3ducmV2LnhtbFBLAQIU&#10;ABQAAAAIAIdO4kC20o1YvwEAAH8DAAAOAAAAAAAAAAEAIAAAACIBAABkcnMvZTJvRG9jLnhtbFBL&#10;BQYAAAAABgAGAFkBAABTBQAAAAA=&#10;">
              <v:fill on="f" focussize="0,0"/>
              <v:stroke on="f"/>
              <v:imagedata o:title=""/>
              <o:lock v:ext="edit" aspectratio="f"/>
              <v:textbox inset="0mm,0mm,0mm,0mm">
                <w:txbxContent>
                  <w:p w14:paraId="630DC9BB">
                    <w:pPr>
                      <w:pStyle w:val="12"/>
                      <w:jc w:val="center"/>
                      <w:rPr>
                        <w:rStyle w:val="26"/>
                      </w:rPr>
                    </w:pPr>
                  </w:p>
                  <w:p w14:paraId="04247C51">
                    <w:pPr>
                      <w:tabs>
                        <w:tab w:val="center" w:pos="4153"/>
                        <w:tab w:val="right" w:pos="8306"/>
                      </w:tabs>
                      <w:jc w:val="center"/>
                      <w:rPr>
                        <w:rStyle w:val="26"/>
                      </w:rPr>
                    </w:pPr>
                  </w:p>
                </w:txbxContent>
              </v:textbox>
            </v:shape>
          </w:pict>
        </mc:Fallback>
      </mc:AlternateContent>
    </w:r>
  </w:p>
  <w:p w14:paraId="36D07BAB">
    <w:pPr>
      <w:pStyle w:val="12"/>
      <w:ind w:right="360"/>
      <w:jc w:val="right"/>
      <w:rPr>
        <w:rStyle w:val="2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110C3">
    <w:pPr>
      <w:pStyle w:val="12"/>
      <w:framePr w:wrap="around" w:vAnchor="margin" w:hAnchor="text" w:xAlign="center" w:y="1"/>
      <w:rPr>
        <w:rStyle w:val="40"/>
      </w:rPr>
    </w:pPr>
  </w:p>
  <w:p w14:paraId="6B44665A">
    <w:pPr>
      <w:pStyle w:val="12"/>
      <w:rPr>
        <w:rStyle w:val="2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3E1D0">
    <w:pPr>
      <w:pStyle w:val="12"/>
      <w:jc w:val="center"/>
      <w:rPr>
        <w:rStyle w:val="26"/>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9AE07">
                          <w:pPr>
                            <w:pStyle w:val="1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C39AE07">
                    <w:pPr>
                      <w:pStyle w:val="12"/>
                    </w:pPr>
                    <w:r>
                      <w:fldChar w:fldCharType="begin"/>
                    </w:r>
                    <w:r>
                      <w:instrText xml:space="preserve"> PAGE  \* MERGEFORMAT </w:instrText>
                    </w:r>
                    <w:r>
                      <w:fldChar w:fldCharType="separate"/>
                    </w:r>
                    <w:r>
                      <w:t>84</w:t>
                    </w:r>
                    <w:r>
                      <w:fldChar w:fldCharType="end"/>
                    </w:r>
                  </w:p>
                </w:txbxContent>
              </v:textbox>
            </v:shape>
          </w:pict>
        </mc:Fallback>
      </mc:AlternateContent>
    </w:r>
    <w:r>
      <w:rPr>
        <w:rStyle w:val="2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F57F06">
                          <w:pPr>
                            <w:pStyle w:val="12"/>
                            <w:jc w:val="center"/>
                            <w:rPr>
                              <w:rStyle w:val="26"/>
                            </w:rPr>
                          </w:pPr>
                        </w:p>
                        <w:p w14:paraId="23415874">
                          <w:pPr>
                            <w:tabs>
                              <w:tab w:val="center" w:pos="4153"/>
                              <w:tab w:val="right" w:pos="8306"/>
                            </w:tabs>
                            <w:jc w:val="center"/>
                            <w:rPr>
                              <w:rStyle w:val="26"/>
                            </w:rPr>
                          </w:pPr>
                        </w:p>
                      </w:txbxContent>
                    </wps:txbx>
                    <wps:bodyPr lIns="0" tIns="0" rIns="0" bIns="0" upright="1"/>
                  </wps:wsp>
                </a:graphicData>
              </a:graphic>
            </wp:anchor>
          </w:drawing>
        </mc:Choice>
        <mc:Fallback>
          <w:pict>
            <v:shape id="文本框 7"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Vo9yeLkBAACBAwAADgAAAGRycy9lMm9Eb2MueG1srVNNjtMwFN4j&#10;zR0s76fOdCSooqYjoWrQSAiQBg7gOnZjyfazbLdJLwA3YMWGPefqOXh2kjIMm1mwcd6fP7/vey/r&#10;u8EacpQhanANvVlUlEgnoNVu39Avn++vV5TExF3LDTjZ0JOM9G5z9Wrd+1ouoQPTykAQxMW69w3t&#10;UvI1Y1F00vK4AC8dJhUEyxO6Yc/awHtEt4Ytq+o16yG0PoCQMWJ0OybphBheAghKaSG3IA5WujSi&#10;Bml4Qkqx0z7STelWKSnSR6WiTMQ0FJmmcuIjaO/yyTZrXu8D950WUwv8JS0842S5dvjoBWrLEyeH&#10;oP+BsloEiKDSQoBlI5GiCLK4qZ5p89hxLwsXlDr6i+jx/8GKD8dPgei2obeUOG5x4Ofv384/fp1/&#10;fiVvsjy9jzVWPXqsS8NbGHBp5njEYGY9qGDzF/kQzKO4p4u4ckhE5Eur5WpVYUpgbnYQn/257kNM&#10;7yRYko2GBpxeEZUf38c0ls4l+TUH99qYMkHj/gog5hiRZQWm25nJ2HG20rAbJno7aE/Izjw4VDZv&#10;yWyE2djNxsEHve+wuaIBy0A4mcJi2qI8+qc+2k//n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aT2QNIAAAAFAQAADwAAAAAAAAABACAAAAAiAAAAZHJzL2Rvd25yZXYueG1sUEsBAhQAFAAAAAgA&#10;h07iQFaPcni5AQAAgQMAAA4AAAAAAAAAAQAgAAAAIQEAAGRycy9lMm9Eb2MueG1sUEsFBgAAAAAG&#10;AAYAWQEAAEwFAAAAAA==&#10;">
              <v:fill on="f" focussize="0,0"/>
              <v:stroke on="f"/>
              <v:imagedata o:title=""/>
              <o:lock v:ext="edit" aspectratio="f"/>
              <v:textbox inset="0mm,0mm,0mm,0mm">
                <w:txbxContent>
                  <w:p w14:paraId="36F57F06">
                    <w:pPr>
                      <w:pStyle w:val="12"/>
                      <w:jc w:val="center"/>
                      <w:rPr>
                        <w:rStyle w:val="26"/>
                      </w:rPr>
                    </w:pPr>
                  </w:p>
                  <w:p w14:paraId="23415874">
                    <w:pPr>
                      <w:tabs>
                        <w:tab w:val="center" w:pos="4153"/>
                        <w:tab w:val="right" w:pos="8306"/>
                      </w:tabs>
                      <w:jc w:val="center"/>
                      <w:rPr>
                        <w:rStyle w:val="26"/>
                      </w:rPr>
                    </w:pPr>
                  </w:p>
                </w:txbxContent>
              </v:textbox>
            </v:shape>
          </w:pict>
        </mc:Fallback>
      </mc:AlternateContent>
    </w:r>
  </w:p>
  <w:p w14:paraId="48777417">
    <w:pPr>
      <w:pStyle w:val="12"/>
      <w:jc w:val="center"/>
      <w:rPr>
        <w:rStyle w:val="2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3726">
    <w:pPr>
      <w:pStyle w:val="12"/>
      <w:jc w:val="center"/>
      <w:rPr>
        <w:rStyle w:val="26"/>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88A86">
                          <w:pPr>
                            <w:pStyle w:val="12"/>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2088A86">
                    <w:pPr>
                      <w:pStyle w:val="12"/>
                    </w:pPr>
                    <w:r>
                      <w:fldChar w:fldCharType="begin"/>
                    </w:r>
                    <w:r>
                      <w:instrText xml:space="preserve"> PAGE  \* MERGEFORMAT </w:instrText>
                    </w:r>
                    <w:r>
                      <w:fldChar w:fldCharType="separate"/>
                    </w:r>
                    <w:r>
                      <w:t>90</w:t>
                    </w:r>
                    <w:r>
                      <w:fldChar w:fldCharType="end"/>
                    </w:r>
                  </w:p>
                </w:txbxContent>
              </v:textbox>
            </v:shape>
          </w:pict>
        </mc:Fallback>
      </mc:AlternateContent>
    </w:r>
    <w:r>
      <w:rPr>
        <w:rStyle w:val="2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03681679">
                          <w:pPr>
                            <w:pStyle w:val="12"/>
                            <w:jc w:val="center"/>
                            <w:rPr>
                              <w:rStyle w:val="26"/>
                            </w:rPr>
                          </w:pPr>
                        </w:p>
                        <w:p w14:paraId="11154435">
                          <w:pPr>
                            <w:tabs>
                              <w:tab w:val="center" w:pos="4153"/>
                              <w:tab w:val="right" w:pos="8306"/>
                            </w:tabs>
                            <w:jc w:val="center"/>
                            <w:rPr>
                              <w:rStyle w:val="26"/>
                            </w:rPr>
                          </w:pPr>
                        </w:p>
                      </w:txbxContent>
                    </wps:txbx>
                    <wps:bodyPr lIns="0" tIns="0" rIns="0" bIns="0" upright="1"/>
                  </wps:wsp>
                </a:graphicData>
              </a:graphic>
            </wp:anchor>
          </w:drawing>
        </mc:Choice>
        <mc:Fallback>
          <w:pict>
            <v:shape id="文本框 5" o:spid="_x0000_s1026" o:spt="202" type="#_x0000_t202" style="position:absolute;left:0pt;margin-top:0pt;height:11.7pt;width:9.05pt;mso-position-horizontal:center;mso-position-horizontal-relative:margin;z-index:251661312;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KRIt7LAAQAAfwMAAA4AAABkcnMvZTJvRG9jLnhtbK1TzW4TMRC+&#10;I/EOlu/ESWmqdpVNJRQVISFAKjyA47WzlmyPZTvZzQvAG3Diwp3nynMw9u6G0l566MU7np/P830z&#10;u7rtrSEHGaIGV9PFbE6JdAIa7XY1/fb17s01JTFx13ADTtb0KCO9Xb9+tep8JS+gBdPIQBDExarz&#10;NW1T8hVjUbTS8jgDLx0GFQTLE17DjjWBd4huDbuYz69YB6HxAYSMEb2bIUhHxPAcQFBKC7kBsbfS&#10;pQE1SMMTUoqt9pGuS7dKSZE+KxVlIqamyDSVEx9Be5tPtl7xahe4b7UYW+DPaeERJ8u1w0fPUBue&#10;ONkH/QTKahEggkozAZYNRIoiyGIxf6TNfcu9LFxQ6ujPoseXgxWfDl8C0U1Nryhx3OLATz9/nH79&#10;Of3+TpZZns7HCrPuPeal/h30uDSTP6Izs+5VsPmLfAjGUdzjWVzZJyJy0eLy5u2SEoGhxeX18qaI&#10;z/4V+xDTewmWZKOmAWdXJOWHjzFhI5g6peS3HNxpY8r8jPvPgYmDR5YFGKszj6HfbKV+24/kttAc&#10;kZv54FDXvCOTESZjOxl7H/SuxeaKAiwD4VxKa+MO5cE/vKP98L9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DOU0wAAAAMBAAAPAAAAAAAAAAEAIAAAACIAAABkcnMvZG93bnJldi54bWxQSwEC&#10;FAAUAAAACACHTuJApEi3ssABAAB/AwAADgAAAAAAAAABACAAAAAiAQAAZHJzL2Uyb0RvYy54bWxQ&#10;SwUGAAAAAAYABgBZAQAAVAUAAAAA&#10;">
              <v:fill on="f" focussize="0,0"/>
              <v:stroke on="f"/>
              <v:imagedata o:title=""/>
              <o:lock v:ext="edit" aspectratio="f"/>
              <v:textbox inset="0mm,0mm,0mm,0mm">
                <w:txbxContent>
                  <w:p w14:paraId="03681679">
                    <w:pPr>
                      <w:pStyle w:val="12"/>
                      <w:jc w:val="center"/>
                      <w:rPr>
                        <w:rStyle w:val="26"/>
                      </w:rPr>
                    </w:pPr>
                  </w:p>
                  <w:p w14:paraId="11154435">
                    <w:pPr>
                      <w:tabs>
                        <w:tab w:val="center" w:pos="4153"/>
                        <w:tab w:val="right" w:pos="8306"/>
                      </w:tabs>
                      <w:jc w:val="center"/>
                      <w:rPr>
                        <w:rStyle w:val="26"/>
                      </w:rPr>
                    </w:pPr>
                  </w:p>
                </w:txbxContent>
              </v:textbox>
            </v:shape>
          </w:pict>
        </mc:Fallback>
      </mc:AlternateContent>
    </w:r>
  </w:p>
  <w:p w14:paraId="43065D6F">
    <w:pPr>
      <w:pStyle w:val="12"/>
      <w:ind w:right="360"/>
      <w:jc w:val="right"/>
      <w:rPr>
        <w:rStyle w:val="2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ABED9">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D7312">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C0394">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7487">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851B2">
    <w:pPr>
      <w:pStyle w:val="1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48A49">
    <w:pPr>
      <w:pStyle w:val="13"/>
      <w:pBdr>
        <w:bottom w:val="none" w:color="auto" w:sz="0" w:space="0"/>
      </w:pBdr>
      <w:rPr>
        <w:rStyle w:val="2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B12A">
    <w:pPr>
      <w:pStyle w:val="13"/>
      <w:pBdr>
        <w:bottom w:val="none" w:color="auto" w:sz="0" w:space="0"/>
      </w:pBdr>
      <w:rPr>
        <w:rStyle w:val="2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6146C">
    <w:pPr>
      <w:pStyle w:val="13"/>
      <w:pBdr>
        <w:bottom w:val="none" w:color="auto" w:sz="0" w:space="0"/>
      </w:pBdr>
      <w:jc w:val="right"/>
      <w:rPr>
        <w:rStyle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E33BD"/>
    <w:multiLevelType w:val="singleLevel"/>
    <w:tmpl w:val="8BAE33BD"/>
    <w:lvl w:ilvl="0" w:tentative="0">
      <w:start w:val="1"/>
      <w:numFmt w:val="decimal"/>
      <w:lvlText w:val="%1."/>
      <w:lvlJc w:val="left"/>
      <w:pPr>
        <w:tabs>
          <w:tab w:val="left" w:pos="312"/>
        </w:tabs>
        <w:textAlignment w:val="baseline"/>
      </w:pPr>
    </w:lvl>
  </w:abstractNum>
  <w:abstractNum w:abstractNumId="1">
    <w:nsid w:val="D4F06988"/>
    <w:multiLevelType w:val="multilevel"/>
    <w:tmpl w:val="D4F06988"/>
    <w:lvl w:ilvl="0" w:tentative="0">
      <w:start w:val="18"/>
      <w:numFmt w:val="decimal"/>
      <w:lvlText w:val="%1."/>
      <w:lvlJc w:val="left"/>
      <w:pPr>
        <w:textAlignment w:val="baseline"/>
      </w:pPr>
    </w:lvl>
    <w:lvl w:ilvl="1" w:tentative="0">
      <w:start w:val="1"/>
      <w:numFmt w:val="decimal"/>
      <w:lvlText w:val="%1.%2"/>
      <w:lvlJc w:val="left"/>
      <w:pPr>
        <w:tabs>
          <w:tab w:val="left" w:pos="312"/>
        </w:tabs>
        <w:ind w:left="0" w:firstLine="0"/>
        <w:textAlignment w:val="baseline"/>
      </w:pPr>
    </w:lvl>
    <w:lvl w:ilvl="2" w:tentative="0">
      <w:start w:val="1"/>
      <w:numFmt w:val="decimal"/>
      <w:lvlText w:val="%1.%2.%3"/>
      <w:lvlJc w:val="left"/>
      <w:pPr>
        <w:tabs>
          <w:tab w:val="left" w:pos="312"/>
        </w:tabs>
        <w:ind w:left="0" w:firstLine="0"/>
        <w:textAlignment w:val="baseline"/>
      </w:pPr>
    </w:lvl>
    <w:lvl w:ilvl="3" w:tentative="0">
      <w:start w:val="1"/>
      <w:numFmt w:val="decimal"/>
      <w:lvlText w:val="%1.%2.%3.%4"/>
      <w:lvlJc w:val="left"/>
      <w:pPr>
        <w:tabs>
          <w:tab w:val="left" w:pos="312"/>
        </w:tabs>
        <w:ind w:left="0" w:firstLine="0"/>
        <w:textAlignment w:val="baseline"/>
      </w:pPr>
    </w:lvl>
    <w:lvl w:ilvl="4" w:tentative="0">
      <w:start w:val="1"/>
      <w:numFmt w:val="decimal"/>
      <w:lvlText w:val="%1.%2.%3.%4.%5"/>
      <w:lvlJc w:val="left"/>
      <w:pPr>
        <w:tabs>
          <w:tab w:val="left" w:pos="312"/>
        </w:tabs>
        <w:ind w:left="0" w:firstLine="0"/>
        <w:textAlignment w:val="baseline"/>
      </w:pPr>
    </w:lvl>
    <w:lvl w:ilvl="5" w:tentative="0">
      <w:start w:val="1"/>
      <w:numFmt w:val="decimal"/>
      <w:lvlText w:val="%1.%2.%3.%4.%5.%6"/>
      <w:lvlJc w:val="left"/>
      <w:pPr>
        <w:tabs>
          <w:tab w:val="left" w:pos="312"/>
        </w:tabs>
        <w:ind w:left="0" w:firstLine="0"/>
        <w:textAlignment w:val="baseline"/>
      </w:pPr>
    </w:lvl>
    <w:lvl w:ilvl="6" w:tentative="0">
      <w:start w:val="1"/>
      <w:numFmt w:val="decimal"/>
      <w:lvlText w:val="%1.%2.%3.%4.%5.%6.%7"/>
      <w:lvlJc w:val="left"/>
      <w:pPr>
        <w:tabs>
          <w:tab w:val="left" w:pos="312"/>
        </w:tabs>
        <w:ind w:left="0" w:firstLine="0"/>
        <w:textAlignment w:val="baseline"/>
      </w:pPr>
    </w:lvl>
    <w:lvl w:ilvl="7" w:tentative="0">
      <w:start w:val="1"/>
      <w:numFmt w:val="decimal"/>
      <w:lvlText w:val="%1.%2.%3.%4.%5.%6.%7.%8"/>
      <w:lvlJc w:val="left"/>
      <w:pPr>
        <w:tabs>
          <w:tab w:val="left" w:pos="312"/>
        </w:tabs>
        <w:ind w:left="0" w:firstLine="0"/>
        <w:textAlignment w:val="baseline"/>
      </w:pPr>
    </w:lvl>
    <w:lvl w:ilvl="8" w:tentative="0">
      <w:start w:val="1"/>
      <w:numFmt w:val="decimal"/>
      <w:lvlText w:val="%1.%2.%3.%4.%5.%6.%7.%8.%9"/>
      <w:lvlJc w:val="left"/>
      <w:pPr>
        <w:tabs>
          <w:tab w:val="left" w:pos="312"/>
        </w:tabs>
        <w:ind w:left="0" w:firstLine="0"/>
        <w:textAlignment w:val="baseline"/>
      </w:pPr>
    </w:lvl>
  </w:abstractNum>
  <w:abstractNum w:abstractNumId="2">
    <w:nsid w:val="E6DD8D23"/>
    <w:multiLevelType w:val="singleLevel"/>
    <w:tmpl w:val="E6DD8D23"/>
    <w:lvl w:ilvl="0" w:tentative="0">
      <w:start w:val="1"/>
      <w:numFmt w:val="chineseCounting"/>
      <w:suff w:val="nothing"/>
      <w:lvlText w:val="%1、"/>
      <w:lvlJc w:val="left"/>
      <w:pPr>
        <w:textAlignment w:val="baseline"/>
      </w:pPr>
    </w:lvl>
  </w:abstractNum>
  <w:abstractNum w:abstractNumId="3">
    <w:nsid w:val="EA58F7FF"/>
    <w:multiLevelType w:val="singleLevel"/>
    <w:tmpl w:val="EA58F7FF"/>
    <w:lvl w:ilvl="0" w:tentative="0">
      <w:start w:val="8"/>
      <w:numFmt w:val="decimal"/>
      <w:suff w:val="nothing"/>
      <w:lvlText w:val="%1、"/>
      <w:lvlJc w:val="left"/>
      <w:pPr>
        <w:ind w:left="30"/>
      </w:pPr>
    </w:lvl>
  </w:abstractNum>
  <w:abstractNum w:abstractNumId="4">
    <w:nsid w:val="0A12E0F5"/>
    <w:multiLevelType w:val="singleLevel"/>
    <w:tmpl w:val="0A12E0F5"/>
    <w:lvl w:ilvl="0" w:tentative="0">
      <w:start w:val="1"/>
      <w:numFmt w:val="chineseCounting"/>
      <w:suff w:val="nothing"/>
      <w:lvlText w:val="%1、"/>
      <w:lvlJc w:val="left"/>
      <w:rPr>
        <w:rFonts w:hint="eastAsia"/>
      </w:rPr>
    </w:lvl>
  </w:abstractNum>
  <w:abstractNum w:abstractNumId="5">
    <w:nsid w:val="155E6A8F"/>
    <w:multiLevelType w:val="multilevel"/>
    <w:tmpl w:val="155E6A8F"/>
    <w:lvl w:ilvl="0" w:tentative="0">
      <w:start w:val="1"/>
      <w:numFmt w:val="decimal"/>
      <w:lvlText w:val="（%1）"/>
      <w:lvlJc w:val="left"/>
      <w:pPr>
        <w:tabs>
          <w:tab w:val="left" w:pos="1571"/>
        </w:tabs>
        <w:ind w:left="1571" w:hanging="720"/>
        <w:textAlignment w:val="baseline"/>
      </w:pPr>
      <w:rPr>
        <w:rFonts w:ascii="仿宋_GB2312" w:hAnsi="宋体" w:eastAsia="仿宋_GB2312"/>
      </w:rPr>
    </w:lvl>
    <w:lvl w:ilvl="1" w:tentative="0">
      <w:start w:val="1"/>
      <w:numFmt w:val="lowerLetter"/>
      <w:lvlText w:val="%1)"/>
      <w:lvlJc w:val="left"/>
      <w:pPr>
        <w:tabs>
          <w:tab w:val="left" w:pos="1739"/>
        </w:tabs>
        <w:ind w:left="1739" w:hanging="420"/>
        <w:textAlignment w:val="baseline"/>
      </w:pPr>
    </w:lvl>
    <w:lvl w:ilvl="2" w:tentative="0">
      <w:start w:val="1"/>
      <w:numFmt w:val="lowerRoman"/>
      <w:lvlText w:val="%1."/>
      <w:lvlJc w:val="right"/>
      <w:pPr>
        <w:tabs>
          <w:tab w:val="left" w:pos="2159"/>
        </w:tabs>
        <w:ind w:left="2159" w:hanging="420"/>
        <w:textAlignment w:val="baseline"/>
      </w:pPr>
    </w:lvl>
    <w:lvl w:ilvl="3" w:tentative="0">
      <w:start w:val="1"/>
      <w:numFmt w:val="decimal"/>
      <w:lvlText w:val="%1."/>
      <w:lvlJc w:val="left"/>
      <w:pPr>
        <w:tabs>
          <w:tab w:val="left" w:pos="2579"/>
        </w:tabs>
        <w:ind w:left="2579" w:hanging="420"/>
        <w:textAlignment w:val="baseline"/>
      </w:pPr>
    </w:lvl>
    <w:lvl w:ilvl="4" w:tentative="0">
      <w:start w:val="1"/>
      <w:numFmt w:val="lowerLetter"/>
      <w:lvlText w:val="%1)"/>
      <w:lvlJc w:val="left"/>
      <w:pPr>
        <w:tabs>
          <w:tab w:val="left" w:pos="2999"/>
        </w:tabs>
        <w:ind w:left="2999" w:hanging="420"/>
        <w:textAlignment w:val="baseline"/>
      </w:pPr>
    </w:lvl>
    <w:lvl w:ilvl="5" w:tentative="0">
      <w:start w:val="1"/>
      <w:numFmt w:val="lowerRoman"/>
      <w:lvlText w:val="%1."/>
      <w:lvlJc w:val="right"/>
      <w:pPr>
        <w:tabs>
          <w:tab w:val="left" w:pos="3419"/>
        </w:tabs>
        <w:ind w:left="3419" w:hanging="420"/>
        <w:textAlignment w:val="baseline"/>
      </w:pPr>
    </w:lvl>
    <w:lvl w:ilvl="6" w:tentative="0">
      <w:start w:val="1"/>
      <w:numFmt w:val="decimal"/>
      <w:lvlText w:val="%1."/>
      <w:lvlJc w:val="left"/>
      <w:pPr>
        <w:tabs>
          <w:tab w:val="left" w:pos="3839"/>
        </w:tabs>
        <w:ind w:left="3839" w:hanging="420"/>
        <w:textAlignment w:val="baseline"/>
      </w:pPr>
    </w:lvl>
    <w:lvl w:ilvl="7" w:tentative="0">
      <w:start w:val="1"/>
      <w:numFmt w:val="lowerLetter"/>
      <w:lvlText w:val="%1)"/>
      <w:lvlJc w:val="left"/>
      <w:pPr>
        <w:tabs>
          <w:tab w:val="left" w:pos="4259"/>
        </w:tabs>
        <w:ind w:left="4259" w:hanging="420"/>
        <w:textAlignment w:val="baseline"/>
      </w:pPr>
    </w:lvl>
    <w:lvl w:ilvl="8" w:tentative="0">
      <w:start w:val="1"/>
      <w:numFmt w:val="lowerRoman"/>
      <w:lvlText w:val="%1."/>
      <w:lvlJc w:val="right"/>
      <w:pPr>
        <w:tabs>
          <w:tab w:val="left" w:pos="4679"/>
        </w:tabs>
        <w:ind w:left="4679" w:hanging="420"/>
        <w:textAlignment w:val="baseline"/>
      </w:pPr>
    </w:lvl>
  </w:abstractNum>
  <w:abstractNum w:abstractNumId="6">
    <w:nsid w:val="25E9131D"/>
    <w:multiLevelType w:val="multilevel"/>
    <w:tmpl w:val="25E9131D"/>
    <w:lvl w:ilvl="0" w:tentative="0">
      <w:start w:val="1"/>
      <w:numFmt w:val="decimal"/>
      <w:lvlText w:val="%1"/>
      <w:lvlJc w:val="left"/>
      <w:pPr>
        <w:tabs>
          <w:tab w:val="left" w:pos="900"/>
        </w:tabs>
        <w:ind w:left="900" w:hanging="900"/>
        <w:textAlignment w:val="baseline"/>
      </w:pPr>
    </w:lvl>
    <w:lvl w:ilvl="1" w:tentative="0">
      <w:start w:val="1"/>
      <w:numFmt w:val="decimal"/>
      <w:lvlText w:val="%1.%2"/>
      <w:lvlJc w:val="left"/>
      <w:pPr>
        <w:tabs>
          <w:tab w:val="left" w:pos="900"/>
        </w:tabs>
        <w:ind w:left="900" w:hanging="900"/>
        <w:textAlignment w:val="baseline"/>
      </w:pPr>
    </w:lvl>
    <w:lvl w:ilvl="2" w:tentative="0">
      <w:start w:val="1"/>
      <w:numFmt w:val="decimal"/>
      <w:lvlText w:val="%1.%2.%3"/>
      <w:lvlJc w:val="left"/>
      <w:pPr>
        <w:tabs>
          <w:tab w:val="left" w:pos="900"/>
        </w:tabs>
        <w:ind w:left="900" w:hanging="900"/>
        <w:textAlignment w:val="baseline"/>
      </w:pPr>
    </w:lvl>
    <w:lvl w:ilvl="3" w:tentative="0">
      <w:start w:val="1"/>
      <w:numFmt w:val="decimal"/>
      <w:lvlText w:val="%1.%2.%3.%4"/>
      <w:lvlJc w:val="left"/>
      <w:pPr>
        <w:tabs>
          <w:tab w:val="left" w:pos="900"/>
        </w:tabs>
        <w:ind w:left="900" w:hanging="900"/>
        <w:textAlignment w:val="baseline"/>
      </w:pPr>
    </w:lvl>
    <w:lvl w:ilvl="4" w:tentative="0">
      <w:start w:val="1"/>
      <w:numFmt w:val="decimal"/>
      <w:lvlText w:val="%1.%2.%3.%4.%5"/>
      <w:lvlJc w:val="left"/>
      <w:pPr>
        <w:tabs>
          <w:tab w:val="left" w:pos="900"/>
        </w:tabs>
        <w:ind w:left="900" w:hanging="900"/>
        <w:textAlignment w:val="baseline"/>
      </w:pPr>
    </w:lvl>
    <w:lvl w:ilvl="5" w:tentative="0">
      <w:start w:val="1"/>
      <w:numFmt w:val="decimal"/>
      <w:lvlText w:val="%1.%2.%3.%4.%5.%6"/>
      <w:lvlJc w:val="left"/>
      <w:pPr>
        <w:tabs>
          <w:tab w:val="left" w:pos="900"/>
        </w:tabs>
        <w:ind w:left="900" w:hanging="900"/>
        <w:textAlignment w:val="baseline"/>
      </w:pPr>
    </w:lvl>
    <w:lvl w:ilvl="6" w:tentative="0">
      <w:start w:val="1"/>
      <w:numFmt w:val="decimal"/>
      <w:lvlText w:val="%1.%2.%3.%4.%5.%6.%7"/>
      <w:lvlJc w:val="left"/>
      <w:pPr>
        <w:tabs>
          <w:tab w:val="left" w:pos="900"/>
        </w:tabs>
        <w:ind w:left="900" w:hanging="900"/>
        <w:textAlignment w:val="baseline"/>
      </w:pPr>
    </w:lvl>
    <w:lvl w:ilvl="7" w:tentative="0">
      <w:start w:val="1"/>
      <w:numFmt w:val="decimal"/>
      <w:lvlText w:val="%1.%2.%3.%4.%5.%6.%7.%8"/>
      <w:lvlJc w:val="left"/>
      <w:pPr>
        <w:tabs>
          <w:tab w:val="left" w:pos="900"/>
        </w:tabs>
        <w:ind w:left="900" w:hanging="900"/>
        <w:textAlignment w:val="baseline"/>
      </w:pPr>
    </w:lvl>
    <w:lvl w:ilvl="8" w:tentative="0">
      <w:start w:val="1"/>
      <w:numFmt w:val="decimal"/>
      <w:lvlText w:val="%1.%2.%3.%4.%5.%6.%7.%8.%9"/>
      <w:lvlJc w:val="left"/>
      <w:pPr>
        <w:tabs>
          <w:tab w:val="left" w:pos="900"/>
        </w:tabs>
        <w:ind w:left="900" w:hanging="900"/>
        <w:textAlignment w:val="baseline"/>
      </w:pPr>
    </w:lvl>
  </w:abstractNum>
  <w:abstractNum w:abstractNumId="7">
    <w:nsid w:val="3D6E071B"/>
    <w:multiLevelType w:val="singleLevel"/>
    <w:tmpl w:val="3D6E071B"/>
    <w:lvl w:ilvl="0" w:tentative="0">
      <w:start w:val="1"/>
      <w:numFmt w:val="decimal"/>
      <w:lvlText w:val="%1."/>
      <w:lvlJc w:val="left"/>
      <w:pPr>
        <w:tabs>
          <w:tab w:val="left" w:pos="312"/>
        </w:tabs>
      </w:pPr>
    </w:lvl>
  </w:abstractNum>
  <w:abstractNum w:abstractNumId="8">
    <w:nsid w:val="44DD0909"/>
    <w:multiLevelType w:val="multilevel"/>
    <w:tmpl w:val="44DD0909"/>
    <w:lvl w:ilvl="0" w:tentative="0">
      <w:start w:val="1"/>
      <w:numFmt w:val="decimal"/>
      <w:lvlText w:val="%1)"/>
      <w:lvlJc w:val="left"/>
      <w:pPr>
        <w:ind w:left="420" w:hanging="420"/>
        <w:textAlignment w:val="baseline"/>
      </w:pPr>
    </w:lvl>
    <w:lvl w:ilvl="1" w:tentative="0">
      <w:start w:val="1"/>
      <w:numFmt w:val="decimal"/>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9">
    <w:nsid w:val="59D953CC"/>
    <w:multiLevelType w:val="singleLevel"/>
    <w:tmpl w:val="59D953CC"/>
    <w:lvl w:ilvl="0" w:tentative="0">
      <w:start w:val="6"/>
      <w:numFmt w:val="chineseCounting"/>
      <w:suff w:val="nothing"/>
      <w:lvlText w:val="%1、"/>
      <w:lvlJc w:val="left"/>
      <w:pPr>
        <w:textAlignment w:val="baseline"/>
      </w:pPr>
    </w:lvl>
  </w:abstractNum>
  <w:abstractNum w:abstractNumId="10">
    <w:nsid w:val="66E4770E"/>
    <w:multiLevelType w:val="multilevel"/>
    <w:tmpl w:val="66E4770E"/>
    <w:lvl w:ilvl="0" w:tentative="0">
      <w:start w:val="1"/>
      <w:numFmt w:val="decimal"/>
      <w:lvlText w:val="第%1章"/>
      <w:lvlJc w:val="left"/>
      <w:pPr>
        <w:tabs>
          <w:tab w:val="left" w:pos="1680"/>
        </w:tabs>
        <w:ind w:left="1680" w:hanging="1140"/>
        <w:textAlignment w:val="baseline"/>
      </w:pPr>
    </w:lvl>
    <w:lvl w:ilvl="1" w:tentative="0">
      <w:start w:val="1"/>
      <w:numFmt w:val="lowerLetter"/>
      <w:lvlText w:val="%1)"/>
      <w:lvlJc w:val="left"/>
      <w:pPr>
        <w:tabs>
          <w:tab w:val="left" w:pos="1380"/>
        </w:tabs>
        <w:ind w:left="1380" w:hanging="420"/>
        <w:textAlignment w:val="baseline"/>
      </w:pPr>
    </w:lvl>
    <w:lvl w:ilvl="2" w:tentative="0">
      <w:start w:val="1"/>
      <w:numFmt w:val="lowerRoman"/>
      <w:lvlText w:val="%1."/>
      <w:lvlJc w:val="right"/>
      <w:pPr>
        <w:tabs>
          <w:tab w:val="left" w:pos="1800"/>
        </w:tabs>
        <w:ind w:left="1800" w:hanging="420"/>
        <w:textAlignment w:val="baseline"/>
      </w:pPr>
    </w:lvl>
    <w:lvl w:ilvl="3" w:tentative="0">
      <w:start w:val="1"/>
      <w:numFmt w:val="decimal"/>
      <w:lvlText w:val="%1."/>
      <w:lvlJc w:val="left"/>
      <w:pPr>
        <w:tabs>
          <w:tab w:val="left" w:pos="2220"/>
        </w:tabs>
        <w:ind w:left="2220" w:hanging="420"/>
        <w:textAlignment w:val="baseline"/>
      </w:pPr>
    </w:lvl>
    <w:lvl w:ilvl="4" w:tentative="0">
      <w:start w:val="1"/>
      <w:numFmt w:val="lowerLetter"/>
      <w:lvlText w:val="%1)"/>
      <w:lvlJc w:val="left"/>
      <w:pPr>
        <w:tabs>
          <w:tab w:val="left" w:pos="2640"/>
        </w:tabs>
        <w:ind w:left="2640" w:hanging="420"/>
        <w:textAlignment w:val="baseline"/>
      </w:pPr>
    </w:lvl>
    <w:lvl w:ilvl="5" w:tentative="0">
      <w:start w:val="1"/>
      <w:numFmt w:val="lowerRoman"/>
      <w:lvlText w:val="%1."/>
      <w:lvlJc w:val="right"/>
      <w:pPr>
        <w:tabs>
          <w:tab w:val="left" w:pos="3060"/>
        </w:tabs>
        <w:ind w:left="3060" w:hanging="420"/>
        <w:textAlignment w:val="baseline"/>
      </w:pPr>
    </w:lvl>
    <w:lvl w:ilvl="6" w:tentative="0">
      <w:start w:val="1"/>
      <w:numFmt w:val="decimal"/>
      <w:lvlText w:val="%1."/>
      <w:lvlJc w:val="left"/>
      <w:pPr>
        <w:tabs>
          <w:tab w:val="left" w:pos="3480"/>
        </w:tabs>
        <w:ind w:left="3480" w:hanging="420"/>
        <w:textAlignment w:val="baseline"/>
      </w:pPr>
    </w:lvl>
    <w:lvl w:ilvl="7" w:tentative="0">
      <w:start w:val="1"/>
      <w:numFmt w:val="lowerLetter"/>
      <w:lvlText w:val="%1)"/>
      <w:lvlJc w:val="left"/>
      <w:pPr>
        <w:tabs>
          <w:tab w:val="left" w:pos="3900"/>
        </w:tabs>
        <w:ind w:left="3900" w:hanging="420"/>
        <w:textAlignment w:val="baseline"/>
      </w:pPr>
    </w:lvl>
    <w:lvl w:ilvl="8" w:tentative="0">
      <w:start w:val="1"/>
      <w:numFmt w:val="lowerRoman"/>
      <w:lvlText w:val="%1."/>
      <w:lvlJc w:val="right"/>
      <w:pPr>
        <w:tabs>
          <w:tab w:val="left" w:pos="4320"/>
        </w:tabs>
        <w:ind w:left="4320" w:hanging="420"/>
        <w:textAlignment w:val="baseline"/>
      </w:pPr>
    </w:lvl>
  </w:abstractNum>
  <w:num w:numId="1">
    <w:abstractNumId w:val="6"/>
  </w:num>
  <w:num w:numId="2">
    <w:abstractNumId w:val="10"/>
  </w:num>
  <w:num w:numId="3">
    <w:abstractNumId w:val="1"/>
  </w:num>
  <w:num w:numId="4">
    <w:abstractNumId w:val="5"/>
  </w:num>
  <w:num w:numId="5">
    <w:abstractNumId w:val="3"/>
  </w:num>
  <w:num w:numId="6">
    <w:abstractNumId w:val="2"/>
  </w:num>
  <w:num w:numId="7">
    <w:abstractNumId w:val="0"/>
  </w:num>
  <w:num w:numId="8">
    <w:abstractNumId w:val="9"/>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lhZWYxYzUxMjlkMDAwNmUxMDhiZDQxMzZmYjcifQ=="/>
    <w:docVar w:name="KSO_WPS_MARK_KEY" w:val="19478e69-9f22-43f2-8503-b5b1be6ee096"/>
  </w:docVars>
  <w:rsids>
    <w:rsidRoot w:val="7FA51748"/>
    <w:rsid w:val="00066EBC"/>
    <w:rsid w:val="00086AC5"/>
    <w:rsid w:val="002548AE"/>
    <w:rsid w:val="0027695C"/>
    <w:rsid w:val="00293E68"/>
    <w:rsid w:val="00403D94"/>
    <w:rsid w:val="00490865"/>
    <w:rsid w:val="00563BB7"/>
    <w:rsid w:val="0067363B"/>
    <w:rsid w:val="006B642C"/>
    <w:rsid w:val="0078768E"/>
    <w:rsid w:val="007A6E43"/>
    <w:rsid w:val="007D5435"/>
    <w:rsid w:val="0083353A"/>
    <w:rsid w:val="0085081A"/>
    <w:rsid w:val="00957DF9"/>
    <w:rsid w:val="0099166E"/>
    <w:rsid w:val="00A179F9"/>
    <w:rsid w:val="00A77956"/>
    <w:rsid w:val="00AA4AB9"/>
    <w:rsid w:val="00AE14C2"/>
    <w:rsid w:val="00B90902"/>
    <w:rsid w:val="00BA3BFB"/>
    <w:rsid w:val="00BB10A5"/>
    <w:rsid w:val="00BB66FE"/>
    <w:rsid w:val="00C175D3"/>
    <w:rsid w:val="00D42B17"/>
    <w:rsid w:val="00DD6C71"/>
    <w:rsid w:val="00E46AD2"/>
    <w:rsid w:val="00E53696"/>
    <w:rsid w:val="00F536F9"/>
    <w:rsid w:val="01457570"/>
    <w:rsid w:val="016A347B"/>
    <w:rsid w:val="01913FB9"/>
    <w:rsid w:val="019B1886"/>
    <w:rsid w:val="01BB5A85"/>
    <w:rsid w:val="01CC5EE4"/>
    <w:rsid w:val="01D95F0B"/>
    <w:rsid w:val="02002ACB"/>
    <w:rsid w:val="0261662C"/>
    <w:rsid w:val="02AD361F"/>
    <w:rsid w:val="02BA21E0"/>
    <w:rsid w:val="0313544C"/>
    <w:rsid w:val="032A1114"/>
    <w:rsid w:val="033742F0"/>
    <w:rsid w:val="034D6BB0"/>
    <w:rsid w:val="03AF786B"/>
    <w:rsid w:val="03F4702C"/>
    <w:rsid w:val="04020397"/>
    <w:rsid w:val="04071455"/>
    <w:rsid w:val="040F20B8"/>
    <w:rsid w:val="041651F4"/>
    <w:rsid w:val="04273E18"/>
    <w:rsid w:val="04830723"/>
    <w:rsid w:val="04CD130E"/>
    <w:rsid w:val="04F574FF"/>
    <w:rsid w:val="050339CA"/>
    <w:rsid w:val="05706B86"/>
    <w:rsid w:val="05B253F0"/>
    <w:rsid w:val="05DE39E0"/>
    <w:rsid w:val="05E03D0C"/>
    <w:rsid w:val="06222576"/>
    <w:rsid w:val="065F7326"/>
    <w:rsid w:val="06662200"/>
    <w:rsid w:val="06A92350"/>
    <w:rsid w:val="06E72E78"/>
    <w:rsid w:val="071C5217"/>
    <w:rsid w:val="073F2CB4"/>
    <w:rsid w:val="07854B6B"/>
    <w:rsid w:val="07BB67DE"/>
    <w:rsid w:val="07E13D6B"/>
    <w:rsid w:val="080737D2"/>
    <w:rsid w:val="08123F24"/>
    <w:rsid w:val="086E3851"/>
    <w:rsid w:val="087D7F38"/>
    <w:rsid w:val="089C4C8F"/>
    <w:rsid w:val="08A059D4"/>
    <w:rsid w:val="08BF22FE"/>
    <w:rsid w:val="08DC6C50"/>
    <w:rsid w:val="08F16230"/>
    <w:rsid w:val="091A12E3"/>
    <w:rsid w:val="093A1985"/>
    <w:rsid w:val="098D41AA"/>
    <w:rsid w:val="099E3CC2"/>
    <w:rsid w:val="09A80A8D"/>
    <w:rsid w:val="0A285C81"/>
    <w:rsid w:val="0A310B8B"/>
    <w:rsid w:val="0ABB08A3"/>
    <w:rsid w:val="0B36617C"/>
    <w:rsid w:val="0B3F3282"/>
    <w:rsid w:val="0B5A630E"/>
    <w:rsid w:val="0B6E353E"/>
    <w:rsid w:val="0B9A2BAF"/>
    <w:rsid w:val="0BA92DF2"/>
    <w:rsid w:val="0BCB0FBA"/>
    <w:rsid w:val="0C076962"/>
    <w:rsid w:val="0C1110C3"/>
    <w:rsid w:val="0C2030B4"/>
    <w:rsid w:val="0C41302A"/>
    <w:rsid w:val="0C474AE5"/>
    <w:rsid w:val="0C4A6383"/>
    <w:rsid w:val="0C590374"/>
    <w:rsid w:val="0C8C24F7"/>
    <w:rsid w:val="0C91395E"/>
    <w:rsid w:val="0CCA74C4"/>
    <w:rsid w:val="0D182316"/>
    <w:rsid w:val="0D2210AE"/>
    <w:rsid w:val="0D38267F"/>
    <w:rsid w:val="0D8B27AF"/>
    <w:rsid w:val="0E6D0107"/>
    <w:rsid w:val="0E9E6512"/>
    <w:rsid w:val="0EA71F0A"/>
    <w:rsid w:val="0EAD2BF9"/>
    <w:rsid w:val="0EC10BC1"/>
    <w:rsid w:val="0ECE7B96"/>
    <w:rsid w:val="0EDB32C2"/>
    <w:rsid w:val="0EE9189A"/>
    <w:rsid w:val="0F1A688C"/>
    <w:rsid w:val="0F814668"/>
    <w:rsid w:val="0F9F3559"/>
    <w:rsid w:val="0FA933C0"/>
    <w:rsid w:val="0FBF0E36"/>
    <w:rsid w:val="0FF7412C"/>
    <w:rsid w:val="10061C28"/>
    <w:rsid w:val="102D5D9F"/>
    <w:rsid w:val="105A46BB"/>
    <w:rsid w:val="10613C9B"/>
    <w:rsid w:val="106D2640"/>
    <w:rsid w:val="10A5627E"/>
    <w:rsid w:val="10B244F7"/>
    <w:rsid w:val="10E072B6"/>
    <w:rsid w:val="11537A88"/>
    <w:rsid w:val="11626401"/>
    <w:rsid w:val="116A4DD1"/>
    <w:rsid w:val="11A622AD"/>
    <w:rsid w:val="11E3705D"/>
    <w:rsid w:val="120E39AF"/>
    <w:rsid w:val="123B28DE"/>
    <w:rsid w:val="12D70244"/>
    <w:rsid w:val="12EB53B3"/>
    <w:rsid w:val="130D3C66"/>
    <w:rsid w:val="13394A5B"/>
    <w:rsid w:val="133F61FB"/>
    <w:rsid w:val="13A66595"/>
    <w:rsid w:val="13C24A51"/>
    <w:rsid w:val="14092680"/>
    <w:rsid w:val="14290F74"/>
    <w:rsid w:val="14496F20"/>
    <w:rsid w:val="144E5F5A"/>
    <w:rsid w:val="14593607"/>
    <w:rsid w:val="149731AD"/>
    <w:rsid w:val="14C50C9C"/>
    <w:rsid w:val="14DE3B0C"/>
    <w:rsid w:val="14E12714"/>
    <w:rsid w:val="14E76E65"/>
    <w:rsid w:val="14F8650C"/>
    <w:rsid w:val="14F90946"/>
    <w:rsid w:val="15115C90"/>
    <w:rsid w:val="15455939"/>
    <w:rsid w:val="157306F8"/>
    <w:rsid w:val="158346B4"/>
    <w:rsid w:val="15966195"/>
    <w:rsid w:val="15A22D8C"/>
    <w:rsid w:val="15E038B4"/>
    <w:rsid w:val="15F5110D"/>
    <w:rsid w:val="16027CCE"/>
    <w:rsid w:val="16135A37"/>
    <w:rsid w:val="161A0B74"/>
    <w:rsid w:val="168129A1"/>
    <w:rsid w:val="16F5338F"/>
    <w:rsid w:val="17183D89"/>
    <w:rsid w:val="172A128B"/>
    <w:rsid w:val="174762AE"/>
    <w:rsid w:val="179B7A92"/>
    <w:rsid w:val="17C76AD9"/>
    <w:rsid w:val="17FA7064"/>
    <w:rsid w:val="181F06C4"/>
    <w:rsid w:val="18664544"/>
    <w:rsid w:val="19185113"/>
    <w:rsid w:val="19355CC5"/>
    <w:rsid w:val="197113F3"/>
    <w:rsid w:val="19A5109C"/>
    <w:rsid w:val="19AA66B3"/>
    <w:rsid w:val="19AC5F87"/>
    <w:rsid w:val="19D454DE"/>
    <w:rsid w:val="19E82D37"/>
    <w:rsid w:val="19EE47F1"/>
    <w:rsid w:val="1A815666"/>
    <w:rsid w:val="1AD02149"/>
    <w:rsid w:val="1AD734D7"/>
    <w:rsid w:val="1B7900EB"/>
    <w:rsid w:val="1B7927E1"/>
    <w:rsid w:val="1B9273FE"/>
    <w:rsid w:val="1BA07D6D"/>
    <w:rsid w:val="1BF754B3"/>
    <w:rsid w:val="1C033E58"/>
    <w:rsid w:val="1C627CB7"/>
    <w:rsid w:val="1C880A5C"/>
    <w:rsid w:val="1C8B27CB"/>
    <w:rsid w:val="1CAC629E"/>
    <w:rsid w:val="1D266050"/>
    <w:rsid w:val="1D3C5874"/>
    <w:rsid w:val="1D4110DC"/>
    <w:rsid w:val="1D90796E"/>
    <w:rsid w:val="1DCC4072"/>
    <w:rsid w:val="1E4531C0"/>
    <w:rsid w:val="1E636E30"/>
    <w:rsid w:val="1E9D2342"/>
    <w:rsid w:val="1EDF0BAD"/>
    <w:rsid w:val="1EE6018D"/>
    <w:rsid w:val="1F244811"/>
    <w:rsid w:val="1F264A2D"/>
    <w:rsid w:val="1F7C289F"/>
    <w:rsid w:val="1F861028"/>
    <w:rsid w:val="1F9E45C4"/>
    <w:rsid w:val="20A21E92"/>
    <w:rsid w:val="20AA343C"/>
    <w:rsid w:val="20C92CE4"/>
    <w:rsid w:val="20DA787E"/>
    <w:rsid w:val="20E546AF"/>
    <w:rsid w:val="20F756A2"/>
    <w:rsid w:val="21354E15"/>
    <w:rsid w:val="2149055F"/>
    <w:rsid w:val="214E1EDC"/>
    <w:rsid w:val="21DC5877"/>
    <w:rsid w:val="22066450"/>
    <w:rsid w:val="228201CD"/>
    <w:rsid w:val="230C5CE8"/>
    <w:rsid w:val="231632C0"/>
    <w:rsid w:val="23810484"/>
    <w:rsid w:val="238D507B"/>
    <w:rsid w:val="23AE0B4E"/>
    <w:rsid w:val="23EB7FF4"/>
    <w:rsid w:val="240510B5"/>
    <w:rsid w:val="241035B6"/>
    <w:rsid w:val="249C4E4A"/>
    <w:rsid w:val="24A501A2"/>
    <w:rsid w:val="24A51F50"/>
    <w:rsid w:val="255319AC"/>
    <w:rsid w:val="257E711C"/>
    <w:rsid w:val="261F21D6"/>
    <w:rsid w:val="26413EFB"/>
    <w:rsid w:val="26437C73"/>
    <w:rsid w:val="266876DA"/>
    <w:rsid w:val="268169ED"/>
    <w:rsid w:val="26D42324"/>
    <w:rsid w:val="26E31456"/>
    <w:rsid w:val="26F472C2"/>
    <w:rsid w:val="270E3C60"/>
    <w:rsid w:val="272D23FD"/>
    <w:rsid w:val="2778394C"/>
    <w:rsid w:val="277F117F"/>
    <w:rsid w:val="27B16E5E"/>
    <w:rsid w:val="27B64475"/>
    <w:rsid w:val="28155EC4"/>
    <w:rsid w:val="286D0FD7"/>
    <w:rsid w:val="287E1436"/>
    <w:rsid w:val="287E4F92"/>
    <w:rsid w:val="28924EE2"/>
    <w:rsid w:val="28A40771"/>
    <w:rsid w:val="28DA4193"/>
    <w:rsid w:val="299802D6"/>
    <w:rsid w:val="29A30A29"/>
    <w:rsid w:val="29CC7F7F"/>
    <w:rsid w:val="2A8202D3"/>
    <w:rsid w:val="2A88659C"/>
    <w:rsid w:val="2ADF3CE2"/>
    <w:rsid w:val="2AE31A25"/>
    <w:rsid w:val="2AE65071"/>
    <w:rsid w:val="2B7F799F"/>
    <w:rsid w:val="2B801021"/>
    <w:rsid w:val="2BE55328"/>
    <w:rsid w:val="2C153E60"/>
    <w:rsid w:val="2C73502A"/>
    <w:rsid w:val="2C840FE5"/>
    <w:rsid w:val="2CAE7EF9"/>
    <w:rsid w:val="2CFC5020"/>
    <w:rsid w:val="2D19172E"/>
    <w:rsid w:val="2D4A7B39"/>
    <w:rsid w:val="2DF6381D"/>
    <w:rsid w:val="2E255EB0"/>
    <w:rsid w:val="2E2E0994"/>
    <w:rsid w:val="2E67296D"/>
    <w:rsid w:val="2E9D638E"/>
    <w:rsid w:val="2EC1530F"/>
    <w:rsid w:val="2F416D1A"/>
    <w:rsid w:val="2F656EAC"/>
    <w:rsid w:val="2F673CF2"/>
    <w:rsid w:val="2FC42A39"/>
    <w:rsid w:val="2FE83639"/>
    <w:rsid w:val="2FFD0E93"/>
    <w:rsid w:val="30534F57"/>
    <w:rsid w:val="307153DD"/>
    <w:rsid w:val="308E5F8F"/>
    <w:rsid w:val="30D8545C"/>
    <w:rsid w:val="31673FB4"/>
    <w:rsid w:val="31693826"/>
    <w:rsid w:val="31D71BB7"/>
    <w:rsid w:val="31D9148B"/>
    <w:rsid w:val="32211625"/>
    <w:rsid w:val="322A618B"/>
    <w:rsid w:val="32C0264B"/>
    <w:rsid w:val="32C51A10"/>
    <w:rsid w:val="336851BD"/>
    <w:rsid w:val="338F44F8"/>
    <w:rsid w:val="33915F8D"/>
    <w:rsid w:val="33A437AC"/>
    <w:rsid w:val="33A930DF"/>
    <w:rsid w:val="34056568"/>
    <w:rsid w:val="342D5ABF"/>
    <w:rsid w:val="34361DE0"/>
    <w:rsid w:val="34473E4C"/>
    <w:rsid w:val="34A35D81"/>
    <w:rsid w:val="35040F15"/>
    <w:rsid w:val="350902DA"/>
    <w:rsid w:val="357040BA"/>
    <w:rsid w:val="357A11D7"/>
    <w:rsid w:val="359F2D89"/>
    <w:rsid w:val="35A324DC"/>
    <w:rsid w:val="35CD7559"/>
    <w:rsid w:val="35D95EFE"/>
    <w:rsid w:val="35DC59EE"/>
    <w:rsid w:val="35E9112E"/>
    <w:rsid w:val="35F2002A"/>
    <w:rsid w:val="36140CE4"/>
    <w:rsid w:val="361E7DB5"/>
    <w:rsid w:val="362A49AB"/>
    <w:rsid w:val="364C66D0"/>
    <w:rsid w:val="365437D6"/>
    <w:rsid w:val="367D0F7F"/>
    <w:rsid w:val="3698148D"/>
    <w:rsid w:val="36A06A1C"/>
    <w:rsid w:val="36A4174F"/>
    <w:rsid w:val="37054D01"/>
    <w:rsid w:val="37164F30"/>
    <w:rsid w:val="37993D91"/>
    <w:rsid w:val="37C46EC5"/>
    <w:rsid w:val="37C60704"/>
    <w:rsid w:val="37D86DCA"/>
    <w:rsid w:val="37FE6466"/>
    <w:rsid w:val="3801798E"/>
    <w:rsid w:val="38194CD8"/>
    <w:rsid w:val="381B0A50"/>
    <w:rsid w:val="384D672F"/>
    <w:rsid w:val="38EC7CF6"/>
    <w:rsid w:val="38F80D91"/>
    <w:rsid w:val="38FD5800"/>
    <w:rsid w:val="393618B9"/>
    <w:rsid w:val="393671C3"/>
    <w:rsid w:val="394C2E8B"/>
    <w:rsid w:val="39537D75"/>
    <w:rsid w:val="397321C6"/>
    <w:rsid w:val="3981182F"/>
    <w:rsid w:val="3A0D6176"/>
    <w:rsid w:val="3A1F5EA9"/>
    <w:rsid w:val="3A345DF9"/>
    <w:rsid w:val="3A6F0BDF"/>
    <w:rsid w:val="3A7B6865"/>
    <w:rsid w:val="3A886145"/>
    <w:rsid w:val="3ACC7DDF"/>
    <w:rsid w:val="3B041209"/>
    <w:rsid w:val="3B334302"/>
    <w:rsid w:val="3C30439E"/>
    <w:rsid w:val="3CCD7C2C"/>
    <w:rsid w:val="3CF03B2D"/>
    <w:rsid w:val="3DB23128"/>
    <w:rsid w:val="3DE61CB8"/>
    <w:rsid w:val="3E171CB9"/>
    <w:rsid w:val="3E410AE4"/>
    <w:rsid w:val="3E895FE7"/>
    <w:rsid w:val="3E927592"/>
    <w:rsid w:val="3EE53B65"/>
    <w:rsid w:val="3F11495A"/>
    <w:rsid w:val="3F1F42CB"/>
    <w:rsid w:val="3F3F5454"/>
    <w:rsid w:val="400022D9"/>
    <w:rsid w:val="40493C80"/>
    <w:rsid w:val="407C22A8"/>
    <w:rsid w:val="40A9471F"/>
    <w:rsid w:val="40B25CC9"/>
    <w:rsid w:val="40E13EB9"/>
    <w:rsid w:val="410127AD"/>
    <w:rsid w:val="41130E56"/>
    <w:rsid w:val="4182569C"/>
    <w:rsid w:val="419D0727"/>
    <w:rsid w:val="41A575DC"/>
    <w:rsid w:val="41A74FDC"/>
    <w:rsid w:val="41AD023F"/>
    <w:rsid w:val="41DD28D2"/>
    <w:rsid w:val="423544BC"/>
    <w:rsid w:val="427A45C5"/>
    <w:rsid w:val="42A33B1C"/>
    <w:rsid w:val="434C41B3"/>
    <w:rsid w:val="43992A22"/>
    <w:rsid w:val="43F42155"/>
    <w:rsid w:val="44472BCC"/>
    <w:rsid w:val="44580936"/>
    <w:rsid w:val="445D7CFA"/>
    <w:rsid w:val="446F0254"/>
    <w:rsid w:val="45036AF3"/>
    <w:rsid w:val="45244CBC"/>
    <w:rsid w:val="453A17FD"/>
    <w:rsid w:val="45533D78"/>
    <w:rsid w:val="455A06DD"/>
    <w:rsid w:val="4574179F"/>
    <w:rsid w:val="458319E2"/>
    <w:rsid w:val="45A51959"/>
    <w:rsid w:val="46222FA9"/>
    <w:rsid w:val="46385D4F"/>
    <w:rsid w:val="46841EB6"/>
    <w:rsid w:val="46873754"/>
    <w:rsid w:val="46A61E2C"/>
    <w:rsid w:val="470E352E"/>
    <w:rsid w:val="47213261"/>
    <w:rsid w:val="47621146"/>
    <w:rsid w:val="47A13C33"/>
    <w:rsid w:val="47AA1CA0"/>
    <w:rsid w:val="47CA7D9C"/>
    <w:rsid w:val="48180B08"/>
    <w:rsid w:val="481A347D"/>
    <w:rsid w:val="487815A6"/>
    <w:rsid w:val="48A00AFD"/>
    <w:rsid w:val="48BA396D"/>
    <w:rsid w:val="48D55147"/>
    <w:rsid w:val="48E1539E"/>
    <w:rsid w:val="48EB621C"/>
    <w:rsid w:val="492E435B"/>
    <w:rsid w:val="494B6CBB"/>
    <w:rsid w:val="49AD1724"/>
    <w:rsid w:val="49ED7D72"/>
    <w:rsid w:val="4A0155CC"/>
    <w:rsid w:val="4A0A6ACC"/>
    <w:rsid w:val="4A0D3F70"/>
    <w:rsid w:val="4A1E617D"/>
    <w:rsid w:val="4B221C9D"/>
    <w:rsid w:val="4BAD1567"/>
    <w:rsid w:val="4BB23021"/>
    <w:rsid w:val="4BDF193C"/>
    <w:rsid w:val="4BF30464"/>
    <w:rsid w:val="4C1C66ED"/>
    <w:rsid w:val="4C3728D4"/>
    <w:rsid w:val="4C404189"/>
    <w:rsid w:val="4CF17B79"/>
    <w:rsid w:val="4D045777"/>
    <w:rsid w:val="4DDE1EAC"/>
    <w:rsid w:val="4E3A2460"/>
    <w:rsid w:val="4E772300"/>
    <w:rsid w:val="4E8D38D2"/>
    <w:rsid w:val="4EA34EA3"/>
    <w:rsid w:val="4F021BCA"/>
    <w:rsid w:val="4F4F0B87"/>
    <w:rsid w:val="4F6507F6"/>
    <w:rsid w:val="4FDE5BC3"/>
    <w:rsid w:val="507408A5"/>
    <w:rsid w:val="508A1E77"/>
    <w:rsid w:val="508F3931"/>
    <w:rsid w:val="50C26DDB"/>
    <w:rsid w:val="50C8299F"/>
    <w:rsid w:val="50F65CC2"/>
    <w:rsid w:val="50F6750C"/>
    <w:rsid w:val="510A120A"/>
    <w:rsid w:val="513A01AC"/>
    <w:rsid w:val="513B5867"/>
    <w:rsid w:val="516923D4"/>
    <w:rsid w:val="5196484B"/>
    <w:rsid w:val="52036385"/>
    <w:rsid w:val="522B58DB"/>
    <w:rsid w:val="523227C6"/>
    <w:rsid w:val="523A5B1F"/>
    <w:rsid w:val="52527BFD"/>
    <w:rsid w:val="527E021F"/>
    <w:rsid w:val="528228A0"/>
    <w:rsid w:val="52A325D2"/>
    <w:rsid w:val="53052687"/>
    <w:rsid w:val="53226CDE"/>
    <w:rsid w:val="532313DB"/>
    <w:rsid w:val="532365B3"/>
    <w:rsid w:val="532E3DA7"/>
    <w:rsid w:val="5358625C"/>
    <w:rsid w:val="536F35A6"/>
    <w:rsid w:val="537A08C9"/>
    <w:rsid w:val="53D55AFF"/>
    <w:rsid w:val="54482775"/>
    <w:rsid w:val="54B43966"/>
    <w:rsid w:val="54BA4CF5"/>
    <w:rsid w:val="54C16083"/>
    <w:rsid w:val="54FC70BB"/>
    <w:rsid w:val="550E59EB"/>
    <w:rsid w:val="55366A71"/>
    <w:rsid w:val="55434CEA"/>
    <w:rsid w:val="55524F2D"/>
    <w:rsid w:val="55594A14"/>
    <w:rsid w:val="5563538C"/>
    <w:rsid w:val="55760C1C"/>
    <w:rsid w:val="557E3F74"/>
    <w:rsid w:val="55985036"/>
    <w:rsid w:val="55B00C6D"/>
    <w:rsid w:val="562543F0"/>
    <w:rsid w:val="563D3E2F"/>
    <w:rsid w:val="569A4DDE"/>
    <w:rsid w:val="56C1680E"/>
    <w:rsid w:val="57213F32"/>
    <w:rsid w:val="572A43B4"/>
    <w:rsid w:val="572D7A00"/>
    <w:rsid w:val="57376AD1"/>
    <w:rsid w:val="57C540DC"/>
    <w:rsid w:val="57D04F5B"/>
    <w:rsid w:val="57DD7962"/>
    <w:rsid w:val="57DF1FEC"/>
    <w:rsid w:val="5886561A"/>
    <w:rsid w:val="588A72E6"/>
    <w:rsid w:val="589E6E07"/>
    <w:rsid w:val="58A75590"/>
    <w:rsid w:val="58A837E2"/>
    <w:rsid w:val="58D33E46"/>
    <w:rsid w:val="59155526"/>
    <w:rsid w:val="596361E3"/>
    <w:rsid w:val="5A427C66"/>
    <w:rsid w:val="5AAE2C06"/>
    <w:rsid w:val="5AE91E90"/>
    <w:rsid w:val="5B182775"/>
    <w:rsid w:val="5B94004E"/>
    <w:rsid w:val="5BC07095"/>
    <w:rsid w:val="5BD36F7D"/>
    <w:rsid w:val="5BF60D08"/>
    <w:rsid w:val="5C02145B"/>
    <w:rsid w:val="5C084598"/>
    <w:rsid w:val="5C0B49A2"/>
    <w:rsid w:val="5C5D086E"/>
    <w:rsid w:val="5D0B2591"/>
    <w:rsid w:val="5D4B0BE0"/>
    <w:rsid w:val="5D5757D7"/>
    <w:rsid w:val="5D77123A"/>
    <w:rsid w:val="5D83481E"/>
    <w:rsid w:val="5DEC23C3"/>
    <w:rsid w:val="5E345B18"/>
    <w:rsid w:val="5E361890"/>
    <w:rsid w:val="5E5210E8"/>
    <w:rsid w:val="5E820631"/>
    <w:rsid w:val="5E9033B3"/>
    <w:rsid w:val="5EA20CD3"/>
    <w:rsid w:val="5EC035FD"/>
    <w:rsid w:val="5F1F40D2"/>
    <w:rsid w:val="5F2F6A62"/>
    <w:rsid w:val="5F41673E"/>
    <w:rsid w:val="5F447FDD"/>
    <w:rsid w:val="5FBA204D"/>
    <w:rsid w:val="5FD7BC09"/>
    <w:rsid w:val="604C539B"/>
    <w:rsid w:val="6051475F"/>
    <w:rsid w:val="607641C6"/>
    <w:rsid w:val="609028F6"/>
    <w:rsid w:val="60CC2038"/>
    <w:rsid w:val="61135EB8"/>
    <w:rsid w:val="617D3332"/>
    <w:rsid w:val="61903065"/>
    <w:rsid w:val="61AF4795"/>
    <w:rsid w:val="61F7494E"/>
    <w:rsid w:val="62103631"/>
    <w:rsid w:val="62436329"/>
    <w:rsid w:val="62603A22"/>
    <w:rsid w:val="626D784A"/>
    <w:rsid w:val="62AF7E63"/>
    <w:rsid w:val="62D358FF"/>
    <w:rsid w:val="62E96ED1"/>
    <w:rsid w:val="630006BE"/>
    <w:rsid w:val="631D301E"/>
    <w:rsid w:val="63497970"/>
    <w:rsid w:val="64373C6C"/>
    <w:rsid w:val="643C5726"/>
    <w:rsid w:val="64542A70"/>
    <w:rsid w:val="645962D8"/>
    <w:rsid w:val="64601415"/>
    <w:rsid w:val="64A15589"/>
    <w:rsid w:val="651144BD"/>
    <w:rsid w:val="65515201"/>
    <w:rsid w:val="65C6174B"/>
    <w:rsid w:val="65DA51F7"/>
    <w:rsid w:val="65FC33BF"/>
    <w:rsid w:val="66091638"/>
    <w:rsid w:val="660C68DC"/>
    <w:rsid w:val="66846F11"/>
    <w:rsid w:val="66B94E0C"/>
    <w:rsid w:val="66E520A5"/>
    <w:rsid w:val="670F2C7E"/>
    <w:rsid w:val="672F3320"/>
    <w:rsid w:val="67344FE3"/>
    <w:rsid w:val="674566A0"/>
    <w:rsid w:val="67DA328C"/>
    <w:rsid w:val="67F85E08"/>
    <w:rsid w:val="67F87BB6"/>
    <w:rsid w:val="67FA7EAE"/>
    <w:rsid w:val="682E35D8"/>
    <w:rsid w:val="683C3F47"/>
    <w:rsid w:val="689948DA"/>
    <w:rsid w:val="68A4471F"/>
    <w:rsid w:val="68A613C0"/>
    <w:rsid w:val="69232A11"/>
    <w:rsid w:val="69967687"/>
    <w:rsid w:val="69981651"/>
    <w:rsid w:val="69E44896"/>
    <w:rsid w:val="69F30CDE"/>
    <w:rsid w:val="69FD2062"/>
    <w:rsid w:val="6A1011E7"/>
    <w:rsid w:val="6A4B3BD4"/>
    <w:rsid w:val="6A5C267E"/>
    <w:rsid w:val="6A9C2A7B"/>
    <w:rsid w:val="6AA14535"/>
    <w:rsid w:val="6ABE50E7"/>
    <w:rsid w:val="6ABF5687"/>
    <w:rsid w:val="6AC10733"/>
    <w:rsid w:val="6AC67AF8"/>
    <w:rsid w:val="6AD14E1A"/>
    <w:rsid w:val="6ADE3093"/>
    <w:rsid w:val="6AF40B09"/>
    <w:rsid w:val="6B8005EE"/>
    <w:rsid w:val="6BA0061E"/>
    <w:rsid w:val="6BA442DD"/>
    <w:rsid w:val="6BB34520"/>
    <w:rsid w:val="6BF80185"/>
    <w:rsid w:val="6C264CF2"/>
    <w:rsid w:val="6C4C04D0"/>
    <w:rsid w:val="6C6E6699"/>
    <w:rsid w:val="6CA200F0"/>
    <w:rsid w:val="6CDE737B"/>
    <w:rsid w:val="6D2C4E7B"/>
    <w:rsid w:val="6D3B2A1F"/>
    <w:rsid w:val="6D54588F"/>
    <w:rsid w:val="6D885538"/>
    <w:rsid w:val="6DA00AD4"/>
    <w:rsid w:val="6DA34120"/>
    <w:rsid w:val="6DCB7F8B"/>
    <w:rsid w:val="6DCE3893"/>
    <w:rsid w:val="6DD8026E"/>
    <w:rsid w:val="6DFE57FA"/>
    <w:rsid w:val="6E264031"/>
    <w:rsid w:val="6E70494A"/>
    <w:rsid w:val="6E753D0F"/>
    <w:rsid w:val="6EB32A89"/>
    <w:rsid w:val="6EBE56B6"/>
    <w:rsid w:val="6EC151A6"/>
    <w:rsid w:val="6F210D81"/>
    <w:rsid w:val="6F481423"/>
    <w:rsid w:val="6F631DB9"/>
    <w:rsid w:val="6FB16FC8"/>
    <w:rsid w:val="6FC30AAA"/>
    <w:rsid w:val="70180DF5"/>
    <w:rsid w:val="70291255"/>
    <w:rsid w:val="707F70C6"/>
    <w:rsid w:val="70A24B63"/>
    <w:rsid w:val="70DE72C4"/>
    <w:rsid w:val="70E21403"/>
    <w:rsid w:val="71520337"/>
    <w:rsid w:val="71566079"/>
    <w:rsid w:val="71C9409B"/>
    <w:rsid w:val="71D60F68"/>
    <w:rsid w:val="72930C07"/>
    <w:rsid w:val="72966949"/>
    <w:rsid w:val="72AA7CFF"/>
    <w:rsid w:val="72BF37AA"/>
    <w:rsid w:val="72C708B1"/>
    <w:rsid w:val="73092C77"/>
    <w:rsid w:val="732E66F5"/>
    <w:rsid w:val="73661E78"/>
    <w:rsid w:val="736F20D3"/>
    <w:rsid w:val="73E3171A"/>
    <w:rsid w:val="741144D9"/>
    <w:rsid w:val="74147B26"/>
    <w:rsid w:val="741A35F5"/>
    <w:rsid w:val="746C6769"/>
    <w:rsid w:val="74936C9D"/>
    <w:rsid w:val="74E4574A"/>
    <w:rsid w:val="75051D90"/>
    <w:rsid w:val="753D4E5A"/>
    <w:rsid w:val="756D573F"/>
    <w:rsid w:val="75DF5F11"/>
    <w:rsid w:val="75E43528"/>
    <w:rsid w:val="760F726D"/>
    <w:rsid w:val="7647341C"/>
    <w:rsid w:val="765C7B0B"/>
    <w:rsid w:val="76AF2641"/>
    <w:rsid w:val="76F81981"/>
    <w:rsid w:val="77147E3D"/>
    <w:rsid w:val="7718792D"/>
    <w:rsid w:val="771A5453"/>
    <w:rsid w:val="77204A34"/>
    <w:rsid w:val="778E4093"/>
    <w:rsid w:val="7798281C"/>
    <w:rsid w:val="780B7492"/>
    <w:rsid w:val="7814559E"/>
    <w:rsid w:val="7851759A"/>
    <w:rsid w:val="791A3E30"/>
    <w:rsid w:val="79B25E17"/>
    <w:rsid w:val="79BF22E2"/>
    <w:rsid w:val="79DD0C01"/>
    <w:rsid w:val="7A205476"/>
    <w:rsid w:val="7A90250C"/>
    <w:rsid w:val="7AA15E8B"/>
    <w:rsid w:val="7B007056"/>
    <w:rsid w:val="7B297C5E"/>
    <w:rsid w:val="7B2E771F"/>
    <w:rsid w:val="7B494559"/>
    <w:rsid w:val="7B66335D"/>
    <w:rsid w:val="7BCE2CB0"/>
    <w:rsid w:val="7BD04C7A"/>
    <w:rsid w:val="7BF22E42"/>
    <w:rsid w:val="7C09018C"/>
    <w:rsid w:val="7C156B31"/>
    <w:rsid w:val="7C1903CF"/>
    <w:rsid w:val="7C336FB7"/>
    <w:rsid w:val="7CD82038"/>
    <w:rsid w:val="7D1666BD"/>
    <w:rsid w:val="7D37324E"/>
    <w:rsid w:val="7D731D61"/>
    <w:rsid w:val="7D761851"/>
    <w:rsid w:val="7DFF35F5"/>
    <w:rsid w:val="7E4E1E86"/>
    <w:rsid w:val="7E6047D1"/>
    <w:rsid w:val="7E6552B9"/>
    <w:rsid w:val="7E7F0292"/>
    <w:rsid w:val="7E837D82"/>
    <w:rsid w:val="7E930337"/>
    <w:rsid w:val="7EDC1B88"/>
    <w:rsid w:val="7EED5205"/>
    <w:rsid w:val="7F475253"/>
    <w:rsid w:val="7FA51748"/>
    <w:rsid w:val="EFB3A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spacing w:before="120" w:line="300" w:lineRule="auto"/>
      <w:jc w:val="center"/>
      <w:outlineLvl w:val="1"/>
    </w:pPr>
    <w:rPr>
      <w:rFonts w:eastAsia="黑体"/>
      <w:b/>
      <w:sz w:val="30"/>
      <w:szCs w:val="20"/>
    </w:rPr>
  </w:style>
  <w:style w:type="paragraph" w:styleId="4">
    <w:name w:val="heading 3"/>
    <w:basedOn w:val="1"/>
    <w:next w:val="1"/>
    <w:qFormat/>
    <w:uiPriority w:val="0"/>
    <w:pPr>
      <w:keepNext/>
      <w:keepLines/>
      <w:spacing w:before="360" w:after="120"/>
      <w:outlineLvl w:val="2"/>
    </w:pPr>
    <w:rPr>
      <w:rFonts w:ascii="宋体"/>
      <w:b/>
      <w:sz w:val="24"/>
      <w:szCs w:val="20"/>
      <w:u w:val="single"/>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宋体"/>
      <w:sz w:val="24"/>
      <w:szCs w:val="20"/>
    </w:rPr>
  </w:style>
  <w:style w:type="paragraph" w:styleId="6">
    <w:name w:val="index 5"/>
    <w:basedOn w:val="1"/>
    <w:next w:val="1"/>
    <w:semiHidden/>
    <w:qFormat/>
    <w:uiPriority w:val="0"/>
    <w:pPr>
      <w:ind w:left="800" w:leftChars="800"/>
    </w:pPr>
    <w:rPr>
      <w:rFonts w:eastAsia="宋体"/>
      <w:szCs w:val="24"/>
    </w:rPr>
  </w:style>
  <w:style w:type="paragraph" w:styleId="7">
    <w:name w:val="toa heading"/>
    <w:basedOn w:val="1"/>
    <w:next w:val="1"/>
    <w:qFormat/>
    <w:uiPriority w:val="0"/>
    <w:pPr>
      <w:spacing w:before="120"/>
    </w:pPr>
    <w:rPr>
      <w:rFonts w:ascii="Cambria" w:hAnsi="Cambria"/>
      <w:sz w:val="24"/>
    </w:rPr>
  </w:style>
  <w:style w:type="paragraph" w:styleId="8">
    <w:name w:val="Body Text"/>
    <w:basedOn w:val="1"/>
    <w:next w:val="1"/>
    <w:qFormat/>
    <w:uiPriority w:val="0"/>
    <w:rPr>
      <w:rFonts w:ascii="宋体" w:hAnsi="宋体" w:eastAsia="宋体" w:cs="宋体"/>
      <w:sz w:val="41"/>
      <w:szCs w:val="41"/>
    </w:rPr>
  </w:style>
  <w:style w:type="paragraph" w:styleId="9">
    <w:name w:val="Body Text Indent"/>
    <w:basedOn w:val="1"/>
    <w:qFormat/>
    <w:uiPriority w:val="0"/>
    <w:pPr>
      <w:spacing w:line="360" w:lineRule="auto"/>
      <w:ind w:firstLine="570"/>
    </w:pPr>
    <w:rPr>
      <w:sz w:val="24"/>
    </w:rPr>
  </w:style>
  <w:style w:type="paragraph" w:styleId="10">
    <w:name w:val="toc 3"/>
    <w:basedOn w:val="1"/>
    <w:next w:val="1"/>
    <w:qFormat/>
    <w:uiPriority w:val="39"/>
    <w:pPr>
      <w:tabs>
        <w:tab w:val="left" w:pos="1260"/>
        <w:tab w:val="right" w:leader="dot" w:pos="8630"/>
      </w:tabs>
      <w:ind w:left="840" w:leftChars="400"/>
    </w:p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pPr>
    <w:rPr>
      <w:rFonts w:ascii="宋体"/>
      <w:sz w:val="18"/>
      <w:szCs w:val="20"/>
    </w:rPr>
  </w:style>
  <w:style w:type="paragraph" w:styleId="13">
    <w:name w:val="header"/>
    <w:basedOn w:val="1"/>
    <w:qFormat/>
    <w:uiPriority w:val="0"/>
    <w:pPr>
      <w:pBdr>
        <w:bottom w:val="single" w:color="000000" w:sz="6" w:space="1"/>
      </w:pBdr>
      <w:tabs>
        <w:tab w:val="center" w:pos="4153"/>
        <w:tab w:val="right" w:pos="8306"/>
      </w:tabs>
      <w:jc w:val="center"/>
    </w:pPr>
    <w:rPr>
      <w:sz w:val="18"/>
      <w:szCs w:val="18"/>
    </w:rPr>
  </w:style>
  <w:style w:type="paragraph" w:styleId="14">
    <w:name w:val="toc 1"/>
    <w:basedOn w:val="1"/>
    <w:next w:val="1"/>
    <w:qFormat/>
    <w:uiPriority w:val="39"/>
  </w:style>
  <w:style w:type="paragraph" w:styleId="15">
    <w:name w:val="footnote text"/>
    <w:basedOn w:val="1"/>
    <w:next w:val="8"/>
    <w:qFormat/>
    <w:uiPriority w:val="0"/>
    <w:rPr>
      <w:sz w:val="18"/>
    </w:rPr>
  </w:style>
  <w:style w:type="paragraph" w:styleId="16">
    <w:name w:val="Body Text Indent 3"/>
    <w:basedOn w:val="1"/>
    <w:next w:val="1"/>
    <w:qFormat/>
    <w:uiPriority w:val="0"/>
    <w:pPr>
      <w:spacing w:before="120" w:line="22" w:lineRule="atLeast"/>
      <w:ind w:left="720" w:firstLine="480"/>
    </w:pPr>
    <w:rPr>
      <w:rFonts w:ascii="宋体"/>
      <w:sz w:val="24"/>
      <w:szCs w:val="20"/>
    </w:rPr>
  </w:style>
  <w:style w:type="paragraph" w:styleId="17">
    <w:name w:val="toc 2"/>
    <w:basedOn w:val="1"/>
    <w:next w:val="1"/>
    <w:qFormat/>
    <w:uiPriority w:val="39"/>
    <w:pPr>
      <w:ind w:left="420" w:leftChars="200"/>
    </w:pPr>
  </w:style>
  <w:style w:type="paragraph" w:styleId="18">
    <w:name w:val="Body Text 2"/>
    <w:basedOn w:val="1"/>
    <w:link w:val="41"/>
    <w:qFormat/>
    <w:uiPriority w:val="0"/>
    <w:pPr>
      <w:widowControl w:val="0"/>
      <w:kinsoku/>
      <w:autoSpaceDE/>
      <w:autoSpaceDN/>
      <w:adjustRightInd/>
      <w:snapToGrid/>
      <w:spacing w:after="120" w:line="480" w:lineRule="auto"/>
      <w:jc w:val="both"/>
      <w:textAlignment w:val="auto"/>
    </w:pPr>
    <w:rPr>
      <w:rFonts w:asciiTheme="minorHAnsi" w:hAnsiTheme="minorHAnsi" w:eastAsiaTheme="minorEastAsia" w:cstheme="minorBidi"/>
      <w:snapToGrid/>
      <w:color w:val="auto"/>
      <w:kern w:val="2"/>
      <w:szCs w:val="24"/>
      <w:lang w:eastAsia="zh-CN"/>
    </w:rPr>
  </w:style>
  <w:style w:type="paragraph" w:styleId="19">
    <w:name w:val="Normal (Web)"/>
    <w:basedOn w:val="1"/>
    <w:qFormat/>
    <w:uiPriority w:val="0"/>
    <w:pPr>
      <w:spacing w:before="100" w:beforeAutospacing="1" w:after="100" w:afterAutospacing="1"/>
    </w:pPr>
    <w:rPr>
      <w:sz w:val="24"/>
    </w:rPr>
  </w:style>
  <w:style w:type="paragraph" w:styleId="20">
    <w:name w:val="Body Text First Indent"/>
    <w:basedOn w:val="8"/>
    <w:next w:val="1"/>
    <w:qFormat/>
    <w:uiPriority w:val="0"/>
    <w:pPr>
      <w:tabs>
        <w:tab w:val="left" w:pos="567"/>
      </w:tabs>
      <w:spacing w:line="312" w:lineRule="auto"/>
      <w:ind w:firstLine="420" w:firstLineChars="100"/>
    </w:pPr>
    <w:rPr>
      <w:rFonts w:hint="eastAsia" w:ascii="微软雅黑" w:hAnsi="微软雅黑" w:eastAsia="微软雅黑" w:cs="微软雅黑"/>
      <w:szCs w:val="21"/>
    </w:rPr>
  </w:style>
  <w:style w:type="paragraph" w:styleId="21">
    <w:name w:val="Body Text First Indent 2"/>
    <w:basedOn w:val="9"/>
    <w:qFormat/>
    <w:uiPriority w:val="0"/>
    <w:pPr>
      <w:ind w:firstLine="420" w:firstLineChars="200"/>
    </w:pPr>
  </w:style>
  <w:style w:type="character" w:styleId="24">
    <w:name w:val="Strong"/>
    <w:basedOn w:val="23"/>
    <w:qFormat/>
    <w:uiPriority w:val="0"/>
    <w:rPr>
      <w:b/>
    </w:rPr>
  </w:style>
  <w:style w:type="character" w:styleId="25">
    <w:name w:val="Hyperlink"/>
    <w:qFormat/>
    <w:uiPriority w:val="99"/>
    <w:rPr>
      <w:color w:val="0000FF"/>
      <w:u w:val="single"/>
    </w:rPr>
  </w:style>
  <w:style w:type="character" w:customStyle="1" w:styleId="26">
    <w:name w:val="NormalCharacter"/>
    <w:semiHidden/>
    <w:qFormat/>
    <w:uiPriority w:val="0"/>
  </w:style>
  <w:style w:type="paragraph" w:customStyle="1" w:styleId="27">
    <w:name w:val="FootnoteText"/>
    <w:basedOn w:val="1"/>
    <w:qFormat/>
    <w:uiPriority w:val="0"/>
    <w:rPr>
      <w:sz w:val="18"/>
    </w:rPr>
  </w:style>
  <w:style w:type="paragraph" w:customStyle="1" w:styleId="28">
    <w:name w:val="Heading2"/>
    <w:basedOn w:val="1"/>
    <w:next w:val="1"/>
    <w:qFormat/>
    <w:uiPriority w:val="0"/>
    <w:pPr>
      <w:keepNext/>
      <w:keepLines/>
      <w:spacing w:before="120" w:line="300" w:lineRule="auto"/>
      <w:jc w:val="center"/>
    </w:pPr>
    <w:rPr>
      <w:rFonts w:eastAsia="黑体"/>
      <w:b/>
      <w:sz w:val="30"/>
      <w:szCs w:val="20"/>
    </w:rPr>
  </w:style>
  <w:style w:type="paragraph" w:customStyle="1" w:styleId="29">
    <w:name w:val="Heading1"/>
    <w:basedOn w:val="1"/>
    <w:next w:val="1"/>
    <w:qFormat/>
    <w:uiPriority w:val="0"/>
    <w:pPr>
      <w:keepNext/>
      <w:keepLines/>
      <w:spacing w:before="240" w:after="120" w:line="300" w:lineRule="auto"/>
      <w:jc w:val="center"/>
    </w:pPr>
    <w:rPr>
      <w:rFonts w:ascii="宋体"/>
      <w:b/>
      <w:kern w:val="44"/>
      <w:sz w:val="32"/>
      <w:szCs w:val="20"/>
    </w:rPr>
  </w:style>
  <w:style w:type="paragraph" w:customStyle="1" w:styleId="30">
    <w:name w:val="Table Text"/>
    <w:basedOn w:val="1"/>
    <w:semiHidden/>
    <w:qFormat/>
    <w:uiPriority w:val="0"/>
  </w:style>
  <w:style w:type="paragraph" w:styleId="31">
    <w:name w:val="List Paragraph"/>
    <w:basedOn w:val="1"/>
    <w:qFormat/>
    <w:uiPriority w:val="34"/>
    <w:pPr>
      <w:ind w:firstLine="420" w:firstLineChars="200"/>
    </w:pPr>
  </w:style>
  <w:style w:type="paragraph" w:customStyle="1" w:styleId="32">
    <w:name w:val="默认 A"/>
    <w:qFormat/>
    <w:uiPriority w:val="0"/>
    <w:pPr>
      <w:framePr w:wrap="around" w:vAnchor="margin" w:hAnchor="text" w:y="1"/>
    </w:pPr>
    <w:rPr>
      <w:rFonts w:ascii="Arial Unicode MS" w:hAnsi="Arial Unicode MS" w:eastAsia="Arial Unicode MS" w:cs="Arial Unicode MS"/>
      <w:color w:val="000000"/>
      <w:sz w:val="22"/>
      <w:szCs w:val="22"/>
      <w:lang w:val="zh-TW" w:eastAsia="zh-TW" w:bidi="ar-SA"/>
    </w:rPr>
  </w:style>
  <w:style w:type="paragraph" w:customStyle="1" w:styleId="33">
    <w:name w:val="列出段落1"/>
    <w:basedOn w:val="1"/>
    <w:qFormat/>
    <w:uiPriority w:val="0"/>
    <w:pPr>
      <w:ind w:firstLine="420" w:firstLineChars="200"/>
    </w:pPr>
    <w:rPr>
      <w:sz w:val="24"/>
      <w:szCs w:val="20"/>
    </w:rPr>
  </w:style>
  <w:style w:type="paragraph" w:customStyle="1" w:styleId="34">
    <w:name w:val="一级标题"/>
    <w:basedOn w:val="2"/>
    <w:next w:val="1"/>
    <w:qFormat/>
    <w:uiPriority w:val="0"/>
    <w:pPr>
      <w:spacing w:line="360" w:lineRule="auto"/>
    </w:pPr>
    <w:rPr>
      <w:rFonts w:hAnsi="宋体"/>
      <w:lang w:bidi="ug-CN"/>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BodyTextIndent3"/>
    <w:basedOn w:val="1"/>
    <w:qFormat/>
    <w:uiPriority w:val="0"/>
    <w:pPr>
      <w:spacing w:before="120" w:line="240" w:lineRule="atLeast"/>
      <w:ind w:left="720" w:firstLine="480"/>
    </w:pPr>
    <w:rPr>
      <w:rFonts w:ascii="宋体"/>
      <w:sz w:val="24"/>
      <w:szCs w:val="20"/>
    </w:rPr>
  </w:style>
  <w:style w:type="paragraph" w:customStyle="1" w:styleId="37">
    <w:name w:val="UserStyle_21"/>
    <w:basedOn w:val="1"/>
    <w:qFormat/>
    <w:uiPriority w:val="0"/>
    <w:pPr>
      <w:ind w:firstLine="420"/>
    </w:pPr>
    <w:rPr>
      <w:rFonts w:ascii="宋体"/>
      <w:sz w:val="24"/>
      <w:szCs w:val="20"/>
    </w:rPr>
  </w:style>
  <w:style w:type="paragraph" w:customStyle="1" w:styleId="38">
    <w:name w:val="UserStyle_37"/>
    <w:basedOn w:val="1"/>
    <w:next w:val="1"/>
    <w:qFormat/>
    <w:uiPriority w:val="0"/>
    <w:pPr>
      <w:spacing w:line="360" w:lineRule="auto"/>
    </w:pPr>
    <w:rPr>
      <w:rFonts w:ascii="仿宋_GB2312" w:eastAsia="仿宋_GB2312"/>
      <w:sz w:val="24"/>
      <w:szCs w:val="20"/>
    </w:rPr>
  </w:style>
  <w:style w:type="paragraph" w:customStyle="1" w:styleId="39">
    <w:name w:val="UserStyle_28"/>
    <w:basedOn w:val="1"/>
    <w:qFormat/>
    <w:uiPriority w:val="0"/>
    <w:rPr>
      <w:rFonts w:ascii="宋体" w:hAnsi="Courier New"/>
      <w:sz w:val="20"/>
      <w:szCs w:val="20"/>
    </w:rPr>
  </w:style>
  <w:style w:type="character" w:customStyle="1" w:styleId="40">
    <w:name w:val="PageNumber"/>
    <w:basedOn w:val="26"/>
    <w:qFormat/>
    <w:uiPriority w:val="0"/>
  </w:style>
  <w:style w:type="character" w:customStyle="1" w:styleId="41">
    <w:name w:val="正文文本 2 字符"/>
    <w:link w:val="18"/>
    <w:qFormat/>
    <w:uiPriority w:val="0"/>
    <w:rPr>
      <w:kern w:val="2"/>
      <w:sz w:val="21"/>
      <w:szCs w:val="24"/>
    </w:rPr>
  </w:style>
  <w:style w:type="character" w:customStyle="1" w:styleId="42">
    <w:name w:val="列出段落 Char"/>
    <w:link w:val="43"/>
    <w:qFormat/>
    <w:uiPriority w:val="34"/>
    <w:rPr>
      <w:rFonts w:ascii="Calibri" w:hAnsi="Calibri"/>
      <w:kern w:val="2"/>
      <w:sz w:val="21"/>
      <w:szCs w:val="22"/>
    </w:rPr>
  </w:style>
  <w:style w:type="paragraph" w:customStyle="1" w:styleId="43">
    <w:name w:val="列出段落"/>
    <w:basedOn w:val="1"/>
    <w:link w:val="42"/>
    <w:qFormat/>
    <w:uiPriority w:val="34"/>
    <w:pPr>
      <w:widowControl w:val="0"/>
      <w:kinsoku/>
      <w:autoSpaceDE/>
      <w:autoSpaceDN/>
      <w:adjustRightInd/>
      <w:snapToGrid/>
      <w:ind w:firstLine="420" w:firstLineChars="200"/>
      <w:jc w:val="both"/>
      <w:textAlignment w:val="auto"/>
    </w:pPr>
    <w:rPr>
      <w:rFonts w:ascii="Calibri" w:hAnsi="Calibri" w:eastAsiaTheme="minorEastAsia" w:cstheme="minorBidi"/>
      <w:snapToGrid/>
      <w:color w:val="auto"/>
      <w:kern w:val="2"/>
      <w:szCs w:val="22"/>
      <w:lang w:eastAsia="zh-CN"/>
    </w:rPr>
  </w:style>
  <w:style w:type="character" w:customStyle="1" w:styleId="44">
    <w:name w:val="正文文本 2 字符1"/>
    <w:basedOn w:val="23"/>
    <w:qFormat/>
    <w:uiPriority w:val="0"/>
    <w:rPr>
      <w:rFonts w:ascii="Arial" w:hAnsi="Arial" w:eastAsia="Arial" w:cs="Arial"/>
      <w:snapToGrid w:val="0"/>
      <w:color w:val="000000"/>
      <w:sz w:val="21"/>
      <w:szCs w:val="21"/>
      <w:lang w:eastAsia="en-US"/>
    </w:rPr>
  </w:style>
  <w:style w:type="character" w:customStyle="1" w:styleId="45">
    <w:name w:val="*正文 Char Char"/>
    <w:link w:val="46"/>
    <w:qFormat/>
    <w:uiPriority w:val="0"/>
    <w:rPr>
      <w:rFonts w:ascii="仿宋_GB2312" w:eastAsia="仿宋_GB2312"/>
      <w:sz w:val="24"/>
      <w:szCs w:val="24"/>
    </w:rPr>
  </w:style>
  <w:style w:type="paragraph" w:customStyle="1" w:styleId="46">
    <w:name w:val="*正文"/>
    <w:basedOn w:val="1"/>
    <w:link w:val="45"/>
    <w:qFormat/>
    <w:uiPriority w:val="0"/>
    <w:pPr>
      <w:kinsoku/>
      <w:autoSpaceDE/>
      <w:autoSpaceDN/>
      <w:adjustRightInd/>
      <w:snapToGrid/>
      <w:spacing w:after="200" w:line="360" w:lineRule="auto"/>
      <w:ind w:firstLine="480" w:firstLineChars="200"/>
      <w:textAlignment w:val="auto"/>
    </w:pPr>
    <w:rPr>
      <w:rFonts w:ascii="仿宋_GB2312" w:eastAsia="仿宋_GB2312" w:hAnsiTheme="minorHAnsi" w:cstheme="minorBidi"/>
      <w:snapToGrid/>
      <w:color w:val="auto"/>
      <w:sz w:val="24"/>
      <w:szCs w:val="24"/>
      <w:lang w:eastAsia="zh-CN"/>
    </w:rPr>
  </w:style>
  <w:style w:type="paragraph" w:customStyle="1" w:styleId="47">
    <w:name w:val="列出段落2"/>
    <w:basedOn w:val="1"/>
    <w:qFormat/>
    <w:uiPriority w:val="0"/>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4"/>
      <w:lang w:eastAsia="zh-CN"/>
    </w:rPr>
  </w:style>
  <w:style w:type="paragraph" w:customStyle="1" w:styleId="48">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147</Pages>
  <Words>18409</Words>
  <Characters>19291</Characters>
  <Lines>2686</Lines>
  <Paragraphs>2458</Paragraphs>
  <TotalTime>10</TotalTime>
  <ScaleCrop>false</ScaleCrop>
  <LinksUpToDate>false</LinksUpToDate>
  <CharactersWithSpaces>20662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2025-04-02T03:55:00Z</dcterms:created>
  <dc:creator>SYP</dc:creator>
  <cp:lastModifiedBy>Administrator</cp:lastModifiedBy>
  <cp:lastPrinted>2025-06-18T05:17:00Z</cp:lastPrinted>
  <dcterms:modified xsi:type="dcterms:W3CDTF">2025-06-19T02:25:47Z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875182F610AF4C01B4015CB6DE2737E0_13</vt:lpwstr>
  </property>
  <property fmtid="{D5CDD505-2E9C-101B-9397-08002B2CF9AE}" pid="4" name="KSOTemplateDocerSaveRecord">
    <vt:lpwstr>eyJoZGlkIjoiZDU3NDlhZWYxYzUxMjlkMDAwNmUxMDhiZDQxMzZmYjcifQ==</vt:lpwstr>
  </property>
</Properties>
</file>