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8826B">
      <w:pPr>
        <w:pStyle w:val="2"/>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仿宋" w:hAnsi="仿宋" w:eastAsia="仿宋" w:cs="仿宋"/>
          <w:b/>
          <w:bCs/>
          <w:color w:val="auto"/>
          <w:sz w:val="24"/>
          <w:szCs w:val="24"/>
          <w:highlight w:val="none"/>
          <w:lang w:eastAsia="zh-CN"/>
        </w:rPr>
      </w:pPr>
    </w:p>
    <w:p w14:paraId="42827A8E">
      <w:pPr>
        <w:rPr>
          <w:rFonts w:hint="eastAsia"/>
          <w:lang w:eastAsia="zh-CN"/>
        </w:rPr>
      </w:pPr>
    </w:p>
    <w:p w14:paraId="2BEC980B">
      <w:pPr>
        <w:pStyle w:val="2"/>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仿宋" w:hAnsi="仿宋" w:eastAsia="仿宋" w:cs="仿宋"/>
          <w:b/>
          <w:bCs/>
          <w:color w:val="auto"/>
          <w:sz w:val="36"/>
          <w:szCs w:val="36"/>
          <w:highlight w:val="none"/>
          <w:lang w:eastAsia="zh-CN"/>
        </w:rPr>
      </w:pPr>
    </w:p>
    <w:p w14:paraId="3AAFACCF">
      <w:pPr>
        <w:pStyle w:val="2"/>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方正小标宋_GBK" w:hAnsi="方正小标宋_GBK" w:eastAsia="方正小标宋_GBK" w:cs="方正小标宋_GBK"/>
          <w:b/>
          <w:bCs/>
          <w:color w:val="auto"/>
          <w:spacing w:val="-4"/>
          <w:sz w:val="44"/>
          <w:szCs w:val="44"/>
          <w:highlight w:val="none"/>
          <w:lang w:eastAsia="zh-CN"/>
        </w:rPr>
      </w:pPr>
      <w:r>
        <w:rPr>
          <w:rFonts w:hint="eastAsia" w:ascii="方正小标宋_GBK" w:hAnsi="方正小标宋_GBK" w:eastAsia="方正小标宋_GBK" w:cs="方正小标宋_GBK"/>
          <w:b/>
          <w:bCs/>
          <w:color w:val="auto"/>
          <w:spacing w:val="-4"/>
          <w:sz w:val="44"/>
          <w:szCs w:val="44"/>
          <w:highlight w:val="none"/>
          <w:lang w:eastAsia="zh-CN"/>
        </w:rPr>
        <w:t>伽师县巴仁镇第四小学提升改造项目一标段</w:t>
      </w:r>
    </w:p>
    <w:p w14:paraId="427856D5">
      <w:pPr>
        <w:rPr>
          <w:rFonts w:hint="eastAsia" w:ascii="仿宋" w:hAnsi="仿宋" w:eastAsia="仿宋" w:cs="仿宋"/>
          <w:b/>
          <w:bCs/>
          <w:color w:val="auto"/>
          <w:spacing w:val="-4"/>
          <w:sz w:val="36"/>
          <w:szCs w:val="36"/>
          <w:highlight w:val="none"/>
          <w:lang w:eastAsia="zh-CN"/>
        </w:rPr>
      </w:pPr>
    </w:p>
    <w:p w14:paraId="5D7566E1">
      <w:pPr>
        <w:rPr>
          <w:rFonts w:hint="eastAsia" w:ascii="仿宋" w:hAnsi="仿宋" w:eastAsia="仿宋" w:cs="仿宋"/>
          <w:b/>
          <w:bCs/>
          <w:color w:val="auto"/>
          <w:spacing w:val="-4"/>
          <w:sz w:val="36"/>
          <w:szCs w:val="36"/>
          <w:highlight w:val="none"/>
          <w:lang w:eastAsia="zh-CN"/>
        </w:rPr>
      </w:pPr>
    </w:p>
    <w:p w14:paraId="6194522D">
      <w:pPr>
        <w:rPr>
          <w:rFonts w:hint="eastAsia" w:ascii="仿宋" w:hAnsi="仿宋" w:eastAsia="仿宋" w:cs="仿宋"/>
          <w:sz w:val="36"/>
          <w:szCs w:val="36"/>
          <w:lang w:eastAsia="zh-CN"/>
        </w:rPr>
      </w:pPr>
    </w:p>
    <w:p w14:paraId="7F8FC48F">
      <w:pPr>
        <w:pStyle w:val="2"/>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方正仿宋_GBK" w:hAnsi="方正仿宋_GBK" w:eastAsia="方正仿宋_GBK" w:cs="方正仿宋_GBK"/>
          <w:b/>
          <w:bCs/>
          <w:color w:val="auto"/>
          <w:spacing w:val="-4"/>
          <w:sz w:val="44"/>
          <w:szCs w:val="44"/>
          <w:highlight w:val="none"/>
          <w:lang w:eastAsia="zh-CN"/>
        </w:rPr>
      </w:pPr>
      <w:r>
        <w:rPr>
          <w:rFonts w:hint="eastAsia" w:ascii="方正仿宋_GBK" w:hAnsi="方正仿宋_GBK" w:eastAsia="方正仿宋_GBK" w:cs="方正仿宋_GBK"/>
          <w:b/>
          <w:bCs/>
          <w:color w:val="auto"/>
          <w:spacing w:val="-4"/>
          <w:sz w:val="44"/>
          <w:szCs w:val="44"/>
          <w:highlight w:val="none"/>
          <w:lang w:eastAsia="zh-CN"/>
        </w:rPr>
        <w:t>竞争性磋商文件</w:t>
      </w:r>
    </w:p>
    <w:p w14:paraId="397B850B">
      <w:pPr>
        <w:keepNext w:val="0"/>
        <w:keepLines w:val="0"/>
        <w:pageBreakBefore w:val="0"/>
        <w:widowControl/>
        <w:shd w:val="clear"/>
        <w:kinsoku w:val="0"/>
        <w:wordWrap/>
        <w:overflowPunct/>
        <w:topLinePunct w:val="0"/>
        <w:autoSpaceDE w:val="0"/>
        <w:autoSpaceDN w:val="0"/>
        <w:bidi w:val="0"/>
        <w:adjustRightInd w:val="0"/>
        <w:snapToGrid w:val="0"/>
        <w:spacing w:line="268" w:lineRule="auto"/>
        <w:jc w:val="both"/>
        <w:textAlignment w:val="baseline"/>
        <w:outlineLvl w:val="9"/>
        <w:rPr>
          <w:rFonts w:hint="eastAsia" w:ascii="方正仿宋_GBK" w:hAnsi="方正仿宋_GBK" w:eastAsia="方正仿宋_GBK" w:cs="方正仿宋_GBK"/>
          <w:color w:val="auto"/>
          <w:sz w:val="24"/>
          <w:szCs w:val="24"/>
          <w:highlight w:val="none"/>
        </w:rPr>
      </w:pPr>
    </w:p>
    <w:p w14:paraId="51F586F3">
      <w:pPr>
        <w:keepNext w:val="0"/>
        <w:keepLines w:val="0"/>
        <w:pageBreakBefore w:val="0"/>
        <w:widowControl/>
        <w:shd w:val="clear"/>
        <w:kinsoku w:val="0"/>
        <w:wordWrap/>
        <w:overflowPunct/>
        <w:topLinePunct w:val="0"/>
        <w:autoSpaceDE w:val="0"/>
        <w:autoSpaceDN w:val="0"/>
        <w:bidi w:val="0"/>
        <w:adjustRightInd w:val="0"/>
        <w:snapToGrid w:val="0"/>
        <w:spacing w:line="268" w:lineRule="auto"/>
        <w:jc w:val="both"/>
        <w:textAlignment w:val="baseline"/>
        <w:outlineLvl w:val="9"/>
        <w:rPr>
          <w:rFonts w:hint="eastAsia" w:ascii="方正仿宋_GBK" w:hAnsi="方正仿宋_GBK" w:eastAsia="方正仿宋_GBK" w:cs="方正仿宋_GBK"/>
          <w:color w:val="auto"/>
          <w:sz w:val="24"/>
          <w:szCs w:val="24"/>
          <w:highlight w:val="none"/>
        </w:rPr>
      </w:pPr>
    </w:p>
    <w:p w14:paraId="47CAF15A">
      <w:pPr>
        <w:pStyle w:val="2"/>
        <w:keepNext w:val="0"/>
        <w:keepLines w:val="0"/>
        <w:pageBreakBefore w:val="0"/>
        <w:widowControl/>
        <w:shd w:val="clear"/>
        <w:kinsoku w:val="0"/>
        <w:wordWrap/>
        <w:overflowPunct/>
        <w:topLinePunct w:val="0"/>
        <w:autoSpaceDE w:val="0"/>
        <w:autoSpaceDN w:val="0"/>
        <w:bidi w:val="0"/>
        <w:adjustRightInd w:val="0"/>
        <w:snapToGrid w:val="0"/>
        <w:spacing w:before="153" w:line="223" w:lineRule="auto"/>
        <w:ind w:left="4229"/>
        <w:jc w:val="both"/>
        <w:textAlignment w:val="baseline"/>
        <w:outlineLvl w:val="9"/>
        <w:rPr>
          <w:rFonts w:hint="eastAsia" w:ascii="方正仿宋_GBK" w:hAnsi="方正仿宋_GBK" w:eastAsia="方正仿宋_GBK" w:cs="方正仿宋_GBK"/>
          <w:color w:val="auto"/>
          <w:sz w:val="36"/>
          <w:szCs w:val="36"/>
          <w:highlight w:val="none"/>
        </w:rPr>
      </w:pPr>
      <w:bookmarkStart w:id="0" w:name="_Toc16960"/>
      <w:bookmarkStart w:id="1" w:name="_Toc12463"/>
      <w:bookmarkStart w:id="2" w:name="_Toc5169"/>
      <w:r>
        <w:rPr>
          <w:rFonts w:hint="eastAsia" w:ascii="方正仿宋_GBK" w:hAnsi="方正仿宋_GBK" w:eastAsia="方正仿宋_GBK" w:cs="方正仿宋_GBK"/>
          <w:b/>
          <w:bCs/>
          <w:color w:val="auto"/>
          <w:spacing w:val="3"/>
          <w:sz w:val="36"/>
          <w:szCs w:val="36"/>
          <w:highlight w:val="none"/>
        </w:rPr>
        <w:t>第一册</w:t>
      </w:r>
      <w:bookmarkEnd w:id="0"/>
      <w:bookmarkEnd w:id="1"/>
      <w:bookmarkEnd w:id="2"/>
    </w:p>
    <w:p w14:paraId="4AE1BAF1">
      <w:pPr>
        <w:keepNext w:val="0"/>
        <w:keepLines w:val="0"/>
        <w:pageBreakBefore w:val="0"/>
        <w:widowControl/>
        <w:shd w:val="clear"/>
        <w:kinsoku w:val="0"/>
        <w:wordWrap/>
        <w:overflowPunct/>
        <w:topLinePunct w:val="0"/>
        <w:autoSpaceDE w:val="0"/>
        <w:autoSpaceDN w:val="0"/>
        <w:bidi w:val="0"/>
        <w:adjustRightInd w:val="0"/>
        <w:snapToGrid w:val="0"/>
        <w:spacing w:line="241" w:lineRule="auto"/>
        <w:jc w:val="both"/>
        <w:textAlignment w:val="baseline"/>
        <w:outlineLvl w:val="9"/>
        <w:rPr>
          <w:rFonts w:hint="eastAsia" w:ascii="方正仿宋_GBK" w:hAnsi="方正仿宋_GBK" w:eastAsia="方正仿宋_GBK" w:cs="方正仿宋_GBK"/>
          <w:color w:val="auto"/>
          <w:sz w:val="24"/>
          <w:szCs w:val="24"/>
          <w:highlight w:val="none"/>
        </w:rPr>
      </w:pPr>
    </w:p>
    <w:p w14:paraId="45D7478A">
      <w:pPr>
        <w:keepNext w:val="0"/>
        <w:keepLines w:val="0"/>
        <w:pageBreakBefore w:val="0"/>
        <w:widowControl/>
        <w:shd w:val="clear"/>
        <w:kinsoku w:val="0"/>
        <w:wordWrap/>
        <w:overflowPunct/>
        <w:topLinePunct w:val="0"/>
        <w:autoSpaceDE w:val="0"/>
        <w:autoSpaceDN w:val="0"/>
        <w:bidi w:val="0"/>
        <w:adjustRightInd w:val="0"/>
        <w:snapToGrid w:val="0"/>
        <w:spacing w:line="241" w:lineRule="auto"/>
        <w:jc w:val="both"/>
        <w:textAlignment w:val="baseline"/>
        <w:outlineLvl w:val="9"/>
        <w:rPr>
          <w:rFonts w:hint="eastAsia" w:ascii="方正仿宋_GBK" w:hAnsi="方正仿宋_GBK" w:eastAsia="方正仿宋_GBK" w:cs="方正仿宋_GBK"/>
          <w:color w:val="auto"/>
          <w:sz w:val="24"/>
          <w:szCs w:val="24"/>
          <w:highlight w:val="none"/>
        </w:rPr>
      </w:pPr>
    </w:p>
    <w:p w14:paraId="7AD5AC60">
      <w:pPr>
        <w:keepNext w:val="0"/>
        <w:keepLines w:val="0"/>
        <w:pageBreakBefore w:val="0"/>
        <w:widowControl/>
        <w:shd w:val="clear"/>
        <w:kinsoku w:val="0"/>
        <w:wordWrap/>
        <w:overflowPunct/>
        <w:topLinePunct w:val="0"/>
        <w:autoSpaceDE w:val="0"/>
        <w:autoSpaceDN w:val="0"/>
        <w:bidi w:val="0"/>
        <w:adjustRightInd w:val="0"/>
        <w:snapToGrid w:val="0"/>
        <w:spacing w:line="241" w:lineRule="auto"/>
        <w:jc w:val="both"/>
        <w:textAlignment w:val="baseline"/>
        <w:outlineLvl w:val="9"/>
        <w:rPr>
          <w:rFonts w:hint="eastAsia" w:ascii="仿宋" w:hAnsi="仿宋" w:eastAsia="仿宋" w:cs="仿宋"/>
          <w:color w:val="auto"/>
          <w:sz w:val="24"/>
          <w:szCs w:val="24"/>
          <w:highlight w:val="none"/>
        </w:rPr>
      </w:pPr>
    </w:p>
    <w:p w14:paraId="4A1363CB">
      <w:pPr>
        <w:keepNext w:val="0"/>
        <w:keepLines w:val="0"/>
        <w:pageBreakBefore w:val="0"/>
        <w:widowControl/>
        <w:shd w:val="clear"/>
        <w:kinsoku w:val="0"/>
        <w:wordWrap/>
        <w:overflowPunct/>
        <w:topLinePunct w:val="0"/>
        <w:autoSpaceDE w:val="0"/>
        <w:autoSpaceDN w:val="0"/>
        <w:bidi w:val="0"/>
        <w:adjustRightInd w:val="0"/>
        <w:snapToGrid w:val="0"/>
        <w:spacing w:line="242" w:lineRule="auto"/>
        <w:jc w:val="both"/>
        <w:textAlignment w:val="baseline"/>
        <w:outlineLvl w:val="9"/>
        <w:rPr>
          <w:rFonts w:hint="eastAsia" w:ascii="仿宋" w:hAnsi="仿宋" w:eastAsia="仿宋" w:cs="仿宋"/>
          <w:color w:val="auto"/>
          <w:sz w:val="24"/>
          <w:szCs w:val="24"/>
          <w:highlight w:val="none"/>
        </w:rPr>
      </w:pPr>
    </w:p>
    <w:p w14:paraId="0D2BF0C1">
      <w:pPr>
        <w:pStyle w:val="4"/>
        <w:rPr>
          <w:rFonts w:hint="eastAsia" w:ascii="仿宋" w:hAnsi="仿宋" w:eastAsia="仿宋" w:cs="仿宋"/>
          <w:color w:val="auto"/>
          <w:sz w:val="24"/>
          <w:szCs w:val="24"/>
          <w:highlight w:val="none"/>
        </w:rPr>
      </w:pPr>
    </w:p>
    <w:p w14:paraId="651CDAD1">
      <w:pPr>
        <w:rPr>
          <w:rFonts w:hint="eastAsia"/>
        </w:rPr>
      </w:pPr>
    </w:p>
    <w:p w14:paraId="4E626406">
      <w:pPr>
        <w:keepNext w:val="0"/>
        <w:keepLines w:val="0"/>
        <w:pageBreakBefore w:val="0"/>
        <w:widowControl/>
        <w:shd w:val="clear"/>
        <w:kinsoku w:val="0"/>
        <w:wordWrap/>
        <w:overflowPunct/>
        <w:topLinePunct w:val="0"/>
        <w:autoSpaceDE w:val="0"/>
        <w:autoSpaceDN w:val="0"/>
        <w:bidi w:val="0"/>
        <w:adjustRightInd w:val="0"/>
        <w:snapToGrid w:val="0"/>
        <w:spacing w:line="242" w:lineRule="auto"/>
        <w:jc w:val="both"/>
        <w:textAlignment w:val="baseline"/>
        <w:outlineLvl w:val="9"/>
        <w:rPr>
          <w:rFonts w:hint="eastAsia" w:ascii="仿宋" w:hAnsi="仿宋" w:eastAsia="仿宋" w:cs="仿宋"/>
          <w:color w:val="auto"/>
          <w:sz w:val="24"/>
          <w:szCs w:val="24"/>
          <w:highlight w:val="none"/>
        </w:rPr>
      </w:pPr>
    </w:p>
    <w:p w14:paraId="52C297BC">
      <w:pPr>
        <w:keepNext w:val="0"/>
        <w:keepLines w:val="0"/>
        <w:pageBreakBefore w:val="0"/>
        <w:widowControl/>
        <w:shd w:val="clear"/>
        <w:kinsoku w:val="0"/>
        <w:wordWrap/>
        <w:overflowPunct/>
        <w:topLinePunct w:val="0"/>
        <w:autoSpaceDE w:val="0"/>
        <w:autoSpaceDN w:val="0"/>
        <w:bidi w:val="0"/>
        <w:adjustRightInd w:val="0"/>
        <w:snapToGrid w:val="0"/>
        <w:spacing w:line="242" w:lineRule="auto"/>
        <w:jc w:val="both"/>
        <w:textAlignment w:val="baseline"/>
        <w:outlineLvl w:val="9"/>
        <w:rPr>
          <w:rFonts w:hint="eastAsia" w:ascii="仿宋" w:hAnsi="仿宋" w:eastAsia="仿宋" w:cs="仿宋"/>
          <w:color w:val="auto"/>
          <w:sz w:val="24"/>
          <w:szCs w:val="24"/>
          <w:highlight w:val="none"/>
        </w:rPr>
      </w:pPr>
    </w:p>
    <w:p w14:paraId="5E945A71">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0" w:firstLineChars="0"/>
        <w:jc w:val="left"/>
        <w:textAlignment w:val="auto"/>
        <w:rPr>
          <w:rFonts w:hint="default" w:ascii="Times New Roman" w:hAnsi="Times New Roman" w:eastAsia="方正仿宋_GBK" w:cs="Times New Roman"/>
          <w:b/>
          <w:kern w:val="2"/>
          <w:sz w:val="32"/>
          <w:szCs w:val="32"/>
          <w:highlight w:val="yellow"/>
          <w:lang w:val="en-US" w:eastAsia="zh-CN" w:bidi="ar-SA"/>
        </w:rPr>
      </w:pPr>
      <w:r>
        <w:rPr>
          <w:rFonts w:hint="eastAsia" w:ascii="方正仿宋_GBK" w:hAnsi="方正仿宋_GBK" w:eastAsia="方正仿宋_GBK" w:cs="方正仿宋_GBK"/>
          <w:b/>
          <w:kern w:val="2"/>
          <w:sz w:val="32"/>
          <w:szCs w:val="32"/>
          <w:lang w:val="en-US" w:eastAsia="zh-CN" w:bidi="ar-SA"/>
        </w:rPr>
        <w:t>项 目 编 号：</w:t>
      </w:r>
      <w:r>
        <w:rPr>
          <w:rFonts w:hint="default" w:ascii="方正仿宋_GBK" w:hAnsi="方正仿宋_GBK" w:eastAsia="方正仿宋_GBK" w:cs="方正仿宋_GBK"/>
          <w:b/>
          <w:kern w:val="2"/>
          <w:sz w:val="32"/>
          <w:szCs w:val="32"/>
          <w:lang w:val="en-US" w:eastAsia="zh-CN" w:bidi="ar-SA"/>
        </w:rPr>
        <w:t>KSJSX(CS)2025-</w:t>
      </w:r>
      <w:r>
        <w:rPr>
          <w:rFonts w:hint="eastAsia" w:ascii="方正仿宋_GBK" w:hAnsi="方正仿宋_GBK" w:eastAsia="方正仿宋_GBK" w:cs="方正仿宋_GBK"/>
          <w:b/>
          <w:kern w:val="2"/>
          <w:sz w:val="32"/>
          <w:szCs w:val="32"/>
          <w:lang w:val="en-US" w:eastAsia="zh-CN" w:bidi="ar-SA"/>
        </w:rPr>
        <w:t>21</w:t>
      </w:r>
    </w:p>
    <w:p w14:paraId="285171CB">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0" w:firstLineChars="0"/>
        <w:jc w:val="left"/>
        <w:textAlignment w:val="auto"/>
        <w:rPr>
          <w:rFonts w:hint="eastAsia" w:ascii="方正仿宋_GBK" w:hAnsi="方正仿宋_GBK" w:eastAsia="方正仿宋_GBK" w:cs="方正仿宋_GBK"/>
          <w:b/>
          <w:kern w:val="2"/>
          <w:sz w:val="32"/>
          <w:szCs w:val="32"/>
          <w:lang w:val="en-US" w:eastAsia="zh-CN" w:bidi="ar-SA"/>
        </w:rPr>
      </w:pPr>
      <w:r>
        <w:rPr>
          <w:rFonts w:hint="eastAsia" w:ascii="方正仿宋_GBK" w:hAnsi="方正仿宋_GBK" w:eastAsia="方正仿宋_GBK" w:cs="方正仿宋_GBK"/>
          <w:b/>
          <w:kern w:val="2"/>
          <w:sz w:val="32"/>
          <w:szCs w:val="32"/>
          <w:lang w:val="en-US" w:eastAsia="zh-CN" w:bidi="ar-SA"/>
        </w:rPr>
        <w:t>采 购 单 位：伽师县教育局</w:t>
      </w:r>
    </w:p>
    <w:p w14:paraId="671493C6">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0" w:firstLineChars="0"/>
        <w:jc w:val="left"/>
        <w:textAlignment w:val="auto"/>
        <w:rPr>
          <w:rFonts w:hint="eastAsia" w:ascii="方正仿宋_GBK" w:hAnsi="方正仿宋_GBK" w:eastAsia="方正仿宋_GBK" w:cs="方正仿宋_GBK"/>
          <w:b/>
          <w:kern w:val="2"/>
          <w:sz w:val="32"/>
          <w:szCs w:val="32"/>
          <w:lang w:val="en-US" w:eastAsia="zh-CN" w:bidi="ar-SA"/>
        </w:rPr>
      </w:pPr>
      <w:r>
        <w:rPr>
          <w:rFonts w:hint="eastAsia" w:ascii="方正仿宋_GBK" w:hAnsi="方正仿宋_GBK" w:eastAsia="方正仿宋_GBK" w:cs="方正仿宋_GBK"/>
          <w:b/>
          <w:kern w:val="2"/>
          <w:sz w:val="32"/>
          <w:szCs w:val="32"/>
          <w:lang w:val="en-US" w:eastAsia="zh-CN" w:bidi="ar-SA"/>
        </w:rPr>
        <w:t>采购代理机构：伽师县政府采购中心</w:t>
      </w:r>
    </w:p>
    <w:p w14:paraId="39A4E7AF">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0" w:firstLineChars="0"/>
        <w:jc w:val="left"/>
        <w:textAlignment w:val="auto"/>
        <w:rPr>
          <w:rFonts w:hint="eastAsia" w:ascii="方正仿宋_GBK" w:hAnsi="方正仿宋_GBK" w:eastAsia="方正仿宋_GBK" w:cs="方正仿宋_GBK"/>
          <w:b/>
          <w:kern w:val="2"/>
          <w:sz w:val="32"/>
          <w:szCs w:val="32"/>
          <w:lang w:val="en-US" w:eastAsia="zh-CN" w:bidi="ar-SA"/>
        </w:rPr>
      </w:pPr>
      <w:r>
        <w:rPr>
          <w:rFonts w:hint="eastAsia" w:ascii="方正仿宋_GBK" w:hAnsi="方正仿宋_GBK" w:eastAsia="方正仿宋_GBK" w:cs="方正仿宋_GBK"/>
          <w:b/>
          <w:kern w:val="2"/>
          <w:sz w:val="32"/>
          <w:szCs w:val="32"/>
          <w:lang w:val="en-US" w:eastAsia="zh-CN" w:bidi="ar-SA"/>
        </w:rPr>
        <w:t>发  出 日 期：</w:t>
      </w:r>
      <w:r>
        <w:rPr>
          <w:rFonts w:hint="default" w:ascii="Times New Roman" w:hAnsi="Times New Roman" w:eastAsia="方正仿宋_GBK" w:cs="Times New Roman"/>
          <w:b/>
          <w:kern w:val="2"/>
          <w:sz w:val="32"/>
          <w:szCs w:val="32"/>
          <w:lang w:val="en-US" w:eastAsia="zh-CN" w:bidi="ar-SA"/>
        </w:rPr>
        <w:t>2025</w:t>
      </w:r>
      <w:r>
        <w:rPr>
          <w:rFonts w:hint="eastAsia" w:ascii="方正仿宋_GBK" w:hAnsi="方正仿宋_GBK" w:eastAsia="方正仿宋_GBK" w:cs="方正仿宋_GBK"/>
          <w:b/>
          <w:kern w:val="2"/>
          <w:sz w:val="32"/>
          <w:szCs w:val="32"/>
          <w:lang w:val="en-US" w:eastAsia="zh-CN" w:bidi="ar-SA"/>
        </w:rPr>
        <w:t>年</w:t>
      </w:r>
      <w:r>
        <w:rPr>
          <w:rFonts w:hint="default" w:ascii="Times New Roman" w:hAnsi="Times New Roman" w:eastAsia="方正仿宋_GBK" w:cs="Times New Roman"/>
          <w:b/>
          <w:kern w:val="2"/>
          <w:sz w:val="32"/>
          <w:szCs w:val="32"/>
          <w:lang w:val="en-US" w:eastAsia="zh-CN" w:bidi="ar-SA"/>
        </w:rPr>
        <w:t>0</w:t>
      </w:r>
      <w:r>
        <w:rPr>
          <w:rFonts w:hint="eastAsia" w:ascii="Times New Roman" w:hAnsi="Times New Roman" w:eastAsia="方正仿宋_GBK" w:cs="Times New Roman"/>
          <w:b/>
          <w:kern w:val="2"/>
          <w:sz w:val="32"/>
          <w:szCs w:val="32"/>
          <w:lang w:val="en-US" w:eastAsia="zh-CN" w:bidi="ar-SA"/>
        </w:rPr>
        <w:t>6</w:t>
      </w:r>
      <w:r>
        <w:rPr>
          <w:rFonts w:hint="eastAsia" w:ascii="方正仿宋_GBK" w:hAnsi="方正仿宋_GBK" w:eastAsia="方正仿宋_GBK" w:cs="方正仿宋_GBK"/>
          <w:b/>
          <w:kern w:val="2"/>
          <w:sz w:val="32"/>
          <w:szCs w:val="32"/>
          <w:lang w:val="en-US" w:eastAsia="zh-CN" w:bidi="ar-SA"/>
        </w:rPr>
        <w:t>月</w:t>
      </w:r>
    </w:p>
    <w:p w14:paraId="3434C0B7">
      <w:pPr>
        <w:keepNext w:val="0"/>
        <w:keepLines w:val="0"/>
        <w:pageBreakBefore w:val="0"/>
        <w:widowControl/>
        <w:shd w:val="clear"/>
        <w:kinsoku w:val="0"/>
        <w:wordWrap/>
        <w:overflowPunct/>
        <w:topLinePunct w:val="0"/>
        <w:autoSpaceDE w:val="0"/>
        <w:autoSpaceDN w:val="0"/>
        <w:bidi w:val="0"/>
        <w:adjustRightInd w:val="0"/>
        <w:snapToGrid w:val="0"/>
        <w:spacing w:line="242" w:lineRule="auto"/>
        <w:jc w:val="both"/>
        <w:textAlignment w:val="baseline"/>
        <w:outlineLvl w:val="9"/>
        <w:rPr>
          <w:rFonts w:hint="eastAsia" w:ascii="仿宋" w:hAnsi="仿宋" w:eastAsia="仿宋" w:cs="仿宋"/>
          <w:color w:val="auto"/>
          <w:sz w:val="24"/>
          <w:szCs w:val="24"/>
          <w:highlight w:val="none"/>
        </w:rPr>
      </w:pPr>
    </w:p>
    <w:p w14:paraId="6E38506D">
      <w:pPr>
        <w:keepNext w:val="0"/>
        <w:keepLines w:val="0"/>
        <w:pageBreakBefore w:val="0"/>
        <w:widowControl/>
        <w:shd w:val="clear"/>
        <w:kinsoku w:val="0"/>
        <w:wordWrap/>
        <w:overflowPunct/>
        <w:topLinePunct w:val="0"/>
        <w:autoSpaceDE w:val="0"/>
        <w:autoSpaceDN w:val="0"/>
        <w:bidi w:val="0"/>
        <w:adjustRightInd w:val="0"/>
        <w:snapToGrid w:val="0"/>
        <w:spacing w:line="242" w:lineRule="auto"/>
        <w:jc w:val="both"/>
        <w:textAlignment w:val="baseline"/>
        <w:outlineLvl w:val="9"/>
        <w:rPr>
          <w:rFonts w:hint="eastAsia" w:ascii="仿宋" w:hAnsi="仿宋" w:eastAsia="仿宋" w:cs="仿宋"/>
          <w:color w:val="auto"/>
          <w:sz w:val="24"/>
          <w:szCs w:val="24"/>
          <w:highlight w:val="none"/>
        </w:rPr>
      </w:pPr>
    </w:p>
    <w:p w14:paraId="63C7955B">
      <w:pPr>
        <w:keepNext w:val="0"/>
        <w:keepLines w:val="0"/>
        <w:pageBreakBefore w:val="0"/>
        <w:widowControl/>
        <w:shd w:val="clear"/>
        <w:kinsoku w:val="0"/>
        <w:wordWrap/>
        <w:overflowPunct/>
        <w:topLinePunct w:val="0"/>
        <w:autoSpaceDE w:val="0"/>
        <w:autoSpaceDN w:val="0"/>
        <w:bidi w:val="0"/>
        <w:adjustRightInd w:val="0"/>
        <w:snapToGrid w:val="0"/>
        <w:spacing w:line="242" w:lineRule="auto"/>
        <w:jc w:val="both"/>
        <w:textAlignment w:val="baseline"/>
        <w:outlineLvl w:val="9"/>
        <w:rPr>
          <w:rFonts w:hint="eastAsia" w:ascii="仿宋" w:hAnsi="仿宋" w:eastAsia="仿宋" w:cs="仿宋"/>
          <w:color w:val="auto"/>
          <w:sz w:val="24"/>
          <w:szCs w:val="24"/>
          <w:highlight w:val="none"/>
        </w:rPr>
      </w:pPr>
    </w:p>
    <w:p w14:paraId="705C02D5">
      <w:pPr>
        <w:keepNext w:val="0"/>
        <w:keepLines w:val="0"/>
        <w:pageBreakBefore w:val="0"/>
        <w:widowControl/>
        <w:shd w:val="clear"/>
        <w:kinsoku w:val="0"/>
        <w:wordWrap/>
        <w:overflowPunct/>
        <w:topLinePunct w:val="0"/>
        <w:autoSpaceDE w:val="0"/>
        <w:autoSpaceDN w:val="0"/>
        <w:bidi w:val="0"/>
        <w:adjustRightInd w:val="0"/>
        <w:snapToGrid w:val="0"/>
        <w:spacing w:line="242" w:lineRule="auto"/>
        <w:jc w:val="both"/>
        <w:textAlignment w:val="baseline"/>
        <w:outlineLvl w:val="9"/>
        <w:rPr>
          <w:rFonts w:hint="eastAsia" w:ascii="仿宋" w:hAnsi="仿宋" w:eastAsia="仿宋" w:cs="仿宋"/>
          <w:color w:val="auto"/>
          <w:sz w:val="24"/>
          <w:szCs w:val="24"/>
          <w:highlight w:val="none"/>
        </w:rPr>
      </w:pPr>
    </w:p>
    <w:p w14:paraId="3BCF56F7">
      <w:pPr>
        <w:keepNext w:val="0"/>
        <w:keepLines w:val="0"/>
        <w:pageBreakBefore w:val="0"/>
        <w:widowControl/>
        <w:shd w:val="clear"/>
        <w:kinsoku w:val="0"/>
        <w:wordWrap/>
        <w:overflowPunct/>
        <w:topLinePunct w:val="0"/>
        <w:autoSpaceDE w:val="0"/>
        <w:autoSpaceDN w:val="0"/>
        <w:bidi w:val="0"/>
        <w:adjustRightInd w:val="0"/>
        <w:snapToGrid w:val="0"/>
        <w:spacing w:line="242" w:lineRule="auto"/>
        <w:jc w:val="both"/>
        <w:textAlignment w:val="baseline"/>
        <w:outlineLvl w:val="9"/>
        <w:rPr>
          <w:rFonts w:hint="eastAsia" w:ascii="仿宋" w:hAnsi="仿宋" w:eastAsia="仿宋" w:cs="仿宋"/>
          <w:color w:val="auto"/>
          <w:sz w:val="24"/>
          <w:szCs w:val="24"/>
          <w:highlight w:val="none"/>
        </w:rPr>
      </w:pPr>
    </w:p>
    <w:p w14:paraId="777AC131">
      <w:pPr>
        <w:keepNext w:val="0"/>
        <w:keepLines w:val="0"/>
        <w:pageBreakBefore w:val="0"/>
        <w:widowControl/>
        <w:shd w:val="clear"/>
        <w:kinsoku w:val="0"/>
        <w:wordWrap/>
        <w:overflowPunct/>
        <w:topLinePunct w:val="0"/>
        <w:autoSpaceDE w:val="0"/>
        <w:autoSpaceDN w:val="0"/>
        <w:bidi w:val="0"/>
        <w:adjustRightInd w:val="0"/>
        <w:snapToGrid w:val="0"/>
        <w:spacing w:line="242" w:lineRule="auto"/>
        <w:jc w:val="both"/>
        <w:textAlignment w:val="baseline"/>
        <w:outlineLvl w:val="9"/>
        <w:rPr>
          <w:rFonts w:hint="eastAsia" w:ascii="仿宋" w:hAnsi="仿宋" w:eastAsia="仿宋" w:cs="仿宋"/>
          <w:color w:val="auto"/>
          <w:sz w:val="24"/>
          <w:szCs w:val="24"/>
          <w:highlight w:val="none"/>
        </w:rPr>
      </w:pPr>
    </w:p>
    <w:p w14:paraId="17A82BFF">
      <w:pPr>
        <w:keepNext w:val="0"/>
        <w:keepLines w:val="0"/>
        <w:pageBreakBefore w:val="0"/>
        <w:widowControl/>
        <w:shd w:val="clear"/>
        <w:kinsoku w:val="0"/>
        <w:wordWrap/>
        <w:overflowPunct/>
        <w:topLinePunct w:val="0"/>
        <w:autoSpaceDE w:val="0"/>
        <w:autoSpaceDN w:val="0"/>
        <w:bidi w:val="0"/>
        <w:adjustRightInd w:val="0"/>
        <w:snapToGrid w:val="0"/>
        <w:spacing w:line="242" w:lineRule="auto"/>
        <w:jc w:val="both"/>
        <w:textAlignment w:val="baseline"/>
        <w:outlineLvl w:val="9"/>
        <w:rPr>
          <w:rFonts w:hint="eastAsia" w:ascii="仿宋" w:hAnsi="仿宋" w:eastAsia="仿宋" w:cs="仿宋"/>
          <w:b/>
          <w:bCs/>
          <w:color w:val="auto"/>
          <w:sz w:val="24"/>
          <w:szCs w:val="24"/>
          <w:highlight w:val="none"/>
        </w:rPr>
      </w:pPr>
    </w:p>
    <w:p w14:paraId="7E8EFE9C">
      <w:pPr>
        <w:keepNext w:val="0"/>
        <w:keepLines w:val="0"/>
        <w:pageBreakBefore w:val="0"/>
        <w:widowControl/>
        <w:shd w:val="clear"/>
        <w:kinsoku w:val="0"/>
        <w:wordWrap/>
        <w:overflowPunct/>
        <w:topLinePunct w:val="0"/>
        <w:autoSpaceDE w:val="0"/>
        <w:autoSpaceDN w:val="0"/>
        <w:bidi w:val="0"/>
        <w:adjustRightInd w:val="0"/>
        <w:snapToGrid w:val="0"/>
        <w:spacing w:line="224" w:lineRule="auto"/>
        <w:jc w:val="both"/>
        <w:textAlignment w:val="baseline"/>
        <w:outlineLvl w:val="9"/>
        <w:rPr>
          <w:rFonts w:hint="eastAsia" w:ascii="仿宋" w:hAnsi="仿宋" w:eastAsia="仿宋" w:cs="仿宋"/>
          <w:color w:val="auto"/>
          <w:sz w:val="24"/>
          <w:szCs w:val="24"/>
          <w:highlight w:val="none"/>
        </w:rPr>
        <w:sectPr>
          <w:footerReference r:id="rId5" w:type="default"/>
          <w:pgSz w:w="11906" w:h="16839"/>
          <w:pgMar w:top="1431" w:right="1314" w:bottom="0" w:left="1247" w:header="0" w:footer="0" w:gutter="0"/>
          <w:pgNumType w:fmt="decimal"/>
          <w:cols w:space="720" w:num="1"/>
        </w:sectPr>
      </w:pPr>
    </w:p>
    <w:p w14:paraId="7FE9D062">
      <w:pPr>
        <w:spacing w:line="500" w:lineRule="exact"/>
        <w:jc w:val="center"/>
        <w:rPr>
          <w:rFonts w:hint="eastAsia" w:ascii="仿宋" w:hAnsi="仿宋" w:eastAsia="仿宋" w:cs="仿宋"/>
          <w:b/>
          <w:sz w:val="32"/>
          <w:szCs w:val="32"/>
          <w:highlight w:val="none"/>
        </w:rPr>
      </w:pPr>
      <w:bookmarkStart w:id="3" w:name="_Toc13671"/>
      <w:r>
        <w:rPr>
          <w:rFonts w:hint="eastAsia" w:ascii="仿宋" w:hAnsi="仿宋" w:eastAsia="仿宋" w:cs="仿宋"/>
          <w:b/>
          <w:sz w:val="32"/>
          <w:szCs w:val="32"/>
          <w:highlight w:val="none"/>
        </w:rPr>
        <w:t>目  录</w:t>
      </w:r>
    </w:p>
    <w:p w14:paraId="4A5F0A9A">
      <w:pPr>
        <w:spacing w:line="340" w:lineRule="exact"/>
        <w:ind w:left="1079" w:leftChars="257" w:hanging="540"/>
        <w:jc w:val="center"/>
        <w:rPr>
          <w:rFonts w:hint="eastAsia" w:ascii="仿宋" w:hAnsi="仿宋" w:eastAsia="仿宋" w:cs="仿宋"/>
          <w:b/>
          <w:sz w:val="24"/>
          <w:szCs w:val="24"/>
          <w:highlight w:val="none"/>
        </w:rPr>
      </w:pPr>
    </w:p>
    <w:p w14:paraId="431885D6">
      <w:pPr>
        <w:pStyle w:val="16"/>
        <w:tabs>
          <w:tab w:val="right" w:leader="dot" w:pos="8426"/>
        </w:tabs>
        <w:rPr>
          <w:rFonts w:hint="eastAsia" w:ascii="仿宋" w:hAnsi="仿宋" w:eastAsia="仿宋" w:cs="仿宋"/>
          <w:sz w:val="24"/>
          <w:szCs w:val="24"/>
        </w:rPr>
      </w:pPr>
      <w:r>
        <w:rPr>
          <w:rFonts w:hint="eastAsia" w:ascii="仿宋" w:hAnsi="仿宋" w:eastAsia="仿宋" w:cs="仿宋"/>
          <w:kern w:val="0"/>
          <w:sz w:val="24"/>
          <w:szCs w:val="24"/>
          <w:highlight w:val="none"/>
        </w:rPr>
        <w:fldChar w:fldCharType="begin"/>
      </w:r>
      <w:r>
        <w:rPr>
          <w:rFonts w:hint="eastAsia" w:ascii="仿宋" w:hAnsi="仿宋" w:eastAsia="仿宋" w:cs="仿宋"/>
          <w:kern w:val="0"/>
          <w:sz w:val="24"/>
          <w:szCs w:val="24"/>
          <w:highlight w:val="none"/>
        </w:rPr>
        <w:instrText xml:space="preserve"> TOC \o "1-3" \h \z \u </w:instrText>
      </w:r>
      <w:r>
        <w:rPr>
          <w:rFonts w:hint="eastAsia" w:ascii="仿宋" w:hAnsi="仿宋" w:eastAsia="仿宋" w:cs="仿宋"/>
          <w:kern w:val="0"/>
          <w:sz w:val="24"/>
          <w:szCs w:val="24"/>
          <w:highlight w:val="none"/>
        </w:rPr>
        <w:fldChar w:fldCharType="separate"/>
      </w:r>
      <w:r>
        <w:rPr>
          <w:rFonts w:hint="eastAsia" w:ascii="仿宋" w:hAnsi="仿宋" w:eastAsia="仿宋" w:cs="仿宋"/>
          <w:kern w:val="0"/>
          <w:sz w:val="24"/>
          <w:szCs w:val="24"/>
          <w:highlight w:val="none"/>
        </w:rPr>
        <w:fldChar w:fldCharType="begin"/>
      </w:r>
      <w:r>
        <w:rPr>
          <w:rFonts w:hint="eastAsia" w:ascii="仿宋" w:hAnsi="仿宋" w:eastAsia="仿宋" w:cs="仿宋"/>
          <w:kern w:val="0"/>
          <w:sz w:val="24"/>
          <w:szCs w:val="24"/>
          <w:highlight w:val="none"/>
        </w:rPr>
        <w:instrText xml:space="preserve"> HYPERLINK \l _Toc4397 </w:instrText>
      </w:r>
      <w:r>
        <w:rPr>
          <w:rFonts w:hint="eastAsia" w:ascii="仿宋" w:hAnsi="仿宋" w:eastAsia="仿宋" w:cs="仿宋"/>
          <w:kern w:val="0"/>
          <w:sz w:val="24"/>
          <w:szCs w:val="24"/>
          <w:highlight w:val="none"/>
        </w:rPr>
        <w:fldChar w:fldCharType="separate"/>
      </w:r>
      <w:r>
        <w:rPr>
          <w:rFonts w:hint="eastAsia" w:ascii="仿宋" w:hAnsi="仿宋" w:eastAsia="仿宋" w:cs="仿宋"/>
          <w:sz w:val="24"/>
          <w:szCs w:val="24"/>
          <w:lang w:eastAsia="zh-CN"/>
        </w:rPr>
        <w:t>第一章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投标人须知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_Toc4397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kern w:val="0"/>
          <w:sz w:val="24"/>
          <w:szCs w:val="24"/>
          <w:highlight w:val="none"/>
        </w:rPr>
        <w:fldChar w:fldCharType="end"/>
      </w:r>
    </w:p>
    <w:p w14:paraId="7D447604">
      <w:pPr>
        <w:pStyle w:val="19"/>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_Toc5210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一 总  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_Toc5210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4105519">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_Toc11269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1.采购人、采购代理机构及供应商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_Toc11269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EE201B6">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_Toc9438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2.资金来源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_Toc9438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C1E9663">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_Toc20598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3.投标费用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_Toc20598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51AA778">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_Toc18996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4.适用法律</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_Toc18996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8E7704C">
      <w:pPr>
        <w:pStyle w:val="19"/>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_Toc27286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二   磋商文件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_Toc27286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471CF26C">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_Toc5903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5.磋商文件构成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_Toc5903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905FB03">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_Toc1398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6.磋商文件的澄清与修改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_Toc1398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4E95915">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_Toc18620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7.投标截止时间的顺延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_Toc18620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0BBC3BB1">
      <w:pPr>
        <w:pStyle w:val="19"/>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_Toc21929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三   响应文件的编制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_Toc21929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40C29883">
      <w:pPr>
        <w:pStyle w:val="11"/>
        <w:tabs>
          <w:tab w:val="right" w:pos="3200"/>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_Toc25618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8.</w:t>
      </w:r>
      <w:r>
        <w:rPr>
          <w:rFonts w:hint="eastAsia" w:ascii="仿宋" w:hAnsi="仿宋" w:eastAsia="仿宋" w:cs="仿宋"/>
          <w:sz w:val="24"/>
          <w:szCs w:val="24"/>
          <w:highlight w:val="none"/>
        </w:rPr>
        <w:tab/>
      </w:r>
      <w:r>
        <w:rPr>
          <w:rFonts w:hint="eastAsia" w:ascii="仿宋" w:hAnsi="仿宋" w:eastAsia="仿宋" w:cs="仿宋"/>
          <w:sz w:val="24"/>
          <w:szCs w:val="24"/>
          <w:highlight w:val="none"/>
        </w:rPr>
        <w:t>投标范围及响应文件中标准和计量单位的使用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_Toc25618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76960CDB">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_Toc11508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9.响应文件构成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_Toc11508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718D8C31">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_Toc31466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11.磋商报价</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_Toc31466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6A046462">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_Toc18536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12.磋商保证金</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_Toc18536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D6DFC0E">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_Toc26174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13.磋商有效期</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_Toc26174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E872296">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_Toc13438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14.响应文件的签署及规定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_Toc13438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5265831">
      <w:pPr>
        <w:pStyle w:val="19"/>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_Toc25187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四 响应文件的递交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_Toc25187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15315BA">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_Toc7922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15.响应文件的密封和标记</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_Toc7922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6ABE959">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_Toc9727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16.磋商截止</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_Toc9727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748193A">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_Toc27742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17.响应文件的接收、修改与撤回</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_Toc27742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6D62C526">
      <w:pPr>
        <w:pStyle w:val="19"/>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_Toc4510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五 磋商开启及评审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_Toc4510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75FEE441">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_Toc22517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18.磋商开启</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_Toc22517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06D643E2">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_Toc17693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19.资格审查及组建评审委员会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_Toc17693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3576663">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_Toc21962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20.响应文件的符合性审查与澄清</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_Toc21962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A43DD65">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_Toc4421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21.响应偏离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_Toc4421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0624A4FB">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_Toc29823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22.响应无效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_Toc29823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925AFA9">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_Toc12097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23.比较与评价</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_Toc12097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4F66D6E9">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_Toc8539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24.废标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_Toc8539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74948B81">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_Toc13534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25.保密原则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_Toc13534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E651EBA">
      <w:pPr>
        <w:pStyle w:val="19"/>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_Toc2577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六   确定中标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_Toc2577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E5AAAD4">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_Toc29121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26.中标候选人的确定原则及标准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_Toc29121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A8139BD">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_Toc8874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27.确定中标候选人和中标人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_Toc8874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745CB734">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_Toc15094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28.采购任务取消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_Toc15094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61D5B12E">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_Toc27755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29.中标通知书和招标结果通知书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_Toc27755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4F7F018">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_Toc14004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30.签订合同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_Toc14004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0A9C19C1">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_Toc4813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31.履约保证金</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_Toc4813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5105FA5">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_Toc2258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33.政府采购信用担保</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_Toc2258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F287D8F">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_Toc5697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34.廉洁自律规定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_Toc5697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76EEA65E">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_Toc13357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35.人员回避</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_Toc13357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6BF311E3">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_Toc2480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36.质疑与接收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_Toc2480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8DB4F4A">
      <w:pPr>
        <w:pStyle w:val="16"/>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_Toc13694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lang w:eastAsia="zh-CN"/>
        </w:rPr>
        <w:t>第二章  响应文件格式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_Toc13694 \h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6E30A6F2">
      <w:pPr>
        <w:pStyle w:val="19"/>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_Toc16003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第一部分 开标一览表及资格证明文件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_Toc16003 \h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3C457B5">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_Toc2519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1 开标一览表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_Toc2519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E650FB5">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_Toc4516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2 投标函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_Toc4516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69C9E176">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_Toc9747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3 政府采购投标及履约承诺函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_Toc9747 \h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493B1071">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_Toc27057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4 施工单位工程质量终身责任承诺书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_Toc27057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A65B777">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_Toc20160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5 施工单位工程安全生产承诺书(法定代表人)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_Toc20160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0CF16E7">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_Toc31813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6 法定代表人身份证明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_Toc31813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481ED330">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_Toc6019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7 法定代表人授权委托书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_Toc6019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03678612">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_Toc5461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8 投标保证金缴纳凭证复印件或银行保函复印件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_Toc5461 \h </w:instrText>
      </w:r>
      <w:r>
        <w:rPr>
          <w:rFonts w:hint="eastAsia" w:ascii="仿宋" w:hAnsi="仿宋" w:eastAsia="仿宋" w:cs="仿宋"/>
          <w:sz w:val="24"/>
          <w:szCs w:val="24"/>
        </w:rPr>
        <w:fldChar w:fldCharType="separate"/>
      </w:r>
      <w:r>
        <w:rPr>
          <w:rFonts w:hint="eastAsia" w:ascii="仿宋" w:hAnsi="仿宋" w:eastAsia="仿宋" w:cs="仿宋"/>
          <w:sz w:val="24"/>
          <w:szCs w:val="24"/>
        </w:rPr>
        <w:t>24</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0A45A7F7">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_Toc20524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9-1  中小企业声明函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_Toc20524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148D295">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_Toc23027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9-2  （监狱企业适用）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_Toc23027 \h </w:instrText>
      </w:r>
      <w:r>
        <w:rPr>
          <w:rFonts w:hint="eastAsia" w:ascii="仿宋" w:hAnsi="仿宋" w:eastAsia="仿宋" w:cs="仿宋"/>
          <w:sz w:val="24"/>
          <w:szCs w:val="24"/>
        </w:rPr>
        <w:fldChar w:fldCharType="separate"/>
      </w:r>
      <w:r>
        <w:rPr>
          <w:rFonts w:hint="eastAsia" w:ascii="仿宋" w:hAnsi="仿宋" w:eastAsia="仿宋" w:cs="仿宋"/>
          <w:sz w:val="24"/>
          <w:szCs w:val="24"/>
        </w:rPr>
        <w:t>29</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D4141AC">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_Toc18475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9-3  残疾人福利性单位声明函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_Toc18475 \h </w:instrText>
      </w:r>
      <w:r>
        <w:rPr>
          <w:rFonts w:hint="eastAsia" w:ascii="仿宋" w:hAnsi="仿宋" w:eastAsia="仿宋" w:cs="仿宋"/>
          <w:sz w:val="24"/>
          <w:szCs w:val="24"/>
        </w:rPr>
        <w:fldChar w:fldCharType="separate"/>
      </w:r>
      <w:r>
        <w:rPr>
          <w:rFonts w:hint="eastAsia" w:ascii="仿宋" w:hAnsi="仿宋" w:eastAsia="仿宋" w:cs="仿宋"/>
          <w:sz w:val="24"/>
          <w:szCs w:val="24"/>
        </w:rPr>
        <w:t>30</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2D49776">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_Toc27533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10 投标单位（供应商）针对本次项目《反商业贿赂承诺书》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_Toc27533 \h </w:instrText>
      </w:r>
      <w:r>
        <w:rPr>
          <w:rFonts w:hint="eastAsia" w:ascii="仿宋" w:hAnsi="仿宋" w:eastAsia="仿宋" w:cs="仿宋"/>
          <w:sz w:val="24"/>
          <w:szCs w:val="24"/>
        </w:rPr>
        <w:fldChar w:fldCharType="separate"/>
      </w:r>
      <w:r>
        <w:rPr>
          <w:rFonts w:hint="eastAsia" w:ascii="仿宋" w:hAnsi="仿宋" w:eastAsia="仿宋" w:cs="仿宋"/>
          <w:sz w:val="24"/>
          <w:szCs w:val="24"/>
        </w:rPr>
        <w:t>31</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AF36AFD">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_Toc17718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11 参加政府采购活动前3年内在经营活动中没有重大违法记录的书面声明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_Toc17718 \h </w:instrText>
      </w:r>
      <w:r>
        <w:rPr>
          <w:rFonts w:hint="eastAsia" w:ascii="仿宋" w:hAnsi="仿宋" w:eastAsia="仿宋" w:cs="仿宋"/>
          <w:sz w:val="24"/>
          <w:szCs w:val="24"/>
        </w:rPr>
        <w:fldChar w:fldCharType="separate"/>
      </w:r>
      <w:r>
        <w:rPr>
          <w:rFonts w:hint="eastAsia" w:ascii="仿宋" w:hAnsi="仿宋" w:eastAsia="仿宋" w:cs="仿宋"/>
          <w:sz w:val="24"/>
          <w:szCs w:val="24"/>
        </w:rPr>
        <w:t>31</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4CE27851">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_Toc763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12 供应商须知资料表要求的其他资格证明文件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_Toc763 \h </w:instrText>
      </w:r>
      <w:r>
        <w:rPr>
          <w:rFonts w:hint="eastAsia" w:ascii="仿宋" w:hAnsi="仿宋" w:eastAsia="仿宋" w:cs="仿宋"/>
          <w:sz w:val="24"/>
          <w:szCs w:val="24"/>
        </w:rPr>
        <w:fldChar w:fldCharType="separate"/>
      </w:r>
      <w:r>
        <w:rPr>
          <w:rFonts w:hint="eastAsia" w:ascii="仿宋" w:hAnsi="仿宋" w:eastAsia="仿宋" w:cs="仿宋"/>
          <w:sz w:val="24"/>
          <w:szCs w:val="24"/>
        </w:rPr>
        <w:t>32</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A435487">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_Toc26330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13 近3年发生的被申请强制执行，未履行诉讼及仲裁生效法律文书的情况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_Toc26330 \h </w:instrText>
      </w:r>
      <w:r>
        <w:rPr>
          <w:rFonts w:hint="eastAsia" w:ascii="仿宋" w:hAnsi="仿宋" w:eastAsia="仿宋" w:cs="仿宋"/>
          <w:sz w:val="24"/>
          <w:szCs w:val="24"/>
        </w:rPr>
        <w:fldChar w:fldCharType="separate"/>
      </w:r>
      <w:r>
        <w:rPr>
          <w:rFonts w:hint="eastAsia" w:ascii="仿宋" w:hAnsi="仿宋" w:eastAsia="仿宋" w:cs="仿宋"/>
          <w:sz w:val="24"/>
          <w:szCs w:val="24"/>
        </w:rPr>
        <w:t>32</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7C31E409">
      <w:pPr>
        <w:pStyle w:val="19"/>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_Toc11108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第二部分  商务及技术文件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_Toc11108 \h </w:instrText>
      </w:r>
      <w:r>
        <w:rPr>
          <w:rFonts w:hint="eastAsia" w:ascii="仿宋" w:hAnsi="仿宋" w:eastAsia="仿宋" w:cs="仿宋"/>
          <w:sz w:val="24"/>
          <w:szCs w:val="24"/>
        </w:rPr>
        <w:fldChar w:fldCharType="separate"/>
      </w:r>
      <w:r>
        <w:rPr>
          <w:rFonts w:hint="eastAsia" w:ascii="仿宋" w:hAnsi="仿宋" w:eastAsia="仿宋" w:cs="仿宋"/>
          <w:sz w:val="24"/>
          <w:szCs w:val="24"/>
        </w:rPr>
        <w:t>33</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98EFB2B">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_Toc30277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val="en-US" w:eastAsia="zh-CN" w:bidi="ar-SA"/>
        </w:rPr>
        <w:t>1 磋商响应函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_Toc30277 \h </w:instrText>
      </w:r>
      <w:r>
        <w:rPr>
          <w:rFonts w:hint="eastAsia" w:ascii="仿宋" w:hAnsi="仿宋" w:eastAsia="仿宋" w:cs="仿宋"/>
          <w:sz w:val="24"/>
          <w:szCs w:val="24"/>
        </w:rPr>
        <w:fldChar w:fldCharType="separate"/>
      </w:r>
      <w:r>
        <w:rPr>
          <w:rFonts w:hint="eastAsia" w:ascii="仿宋" w:hAnsi="仿宋" w:eastAsia="仿宋" w:cs="仿宋"/>
          <w:sz w:val="24"/>
          <w:szCs w:val="24"/>
        </w:rPr>
        <w:t>34</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1F30CAB">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_Toc20819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val="en-US" w:eastAsia="zh-CN" w:bidi="ar-SA"/>
        </w:rPr>
        <w:t>2 磋商分项报价表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_Toc20819 \h </w:instrText>
      </w:r>
      <w:r>
        <w:rPr>
          <w:rFonts w:hint="eastAsia" w:ascii="仿宋" w:hAnsi="仿宋" w:eastAsia="仿宋" w:cs="仿宋"/>
          <w:sz w:val="24"/>
          <w:szCs w:val="24"/>
        </w:rPr>
        <w:fldChar w:fldCharType="separate"/>
      </w:r>
      <w:r>
        <w:rPr>
          <w:rFonts w:hint="eastAsia" w:ascii="仿宋" w:hAnsi="仿宋" w:eastAsia="仿宋" w:cs="仿宋"/>
          <w:sz w:val="24"/>
          <w:szCs w:val="24"/>
        </w:rPr>
        <w:t>35</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DE390D1">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_Toc15749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val="en-US" w:eastAsia="zh-CN" w:bidi="ar-SA"/>
        </w:rPr>
        <w:t>3 商务条款偏离表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_Toc15749 \h </w:instrText>
      </w:r>
      <w:r>
        <w:rPr>
          <w:rFonts w:hint="eastAsia" w:ascii="仿宋" w:hAnsi="仿宋" w:eastAsia="仿宋" w:cs="仿宋"/>
          <w:sz w:val="24"/>
          <w:szCs w:val="24"/>
        </w:rPr>
        <w:fldChar w:fldCharType="separate"/>
      </w:r>
      <w:r>
        <w:rPr>
          <w:rFonts w:hint="eastAsia" w:ascii="仿宋" w:hAnsi="仿宋" w:eastAsia="仿宋" w:cs="仿宋"/>
          <w:sz w:val="24"/>
          <w:szCs w:val="24"/>
        </w:rPr>
        <w:t>36</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44E5E9DC">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_Toc12171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val="en-US" w:eastAsia="zh-CN" w:bidi="ar-SA"/>
        </w:rPr>
        <w:t>4 供应商关联单位的说明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_Toc12171 \h </w:instrText>
      </w:r>
      <w:r>
        <w:rPr>
          <w:rFonts w:hint="eastAsia" w:ascii="仿宋" w:hAnsi="仿宋" w:eastAsia="仿宋" w:cs="仿宋"/>
          <w:sz w:val="24"/>
          <w:szCs w:val="24"/>
        </w:rPr>
        <w:fldChar w:fldCharType="separate"/>
      </w:r>
      <w:r>
        <w:rPr>
          <w:rFonts w:hint="eastAsia" w:ascii="仿宋" w:hAnsi="仿宋" w:eastAsia="仿宋" w:cs="仿宋"/>
          <w:sz w:val="24"/>
          <w:szCs w:val="24"/>
        </w:rPr>
        <w:t>36</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9022BF2">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_Toc27029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val="en-US" w:eastAsia="zh-CN" w:bidi="ar-SA"/>
        </w:rPr>
        <w:t>5 附  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_Toc27029 \h </w:instrText>
      </w:r>
      <w:r>
        <w:rPr>
          <w:rFonts w:hint="eastAsia" w:ascii="仿宋" w:hAnsi="仿宋" w:eastAsia="仿宋" w:cs="仿宋"/>
          <w:sz w:val="24"/>
          <w:szCs w:val="24"/>
        </w:rPr>
        <w:fldChar w:fldCharType="separate"/>
      </w:r>
      <w:r>
        <w:rPr>
          <w:rFonts w:hint="eastAsia" w:ascii="仿宋" w:hAnsi="仿宋" w:eastAsia="仿宋" w:cs="仿宋"/>
          <w:sz w:val="24"/>
          <w:szCs w:val="24"/>
        </w:rPr>
        <w:t>37</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E8346C4">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_Toc12118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val="en-US" w:eastAsia="zh-CN" w:bidi="ar-SA"/>
        </w:rPr>
        <w:t>6 项目管理机构</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_Toc12118 \h </w:instrText>
      </w:r>
      <w:r>
        <w:rPr>
          <w:rFonts w:hint="eastAsia" w:ascii="仿宋" w:hAnsi="仿宋" w:eastAsia="仿宋" w:cs="仿宋"/>
          <w:sz w:val="24"/>
          <w:szCs w:val="24"/>
        </w:rPr>
        <w:fldChar w:fldCharType="separate"/>
      </w:r>
      <w:r>
        <w:rPr>
          <w:rFonts w:hint="eastAsia" w:ascii="仿宋" w:hAnsi="仿宋" w:eastAsia="仿宋" w:cs="仿宋"/>
          <w:sz w:val="24"/>
          <w:szCs w:val="24"/>
        </w:rPr>
        <w:t>38</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C4D18EF">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_Toc21993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val="en-US" w:eastAsia="zh-CN" w:bidi="ar-SA"/>
        </w:rPr>
        <w:t>7 审查资料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_Toc21993 \h </w:instrText>
      </w:r>
      <w:r>
        <w:rPr>
          <w:rFonts w:hint="eastAsia" w:ascii="仿宋" w:hAnsi="仿宋" w:eastAsia="仿宋" w:cs="仿宋"/>
          <w:sz w:val="24"/>
          <w:szCs w:val="24"/>
        </w:rPr>
        <w:fldChar w:fldCharType="separate"/>
      </w:r>
      <w:r>
        <w:rPr>
          <w:rFonts w:hint="eastAsia" w:ascii="仿宋" w:hAnsi="仿宋" w:eastAsia="仿宋" w:cs="仿宋"/>
          <w:sz w:val="24"/>
          <w:szCs w:val="24"/>
        </w:rPr>
        <w:t>41</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71064500">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_Toc16478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val="en-US" w:eastAsia="zh-CN" w:bidi="ar-SA"/>
        </w:rPr>
        <w:t>8 已标价的工程量清单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_Toc16478 \h </w:instrText>
      </w:r>
      <w:r>
        <w:rPr>
          <w:rFonts w:hint="eastAsia" w:ascii="仿宋" w:hAnsi="仿宋" w:eastAsia="仿宋" w:cs="仿宋"/>
          <w:sz w:val="24"/>
          <w:szCs w:val="24"/>
        </w:rPr>
        <w:fldChar w:fldCharType="separate"/>
      </w:r>
      <w:r>
        <w:rPr>
          <w:rFonts w:hint="eastAsia" w:ascii="仿宋" w:hAnsi="仿宋" w:eastAsia="仿宋" w:cs="仿宋"/>
          <w:sz w:val="24"/>
          <w:szCs w:val="24"/>
        </w:rPr>
        <w:t>43</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C5CEADD">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_Toc21859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val="en-US" w:eastAsia="zh-CN" w:bidi="ar-SA"/>
        </w:rPr>
        <w:t>9 技术文件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_Toc21859 \h </w:instrText>
      </w:r>
      <w:r>
        <w:rPr>
          <w:rFonts w:hint="eastAsia" w:ascii="仿宋" w:hAnsi="仿宋" w:eastAsia="仿宋" w:cs="仿宋"/>
          <w:sz w:val="24"/>
          <w:szCs w:val="24"/>
        </w:rPr>
        <w:fldChar w:fldCharType="separate"/>
      </w:r>
      <w:r>
        <w:rPr>
          <w:rFonts w:hint="eastAsia" w:ascii="仿宋" w:hAnsi="仿宋" w:eastAsia="仿宋" w:cs="仿宋"/>
          <w:sz w:val="24"/>
          <w:szCs w:val="24"/>
        </w:rPr>
        <w:t>44</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07AC3280">
      <w:pPr>
        <w:pStyle w:val="16"/>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_Toc3163 </w:instrText>
      </w:r>
      <w:r>
        <w:rPr>
          <w:rFonts w:hint="eastAsia" w:ascii="仿宋" w:hAnsi="仿宋" w:eastAsia="仿宋" w:cs="仿宋"/>
          <w:sz w:val="24"/>
          <w:szCs w:val="24"/>
          <w:highlight w:val="none"/>
        </w:rPr>
        <w:fldChar w:fldCharType="separate"/>
      </w:r>
      <w:r>
        <w:rPr>
          <w:rFonts w:hint="eastAsia" w:ascii="仿宋" w:hAnsi="仿宋" w:eastAsia="仿宋" w:cs="仿宋"/>
          <w:snapToGrid w:val="0"/>
          <w:kern w:val="44"/>
          <w:sz w:val="24"/>
          <w:szCs w:val="24"/>
          <w:lang w:val="en-US" w:eastAsia="zh-CN" w:bidi="ar-SA"/>
        </w:rPr>
        <w:t>第三章 投标邀请</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_Toc3163 \h </w:instrText>
      </w:r>
      <w:r>
        <w:rPr>
          <w:rFonts w:hint="eastAsia" w:ascii="仿宋" w:hAnsi="仿宋" w:eastAsia="仿宋" w:cs="仿宋"/>
          <w:sz w:val="24"/>
          <w:szCs w:val="24"/>
        </w:rPr>
        <w:fldChar w:fldCharType="separate"/>
      </w:r>
      <w:r>
        <w:rPr>
          <w:rFonts w:hint="eastAsia" w:ascii="仿宋" w:hAnsi="仿宋" w:eastAsia="仿宋" w:cs="仿宋"/>
          <w:sz w:val="24"/>
          <w:szCs w:val="24"/>
        </w:rPr>
        <w:t>46</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D5F0AB7">
      <w:pPr>
        <w:pStyle w:val="16"/>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_Toc27597 </w:instrText>
      </w:r>
      <w:r>
        <w:rPr>
          <w:rFonts w:hint="eastAsia" w:ascii="仿宋" w:hAnsi="仿宋" w:eastAsia="仿宋" w:cs="仿宋"/>
          <w:sz w:val="24"/>
          <w:szCs w:val="24"/>
          <w:highlight w:val="none"/>
        </w:rPr>
        <w:fldChar w:fldCharType="separate"/>
      </w:r>
      <w:r>
        <w:rPr>
          <w:rFonts w:hint="eastAsia" w:ascii="仿宋" w:hAnsi="仿宋" w:eastAsia="仿宋" w:cs="仿宋"/>
          <w:snapToGrid w:val="0"/>
          <w:kern w:val="44"/>
          <w:sz w:val="24"/>
          <w:szCs w:val="24"/>
          <w:lang w:val="en-US" w:eastAsia="zh-CN" w:bidi="ar-SA"/>
        </w:rPr>
        <w:t>第四章 投标人须知资料表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_Toc27597 \h </w:instrText>
      </w:r>
      <w:r>
        <w:rPr>
          <w:rFonts w:hint="eastAsia" w:ascii="仿宋" w:hAnsi="仿宋" w:eastAsia="仿宋" w:cs="仿宋"/>
          <w:sz w:val="24"/>
          <w:szCs w:val="24"/>
        </w:rPr>
        <w:fldChar w:fldCharType="separate"/>
      </w:r>
      <w:r>
        <w:rPr>
          <w:rFonts w:hint="eastAsia" w:ascii="仿宋" w:hAnsi="仿宋" w:eastAsia="仿宋" w:cs="仿宋"/>
          <w:sz w:val="24"/>
          <w:szCs w:val="24"/>
        </w:rPr>
        <w:t>49</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B0EFD06">
      <w:pPr>
        <w:pStyle w:val="16"/>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_Toc19734 </w:instrText>
      </w:r>
      <w:r>
        <w:rPr>
          <w:rFonts w:hint="eastAsia" w:ascii="仿宋" w:hAnsi="仿宋" w:eastAsia="仿宋" w:cs="仿宋"/>
          <w:sz w:val="24"/>
          <w:szCs w:val="24"/>
          <w:highlight w:val="none"/>
        </w:rPr>
        <w:fldChar w:fldCharType="separate"/>
      </w:r>
      <w:r>
        <w:rPr>
          <w:rFonts w:hint="eastAsia" w:ascii="仿宋" w:hAnsi="仿宋" w:eastAsia="仿宋" w:cs="仿宋"/>
          <w:snapToGrid w:val="0"/>
          <w:kern w:val="0"/>
          <w:sz w:val="24"/>
          <w:szCs w:val="24"/>
          <w:lang w:val="en-US" w:eastAsia="zh-CN" w:bidi="ar"/>
        </w:rPr>
        <w:t xml:space="preserve">第五章 </w:t>
      </w:r>
      <w:r>
        <w:rPr>
          <w:rFonts w:hint="eastAsia" w:ascii="仿宋" w:hAnsi="仿宋" w:eastAsia="仿宋" w:cs="仿宋"/>
          <w:snapToGrid w:val="0"/>
          <w:kern w:val="44"/>
          <w:sz w:val="24"/>
          <w:szCs w:val="24"/>
          <w:lang w:val="en-US" w:eastAsia="zh-CN" w:bidi="ar-SA"/>
        </w:rPr>
        <w:t>工程量清单详见附件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_Toc19734 \h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0B95173">
      <w:pPr>
        <w:pStyle w:val="16"/>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_Toc17489 </w:instrText>
      </w:r>
      <w:r>
        <w:rPr>
          <w:rFonts w:hint="eastAsia" w:ascii="仿宋" w:hAnsi="仿宋" w:eastAsia="仿宋" w:cs="仿宋"/>
          <w:sz w:val="24"/>
          <w:szCs w:val="24"/>
          <w:highlight w:val="none"/>
        </w:rPr>
        <w:fldChar w:fldCharType="separate"/>
      </w:r>
      <w:r>
        <w:rPr>
          <w:rFonts w:hint="eastAsia" w:ascii="仿宋" w:hAnsi="仿宋" w:eastAsia="仿宋" w:cs="仿宋"/>
          <w:snapToGrid w:val="0"/>
          <w:kern w:val="44"/>
          <w:sz w:val="24"/>
          <w:szCs w:val="24"/>
          <w:lang w:val="en-US" w:eastAsia="zh-CN" w:bidi="ar-SA"/>
        </w:rPr>
        <w:t>第六章  评标方法和标准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_Toc17489 \h </w:instrText>
      </w:r>
      <w:r>
        <w:rPr>
          <w:rFonts w:hint="eastAsia" w:ascii="仿宋" w:hAnsi="仿宋" w:eastAsia="仿宋" w:cs="仿宋"/>
          <w:sz w:val="24"/>
          <w:szCs w:val="24"/>
        </w:rPr>
        <w:fldChar w:fldCharType="separate"/>
      </w:r>
      <w:r>
        <w:rPr>
          <w:rFonts w:hint="eastAsia" w:ascii="仿宋" w:hAnsi="仿宋" w:eastAsia="仿宋" w:cs="仿宋"/>
          <w:sz w:val="24"/>
          <w:szCs w:val="24"/>
        </w:rPr>
        <w:t>55</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549EF94">
      <w:pPr>
        <w:pStyle w:val="16"/>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_Toc32652 </w:instrText>
      </w:r>
      <w:r>
        <w:rPr>
          <w:rFonts w:hint="eastAsia" w:ascii="仿宋" w:hAnsi="仿宋" w:eastAsia="仿宋" w:cs="仿宋"/>
          <w:sz w:val="24"/>
          <w:szCs w:val="24"/>
          <w:highlight w:val="none"/>
        </w:rPr>
        <w:fldChar w:fldCharType="separate"/>
      </w:r>
      <w:r>
        <w:rPr>
          <w:rFonts w:hint="eastAsia" w:ascii="仿宋" w:hAnsi="仿宋" w:eastAsia="仿宋" w:cs="仿宋"/>
          <w:snapToGrid w:val="0"/>
          <w:kern w:val="44"/>
          <w:sz w:val="24"/>
          <w:szCs w:val="24"/>
          <w:lang w:val="en-US" w:eastAsia="zh-CN" w:bidi="ar-SA"/>
        </w:rPr>
        <w:t>第七章   合同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_Toc32652 \h </w:instrText>
      </w:r>
      <w:r>
        <w:rPr>
          <w:rFonts w:hint="eastAsia" w:ascii="仿宋" w:hAnsi="仿宋" w:eastAsia="仿宋" w:cs="仿宋"/>
          <w:sz w:val="24"/>
          <w:szCs w:val="24"/>
        </w:rPr>
        <w:fldChar w:fldCharType="separate"/>
      </w:r>
      <w:r>
        <w:rPr>
          <w:rFonts w:hint="eastAsia" w:ascii="仿宋" w:hAnsi="仿宋" w:eastAsia="仿宋" w:cs="仿宋"/>
          <w:sz w:val="24"/>
          <w:szCs w:val="24"/>
        </w:rPr>
        <w:t>65</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624003FE">
      <w:pPr>
        <w:pStyle w:val="4"/>
        <w:spacing w:before="0" w:line="340" w:lineRule="exact"/>
        <w:ind w:left="1079" w:leftChars="257" w:hanging="540"/>
        <w:jc w:val="both"/>
        <w:rPr>
          <w:rFonts w:hint="eastAsia" w:ascii="仿宋" w:hAnsi="仿宋" w:eastAsia="仿宋" w:cs="仿宋"/>
          <w:b w:val="0"/>
          <w:bCs/>
          <w:sz w:val="24"/>
          <w:szCs w:val="24"/>
          <w:highlight w:val="none"/>
        </w:rPr>
        <w:sectPr>
          <w:pgSz w:w="11906" w:h="16838"/>
          <w:pgMar w:top="1440" w:right="1740" w:bottom="1440" w:left="1740" w:header="851" w:footer="992" w:gutter="0"/>
          <w:pgNumType w:fmt="decimal"/>
          <w:cols w:space="720" w:num="1"/>
          <w:docGrid w:type="linesAndChars" w:linePitch="312" w:charSpace="0"/>
        </w:sectPr>
      </w:pPr>
      <w:r>
        <w:rPr>
          <w:rFonts w:hint="eastAsia" w:ascii="仿宋" w:hAnsi="仿宋" w:eastAsia="仿宋" w:cs="仿宋"/>
          <w:sz w:val="24"/>
          <w:szCs w:val="24"/>
          <w:highlight w:val="none"/>
        </w:rPr>
        <w:fldChar w:fldCharType="end"/>
      </w:r>
      <w:bookmarkEnd w:id="3"/>
    </w:p>
    <w:p w14:paraId="7E8B4414">
      <w:pPr>
        <w:pStyle w:val="3"/>
        <w:numPr>
          <w:ilvl w:val="0"/>
          <w:numId w:val="0"/>
        </w:numPr>
        <w:tabs>
          <w:tab w:val="left" w:pos="0"/>
        </w:tabs>
        <w:spacing w:before="0" w:after="0" w:line="240" w:lineRule="atLeast"/>
        <w:ind w:leftChars="0"/>
        <w:jc w:val="center"/>
        <w:rPr>
          <w:rFonts w:hint="eastAsia" w:ascii="仿宋" w:hAnsi="仿宋" w:eastAsia="仿宋" w:cs="仿宋"/>
          <w:b/>
          <w:sz w:val="24"/>
          <w:szCs w:val="24"/>
        </w:rPr>
      </w:pPr>
      <w:bookmarkStart w:id="4" w:name="_Toc10724"/>
      <w:bookmarkStart w:id="5" w:name="_Toc23687"/>
      <w:r>
        <w:rPr>
          <w:rFonts w:hint="eastAsia" w:ascii="仿宋" w:hAnsi="仿宋" w:eastAsia="仿宋" w:cs="仿宋"/>
          <w:b/>
          <w:sz w:val="24"/>
          <w:szCs w:val="24"/>
          <w:lang w:eastAsia="zh-CN"/>
        </w:rPr>
        <w:t>第一章</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投标人须知</w:t>
      </w:r>
      <w:bookmarkEnd w:id="4"/>
      <w:bookmarkEnd w:id="5"/>
    </w:p>
    <w:p w14:paraId="330418DA">
      <w:pPr>
        <w:pStyle w:val="4"/>
        <w:spacing w:before="0" w:line="340" w:lineRule="exact"/>
        <w:ind w:left="1080" w:leftChars="257" w:hanging="540"/>
        <w:rPr>
          <w:rFonts w:hint="eastAsia" w:ascii="仿宋" w:hAnsi="仿宋" w:eastAsia="仿宋" w:cs="仿宋"/>
          <w:sz w:val="24"/>
          <w:szCs w:val="24"/>
          <w:highlight w:val="none"/>
        </w:rPr>
      </w:pPr>
      <w:bookmarkStart w:id="6" w:name="_Toc12173"/>
      <w:r>
        <w:rPr>
          <w:rFonts w:hint="eastAsia" w:ascii="仿宋" w:hAnsi="仿宋" w:eastAsia="仿宋" w:cs="仿宋"/>
          <w:b w:val="0"/>
          <w:bCs/>
          <w:sz w:val="24"/>
          <w:szCs w:val="24"/>
          <w:highlight w:val="none"/>
        </w:rPr>
        <w:t>一 总  则</w:t>
      </w:r>
      <w:bookmarkEnd w:id="6"/>
    </w:p>
    <w:p w14:paraId="2D6C34B7">
      <w:pPr>
        <w:pStyle w:val="5"/>
        <w:spacing w:before="0" w:after="0" w:line="340" w:lineRule="exact"/>
        <w:rPr>
          <w:rFonts w:hint="eastAsia" w:ascii="仿宋" w:hAnsi="仿宋" w:eastAsia="仿宋" w:cs="仿宋"/>
          <w:sz w:val="24"/>
          <w:szCs w:val="24"/>
          <w:highlight w:val="none"/>
        </w:rPr>
      </w:pPr>
    </w:p>
    <w:p w14:paraId="22B2E143">
      <w:pPr>
        <w:pStyle w:val="5"/>
        <w:spacing w:before="0" w:after="0" w:line="340" w:lineRule="exact"/>
        <w:rPr>
          <w:rFonts w:hint="eastAsia" w:ascii="仿宋" w:hAnsi="仿宋" w:eastAsia="仿宋" w:cs="仿宋"/>
          <w:sz w:val="24"/>
          <w:szCs w:val="24"/>
          <w:highlight w:val="none"/>
        </w:rPr>
      </w:pPr>
      <w:bookmarkStart w:id="7" w:name="_Toc30069"/>
      <w:r>
        <w:rPr>
          <w:rFonts w:hint="eastAsia" w:ascii="仿宋" w:hAnsi="仿宋" w:eastAsia="仿宋" w:cs="仿宋"/>
          <w:sz w:val="24"/>
          <w:szCs w:val="24"/>
          <w:highlight w:val="none"/>
        </w:rPr>
        <w:t>1.采购人、采购代理机构及供应商</w:t>
      </w:r>
      <w:bookmarkEnd w:id="7"/>
    </w:p>
    <w:p w14:paraId="2650C26F">
      <w:pPr>
        <w:numPr>
          <w:ilvl w:val="1"/>
          <w:numId w:val="3"/>
        </w:numPr>
        <w:tabs>
          <w:tab w:val="left" w:pos="0"/>
          <w:tab w:val="clear" w:pos="900"/>
        </w:tabs>
        <w:spacing w:line="340" w:lineRule="exact"/>
        <w:ind w:hanging="898"/>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采购人：是指依法开展政府采购活动的国家机关、事业单位、团体组织。</w:t>
      </w:r>
    </w:p>
    <w:p w14:paraId="6EDD5776">
      <w:pPr>
        <w:tabs>
          <w:tab w:val="left" w:pos="0"/>
        </w:tabs>
        <w:spacing w:line="340" w:lineRule="exact"/>
        <w:ind w:left="9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本项目的采购人见供应商须知资料表。</w:t>
      </w:r>
    </w:p>
    <w:p w14:paraId="2B1E9253">
      <w:pPr>
        <w:numPr>
          <w:ilvl w:val="1"/>
          <w:numId w:val="3"/>
        </w:numPr>
        <w:tabs>
          <w:tab w:val="left" w:pos="0"/>
          <w:tab w:val="clear" w:pos="900"/>
        </w:tabs>
        <w:spacing w:line="340" w:lineRule="exact"/>
        <w:ind w:hanging="898"/>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采购代理机构：是指集中采购机构或从事采购代理业务的社会中介机构。本项目的采购代理机构见供应商须知资料表。</w:t>
      </w:r>
    </w:p>
    <w:p w14:paraId="2484014D">
      <w:pPr>
        <w:numPr>
          <w:ilvl w:val="1"/>
          <w:numId w:val="3"/>
        </w:numPr>
        <w:spacing w:line="340" w:lineRule="exact"/>
        <w:ind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供应商：是指向采购人提供货物、工程或者服务的法人、非法人组织或者自然人。本项目的供应商须满足以下条件：</w:t>
      </w:r>
    </w:p>
    <w:p w14:paraId="5E4F7318">
      <w:pPr>
        <w:spacing w:line="340" w:lineRule="exact"/>
        <w:ind w:left="850" w:hanging="849" w:hangingChars="354"/>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1.3.1</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在中华人民共和国境内注册，能够独立承担民事责任，有生产或供应能力的本国供应商。</w:t>
      </w:r>
    </w:p>
    <w:p w14:paraId="36B38459">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1.3.2  具备《中华人民共和国政府采购法》第二十二条关于供应商条件的规定，遵守本项目采购人本级和上级财政部门政府采购的有关规定。</w:t>
      </w:r>
    </w:p>
    <w:p w14:paraId="6D190700">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1.3.3   以采购代理机构认可的方式获得了本项目的磋商文件。</w:t>
      </w:r>
    </w:p>
    <w:p w14:paraId="4240EE3E">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1.3.4   符合供应商须知资料表中规定的其他要求。</w:t>
      </w:r>
    </w:p>
    <w:p w14:paraId="4D30931B">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1.3.5   若供应商须知资料表中写明专门面向中小企业采购的，如供应商为非中小企业，其投标将被认定为</w:t>
      </w:r>
      <w:r>
        <w:rPr>
          <w:rFonts w:hint="eastAsia" w:ascii="仿宋" w:hAnsi="仿宋" w:eastAsia="仿宋" w:cs="仿宋"/>
          <w:b/>
          <w:bCs/>
          <w:kern w:val="0"/>
          <w:sz w:val="24"/>
          <w:szCs w:val="24"/>
          <w:highlight w:val="none"/>
        </w:rPr>
        <w:t>投标无效</w:t>
      </w:r>
      <w:r>
        <w:rPr>
          <w:rFonts w:hint="eastAsia" w:ascii="仿宋" w:hAnsi="仿宋" w:eastAsia="仿宋" w:cs="仿宋"/>
          <w:kern w:val="0"/>
          <w:sz w:val="24"/>
          <w:szCs w:val="24"/>
          <w:highlight w:val="none"/>
        </w:rPr>
        <w:t>。</w:t>
      </w:r>
    </w:p>
    <w:p w14:paraId="2B4136FC">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     如供应商须知资料表中允许联合体投标，对联合体规定如下：</w:t>
      </w:r>
    </w:p>
    <w:p w14:paraId="64493385">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1.4.1   两个以上供应商可以组成一个投标联合体，以一个供应商的身份投标。</w:t>
      </w:r>
    </w:p>
    <w:p w14:paraId="72EAE13F">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1.4.2   联合体各方均应符合《中华人民共和国政府采购法》第二十二条规定的条件。</w:t>
      </w:r>
    </w:p>
    <w:p w14:paraId="3FD72CDC">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1.4.3   采购人根据采购项目对供应商的特殊要求，联合体中至少应当有一方符合相关规定。</w:t>
      </w:r>
    </w:p>
    <w:p w14:paraId="63B7DA65">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1.4.4   联合体各方应签订共同投标协议，明确约定联合体各方承担的工作和相应的责任，并将共同投标协议连同响应文件一并提交招标采购单位。</w:t>
      </w:r>
    </w:p>
    <w:p w14:paraId="799058F5">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08F23855">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1.4.6  联合体中有同类资质的供应商按照联合体分工承担相同工作的，按照资质等级较低的供应商确定资质等级。</w:t>
      </w:r>
    </w:p>
    <w:p w14:paraId="23A7DC10">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1.4.7  以联合体形式参加政府采购活动的，联合体各方不得再单独参加或者与其他供应商另外组成联合体参加本项目投标，否则相关投标将被认定为投标无效。</w:t>
      </w:r>
    </w:p>
    <w:p w14:paraId="1514FBDD">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1.4.8   对联合体投标的其他资格要求见供应商须知资料表。</w:t>
      </w:r>
    </w:p>
    <w:p w14:paraId="467E2E28">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1.5    单位负责人为同一人或者存在直接控股、管理关系的不同供应商，其相关投标将被认定为投标无效。</w:t>
      </w:r>
    </w:p>
    <w:p w14:paraId="55414FE5">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1.6    为本项目提供过整体设计、规范编制或者项目管理、监理、检测等服务的供应商，不得再参加本项目上述服务以外的其他采购活动。否则其投标将被认定为投标无效。</w:t>
      </w:r>
    </w:p>
    <w:p w14:paraId="2310140D">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1.7</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供应商在投标过程中不得向采购人提供或给予影响其正常决策行为的任何有价值物品或服务。一经发现，其投标将被认定为投标无效。</w:t>
      </w:r>
    </w:p>
    <w:p w14:paraId="604A7539">
      <w:pPr>
        <w:pStyle w:val="5"/>
        <w:spacing w:before="0" w:after="0" w:line="340" w:lineRule="exact"/>
        <w:rPr>
          <w:rFonts w:hint="eastAsia" w:ascii="仿宋" w:hAnsi="仿宋" w:eastAsia="仿宋" w:cs="仿宋"/>
          <w:sz w:val="24"/>
          <w:szCs w:val="24"/>
          <w:highlight w:val="none"/>
        </w:rPr>
      </w:pPr>
      <w:bookmarkStart w:id="8" w:name="_Toc101"/>
      <w:bookmarkStart w:id="9" w:name="_Toc518923062"/>
      <w:bookmarkStart w:id="10" w:name="_Toc22082"/>
      <w:r>
        <w:rPr>
          <w:rFonts w:hint="eastAsia" w:ascii="仿宋" w:hAnsi="仿宋" w:eastAsia="仿宋" w:cs="仿宋"/>
          <w:sz w:val="24"/>
          <w:szCs w:val="24"/>
          <w:highlight w:val="none"/>
        </w:rPr>
        <w:t>2.资金来源</w:t>
      </w:r>
      <w:bookmarkEnd w:id="8"/>
      <w:bookmarkEnd w:id="9"/>
      <w:bookmarkEnd w:id="10"/>
    </w:p>
    <w:p w14:paraId="114B4F6F">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2.1</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本项目的采购人已获得足以支付本次招标后所签订的合同项下的资金（包括财政性资金和本项目采购中无法与财政性资金分割的非财政性资金）。</w:t>
      </w:r>
    </w:p>
    <w:p w14:paraId="6E378FD6">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2.2    项目预算金额和分项或分包最高限价见供应商须知资料表。</w:t>
      </w:r>
    </w:p>
    <w:p w14:paraId="322753C8">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2.3    供应商报价超过磋商文件规定的预算金额或者分项、分包最高限价的，其投标将被认定为投标无效。</w:t>
      </w:r>
    </w:p>
    <w:p w14:paraId="00C19B27">
      <w:pPr>
        <w:pStyle w:val="5"/>
        <w:spacing w:before="0" w:after="0" w:line="340" w:lineRule="exact"/>
        <w:rPr>
          <w:rFonts w:hint="eastAsia" w:ascii="仿宋" w:hAnsi="仿宋" w:eastAsia="仿宋" w:cs="仿宋"/>
          <w:sz w:val="24"/>
          <w:szCs w:val="24"/>
          <w:highlight w:val="none"/>
        </w:rPr>
      </w:pPr>
      <w:bookmarkStart w:id="11" w:name="_Toc14016"/>
      <w:bookmarkStart w:id="12" w:name="_Toc6628"/>
      <w:bookmarkStart w:id="13" w:name="_Toc518923063"/>
      <w:bookmarkStart w:id="14" w:name="_Toc520356145"/>
      <w:r>
        <w:rPr>
          <w:rFonts w:hint="eastAsia" w:ascii="仿宋" w:hAnsi="仿宋" w:eastAsia="仿宋" w:cs="仿宋"/>
          <w:sz w:val="24"/>
          <w:szCs w:val="24"/>
          <w:highlight w:val="none"/>
        </w:rPr>
        <w:t>3.投标费用</w:t>
      </w:r>
      <w:bookmarkEnd w:id="11"/>
      <w:bookmarkEnd w:id="12"/>
      <w:bookmarkEnd w:id="13"/>
      <w:bookmarkEnd w:id="14"/>
    </w:p>
    <w:p w14:paraId="48EA8467">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不论投标的结果如何，供应商应承担所有与准备和参加投标有关的费用。</w:t>
      </w:r>
    </w:p>
    <w:p w14:paraId="0ACECD1A">
      <w:pPr>
        <w:pStyle w:val="5"/>
        <w:spacing w:before="0" w:after="0" w:line="340" w:lineRule="exact"/>
        <w:rPr>
          <w:rFonts w:hint="eastAsia" w:ascii="仿宋" w:hAnsi="仿宋" w:eastAsia="仿宋" w:cs="仿宋"/>
          <w:sz w:val="24"/>
          <w:szCs w:val="24"/>
          <w:highlight w:val="none"/>
        </w:rPr>
      </w:pPr>
      <w:bookmarkStart w:id="15" w:name="_Toc2984"/>
      <w:bookmarkStart w:id="16" w:name="_Toc518923064"/>
      <w:bookmarkStart w:id="17" w:name="_Toc32072"/>
      <w:r>
        <w:rPr>
          <w:rFonts w:hint="eastAsia" w:ascii="仿宋" w:hAnsi="仿宋" w:eastAsia="仿宋" w:cs="仿宋"/>
          <w:sz w:val="24"/>
          <w:szCs w:val="24"/>
          <w:highlight w:val="none"/>
        </w:rPr>
        <w:t>4.适用法律</w:t>
      </w:r>
      <w:bookmarkEnd w:id="15"/>
      <w:bookmarkEnd w:id="16"/>
      <w:bookmarkEnd w:id="17"/>
    </w:p>
    <w:p w14:paraId="01193389">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本项目采购人、采购代理机构、供应商、评标委员会的相关行为均受《中华人民共和国政府采购法》、《中华人民共和国政府采购法实施条例》及本项目本级和上级财政部门政府采购有关规定的约束，其权利受到上述法律法规的保护。</w:t>
      </w:r>
    </w:p>
    <w:p w14:paraId="558A55ED">
      <w:pPr>
        <w:spacing w:line="340" w:lineRule="exact"/>
        <w:rPr>
          <w:rFonts w:hint="eastAsia" w:ascii="仿宋" w:hAnsi="仿宋" w:eastAsia="仿宋" w:cs="仿宋"/>
          <w:kern w:val="0"/>
          <w:sz w:val="24"/>
          <w:szCs w:val="24"/>
          <w:highlight w:val="none"/>
        </w:rPr>
      </w:pPr>
    </w:p>
    <w:p w14:paraId="5F6D251F">
      <w:pPr>
        <w:pStyle w:val="4"/>
        <w:spacing w:before="0" w:line="340" w:lineRule="exact"/>
        <w:ind w:left="1080" w:leftChars="257" w:hanging="540"/>
        <w:rPr>
          <w:rFonts w:hint="eastAsia" w:ascii="仿宋" w:hAnsi="仿宋" w:eastAsia="仿宋" w:cs="仿宋"/>
          <w:sz w:val="24"/>
          <w:szCs w:val="24"/>
          <w:highlight w:val="none"/>
        </w:rPr>
      </w:pPr>
      <w:bookmarkStart w:id="18" w:name="_Toc518923065"/>
      <w:bookmarkStart w:id="19" w:name="_Toc216582806"/>
      <w:bookmarkStart w:id="20" w:name="_Toc24472"/>
      <w:bookmarkStart w:id="21" w:name="_Toc520356146"/>
      <w:bookmarkStart w:id="22" w:name="_Toc14280"/>
      <w:r>
        <w:rPr>
          <w:rFonts w:hint="eastAsia" w:ascii="仿宋" w:hAnsi="仿宋" w:eastAsia="仿宋" w:cs="仿宋"/>
          <w:sz w:val="24"/>
          <w:szCs w:val="24"/>
          <w:highlight w:val="none"/>
        </w:rPr>
        <w:t>二   磋商文件</w:t>
      </w:r>
      <w:bookmarkEnd w:id="18"/>
      <w:bookmarkEnd w:id="19"/>
      <w:bookmarkEnd w:id="20"/>
      <w:bookmarkEnd w:id="21"/>
      <w:bookmarkEnd w:id="22"/>
    </w:p>
    <w:p w14:paraId="5C0652EF">
      <w:pPr>
        <w:pStyle w:val="7"/>
        <w:spacing w:line="340" w:lineRule="exact"/>
        <w:rPr>
          <w:rFonts w:hint="eastAsia" w:ascii="仿宋" w:hAnsi="仿宋" w:eastAsia="仿宋" w:cs="仿宋"/>
          <w:sz w:val="24"/>
          <w:szCs w:val="24"/>
          <w:highlight w:val="none"/>
        </w:rPr>
      </w:pPr>
    </w:p>
    <w:p w14:paraId="46FD6B05">
      <w:pPr>
        <w:pStyle w:val="5"/>
        <w:spacing w:before="0" w:after="0" w:line="340" w:lineRule="exact"/>
        <w:rPr>
          <w:rFonts w:hint="eastAsia" w:ascii="仿宋" w:hAnsi="仿宋" w:eastAsia="仿宋" w:cs="仿宋"/>
          <w:sz w:val="24"/>
          <w:szCs w:val="24"/>
          <w:highlight w:val="none"/>
        </w:rPr>
      </w:pPr>
      <w:bookmarkStart w:id="23" w:name="_Toc518923066"/>
      <w:bookmarkStart w:id="24" w:name="_Toc3360"/>
      <w:bookmarkStart w:id="25" w:name="_Toc520356147"/>
      <w:bookmarkStart w:id="26" w:name="_Toc14994"/>
      <w:r>
        <w:rPr>
          <w:rFonts w:hint="eastAsia" w:ascii="仿宋" w:hAnsi="仿宋" w:eastAsia="仿宋" w:cs="仿宋"/>
          <w:sz w:val="24"/>
          <w:szCs w:val="24"/>
          <w:highlight w:val="none"/>
        </w:rPr>
        <w:t>5.磋商文件构成</w:t>
      </w:r>
      <w:bookmarkEnd w:id="23"/>
      <w:bookmarkEnd w:id="24"/>
      <w:bookmarkEnd w:id="25"/>
      <w:bookmarkEnd w:id="26"/>
    </w:p>
    <w:p w14:paraId="3D7BAB86">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5.1</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磋商文件分为三册共7章，内容如下：</w:t>
      </w:r>
    </w:p>
    <w:p w14:paraId="39C45FB7">
      <w:pPr>
        <w:spacing w:line="340" w:lineRule="exact"/>
        <w:ind w:left="1079" w:leftChars="428" w:hanging="180" w:hangingChars="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第一册</w:t>
      </w:r>
    </w:p>
    <w:p w14:paraId="2EA17365">
      <w:pPr>
        <w:numPr>
          <w:ilvl w:val="0"/>
          <w:numId w:val="4"/>
        </w:numPr>
        <w:tabs>
          <w:tab w:val="left" w:pos="0"/>
          <w:tab w:val="clear" w:pos="1680"/>
        </w:tabs>
        <w:spacing w:line="340" w:lineRule="exact"/>
        <w:ind w:left="993" w:firstLine="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供应商须知</w:t>
      </w:r>
    </w:p>
    <w:p w14:paraId="0457AA44">
      <w:pPr>
        <w:numPr>
          <w:ilvl w:val="0"/>
          <w:numId w:val="4"/>
        </w:numPr>
        <w:spacing w:line="340" w:lineRule="exact"/>
        <w:ind w:left="1081" w:leftChars="429" w:hanging="1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响应文件格式</w:t>
      </w:r>
    </w:p>
    <w:p w14:paraId="45CFF9FF">
      <w:pPr>
        <w:spacing w:line="340" w:lineRule="exact"/>
        <w:ind w:left="1081" w:leftChars="429" w:hanging="1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第二册</w:t>
      </w:r>
    </w:p>
    <w:p w14:paraId="290C33CD">
      <w:pPr>
        <w:numPr>
          <w:ilvl w:val="0"/>
          <w:numId w:val="4"/>
        </w:numPr>
        <w:spacing w:line="340" w:lineRule="exact"/>
        <w:ind w:left="1081" w:leftChars="429" w:hanging="1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磋商邀请</w:t>
      </w:r>
    </w:p>
    <w:p w14:paraId="4920253D">
      <w:pPr>
        <w:numPr>
          <w:ilvl w:val="0"/>
          <w:numId w:val="4"/>
        </w:numPr>
        <w:spacing w:line="340" w:lineRule="exact"/>
        <w:ind w:left="1081" w:leftChars="429" w:hanging="1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供应商须知资料表</w:t>
      </w:r>
    </w:p>
    <w:p w14:paraId="091E38EC">
      <w:pPr>
        <w:numPr>
          <w:ilvl w:val="0"/>
          <w:numId w:val="4"/>
        </w:numPr>
        <w:spacing w:line="340" w:lineRule="exact"/>
        <w:ind w:left="1081" w:leftChars="429" w:hanging="1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服务需求</w:t>
      </w:r>
    </w:p>
    <w:p w14:paraId="6D08EA37">
      <w:pPr>
        <w:numPr>
          <w:ilvl w:val="0"/>
          <w:numId w:val="4"/>
        </w:numPr>
        <w:spacing w:line="340" w:lineRule="exact"/>
        <w:ind w:left="1081" w:leftChars="429" w:hanging="1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评标方法和标准</w:t>
      </w:r>
    </w:p>
    <w:p w14:paraId="3C7D135B">
      <w:pPr>
        <w:spacing w:line="340" w:lineRule="exact"/>
        <w:ind w:left="901"/>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第三册</w:t>
      </w:r>
    </w:p>
    <w:p w14:paraId="2D6D4AEC">
      <w:pPr>
        <w:numPr>
          <w:ilvl w:val="0"/>
          <w:numId w:val="4"/>
        </w:numPr>
        <w:spacing w:line="340" w:lineRule="exact"/>
        <w:ind w:left="1081" w:leftChars="429" w:hanging="1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政府采购合同格式</w:t>
      </w:r>
    </w:p>
    <w:p w14:paraId="398CCC0C">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5.2</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如本文件的前后内容不一致，以最后描述为准。</w:t>
      </w:r>
    </w:p>
    <w:p w14:paraId="6E685094">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5.3    供应商应认真阅读磋商文件所有的事项、格式、条款和技术规范等。如供应商没有按照磋商文件要求提交全部资料，或者响应文件没有对磋商文件在各方面都做出实质性响应，可能导致其投标被认定为投标无效。</w:t>
      </w:r>
    </w:p>
    <w:p w14:paraId="7EDC2B3B">
      <w:pPr>
        <w:pStyle w:val="5"/>
        <w:spacing w:before="0" w:after="0" w:line="340" w:lineRule="exact"/>
        <w:rPr>
          <w:rFonts w:hint="eastAsia" w:ascii="仿宋" w:hAnsi="仿宋" w:eastAsia="仿宋" w:cs="仿宋"/>
          <w:sz w:val="24"/>
          <w:szCs w:val="24"/>
          <w:highlight w:val="none"/>
        </w:rPr>
      </w:pPr>
      <w:bookmarkStart w:id="27" w:name="_Toc520356148"/>
      <w:bookmarkStart w:id="28" w:name="_Toc518923067"/>
      <w:bookmarkStart w:id="29" w:name="_Toc25742"/>
      <w:bookmarkStart w:id="30" w:name="_Toc14946"/>
      <w:r>
        <w:rPr>
          <w:rFonts w:hint="eastAsia" w:ascii="仿宋" w:hAnsi="仿宋" w:eastAsia="仿宋" w:cs="仿宋"/>
          <w:sz w:val="24"/>
          <w:szCs w:val="24"/>
          <w:highlight w:val="none"/>
        </w:rPr>
        <w:t>6.磋商文件的澄清</w:t>
      </w:r>
      <w:bookmarkEnd w:id="27"/>
      <w:r>
        <w:rPr>
          <w:rFonts w:hint="eastAsia" w:ascii="仿宋" w:hAnsi="仿宋" w:eastAsia="仿宋" w:cs="仿宋"/>
          <w:sz w:val="24"/>
          <w:szCs w:val="24"/>
          <w:highlight w:val="none"/>
        </w:rPr>
        <w:t>与修改</w:t>
      </w:r>
      <w:bookmarkEnd w:id="28"/>
      <w:bookmarkEnd w:id="29"/>
      <w:bookmarkEnd w:id="30"/>
    </w:p>
    <w:p w14:paraId="7BCF3FD3">
      <w:pPr>
        <w:pStyle w:val="7"/>
        <w:spacing w:line="340" w:lineRule="exact"/>
        <w:ind w:left="840" w:hanging="840" w:hangingChars="350"/>
        <w:rPr>
          <w:rFonts w:hint="eastAsia" w:ascii="仿宋" w:hAnsi="仿宋" w:eastAsia="仿宋" w:cs="仿宋"/>
          <w:sz w:val="24"/>
          <w:szCs w:val="24"/>
          <w:highlight w:val="none"/>
        </w:rPr>
      </w:pPr>
      <w:r>
        <w:rPr>
          <w:rFonts w:hint="eastAsia" w:ascii="仿宋" w:hAnsi="仿宋" w:eastAsia="仿宋" w:cs="仿宋"/>
          <w:sz w:val="24"/>
          <w:szCs w:val="24"/>
          <w:highlight w:val="none"/>
        </w:rPr>
        <w:t>6.1    为了保证对磋商文件的澄清和修改满足法律的时限要求，任何要求对磋商文件进行澄清的供应商，均应在投标截止期五日前，以书面形式将澄清要求通知采购人或采购代理机构。</w:t>
      </w:r>
    </w:p>
    <w:p w14:paraId="346FAFD6">
      <w:pPr>
        <w:pStyle w:val="7"/>
        <w:spacing w:line="340" w:lineRule="exact"/>
        <w:ind w:left="840" w:hanging="840" w:hangingChars="350"/>
        <w:rPr>
          <w:rFonts w:hint="eastAsia" w:ascii="仿宋" w:hAnsi="仿宋" w:eastAsia="仿宋" w:cs="仿宋"/>
          <w:sz w:val="24"/>
          <w:szCs w:val="24"/>
          <w:highlight w:val="none"/>
        </w:rPr>
      </w:pPr>
      <w:bookmarkStart w:id="31" w:name="_Ref467378678"/>
      <w:bookmarkStart w:id="32" w:name="_Toc520356149"/>
      <w:r>
        <w:rPr>
          <w:rFonts w:hint="eastAsia" w:ascii="仿宋" w:hAnsi="仿宋" w:eastAsia="仿宋" w:cs="仿宋"/>
          <w:sz w:val="24"/>
          <w:szCs w:val="24"/>
          <w:highlight w:val="none"/>
        </w:rPr>
        <w:t>6.2</w:t>
      </w:r>
      <w:r>
        <w:rPr>
          <w:rFonts w:hint="eastAsia" w:ascii="仿宋" w:hAnsi="仿宋" w:eastAsia="仿宋" w:cs="仿宋"/>
          <w:sz w:val="24"/>
          <w:szCs w:val="24"/>
          <w:highlight w:val="none"/>
        </w:rPr>
        <w:tab/>
      </w:r>
      <w:r>
        <w:rPr>
          <w:rFonts w:hint="eastAsia" w:ascii="仿宋" w:hAnsi="仿宋" w:eastAsia="仿宋" w:cs="仿宋"/>
          <w:sz w:val="24"/>
          <w:szCs w:val="24"/>
          <w:highlight w:val="none"/>
        </w:rPr>
        <w:t>采购人可主动地或在解答供应商提出的澄清问题时对磋商文件澄清或修改。采购代理机构将以发布澄清（更正）公告的方式，澄清或修改磋商文件，澄清或修改内容作为磋商文件的组成部分。</w:t>
      </w:r>
    </w:p>
    <w:p w14:paraId="40B7CF83">
      <w:pPr>
        <w:pStyle w:val="7"/>
        <w:spacing w:line="340" w:lineRule="exact"/>
        <w:ind w:left="840" w:hanging="840" w:hangingChars="350"/>
        <w:rPr>
          <w:rFonts w:hint="eastAsia" w:ascii="仿宋" w:hAnsi="仿宋" w:eastAsia="仿宋" w:cs="仿宋"/>
          <w:sz w:val="24"/>
          <w:szCs w:val="24"/>
          <w:highlight w:val="none"/>
        </w:rPr>
      </w:pPr>
      <w:r>
        <w:rPr>
          <w:rFonts w:hint="eastAsia" w:ascii="仿宋" w:hAnsi="仿宋" w:eastAsia="仿宋" w:cs="仿宋"/>
          <w:sz w:val="24"/>
          <w:szCs w:val="24"/>
          <w:highlight w:val="none"/>
        </w:rPr>
        <w:t>6.3</w:t>
      </w:r>
      <w:r>
        <w:rPr>
          <w:rFonts w:hint="eastAsia" w:ascii="仿宋" w:hAnsi="仿宋" w:eastAsia="仿宋" w:cs="仿宋"/>
          <w:sz w:val="24"/>
          <w:szCs w:val="24"/>
          <w:highlight w:val="none"/>
        </w:rPr>
        <w:tab/>
      </w:r>
      <w:r>
        <w:rPr>
          <w:rFonts w:hint="eastAsia" w:ascii="仿宋" w:hAnsi="仿宋" w:eastAsia="仿宋" w:cs="仿宋"/>
          <w:sz w:val="24"/>
          <w:szCs w:val="24"/>
          <w:highlight w:val="none"/>
        </w:rPr>
        <w:t>澄清或者修改的内容可能影响响应文件编制的，采购代理机构将以书面形式通知所有购买磋商文件的潜在供应商，并对其具有约束力。供应商在收到上述通知后，应及时向采购代理机构回函确认。</w:t>
      </w:r>
    </w:p>
    <w:p w14:paraId="430E1D08">
      <w:pPr>
        <w:pStyle w:val="5"/>
        <w:spacing w:before="0" w:after="0" w:line="340" w:lineRule="exact"/>
        <w:rPr>
          <w:rFonts w:hint="eastAsia" w:ascii="仿宋" w:hAnsi="仿宋" w:eastAsia="仿宋" w:cs="仿宋"/>
          <w:sz w:val="24"/>
          <w:szCs w:val="24"/>
          <w:highlight w:val="none"/>
        </w:rPr>
      </w:pPr>
      <w:bookmarkStart w:id="33" w:name="_Toc26082"/>
      <w:bookmarkStart w:id="34" w:name="_Toc518923068"/>
      <w:bookmarkStart w:id="35" w:name="_Toc2396"/>
      <w:r>
        <w:rPr>
          <w:rFonts w:hint="eastAsia" w:ascii="仿宋" w:hAnsi="仿宋" w:eastAsia="仿宋" w:cs="仿宋"/>
          <w:sz w:val="24"/>
          <w:szCs w:val="24"/>
          <w:highlight w:val="none"/>
        </w:rPr>
        <w:t>7</w:t>
      </w:r>
      <w:bookmarkEnd w:id="31"/>
      <w:bookmarkEnd w:id="32"/>
      <w:r>
        <w:rPr>
          <w:rFonts w:hint="eastAsia" w:ascii="仿宋" w:hAnsi="仿宋" w:eastAsia="仿宋" w:cs="仿宋"/>
          <w:sz w:val="24"/>
          <w:szCs w:val="24"/>
          <w:highlight w:val="none"/>
        </w:rPr>
        <w:t>.投标截止时间的顺延</w:t>
      </w:r>
      <w:bookmarkEnd w:id="33"/>
      <w:bookmarkEnd w:id="34"/>
      <w:bookmarkEnd w:id="35"/>
    </w:p>
    <w:p w14:paraId="70DEE16F">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为使供应商准备投标时有足够的时间对磋商文件的澄清或者修改部分进行研究，采购人将依法决定是否顺延投标截止时间。</w:t>
      </w:r>
    </w:p>
    <w:p w14:paraId="1533EFAD">
      <w:pPr>
        <w:spacing w:line="340" w:lineRule="exact"/>
        <w:ind w:left="900" w:hanging="900" w:hangingChars="375"/>
        <w:rPr>
          <w:rFonts w:hint="eastAsia" w:ascii="仿宋" w:hAnsi="仿宋" w:eastAsia="仿宋" w:cs="仿宋"/>
          <w:sz w:val="24"/>
          <w:szCs w:val="24"/>
          <w:highlight w:val="none"/>
        </w:rPr>
      </w:pPr>
    </w:p>
    <w:p w14:paraId="4AD445CC">
      <w:pPr>
        <w:pStyle w:val="4"/>
        <w:tabs>
          <w:tab w:val="left" w:pos="900"/>
        </w:tabs>
        <w:spacing w:before="0" w:line="340" w:lineRule="exact"/>
        <w:ind w:left="1080" w:leftChars="257" w:hanging="540"/>
        <w:rPr>
          <w:rFonts w:hint="eastAsia" w:ascii="仿宋" w:hAnsi="仿宋" w:eastAsia="仿宋" w:cs="仿宋"/>
          <w:sz w:val="24"/>
          <w:szCs w:val="24"/>
          <w:highlight w:val="none"/>
        </w:rPr>
      </w:pPr>
      <w:bookmarkStart w:id="36" w:name="_Toc516367020"/>
      <w:bookmarkStart w:id="37" w:name="_Toc5118"/>
      <w:bookmarkStart w:id="38" w:name="_Toc216582807"/>
      <w:bookmarkStart w:id="39" w:name="_Toc518923069"/>
      <w:bookmarkStart w:id="40" w:name="_Toc15458"/>
      <w:bookmarkStart w:id="41" w:name="_Toc520356150"/>
      <w:r>
        <w:rPr>
          <w:rFonts w:hint="eastAsia" w:ascii="仿宋" w:hAnsi="仿宋" w:eastAsia="仿宋" w:cs="仿宋"/>
          <w:sz w:val="24"/>
          <w:szCs w:val="24"/>
          <w:highlight w:val="none"/>
        </w:rPr>
        <w:t xml:space="preserve">三   </w:t>
      </w:r>
      <w:bookmarkEnd w:id="36"/>
      <w:r>
        <w:rPr>
          <w:rFonts w:hint="eastAsia" w:ascii="仿宋" w:hAnsi="仿宋" w:eastAsia="仿宋" w:cs="仿宋"/>
          <w:sz w:val="24"/>
          <w:szCs w:val="24"/>
          <w:highlight w:val="none"/>
        </w:rPr>
        <w:t>响应文件的编制</w:t>
      </w:r>
      <w:bookmarkEnd w:id="37"/>
      <w:bookmarkEnd w:id="38"/>
      <w:bookmarkEnd w:id="39"/>
      <w:bookmarkEnd w:id="40"/>
      <w:bookmarkEnd w:id="41"/>
    </w:p>
    <w:p w14:paraId="7012E35F">
      <w:pPr>
        <w:pStyle w:val="7"/>
        <w:spacing w:line="340" w:lineRule="exact"/>
        <w:rPr>
          <w:rFonts w:hint="eastAsia" w:ascii="仿宋" w:hAnsi="仿宋" w:eastAsia="仿宋" w:cs="仿宋"/>
          <w:sz w:val="24"/>
          <w:szCs w:val="24"/>
          <w:highlight w:val="none"/>
        </w:rPr>
      </w:pPr>
    </w:p>
    <w:p w14:paraId="39D9FCB6">
      <w:pPr>
        <w:pStyle w:val="5"/>
        <w:tabs>
          <w:tab w:val="left" w:pos="900"/>
        </w:tabs>
        <w:spacing w:before="0" w:after="0" w:line="340" w:lineRule="exact"/>
        <w:rPr>
          <w:rFonts w:hint="eastAsia" w:ascii="仿宋" w:hAnsi="仿宋" w:eastAsia="仿宋" w:cs="仿宋"/>
          <w:sz w:val="24"/>
          <w:szCs w:val="24"/>
          <w:highlight w:val="none"/>
          <w:u w:val="none"/>
        </w:rPr>
      </w:pPr>
      <w:bookmarkStart w:id="42" w:name="_Toc520356151"/>
      <w:bookmarkStart w:id="43" w:name="_Toc516367021"/>
      <w:bookmarkStart w:id="44" w:name="_Toc518923070"/>
      <w:bookmarkStart w:id="45" w:name="_Toc25058"/>
      <w:bookmarkStart w:id="46" w:name="_Toc22674"/>
      <w:r>
        <w:rPr>
          <w:rFonts w:hint="eastAsia" w:ascii="仿宋" w:hAnsi="仿宋" w:eastAsia="仿宋" w:cs="仿宋"/>
          <w:sz w:val="24"/>
          <w:szCs w:val="24"/>
          <w:highlight w:val="none"/>
          <w:u w:val="none"/>
        </w:rPr>
        <w:t>8.</w:t>
      </w:r>
      <w:r>
        <w:rPr>
          <w:rFonts w:hint="eastAsia" w:ascii="仿宋" w:hAnsi="仿宋" w:eastAsia="仿宋" w:cs="仿宋"/>
          <w:sz w:val="24"/>
          <w:szCs w:val="24"/>
          <w:highlight w:val="none"/>
          <w:u w:val="none"/>
        </w:rPr>
        <w:tab/>
      </w:r>
      <w:r>
        <w:rPr>
          <w:rFonts w:hint="eastAsia" w:ascii="仿宋" w:hAnsi="仿宋" w:eastAsia="仿宋" w:cs="仿宋"/>
          <w:sz w:val="24"/>
          <w:szCs w:val="24"/>
          <w:highlight w:val="none"/>
          <w:u w:val="none"/>
        </w:rPr>
        <w:t>投标范围及响应文件中标准和计量单位的使用</w:t>
      </w:r>
      <w:bookmarkEnd w:id="42"/>
      <w:bookmarkEnd w:id="43"/>
      <w:bookmarkEnd w:id="44"/>
      <w:bookmarkEnd w:id="45"/>
      <w:bookmarkEnd w:id="46"/>
    </w:p>
    <w:p w14:paraId="60C0B8BF">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sz w:val="24"/>
          <w:szCs w:val="24"/>
          <w:highlight w:val="none"/>
        </w:rPr>
        <w:t>8.1</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项目有分包的，供应商可对磋商文件其中一个或几个分包进行投标，除非在供应商须知资料表中另有规定。</w:t>
      </w:r>
    </w:p>
    <w:p w14:paraId="0D89E1DD">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8.2    供应商应当对所投分包磋商文件中“服务需求”所列的所有服务内容进行投标，如仅响应分包中的部分内容，其投标将被认定为</w:t>
      </w:r>
      <w:r>
        <w:rPr>
          <w:rFonts w:hint="eastAsia" w:ascii="仿宋" w:hAnsi="仿宋" w:eastAsia="仿宋" w:cs="仿宋"/>
          <w:b/>
          <w:bCs/>
          <w:kern w:val="0"/>
          <w:sz w:val="24"/>
          <w:szCs w:val="24"/>
          <w:highlight w:val="none"/>
        </w:rPr>
        <w:t>投标无效</w:t>
      </w:r>
      <w:r>
        <w:rPr>
          <w:rFonts w:hint="eastAsia" w:ascii="仿宋" w:hAnsi="仿宋" w:eastAsia="仿宋" w:cs="仿宋"/>
          <w:kern w:val="0"/>
          <w:sz w:val="24"/>
          <w:szCs w:val="24"/>
          <w:highlight w:val="none"/>
        </w:rPr>
        <w:t>。</w:t>
      </w:r>
    </w:p>
    <w:p w14:paraId="0EB5E165">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8.3     无论磋商文件第5章服务需求中是否要求，供应商所投服务均应符合国家强制性标准。</w:t>
      </w:r>
    </w:p>
    <w:p w14:paraId="5079E63B">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8.4     除磋商文件中有特殊要求外，响应文件中所使用的计量单位，应采用中华人民共和国法定计量单位。</w:t>
      </w:r>
    </w:p>
    <w:p w14:paraId="38D52FAC">
      <w:pPr>
        <w:pStyle w:val="5"/>
        <w:tabs>
          <w:tab w:val="left" w:pos="900"/>
        </w:tabs>
        <w:spacing w:before="0" w:after="0" w:line="340" w:lineRule="exact"/>
        <w:rPr>
          <w:rFonts w:hint="eastAsia" w:ascii="仿宋" w:hAnsi="仿宋" w:eastAsia="仿宋" w:cs="仿宋"/>
          <w:sz w:val="24"/>
          <w:szCs w:val="24"/>
          <w:highlight w:val="none"/>
          <w:u w:val="none"/>
        </w:rPr>
      </w:pPr>
      <w:bookmarkStart w:id="47" w:name="_Ref467306676"/>
      <w:bookmarkStart w:id="48" w:name="_Ref467306195"/>
      <w:bookmarkStart w:id="49" w:name="_Toc516367022"/>
      <w:bookmarkStart w:id="50" w:name="_Toc520356152"/>
      <w:bookmarkStart w:id="51" w:name="_Toc6749"/>
      <w:bookmarkStart w:id="52" w:name="_Toc518923071"/>
      <w:bookmarkStart w:id="53" w:name="_Toc11915"/>
      <w:r>
        <w:rPr>
          <w:rFonts w:hint="eastAsia" w:ascii="仿宋" w:hAnsi="仿宋" w:eastAsia="仿宋" w:cs="仿宋"/>
          <w:sz w:val="24"/>
          <w:szCs w:val="24"/>
          <w:highlight w:val="none"/>
          <w:u w:val="none"/>
        </w:rPr>
        <w:t>9.</w:t>
      </w:r>
      <w:bookmarkEnd w:id="47"/>
      <w:bookmarkEnd w:id="48"/>
      <w:bookmarkEnd w:id="49"/>
      <w:r>
        <w:rPr>
          <w:rFonts w:hint="eastAsia" w:ascii="仿宋" w:hAnsi="仿宋" w:eastAsia="仿宋" w:cs="仿宋"/>
          <w:sz w:val="24"/>
          <w:szCs w:val="24"/>
          <w:highlight w:val="none"/>
          <w:u w:val="none"/>
        </w:rPr>
        <w:t>响应文件构成</w:t>
      </w:r>
      <w:bookmarkEnd w:id="50"/>
      <w:bookmarkEnd w:id="51"/>
      <w:bookmarkEnd w:id="52"/>
      <w:bookmarkEnd w:id="53"/>
    </w:p>
    <w:p w14:paraId="62104221">
      <w:pPr>
        <w:spacing w:line="400" w:lineRule="exact"/>
        <w:ind w:left="900" w:hanging="900" w:hangingChars="375"/>
        <w:rPr>
          <w:rFonts w:hint="eastAsia" w:ascii="仿宋" w:hAnsi="仿宋" w:eastAsia="仿宋" w:cs="仿宋"/>
          <w:b/>
          <w:bCs/>
          <w:kern w:val="0"/>
          <w:sz w:val="24"/>
          <w:szCs w:val="24"/>
          <w:highlight w:val="none"/>
          <w:lang w:val="en-US" w:eastAsia="zh-CN" w:bidi="ar-SA"/>
        </w:rPr>
      </w:pPr>
      <w:bookmarkStart w:id="54" w:name="_Ref467052588"/>
      <w:r>
        <w:rPr>
          <w:rFonts w:hint="eastAsia" w:ascii="仿宋" w:hAnsi="仿宋" w:eastAsia="仿宋" w:cs="仿宋"/>
          <w:sz w:val="24"/>
          <w:szCs w:val="24"/>
          <w:highlight w:val="none"/>
        </w:rPr>
        <w:t xml:space="preserve">9.1    </w:t>
      </w:r>
      <w:bookmarkEnd w:id="54"/>
      <w:r>
        <w:rPr>
          <w:rFonts w:hint="eastAsia" w:ascii="仿宋" w:hAnsi="仿宋" w:eastAsia="仿宋" w:cs="仿宋"/>
          <w:b/>
          <w:bCs/>
          <w:kern w:val="0"/>
          <w:sz w:val="24"/>
          <w:szCs w:val="24"/>
          <w:highlight w:val="none"/>
          <w:lang w:val="en-US" w:eastAsia="zh-CN" w:bidi="ar-SA"/>
        </w:rPr>
        <w:t>供应商应完整地按磋商文件提供的响应文件要求编写响应文件，供应商须在投标截止时间前完成在新疆政采云平台https://www.zcygov.cn 系统上递交电子响应文件。供应商的电子响应文件是经过CA证书加密后上传提交的，任何单位或个人均无法在投标截止时间之前查看或篡改，不存在泄密风险。（严格按照政采云电子投标流程制作并上传电子响应文件），招标文件中的格式供参考，响应文件中的内容可自行调整但应包括格式内的所有内容。</w:t>
      </w:r>
    </w:p>
    <w:p w14:paraId="5BB05664">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w:t>
      </w:r>
      <w:bookmarkStart w:id="55" w:name="_Toc520356155"/>
      <w:r>
        <w:rPr>
          <w:rFonts w:hint="eastAsia" w:ascii="仿宋" w:hAnsi="仿宋" w:eastAsia="仿宋" w:cs="仿宋"/>
          <w:kern w:val="0"/>
          <w:sz w:val="24"/>
          <w:szCs w:val="24"/>
          <w:highlight w:val="none"/>
        </w:rPr>
        <w:t>.2     逾期上传响应文件的、未按规定方式上传的电子响应文件，采购单位不予受理。</w:t>
      </w:r>
    </w:p>
    <w:p w14:paraId="1539C977">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证明标的的合格性和符合磋商文件规定的响应文件。</w:t>
      </w:r>
    </w:p>
    <w:p w14:paraId="3E9DEDDB">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10.1</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供应商应提交证明文件，证明其响应文件内容符合磋商文件规定。该证明文件是响应文件的一部分。</w:t>
      </w:r>
    </w:p>
    <w:p w14:paraId="77AC1B0F">
      <w:pPr>
        <w:spacing w:line="340" w:lineRule="exact"/>
        <w:ind w:left="900" w:hanging="900" w:hangingChars="375"/>
        <w:rPr>
          <w:rFonts w:hint="eastAsia" w:ascii="仿宋" w:hAnsi="仿宋" w:eastAsia="仿宋" w:cs="仿宋"/>
          <w:kern w:val="0"/>
          <w:sz w:val="24"/>
          <w:szCs w:val="24"/>
          <w:highlight w:val="none"/>
        </w:rPr>
      </w:pPr>
      <w:bookmarkStart w:id="56" w:name="_Ref467306244"/>
      <w:r>
        <w:rPr>
          <w:rFonts w:hint="eastAsia" w:ascii="仿宋" w:hAnsi="仿宋" w:eastAsia="仿宋" w:cs="仿宋"/>
          <w:kern w:val="0"/>
          <w:sz w:val="24"/>
          <w:szCs w:val="24"/>
          <w:highlight w:val="none"/>
        </w:rPr>
        <w:t>10.2</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上款所述的证明文件，可以是文字资料、图纸和数据</w:t>
      </w:r>
      <w:bookmarkEnd w:id="56"/>
      <w:r>
        <w:rPr>
          <w:rFonts w:hint="eastAsia" w:ascii="仿宋" w:hAnsi="仿宋" w:eastAsia="仿宋" w:cs="仿宋"/>
          <w:kern w:val="0"/>
          <w:sz w:val="24"/>
          <w:szCs w:val="24"/>
          <w:highlight w:val="none"/>
        </w:rPr>
        <w:t>。</w:t>
      </w:r>
    </w:p>
    <w:p w14:paraId="4E9438D7">
      <w:pPr>
        <w:pStyle w:val="7"/>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10.3    </w:t>
      </w:r>
      <w:r>
        <w:rPr>
          <w:rFonts w:hint="eastAsia" w:ascii="仿宋" w:hAnsi="仿宋" w:eastAsia="仿宋" w:cs="仿宋"/>
          <w:b/>
          <w:bCs/>
          <w:sz w:val="24"/>
          <w:szCs w:val="24"/>
          <w:highlight w:val="none"/>
        </w:rPr>
        <w:t>为了保证电子标书的合法性、安全性和完整性，电子响应文件转换完成后，应在规定区域加盖单位和法定代表人CA印章。电子响应文件若无CA电子签章，则视为投标无效。</w:t>
      </w:r>
    </w:p>
    <w:p w14:paraId="1BD9C246">
      <w:pPr>
        <w:pStyle w:val="5"/>
        <w:spacing w:before="0" w:after="0" w:line="340" w:lineRule="exact"/>
        <w:rPr>
          <w:rFonts w:hint="eastAsia" w:ascii="仿宋" w:hAnsi="仿宋" w:eastAsia="仿宋" w:cs="仿宋"/>
          <w:sz w:val="24"/>
          <w:szCs w:val="24"/>
          <w:highlight w:val="none"/>
          <w:u w:val="none"/>
        </w:rPr>
      </w:pPr>
      <w:bookmarkStart w:id="57" w:name="_Toc20532"/>
      <w:bookmarkStart w:id="58" w:name="_Toc518923073"/>
      <w:bookmarkStart w:id="59" w:name="_Toc2024"/>
      <w:r>
        <w:rPr>
          <w:rFonts w:hint="eastAsia" w:ascii="仿宋" w:hAnsi="仿宋" w:eastAsia="仿宋" w:cs="仿宋"/>
          <w:sz w:val="24"/>
          <w:szCs w:val="24"/>
          <w:highlight w:val="none"/>
          <w:u w:val="none"/>
        </w:rPr>
        <w:t>11.磋商报价</w:t>
      </w:r>
      <w:bookmarkEnd w:id="55"/>
      <w:bookmarkEnd w:id="57"/>
      <w:bookmarkEnd w:id="58"/>
      <w:bookmarkEnd w:id="59"/>
    </w:p>
    <w:p w14:paraId="3CDFEE2B">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11.1</w:t>
      </w:r>
      <w:r>
        <w:rPr>
          <w:rFonts w:hint="eastAsia" w:ascii="仿宋" w:hAnsi="仿宋" w:eastAsia="仿宋" w:cs="仿宋"/>
          <w:sz w:val="24"/>
          <w:szCs w:val="24"/>
          <w:highlight w:val="none"/>
        </w:rPr>
        <w:tab/>
      </w:r>
      <w:r>
        <w:rPr>
          <w:rFonts w:hint="eastAsia" w:ascii="仿宋" w:hAnsi="仿宋" w:eastAsia="仿宋" w:cs="仿宋"/>
          <w:kern w:val="0"/>
          <w:sz w:val="24"/>
          <w:szCs w:val="24"/>
          <w:highlight w:val="none"/>
        </w:rPr>
        <w:t>所有投标均以人民币报价。供应商的投标报价应遵守《中华人民共和国价格法》。同时，根据《中华人民共和国政府采购法》第二条的规定，为保证公平竞争，如有主体投标标的的赠与行为，其投标将被认</w:t>
      </w:r>
      <w:r>
        <w:rPr>
          <w:rFonts w:hint="eastAsia" w:ascii="仿宋" w:hAnsi="仿宋" w:eastAsia="仿宋" w:cs="仿宋"/>
          <w:sz w:val="24"/>
          <w:szCs w:val="24"/>
          <w:highlight w:val="none"/>
        </w:rPr>
        <w:t>定为</w:t>
      </w:r>
      <w:r>
        <w:rPr>
          <w:rFonts w:hint="eastAsia" w:ascii="仿宋" w:hAnsi="仿宋" w:eastAsia="仿宋" w:cs="仿宋"/>
          <w:b/>
          <w:bCs/>
          <w:sz w:val="24"/>
          <w:szCs w:val="24"/>
          <w:highlight w:val="none"/>
        </w:rPr>
        <w:t>投标无效</w:t>
      </w:r>
      <w:r>
        <w:rPr>
          <w:rFonts w:hint="eastAsia" w:ascii="仿宋" w:hAnsi="仿宋" w:eastAsia="仿宋" w:cs="仿宋"/>
          <w:sz w:val="24"/>
          <w:szCs w:val="24"/>
          <w:highlight w:val="none"/>
        </w:rPr>
        <w:t>。</w:t>
      </w:r>
    </w:p>
    <w:p w14:paraId="4F30CDFA">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11.2</w:t>
      </w:r>
      <w:r>
        <w:rPr>
          <w:rFonts w:hint="eastAsia" w:ascii="仿宋" w:hAnsi="仿宋" w:eastAsia="仿宋" w:cs="仿宋"/>
          <w:sz w:val="24"/>
          <w:szCs w:val="24"/>
          <w:highlight w:val="none"/>
        </w:rPr>
        <w:tab/>
      </w:r>
      <w:r>
        <w:rPr>
          <w:rFonts w:hint="eastAsia" w:ascii="仿宋" w:hAnsi="仿宋" w:eastAsia="仿宋" w:cs="仿宋"/>
          <w:sz w:val="24"/>
          <w:szCs w:val="24"/>
          <w:highlight w:val="none"/>
        </w:rPr>
        <w:t>供应商应在投标分项报价表上标明分项服务的价格（如适用）和总价，并由法定代表人或其委托代理人签署。</w:t>
      </w:r>
    </w:p>
    <w:p w14:paraId="5885D270">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11.3</w:t>
      </w:r>
      <w:r>
        <w:rPr>
          <w:rFonts w:hint="eastAsia" w:ascii="仿宋" w:hAnsi="仿宋" w:eastAsia="仿宋" w:cs="仿宋"/>
          <w:sz w:val="24"/>
          <w:szCs w:val="24"/>
          <w:highlight w:val="none"/>
        </w:rPr>
        <w:tab/>
      </w:r>
      <w:r>
        <w:rPr>
          <w:rFonts w:hint="eastAsia" w:ascii="仿宋" w:hAnsi="仿宋" w:eastAsia="仿宋" w:cs="仿宋"/>
          <w:sz w:val="24"/>
          <w:szCs w:val="24"/>
          <w:highlight w:val="none"/>
        </w:rPr>
        <w:t>采购人不接受具有附加条件的报价。</w:t>
      </w:r>
    </w:p>
    <w:p w14:paraId="4E91691B">
      <w:pPr>
        <w:spacing w:line="340" w:lineRule="exact"/>
        <w:ind w:left="900" w:hanging="900" w:hangingChars="375"/>
        <w:rPr>
          <w:rFonts w:hint="eastAsia" w:ascii="仿宋" w:hAnsi="仿宋" w:eastAsia="仿宋" w:cs="仿宋"/>
          <w:b/>
          <w:bCs/>
          <w:sz w:val="24"/>
          <w:szCs w:val="24"/>
          <w:highlight w:val="none"/>
        </w:rPr>
      </w:pPr>
      <w:r>
        <w:rPr>
          <w:rFonts w:hint="eastAsia" w:ascii="仿宋" w:hAnsi="仿宋" w:eastAsia="仿宋" w:cs="仿宋"/>
          <w:sz w:val="24"/>
          <w:szCs w:val="24"/>
          <w:highlight w:val="none"/>
        </w:rPr>
        <w:t>11.4</w:t>
      </w:r>
      <w:r>
        <w:rPr>
          <w:rFonts w:hint="eastAsia" w:ascii="仿宋" w:hAnsi="仿宋" w:eastAsia="仿宋" w:cs="仿宋"/>
          <w:sz w:val="24"/>
          <w:szCs w:val="24"/>
          <w:highlight w:val="none"/>
        </w:rPr>
        <w:tab/>
      </w:r>
      <w:r>
        <w:rPr>
          <w:rFonts w:hint="eastAsia" w:ascii="仿宋" w:hAnsi="仿宋" w:eastAsia="仿宋" w:cs="仿宋"/>
          <w:sz w:val="24"/>
          <w:szCs w:val="24"/>
          <w:highlight w:val="none"/>
        </w:rPr>
        <w:t>供应商所报的各分项磋商报价在合同履行过程中是固定不变的，不得以任何理由予以变更。任何包含价格调整要求的投标，将被认定为</w:t>
      </w:r>
      <w:r>
        <w:rPr>
          <w:rFonts w:hint="eastAsia" w:ascii="仿宋" w:hAnsi="仿宋" w:eastAsia="仿宋" w:cs="仿宋"/>
          <w:b/>
          <w:bCs/>
          <w:sz w:val="24"/>
          <w:szCs w:val="24"/>
          <w:highlight w:val="none"/>
        </w:rPr>
        <w:t>投标无效。</w:t>
      </w:r>
    </w:p>
    <w:p w14:paraId="214E3095">
      <w:pPr>
        <w:spacing w:line="288" w:lineRule="auto"/>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11.5</w:t>
      </w:r>
      <w:r>
        <w:rPr>
          <w:rFonts w:hint="eastAsia" w:ascii="仿宋" w:hAnsi="仿宋" w:eastAsia="仿宋" w:cs="仿宋"/>
          <w:sz w:val="24"/>
          <w:szCs w:val="24"/>
          <w:highlight w:val="none"/>
        </w:rPr>
        <w:tab/>
      </w:r>
      <w:r>
        <w:rPr>
          <w:rFonts w:hint="eastAsia" w:ascii="仿宋" w:hAnsi="仿宋" w:eastAsia="仿宋" w:cs="仿宋"/>
          <w:sz w:val="24"/>
          <w:szCs w:val="24"/>
          <w:highlight w:val="none"/>
        </w:rPr>
        <w:t>每种货物只能有一个投标报价。采购人不接受具有附加条件的报价。</w:t>
      </w:r>
    </w:p>
    <w:p w14:paraId="524F2230">
      <w:pPr>
        <w:keepNext w:val="0"/>
        <w:keepLines w:val="0"/>
        <w:pageBreakBefore w:val="0"/>
        <w:widowControl/>
        <w:shd w:val="clear"/>
        <w:kinsoku/>
        <w:wordWrap w:val="0"/>
        <w:overflowPunct/>
        <w:topLinePunct w:val="0"/>
        <w:autoSpaceDE w:val="0"/>
        <w:autoSpaceDN w:val="0"/>
        <w:bidi w:val="0"/>
        <w:adjustRightInd w:val="0"/>
        <w:snapToGrid w:val="0"/>
        <w:spacing w:before="140" w:line="228" w:lineRule="auto"/>
        <w:ind w:firstLine="708" w:firstLineChars="300"/>
        <w:jc w:val="both"/>
        <w:textAlignment w:val="baseline"/>
        <w:rPr>
          <w:rFonts w:hint="eastAsia" w:ascii="仿宋" w:hAnsi="仿宋" w:eastAsia="仿宋" w:cs="仿宋"/>
          <w:b/>
          <w:bCs/>
          <w:color w:val="auto"/>
          <w:spacing w:val="-2"/>
          <w:sz w:val="24"/>
          <w:szCs w:val="24"/>
          <w:highlight w:val="none"/>
          <w:shd w:val="clear" w:color="auto" w:fill="auto"/>
        </w:rPr>
      </w:pPr>
      <w:r>
        <w:rPr>
          <w:rFonts w:hint="eastAsia" w:ascii="仿宋" w:hAnsi="仿宋" w:eastAsia="仿宋" w:cs="仿宋"/>
          <w:color w:val="auto"/>
          <w:spacing w:val="-2"/>
          <w:sz w:val="24"/>
          <w:szCs w:val="24"/>
          <w:highlight w:val="none"/>
        </w:rPr>
        <w:t xml:space="preserve"> </w:t>
      </w:r>
      <w:r>
        <w:rPr>
          <w:rFonts w:hint="eastAsia" w:ascii="仿宋" w:hAnsi="仿宋" w:eastAsia="仿宋" w:cs="仿宋"/>
          <w:b/>
          <w:bCs/>
          <w:color w:val="auto"/>
          <w:spacing w:val="-2"/>
          <w:sz w:val="24"/>
          <w:szCs w:val="24"/>
          <w:highlight w:val="none"/>
          <w:shd w:val="clear" w:color="auto" w:fill="auto"/>
        </w:rPr>
        <w:t>竞争性磋商共有两次报价，二次报价为最</w:t>
      </w:r>
      <w:r>
        <w:rPr>
          <w:rFonts w:hint="eastAsia" w:ascii="仿宋" w:hAnsi="仿宋" w:eastAsia="仿宋" w:cs="仿宋"/>
          <w:b/>
          <w:bCs/>
          <w:color w:val="auto"/>
          <w:spacing w:val="-3"/>
          <w:sz w:val="24"/>
          <w:szCs w:val="24"/>
          <w:highlight w:val="none"/>
          <w:shd w:val="clear" w:color="auto" w:fill="auto"/>
        </w:rPr>
        <w:t>终报价，磋商小组所有成员集中与单一供应</w:t>
      </w:r>
      <w:r>
        <w:rPr>
          <w:rFonts w:hint="eastAsia" w:ascii="仿宋" w:hAnsi="仿宋" w:eastAsia="仿宋" w:cs="仿宋"/>
          <w:b/>
          <w:bCs/>
          <w:color w:val="auto"/>
          <w:spacing w:val="-2"/>
          <w:sz w:val="24"/>
          <w:szCs w:val="24"/>
          <w:highlight w:val="none"/>
          <w:shd w:val="clear" w:color="auto" w:fill="auto"/>
        </w:rPr>
        <w:t>商分别进行磋商，并给予所有参加磋商的供应商平等的磋商机会，磋商小组要求所有 实质性响应的供应商在规定时间内提交最后报价，最后报价是供应商响应文件的有效 组成部分，经磋商确定最终采购需求和提交最后报价的供应商后，由磋商小组采用综合评分法对提交最后报价的供应商的响应文件和最后报价进行综合评分。磋商小组应当从质量和服务均能满足采购文件实质性响应要求的供应商中，按照综合评分由高到低的顺序提出成交候选人，并编写评审报告，将结果通知所有参加磋商的未成交的供应商；清单分项报价不允许出现不均衡报价、偏离市场，否则根据《中华人民共和国 招标投标法》第三十三条 投标人不得以低于成本的报价竞标；第四十一条中标人的投 标应当符合下列条件之一：（ 二）能够满足招标文件的实质性要求，并且经评审的投标价格最低；但是投标价格低于成本的除外的相关规定作无效报价处理。</w:t>
      </w:r>
    </w:p>
    <w:p w14:paraId="1019355C">
      <w:pPr>
        <w:keepNext w:val="0"/>
        <w:keepLines w:val="0"/>
        <w:pageBreakBefore w:val="0"/>
        <w:widowControl/>
        <w:shd w:val="clear"/>
        <w:kinsoku/>
        <w:wordWrap w:val="0"/>
        <w:overflowPunct/>
        <w:topLinePunct w:val="0"/>
        <w:autoSpaceDE w:val="0"/>
        <w:autoSpaceDN w:val="0"/>
        <w:bidi w:val="0"/>
        <w:adjustRightInd w:val="0"/>
        <w:snapToGrid w:val="0"/>
        <w:spacing w:before="140" w:line="228" w:lineRule="auto"/>
        <w:jc w:val="both"/>
        <w:textAlignment w:val="baseline"/>
        <w:rPr>
          <w:rFonts w:hint="eastAsia" w:ascii="仿宋" w:hAnsi="仿宋" w:eastAsia="仿宋" w:cs="仿宋"/>
          <w:b/>
          <w:bCs/>
          <w:color w:val="auto"/>
          <w:spacing w:val="-2"/>
          <w:sz w:val="24"/>
          <w:szCs w:val="24"/>
          <w:highlight w:val="none"/>
          <w:shd w:val="clear" w:color="auto" w:fill="auto"/>
        </w:rPr>
      </w:pPr>
      <w:r>
        <w:rPr>
          <w:rFonts w:hint="eastAsia" w:ascii="仿宋" w:hAnsi="仿宋" w:eastAsia="仿宋" w:cs="仿宋"/>
          <w:b/>
          <w:bCs/>
          <w:color w:val="auto"/>
          <w:spacing w:val="-2"/>
          <w:sz w:val="24"/>
          <w:szCs w:val="24"/>
          <w:highlight w:val="none"/>
          <w:shd w:val="clear" w:color="auto" w:fill="auto"/>
        </w:rPr>
        <w:t>★投标供应商在线上传最终报价时，须同时上传附件最终报价单和“ 已标价工程量清单 ”中的相应明细报价（按本磋商文件提供的格式），经法定代表人或授权委托人签署并加盖供应商公章的 PDF 扫描件。</w:t>
      </w:r>
    </w:p>
    <w:p w14:paraId="0BF6A6B8">
      <w:pPr>
        <w:pStyle w:val="5"/>
        <w:spacing w:before="0" w:after="0" w:line="340" w:lineRule="exact"/>
        <w:rPr>
          <w:rFonts w:hint="eastAsia" w:ascii="仿宋" w:hAnsi="仿宋" w:eastAsia="仿宋" w:cs="仿宋"/>
          <w:sz w:val="24"/>
          <w:szCs w:val="24"/>
          <w:highlight w:val="none"/>
          <w:u w:val="none"/>
        </w:rPr>
      </w:pPr>
      <w:bookmarkStart w:id="60" w:name="_Toc1152"/>
      <w:bookmarkStart w:id="61" w:name="_Ref467306513"/>
      <w:bookmarkStart w:id="62" w:name="_Toc518923074"/>
      <w:bookmarkStart w:id="63" w:name="_Toc5228"/>
      <w:bookmarkStart w:id="64" w:name="_Toc520356156"/>
      <w:r>
        <w:rPr>
          <w:rFonts w:hint="eastAsia" w:ascii="仿宋" w:hAnsi="仿宋" w:eastAsia="仿宋" w:cs="仿宋"/>
          <w:sz w:val="24"/>
          <w:szCs w:val="24"/>
          <w:highlight w:val="none"/>
          <w:u w:val="none"/>
        </w:rPr>
        <w:t>12.磋商保证金</w:t>
      </w:r>
      <w:bookmarkEnd w:id="60"/>
      <w:bookmarkEnd w:id="61"/>
      <w:bookmarkEnd w:id="62"/>
      <w:bookmarkEnd w:id="63"/>
      <w:bookmarkEnd w:id="64"/>
    </w:p>
    <w:p w14:paraId="54C06414">
      <w:pPr>
        <w:spacing w:line="340" w:lineRule="exact"/>
        <w:ind w:left="900" w:hanging="900" w:hangingChars="375"/>
        <w:rPr>
          <w:rFonts w:hint="eastAsia" w:ascii="仿宋" w:hAnsi="仿宋" w:eastAsia="仿宋" w:cs="仿宋"/>
          <w:sz w:val="24"/>
          <w:szCs w:val="24"/>
          <w:highlight w:val="none"/>
        </w:rPr>
      </w:pPr>
      <w:bookmarkStart w:id="65" w:name="_Ref467306302"/>
      <w:r>
        <w:rPr>
          <w:rFonts w:hint="eastAsia" w:ascii="仿宋" w:hAnsi="仿宋" w:eastAsia="仿宋" w:cs="仿宋"/>
          <w:sz w:val="24"/>
          <w:szCs w:val="24"/>
          <w:highlight w:val="none"/>
        </w:rPr>
        <w:t>12.1</w:t>
      </w:r>
      <w:bookmarkEnd w:id="65"/>
      <w:bookmarkStart w:id="66" w:name="_Toc520356167"/>
      <w:r>
        <w:rPr>
          <w:rFonts w:hint="eastAsia" w:ascii="仿宋" w:hAnsi="仿宋" w:eastAsia="仿宋" w:cs="仿宋"/>
          <w:sz w:val="24"/>
          <w:szCs w:val="24"/>
          <w:highlight w:val="none"/>
        </w:rPr>
        <w:t>供应商应提交供应商须知资料表中规定的磋商保证金，并作为其响应文件的一部分。</w:t>
      </w:r>
    </w:p>
    <w:p w14:paraId="48D9FAE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12.2</w:t>
      </w:r>
      <w:r>
        <w:rPr>
          <w:rFonts w:hint="eastAsia" w:ascii="仿宋" w:hAnsi="仿宋" w:eastAsia="仿宋" w:cs="仿宋"/>
          <w:sz w:val="24"/>
          <w:szCs w:val="24"/>
          <w:highlight w:val="none"/>
        </w:rPr>
        <w:tab/>
      </w:r>
      <w:r>
        <w:rPr>
          <w:rFonts w:hint="eastAsia" w:ascii="仿宋" w:hAnsi="仿宋" w:eastAsia="仿宋" w:cs="仿宋"/>
          <w:sz w:val="24"/>
          <w:szCs w:val="24"/>
          <w:highlight w:val="none"/>
        </w:rPr>
        <w:t>供应商存在下列情形的，磋商保证金不予退还：</w:t>
      </w:r>
    </w:p>
    <w:p w14:paraId="736C88C2">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（1）在磋商有效期内，撤销响应文件的；</w:t>
      </w:r>
    </w:p>
    <w:p w14:paraId="7C98E9C8">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（2）成交后不按本须知第30条的规定与采购人签订合同的；</w:t>
      </w:r>
    </w:p>
    <w:p w14:paraId="05899A2F">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（3）成交后不按本须知第31条的规定提交履约保证金的；</w:t>
      </w:r>
    </w:p>
    <w:p w14:paraId="4A4EDB5B">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（4）成交后不按本须知第32条的规定缴纳成交服务费的；</w:t>
      </w:r>
    </w:p>
    <w:p w14:paraId="3C5928D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（5）存在其他违法违规行为的。</w:t>
      </w:r>
    </w:p>
    <w:p w14:paraId="4E015483">
      <w:pPr>
        <w:spacing w:line="340" w:lineRule="exact"/>
        <w:ind w:left="900" w:hanging="900" w:hangingChars="375"/>
        <w:rPr>
          <w:rFonts w:hint="eastAsia" w:ascii="仿宋" w:hAnsi="仿宋" w:eastAsia="仿宋" w:cs="仿宋"/>
          <w:sz w:val="24"/>
          <w:szCs w:val="24"/>
          <w:highlight w:val="none"/>
        </w:rPr>
      </w:pPr>
      <w:bookmarkStart w:id="67" w:name="_Ref467306336"/>
      <w:r>
        <w:rPr>
          <w:rFonts w:hint="eastAsia" w:ascii="仿宋" w:hAnsi="仿宋" w:eastAsia="仿宋" w:cs="仿宋"/>
          <w:sz w:val="24"/>
          <w:szCs w:val="24"/>
          <w:highlight w:val="none"/>
        </w:rPr>
        <w:t>12.3</w:t>
      </w:r>
      <w:r>
        <w:rPr>
          <w:rFonts w:hint="eastAsia" w:ascii="仿宋" w:hAnsi="仿宋" w:eastAsia="仿宋" w:cs="仿宋"/>
          <w:sz w:val="24"/>
          <w:szCs w:val="24"/>
          <w:highlight w:val="none"/>
        </w:rPr>
        <w:tab/>
      </w:r>
      <w:bookmarkEnd w:id="67"/>
      <w:r>
        <w:rPr>
          <w:rFonts w:hint="eastAsia" w:ascii="仿宋" w:hAnsi="仿宋" w:eastAsia="仿宋" w:cs="仿宋"/>
          <w:sz w:val="24"/>
          <w:szCs w:val="24"/>
          <w:highlight w:val="none"/>
        </w:rPr>
        <w:t>政府采购信用担保试点范围内的项目，接受符合财政部门规定的政府采购磋商担保函。</w:t>
      </w:r>
    </w:p>
    <w:p w14:paraId="2DDC8CD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12.4</w:t>
      </w:r>
      <w:r>
        <w:rPr>
          <w:rFonts w:hint="eastAsia" w:ascii="仿宋" w:hAnsi="仿宋" w:eastAsia="仿宋" w:cs="仿宋"/>
          <w:sz w:val="24"/>
          <w:szCs w:val="24"/>
          <w:highlight w:val="none"/>
        </w:rPr>
        <w:tab/>
      </w:r>
      <w:r>
        <w:rPr>
          <w:rFonts w:hint="eastAsia" w:ascii="仿宋" w:hAnsi="仿宋" w:eastAsia="仿宋" w:cs="仿宋"/>
          <w:sz w:val="24"/>
          <w:szCs w:val="24"/>
          <w:highlight w:val="none"/>
        </w:rPr>
        <w:t>供应商未按本须知第12.1和12.3条规定提交磋商保证金的，其磋商资格将被认定为</w:t>
      </w:r>
      <w:r>
        <w:rPr>
          <w:rFonts w:hint="eastAsia" w:ascii="仿宋" w:hAnsi="仿宋" w:eastAsia="仿宋" w:cs="仿宋"/>
          <w:b/>
          <w:bCs/>
          <w:sz w:val="24"/>
          <w:szCs w:val="24"/>
          <w:highlight w:val="none"/>
        </w:rPr>
        <w:t>无效</w:t>
      </w:r>
      <w:r>
        <w:rPr>
          <w:rFonts w:hint="eastAsia" w:ascii="仿宋" w:hAnsi="仿宋" w:eastAsia="仿宋" w:cs="仿宋"/>
          <w:sz w:val="24"/>
          <w:szCs w:val="24"/>
          <w:highlight w:val="none"/>
        </w:rPr>
        <w:t>。</w:t>
      </w:r>
    </w:p>
    <w:p w14:paraId="4E09FF3B">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12.4.1  采用电汇形式的，一般可以实时入账；</w:t>
      </w:r>
    </w:p>
    <w:p w14:paraId="70885D84">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12.4.2  采用支票形式的，供应商则应充分考虑支票入账时间，以确保磋商保证金能按时进入指定账户。根据银行信息交换和付款时间，支票从递交至实际入账一般需要4-5个工作日。如供应商未及时提交支票或支票不符合银行委托收款要求（如污损、折叠、胶装等），导致磋商保证金不能按时进入指定账户的，将按照磋商文件的第22.2条相关规定处理。</w:t>
      </w:r>
    </w:p>
    <w:p w14:paraId="71AE5250">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12.5    联合体递交响应文件的，可以由联合体中的一方或者共同提交磋商保证金。以一方名义提交磋商保证金的，对联合体各方均具有约束力。</w:t>
      </w:r>
      <w:r>
        <w:rPr>
          <w:rFonts w:hint="eastAsia" w:ascii="仿宋" w:hAnsi="仿宋" w:eastAsia="仿宋" w:cs="仿宋"/>
          <w:b/>
          <w:bCs/>
          <w:sz w:val="24"/>
          <w:szCs w:val="24"/>
          <w:highlight w:val="none"/>
        </w:rPr>
        <w:t>本项目不接受联合体投标</w:t>
      </w:r>
      <w:r>
        <w:rPr>
          <w:rFonts w:hint="eastAsia" w:ascii="仿宋" w:hAnsi="仿宋" w:eastAsia="仿宋" w:cs="仿宋"/>
          <w:sz w:val="24"/>
          <w:szCs w:val="24"/>
          <w:highlight w:val="none"/>
        </w:rPr>
        <w:t>。</w:t>
      </w:r>
    </w:p>
    <w:p w14:paraId="06ABCC1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12.6</w:t>
      </w:r>
      <w:r>
        <w:rPr>
          <w:rFonts w:hint="eastAsia" w:ascii="仿宋" w:hAnsi="仿宋" w:eastAsia="仿宋" w:cs="仿宋"/>
          <w:sz w:val="24"/>
          <w:szCs w:val="24"/>
          <w:highlight w:val="none"/>
        </w:rPr>
        <w:tab/>
      </w:r>
      <w:r>
        <w:rPr>
          <w:rFonts w:hint="eastAsia" w:ascii="仿宋" w:hAnsi="仿宋" w:eastAsia="仿宋" w:cs="仿宋"/>
          <w:sz w:val="24"/>
          <w:szCs w:val="24"/>
          <w:highlight w:val="none"/>
        </w:rPr>
        <w:t>磋商保证金的退还</w:t>
      </w:r>
    </w:p>
    <w:p w14:paraId="1FAF664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12.6.1  成交人应在与采购人签订合同之日起5个工作日内，及时联系保证金收受机构办理磋商保证金无息退还手续。</w:t>
      </w:r>
    </w:p>
    <w:p w14:paraId="4EDB93D1">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12.6.2  未成交供应商的磋商保证金将在成交通知书发出之日暨成交结果公告公布之日起5个工作日内无息退还。供应商及时联系保证金收受机构办理退还磋商保证金手续。</w:t>
      </w:r>
      <w:bookmarkStart w:id="68" w:name="_Toc518923075"/>
    </w:p>
    <w:p w14:paraId="70A5A4EA">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12.6.3  政府采购磋商担保函不予退回。</w:t>
      </w:r>
      <w:bookmarkEnd w:id="68"/>
    </w:p>
    <w:p w14:paraId="4F77202F">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12.7   因供应商自身原因导致无法及时退还的，采购人或采购代理机构将不承担相应责任。</w:t>
      </w:r>
    </w:p>
    <w:p w14:paraId="50FFD0D9">
      <w:pPr>
        <w:pStyle w:val="5"/>
        <w:spacing w:before="0" w:after="0" w:line="340" w:lineRule="exact"/>
        <w:rPr>
          <w:rFonts w:hint="eastAsia" w:ascii="仿宋" w:hAnsi="仿宋" w:eastAsia="仿宋" w:cs="仿宋"/>
          <w:sz w:val="24"/>
          <w:szCs w:val="24"/>
          <w:highlight w:val="none"/>
          <w:u w:val="none"/>
        </w:rPr>
      </w:pPr>
      <w:bookmarkStart w:id="69" w:name="_Toc520356157"/>
      <w:bookmarkStart w:id="70" w:name="_Toc518923076"/>
      <w:bookmarkStart w:id="71" w:name="_Toc24701"/>
      <w:bookmarkStart w:id="72" w:name="_Toc4716_WPSOffice_Level2"/>
      <w:bookmarkStart w:id="73" w:name="_Toc11106_WPSOffice_Level2"/>
      <w:bookmarkStart w:id="74" w:name="_Toc20571"/>
      <w:r>
        <w:rPr>
          <w:rFonts w:hint="eastAsia" w:ascii="仿宋" w:hAnsi="仿宋" w:eastAsia="仿宋" w:cs="仿宋"/>
          <w:sz w:val="24"/>
          <w:szCs w:val="24"/>
          <w:highlight w:val="none"/>
          <w:u w:val="none"/>
        </w:rPr>
        <w:t>13.</w:t>
      </w:r>
      <w:bookmarkEnd w:id="69"/>
      <w:bookmarkEnd w:id="70"/>
      <w:r>
        <w:rPr>
          <w:rFonts w:hint="eastAsia" w:ascii="仿宋" w:hAnsi="仿宋" w:eastAsia="仿宋" w:cs="仿宋"/>
          <w:sz w:val="24"/>
          <w:szCs w:val="24"/>
          <w:highlight w:val="none"/>
          <w:u w:val="none"/>
        </w:rPr>
        <w:t>磋商有效期</w:t>
      </w:r>
      <w:bookmarkEnd w:id="71"/>
      <w:bookmarkEnd w:id="72"/>
      <w:bookmarkEnd w:id="73"/>
      <w:bookmarkEnd w:id="74"/>
    </w:p>
    <w:p w14:paraId="037916BE">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13.1</w:t>
      </w:r>
      <w:r>
        <w:rPr>
          <w:rFonts w:hint="eastAsia" w:ascii="仿宋" w:hAnsi="仿宋" w:eastAsia="仿宋" w:cs="仿宋"/>
          <w:sz w:val="24"/>
          <w:szCs w:val="24"/>
          <w:highlight w:val="none"/>
        </w:rPr>
        <w:tab/>
      </w:r>
      <w:r>
        <w:rPr>
          <w:rFonts w:hint="eastAsia" w:ascii="仿宋" w:hAnsi="仿宋" w:eastAsia="仿宋" w:cs="仿宋"/>
          <w:sz w:val="24"/>
          <w:szCs w:val="24"/>
          <w:highlight w:val="none"/>
        </w:rPr>
        <w:t>磋商应在供应商须知资料表中规定时间内保持有效。磋商有效期不满足要求的响应，其磋商资格将被认定为无效。</w:t>
      </w:r>
    </w:p>
    <w:p w14:paraId="4DB8F51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13.2</w:t>
      </w:r>
      <w:r>
        <w:rPr>
          <w:rFonts w:hint="eastAsia" w:ascii="仿宋" w:hAnsi="仿宋" w:eastAsia="仿宋" w:cs="仿宋"/>
          <w:sz w:val="24"/>
          <w:szCs w:val="24"/>
          <w:highlight w:val="none"/>
        </w:rPr>
        <w:tab/>
      </w:r>
      <w:r>
        <w:rPr>
          <w:rFonts w:hint="eastAsia" w:ascii="仿宋" w:hAnsi="仿宋" w:eastAsia="仿宋" w:cs="仿宋"/>
          <w:sz w:val="24"/>
          <w:szCs w:val="24"/>
          <w:highlight w:val="none"/>
        </w:rPr>
        <w:t>为保证有充分时间签订合同，采购人或采购代理机构可根据实际情况，在原磋商有效期截止之前，要求供应商延长响应文件的有效期。接受该要求的供应商将不会被要求和允许修正其响应文件，且本须知中有关磋商保证金的要求须在延长的有效期内继续有效。供应商可以拒绝延长磋商有效期的要求，其磋商保证金将及时按规定无息退还。上述要求和答复都应以书面形式提交。</w:t>
      </w:r>
    </w:p>
    <w:p w14:paraId="3CD2EE0D">
      <w:pPr>
        <w:pStyle w:val="5"/>
        <w:spacing w:before="0" w:after="0" w:line="400" w:lineRule="exact"/>
        <w:rPr>
          <w:rFonts w:hint="eastAsia" w:ascii="仿宋" w:hAnsi="仿宋" w:eastAsia="仿宋" w:cs="仿宋"/>
          <w:bCs/>
          <w:kern w:val="2"/>
          <w:sz w:val="24"/>
          <w:szCs w:val="24"/>
          <w:highlight w:val="none"/>
          <w:u w:val="none"/>
        </w:rPr>
      </w:pPr>
      <w:bookmarkStart w:id="75" w:name="_Toc520356158"/>
      <w:bookmarkStart w:id="76" w:name="_Toc13034_WPSOffice_Level2"/>
      <w:bookmarkStart w:id="77" w:name="_Toc13883"/>
      <w:bookmarkStart w:id="78" w:name="_Toc13036"/>
      <w:bookmarkStart w:id="79" w:name="_Toc518923077"/>
      <w:bookmarkStart w:id="80" w:name="_Toc31308_WPSOffice_Level2"/>
      <w:r>
        <w:rPr>
          <w:rFonts w:hint="eastAsia" w:ascii="仿宋" w:hAnsi="仿宋" w:eastAsia="仿宋" w:cs="仿宋"/>
          <w:sz w:val="24"/>
          <w:szCs w:val="24"/>
          <w:highlight w:val="none"/>
          <w:u w:val="none"/>
        </w:rPr>
        <w:t>14.响应文件的签署</w:t>
      </w:r>
      <w:bookmarkEnd w:id="75"/>
      <w:r>
        <w:rPr>
          <w:rFonts w:hint="eastAsia" w:ascii="仿宋" w:hAnsi="仿宋" w:eastAsia="仿宋" w:cs="仿宋"/>
          <w:sz w:val="24"/>
          <w:szCs w:val="24"/>
          <w:highlight w:val="none"/>
          <w:u w:val="none"/>
        </w:rPr>
        <w:t>及规定</w:t>
      </w:r>
      <w:bookmarkEnd w:id="76"/>
      <w:bookmarkEnd w:id="77"/>
      <w:bookmarkEnd w:id="78"/>
      <w:bookmarkEnd w:id="79"/>
      <w:bookmarkEnd w:id="80"/>
    </w:p>
    <w:p w14:paraId="04AFAAA7">
      <w:pPr>
        <w:spacing w:line="400" w:lineRule="exact"/>
        <w:ind w:left="904" w:hanging="904" w:hangingChars="375"/>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14.1</w:t>
      </w:r>
      <w:r>
        <w:rPr>
          <w:rFonts w:hint="eastAsia" w:ascii="仿宋" w:hAnsi="仿宋" w:eastAsia="仿宋" w:cs="仿宋"/>
          <w:b/>
          <w:bCs/>
          <w:sz w:val="24"/>
          <w:szCs w:val="24"/>
          <w:highlight w:val="none"/>
        </w:rPr>
        <w:tab/>
      </w:r>
      <w:r>
        <w:rPr>
          <w:rFonts w:hint="eastAsia" w:ascii="仿宋" w:hAnsi="仿宋" w:eastAsia="仿宋" w:cs="仿宋"/>
          <w:b/>
          <w:bCs/>
          <w:sz w:val="24"/>
          <w:szCs w:val="24"/>
          <w:highlight w:val="none"/>
        </w:rPr>
        <w:t>为了保证电子标书的合法性、安全性和完整性，电子响应文件转换完成后，应在规定区域加盖单位和法定代表人CA印章。电子响应文件若无CA电子签章，则视为投标无效。</w:t>
      </w:r>
    </w:p>
    <w:p w14:paraId="55D2CD6F">
      <w:pPr>
        <w:pStyle w:val="4"/>
        <w:tabs>
          <w:tab w:val="left" w:pos="900"/>
        </w:tabs>
        <w:spacing w:before="0" w:line="340" w:lineRule="exact"/>
        <w:ind w:left="1080" w:leftChars="257" w:hanging="540"/>
        <w:rPr>
          <w:rFonts w:hint="eastAsia" w:ascii="仿宋" w:hAnsi="仿宋" w:eastAsia="仿宋" w:cs="仿宋"/>
          <w:sz w:val="24"/>
          <w:szCs w:val="24"/>
          <w:highlight w:val="none"/>
        </w:rPr>
      </w:pPr>
      <w:bookmarkStart w:id="81" w:name="_Toc13659"/>
      <w:bookmarkStart w:id="82" w:name="_Toc518923078"/>
      <w:bookmarkStart w:id="83" w:name="_Toc216582808"/>
      <w:bookmarkStart w:id="84" w:name="_Toc520356159"/>
      <w:bookmarkStart w:id="85" w:name="_Toc30674_WPSOffice_Level1"/>
      <w:bookmarkStart w:id="86" w:name="_Toc23875"/>
      <w:bookmarkStart w:id="87" w:name="_Toc9633"/>
      <w:r>
        <w:rPr>
          <w:rFonts w:hint="eastAsia" w:ascii="仿宋" w:hAnsi="仿宋" w:eastAsia="仿宋" w:cs="仿宋"/>
          <w:sz w:val="24"/>
          <w:szCs w:val="24"/>
          <w:highlight w:val="none"/>
        </w:rPr>
        <w:t>四 响应文件的递交</w:t>
      </w:r>
      <w:bookmarkEnd w:id="81"/>
      <w:bookmarkEnd w:id="82"/>
      <w:bookmarkEnd w:id="83"/>
      <w:bookmarkEnd w:id="84"/>
      <w:bookmarkEnd w:id="85"/>
      <w:bookmarkEnd w:id="86"/>
      <w:bookmarkEnd w:id="87"/>
    </w:p>
    <w:p w14:paraId="7657C66B">
      <w:pPr>
        <w:pStyle w:val="5"/>
        <w:spacing w:before="0" w:after="0" w:line="400" w:lineRule="exact"/>
        <w:rPr>
          <w:rFonts w:hint="eastAsia" w:ascii="仿宋" w:hAnsi="仿宋" w:eastAsia="仿宋" w:cs="仿宋"/>
          <w:bCs/>
          <w:kern w:val="2"/>
          <w:sz w:val="24"/>
          <w:szCs w:val="24"/>
          <w:highlight w:val="none"/>
          <w:u w:val="none"/>
        </w:rPr>
      </w:pPr>
      <w:bookmarkStart w:id="88" w:name="_Toc31241"/>
      <w:bookmarkStart w:id="89" w:name="_Toc11558"/>
      <w:bookmarkStart w:id="90" w:name="_Toc520356160"/>
      <w:bookmarkStart w:id="91" w:name="_Toc22654_WPSOffice_Level2"/>
      <w:bookmarkStart w:id="92" w:name="_Toc24004_WPSOffice_Level2"/>
      <w:bookmarkStart w:id="93" w:name="_Toc518923079"/>
      <w:r>
        <w:rPr>
          <w:rFonts w:hint="eastAsia" w:ascii="仿宋" w:hAnsi="仿宋" w:eastAsia="仿宋" w:cs="仿宋"/>
          <w:sz w:val="24"/>
          <w:szCs w:val="24"/>
          <w:highlight w:val="none"/>
          <w:u w:val="none"/>
        </w:rPr>
        <w:t>15.响应文件的密封和标记</w:t>
      </w:r>
      <w:bookmarkEnd w:id="88"/>
      <w:bookmarkEnd w:id="89"/>
      <w:bookmarkEnd w:id="90"/>
      <w:bookmarkEnd w:id="91"/>
      <w:bookmarkEnd w:id="92"/>
      <w:bookmarkEnd w:id="93"/>
    </w:p>
    <w:p w14:paraId="1C4AF662">
      <w:pPr>
        <w:tabs>
          <w:tab w:val="left" w:pos="-200"/>
          <w:tab w:val="left" w:pos="5580"/>
        </w:tabs>
        <w:spacing w:line="240" w:lineRule="atLeast"/>
        <w:ind w:left="964" w:hanging="964" w:hangingChars="400"/>
        <w:jc w:val="left"/>
        <w:rPr>
          <w:rFonts w:hint="eastAsia" w:ascii="仿宋" w:hAnsi="仿宋" w:eastAsia="仿宋" w:cs="仿宋"/>
          <w:b/>
          <w:bCs/>
          <w:sz w:val="24"/>
          <w:szCs w:val="24"/>
          <w:highlight w:val="none"/>
        </w:rPr>
      </w:pPr>
      <w:bookmarkStart w:id="94" w:name="_Toc178_WPSOffice_Level2"/>
      <w:bookmarkStart w:id="95" w:name="_Toc520356161"/>
      <w:bookmarkStart w:id="96" w:name="_Toc14358_WPSOffice_Level2"/>
      <w:bookmarkStart w:id="97" w:name="_Toc518923080"/>
      <w:r>
        <w:rPr>
          <w:rFonts w:hint="eastAsia" w:ascii="仿宋" w:hAnsi="仿宋" w:eastAsia="仿宋" w:cs="仿宋"/>
          <w:b/>
          <w:bCs/>
          <w:sz w:val="24"/>
          <w:szCs w:val="24"/>
          <w:highlight w:val="none"/>
        </w:rPr>
        <w:t>15.1    供应商应完整地按磋商文件提供的响应文件格式及要求编写响应文件， 供应商须在投标截止时间前完成在新疆政采云平台https://www.zcygov.cn 系统上递交电子响应文件。供应商的电子响应文件是经过CA证书加密后上传提交的，任何单位或个人均无法在投标截止时间之前查看或篡改，不存在泄密风险。（严格按照政采云电子投标流程制作并上传电子响应文件）</w:t>
      </w:r>
    </w:p>
    <w:p w14:paraId="68997398">
      <w:pPr>
        <w:spacing w:line="240" w:lineRule="atLeast"/>
        <w:ind w:left="964" w:hanging="964" w:hangingChars="4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15.2   供应商因自身原因导致电子响应文件无法导入电子评标系统的，该响应文件视为无效文件。</w:t>
      </w:r>
    </w:p>
    <w:p w14:paraId="16F91626">
      <w:pPr>
        <w:spacing w:line="240" w:lineRule="atLeast"/>
        <w:ind w:left="904" w:hanging="904" w:hangingChars="375"/>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15.3    电子响应文件具有法律效力,与其他形式的响应文件在内容和格式上等同，若响应文件与磋商文件要求不一致，其内容影响成交结果时，责任由供应商自行承担。</w:t>
      </w:r>
    </w:p>
    <w:p w14:paraId="5D551BA2">
      <w:pPr>
        <w:pStyle w:val="5"/>
        <w:spacing w:before="0" w:after="0" w:line="340" w:lineRule="exact"/>
        <w:rPr>
          <w:rFonts w:hint="eastAsia" w:ascii="仿宋" w:hAnsi="仿宋" w:eastAsia="仿宋" w:cs="仿宋"/>
          <w:sz w:val="24"/>
          <w:szCs w:val="24"/>
          <w:highlight w:val="none"/>
          <w:u w:val="none"/>
        </w:rPr>
      </w:pPr>
      <w:bookmarkStart w:id="98" w:name="_Toc23679"/>
      <w:bookmarkStart w:id="99" w:name="_Toc16828"/>
      <w:r>
        <w:rPr>
          <w:rFonts w:hint="eastAsia" w:ascii="仿宋" w:hAnsi="仿宋" w:eastAsia="仿宋" w:cs="仿宋"/>
          <w:sz w:val="24"/>
          <w:szCs w:val="24"/>
          <w:highlight w:val="none"/>
          <w:u w:val="none"/>
        </w:rPr>
        <w:t>16.磋商截止</w:t>
      </w:r>
      <w:bookmarkEnd w:id="94"/>
      <w:bookmarkEnd w:id="95"/>
      <w:bookmarkEnd w:id="96"/>
      <w:bookmarkEnd w:id="97"/>
      <w:bookmarkEnd w:id="98"/>
      <w:bookmarkEnd w:id="99"/>
    </w:p>
    <w:p w14:paraId="51307494">
      <w:pPr>
        <w:spacing w:line="340" w:lineRule="exact"/>
        <w:ind w:left="788"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16.1</w:t>
      </w:r>
      <w:r>
        <w:rPr>
          <w:rFonts w:hint="eastAsia" w:ascii="仿宋" w:hAnsi="仿宋" w:eastAsia="仿宋" w:cs="仿宋"/>
          <w:sz w:val="24"/>
          <w:szCs w:val="24"/>
          <w:highlight w:val="none"/>
        </w:rPr>
        <w:tab/>
      </w:r>
      <w:r>
        <w:rPr>
          <w:rFonts w:hint="eastAsia" w:ascii="仿宋" w:hAnsi="仿宋" w:eastAsia="仿宋" w:cs="仿宋"/>
          <w:sz w:val="24"/>
          <w:szCs w:val="24"/>
          <w:highlight w:val="none"/>
        </w:rPr>
        <w:t>供应商应在磋商邀请书中规定的截止时间前，将响应文件递交到磋商邀请书中规定的地点。</w:t>
      </w:r>
      <w:r>
        <w:rPr>
          <w:rFonts w:hint="eastAsia" w:ascii="仿宋" w:hAnsi="仿宋" w:eastAsia="仿宋" w:cs="仿宋"/>
          <w:b/>
          <w:bCs/>
          <w:sz w:val="24"/>
          <w:szCs w:val="24"/>
          <w:highlight w:val="none"/>
        </w:rPr>
        <w:t>解密时间30分钟，逾期未解密的视为投标无效。</w:t>
      </w:r>
    </w:p>
    <w:p w14:paraId="018A7BC6">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16.2</w:t>
      </w:r>
      <w:r>
        <w:rPr>
          <w:rFonts w:hint="eastAsia" w:ascii="仿宋" w:hAnsi="仿宋" w:eastAsia="仿宋" w:cs="仿宋"/>
          <w:sz w:val="24"/>
          <w:szCs w:val="24"/>
          <w:highlight w:val="none"/>
        </w:rPr>
        <w:tab/>
      </w:r>
      <w:r>
        <w:rPr>
          <w:rFonts w:hint="eastAsia" w:ascii="仿宋" w:hAnsi="仿宋" w:eastAsia="仿宋" w:cs="仿宋"/>
          <w:sz w:val="24"/>
          <w:szCs w:val="24"/>
          <w:highlight w:val="none"/>
        </w:rPr>
        <w:t>采购人和采购代理机构有权按本须知的规定，延迟响应文件递交截止时间。在此情况下，采购人、采购代理机构和供应商受响应文件递交截止时间制约的所有权利和义务均应延长至新的截止时间。</w:t>
      </w:r>
    </w:p>
    <w:p w14:paraId="33EC41F2">
      <w:pPr>
        <w:pStyle w:val="5"/>
        <w:spacing w:before="0" w:after="0" w:line="340" w:lineRule="exact"/>
        <w:rPr>
          <w:rFonts w:hint="eastAsia" w:ascii="仿宋" w:hAnsi="仿宋" w:eastAsia="仿宋" w:cs="仿宋"/>
          <w:sz w:val="24"/>
          <w:szCs w:val="24"/>
          <w:highlight w:val="none"/>
          <w:u w:val="none"/>
        </w:rPr>
      </w:pPr>
      <w:bookmarkStart w:id="100" w:name="_Toc520356162"/>
      <w:bookmarkStart w:id="101" w:name="_Toc9803"/>
      <w:bookmarkStart w:id="102" w:name="_Toc518923081"/>
      <w:bookmarkStart w:id="103" w:name="_Toc26522_WPSOffice_Level2"/>
      <w:bookmarkStart w:id="104" w:name="_Toc17985_WPSOffice_Level2"/>
      <w:bookmarkStart w:id="105" w:name="_Toc15789"/>
      <w:r>
        <w:rPr>
          <w:rFonts w:hint="eastAsia" w:ascii="仿宋" w:hAnsi="仿宋" w:eastAsia="仿宋" w:cs="仿宋"/>
          <w:sz w:val="24"/>
          <w:szCs w:val="24"/>
          <w:highlight w:val="none"/>
          <w:u w:val="none"/>
        </w:rPr>
        <w:t>17.响应文件的接收、修改与撤回</w:t>
      </w:r>
      <w:bookmarkEnd w:id="100"/>
      <w:bookmarkEnd w:id="101"/>
      <w:bookmarkEnd w:id="102"/>
      <w:bookmarkEnd w:id="103"/>
      <w:bookmarkEnd w:id="104"/>
      <w:bookmarkEnd w:id="105"/>
    </w:p>
    <w:p w14:paraId="6B4C2928">
      <w:pPr>
        <w:spacing w:line="340" w:lineRule="exact"/>
        <w:ind w:left="900" w:hanging="900" w:hangingChars="375"/>
        <w:rPr>
          <w:rFonts w:hint="eastAsia" w:ascii="仿宋" w:hAnsi="仿宋" w:eastAsia="仿宋" w:cs="仿宋"/>
          <w:sz w:val="24"/>
          <w:szCs w:val="24"/>
          <w:highlight w:val="none"/>
        </w:rPr>
      </w:pPr>
      <w:bookmarkStart w:id="106" w:name="_Toc518923082"/>
      <w:bookmarkStart w:id="107" w:name="_Toc520356163"/>
      <w:bookmarkStart w:id="108" w:name="_Toc216582809"/>
      <w:bookmarkStart w:id="109" w:name="_Toc5445"/>
      <w:bookmarkStart w:id="110" w:name="_Toc6601_WPSOffice_Level1"/>
      <w:r>
        <w:rPr>
          <w:rFonts w:hint="eastAsia" w:ascii="仿宋" w:hAnsi="仿宋" w:eastAsia="仿宋" w:cs="仿宋"/>
          <w:sz w:val="24"/>
          <w:szCs w:val="24"/>
          <w:highlight w:val="none"/>
        </w:rPr>
        <w:t>17.1</w:t>
      </w:r>
      <w:r>
        <w:rPr>
          <w:rFonts w:hint="eastAsia" w:ascii="仿宋" w:hAnsi="仿宋" w:eastAsia="仿宋" w:cs="仿宋"/>
          <w:sz w:val="24"/>
          <w:szCs w:val="24"/>
          <w:highlight w:val="none"/>
        </w:rPr>
        <w:tab/>
      </w:r>
      <w:r>
        <w:rPr>
          <w:rFonts w:hint="eastAsia" w:ascii="仿宋" w:hAnsi="仿宋" w:eastAsia="仿宋" w:cs="仿宋"/>
          <w:sz w:val="24"/>
          <w:szCs w:val="24"/>
          <w:highlight w:val="none"/>
        </w:rPr>
        <w:t>在投标截止时间后上传响应文件的，采购人和采购代理机构将拒绝接收。</w:t>
      </w:r>
    </w:p>
    <w:p w14:paraId="7CD3A8A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17.2   采购人或者采购代理机构收到响应文件后，应当如实记载响应文件的送达时间和密封情况。</w:t>
      </w:r>
    </w:p>
    <w:p w14:paraId="506526EC">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17.3   递交响应文件以后，如果供应商要进行修改或撤回投标，须提出书面申请并在投标截止时间前上传至新疆政采云平台https://www.zcygov.cn，供应商对响应文件的修改或撤回通知应按本须知规定编制、密封、标记。采购人和采购代理机构将予以接收，并视为响应文件的组成部分。</w:t>
      </w:r>
    </w:p>
    <w:p w14:paraId="36723738">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17.4</w:t>
      </w:r>
      <w:r>
        <w:rPr>
          <w:rFonts w:hint="eastAsia" w:ascii="仿宋" w:hAnsi="仿宋" w:eastAsia="仿宋" w:cs="仿宋"/>
          <w:sz w:val="24"/>
          <w:szCs w:val="24"/>
          <w:highlight w:val="none"/>
        </w:rPr>
        <w:tab/>
      </w:r>
      <w:r>
        <w:rPr>
          <w:rFonts w:hint="eastAsia" w:ascii="仿宋" w:hAnsi="仿宋" w:eastAsia="仿宋" w:cs="仿宋"/>
          <w:sz w:val="24"/>
          <w:szCs w:val="24"/>
          <w:highlight w:val="none"/>
        </w:rPr>
        <w:t>在投标截止期之后，采购人和采购代理机构不接受供应商主动对其响应文件做任何修改。</w:t>
      </w:r>
    </w:p>
    <w:p w14:paraId="42DD3953">
      <w:pPr>
        <w:spacing w:line="340" w:lineRule="exact"/>
        <w:ind w:left="900" w:hanging="900" w:hangingChars="375"/>
        <w:rPr>
          <w:rFonts w:hint="eastAsia" w:ascii="仿宋" w:hAnsi="仿宋" w:eastAsia="仿宋" w:cs="仿宋"/>
          <w:sz w:val="24"/>
          <w:szCs w:val="24"/>
          <w:highlight w:val="none"/>
        </w:rPr>
      </w:pPr>
      <w:bookmarkStart w:id="111" w:name="_Toc13495"/>
      <w:bookmarkStart w:id="112" w:name="_Toc26872"/>
      <w:bookmarkStart w:id="113" w:name="_Toc19583"/>
      <w:r>
        <w:rPr>
          <w:rFonts w:hint="eastAsia" w:ascii="仿宋" w:hAnsi="仿宋" w:eastAsia="仿宋" w:cs="仿宋"/>
          <w:sz w:val="24"/>
          <w:szCs w:val="24"/>
          <w:highlight w:val="none"/>
        </w:rPr>
        <w:t>17.5</w:t>
      </w:r>
      <w:r>
        <w:rPr>
          <w:rFonts w:hint="eastAsia" w:ascii="仿宋" w:hAnsi="仿宋" w:eastAsia="仿宋" w:cs="仿宋"/>
          <w:sz w:val="24"/>
          <w:szCs w:val="24"/>
          <w:highlight w:val="none"/>
        </w:rPr>
        <w:tab/>
      </w:r>
      <w:r>
        <w:rPr>
          <w:rFonts w:hint="eastAsia" w:ascii="仿宋" w:hAnsi="仿宋" w:eastAsia="仿宋" w:cs="仿宋"/>
          <w:sz w:val="24"/>
          <w:szCs w:val="24"/>
          <w:highlight w:val="none"/>
        </w:rPr>
        <w:t>采购人和采购代理机构对所接收响应文件概不退回。</w:t>
      </w:r>
      <w:bookmarkEnd w:id="111"/>
      <w:bookmarkEnd w:id="112"/>
      <w:bookmarkEnd w:id="113"/>
    </w:p>
    <w:p w14:paraId="15F5AF38">
      <w:pPr>
        <w:pStyle w:val="4"/>
        <w:tabs>
          <w:tab w:val="left" w:pos="900"/>
        </w:tabs>
        <w:spacing w:before="0" w:line="340" w:lineRule="exact"/>
        <w:ind w:left="1080" w:leftChars="257" w:hanging="540"/>
        <w:rPr>
          <w:rFonts w:hint="eastAsia" w:ascii="仿宋" w:hAnsi="仿宋" w:eastAsia="仿宋" w:cs="仿宋"/>
          <w:sz w:val="24"/>
          <w:szCs w:val="24"/>
          <w:highlight w:val="none"/>
        </w:rPr>
      </w:pPr>
      <w:bookmarkStart w:id="114" w:name="_Toc11598"/>
      <w:bookmarkStart w:id="115" w:name="_Toc2415"/>
      <w:r>
        <w:rPr>
          <w:rFonts w:hint="eastAsia" w:ascii="仿宋" w:hAnsi="仿宋" w:eastAsia="仿宋" w:cs="仿宋"/>
          <w:sz w:val="24"/>
          <w:szCs w:val="24"/>
          <w:highlight w:val="none"/>
        </w:rPr>
        <w:t>五 磋商开启及</w:t>
      </w:r>
      <w:bookmarkEnd w:id="106"/>
      <w:bookmarkEnd w:id="107"/>
      <w:bookmarkEnd w:id="108"/>
      <w:r>
        <w:rPr>
          <w:rFonts w:hint="eastAsia" w:ascii="仿宋" w:hAnsi="仿宋" w:eastAsia="仿宋" w:cs="仿宋"/>
          <w:sz w:val="24"/>
          <w:szCs w:val="24"/>
          <w:highlight w:val="none"/>
        </w:rPr>
        <w:t>评审</w:t>
      </w:r>
      <w:bookmarkEnd w:id="109"/>
      <w:bookmarkEnd w:id="110"/>
      <w:bookmarkEnd w:id="114"/>
      <w:bookmarkEnd w:id="115"/>
    </w:p>
    <w:p w14:paraId="54123570">
      <w:pPr>
        <w:pStyle w:val="5"/>
        <w:spacing w:before="0" w:after="0" w:line="340" w:lineRule="exact"/>
        <w:rPr>
          <w:rFonts w:hint="eastAsia" w:ascii="仿宋" w:hAnsi="仿宋" w:eastAsia="仿宋" w:cs="仿宋"/>
          <w:sz w:val="24"/>
          <w:szCs w:val="24"/>
          <w:highlight w:val="none"/>
          <w:u w:val="none"/>
        </w:rPr>
      </w:pPr>
      <w:bookmarkStart w:id="116" w:name="_Toc520356164"/>
      <w:bookmarkStart w:id="117" w:name="_Toc518923083"/>
      <w:bookmarkStart w:id="118" w:name="_Toc24919"/>
      <w:bookmarkStart w:id="119" w:name="_Toc829"/>
      <w:bookmarkStart w:id="120" w:name="_Toc13011_WPSOffice_Level2"/>
      <w:bookmarkStart w:id="121" w:name="_Toc32308_WPSOffice_Level2"/>
      <w:r>
        <w:rPr>
          <w:rFonts w:hint="eastAsia" w:ascii="仿宋" w:hAnsi="仿宋" w:eastAsia="仿宋" w:cs="仿宋"/>
          <w:sz w:val="24"/>
          <w:szCs w:val="24"/>
          <w:highlight w:val="none"/>
          <w:u w:val="none"/>
        </w:rPr>
        <w:t>18.</w:t>
      </w:r>
      <w:bookmarkEnd w:id="116"/>
      <w:bookmarkEnd w:id="117"/>
      <w:r>
        <w:rPr>
          <w:rFonts w:hint="eastAsia" w:ascii="仿宋" w:hAnsi="仿宋" w:eastAsia="仿宋" w:cs="仿宋"/>
          <w:sz w:val="24"/>
          <w:szCs w:val="24"/>
          <w:highlight w:val="none"/>
          <w:u w:val="none"/>
        </w:rPr>
        <w:t>磋商开启</w:t>
      </w:r>
      <w:bookmarkEnd w:id="118"/>
      <w:bookmarkEnd w:id="119"/>
      <w:bookmarkEnd w:id="120"/>
      <w:bookmarkEnd w:id="121"/>
    </w:p>
    <w:p w14:paraId="57E5350A">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18.1</w:t>
      </w:r>
      <w:r>
        <w:rPr>
          <w:rFonts w:hint="eastAsia" w:ascii="仿宋" w:hAnsi="仿宋" w:eastAsia="仿宋" w:cs="仿宋"/>
          <w:sz w:val="24"/>
          <w:szCs w:val="24"/>
          <w:highlight w:val="none"/>
        </w:rPr>
        <w:tab/>
      </w:r>
      <w:r>
        <w:rPr>
          <w:rFonts w:hint="eastAsia" w:ascii="仿宋" w:hAnsi="仿宋" w:eastAsia="仿宋" w:cs="仿宋"/>
          <w:sz w:val="24"/>
          <w:szCs w:val="24"/>
          <w:highlight w:val="none"/>
        </w:rPr>
        <w:t>采购人和采购代理机构将按供应商须知资料表中规定的磋商开启时间和地点组织公开磋商开启并邀请所有供应商代表参加。</w:t>
      </w:r>
    </w:p>
    <w:p w14:paraId="298142E6">
      <w:pPr>
        <w:spacing w:line="340" w:lineRule="exact"/>
        <w:ind w:left="958" w:leftChars="456" w:firstLine="60" w:firstLineChars="25"/>
        <w:rPr>
          <w:rFonts w:hint="eastAsia" w:ascii="仿宋" w:hAnsi="仿宋" w:eastAsia="仿宋" w:cs="仿宋"/>
          <w:sz w:val="24"/>
          <w:szCs w:val="24"/>
          <w:highlight w:val="none"/>
        </w:rPr>
      </w:pPr>
      <w:r>
        <w:rPr>
          <w:rFonts w:hint="eastAsia" w:ascii="仿宋" w:hAnsi="仿宋" w:eastAsia="仿宋" w:cs="仿宋"/>
          <w:sz w:val="24"/>
          <w:szCs w:val="24"/>
          <w:highlight w:val="none"/>
        </w:rPr>
        <w:t>供应商不足3家的，不得磋商开启。</w:t>
      </w:r>
    </w:p>
    <w:p w14:paraId="6E1D0778">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18.2    磋商开启时，由供应商或其推选的代表检查自己或所代表的响应文件的密封情况，经记录后，由采购人或采购代理机构当众解密响应文件，宣读供应商名称、报价一览表价格及磋商文件规定的内容。对于供应商在响应文件递交截止期前递交的响应声明，在磋商开启时当众宣读，评审时有效。</w:t>
      </w:r>
      <w:r>
        <w:rPr>
          <w:rFonts w:hint="eastAsia" w:ascii="仿宋" w:hAnsi="仿宋" w:eastAsia="仿宋" w:cs="仿宋"/>
          <w:b/>
          <w:bCs/>
          <w:sz w:val="24"/>
          <w:szCs w:val="24"/>
          <w:highlight w:val="none"/>
        </w:rPr>
        <w:t>逾期未解密的视为投标无效。</w:t>
      </w:r>
    </w:p>
    <w:p w14:paraId="692A2513">
      <w:pPr>
        <w:spacing w:line="340" w:lineRule="exact"/>
        <w:ind w:left="958" w:leftChars="456" w:firstLine="60" w:firstLineChars="25"/>
        <w:rPr>
          <w:rFonts w:hint="eastAsia" w:ascii="仿宋" w:hAnsi="仿宋" w:eastAsia="仿宋" w:cs="仿宋"/>
          <w:sz w:val="24"/>
          <w:szCs w:val="24"/>
          <w:highlight w:val="none"/>
        </w:rPr>
      </w:pPr>
      <w:r>
        <w:rPr>
          <w:rFonts w:hint="eastAsia" w:ascii="仿宋" w:hAnsi="仿宋" w:eastAsia="仿宋" w:cs="仿宋"/>
          <w:sz w:val="24"/>
          <w:szCs w:val="24"/>
          <w:highlight w:val="none"/>
        </w:rPr>
        <w:t>未宣读报价价格、价格折扣等实质内容，评审时不予承认。</w:t>
      </w:r>
    </w:p>
    <w:p w14:paraId="2EEBB27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18</w:t>
      </w:r>
      <w:bookmarkStart w:id="122" w:name="_Toc520356165"/>
      <w:r>
        <w:rPr>
          <w:rFonts w:hint="eastAsia" w:ascii="仿宋" w:hAnsi="仿宋" w:eastAsia="仿宋" w:cs="仿宋"/>
          <w:sz w:val="24"/>
          <w:szCs w:val="24"/>
          <w:highlight w:val="none"/>
        </w:rPr>
        <w:t>.3    采购人或采购代理机构将对开标过程进行记录，由各供应商代表和相关工作人员在政采云不见面开标大厅平台进行网上签字确认，并存档备查。</w:t>
      </w:r>
    </w:p>
    <w:p w14:paraId="408BBC34">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18.4    供应商代表对磋商开启过程和磋商开启记录有疑义，以及认为采购人、采购代理机构相关工作人员有需要回避的情形的，应当场提出询问或者回避申请。</w:t>
      </w:r>
    </w:p>
    <w:p w14:paraId="78E9CEDC">
      <w:pPr>
        <w:pStyle w:val="5"/>
        <w:spacing w:before="0" w:after="0" w:line="340" w:lineRule="exact"/>
        <w:rPr>
          <w:rFonts w:hint="eastAsia" w:ascii="仿宋" w:hAnsi="仿宋" w:eastAsia="仿宋" w:cs="仿宋"/>
          <w:sz w:val="24"/>
          <w:szCs w:val="24"/>
          <w:highlight w:val="none"/>
          <w:u w:val="none"/>
        </w:rPr>
      </w:pPr>
      <w:bookmarkStart w:id="123" w:name="_Toc4350_WPSOffice_Level2"/>
      <w:bookmarkStart w:id="124" w:name="_Toc518923084"/>
      <w:bookmarkStart w:id="125" w:name="_Toc21320_WPSOffice_Level2"/>
      <w:bookmarkStart w:id="126" w:name="_Toc31301"/>
      <w:bookmarkStart w:id="127" w:name="_Toc14331"/>
      <w:r>
        <w:rPr>
          <w:rFonts w:hint="eastAsia" w:ascii="仿宋" w:hAnsi="仿宋" w:eastAsia="仿宋" w:cs="仿宋"/>
          <w:sz w:val="24"/>
          <w:szCs w:val="24"/>
          <w:highlight w:val="none"/>
          <w:u w:val="none"/>
        </w:rPr>
        <w:t>19</w:t>
      </w:r>
      <w:bookmarkEnd w:id="122"/>
      <w:r>
        <w:rPr>
          <w:rFonts w:hint="eastAsia" w:ascii="仿宋" w:hAnsi="仿宋" w:eastAsia="仿宋" w:cs="仿宋"/>
          <w:sz w:val="24"/>
          <w:szCs w:val="24"/>
          <w:highlight w:val="none"/>
          <w:u w:val="none"/>
        </w:rPr>
        <w:t>.资格审查及组建评审委员会</w:t>
      </w:r>
      <w:bookmarkEnd w:id="123"/>
      <w:bookmarkEnd w:id="124"/>
      <w:bookmarkEnd w:id="125"/>
      <w:bookmarkEnd w:id="126"/>
      <w:bookmarkEnd w:id="127"/>
    </w:p>
    <w:p w14:paraId="58E98C91">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19.1  </w:t>
      </w:r>
      <w:r>
        <w:rPr>
          <w:rFonts w:hint="eastAsia" w:ascii="仿宋" w:hAnsi="仿宋" w:eastAsia="仿宋" w:cs="仿宋"/>
          <w:sz w:val="24"/>
          <w:szCs w:val="24"/>
        </w:rPr>
        <w:t>采购人或采购代理机构依据法律法规和</w:t>
      </w:r>
      <w:r>
        <w:rPr>
          <w:rFonts w:hint="eastAsia" w:ascii="仿宋" w:hAnsi="仿宋" w:eastAsia="仿宋" w:cs="仿宋"/>
          <w:sz w:val="24"/>
          <w:szCs w:val="24"/>
          <w:lang w:val="en-US" w:eastAsia="zh-CN"/>
        </w:rPr>
        <w:t>磋商</w:t>
      </w:r>
      <w:r>
        <w:rPr>
          <w:rFonts w:hint="eastAsia" w:ascii="仿宋" w:hAnsi="仿宋" w:eastAsia="仿宋" w:cs="仿宋"/>
          <w:sz w:val="24"/>
          <w:szCs w:val="24"/>
        </w:rPr>
        <w:t>文件中规定的内容，对投标人的资格进行审查。未通过资格审查的投标人不进入评标；进入评标的投标人不足3家的，不得评标。</w:t>
      </w:r>
    </w:p>
    <w:p w14:paraId="0DF18F72">
      <w:pPr>
        <w:spacing w:line="340" w:lineRule="exact"/>
        <w:ind w:left="904" w:hanging="904" w:hangingChars="375"/>
        <w:rPr>
          <w:rFonts w:hint="eastAsia" w:ascii="仿宋" w:hAnsi="仿宋" w:eastAsia="仿宋" w:cs="仿宋"/>
          <w:sz w:val="24"/>
          <w:szCs w:val="24"/>
          <w:highlight w:val="none"/>
        </w:rPr>
      </w:pPr>
      <w:r>
        <w:rPr>
          <w:rFonts w:hint="eastAsia" w:ascii="仿宋" w:hAnsi="仿宋" w:eastAsia="仿宋" w:cs="仿宋"/>
          <w:b/>
          <w:bCs/>
          <w:sz w:val="24"/>
          <w:szCs w:val="24"/>
          <w:highlight w:val="none"/>
        </w:rPr>
        <w:t>通过资格审查的供应商少于不足三家的，不得评标。</w:t>
      </w:r>
    </w:p>
    <w:p w14:paraId="635475AA">
      <w:pPr>
        <w:spacing w:line="340" w:lineRule="exact"/>
        <w:ind w:left="900" w:hanging="900" w:hangingChars="375"/>
        <w:rPr>
          <w:rFonts w:hint="eastAsia" w:ascii="仿宋" w:hAnsi="仿宋" w:eastAsia="仿宋" w:cs="仿宋"/>
          <w:sz w:val="24"/>
          <w:szCs w:val="24"/>
          <w:highlight w:val="none"/>
        </w:rPr>
      </w:pPr>
      <w:bookmarkStart w:id="128" w:name="_Toc520356166"/>
      <w:bookmarkStart w:id="129" w:name="_Toc31689_WPSOffice_Level2"/>
      <w:bookmarkStart w:id="130" w:name="_Toc518923085"/>
      <w:bookmarkStart w:id="131" w:name="_Toc17843_WPSOffice_Level2"/>
      <w:r>
        <w:rPr>
          <w:rFonts w:hint="eastAsia" w:ascii="仿宋" w:hAnsi="仿宋" w:eastAsia="仿宋" w:cs="仿宋"/>
          <w:sz w:val="24"/>
          <w:szCs w:val="24"/>
          <w:highlight w:val="none"/>
        </w:rPr>
        <w:t>19.2.1 不良信用记录指：供应商在中国政府采购网（www.ccgp.gov.cn）被列入政府采购严重违法失信行为记录名单，或在“信用中国”网站（www.creditchina.gov.cn）被列入失信被执行人、重大税收违法失信行为主体名单，以及存在《中华人民共和国政府采购法实施条例》第十九条规定的行政处罚记录。</w:t>
      </w:r>
    </w:p>
    <w:p w14:paraId="41D3235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以联合体形式参加投标的，联合体任何成员存在以上不良信用记录的，联合体投标将被认定为投标无效。</w:t>
      </w:r>
    </w:p>
    <w:p w14:paraId="3DFFD45F">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19.2.2 查询及记录方式：采购人或采购代理机构经办人将查询网页打印、签字并存档备查。供应商不良信用记录以采购人或采购代理机构查询结果为准。</w:t>
      </w:r>
    </w:p>
    <w:p w14:paraId="1AE9A021">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在本磋商文件规定的查询时间之后，网站信息发生的任何变更均不再作为评标依据。</w:t>
      </w:r>
    </w:p>
    <w:p w14:paraId="644377BB">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供应商自行提供的与网站信息不一致的其他证明材料亦不作为资格审查依据。</w:t>
      </w:r>
    </w:p>
    <w:p w14:paraId="58236445">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19.3   按照《中华人民共和国政府采购法》、《中华人民共和国政府采购法实施条例》及本项目本级和上级财政部门的有关规定依法组建的评标委员会，负责评标工作。本项目评标委员会由5人单数组成，其中：业主代表1人，评委4人（政采云专家库随机抽取）。</w:t>
      </w:r>
    </w:p>
    <w:p w14:paraId="57808316">
      <w:pPr>
        <w:pStyle w:val="5"/>
        <w:spacing w:before="0" w:after="0" w:line="340" w:lineRule="exact"/>
        <w:rPr>
          <w:rFonts w:hint="eastAsia" w:ascii="仿宋" w:hAnsi="仿宋" w:eastAsia="仿宋" w:cs="仿宋"/>
          <w:sz w:val="24"/>
          <w:szCs w:val="24"/>
          <w:highlight w:val="none"/>
          <w:u w:val="none"/>
        </w:rPr>
      </w:pPr>
      <w:bookmarkStart w:id="132" w:name="_Toc5888"/>
      <w:bookmarkStart w:id="133" w:name="_Toc20433"/>
      <w:r>
        <w:rPr>
          <w:rFonts w:hint="eastAsia" w:ascii="仿宋" w:hAnsi="仿宋" w:eastAsia="仿宋" w:cs="仿宋"/>
          <w:sz w:val="24"/>
          <w:szCs w:val="24"/>
          <w:highlight w:val="none"/>
          <w:u w:val="none"/>
        </w:rPr>
        <w:t>20.响应文件的</w:t>
      </w:r>
      <w:bookmarkEnd w:id="128"/>
      <w:r>
        <w:rPr>
          <w:rFonts w:hint="eastAsia" w:ascii="仿宋" w:hAnsi="仿宋" w:eastAsia="仿宋" w:cs="仿宋"/>
          <w:sz w:val="24"/>
          <w:szCs w:val="24"/>
          <w:highlight w:val="none"/>
          <w:u w:val="none"/>
        </w:rPr>
        <w:t>符合性审查与澄清</w:t>
      </w:r>
      <w:bookmarkEnd w:id="129"/>
      <w:bookmarkEnd w:id="130"/>
      <w:bookmarkEnd w:id="131"/>
      <w:bookmarkEnd w:id="132"/>
      <w:bookmarkEnd w:id="133"/>
    </w:p>
    <w:p w14:paraId="4A666F4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20.1   符合性审查是指依据磋商文件的规定，从响应文件的有效性和完整性对磋商文件的响应程度进行审查，以确定是否对磋商文件的实质性要求做出响应。</w:t>
      </w:r>
      <w:bookmarkStart w:id="134" w:name="_Hlt522424701"/>
      <w:bookmarkEnd w:id="134"/>
    </w:p>
    <w:p w14:paraId="7E3E4DE8">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20.2</w:t>
      </w:r>
      <w:r>
        <w:rPr>
          <w:rFonts w:hint="eastAsia" w:ascii="仿宋" w:hAnsi="仿宋" w:eastAsia="仿宋" w:cs="仿宋"/>
          <w:sz w:val="24"/>
          <w:szCs w:val="24"/>
          <w:highlight w:val="none"/>
        </w:rPr>
        <w:tab/>
      </w:r>
      <w:r>
        <w:rPr>
          <w:rFonts w:hint="eastAsia" w:ascii="仿宋" w:hAnsi="仿宋" w:eastAsia="仿宋" w:cs="仿宋"/>
          <w:sz w:val="24"/>
          <w:szCs w:val="24"/>
          <w:highlight w:val="none"/>
        </w:rPr>
        <w:t>响应文件的澄清</w:t>
      </w:r>
    </w:p>
    <w:p w14:paraId="6676505C">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20.2.1  在评审期间，评审委员会将以书面方式要求供应商对其响应文件中含义不明确、对同类问题表述不一致或者有明显文字和计算错误的内容，以及评审委员会认为供应商的报价明显低于其他通过符合性检查供应商的报价，有可能影响履约的情况作必要的澄清、说明或补正。供应商澄清、说明或补正。应在评审委员会规定的时间内以书面方式进行，并不得超出响应文件范围或者改变响应文件的实质性内容。</w:t>
      </w:r>
    </w:p>
    <w:p w14:paraId="46B73E2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20.2.2  供应商的澄清、说明或补正将作为响应文件的一部分。</w:t>
      </w:r>
    </w:p>
    <w:p w14:paraId="48BEBC94">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20.3   响应文件报价出现前后不一致的，按照下列规定修正：</w:t>
      </w:r>
    </w:p>
    <w:p w14:paraId="78416C5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　　（一）响应文件中报价一览表（报价表）内容与响应文件中相应内容不一致的，以报价一览表（报价表）为准；</w:t>
      </w:r>
    </w:p>
    <w:p w14:paraId="7B9E285C">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　　（二）大写金额和小写金额不一致的，以大写金额为准；</w:t>
      </w:r>
    </w:p>
    <w:p w14:paraId="6D2FD7B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　　（三）单价金额小数点或者百分比有明显错位的，以报价一览表的总价为准，并修改单价；</w:t>
      </w:r>
    </w:p>
    <w:p w14:paraId="7EBA748E">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　　（四）总价金额与按单价汇总金额不一致的，以单价金额计算结果为准。</w:t>
      </w:r>
    </w:p>
    <w:p w14:paraId="3C5D5C35">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　　同时出现两种以上不一致的，按照前款规定的顺序修正。修正后的报价按照第20.2条的规定经供应商确认后产生约束力，供应商不确认的，将被认定为响应无效。</w:t>
      </w:r>
    </w:p>
    <w:p w14:paraId="0FE05F3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对不同文字文本响应文件的解释发生异议的，以中文文本为准。</w:t>
      </w:r>
    </w:p>
    <w:p w14:paraId="55F75ED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20.4   供应商为提供服务所伴随响应文件的产品如被列入财政部与国家主管部门颁发的节能产品目录或环境标志产品目录或无线局域网产品目录，应提供相关证明，在评审时予以优先采购，具体优先采购办法见第6章评审方法和标准。</w:t>
      </w:r>
      <w:r>
        <w:rPr>
          <w:rFonts w:hint="eastAsia" w:ascii="仿宋" w:hAnsi="仿宋" w:eastAsia="仿宋" w:cs="仿宋"/>
          <w:b/>
          <w:bCs/>
          <w:sz w:val="24"/>
          <w:szCs w:val="24"/>
          <w:highlight w:val="none"/>
        </w:rPr>
        <w:t>本项目不适用</w:t>
      </w:r>
      <w:r>
        <w:rPr>
          <w:rFonts w:hint="eastAsia" w:ascii="仿宋" w:hAnsi="仿宋" w:eastAsia="仿宋" w:cs="仿宋"/>
          <w:sz w:val="24"/>
          <w:szCs w:val="24"/>
          <w:highlight w:val="none"/>
        </w:rPr>
        <w:t>。</w:t>
      </w:r>
    </w:p>
    <w:p w14:paraId="4A56BCD2">
      <w:pPr>
        <w:pStyle w:val="5"/>
        <w:spacing w:before="0" w:after="0" w:line="340" w:lineRule="exact"/>
        <w:rPr>
          <w:rFonts w:hint="eastAsia" w:ascii="仿宋" w:hAnsi="仿宋" w:eastAsia="仿宋" w:cs="仿宋"/>
          <w:sz w:val="24"/>
          <w:szCs w:val="24"/>
          <w:highlight w:val="none"/>
          <w:u w:val="none"/>
        </w:rPr>
      </w:pPr>
      <w:bookmarkStart w:id="135" w:name="_Toc6415"/>
      <w:bookmarkStart w:id="136" w:name="_Toc28142"/>
      <w:bookmarkStart w:id="137" w:name="_Toc518923086"/>
      <w:bookmarkStart w:id="138" w:name="_Toc6346_WPSOffice_Level2"/>
      <w:bookmarkStart w:id="139" w:name="_Toc26452_WPSOffice_Level2"/>
      <w:r>
        <w:rPr>
          <w:rFonts w:hint="eastAsia" w:ascii="仿宋" w:hAnsi="仿宋" w:eastAsia="仿宋" w:cs="仿宋"/>
          <w:sz w:val="24"/>
          <w:szCs w:val="24"/>
          <w:highlight w:val="none"/>
          <w:u w:val="none"/>
        </w:rPr>
        <w:t>21.响应偏离</w:t>
      </w:r>
      <w:bookmarkEnd w:id="135"/>
      <w:bookmarkEnd w:id="136"/>
      <w:bookmarkEnd w:id="137"/>
      <w:bookmarkEnd w:id="138"/>
      <w:bookmarkEnd w:id="139"/>
    </w:p>
    <w:p w14:paraId="39E953F2">
      <w:pPr>
        <w:spacing w:line="340" w:lineRule="exact"/>
        <w:ind w:left="958" w:leftChars="456" w:firstLine="60" w:firstLineChars="25"/>
        <w:rPr>
          <w:rFonts w:hint="eastAsia" w:ascii="仿宋" w:hAnsi="仿宋" w:eastAsia="仿宋" w:cs="仿宋"/>
          <w:sz w:val="24"/>
          <w:szCs w:val="24"/>
          <w:highlight w:val="none"/>
        </w:rPr>
      </w:pPr>
      <w:r>
        <w:rPr>
          <w:rFonts w:hint="eastAsia" w:ascii="仿宋" w:hAnsi="仿宋" w:eastAsia="仿宋" w:cs="仿宋"/>
          <w:sz w:val="24"/>
          <w:szCs w:val="24"/>
          <w:highlight w:val="none"/>
        </w:rPr>
        <w:t>评审委员会可以接受响应文件中不构成实质性偏离的不正规或不一致，具体由评标委员会进行判定。</w:t>
      </w:r>
    </w:p>
    <w:p w14:paraId="105FFD22">
      <w:pPr>
        <w:pStyle w:val="5"/>
        <w:spacing w:before="0" w:after="0" w:line="400" w:lineRule="exact"/>
        <w:rPr>
          <w:rFonts w:hint="eastAsia" w:ascii="仿宋" w:hAnsi="仿宋" w:eastAsia="仿宋" w:cs="仿宋"/>
          <w:sz w:val="24"/>
          <w:szCs w:val="24"/>
          <w:highlight w:val="none"/>
          <w:u w:val="none"/>
        </w:rPr>
      </w:pPr>
      <w:bookmarkStart w:id="140" w:name="_Toc25236_WPSOffice_Level2"/>
      <w:bookmarkStart w:id="141" w:name="_Toc11645_WPSOffice_Level2"/>
      <w:bookmarkStart w:id="142" w:name="_Toc30386"/>
      <w:bookmarkStart w:id="143" w:name="_Toc518923087"/>
      <w:bookmarkStart w:id="144" w:name="_Toc12870"/>
      <w:r>
        <w:rPr>
          <w:rFonts w:hint="eastAsia" w:ascii="仿宋" w:hAnsi="仿宋" w:eastAsia="仿宋" w:cs="仿宋"/>
          <w:sz w:val="24"/>
          <w:szCs w:val="24"/>
          <w:highlight w:val="none"/>
          <w:u w:val="none"/>
        </w:rPr>
        <w:t>22.响应无效</w:t>
      </w:r>
      <w:bookmarkEnd w:id="140"/>
      <w:bookmarkEnd w:id="141"/>
      <w:bookmarkEnd w:id="142"/>
      <w:bookmarkEnd w:id="143"/>
      <w:bookmarkEnd w:id="144"/>
    </w:p>
    <w:p w14:paraId="6E26091D">
      <w:pPr>
        <w:spacing w:line="400" w:lineRule="exact"/>
        <w:ind w:left="852" w:leftChars="-23"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22.1   在比较与评价之前，根据本须知的规定，评审委员会要审查每份响应文件是否实质上响应了磋商文件的要求。实质上响应的响应文件应该是与磋商文件要求的全部条款、条件和规格相符，没有重大偏离的响应。对关键条款的偏离，将被认定为无效。供应商不得通过修正或撤销不符合要求的偏离从而使其响应文件成为实质上响应。</w:t>
      </w:r>
    </w:p>
    <w:p w14:paraId="6B965B44">
      <w:pPr>
        <w:spacing w:line="400" w:lineRule="exact"/>
        <w:ind w:left="792" w:leftChars="377"/>
        <w:rPr>
          <w:rFonts w:hint="eastAsia" w:ascii="仿宋" w:hAnsi="仿宋" w:eastAsia="仿宋" w:cs="仿宋"/>
          <w:sz w:val="24"/>
          <w:szCs w:val="24"/>
          <w:highlight w:val="none"/>
        </w:rPr>
      </w:pPr>
      <w:r>
        <w:rPr>
          <w:rFonts w:hint="eastAsia" w:ascii="仿宋" w:hAnsi="仿宋" w:eastAsia="仿宋" w:cs="仿宋"/>
          <w:sz w:val="24"/>
          <w:szCs w:val="24"/>
          <w:highlight w:val="none"/>
        </w:rPr>
        <w:t>磋商小组决定磋商的响应性只根据磋商文件要求、响应文件内容及财政主管部门指定相关信息发布媒体。</w:t>
      </w:r>
    </w:p>
    <w:p w14:paraId="487D5E95">
      <w:pPr>
        <w:spacing w:line="40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22.2</w:t>
      </w:r>
      <w:r>
        <w:rPr>
          <w:rFonts w:hint="eastAsia" w:ascii="仿宋" w:hAnsi="仿宋" w:eastAsia="仿宋" w:cs="仿宋"/>
          <w:sz w:val="24"/>
          <w:szCs w:val="24"/>
          <w:highlight w:val="none"/>
        </w:rPr>
        <w:tab/>
      </w:r>
      <w:r>
        <w:rPr>
          <w:rFonts w:hint="eastAsia" w:ascii="仿宋" w:hAnsi="仿宋" w:eastAsia="仿宋" w:cs="仿宋"/>
          <w:sz w:val="24"/>
          <w:szCs w:val="24"/>
          <w:highlight w:val="none"/>
        </w:rPr>
        <w:t>如发现下列情况之一的，其磋商将被认定为无效：（以下情形应当在磋商文件中规定，并以醒目的方式标明）</w:t>
      </w:r>
    </w:p>
    <w:p w14:paraId="29719351">
      <w:pPr>
        <w:numPr>
          <w:ilvl w:val="0"/>
          <w:numId w:val="5"/>
        </w:numPr>
        <w:spacing w:line="400" w:lineRule="exact"/>
        <w:ind w:left="1081" w:leftChars="429" w:hanging="180"/>
        <w:rPr>
          <w:rFonts w:hint="eastAsia" w:ascii="仿宋" w:hAnsi="仿宋" w:eastAsia="仿宋" w:cs="仿宋"/>
          <w:sz w:val="24"/>
          <w:szCs w:val="24"/>
          <w:highlight w:val="none"/>
        </w:rPr>
      </w:pPr>
      <w:r>
        <w:rPr>
          <w:rFonts w:hint="eastAsia" w:ascii="仿宋" w:hAnsi="仿宋" w:eastAsia="仿宋" w:cs="仿宋"/>
          <w:sz w:val="24"/>
          <w:szCs w:val="24"/>
          <w:highlight w:val="none"/>
        </w:rPr>
        <w:t>未按磋商文件规定的形式和金额提交磋商保证金的；</w:t>
      </w:r>
    </w:p>
    <w:p w14:paraId="42C2F928">
      <w:pPr>
        <w:numPr>
          <w:ilvl w:val="0"/>
          <w:numId w:val="5"/>
        </w:numPr>
        <w:spacing w:line="400" w:lineRule="exact"/>
        <w:ind w:left="1081" w:leftChars="429" w:hanging="180"/>
        <w:rPr>
          <w:rFonts w:hint="eastAsia" w:ascii="仿宋" w:hAnsi="仿宋" w:eastAsia="仿宋" w:cs="仿宋"/>
          <w:sz w:val="24"/>
          <w:szCs w:val="24"/>
          <w:highlight w:val="none"/>
        </w:rPr>
      </w:pPr>
      <w:r>
        <w:rPr>
          <w:rFonts w:hint="eastAsia" w:ascii="仿宋" w:hAnsi="仿宋" w:eastAsia="仿宋" w:cs="仿宋"/>
          <w:sz w:val="24"/>
          <w:szCs w:val="24"/>
          <w:highlight w:val="none"/>
        </w:rPr>
        <w:t>未按照磋商文件规定要求签署、盖章的；</w:t>
      </w:r>
    </w:p>
    <w:p w14:paraId="017FA8F0">
      <w:pPr>
        <w:numPr>
          <w:ilvl w:val="0"/>
          <w:numId w:val="5"/>
        </w:numPr>
        <w:spacing w:line="400" w:lineRule="exact"/>
        <w:ind w:left="1081" w:leftChars="429" w:hanging="180"/>
        <w:rPr>
          <w:rFonts w:hint="eastAsia" w:ascii="仿宋" w:hAnsi="仿宋" w:eastAsia="仿宋" w:cs="仿宋"/>
          <w:sz w:val="24"/>
          <w:szCs w:val="24"/>
          <w:highlight w:val="none"/>
        </w:rPr>
      </w:pPr>
      <w:r>
        <w:rPr>
          <w:rFonts w:hint="eastAsia" w:ascii="仿宋" w:hAnsi="仿宋" w:eastAsia="仿宋" w:cs="仿宋"/>
          <w:sz w:val="24"/>
          <w:szCs w:val="24"/>
          <w:highlight w:val="none"/>
        </w:rPr>
        <w:t>未满足磋商文件中技术条款的实质性要求；</w:t>
      </w:r>
    </w:p>
    <w:p w14:paraId="44F9E796">
      <w:pPr>
        <w:numPr>
          <w:ilvl w:val="0"/>
          <w:numId w:val="5"/>
        </w:numPr>
        <w:spacing w:line="400" w:lineRule="exact"/>
        <w:ind w:left="1081" w:leftChars="429" w:hanging="180"/>
        <w:rPr>
          <w:rFonts w:hint="eastAsia" w:ascii="仿宋" w:hAnsi="仿宋" w:eastAsia="仿宋" w:cs="仿宋"/>
          <w:sz w:val="24"/>
          <w:szCs w:val="24"/>
          <w:highlight w:val="none"/>
        </w:rPr>
      </w:pPr>
      <w:r>
        <w:rPr>
          <w:rFonts w:hint="eastAsia" w:ascii="仿宋" w:hAnsi="仿宋" w:eastAsia="仿宋" w:cs="仿宋"/>
          <w:sz w:val="24"/>
          <w:szCs w:val="24"/>
          <w:highlight w:val="none"/>
        </w:rPr>
        <w:t>与其他供应商串通参加磋商，或者与采购人串通参加磋商；</w:t>
      </w:r>
    </w:p>
    <w:p w14:paraId="6B168FD9">
      <w:pPr>
        <w:numPr>
          <w:ilvl w:val="0"/>
          <w:numId w:val="5"/>
        </w:numPr>
        <w:spacing w:line="400" w:lineRule="exact"/>
        <w:ind w:left="1081" w:leftChars="429" w:hanging="180"/>
        <w:rPr>
          <w:rFonts w:hint="eastAsia" w:ascii="仿宋" w:hAnsi="仿宋" w:eastAsia="仿宋" w:cs="仿宋"/>
          <w:sz w:val="24"/>
          <w:szCs w:val="24"/>
          <w:highlight w:val="none"/>
        </w:rPr>
      </w:pPr>
      <w:r>
        <w:rPr>
          <w:rFonts w:hint="eastAsia" w:ascii="仿宋" w:hAnsi="仿宋" w:eastAsia="仿宋" w:cs="仿宋"/>
          <w:sz w:val="24"/>
          <w:szCs w:val="24"/>
          <w:highlight w:val="none"/>
        </w:rPr>
        <w:t>属于磋商文件规定的其他响应无效情形；</w:t>
      </w:r>
    </w:p>
    <w:p w14:paraId="0983C2BD">
      <w:pPr>
        <w:numPr>
          <w:ilvl w:val="0"/>
          <w:numId w:val="5"/>
        </w:numPr>
        <w:spacing w:line="400" w:lineRule="exact"/>
        <w:ind w:left="1081" w:leftChars="429" w:hanging="180"/>
        <w:rPr>
          <w:rFonts w:hint="eastAsia" w:ascii="仿宋" w:hAnsi="仿宋" w:eastAsia="仿宋" w:cs="仿宋"/>
          <w:sz w:val="24"/>
          <w:szCs w:val="24"/>
          <w:highlight w:val="none"/>
        </w:rPr>
      </w:pPr>
      <w:r>
        <w:rPr>
          <w:rFonts w:hint="eastAsia" w:ascii="仿宋" w:hAnsi="仿宋" w:eastAsia="仿宋" w:cs="仿宋"/>
          <w:sz w:val="24"/>
          <w:szCs w:val="24"/>
          <w:highlight w:val="none"/>
        </w:rPr>
        <w:t>评审委员会认为供应商的报价明显低于其他通过符合性检查供应商的报价，有可能影响履约的，且供应商未按照规定证明其报价合理性的；</w:t>
      </w:r>
    </w:p>
    <w:p w14:paraId="48533FA9">
      <w:pPr>
        <w:numPr>
          <w:ilvl w:val="0"/>
          <w:numId w:val="5"/>
        </w:numPr>
        <w:spacing w:line="400" w:lineRule="exact"/>
        <w:ind w:left="1081" w:leftChars="429" w:hanging="180"/>
        <w:rPr>
          <w:rFonts w:hint="eastAsia" w:ascii="仿宋" w:hAnsi="仿宋" w:eastAsia="仿宋" w:cs="仿宋"/>
          <w:sz w:val="24"/>
          <w:szCs w:val="24"/>
          <w:highlight w:val="none"/>
        </w:rPr>
      </w:pPr>
      <w:r>
        <w:rPr>
          <w:rFonts w:hint="eastAsia" w:ascii="仿宋" w:hAnsi="仿宋" w:eastAsia="仿宋" w:cs="仿宋"/>
          <w:sz w:val="24"/>
          <w:szCs w:val="24"/>
          <w:highlight w:val="none"/>
        </w:rPr>
        <w:t>响应文件含有采购人不能接受的附加条件的；</w:t>
      </w:r>
    </w:p>
    <w:p w14:paraId="083C2AFC">
      <w:pPr>
        <w:numPr>
          <w:ilvl w:val="0"/>
          <w:numId w:val="5"/>
        </w:numPr>
        <w:tabs>
          <w:tab w:val="left" w:pos="0"/>
        </w:tabs>
        <w:spacing w:line="400" w:lineRule="exact"/>
        <w:ind w:left="1081" w:leftChars="429" w:hanging="180"/>
        <w:rPr>
          <w:rFonts w:hint="eastAsia" w:ascii="仿宋" w:hAnsi="仿宋" w:eastAsia="仿宋" w:cs="仿宋"/>
          <w:sz w:val="24"/>
          <w:szCs w:val="24"/>
          <w:highlight w:val="none"/>
        </w:rPr>
      </w:pPr>
      <w:r>
        <w:rPr>
          <w:rFonts w:hint="eastAsia" w:ascii="仿宋" w:hAnsi="仿宋" w:eastAsia="仿宋" w:cs="仿宋"/>
          <w:sz w:val="24"/>
          <w:szCs w:val="24"/>
          <w:highlight w:val="none"/>
        </w:rPr>
        <w:t>不符合法规和磋商文件中规定的其他实质性要求的。</w:t>
      </w:r>
    </w:p>
    <w:p w14:paraId="27DBA5C7">
      <w:pPr>
        <w:pStyle w:val="5"/>
        <w:spacing w:before="0" w:after="0" w:line="340" w:lineRule="exact"/>
        <w:rPr>
          <w:rFonts w:hint="eastAsia" w:ascii="仿宋" w:hAnsi="仿宋" w:eastAsia="仿宋" w:cs="仿宋"/>
          <w:sz w:val="24"/>
          <w:szCs w:val="24"/>
          <w:highlight w:val="none"/>
          <w:u w:val="none"/>
        </w:rPr>
      </w:pPr>
      <w:bookmarkStart w:id="145" w:name="_Toc518923088"/>
      <w:bookmarkStart w:id="146" w:name="_Toc13546"/>
      <w:bookmarkStart w:id="147" w:name="_Toc21056"/>
      <w:r>
        <w:rPr>
          <w:rFonts w:hint="eastAsia" w:ascii="仿宋" w:hAnsi="仿宋" w:eastAsia="仿宋" w:cs="仿宋"/>
          <w:sz w:val="24"/>
          <w:szCs w:val="24"/>
          <w:highlight w:val="none"/>
          <w:u w:val="none"/>
        </w:rPr>
        <w:t>23</w:t>
      </w:r>
      <w:bookmarkEnd w:id="66"/>
      <w:r>
        <w:rPr>
          <w:rFonts w:hint="eastAsia" w:ascii="仿宋" w:hAnsi="仿宋" w:eastAsia="仿宋" w:cs="仿宋"/>
          <w:sz w:val="24"/>
          <w:szCs w:val="24"/>
          <w:highlight w:val="none"/>
          <w:u w:val="none"/>
        </w:rPr>
        <w:t>.比较与评价</w:t>
      </w:r>
      <w:bookmarkEnd w:id="145"/>
      <w:bookmarkEnd w:id="146"/>
      <w:bookmarkEnd w:id="147"/>
    </w:p>
    <w:p w14:paraId="1473F164">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23.1</w:t>
      </w:r>
      <w:r>
        <w:rPr>
          <w:rFonts w:hint="eastAsia" w:ascii="仿宋" w:hAnsi="仿宋" w:eastAsia="仿宋" w:cs="仿宋"/>
          <w:sz w:val="24"/>
          <w:szCs w:val="24"/>
          <w:highlight w:val="none"/>
        </w:rPr>
        <w:tab/>
      </w:r>
      <w:r>
        <w:rPr>
          <w:rFonts w:hint="eastAsia" w:ascii="仿宋" w:hAnsi="仿宋" w:eastAsia="仿宋" w:cs="仿宋"/>
          <w:sz w:val="24"/>
          <w:szCs w:val="24"/>
          <w:highlight w:val="none"/>
        </w:rPr>
        <w:t>经符合性审查合格的响应文件，评标委员会将根据磋商文件确定的评标方法和标准，对其技术部分和商务部分作进一步的比较和评价。</w:t>
      </w:r>
    </w:p>
    <w:p w14:paraId="0B73991C">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23.2  </w:t>
      </w:r>
      <w:r>
        <w:rPr>
          <w:rFonts w:hint="eastAsia" w:ascii="仿宋" w:hAnsi="仿宋" w:eastAsia="仿宋" w:cs="仿宋"/>
          <w:sz w:val="24"/>
          <w:szCs w:val="24"/>
          <w:highlight w:val="none"/>
        </w:rPr>
        <w:tab/>
      </w:r>
      <w:r>
        <w:rPr>
          <w:rFonts w:hint="eastAsia" w:ascii="仿宋" w:hAnsi="仿宋" w:eastAsia="仿宋" w:cs="仿宋"/>
          <w:sz w:val="24"/>
          <w:szCs w:val="24"/>
          <w:highlight w:val="none"/>
        </w:rPr>
        <w:t>评标严格按照磋商文件的要求和条件进行。根据实际情况，在</w:t>
      </w:r>
      <w:r>
        <w:rPr>
          <w:rFonts w:hint="eastAsia" w:ascii="仿宋" w:hAnsi="仿宋" w:eastAsia="仿宋" w:cs="仿宋"/>
          <w:sz w:val="24"/>
          <w:szCs w:val="24"/>
          <w:highlight w:val="none"/>
          <w:u w:val="single"/>
        </w:rPr>
        <w:t>供应商须知资料表</w:t>
      </w:r>
      <w:r>
        <w:rPr>
          <w:rFonts w:hint="eastAsia" w:ascii="仿宋" w:hAnsi="仿宋" w:eastAsia="仿宋" w:cs="仿宋"/>
          <w:sz w:val="24"/>
          <w:szCs w:val="24"/>
          <w:highlight w:val="none"/>
        </w:rPr>
        <w:t>中规定采用下列一种评标方法，详细评标标准见磋商文件第六章：</w:t>
      </w:r>
    </w:p>
    <w:p w14:paraId="77E461CD">
      <w:pPr>
        <w:pStyle w:val="12"/>
        <w:spacing w:line="340" w:lineRule="exact"/>
        <w:ind w:left="899" w:leftChars="342" w:hanging="181"/>
        <w:rPr>
          <w:rFonts w:hint="eastAsia" w:ascii="仿宋" w:hAnsi="仿宋" w:eastAsia="仿宋" w:cs="仿宋"/>
          <w:sz w:val="24"/>
          <w:szCs w:val="24"/>
          <w:highlight w:val="none"/>
        </w:rPr>
      </w:pPr>
      <w:r>
        <w:rPr>
          <w:rFonts w:hint="eastAsia" w:ascii="仿宋" w:hAnsi="仿宋" w:eastAsia="仿宋" w:cs="仿宋"/>
          <w:sz w:val="24"/>
          <w:szCs w:val="24"/>
          <w:highlight w:val="none"/>
        </w:rPr>
        <w:t>（1） 最低评标价法，是指响应文件满足磋商文件全部实质性要求，且投标报价最低的供应商为中标候选人的评标方法。</w:t>
      </w:r>
    </w:p>
    <w:p w14:paraId="159D7204">
      <w:pPr>
        <w:pStyle w:val="12"/>
        <w:spacing w:line="340" w:lineRule="exact"/>
        <w:ind w:left="898" w:leftChars="342" w:hanging="180"/>
        <w:rPr>
          <w:rFonts w:hint="eastAsia" w:ascii="仿宋" w:hAnsi="仿宋" w:eastAsia="仿宋" w:cs="仿宋"/>
          <w:sz w:val="24"/>
          <w:szCs w:val="24"/>
          <w:highlight w:val="none"/>
        </w:rPr>
      </w:pPr>
      <w:r>
        <w:rPr>
          <w:rFonts w:hint="eastAsia" w:ascii="仿宋" w:hAnsi="仿宋" w:eastAsia="仿宋" w:cs="仿宋"/>
          <w:sz w:val="24"/>
          <w:szCs w:val="24"/>
          <w:highlight w:val="none"/>
        </w:rPr>
        <w:t>（2） 综合评分法，是指响应文件满足磋商文件全部实质性要求，且按照评审因素的量化指标评审得分最高的供应商为中标候选人的评标方法。</w:t>
      </w:r>
    </w:p>
    <w:p w14:paraId="520CCE9C">
      <w:pPr>
        <w:spacing w:line="240" w:lineRule="atLeast"/>
        <w:ind w:left="958" w:leftChars="456" w:firstLine="60" w:firstLineChars="25"/>
        <w:rPr>
          <w:rFonts w:hint="eastAsia" w:ascii="仿宋" w:hAnsi="仿宋" w:eastAsia="仿宋" w:cs="仿宋"/>
          <w:color w:val="00B0F0"/>
          <w:sz w:val="24"/>
          <w:szCs w:val="24"/>
          <w:highlight w:val="none"/>
        </w:rPr>
      </w:pPr>
      <w:r>
        <w:rPr>
          <w:rFonts w:hint="eastAsia" w:ascii="仿宋" w:hAnsi="仿宋" w:eastAsia="仿宋" w:cs="仿宋"/>
          <w:sz w:val="24"/>
          <w:szCs w:val="24"/>
          <w:highlight w:val="none"/>
        </w:rPr>
        <w:t>（3）竞争性磋商，本次评定的标准和方法采用综合评分法。在满足磋商文件所要求的必要合格条件的前提下，经磋商确定最终磋商需求和提交最后报价的供应商后，由磋商小组采用综合评分法对提交最后报价的供应商的响应文件和最后报价进行综合评分，按照评审得分由高到低顺序推荐3名以上（《财政部关于政府采购竞争性磋商采购方式管理暂行办法有关问题的补充通知》规定的情形除外）成交候选供应商，评审得分且最后报价相同的，按照技术指标优劣顺序推荐。</w:t>
      </w:r>
    </w:p>
    <w:p w14:paraId="085B4D8E">
      <w:pPr>
        <w:pStyle w:val="5"/>
        <w:spacing w:before="0" w:after="0" w:line="340" w:lineRule="exact"/>
        <w:rPr>
          <w:rFonts w:hint="eastAsia" w:ascii="仿宋" w:hAnsi="仿宋" w:eastAsia="仿宋" w:cs="仿宋"/>
          <w:sz w:val="24"/>
          <w:szCs w:val="24"/>
          <w:highlight w:val="none"/>
          <w:u w:val="none"/>
        </w:rPr>
      </w:pPr>
      <w:bookmarkStart w:id="148" w:name="_Toc520356168"/>
      <w:bookmarkStart w:id="149" w:name="_Toc518923089"/>
      <w:bookmarkStart w:id="150" w:name="_Toc4130"/>
      <w:bookmarkStart w:id="151" w:name="_Toc13945"/>
      <w:r>
        <w:rPr>
          <w:rFonts w:hint="eastAsia" w:ascii="仿宋" w:hAnsi="仿宋" w:eastAsia="仿宋" w:cs="仿宋"/>
          <w:sz w:val="24"/>
          <w:szCs w:val="24"/>
          <w:highlight w:val="none"/>
          <w:u w:val="none"/>
        </w:rPr>
        <w:t>24</w:t>
      </w:r>
      <w:bookmarkEnd w:id="148"/>
      <w:r>
        <w:rPr>
          <w:rFonts w:hint="eastAsia" w:ascii="仿宋" w:hAnsi="仿宋" w:eastAsia="仿宋" w:cs="仿宋"/>
          <w:sz w:val="24"/>
          <w:szCs w:val="24"/>
          <w:highlight w:val="none"/>
          <w:u w:val="none"/>
        </w:rPr>
        <w:t>.废标</w:t>
      </w:r>
      <w:bookmarkEnd w:id="149"/>
      <w:bookmarkEnd w:id="150"/>
      <w:bookmarkEnd w:id="151"/>
    </w:p>
    <w:p w14:paraId="16960A3E">
      <w:pPr>
        <w:spacing w:line="340" w:lineRule="exact"/>
        <w:ind w:left="898" w:leftChars="399" w:hanging="60" w:hangingChars="25"/>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出现下列情形之一，将导致项目废标： </w:t>
      </w:r>
    </w:p>
    <w:p w14:paraId="0AEC8506">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ab/>
      </w:r>
      <w:r>
        <w:rPr>
          <w:rFonts w:hint="eastAsia" w:ascii="仿宋" w:hAnsi="仿宋" w:eastAsia="仿宋" w:cs="仿宋"/>
          <w:sz w:val="24"/>
          <w:szCs w:val="24"/>
          <w:highlight w:val="none"/>
        </w:rPr>
        <w:t>（1）符合专业条件的供应商或者对磋商文件做实质性响应的供应商不足三家；</w:t>
      </w:r>
    </w:p>
    <w:p w14:paraId="361769E1">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ab/>
      </w:r>
      <w:r>
        <w:rPr>
          <w:rFonts w:hint="eastAsia" w:ascii="仿宋" w:hAnsi="仿宋" w:eastAsia="仿宋" w:cs="仿宋"/>
          <w:sz w:val="24"/>
          <w:szCs w:val="24"/>
          <w:highlight w:val="none"/>
        </w:rPr>
        <w:t>（2）出现影响采购公正的违法、违规行为的；</w:t>
      </w:r>
    </w:p>
    <w:p w14:paraId="584BFF93">
      <w:pPr>
        <w:spacing w:line="340" w:lineRule="exact"/>
        <w:ind w:firstLine="840" w:firstLineChars="350"/>
        <w:rPr>
          <w:rFonts w:hint="eastAsia" w:ascii="仿宋" w:hAnsi="仿宋" w:eastAsia="仿宋" w:cs="仿宋"/>
          <w:sz w:val="24"/>
          <w:szCs w:val="24"/>
          <w:highlight w:val="none"/>
        </w:rPr>
      </w:pPr>
      <w:r>
        <w:rPr>
          <w:rFonts w:hint="eastAsia" w:ascii="仿宋" w:hAnsi="仿宋" w:eastAsia="仿宋" w:cs="仿宋"/>
          <w:sz w:val="24"/>
          <w:szCs w:val="24"/>
          <w:highlight w:val="none"/>
        </w:rPr>
        <w:t>（3）供应商的报价均超过了采购预算，采购人不能支付的；</w:t>
      </w:r>
    </w:p>
    <w:p w14:paraId="14362B9C">
      <w:pPr>
        <w:spacing w:line="340" w:lineRule="exact"/>
        <w:ind w:firstLine="840" w:firstLineChars="35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（4）因重大变故，采购任务取消的。   </w:t>
      </w:r>
    </w:p>
    <w:p w14:paraId="4F74930B">
      <w:pPr>
        <w:pStyle w:val="5"/>
        <w:spacing w:before="0" w:after="0" w:line="340" w:lineRule="exact"/>
        <w:rPr>
          <w:rFonts w:hint="eastAsia" w:ascii="仿宋" w:hAnsi="仿宋" w:eastAsia="仿宋" w:cs="仿宋"/>
          <w:sz w:val="24"/>
          <w:szCs w:val="24"/>
          <w:highlight w:val="none"/>
          <w:u w:val="none"/>
        </w:rPr>
      </w:pPr>
      <w:bookmarkStart w:id="152" w:name="_Toc6910"/>
      <w:bookmarkStart w:id="153" w:name="_Toc518923090"/>
      <w:bookmarkStart w:id="154" w:name="_Toc25690"/>
      <w:bookmarkStart w:id="155" w:name="_Toc520356169"/>
      <w:r>
        <w:rPr>
          <w:rFonts w:hint="eastAsia" w:ascii="仿宋" w:hAnsi="仿宋" w:eastAsia="仿宋" w:cs="仿宋"/>
          <w:sz w:val="24"/>
          <w:szCs w:val="24"/>
          <w:highlight w:val="none"/>
          <w:u w:val="none"/>
        </w:rPr>
        <w:t>25.保密原则</w:t>
      </w:r>
      <w:bookmarkEnd w:id="152"/>
      <w:bookmarkEnd w:id="153"/>
      <w:bookmarkEnd w:id="154"/>
    </w:p>
    <w:p w14:paraId="33402E9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25.1</w:t>
      </w:r>
      <w:r>
        <w:rPr>
          <w:rFonts w:hint="eastAsia" w:ascii="仿宋" w:hAnsi="仿宋" w:eastAsia="仿宋" w:cs="仿宋"/>
          <w:sz w:val="24"/>
          <w:szCs w:val="24"/>
          <w:highlight w:val="none"/>
        </w:rPr>
        <w:tab/>
      </w:r>
      <w:r>
        <w:rPr>
          <w:rFonts w:hint="eastAsia" w:ascii="仿宋" w:hAnsi="仿宋" w:eastAsia="仿宋" w:cs="仿宋"/>
          <w:sz w:val="24"/>
          <w:szCs w:val="24"/>
          <w:highlight w:val="none"/>
        </w:rPr>
        <w:t>评标将在严格保密的情况下进行。</w:t>
      </w:r>
    </w:p>
    <w:p w14:paraId="5D21772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25.2</w:t>
      </w:r>
      <w:r>
        <w:rPr>
          <w:rFonts w:hint="eastAsia" w:ascii="仿宋" w:hAnsi="仿宋" w:eastAsia="仿宋" w:cs="仿宋"/>
          <w:sz w:val="24"/>
          <w:szCs w:val="24"/>
          <w:highlight w:val="none"/>
        </w:rPr>
        <w:tab/>
      </w:r>
      <w:r>
        <w:rPr>
          <w:rFonts w:hint="eastAsia" w:ascii="仿宋" w:hAnsi="仿宋" w:eastAsia="仿宋" w:cs="仿宋"/>
          <w:sz w:val="24"/>
          <w:szCs w:val="24"/>
          <w:highlight w:val="none"/>
        </w:rPr>
        <w:t>政府采购评审专家应当遵守评审工作纪律，不得泄露评审文件、评审情况和评审中获悉的商业秘密。</w:t>
      </w:r>
    </w:p>
    <w:p w14:paraId="761A1D92">
      <w:pPr>
        <w:pStyle w:val="4"/>
        <w:tabs>
          <w:tab w:val="left" w:pos="900"/>
        </w:tabs>
        <w:spacing w:before="0" w:line="340" w:lineRule="exact"/>
        <w:ind w:left="1080" w:leftChars="257" w:hanging="540"/>
        <w:rPr>
          <w:rFonts w:hint="eastAsia" w:ascii="仿宋" w:hAnsi="仿宋" w:eastAsia="仿宋" w:cs="仿宋"/>
          <w:sz w:val="24"/>
          <w:szCs w:val="24"/>
          <w:highlight w:val="none"/>
        </w:rPr>
      </w:pPr>
      <w:bookmarkStart w:id="156" w:name="_Toc216582810"/>
      <w:bookmarkStart w:id="157" w:name="_Toc518923091"/>
      <w:bookmarkStart w:id="158" w:name="_Toc4880"/>
      <w:bookmarkStart w:id="159" w:name="_Toc23897"/>
      <w:r>
        <w:rPr>
          <w:rFonts w:hint="eastAsia" w:ascii="仿宋" w:hAnsi="仿宋" w:eastAsia="仿宋" w:cs="仿宋"/>
          <w:sz w:val="24"/>
          <w:szCs w:val="24"/>
          <w:highlight w:val="none"/>
        </w:rPr>
        <w:t xml:space="preserve">六   </w:t>
      </w:r>
      <w:bookmarkEnd w:id="155"/>
      <w:r>
        <w:rPr>
          <w:rFonts w:hint="eastAsia" w:ascii="仿宋" w:hAnsi="仿宋" w:eastAsia="仿宋" w:cs="仿宋"/>
          <w:sz w:val="24"/>
          <w:szCs w:val="24"/>
          <w:highlight w:val="none"/>
        </w:rPr>
        <w:t>确定中标</w:t>
      </w:r>
      <w:bookmarkEnd w:id="156"/>
      <w:bookmarkEnd w:id="157"/>
      <w:bookmarkEnd w:id="158"/>
      <w:bookmarkEnd w:id="159"/>
    </w:p>
    <w:p w14:paraId="439E56A0">
      <w:pPr>
        <w:pStyle w:val="5"/>
        <w:spacing w:before="0" w:after="0" w:line="340" w:lineRule="exact"/>
        <w:rPr>
          <w:rFonts w:hint="eastAsia" w:ascii="仿宋" w:hAnsi="仿宋" w:eastAsia="仿宋" w:cs="仿宋"/>
          <w:sz w:val="24"/>
          <w:szCs w:val="24"/>
          <w:highlight w:val="none"/>
          <w:u w:val="none"/>
        </w:rPr>
      </w:pPr>
      <w:bookmarkStart w:id="160" w:name="_Toc2536"/>
      <w:bookmarkStart w:id="161" w:name="_Toc518923092"/>
      <w:bookmarkStart w:id="162" w:name="_Ref467307010"/>
      <w:bookmarkStart w:id="163" w:name="_Toc28250"/>
      <w:bookmarkStart w:id="164" w:name="_Toc520356170"/>
      <w:r>
        <w:rPr>
          <w:rFonts w:hint="eastAsia" w:ascii="仿宋" w:hAnsi="仿宋" w:eastAsia="仿宋" w:cs="仿宋"/>
          <w:sz w:val="24"/>
          <w:szCs w:val="24"/>
          <w:highlight w:val="none"/>
          <w:u w:val="none"/>
        </w:rPr>
        <w:t>26.中标候选人的确定原则及标准</w:t>
      </w:r>
      <w:bookmarkEnd w:id="160"/>
      <w:bookmarkEnd w:id="161"/>
      <w:bookmarkEnd w:id="162"/>
      <w:bookmarkEnd w:id="163"/>
      <w:bookmarkEnd w:id="164"/>
    </w:p>
    <w:p w14:paraId="4152CE62">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ab/>
      </w:r>
      <w:r>
        <w:rPr>
          <w:rFonts w:hint="eastAsia" w:ascii="仿宋" w:hAnsi="仿宋" w:eastAsia="仿宋" w:cs="仿宋"/>
          <w:sz w:val="24"/>
          <w:szCs w:val="24"/>
          <w:highlight w:val="none"/>
        </w:rPr>
        <w:t>除第28条规定外，对实质上响应磋商文件的供应商按下列方法进行排序，确定中标候选人：</w:t>
      </w:r>
    </w:p>
    <w:p w14:paraId="681A07BE">
      <w:pPr>
        <w:spacing w:line="340" w:lineRule="exact"/>
        <w:ind w:left="958" w:leftChars="456"/>
        <w:rPr>
          <w:rFonts w:hint="eastAsia" w:ascii="仿宋" w:hAnsi="仿宋" w:eastAsia="仿宋" w:cs="仿宋"/>
          <w:sz w:val="24"/>
          <w:szCs w:val="24"/>
          <w:highlight w:val="none"/>
        </w:rPr>
      </w:pPr>
      <w:r>
        <w:rPr>
          <w:rFonts w:hint="eastAsia" w:ascii="仿宋" w:hAnsi="仿宋" w:eastAsia="仿宋" w:cs="仿宋"/>
          <w:sz w:val="24"/>
          <w:szCs w:val="24"/>
          <w:highlight w:val="none"/>
        </w:rPr>
        <w:t>（1)采用最低评标价法的，除了算术修正和落实政府采购政策需进行的价格扣除外，不对供应商的投标价格进行任何调整。评标结果按修正和扣除后的投标报价由低到高顺序排列。报价相同的处理方式详见磋商文件第6章。</w:t>
      </w:r>
    </w:p>
    <w:p w14:paraId="48AA34B6">
      <w:pPr>
        <w:spacing w:line="340" w:lineRule="exact"/>
        <w:ind w:left="958" w:leftChars="456"/>
        <w:rPr>
          <w:rFonts w:hint="eastAsia" w:ascii="仿宋" w:hAnsi="仿宋" w:eastAsia="仿宋" w:cs="仿宋"/>
          <w:sz w:val="24"/>
          <w:szCs w:val="24"/>
          <w:highlight w:val="none"/>
        </w:rPr>
      </w:pPr>
      <w:r>
        <w:rPr>
          <w:rFonts w:hint="eastAsia" w:ascii="仿宋" w:hAnsi="仿宋" w:eastAsia="仿宋" w:cs="仿宋"/>
          <w:sz w:val="24"/>
          <w:szCs w:val="24"/>
          <w:highlight w:val="none"/>
        </w:rPr>
        <w:t>（2）采用综合评分法的，评标结果按评审后得分由高到低顺序排列。得分相同的，按修正和扣除后的投标报价由低到高顺序排列。得分与投标报价均相同的处理方式详见磋商文件第6章。</w:t>
      </w:r>
    </w:p>
    <w:p w14:paraId="18D96F1E">
      <w:pPr>
        <w:spacing w:line="340" w:lineRule="exact"/>
        <w:ind w:left="958" w:leftChars="456" w:firstLine="60" w:firstLineChars="25"/>
        <w:rPr>
          <w:rFonts w:hint="eastAsia" w:ascii="仿宋" w:hAnsi="仿宋" w:eastAsia="仿宋" w:cs="仿宋"/>
          <w:sz w:val="24"/>
          <w:szCs w:val="24"/>
          <w:highlight w:val="none"/>
        </w:rPr>
      </w:pPr>
      <w:r>
        <w:rPr>
          <w:rFonts w:hint="eastAsia" w:ascii="仿宋" w:hAnsi="仿宋" w:eastAsia="仿宋" w:cs="仿宋"/>
          <w:sz w:val="24"/>
          <w:szCs w:val="24"/>
          <w:highlight w:val="none"/>
        </w:rPr>
        <w:t>（3）采用竞争性磋商的，本次评定的标准和方法采用综合评分法。在满足磋商文件所要求的必要合格条件的前提下，经磋商确定最终磋商需求和提交最后报价的供应商后，由磋商小组采用综合评分法对提交最后报价的供应商的响应文件和最后报价进行综合评分，按照评审得分由高到低顺序推荐3名以上（《财政部关于政府采购竞争性磋商采购方式管理暂行办法有关问题的补充通知》规定的情形除外）成交候选供应商，评审得分且最后报价相同的，按照技术指标优劣顺序推荐处理方式详见磋商文件第6章。</w:t>
      </w:r>
    </w:p>
    <w:p w14:paraId="5831A31C">
      <w:pPr>
        <w:pStyle w:val="5"/>
        <w:spacing w:before="0" w:after="0" w:line="340" w:lineRule="exact"/>
        <w:rPr>
          <w:rFonts w:hint="eastAsia" w:ascii="仿宋" w:hAnsi="仿宋" w:eastAsia="仿宋" w:cs="仿宋"/>
          <w:sz w:val="24"/>
          <w:szCs w:val="24"/>
          <w:highlight w:val="none"/>
          <w:u w:val="none"/>
        </w:rPr>
      </w:pPr>
      <w:bookmarkStart w:id="165" w:name="_Toc520356171"/>
      <w:bookmarkStart w:id="166" w:name="_Toc10662"/>
      <w:bookmarkStart w:id="167" w:name="_Toc8005"/>
      <w:bookmarkStart w:id="168" w:name="_Toc518923093"/>
      <w:r>
        <w:rPr>
          <w:rFonts w:hint="eastAsia" w:ascii="仿宋" w:hAnsi="仿宋" w:eastAsia="仿宋" w:cs="仿宋"/>
          <w:sz w:val="24"/>
          <w:szCs w:val="24"/>
          <w:highlight w:val="none"/>
          <w:u w:val="none"/>
        </w:rPr>
        <w:t>27</w:t>
      </w:r>
      <w:bookmarkEnd w:id="165"/>
      <w:r>
        <w:rPr>
          <w:rFonts w:hint="eastAsia" w:ascii="仿宋" w:hAnsi="仿宋" w:eastAsia="仿宋" w:cs="仿宋"/>
          <w:sz w:val="24"/>
          <w:szCs w:val="24"/>
          <w:highlight w:val="none"/>
          <w:u w:val="none"/>
        </w:rPr>
        <w:t>.确定中标候选人和中标人</w:t>
      </w:r>
      <w:bookmarkEnd w:id="166"/>
      <w:bookmarkEnd w:id="167"/>
      <w:bookmarkEnd w:id="168"/>
    </w:p>
    <w:p w14:paraId="6E7E0DF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ab/>
      </w:r>
      <w:r>
        <w:rPr>
          <w:rFonts w:hint="eastAsia" w:ascii="仿宋" w:hAnsi="仿宋" w:eastAsia="仿宋" w:cs="仿宋"/>
          <w:sz w:val="24"/>
          <w:szCs w:val="24"/>
          <w:highlight w:val="none"/>
        </w:rPr>
        <w:t>评标委员会将根据评标标准，按</w:t>
      </w:r>
      <w:r>
        <w:rPr>
          <w:rFonts w:hint="eastAsia" w:ascii="仿宋" w:hAnsi="仿宋" w:eastAsia="仿宋" w:cs="仿宋"/>
          <w:sz w:val="24"/>
          <w:szCs w:val="24"/>
          <w:highlight w:val="none"/>
          <w:u w:val="single"/>
        </w:rPr>
        <w:t>供应商须知资料表中</w:t>
      </w:r>
      <w:r>
        <w:rPr>
          <w:rFonts w:hint="eastAsia" w:ascii="仿宋" w:hAnsi="仿宋" w:eastAsia="仿宋" w:cs="仿宋"/>
          <w:sz w:val="24"/>
          <w:szCs w:val="24"/>
          <w:highlight w:val="none"/>
        </w:rPr>
        <w:t>规定数量推荐中标候选人；或根据采购人的委托，直接确定中标人。</w:t>
      </w:r>
    </w:p>
    <w:p w14:paraId="36ED919D">
      <w:pPr>
        <w:pStyle w:val="5"/>
        <w:tabs>
          <w:tab w:val="left" w:pos="900"/>
        </w:tabs>
        <w:spacing w:before="0" w:after="0" w:line="340" w:lineRule="exact"/>
        <w:rPr>
          <w:rFonts w:hint="eastAsia" w:ascii="仿宋" w:hAnsi="仿宋" w:eastAsia="仿宋" w:cs="仿宋"/>
          <w:sz w:val="24"/>
          <w:szCs w:val="24"/>
          <w:highlight w:val="none"/>
          <w:u w:val="none"/>
        </w:rPr>
      </w:pPr>
      <w:bookmarkStart w:id="169" w:name="_Ref467306874"/>
      <w:bookmarkStart w:id="170" w:name="_Toc520356173"/>
      <w:bookmarkStart w:id="171" w:name="_Toc10495"/>
      <w:bookmarkStart w:id="172" w:name="_Toc518923094"/>
      <w:bookmarkStart w:id="173" w:name="_Toc2358"/>
      <w:r>
        <w:rPr>
          <w:rFonts w:hint="eastAsia" w:ascii="仿宋" w:hAnsi="仿宋" w:eastAsia="仿宋" w:cs="仿宋"/>
          <w:sz w:val="24"/>
          <w:szCs w:val="24"/>
          <w:highlight w:val="none"/>
          <w:u w:val="none"/>
        </w:rPr>
        <w:t>28</w:t>
      </w:r>
      <w:bookmarkEnd w:id="169"/>
      <w:bookmarkEnd w:id="170"/>
      <w:r>
        <w:rPr>
          <w:rFonts w:hint="eastAsia" w:ascii="仿宋" w:hAnsi="仿宋" w:eastAsia="仿宋" w:cs="仿宋"/>
          <w:sz w:val="24"/>
          <w:szCs w:val="24"/>
          <w:highlight w:val="none"/>
          <w:u w:val="none"/>
        </w:rPr>
        <w:t>.采购任务取消</w:t>
      </w:r>
      <w:bookmarkEnd w:id="171"/>
      <w:bookmarkEnd w:id="172"/>
      <w:bookmarkEnd w:id="173"/>
    </w:p>
    <w:p w14:paraId="25C46EE6">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ab/>
      </w:r>
      <w:r>
        <w:rPr>
          <w:rFonts w:hint="eastAsia" w:ascii="仿宋" w:hAnsi="仿宋" w:eastAsia="仿宋" w:cs="仿宋"/>
          <w:sz w:val="24"/>
          <w:szCs w:val="24"/>
          <w:highlight w:val="none"/>
        </w:rPr>
        <w:t>因重大变故采购任务取消时，采购人有权拒绝任何供应商中标，且对受影响的供应商不承担任何责任。</w:t>
      </w:r>
      <w:bookmarkStart w:id="174" w:name="_Toc520356174"/>
    </w:p>
    <w:p w14:paraId="0369352C">
      <w:pPr>
        <w:pStyle w:val="5"/>
        <w:spacing w:before="0" w:after="0" w:line="340" w:lineRule="exact"/>
        <w:rPr>
          <w:rFonts w:hint="eastAsia" w:ascii="仿宋" w:hAnsi="仿宋" w:eastAsia="仿宋" w:cs="仿宋"/>
          <w:sz w:val="24"/>
          <w:szCs w:val="24"/>
          <w:highlight w:val="none"/>
          <w:u w:val="none"/>
        </w:rPr>
      </w:pPr>
      <w:bookmarkStart w:id="175" w:name="_Toc518923095"/>
      <w:bookmarkStart w:id="176" w:name="_Toc7563"/>
      <w:bookmarkStart w:id="177" w:name="_Toc2907"/>
      <w:r>
        <w:rPr>
          <w:rFonts w:hint="eastAsia" w:ascii="仿宋" w:hAnsi="仿宋" w:eastAsia="仿宋" w:cs="仿宋"/>
          <w:sz w:val="24"/>
          <w:szCs w:val="24"/>
          <w:highlight w:val="none"/>
          <w:u w:val="none"/>
        </w:rPr>
        <w:t>29.中标通知书</w:t>
      </w:r>
      <w:bookmarkEnd w:id="174"/>
      <w:r>
        <w:rPr>
          <w:rFonts w:hint="eastAsia" w:ascii="仿宋" w:hAnsi="仿宋" w:eastAsia="仿宋" w:cs="仿宋"/>
          <w:sz w:val="24"/>
          <w:szCs w:val="24"/>
          <w:highlight w:val="none"/>
          <w:u w:val="none"/>
        </w:rPr>
        <w:t>和招标结果通知书</w:t>
      </w:r>
      <w:bookmarkEnd w:id="175"/>
      <w:bookmarkEnd w:id="176"/>
      <w:bookmarkEnd w:id="177"/>
    </w:p>
    <w:p w14:paraId="4AFABEE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29.1</w:t>
      </w:r>
      <w:r>
        <w:rPr>
          <w:rFonts w:hint="eastAsia" w:ascii="仿宋" w:hAnsi="仿宋" w:eastAsia="仿宋" w:cs="仿宋"/>
          <w:sz w:val="24"/>
          <w:szCs w:val="24"/>
          <w:highlight w:val="none"/>
        </w:rPr>
        <w:tab/>
      </w:r>
      <w:r>
        <w:rPr>
          <w:rFonts w:hint="eastAsia" w:ascii="仿宋" w:hAnsi="仿宋" w:eastAsia="仿宋" w:cs="仿宋"/>
          <w:sz w:val="24"/>
          <w:szCs w:val="24"/>
          <w:highlight w:val="none"/>
        </w:rPr>
        <w:t>在投标有效期内，中标人确定后，采购人或者采购代理机构发布中标公告，同时以书面形式向中标人发出中标通知书；</w:t>
      </w:r>
    </w:p>
    <w:p w14:paraId="3DFAA19B">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29.2</w:t>
      </w:r>
      <w:r>
        <w:rPr>
          <w:rFonts w:hint="eastAsia" w:ascii="仿宋" w:hAnsi="仿宋" w:eastAsia="仿宋" w:cs="仿宋"/>
          <w:sz w:val="24"/>
          <w:szCs w:val="24"/>
          <w:highlight w:val="none"/>
        </w:rPr>
        <w:tab/>
      </w:r>
      <w:r>
        <w:rPr>
          <w:rFonts w:hint="eastAsia" w:ascii="仿宋" w:hAnsi="仿宋" w:eastAsia="仿宋" w:cs="仿宋"/>
          <w:sz w:val="24"/>
          <w:szCs w:val="24"/>
          <w:highlight w:val="none"/>
        </w:rPr>
        <w:t>中标通知书是合同的组成部分；</w:t>
      </w:r>
    </w:p>
    <w:p w14:paraId="3A90EEE5">
      <w:pPr>
        <w:pStyle w:val="5"/>
        <w:spacing w:before="0" w:after="0" w:line="340" w:lineRule="exact"/>
        <w:rPr>
          <w:rFonts w:hint="eastAsia" w:ascii="仿宋" w:hAnsi="仿宋" w:eastAsia="仿宋" w:cs="仿宋"/>
          <w:sz w:val="24"/>
          <w:szCs w:val="24"/>
          <w:highlight w:val="none"/>
          <w:u w:val="none"/>
        </w:rPr>
      </w:pPr>
      <w:bookmarkStart w:id="178" w:name="_Toc25308"/>
      <w:bookmarkStart w:id="179" w:name="_Ref467306377"/>
      <w:bookmarkStart w:id="180" w:name="_Toc520356175"/>
      <w:bookmarkStart w:id="181" w:name="_Ref467306978"/>
      <w:bookmarkStart w:id="182" w:name="_Ref467307062"/>
      <w:bookmarkStart w:id="183" w:name="_Ref467307204"/>
      <w:bookmarkStart w:id="184" w:name="_Toc32042"/>
      <w:bookmarkStart w:id="185" w:name="_Toc518923096"/>
      <w:r>
        <w:rPr>
          <w:rFonts w:hint="eastAsia" w:ascii="仿宋" w:hAnsi="仿宋" w:eastAsia="仿宋" w:cs="仿宋"/>
          <w:sz w:val="24"/>
          <w:szCs w:val="24"/>
          <w:highlight w:val="none"/>
          <w:u w:val="none"/>
        </w:rPr>
        <w:t>30.签订合同</w:t>
      </w:r>
      <w:bookmarkEnd w:id="178"/>
      <w:bookmarkEnd w:id="179"/>
      <w:bookmarkEnd w:id="180"/>
      <w:bookmarkEnd w:id="181"/>
      <w:bookmarkEnd w:id="182"/>
      <w:bookmarkEnd w:id="183"/>
      <w:bookmarkEnd w:id="184"/>
      <w:bookmarkEnd w:id="185"/>
    </w:p>
    <w:p w14:paraId="13781FBE">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30.1</w:t>
      </w:r>
      <w:r>
        <w:rPr>
          <w:rFonts w:hint="eastAsia" w:ascii="仿宋" w:hAnsi="仿宋" w:eastAsia="仿宋" w:cs="仿宋"/>
          <w:sz w:val="24"/>
          <w:szCs w:val="24"/>
          <w:highlight w:val="none"/>
        </w:rPr>
        <w:tab/>
      </w:r>
      <w:r>
        <w:rPr>
          <w:rFonts w:hint="eastAsia" w:ascii="仿宋" w:hAnsi="仿宋" w:eastAsia="仿宋" w:cs="仿宋"/>
          <w:sz w:val="24"/>
          <w:szCs w:val="24"/>
          <w:highlight w:val="none"/>
        </w:rPr>
        <w:t>中标人应当自发出中标通知书之日起30日内，与采购人签订合同。</w:t>
      </w:r>
    </w:p>
    <w:p w14:paraId="7BC4CB2E">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30.2</w:t>
      </w:r>
      <w:r>
        <w:rPr>
          <w:rFonts w:hint="eastAsia" w:ascii="仿宋" w:hAnsi="仿宋" w:eastAsia="仿宋" w:cs="仿宋"/>
          <w:sz w:val="24"/>
          <w:szCs w:val="24"/>
          <w:highlight w:val="none"/>
        </w:rPr>
        <w:tab/>
      </w:r>
      <w:bookmarkStart w:id="186" w:name="_Toc520356176"/>
      <w:bookmarkStart w:id="187" w:name="_Ref467307090"/>
      <w:bookmarkStart w:id="188" w:name="_Ref467306425"/>
      <w:r>
        <w:rPr>
          <w:rFonts w:hint="eastAsia" w:ascii="仿宋" w:hAnsi="仿宋" w:eastAsia="仿宋" w:cs="仿宋"/>
          <w:sz w:val="24"/>
          <w:szCs w:val="24"/>
          <w:highlight w:val="none"/>
        </w:rPr>
        <w:t>磋商文件、中标人的响应文件及其澄清文件等，均为签订合同的依据。</w:t>
      </w:r>
    </w:p>
    <w:p w14:paraId="27CC852E">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30.3   中标人拒绝与采购人签订合同的，采购人可以按照评审报告推荐的中标候选人名单排序，确定下一中标候选人为中标人，也可以重新开展政府采购活动。</w:t>
      </w:r>
    </w:p>
    <w:p w14:paraId="66ED842A">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30.4   当出现法规规定的</w:t>
      </w:r>
      <w:r>
        <w:rPr>
          <w:rFonts w:hint="eastAsia" w:ascii="仿宋" w:hAnsi="仿宋" w:eastAsia="仿宋" w:cs="仿宋"/>
          <w:b/>
          <w:sz w:val="24"/>
          <w:szCs w:val="24"/>
          <w:highlight w:val="none"/>
        </w:rPr>
        <w:t>中标无效或中标结果无效</w:t>
      </w:r>
      <w:r>
        <w:rPr>
          <w:rFonts w:hint="eastAsia" w:ascii="仿宋" w:hAnsi="仿宋" w:eastAsia="仿宋" w:cs="仿宋"/>
          <w:sz w:val="24"/>
          <w:szCs w:val="24"/>
          <w:highlight w:val="none"/>
        </w:rPr>
        <w:t>情形时，采购人可与排名下一位的中标候选人另行签订合同，或依法重新开展采购活动。</w:t>
      </w:r>
    </w:p>
    <w:p w14:paraId="02251702">
      <w:pPr>
        <w:pStyle w:val="5"/>
        <w:spacing w:before="0" w:after="0" w:line="340" w:lineRule="exact"/>
        <w:rPr>
          <w:rFonts w:hint="eastAsia" w:ascii="仿宋" w:hAnsi="仿宋" w:eastAsia="仿宋" w:cs="仿宋"/>
          <w:sz w:val="24"/>
          <w:szCs w:val="24"/>
          <w:highlight w:val="none"/>
          <w:u w:val="none"/>
        </w:rPr>
      </w:pPr>
      <w:bookmarkStart w:id="189" w:name="_Toc16698"/>
      <w:bookmarkStart w:id="190" w:name="_Toc518923097"/>
      <w:bookmarkStart w:id="191" w:name="_Toc3893"/>
      <w:r>
        <w:rPr>
          <w:rFonts w:hint="eastAsia" w:ascii="仿宋" w:hAnsi="仿宋" w:eastAsia="仿宋" w:cs="仿宋"/>
          <w:sz w:val="24"/>
          <w:szCs w:val="24"/>
          <w:highlight w:val="none"/>
          <w:u w:val="none"/>
        </w:rPr>
        <w:t>31.履约保证金</w:t>
      </w:r>
      <w:bookmarkEnd w:id="186"/>
      <w:bookmarkEnd w:id="187"/>
      <w:bookmarkEnd w:id="188"/>
      <w:bookmarkEnd w:id="189"/>
      <w:bookmarkEnd w:id="190"/>
      <w:bookmarkEnd w:id="191"/>
    </w:p>
    <w:p w14:paraId="2B62803E">
      <w:pPr>
        <w:spacing w:line="288" w:lineRule="auto"/>
        <w:ind w:left="900" w:hanging="900" w:hangingChars="375"/>
        <w:rPr>
          <w:rFonts w:hint="eastAsia" w:ascii="仿宋" w:hAnsi="仿宋" w:eastAsia="仿宋" w:cs="仿宋"/>
          <w:sz w:val="24"/>
          <w:szCs w:val="24"/>
          <w:highlight w:val="none"/>
        </w:rPr>
      </w:pPr>
      <w:bookmarkStart w:id="192" w:name="_Toc518923099"/>
      <w:r>
        <w:rPr>
          <w:rFonts w:hint="eastAsia" w:ascii="仿宋" w:hAnsi="仿宋" w:eastAsia="仿宋" w:cs="仿宋"/>
          <w:sz w:val="24"/>
          <w:szCs w:val="24"/>
          <w:highlight w:val="none"/>
        </w:rPr>
        <w:t>31.1</w:t>
      </w:r>
      <w:r>
        <w:rPr>
          <w:rFonts w:hint="eastAsia" w:ascii="仿宋" w:hAnsi="仿宋" w:eastAsia="仿宋" w:cs="仿宋"/>
          <w:sz w:val="24"/>
          <w:szCs w:val="24"/>
          <w:highlight w:val="none"/>
        </w:rPr>
        <w:tab/>
      </w:r>
      <w:r>
        <w:rPr>
          <w:rFonts w:hint="eastAsia" w:ascii="仿宋" w:hAnsi="仿宋" w:eastAsia="仿宋" w:cs="仿宋"/>
          <w:sz w:val="24"/>
          <w:szCs w:val="24"/>
          <w:highlight w:val="none"/>
        </w:rPr>
        <w:t>中标人应按照</w:t>
      </w:r>
      <w:r>
        <w:rPr>
          <w:rFonts w:hint="eastAsia" w:ascii="仿宋" w:hAnsi="仿宋" w:eastAsia="仿宋" w:cs="仿宋"/>
          <w:sz w:val="24"/>
          <w:szCs w:val="24"/>
          <w:highlight w:val="none"/>
          <w:u w:val="single"/>
        </w:rPr>
        <w:t>供应商须知资料表</w:t>
      </w:r>
      <w:r>
        <w:rPr>
          <w:rFonts w:hint="eastAsia" w:ascii="仿宋" w:hAnsi="仿宋" w:eastAsia="仿宋" w:cs="仿宋"/>
          <w:sz w:val="24"/>
          <w:szCs w:val="24"/>
          <w:highlight w:val="none"/>
        </w:rPr>
        <w:t>规定向采购人缴纳履约保证金。</w:t>
      </w:r>
    </w:p>
    <w:p w14:paraId="5A9310A0">
      <w:pPr>
        <w:spacing w:line="340" w:lineRule="exact"/>
        <w:ind w:left="960" w:hanging="960" w:hangingChars="400"/>
        <w:rPr>
          <w:rFonts w:hint="eastAsia" w:ascii="仿宋" w:hAnsi="仿宋" w:eastAsia="仿宋" w:cs="仿宋"/>
          <w:sz w:val="24"/>
          <w:szCs w:val="24"/>
          <w:highlight w:val="none"/>
        </w:rPr>
      </w:pPr>
      <w:r>
        <w:rPr>
          <w:rFonts w:hint="eastAsia" w:ascii="仿宋" w:hAnsi="仿宋" w:eastAsia="仿宋" w:cs="仿宋"/>
          <w:sz w:val="24"/>
          <w:szCs w:val="24"/>
          <w:highlight w:val="none"/>
        </w:rPr>
        <w:t>31.2    如果中标人没有按照上述履约保证金的规定执行，将视为放弃中标资格，中标人的投标保证金将不予退还。在此情况下，采购人可确定下一候选人为中标人，也可以重新开展采购活动。</w:t>
      </w:r>
    </w:p>
    <w:p w14:paraId="413E8C7E">
      <w:pPr>
        <w:pStyle w:val="5"/>
        <w:spacing w:before="0" w:after="0" w:line="340" w:lineRule="exact"/>
        <w:rPr>
          <w:rFonts w:hint="eastAsia" w:ascii="仿宋" w:hAnsi="仿宋" w:eastAsia="仿宋" w:cs="仿宋"/>
          <w:sz w:val="24"/>
          <w:szCs w:val="24"/>
          <w:highlight w:val="none"/>
          <w:u w:val="none"/>
        </w:rPr>
      </w:pPr>
      <w:bookmarkStart w:id="193" w:name="_Toc19530"/>
      <w:bookmarkStart w:id="194" w:name="_Toc15216"/>
      <w:r>
        <w:rPr>
          <w:rFonts w:hint="eastAsia" w:ascii="仿宋" w:hAnsi="仿宋" w:eastAsia="仿宋" w:cs="仿宋"/>
          <w:sz w:val="24"/>
          <w:szCs w:val="24"/>
          <w:highlight w:val="none"/>
          <w:u w:val="none"/>
        </w:rPr>
        <w:t>33.政府采购信用担保</w:t>
      </w:r>
      <w:bookmarkEnd w:id="192"/>
      <w:bookmarkEnd w:id="193"/>
      <w:bookmarkEnd w:id="194"/>
    </w:p>
    <w:p w14:paraId="4000B100">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33.1   本项目是否属于信用担保试点范围见</w:t>
      </w:r>
      <w:r>
        <w:rPr>
          <w:rFonts w:hint="eastAsia" w:ascii="仿宋" w:hAnsi="仿宋" w:eastAsia="仿宋" w:cs="仿宋"/>
          <w:sz w:val="24"/>
          <w:szCs w:val="24"/>
          <w:highlight w:val="none"/>
          <w:u w:val="single"/>
        </w:rPr>
        <w:t>供应商须知资料表</w:t>
      </w:r>
      <w:r>
        <w:rPr>
          <w:rFonts w:hint="eastAsia" w:ascii="仿宋" w:hAnsi="仿宋" w:eastAsia="仿宋" w:cs="仿宋"/>
          <w:sz w:val="24"/>
          <w:szCs w:val="24"/>
          <w:highlight w:val="none"/>
        </w:rPr>
        <w:t>。</w:t>
      </w:r>
    </w:p>
    <w:p w14:paraId="5C895494">
      <w:pPr>
        <w:spacing w:line="340" w:lineRule="exact"/>
        <w:ind w:left="850" w:hanging="849" w:hangingChars="354"/>
        <w:rPr>
          <w:rFonts w:hint="eastAsia" w:ascii="仿宋" w:hAnsi="仿宋" w:eastAsia="仿宋" w:cs="仿宋"/>
          <w:sz w:val="24"/>
          <w:szCs w:val="24"/>
          <w:highlight w:val="none"/>
        </w:rPr>
      </w:pPr>
      <w:r>
        <w:rPr>
          <w:rFonts w:hint="eastAsia" w:ascii="仿宋" w:hAnsi="仿宋" w:eastAsia="仿宋" w:cs="仿宋"/>
          <w:sz w:val="24"/>
          <w:szCs w:val="24"/>
          <w:highlight w:val="none"/>
        </w:rPr>
        <w:t>33.2   如属于政府采购信用担保试点范围内，中小型企业供应商可以自由按照财政部门的规定，采用投标担保、履约担保和融资担保。</w:t>
      </w:r>
    </w:p>
    <w:p w14:paraId="031341C6">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33.2.1 供应商递交的投标担保函和履约担保函应符合本磋商文件的规定。</w:t>
      </w:r>
    </w:p>
    <w:p w14:paraId="4C0ACA1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33.2.2 中标人可以采取融资担保的形式为政府采购项目履约进行融资。</w:t>
      </w:r>
    </w:p>
    <w:p w14:paraId="69298892">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33.2.3 合格的政府采购专业信用担保机构见</w:t>
      </w:r>
      <w:r>
        <w:rPr>
          <w:rFonts w:hint="eastAsia" w:ascii="仿宋" w:hAnsi="仿宋" w:eastAsia="仿宋" w:cs="仿宋"/>
          <w:sz w:val="24"/>
          <w:szCs w:val="24"/>
          <w:highlight w:val="none"/>
          <w:u w:val="single"/>
        </w:rPr>
        <w:t>供应商须知资料表</w:t>
      </w:r>
      <w:r>
        <w:rPr>
          <w:rFonts w:hint="eastAsia" w:ascii="仿宋" w:hAnsi="仿宋" w:eastAsia="仿宋" w:cs="仿宋"/>
          <w:sz w:val="24"/>
          <w:szCs w:val="24"/>
          <w:highlight w:val="none"/>
        </w:rPr>
        <w:t>。</w:t>
      </w:r>
    </w:p>
    <w:p w14:paraId="3004DD65">
      <w:pPr>
        <w:pStyle w:val="5"/>
        <w:spacing w:before="0" w:after="0" w:line="340" w:lineRule="exact"/>
        <w:rPr>
          <w:rFonts w:hint="eastAsia" w:ascii="仿宋" w:hAnsi="仿宋" w:eastAsia="仿宋" w:cs="仿宋"/>
          <w:sz w:val="24"/>
          <w:szCs w:val="24"/>
          <w:highlight w:val="none"/>
          <w:u w:val="none"/>
        </w:rPr>
      </w:pPr>
      <w:bookmarkStart w:id="195" w:name="_Toc27033"/>
      <w:bookmarkStart w:id="196" w:name="_Toc271"/>
      <w:bookmarkStart w:id="197" w:name="_Toc518923100"/>
      <w:r>
        <w:rPr>
          <w:rFonts w:hint="eastAsia" w:ascii="仿宋" w:hAnsi="仿宋" w:eastAsia="仿宋" w:cs="仿宋"/>
          <w:sz w:val="24"/>
          <w:szCs w:val="24"/>
          <w:highlight w:val="none"/>
          <w:u w:val="none"/>
        </w:rPr>
        <w:t>34.廉洁自律规定</w:t>
      </w:r>
      <w:bookmarkEnd w:id="195"/>
      <w:bookmarkEnd w:id="196"/>
      <w:bookmarkEnd w:id="197"/>
    </w:p>
    <w:p w14:paraId="2D11568E">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34.1   采购代理机构工作人员不得以不正当手段获取政府采购代理业务，不得与采购人、供应商恶意串通操纵政府采购活动。</w:t>
      </w:r>
    </w:p>
    <w:p w14:paraId="42D83C1A">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34.2   采购代理机构工作人员不得接受采购人或者供应商组织的宴请、旅游、娱乐，不得收受礼品、现金、有价证券等，不得向采购人或者供应商报销应当由个人承担的费用。</w:t>
      </w:r>
    </w:p>
    <w:p w14:paraId="353AA4A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34.3   为强化采购代理机构内部监督机制，供应商可按</w:t>
      </w:r>
      <w:r>
        <w:rPr>
          <w:rFonts w:hint="eastAsia" w:ascii="仿宋" w:hAnsi="仿宋" w:eastAsia="仿宋" w:cs="仿宋"/>
          <w:sz w:val="24"/>
          <w:szCs w:val="24"/>
          <w:highlight w:val="none"/>
          <w:u w:val="single"/>
        </w:rPr>
        <w:t>供应商须知资料表中的</w:t>
      </w:r>
      <w:r>
        <w:rPr>
          <w:rFonts w:hint="eastAsia" w:ascii="仿宋" w:hAnsi="仿宋" w:eastAsia="仿宋" w:cs="仿宋"/>
          <w:sz w:val="24"/>
          <w:szCs w:val="24"/>
          <w:highlight w:val="none"/>
        </w:rPr>
        <w:t>监督电话和信箱，反映采购代理机构的廉洁自律等问题。</w:t>
      </w:r>
    </w:p>
    <w:p w14:paraId="7FD476BB">
      <w:pPr>
        <w:pStyle w:val="5"/>
        <w:spacing w:before="0" w:after="0" w:line="340" w:lineRule="exact"/>
        <w:rPr>
          <w:rFonts w:hint="eastAsia" w:ascii="仿宋" w:hAnsi="仿宋" w:eastAsia="仿宋" w:cs="仿宋"/>
          <w:sz w:val="24"/>
          <w:szCs w:val="24"/>
          <w:highlight w:val="none"/>
          <w:u w:val="none"/>
        </w:rPr>
      </w:pPr>
      <w:bookmarkStart w:id="198" w:name="_Toc18801"/>
      <w:bookmarkStart w:id="199" w:name="_Toc30429"/>
      <w:bookmarkStart w:id="200" w:name="_Toc518923101"/>
      <w:r>
        <w:rPr>
          <w:rFonts w:hint="eastAsia" w:ascii="仿宋" w:hAnsi="仿宋" w:eastAsia="仿宋" w:cs="仿宋"/>
          <w:sz w:val="24"/>
          <w:szCs w:val="24"/>
          <w:highlight w:val="none"/>
          <w:u w:val="none"/>
        </w:rPr>
        <w:t>35.人员回避</w:t>
      </w:r>
      <w:bookmarkEnd w:id="198"/>
      <w:bookmarkEnd w:id="199"/>
      <w:bookmarkEnd w:id="200"/>
    </w:p>
    <w:p w14:paraId="7618C66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供应商认为采购人员及其相关人员有法律法规所列与其他供应商有利害关系的，可以向采购人或采购代理机构书面提出回避申请，并说明理由。</w:t>
      </w:r>
    </w:p>
    <w:p w14:paraId="7754B623">
      <w:pPr>
        <w:pStyle w:val="5"/>
        <w:spacing w:before="0" w:after="0" w:line="340" w:lineRule="exact"/>
        <w:rPr>
          <w:rFonts w:hint="eastAsia" w:ascii="仿宋" w:hAnsi="仿宋" w:eastAsia="仿宋" w:cs="仿宋"/>
          <w:sz w:val="24"/>
          <w:szCs w:val="24"/>
          <w:highlight w:val="none"/>
          <w:u w:val="none"/>
        </w:rPr>
      </w:pPr>
      <w:bookmarkStart w:id="201" w:name="_Toc22309"/>
      <w:bookmarkStart w:id="202" w:name="_Toc8782"/>
      <w:r>
        <w:rPr>
          <w:rFonts w:hint="eastAsia" w:ascii="仿宋" w:hAnsi="仿宋" w:eastAsia="仿宋" w:cs="仿宋"/>
          <w:sz w:val="24"/>
          <w:szCs w:val="24"/>
          <w:highlight w:val="none"/>
          <w:u w:val="none"/>
        </w:rPr>
        <w:t>36.质疑与接收</w:t>
      </w:r>
      <w:bookmarkEnd w:id="201"/>
      <w:bookmarkEnd w:id="202"/>
    </w:p>
    <w:p w14:paraId="099F8AF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36.1    供应商认为磋商文件、磋商过程和成交结果使自己的权益受到损害的，可以根据《中华人民共和国政府采购法》、《中华人民共和国政府采购法实施条例》和《政府采购质疑和投诉办法》的有关规定，依法向采购人或其委托的采购代理机构提出质疑。</w:t>
      </w:r>
    </w:p>
    <w:p w14:paraId="5EFAAD2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44C932BA">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超出法定质疑期的、重复提出的、分次提出的或内容、形式不符合《政府采购质疑和投诉办法》的，质疑供应商将依法承担不利后果。</w:t>
      </w:r>
    </w:p>
    <w:p w14:paraId="6D90E11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36.3    采购代理机构质疑函接收部门、联系电话和通讯地址, 见供应商须知资料表。</w:t>
      </w:r>
    </w:p>
    <w:p w14:paraId="1FE73B0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36.4、质疑的提出</w:t>
      </w:r>
    </w:p>
    <w:p w14:paraId="352406BC">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36.5   本采购文件中所称质疑及答复，是指参加本次采购活动的供应商对政府采购活动中的采购文件、采购过程和成交结果向采购方提出质疑，采购方答复质疑的行为。</w:t>
      </w:r>
    </w:p>
    <w:p w14:paraId="638AA042">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36.6   供应商认为采购文件、采购过程和成交结果使自己的权益受到损害的，可以在知道或者应知其权益受到损害之日起7个工作日内，以书面形式向采购方提出质疑。供应商应知其权益受到损害之日，是指：</w:t>
      </w:r>
    </w:p>
    <w:p w14:paraId="08510F3E">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（一）对可以质疑的采购文件提出质疑的，为收到采购文件之日或者采购文件公告期限届满之日；</w:t>
      </w:r>
    </w:p>
    <w:p w14:paraId="7310EEB5">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（二）对采购过程提出质疑的，为各采购程序环节结束之日；</w:t>
      </w:r>
    </w:p>
    <w:p w14:paraId="368947C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（三）对成交结果提出质疑的，为成交结果公告期限届满之日。</w:t>
      </w:r>
    </w:p>
    <w:p w14:paraId="45EFC8E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36.7   对可以质疑的采购文件提出质疑的，质疑人为参与本项目的报价方或潜在报价方。可质疑的文件为采购公告以及采购文件（包括属于其组成部分的澄清、修改、补充文件和评审标准、合同文本等）。</w:t>
      </w:r>
    </w:p>
    <w:p w14:paraId="43770EC5">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36.8   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02B9FE92">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36.9   提出质疑应当符合下列条件：</w:t>
      </w:r>
    </w:p>
    <w:p w14:paraId="470BD640">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（一）质疑主体应当符合有关规定；</w:t>
      </w:r>
    </w:p>
    <w:p w14:paraId="48311252">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（二）在质疑法定期限内提出；</w:t>
      </w:r>
    </w:p>
    <w:p w14:paraId="6B4E99B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（三）属于可以提出质疑的政府采购事项受理范围和本项目采购人的管辖权范围；</w:t>
      </w:r>
    </w:p>
    <w:p w14:paraId="68E0937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（四）政府采购法律、法规、规章规定的其他条件。</w:t>
      </w:r>
    </w:p>
    <w:p w14:paraId="235AB2AF">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1B126EF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40.1  质疑人所提供的证明材料应当具有真实性、合法性以及与质疑事项的关联性和证明力，否则不能作为认定该质疑事项成立的依据。</w:t>
      </w:r>
    </w:p>
    <w:p w14:paraId="54DC1B1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40.2   质疑人提出质疑时应当提交质疑函。质疑函包括下列内容：</w:t>
      </w:r>
    </w:p>
    <w:p w14:paraId="3597ACB0">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（一）提出质疑的质疑人的名称、地址、邮编、联系人及联系电话等；</w:t>
      </w:r>
    </w:p>
    <w:p w14:paraId="609A1D0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（二）质疑项目的名称、编号；</w:t>
      </w:r>
    </w:p>
    <w:p w14:paraId="6027CA35">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（三）质疑事项；</w:t>
      </w:r>
    </w:p>
    <w:p w14:paraId="4988A16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（四）事实依据和证明材料；</w:t>
      </w:r>
    </w:p>
    <w:p w14:paraId="3BA40AE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（五）法律依据；</w:t>
      </w:r>
    </w:p>
    <w:p w14:paraId="33AC6806">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（六）提出质疑的日期。</w:t>
      </w:r>
    </w:p>
    <w:p w14:paraId="59CA4CB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6B43429C">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40.3    质疑人可以委托代理人进行质疑。代理人应当提交授权委托书。授权委托书应当载明委托代理的具体权限、期限和相关事项。</w:t>
      </w:r>
    </w:p>
    <w:p w14:paraId="238CE91F">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40.4、质疑的审查和受理</w:t>
      </w:r>
    </w:p>
    <w:p w14:paraId="5613D69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采购方在收到质疑函后应当及时审查是否符合质疑受理条件，对符合质疑受理条件的，及时予以受理。</w:t>
      </w:r>
    </w:p>
    <w:p w14:paraId="0A7DB035">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40.5    对不符合质疑受理条件的，分别按照下列不同情形予以处理：</w:t>
      </w:r>
    </w:p>
    <w:p w14:paraId="4803EF42">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（一）质疑函内容不符合规定的，告知质疑人进行修改并重新提出质疑。修改后质疑事项仍不具体、不明确或者最终递交质疑函的时间超过质疑法定期限的，不予受理；</w:t>
      </w:r>
    </w:p>
    <w:p w14:paraId="236262BA">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（二）质疑主体不符合有关规定的，告知质疑人不予受理；</w:t>
      </w:r>
    </w:p>
    <w:p w14:paraId="38193A5B">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（三）超过质疑法定期限提出质疑的，告知质疑人不予受理；</w:t>
      </w:r>
    </w:p>
    <w:p w14:paraId="6380F71C">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（四）对不属于可以提出质疑的政府采购事项提出质疑的，告知质疑人不予受理；</w:t>
      </w:r>
    </w:p>
    <w:p w14:paraId="6C263921">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（五）质疑不属于本项目采购方管辖的，告知质疑人向有管辖权的采购人提出质疑；</w:t>
      </w:r>
    </w:p>
    <w:p w14:paraId="643A86A8">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（六）质疑不符合其他条件的，告知质疑人不予受理。</w:t>
      </w:r>
    </w:p>
    <w:p w14:paraId="5929A73B">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40.6、质疑的处理和答复</w:t>
      </w:r>
    </w:p>
    <w:p w14:paraId="17DF582A">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40.7   采购方受理质疑后，将及时把质疑函发送给被质疑人，并要求其在一定限期内提交书面答复，同时提供有关证据、依据和相关材料。</w:t>
      </w:r>
    </w:p>
    <w:p w14:paraId="50E20506">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40.8    对于质疑事项中涉及的问题较多、情况比较复杂的，为了全面查清事实、取得充分的证据，采购方认为有必要时，可以进行调查取证或者组织质证。</w:t>
      </w:r>
    </w:p>
    <w:p w14:paraId="7599092F">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40.9    对评审过程、成交结果提出质疑的，采购方可以组织原评审委员会协助答复质疑。</w:t>
      </w:r>
    </w:p>
    <w:p w14:paraId="394C5CA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41.    质疑处理过程中，质疑人书面申请撤回质疑的，将终止质疑处理程序。</w:t>
      </w:r>
    </w:p>
    <w:p w14:paraId="010F48AB">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41.1   质疑人拒绝配合采购方依法对质疑进行调查处理的，采购方将按质疑人自动撤回质疑处理；被质疑人拒绝配合采购方依法对质疑进行调查处理的，采购方将视同其认可质疑事项。</w:t>
      </w:r>
    </w:p>
    <w:p w14:paraId="26032448">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41.1   质疑人拒绝配合采购方依法对质疑进行调查处理的，采购方将按质疑人自动撤回质疑处理；被质疑人拒绝配合采购方依法对质疑进行调查处理的，采购方将视同其认可质疑事项。</w:t>
      </w:r>
    </w:p>
    <w:p w14:paraId="65F44365">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41.2   采购方将在正式受理质疑后7个工作日内作出答复。</w:t>
      </w:r>
    </w:p>
    <w:p w14:paraId="489B551C">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41.3   质疑答复应当包括下列内容：</w:t>
      </w:r>
    </w:p>
    <w:p w14:paraId="7F183541">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（一）质疑人的姓名或者名称；</w:t>
      </w:r>
    </w:p>
    <w:p w14:paraId="52E3B36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（二）收到质疑函的日期、质疑项目名称及编号；</w:t>
      </w:r>
    </w:p>
    <w:p w14:paraId="3D216C9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（三）质疑事项、质疑答复的具体内容、事实依据和法律依据；</w:t>
      </w:r>
    </w:p>
    <w:p w14:paraId="1AE4DF54">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（四）告知质疑供应商依法投诉的权利；</w:t>
      </w:r>
    </w:p>
    <w:p w14:paraId="082105B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（五）质疑答复人名称；</w:t>
      </w:r>
    </w:p>
    <w:p w14:paraId="1896F74E">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（六）答复质疑的日期。</w:t>
      </w:r>
    </w:p>
    <w:p w14:paraId="5861B4E1">
      <w:pPr>
        <w:spacing w:line="340" w:lineRule="exact"/>
        <w:ind w:left="904" w:hanging="904" w:hangingChars="375"/>
        <w:jc w:val="center"/>
        <w:rPr>
          <w:rFonts w:hint="eastAsia" w:ascii="仿宋" w:hAnsi="仿宋" w:eastAsia="仿宋" w:cs="仿宋"/>
          <w:b/>
          <w:bCs/>
          <w:sz w:val="24"/>
          <w:szCs w:val="24"/>
          <w:highlight w:val="none"/>
        </w:rPr>
      </w:pPr>
    </w:p>
    <w:p w14:paraId="641E2246">
      <w:pPr>
        <w:spacing w:line="340" w:lineRule="exact"/>
        <w:ind w:left="904" w:hanging="904" w:hangingChars="375"/>
        <w:jc w:val="center"/>
        <w:rPr>
          <w:rFonts w:hint="eastAsia" w:ascii="仿宋" w:hAnsi="仿宋" w:eastAsia="仿宋" w:cs="仿宋"/>
          <w:b/>
          <w:bCs/>
          <w:sz w:val="24"/>
          <w:szCs w:val="24"/>
          <w:highlight w:val="none"/>
        </w:rPr>
      </w:pPr>
    </w:p>
    <w:p w14:paraId="1AE668EA">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b/>
          <w:bCs/>
          <w:sz w:val="24"/>
          <w:szCs w:val="24"/>
        </w:rPr>
      </w:pPr>
    </w:p>
    <w:p w14:paraId="2D3A9911">
      <w:pPr>
        <w:pStyle w:val="2"/>
        <w:tabs>
          <w:tab w:val="left" w:pos="567"/>
        </w:tabs>
        <w:rPr>
          <w:rFonts w:hint="eastAsia" w:ascii="仿宋" w:hAnsi="仿宋" w:eastAsia="仿宋" w:cs="仿宋"/>
          <w:b/>
          <w:bCs/>
          <w:sz w:val="24"/>
          <w:szCs w:val="24"/>
        </w:rPr>
      </w:pPr>
    </w:p>
    <w:p w14:paraId="5F8929F3">
      <w:pPr>
        <w:rPr>
          <w:rFonts w:hint="eastAsia" w:ascii="仿宋" w:hAnsi="仿宋" w:eastAsia="仿宋" w:cs="仿宋"/>
          <w:sz w:val="24"/>
          <w:szCs w:val="24"/>
        </w:rPr>
      </w:pPr>
    </w:p>
    <w:p w14:paraId="0EF5136F">
      <w:pPr>
        <w:keepNext w:val="0"/>
        <w:keepLines w:val="0"/>
        <w:pageBreakBefore w:val="0"/>
        <w:widowControl w:val="0"/>
        <w:kinsoku/>
        <w:wordWrap/>
        <w:overflowPunct/>
        <w:topLinePunct w:val="0"/>
        <w:autoSpaceDE/>
        <w:autoSpaceDN/>
        <w:bidi w:val="0"/>
        <w:adjustRightInd/>
        <w:snapToGrid/>
        <w:spacing w:line="340" w:lineRule="exact"/>
        <w:ind w:left="0" w:hanging="904" w:hangingChars="375"/>
        <w:jc w:val="center"/>
        <w:textAlignment w:val="auto"/>
        <w:rPr>
          <w:rFonts w:hint="eastAsia" w:ascii="仿宋" w:hAnsi="仿宋" w:eastAsia="仿宋" w:cs="仿宋"/>
          <w:sz w:val="24"/>
          <w:szCs w:val="24"/>
        </w:rPr>
      </w:pPr>
      <w:r>
        <w:rPr>
          <w:rFonts w:hint="eastAsia" w:ascii="仿宋" w:hAnsi="仿宋" w:eastAsia="仿宋" w:cs="仿宋"/>
          <w:b/>
          <w:bCs/>
          <w:sz w:val="24"/>
          <w:szCs w:val="24"/>
        </w:rPr>
        <w:t>质疑函范本</w:t>
      </w:r>
    </w:p>
    <w:p w14:paraId="2CD84BC8">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一、质疑供应商基本信息</w:t>
      </w:r>
    </w:p>
    <w:p w14:paraId="7A918D48">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质疑供应商：</w:t>
      </w:r>
    </w:p>
    <w:p w14:paraId="1F35F74F">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地址：邮编：</w:t>
      </w:r>
    </w:p>
    <w:p w14:paraId="4A762CEF">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联系人：联系电话：</w:t>
      </w:r>
    </w:p>
    <w:p w14:paraId="1630C337">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授权代表：</w:t>
      </w:r>
    </w:p>
    <w:p w14:paraId="640C74AA">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联系电话：</w:t>
      </w:r>
    </w:p>
    <w:p w14:paraId="71CF4799">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地址：邮编：</w:t>
      </w:r>
    </w:p>
    <w:p w14:paraId="37463C84">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二、质疑项目基本情况</w:t>
      </w:r>
    </w:p>
    <w:p w14:paraId="3378C336">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质疑项目的名称：</w:t>
      </w:r>
    </w:p>
    <w:p w14:paraId="3E71E2AC">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质疑项目的编号：包号：</w:t>
      </w:r>
    </w:p>
    <w:p w14:paraId="2B814C18">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采购人名称：</w:t>
      </w:r>
    </w:p>
    <w:p w14:paraId="0840C0DA">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采购文件获取日期：</w:t>
      </w:r>
    </w:p>
    <w:p w14:paraId="37D25089">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三、质疑事项具体内容</w:t>
      </w:r>
    </w:p>
    <w:p w14:paraId="3CCF19E3">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质疑事项1：</w:t>
      </w:r>
    </w:p>
    <w:p w14:paraId="1D651FBF">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事实依据：</w:t>
      </w:r>
    </w:p>
    <w:p w14:paraId="145CB964">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p>
    <w:p w14:paraId="492F637D">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法律依据：</w:t>
      </w:r>
    </w:p>
    <w:p w14:paraId="4221B572">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p>
    <w:p w14:paraId="75E1899E">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质疑事项2</w:t>
      </w:r>
    </w:p>
    <w:p w14:paraId="45785C1E">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w:t>
      </w:r>
    </w:p>
    <w:p w14:paraId="15AD44BC">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四、与质疑事项相关的质疑请求</w:t>
      </w:r>
    </w:p>
    <w:p w14:paraId="18DA5A61">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请求：</w:t>
      </w:r>
    </w:p>
    <w:p w14:paraId="31659118">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签字(签章)：公章：</w:t>
      </w:r>
    </w:p>
    <w:p w14:paraId="5C0DA351">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日期：</w:t>
      </w:r>
    </w:p>
    <w:p w14:paraId="695F7D74">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p>
    <w:p w14:paraId="5557991E">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p>
    <w:p w14:paraId="584EE8BD">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质疑函制作说明：</w:t>
      </w:r>
    </w:p>
    <w:p w14:paraId="2D77DBC6">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1.供应商提出质疑时，应提交质疑函和必要的证明材料。</w:t>
      </w:r>
    </w:p>
    <w:p w14:paraId="74291FD7">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E87D24D">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3.质疑供应商若对项目的某一分包进行质疑，质疑函中应列明具体分包号。</w:t>
      </w:r>
    </w:p>
    <w:p w14:paraId="59624E05">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4.质疑函的质疑事项应具体、明确，并有必要的事实依据和法律依据。</w:t>
      </w:r>
    </w:p>
    <w:p w14:paraId="2E05C72D">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5.质疑函的质疑请求应与质疑事项相关。</w:t>
      </w:r>
    </w:p>
    <w:p w14:paraId="5475519E">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6.质疑供应商为自然人的，质疑函应由本人签字；质疑供应商为法人或者其他组织的，质疑函应由法定代表人、主要负责人，或者其授权代表签字或者盖章，并加盖公章。</w:t>
      </w:r>
    </w:p>
    <w:p w14:paraId="7E197F31">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rPr>
        <w:br w:type="page"/>
      </w:r>
      <w:bookmarkStart w:id="203" w:name="_Toc30751"/>
      <w:bookmarkStart w:id="204" w:name="_Toc3083"/>
      <w:bookmarkStart w:id="205" w:name="_Toc23678"/>
      <w:r>
        <w:rPr>
          <w:rFonts w:hint="eastAsia" w:ascii="仿宋" w:hAnsi="仿宋" w:eastAsia="仿宋" w:cs="仿宋"/>
          <w:sz w:val="24"/>
          <w:szCs w:val="24"/>
          <w:highlight w:val="none"/>
        </w:rPr>
        <w:t>附件1：履约保证金保函（格式）</w:t>
      </w:r>
      <w:bookmarkEnd w:id="203"/>
      <w:bookmarkEnd w:id="204"/>
      <w:bookmarkEnd w:id="205"/>
    </w:p>
    <w:p w14:paraId="403FAC1A">
      <w:pPr>
        <w:pStyle w:val="12"/>
        <w:spacing w:line="240" w:lineRule="atLeast"/>
        <w:ind w:left="1080" w:leftChars="257" w:hanging="54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（中标后开具）</w:t>
      </w:r>
    </w:p>
    <w:p w14:paraId="75BD7C71">
      <w:pPr>
        <w:pStyle w:val="12"/>
        <w:spacing w:line="240" w:lineRule="atLeast"/>
        <w:ind w:left="1080" w:leftChars="257" w:hanging="540"/>
        <w:rPr>
          <w:rFonts w:hint="eastAsia" w:ascii="仿宋" w:hAnsi="仿宋" w:eastAsia="仿宋" w:cs="仿宋"/>
          <w:b/>
          <w:sz w:val="24"/>
          <w:szCs w:val="24"/>
          <w:highlight w:val="none"/>
        </w:rPr>
      </w:pPr>
    </w:p>
    <w:p w14:paraId="7D4BF84A">
      <w:pPr>
        <w:pStyle w:val="12"/>
        <w:spacing w:line="240" w:lineRule="atLeast"/>
        <w:ind w:left="1080" w:leftChars="257" w:hanging="540"/>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                       </w:t>
      </w:r>
    </w:p>
    <w:p w14:paraId="72B9954A">
      <w:pPr>
        <w:pStyle w:val="12"/>
        <w:spacing w:line="240" w:lineRule="atLeast"/>
        <w:rPr>
          <w:rFonts w:hint="eastAsia" w:ascii="仿宋" w:hAnsi="仿宋" w:eastAsia="仿宋" w:cs="仿宋"/>
          <w:sz w:val="24"/>
          <w:szCs w:val="24"/>
          <w:highlight w:val="none"/>
        </w:rPr>
      </w:pPr>
      <w:r>
        <w:rPr>
          <w:rFonts w:hint="eastAsia" w:ascii="仿宋" w:hAnsi="仿宋" w:eastAsia="仿宋" w:cs="仿宋"/>
          <w:sz w:val="24"/>
          <w:szCs w:val="24"/>
          <w:highlight w:val="none"/>
        </w:rPr>
        <w:t>致: (</w:t>
      </w:r>
      <w:r>
        <w:rPr>
          <w:rFonts w:hint="eastAsia" w:ascii="仿宋" w:hAnsi="仿宋" w:eastAsia="仿宋" w:cs="仿宋"/>
          <w:i/>
          <w:sz w:val="24"/>
          <w:szCs w:val="24"/>
          <w:highlight w:val="none"/>
          <w:u w:val="single"/>
        </w:rPr>
        <w:t>买方名称</w:t>
      </w:r>
      <w:r>
        <w:rPr>
          <w:rFonts w:hint="eastAsia" w:ascii="仿宋" w:hAnsi="仿宋" w:eastAsia="仿宋" w:cs="仿宋"/>
          <w:sz w:val="24"/>
          <w:szCs w:val="24"/>
          <w:highlight w:val="none"/>
        </w:rPr>
        <w:t>)</w:t>
      </w:r>
    </w:p>
    <w:p w14:paraId="1652DC04">
      <w:pPr>
        <w:pStyle w:val="12"/>
        <w:spacing w:line="240" w:lineRule="atLeast"/>
        <w:ind w:left="1080" w:leftChars="257" w:hanging="540"/>
        <w:jc w:val="center"/>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号合同履约保函</w:t>
      </w:r>
    </w:p>
    <w:p w14:paraId="1E6EC1E7">
      <w:pPr>
        <w:pStyle w:val="12"/>
        <w:spacing w:line="240" w:lineRule="atLeast"/>
        <w:ind w:left="1080" w:leftChars="257" w:hanging="540"/>
        <w:jc w:val="center"/>
        <w:rPr>
          <w:rFonts w:hint="eastAsia" w:ascii="仿宋" w:hAnsi="仿宋" w:eastAsia="仿宋" w:cs="仿宋"/>
          <w:sz w:val="24"/>
          <w:szCs w:val="24"/>
          <w:highlight w:val="none"/>
        </w:rPr>
      </w:pPr>
    </w:p>
    <w:p w14:paraId="044E7531">
      <w:pPr>
        <w:pStyle w:val="12"/>
        <w:spacing w:line="240" w:lineRule="atLeast"/>
        <w:ind w:firstLine="600" w:firstLineChars="250"/>
        <w:rPr>
          <w:rFonts w:hint="eastAsia" w:ascii="仿宋" w:hAnsi="仿宋" w:eastAsia="仿宋" w:cs="仿宋"/>
          <w:sz w:val="24"/>
          <w:szCs w:val="24"/>
          <w:highlight w:val="none"/>
        </w:rPr>
      </w:pPr>
      <w:r>
        <w:rPr>
          <w:rFonts w:hint="eastAsia" w:ascii="仿宋" w:hAnsi="仿宋" w:eastAsia="仿宋" w:cs="仿宋"/>
          <w:sz w:val="24"/>
          <w:szCs w:val="24"/>
          <w:highlight w:val="none"/>
        </w:rPr>
        <w:t>本保函作为贵方与(</w:t>
      </w:r>
      <w:r>
        <w:rPr>
          <w:rFonts w:hint="eastAsia" w:ascii="仿宋" w:hAnsi="仿宋" w:eastAsia="仿宋" w:cs="仿宋"/>
          <w:i/>
          <w:sz w:val="24"/>
          <w:szCs w:val="24"/>
          <w:highlight w:val="none"/>
          <w:u w:val="single"/>
        </w:rPr>
        <w:t>卖方名称</w:t>
      </w:r>
      <w:r>
        <w:rPr>
          <w:rFonts w:hint="eastAsia" w:ascii="仿宋" w:hAnsi="仿宋" w:eastAsia="仿宋" w:cs="仿宋"/>
          <w:sz w:val="24"/>
          <w:szCs w:val="24"/>
          <w:highlight w:val="none"/>
        </w:rPr>
        <w:t>)(以下简称卖方)于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日就</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项目(以下简称项目)项下提供(</w:t>
      </w:r>
      <w:r>
        <w:rPr>
          <w:rFonts w:hint="eastAsia" w:ascii="仿宋" w:hAnsi="仿宋" w:eastAsia="仿宋" w:cs="仿宋"/>
          <w:i/>
          <w:sz w:val="24"/>
          <w:szCs w:val="24"/>
          <w:highlight w:val="none"/>
          <w:u w:val="single"/>
        </w:rPr>
        <w:t>货物名称</w:t>
      </w:r>
      <w:r>
        <w:rPr>
          <w:rFonts w:hint="eastAsia" w:ascii="仿宋" w:hAnsi="仿宋" w:eastAsia="仿宋" w:cs="仿宋"/>
          <w:sz w:val="24"/>
          <w:szCs w:val="24"/>
          <w:highlight w:val="none"/>
        </w:rPr>
        <w:t>)(以下简称货物)签订的(</w:t>
      </w:r>
      <w:r>
        <w:rPr>
          <w:rFonts w:hint="eastAsia" w:ascii="仿宋" w:hAnsi="仿宋" w:eastAsia="仿宋" w:cs="仿宋"/>
          <w:i/>
          <w:sz w:val="24"/>
          <w:szCs w:val="24"/>
          <w:highlight w:val="none"/>
          <w:u w:val="single"/>
        </w:rPr>
        <w:t>合同号</w:t>
      </w:r>
      <w:r>
        <w:rPr>
          <w:rFonts w:hint="eastAsia" w:ascii="仿宋" w:hAnsi="仿宋" w:eastAsia="仿宋" w:cs="仿宋"/>
          <w:sz w:val="24"/>
          <w:szCs w:val="24"/>
          <w:highlight w:val="none"/>
        </w:rPr>
        <w:t>)号合同的履约保函。</w:t>
      </w:r>
    </w:p>
    <w:p w14:paraId="10389B5B">
      <w:pPr>
        <w:pStyle w:val="12"/>
        <w:spacing w:line="240" w:lineRule="atLeast"/>
        <w:ind w:firstLine="540" w:firstLineChars="225"/>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i/>
          <w:sz w:val="24"/>
          <w:szCs w:val="24"/>
          <w:highlight w:val="none"/>
          <w:u w:val="single"/>
        </w:rPr>
        <w:t>出具保函的银行名称</w:t>
      </w:r>
      <w:r>
        <w:rPr>
          <w:rFonts w:hint="eastAsia" w:ascii="仿宋" w:hAnsi="仿宋" w:eastAsia="仿宋" w:cs="仿宋"/>
          <w:sz w:val="24"/>
          <w:szCs w:val="24"/>
          <w:highlight w:val="none"/>
        </w:rPr>
        <w:t>)(以下简称银行)无条件地、不可撤销地具结保证本行、其继承人和受让人无追索地向贵方以(</w:t>
      </w:r>
      <w:r>
        <w:rPr>
          <w:rFonts w:hint="eastAsia" w:ascii="仿宋" w:hAnsi="仿宋" w:eastAsia="仿宋" w:cs="仿宋"/>
          <w:i/>
          <w:sz w:val="24"/>
          <w:szCs w:val="24"/>
          <w:highlight w:val="none"/>
          <w:u w:val="single"/>
        </w:rPr>
        <w:t>货币名称</w:t>
      </w:r>
      <w:r>
        <w:rPr>
          <w:rFonts w:hint="eastAsia" w:ascii="仿宋" w:hAnsi="仿宋" w:eastAsia="仿宋" w:cs="仿宋"/>
          <w:sz w:val="24"/>
          <w:szCs w:val="24"/>
          <w:highlight w:val="none"/>
        </w:rPr>
        <w:t>)支付总额不超过(</w:t>
      </w:r>
      <w:r>
        <w:rPr>
          <w:rFonts w:hint="eastAsia" w:ascii="仿宋" w:hAnsi="仿宋" w:eastAsia="仿宋" w:cs="仿宋"/>
          <w:i/>
          <w:sz w:val="24"/>
          <w:szCs w:val="24"/>
          <w:highlight w:val="none"/>
          <w:u w:val="single"/>
        </w:rPr>
        <w:t>货币数量</w:t>
      </w:r>
      <w:r>
        <w:rPr>
          <w:rFonts w:hint="eastAsia" w:ascii="仿宋" w:hAnsi="仿宋" w:eastAsia="仿宋" w:cs="仿宋"/>
          <w:sz w:val="24"/>
          <w:szCs w:val="24"/>
          <w:highlight w:val="none"/>
        </w:rPr>
        <w:t>),即相当于合同价格的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%,并以此约定如下:</w:t>
      </w:r>
    </w:p>
    <w:p w14:paraId="1BA749B3">
      <w:pPr>
        <w:pStyle w:val="12"/>
        <w:spacing w:line="240" w:lineRule="atLeast"/>
        <w:ind w:left="540" w:leftChars="257"/>
        <w:rPr>
          <w:rFonts w:hint="eastAsia" w:ascii="仿宋" w:hAnsi="仿宋" w:eastAsia="仿宋" w:cs="仿宋"/>
          <w:sz w:val="24"/>
          <w:szCs w:val="24"/>
          <w:highlight w:val="none"/>
        </w:rPr>
      </w:pPr>
      <w:r>
        <w:rPr>
          <w:rFonts w:hint="eastAsia" w:ascii="仿宋" w:hAnsi="仿宋" w:eastAsia="仿宋" w:cs="仿宋"/>
          <w:sz w:val="24"/>
          <w:szCs w:val="24"/>
          <w:highlight w:val="none"/>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61D31C92">
      <w:pPr>
        <w:pStyle w:val="12"/>
        <w:spacing w:line="240" w:lineRule="atLeast"/>
        <w:ind w:left="540"/>
        <w:rPr>
          <w:rFonts w:hint="eastAsia" w:ascii="仿宋" w:hAnsi="仿宋" w:eastAsia="仿宋" w:cs="仿宋"/>
          <w:sz w:val="24"/>
          <w:szCs w:val="24"/>
          <w:highlight w:val="none"/>
        </w:rPr>
      </w:pPr>
      <w:r>
        <w:rPr>
          <w:rFonts w:hint="eastAsia" w:ascii="仿宋" w:hAnsi="仿宋" w:eastAsia="仿宋" w:cs="仿宋"/>
          <w:sz w:val="24"/>
          <w:szCs w:val="24"/>
          <w:highlight w:val="none"/>
        </w:rPr>
        <w:t>2.本保函项下的任何支付应为免税和净值。对于现有或将来的税收、关税、收费、费用扣减或预提税款，不论这些款项是何种性质和由谁征收，都不应从本保函项下的支付中扣除。</w:t>
      </w:r>
    </w:p>
    <w:p w14:paraId="55829F8F">
      <w:pPr>
        <w:pStyle w:val="12"/>
        <w:spacing w:line="240" w:lineRule="atLeast"/>
        <w:ind w:left="540"/>
        <w:rPr>
          <w:rFonts w:hint="eastAsia" w:ascii="仿宋" w:hAnsi="仿宋" w:eastAsia="仿宋" w:cs="仿宋"/>
          <w:sz w:val="24"/>
          <w:szCs w:val="24"/>
          <w:highlight w:val="none"/>
        </w:rPr>
      </w:pPr>
      <w:r>
        <w:rPr>
          <w:rFonts w:hint="eastAsia" w:ascii="仿宋" w:hAnsi="仿宋" w:eastAsia="仿宋" w:cs="仿宋"/>
          <w:sz w:val="24"/>
          <w:szCs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2E7ADB95">
      <w:pPr>
        <w:pStyle w:val="12"/>
        <w:spacing w:line="240" w:lineRule="atLeast"/>
        <w:ind w:left="1080" w:leftChars="257" w:hanging="540"/>
        <w:rPr>
          <w:rFonts w:hint="eastAsia" w:ascii="仿宋" w:hAnsi="仿宋" w:eastAsia="仿宋" w:cs="仿宋"/>
          <w:sz w:val="24"/>
          <w:szCs w:val="24"/>
          <w:highlight w:val="none"/>
        </w:rPr>
      </w:pPr>
      <w:bookmarkStart w:id="206" w:name="_Toc6985"/>
      <w:bookmarkStart w:id="207" w:name="_Toc1076"/>
      <w:r>
        <w:rPr>
          <w:rFonts w:hint="eastAsia" w:ascii="仿宋" w:hAnsi="仿宋" w:eastAsia="仿宋" w:cs="仿宋"/>
          <w:sz w:val="24"/>
          <w:szCs w:val="24"/>
          <w:highlight w:val="none"/>
        </w:rPr>
        <w:t>4.本保函在本合同规定的保证期期满前完全有效。</w:t>
      </w:r>
      <w:bookmarkEnd w:id="206"/>
      <w:bookmarkEnd w:id="207"/>
    </w:p>
    <w:p w14:paraId="4764EED2">
      <w:pPr>
        <w:pStyle w:val="12"/>
        <w:spacing w:line="240" w:lineRule="atLeast"/>
        <w:ind w:left="1080" w:leftChars="257" w:hanging="540"/>
        <w:rPr>
          <w:rFonts w:hint="eastAsia" w:ascii="仿宋" w:hAnsi="仿宋" w:eastAsia="仿宋" w:cs="仿宋"/>
          <w:sz w:val="24"/>
          <w:szCs w:val="24"/>
          <w:highlight w:val="none"/>
        </w:rPr>
      </w:pPr>
    </w:p>
    <w:p w14:paraId="46BAD97E">
      <w:pPr>
        <w:pStyle w:val="12"/>
        <w:spacing w:line="240" w:lineRule="atLeast"/>
        <w:ind w:left="1080"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谨启</w:t>
      </w:r>
    </w:p>
    <w:p w14:paraId="64BF9CCD">
      <w:pPr>
        <w:pStyle w:val="12"/>
        <w:spacing w:line="240" w:lineRule="atLeast"/>
        <w:ind w:left="1080"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出具保函银行名称：</w:t>
      </w:r>
      <w:r>
        <w:rPr>
          <w:rFonts w:hint="eastAsia" w:ascii="仿宋" w:hAnsi="仿宋" w:eastAsia="仿宋" w:cs="仿宋"/>
          <w:sz w:val="24"/>
          <w:szCs w:val="24"/>
          <w:highlight w:val="none"/>
          <w:u w:val="single"/>
        </w:rPr>
        <w:t xml:space="preserve">                             </w:t>
      </w:r>
    </w:p>
    <w:p w14:paraId="1EF4C307">
      <w:pPr>
        <w:pStyle w:val="12"/>
        <w:spacing w:line="240" w:lineRule="atLeast"/>
        <w:ind w:left="1080" w:leftChars="257" w:hanging="54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签字人姓名和职务：</w:t>
      </w:r>
      <w:r>
        <w:rPr>
          <w:rFonts w:hint="eastAsia" w:ascii="仿宋" w:hAnsi="仿宋" w:eastAsia="仿宋" w:cs="仿宋"/>
          <w:sz w:val="24"/>
          <w:szCs w:val="24"/>
          <w:highlight w:val="none"/>
          <w:u w:val="single"/>
        </w:rPr>
        <w:t xml:space="preserve">                             </w:t>
      </w:r>
    </w:p>
    <w:p w14:paraId="35AE3A27">
      <w:pPr>
        <w:pStyle w:val="12"/>
        <w:spacing w:line="240" w:lineRule="atLeast"/>
        <w:ind w:left="1080"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签字人签名：</w:t>
      </w:r>
      <w:r>
        <w:rPr>
          <w:rFonts w:hint="eastAsia" w:ascii="仿宋" w:hAnsi="仿宋" w:eastAsia="仿宋" w:cs="仿宋"/>
          <w:sz w:val="24"/>
          <w:szCs w:val="24"/>
          <w:highlight w:val="none"/>
          <w:u w:val="single"/>
        </w:rPr>
        <w:t xml:space="preserve">                                   </w:t>
      </w:r>
    </w:p>
    <w:p w14:paraId="099D095A">
      <w:pPr>
        <w:pStyle w:val="12"/>
        <w:spacing w:line="240" w:lineRule="atLeast"/>
        <w:ind w:left="1080" w:leftChars="257" w:hanging="540"/>
        <w:rPr>
          <w:rFonts w:hint="eastAsia" w:ascii="仿宋" w:hAnsi="仿宋" w:eastAsia="仿宋" w:cs="仿宋"/>
          <w:sz w:val="24"/>
          <w:szCs w:val="24"/>
        </w:rPr>
      </w:pPr>
      <w:r>
        <w:rPr>
          <w:rFonts w:hint="eastAsia" w:ascii="仿宋" w:hAnsi="仿宋" w:eastAsia="仿宋" w:cs="仿宋"/>
          <w:sz w:val="24"/>
          <w:szCs w:val="24"/>
          <w:highlight w:val="none"/>
        </w:rPr>
        <w:t>公章：</w:t>
      </w:r>
      <w:r>
        <w:rPr>
          <w:rFonts w:hint="eastAsia" w:ascii="仿宋" w:hAnsi="仿宋" w:eastAsia="仿宋" w:cs="仿宋"/>
          <w:sz w:val="24"/>
          <w:szCs w:val="24"/>
          <w:highlight w:val="none"/>
          <w:u w:val="single"/>
        </w:rPr>
        <w:t xml:space="preserve">                                         </w:t>
      </w:r>
    </w:p>
    <w:p w14:paraId="7755032A">
      <w:pPr>
        <w:rPr>
          <w:rFonts w:hint="eastAsia" w:ascii="仿宋" w:hAnsi="仿宋" w:eastAsia="仿宋" w:cs="仿宋"/>
          <w:sz w:val="24"/>
          <w:szCs w:val="24"/>
        </w:rPr>
      </w:pPr>
    </w:p>
    <w:p w14:paraId="41235474">
      <w:pPr>
        <w:pStyle w:val="2"/>
        <w:rPr>
          <w:rFonts w:hint="eastAsia" w:ascii="仿宋" w:hAnsi="仿宋" w:eastAsia="仿宋" w:cs="仿宋"/>
          <w:sz w:val="24"/>
          <w:szCs w:val="24"/>
        </w:rPr>
      </w:pPr>
    </w:p>
    <w:p w14:paraId="590AE6D6">
      <w:pPr>
        <w:pStyle w:val="17"/>
        <w:rPr>
          <w:rFonts w:hint="eastAsia" w:ascii="仿宋" w:hAnsi="仿宋" w:eastAsia="仿宋" w:cs="仿宋"/>
          <w:sz w:val="24"/>
          <w:szCs w:val="24"/>
          <w:highlight w:val="none"/>
        </w:rPr>
      </w:pPr>
    </w:p>
    <w:p w14:paraId="3005DED3">
      <w:pPr>
        <w:pStyle w:val="2"/>
        <w:rPr>
          <w:rFonts w:hint="eastAsia" w:ascii="仿宋" w:hAnsi="仿宋" w:eastAsia="仿宋" w:cs="仿宋"/>
          <w:sz w:val="24"/>
          <w:szCs w:val="24"/>
          <w:highlight w:val="none"/>
        </w:rPr>
      </w:pPr>
    </w:p>
    <w:p w14:paraId="1B6B8F59">
      <w:pPr>
        <w:rPr>
          <w:rFonts w:hint="eastAsia" w:ascii="仿宋" w:hAnsi="仿宋" w:eastAsia="仿宋" w:cs="仿宋"/>
          <w:sz w:val="24"/>
          <w:szCs w:val="24"/>
          <w:highlight w:val="none"/>
        </w:rPr>
      </w:pPr>
    </w:p>
    <w:p w14:paraId="5F528DFC">
      <w:pPr>
        <w:pStyle w:val="4"/>
        <w:rPr>
          <w:rFonts w:hint="eastAsia" w:ascii="仿宋" w:hAnsi="仿宋" w:eastAsia="仿宋" w:cs="仿宋"/>
          <w:sz w:val="24"/>
          <w:szCs w:val="24"/>
          <w:highlight w:val="none"/>
        </w:rPr>
      </w:pPr>
    </w:p>
    <w:p w14:paraId="3FBD322E">
      <w:pPr>
        <w:rPr>
          <w:rFonts w:hint="eastAsia" w:ascii="仿宋" w:hAnsi="仿宋" w:eastAsia="仿宋" w:cs="仿宋"/>
          <w:sz w:val="24"/>
          <w:szCs w:val="24"/>
          <w:highlight w:val="none"/>
        </w:rPr>
      </w:pPr>
    </w:p>
    <w:p w14:paraId="2F1B6C58">
      <w:pPr>
        <w:pStyle w:val="4"/>
        <w:rPr>
          <w:rFonts w:hint="eastAsia" w:ascii="仿宋" w:hAnsi="仿宋" w:eastAsia="仿宋" w:cs="仿宋"/>
          <w:sz w:val="24"/>
          <w:szCs w:val="24"/>
          <w:highlight w:val="none"/>
        </w:rPr>
      </w:pPr>
    </w:p>
    <w:p w14:paraId="208BBED1">
      <w:pPr>
        <w:rPr>
          <w:rFonts w:hint="eastAsia" w:ascii="仿宋" w:hAnsi="仿宋" w:eastAsia="仿宋" w:cs="仿宋"/>
          <w:sz w:val="24"/>
          <w:szCs w:val="24"/>
          <w:highlight w:val="none"/>
        </w:rPr>
      </w:pPr>
    </w:p>
    <w:p w14:paraId="24C0FAA8">
      <w:pPr>
        <w:pStyle w:val="4"/>
        <w:rPr>
          <w:rFonts w:hint="eastAsia" w:ascii="仿宋" w:hAnsi="仿宋" w:eastAsia="仿宋" w:cs="仿宋"/>
          <w:sz w:val="24"/>
          <w:szCs w:val="24"/>
          <w:highlight w:val="none"/>
        </w:rPr>
      </w:pPr>
    </w:p>
    <w:p w14:paraId="247438CF">
      <w:pPr>
        <w:rPr>
          <w:rFonts w:hint="eastAsia" w:ascii="仿宋" w:hAnsi="仿宋" w:eastAsia="仿宋" w:cs="仿宋"/>
          <w:sz w:val="24"/>
          <w:szCs w:val="24"/>
          <w:highlight w:val="none"/>
        </w:rPr>
      </w:pPr>
    </w:p>
    <w:p w14:paraId="49083DE1">
      <w:pPr>
        <w:pStyle w:val="4"/>
        <w:rPr>
          <w:rFonts w:hint="eastAsia"/>
        </w:rPr>
      </w:pPr>
    </w:p>
    <w:p w14:paraId="06FCE82C">
      <w:pPr>
        <w:spacing w:line="240" w:lineRule="atLeast"/>
        <w:ind w:left="1080" w:leftChars="257" w:hanging="540"/>
        <w:rPr>
          <w:rFonts w:hint="eastAsia" w:ascii="仿宋" w:hAnsi="仿宋" w:eastAsia="仿宋" w:cs="仿宋"/>
          <w:sz w:val="24"/>
          <w:szCs w:val="24"/>
          <w:highlight w:val="none"/>
        </w:rPr>
      </w:pPr>
      <w:bookmarkStart w:id="208" w:name="_Toc16707"/>
      <w:bookmarkStart w:id="209" w:name="_Toc22540"/>
      <w:bookmarkStart w:id="210" w:name="_Toc518923104"/>
      <w:bookmarkStart w:id="211" w:name="_Toc27581"/>
      <w:bookmarkStart w:id="212" w:name="_Toc21744"/>
      <w:r>
        <w:rPr>
          <w:rFonts w:hint="eastAsia" w:ascii="仿宋" w:hAnsi="仿宋" w:eastAsia="仿宋" w:cs="仿宋"/>
          <w:sz w:val="24"/>
          <w:szCs w:val="24"/>
          <w:highlight w:val="none"/>
        </w:rPr>
        <w:t>附件2：履约担保函格式</w:t>
      </w:r>
      <w:bookmarkEnd w:id="208"/>
      <w:bookmarkEnd w:id="209"/>
      <w:bookmarkEnd w:id="210"/>
      <w:bookmarkEnd w:id="211"/>
      <w:bookmarkEnd w:id="212"/>
    </w:p>
    <w:p w14:paraId="4CDC7F3D">
      <w:pPr>
        <w:spacing w:line="240" w:lineRule="atLeast"/>
        <w:ind w:left="1080" w:leftChars="257" w:hanging="540"/>
        <w:rPr>
          <w:rFonts w:hint="eastAsia" w:ascii="仿宋" w:hAnsi="仿宋" w:eastAsia="仿宋" w:cs="仿宋"/>
          <w:sz w:val="24"/>
          <w:szCs w:val="24"/>
          <w:highlight w:val="none"/>
        </w:rPr>
      </w:pPr>
      <w:bookmarkStart w:id="213" w:name="_Toc32574"/>
      <w:bookmarkStart w:id="214" w:name="_Toc9735"/>
      <w:bookmarkStart w:id="215" w:name="_Toc7209"/>
      <w:bookmarkStart w:id="216" w:name="_Toc515647801"/>
      <w:bookmarkStart w:id="217" w:name="_Toc13962"/>
      <w:bookmarkStart w:id="218" w:name="_Toc162"/>
      <w:r>
        <w:rPr>
          <w:rFonts w:hint="eastAsia" w:ascii="仿宋" w:hAnsi="仿宋" w:eastAsia="仿宋" w:cs="仿宋"/>
          <w:sz w:val="24"/>
          <w:szCs w:val="24"/>
          <w:highlight w:val="none"/>
        </w:rPr>
        <w:t>（采用政府采购信用担保形式时使用）</w:t>
      </w:r>
      <w:bookmarkEnd w:id="213"/>
      <w:bookmarkEnd w:id="214"/>
      <w:bookmarkEnd w:id="215"/>
      <w:bookmarkEnd w:id="216"/>
      <w:bookmarkEnd w:id="217"/>
      <w:bookmarkEnd w:id="218"/>
    </w:p>
    <w:p w14:paraId="69040E6B">
      <w:pPr>
        <w:spacing w:line="240" w:lineRule="atLeast"/>
        <w:ind w:left="1080" w:leftChars="257" w:hanging="540"/>
        <w:rPr>
          <w:rFonts w:hint="eastAsia" w:ascii="仿宋" w:hAnsi="仿宋" w:eastAsia="仿宋" w:cs="仿宋"/>
          <w:b/>
          <w:kern w:val="0"/>
          <w:sz w:val="24"/>
          <w:szCs w:val="24"/>
          <w:highlight w:val="none"/>
        </w:rPr>
      </w:pPr>
    </w:p>
    <w:p w14:paraId="39E1647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政府采购履约担保函（项目用）</w:t>
      </w:r>
    </w:p>
    <w:p w14:paraId="098DE006">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编号：</w:t>
      </w:r>
    </w:p>
    <w:p w14:paraId="6925149E">
      <w:pPr>
        <w:rPr>
          <w:rFonts w:hint="eastAsia" w:ascii="仿宋" w:hAnsi="仿宋" w:eastAsia="仿宋" w:cs="仿宋"/>
          <w:sz w:val="24"/>
          <w:szCs w:val="24"/>
          <w:highlight w:val="none"/>
        </w:rPr>
      </w:pPr>
    </w:p>
    <w:p w14:paraId="3F67DFD3">
      <w:pPr>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（采购人）：</w:t>
      </w:r>
    </w:p>
    <w:p w14:paraId="4A524138">
      <w:pPr>
        <w:rPr>
          <w:rFonts w:hint="eastAsia" w:ascii="仿宋" w:hAnsi="仿宋" w:eastAsia="仿宋" w:cs="仿宋"/>
          <w:sz w:val="24"/>
          <w:szCs w:val="24"/>
          <w:highlight w:val="none"/>
        </w:rPr>
      </w:pPr>
    </w:p>
    <w:p w14:paraId="73CD42AD">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鉴于你方与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（以下简称供应商）于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日签定编号为   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政府采购合同》（以下简称主合同），且依据该合同的约定，供应商应在</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p>
    <w:p w14:paraId="5423112D">
      <w:pPr>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日前向你方交纳履约保证金，且可以履约担保函的形式交纳履约保证金。应供应商的申请，我方以保证的方式向你方提供如下履约保证金担保：</w:t>
      </w:r>
    </w:p>
    <w:p w14:paraId="3D029F5D">
      <w:pPr>
        <w:ind w:firstLine="480" w:firstLineChars="200"/>
        <w:rPr>
          <w:rFonts w:hint="eastAsia" w:ascii="仿宋" w:hAnsi="仿宋" w:eastAsia="仿宋" w:cs="仿宋"/>
          <w:sz w:val="24"/>
          <w:szCs w:val="24"/>
          <w:highlight w:val="none"/>
        </w:rPr>
      </w:pPr>
      <w:bookmarkStart w:id="219" w:name="_Toc16807"/>
      <w:r>
        <w:rPr>
          <w:rFonts w:hint="eastAsia" w:ascii="仿宋" w:hAnsi="仿宋" w:eastAsia="仿宋" w:cs="仿宋"/>
          <w:sz w:val="24"/>
          <w:szCs w:val="24"/>
          <w:highlight w:val="none"/>
        </w:rPr>
        <w:t>一、保证责任的情形及保证金额</w:t>
      </w:r>
      <w:bookmarkEnd w:id="219"/>
    </w:p>
    <w:p w14:paraId="1D0B34F5">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（一）在供应商出现下列情形之一时，我方承担保证责任：</w:t>
      </w:r>
    </w:p>
    <w:p w14:paraId="7F01FCDC">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1．将中标项目转让给他人，或者在响应文件中未说明，且未经采购招标机构人同意，将中标项目分包给他人的；</w:t>
      </w:r>
    </w:p>
    <w:p w14:paraId="3E876FBF">
      <w:pPr>
        <w:rPr>
          <w:rFonts w:hint="eastAsia" w:ascii="仿宋" w:hAnsi="仿宋" w:eastAsia="仿宋" w:cs="仿宋"/>
          <w:sz w:val="24"/>
          <w:szCs w:val="24"/>
          <w:highlight w:val="none"/>
        </w:rPr>
      </w:pPr>
      <w:r>
        <w:rPr>
          <w:rFonts w:hint="eastAsia" w:ascii="仿宋" w:hAnsi="仿宋" w:eastAsia="仿宋" w:cs="仿宋"/>
          <w:sz w:val="24"/>
          <w:szCs w:val="24"/>
          <w:highlight w:val="none"/>
        </w:rPr>
        <w:t>　　</w:t>
      </w:r>
      <w:bookmarkStart w:id="220" w:name="_Toc806"/>
      <w:bookmarkStart w:id="221" w:name="_Toc30650"/>
      <w:bookmarkStart w:id="222" w:name="_Toc2434"/>
      <w:r>
        <w:rPr>
          <w:rFonts w:hint="eastAsia" w:ascii="仿宋" w:hAnsi="仿宋" w:eastAsia="仿宋" w:cs="仿宋"/>
          <w:sz w:val="24"/>
          <w:szCs w:val="24"/>
          <w:highlight w:val="none"/>
        </w:rPr>
        <w:t>2．主合同约定的应当缴纳履约保证金的情形:</w:t>
      </w:r>
      <w:bookmarkEnd w:id="220"/>
      <w:bookmarkEnd w:id="221"/>
      <w:bookmarkEnd w:id="222"/>
      <w:r>
        <w:rPr>
          <w:rFonts w:hint="eastAsia" w:ascii="仿宋" w:hAnsi="仿宋" w:eastAsia="仿宋" w:cs="仿宋"/>
          <w:sz w:val="24"/>
          <w:szCs w:val="24"/>
          <w:highlight w:val="none"/>
        </w:rPr>
        <w:t xml:space="preserve"> </w:t>
      </w:r>
    </w:p>
    <w:p w14:paraId="0150F767">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（1）未按主合同约定的质量、数量和期限供应货物/提供服务/完成工程的；</w:t>
      </w:r>
    </w:p>
    <w:p w14:paraId="0A32A529">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69D5BCF4">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（二）我方的保证范围是主合同约定的合同价款总额的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%数额为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），币种为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。（即主合同履约保证金金额）</w:t>
      </w:r>
    </w:p>
    <w:p w14:paraId="1643B5D8">
      <w:pPr>
        <w:ind w:firstLine="480" w:firstLineChars="200"/>
        <w:rPr>
          <w:rFonts w:hint="eastAsia" w:ascii="仿宋" w:hAnsi="仿宋" w:eastAsia="仿宋" w:cs="仿宋"/>
          <w:sz w:val="24"/>
          <w:szCs w:val="24"/>
          <w:highlight w:val="none"/>
        </w:rPr>
      </w:pPr>
      <w:bookmarkStart w:id="223" w:name="_Toc16733"/>
      <w:r>
        <w:rPr>
          <w:rFonts w:hint="eastAsia" w:ascii="仿宋" w:hAnsi="仿宋" w:eastAsia="仿宋" w:cs="仿宋"/>
          <w:sz w:val="24"/>
          <w:szCs w:val="24"/>
          <w:highlight w:val="none"/>
        </w:rPr>
        <w:t>二、保证的方式及保证期间</w:t>
      </w:r>
      <w:bookmarkEnd w:id="223"/>
    </w:p>
    <w:p w14:paraId="59C68894">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我方保证的方式为：连带责任保证。</w:t>
      </w:r>
    </w:p>
    <w:p w14:paraId="38BEF44A">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我方保证的期间为：自本合同生效之日起至供应商按照主合同约定的供货/完工期限届满后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日内。</w:t>
      </w:r>
    </w:p>
    <w:p w14:paraId="540B0DEB">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如果供应商未按主合同约定向贵方供应货物/提供服务/完成工程的，由我方在保证金额内向你方支付上述款项。</w:t>
      </w:r>
    </w:p>
    <w:p w14:paraId="1FAF8E60">
      <w:pPr>
        <w:ind w:firstLine="480" w:firstLineChars="200"/>
        <w:rPr>
          <w:rFonts w:hint="eastAsia" w:ascii="仿宋" w:hAnsi="仿宋" w:eastAsia="仿宋" w:cs="仿宋"/>
          <w:sz w:val="24"/>
          <w:szCs w:val="24"/>
          <w:highlight w:val="none"/>
        </w:rPr>
      </w:pPr>
      <w:bookmarkStart w:id="224" w:name="_Toc19668"/>
      <w:r>
        <w:rPr>
          <w:rFonts w:hint="eastAsia" w:ascii="仿宋" w:hAnsi="仿宋" w:eastAsia="仿宋" w:cs="仿宋"/>
          <w:sz w:val="24"/>
          <w:szCs w:val="24"/>
          <w:highlight w:val="none"/>
        </w:rPr>
        <w:t>三、承担保证责任的程序</w:t>
      </w:r>
      <w:bookmarkEnd w:id="224"/>
    </w:p>
    <w:p w14:paraId="00BDA8E5">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1．你方要求我方承担保证责任的，应在本保函保证期间内向我方发出书面索赔通知。索赔通知应写明要求索赔的金额，支付款项应到达的帐号。并附有证明供应商违约事实的证明材料。</w:t>
      </w:r>
    </w:p>
    <w:p w14:paraId="4F6C7E06">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如果你方与供应商因货物质量问题产生争议，你方还需同时提供</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部门出具的质量检测报告，或经诉讼（仲裁）程序裁决后的裁决书、调解书，本保证人即按照检测结果或裁决书、调解书决定是否承担保证责任。</w:t>
      </w:r>
    </w:p>
    <w:p w14:paraId="7A9BBF21">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 我方收到你方的书面索赔通知及相应证明材料，在</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工作日内进行核定后按照本保函的承诺承担保证责任。</w:t>
      </w:r>
    </w:p>
    <w:p w14:paraId="2FE74696">
      <w:pPr>
        <w:ind w:firstLine="480" w:firstLineChars="200"/>
        <w:rPr>
          <w:rFonts w:hint="eastAsia" w:ascii="仿宋" w:hAnsi="仿宋" w:eastAsia="仿宋" w:cs="仿宋"/>
          <w:sz w:val="24"/>
          <w:szCs w:val="24"/>
          <w:highlight w:val="none"/>
        </w:rPr>
      </w:pPr>
      <w:bookmarkStart w:id="225" w:name="_Toc11641"/>
      <w:r>
        <w:rPr>
          <w:rFonts w:hint="eastAsia" w:ascii="仿宋" w:hAnsi="仿宋" w:eastAsia="仿宋" w:cs="仿宋"/>
          <w:sz w:val="24"/>
          <w:szCs w:val="24"/>
          <w:highlight w:val="none"/>
        </w:rPr>
        <w:t>四、保证责任的终止</w:t>
      </w:r>
      <w:bookmarkEnd w:id="225"/>
    </w:p>
    <w:p w14:paraId="1585F44F">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5C7E2463">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2．我方按照本保函向你方履行了保证责任后，自我方向你方支付款项（支付款项从我方账户划出）之日起，保证责任即终止。</w:t>
      </w:r>
    </w:p>
    <w:p w14:paraId="7F239142">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3．按照法律法规的规定或出现应终止我方保证责任的其它情形的，我方在本保函项下的保证责任亦终止。</w:t>
      </w:r>
    </w:p>
    <w:p w14:paraId="014A7CAE">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241A01DE">
      <w:pPr>
        <w:ind w:firstLine="480" w:firstLineChars="200"/>
        <w:rPr>
          <w:rFonts w:hint="eastAsia" w:ascii="仿宋" w:hAnsi="仿宋" w:eastAsia="仿宋" w:cs="仿宋"/>
          <w:sz w:val="24"/>
          <w:szCs w:val="24"/>
          <w:highlight w:val="none"/>
        </w:rPr>
      </w:pPr>
      <w:bookmarkStart w:id="226" w:name="_Toc3542"/>
      <w:r>
        <w:rPr>
          <w:rFonts w:hint="eastAsia" w:ascii="仿宋" w:hAnsi="仿宋" w:eastAsia="仿宋" w:cs="仿宋"/>
          <w:sz w:val="24"/>
          <w:szCs w:val="24"/>
          <w:highlight w:val="none"/>
        </w:rPr>
        <w:t>五、免责条款</w:t>
      </w:r>
      <w:bookmarkEnd w:id="226"/>
    </w:p>
    <w:p w14:paraId="352E91F7">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1．因你方违反主合同约定致使供应商不能履行义务的，我方不承担保证责任。</w:t>
      </w:r>
    </w:p>
    <w:p w14:paraId="4F00B737">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2．依照法律法规的规定或你方与供应商的另行约定，全部或者部分免除供应商应缴纳的保证金义务的，我方亦免除相应的保证责任。</w:t>
      </w:r>
    </w:p>
    <w:p w14:paraId="61C2E535">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3．因不可抗力造成供应商不能履行供货义务的，我方不承担保证责任。</w:t>
      </w:r>
    </w:p>
    <w:p w14:paraId="1C8CC345">
      <w:pPr>
        <w:ind w:firstLine="480" w:firstLineChars="200"/>
        <w:rPr>
          <w:rFonts w:hint="eastAsia" w:ascii="仿宋" w:hAnsi="仿宋" w:eastAsia="仿宋" w:cs="仿宋"/>
          <w:sz w:val="24"/>
          <w:szCs w:val="24"/>
          <w:highlight w:val="none"/>
        </w:rPr>
      </w:pPr>
      <w:bookmarkStart w:id="227" w:name="_Toc908"/>
      <w:r>
        <w:rPr>
          <w:rFonts w:hint="eastAsia" w:ascii="仿宋" w:hAnsi="仿宋" w:eastAsia="仿宋" w:cs="仿宋"/>
          <w:sz w:val="24"/>
          <w:szCs w:val="24"/>
          <w:highlight w:val="none"/>
        </w:rPr>
        <w:t>六、争议的解决</w:t>
      </w:r>
      <w:bookmarkEnd w:id="227"/>
    </w:p>
    <w:p w14:paraId="2C031D34">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因本保函发生的纠纷，由你我双方协商解决，协商不成的，通过诉讼程序解决，诉讼管辖地法院为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法院。</w:t>
      </w:r>
    </w:p>
    <w:p w14:paraId="48209036">
      <w:pPr>
        <w:ind w:firstLine="480" w:firstLineChars="200"/>
        <w:rPr>
          <w:rFonts w:hint="eastAsia" w:ascii="仿宋" w:hAnsi="仿宋" w:eastAsia="仿宋" w:cs="仿宋"/>
          <w:sz w:val="24"/>
          <w:szCs w:val="24"/>
          <w:highlight w:val="none"/>
        </w:rPr>
      </w:pPr>
      <w:bookmarkStart w:id="228" w:name="_Toc17651"/>
      <w:r>
        <w:rPr>
          <w:rFonts w:hint="eastAsia" w:ascii="仿宋" w:hAnsi="仿宋" w:eastAsia="仿宋" w:cs="仿宋"/>
          <w:sz w:val="24"/>
          <w:szCs w:val="24"/>
          <w:highlight w:val="none"/>
        </w:rPr>
        <w:t>七、保函的生效</w:t>
      </w:r>
      <w:bookmarkEnd w:id="228"/>
    </w:p>
    <w:p w14:paraId="2C96D7AE">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本保函自我方加盖公章之日起生效。</w:t>
      </w:r>
    </w:p>
    <w:p w14:paraId="6258B4AC">
      <w:pPr>
        <w:pStyle w:val="17"/>
        <w:rPr>
          <w:rFonts w:hint="eastAsia" w:ascii="仿宋" w:hAnsi="仿宋" w:eastAsia="仿宋" w:cs="仿宋"/>
          <w:sz w:val="24"/>
          <w:szCs w:val="24"/>
          <w:highlight w:val="none"/>
        </w:rPr>
      </w:pPr>
    </w:p>
    <w:p w14:paraId="6BBDB017">
      <w:pPr>
        <w:pStyle w:val="2"/>
        <w:tabs>
          <w:tab w:val="left" w:pos="567"/>
        </w:tabs>
        <w:rPr>
          <w:rFonts w:hint="eastAsia" w:ascii="仿宋" w:hAnsi="仿宋" w:eastAsia="仿宋" w:cs="仿宋"/>
          <w:sz w:val="24"/>
          <w:szCs w:val="24"/>
          <w:highlight w:val="none"/>
        </w:rPr>
      </w:pPr>
    </w:p>
    <w:p w14:paraId="435D8062">
      <w:pPr>
        <w:rPr>
          <w:rFonts w:hint="eastAsia" w:ascii="仿宋" w:hAnsi="仿宋" w:eastAsia="仿宋" w:cs="仿宋"/>
          <w:sz w:val="24"/>
          <w:szCs w:val="24"/>
          <w:highlight w:val="none"/>
        </w:rPr>
      </w:pPr>
    </w:p>
    <w:p w14:paraId="6284743C">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34FAEE66">
      <w:pPr>
        <w:ind w:firstLine="5400" w:firstLineChars="2250"/>
        <w:rPr>
          <w:rFonts w:hint="eastAsia" w:ascii="仿宋" w:hAnsi="仿宋" w:eastAsia="仿宋" w:cs="仿宋"/>
          <w:sz w:val="24"/>
          <w:szCs w:val="24"/>
          <w:highlight w:val="none"/>
        </w:rPr>
      </w:pPr>
      <w:r>
        <w:rPr>
          <w:rFonts w:hint="eastAsia" w:ascii="仿宋" w:hAnsi="仿宋" w:eastAsia="仿宋" w:cs="仿宋"/>
          <w:sz w:val="24"/>
          <w:szCs w:val="24"/>
          <w:highlight w:val="none"/>
        </w:rPr>
        <w:t>保证人：（公章）</w:t>
      </w:r>
    </w:p>
    <w:p w14:paraId="7F7ABE0B">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0025E002">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年     月      日</w:t>
      </w:r>
    </w:p>
    <w:p w14:paraId="622BE370">
      <w:pPr>
        <w:rPr>
          <w:rFonts w:hint="eastAsia" w:ascii="仿宋" w:hAnsi="仿宋" w:eastAsia="仿宋" w:cs="仿宋"/>
          <w:sz w:val="24"/>
          <w:szCs w:val="24"/>
          <w:highlight w:val="none"/>
        </w:rPr>
      </w:pPr>
    </w:p>
    <w:p w14:paraId="5084CD95">
      <w:pPr>
        <w:pStyle w:val="22"/>
        <w:ind w:firstLine="0" w:firstLineChars="0"/>
        <w:rPr>
          <w:rFonts w:hint="eastAsia" w:ascii="仿宋" w:hAnsi="仿宋" w:eastAsia="仿宋" w:cs="仿宋"/>
          <w:b/>
          <w:kern w:val="0"/>
          <w:sz w:val="24"/>
          <w:szCs w:val="24"/>
          <w:highlight w:val="none"/>
        </w:rPr>
      </w:pPr>
    </w:p>
    <w:p w14:paraId="75CD51D2">
      <w:pPr>
        <w:pStyle w:val="3"/>
        <w:tabs>
          <w:tab w:val="left" w:pos="0"/>
        </w:tabs>
        <w:spacing w:before="0" w:after="0" w:line="240" w:lineRule="atLeast"/>
        <w:rPr>
          <w:rFonts w:hint="eastAsia" w:ascii="仿宋" w:hAnsi="仿宋" w:eastAsia="仿宋" w:cs="仿宋"/>
          <w:sz w:val="24"/>
          <w:szCs w:val="24"/>
          <w:highlight w:val="none"/>
          <w:lang w:eastAsia="zh-CN"/>
        </w:rPr>
      </w:pPr>
    </w:p>
    <w:p w14:paraId="1E40473A">
      <w:pPr>
        <w:rPr>
          <w:rFonts w:hint="eastAsia" w:ascii="仿宋" w:hAnsi="仿宋" w:eastAsia="仿宋" w:cs="仿宋"/>
          <w:sz w:val="24"/>
          <w:szCs w:val="24"/>
          <w:highlight w:val="none"/>
          <w:lang w:eastAsia="zh-CN"/>
        </w:rPr>
      </w:pPr>
    </w:p>
    <w:p w14:paraId="7707B873">
      <w:pPr>
        <w:pStyle w:val="2"/>
        <w:rPr>
          <w:rFonts w:hint="eastAsia" w:ascii="仿宋" w:hAnsi="仿宋" w:eastAsia="仿宋" w:cs="仿宋"/>
          <w:sz w:val="24"/>
          <w:szCs w:val="24"/>
          <w:highlight w:val="none"/>
          <w:lang w:eastAsia="zh-CN"/>
        </w:rPr>
      </w:pPr>
    </w:p>
    <w:p w14:paraId="36CD1D4D">
      <w:pPr>
        <w:rPr>
          <w:rFonts w:hint="eastAsia" w:ascii="仿宋" w:hAnsi="仿宋" w:eastAsia="仿宋" w:cs="仿宋"/>
          <w:sz w:val="24"/>
          <w:szCs w:val="24"/>
          <w:highlight w:val="none"/>
          <w:lang w:eastAsia="zh-CN"/>
        </w:rPr>
      </w:pPr>
    </w:p>
    <w:p w14:paraId="4DE024AB">
      <w:pPr>
        <w:pStyle w:val="2"/>
        <w:rPr>
          <w:rFonts w:hint="eastAsia" w:ascii="仿宋" w:hAnsi="仿宋" w:eastAsia="仿宋" w:cs="仿宋"/>
          <w:sz w:val="24"/>
          <w:szCs w:val="24"/>
          <w:highlight w:val="none"/>
          <w:lang w:eastAsia="zh-CN"/>
        </w:rPr>
      </w:pPr>
    </w:p>
    <w:p w14:paraId="087EC7A1">
      <w:pPr>
        <w:rPr>
          <w:rFonts w:hint="eastAsia" w:ascii="仿宋" w:hAnsi="仿宋" w:eastAsia="仿宋" w:cs="仿宋"/>
          <w:sz w:val="24"/>
          <w:szCs w:val="24"/>
          <w:highlight w:val="none"/>
          <w:lang w:eastAsia="zh-CN"/>
        </w:rPr>
      </w:pPr>
    </w:p>
    <w:p w14:paraId="63BE4231">
      <w:pPr>
        <w:pStyle w:val="2"/>
        <w:rPr>
          <w:rFonts w:hint="eastAsia" w:ascii="仿宋" w:hAnsi="仿宋" w:eastAsia="仿宋" w:cs="仿宋"/>
          <w:sz w:val="24"/>
          <w:szCs w:val="24"/>
          <w:highlight w:val="none"/>
          <w:lang w:eastAsia="zh-CN"/>
        </w:rPr>
      </w:pPr>
    </w:p>
    <w:p w14:paraId="7B8DD43A">
      <w:pPr>
        <w:rPr>
          <w:rFonts w:hint="eastAsia" w:ascii="仿宋" w:hAnsi="仿宋" w:eastAsia="仿宋" w:cs="仿宋"/>
          <w:sz w:val="24"/>
          <w:szCs w:val="24"/>
          <w:highlight w:val="none"/>
          <w:lang w:eastAsia="zh-CN"/>
        </w:rPr>
      </w:pPr>
    </w:p>
    <w:p w14:paraId="0CA17121">
      <w:pPr>
        <w:pStyle w:val="2"/>
        <w:rPr>
          <w:rFonts w:hint="eastAsia" w:ascii="仿宋" w:hAnsi="仿宋" w:eastAsia="仿宋" w:cs="仿宋"/>
          <w:sz w:val="24"/>
          <w:szCs w:val="24"/>
          <w:highlight w:val="none"/>
          <w:lang w:eastAsia="zh-CN"/>
        </w:rPr>
      </w:pPr>
    </w:p>
    <w:p w14:paraId="2EE255C8">
      <w:pPr>
        <w:rPr>
          <w:rFonts w:hint="eastAsia" w:ascii="仿宋" w:hAnsi="仿宋" w:eastAsia="仿宋" w:cs="仿宋"/>
          <w:sz w:val="24"/>
          <w:szCs w:val="24"/>
          <w:highlight w:val="none"/>
          <w:lang w:eastAsia="zh-CN"/>
        </w:rPr>
      </w:pPr>
    </w:p>
    <w:p w14:paraId="26812B7C">
      <w:pPr>
        <w:pStyle w:val="2"/>
        <w:rPr>
          <w:rFonts w:hint="eastAsia" w:ascii="仿宋" w:hAnsi="仿宋" w:eastAsia="仿宋" w:cs="仿宋"/>
          <w:sz w:val="24"/>
          <w:szCs w:val="24"/>
          <w:highlight w:val="none"/>
          <w:lang w:eastAsia="zh-CN"/>
        </w:rPr>
      </w:pPr>
    </w:p>
    <w:p w14:paraId="0505648F">
      <w:pPr>
        <w:rPr>
          <w:rFonts w:hint="eastAsia" w:ascii="仿宋" w:hAnsi="仿宋" w:eastAsia="仿宋" w:cs="仿宋"/>
          <w:sz w:val="24"/>
          <w:szCs w:val="24"/>
          <w:highlight w:val="none"/>
          <w:lang w:eastAsia="zh-CN"/>
        </w:rPr>
      </w:pPr>
    </w:p>
    <w:p w14:paraId="79A23836">
      <w:pPr>
        <w:pStyle w:val="2"/>
        <w:rPr>
          <w:rFonts w:hint="eastAsia" w:ascii="仿宋" w:hAnsi="仿宋" w:eastAsia="仿宋" w:cs="仿宋"/>
          <w:sz w:val="24"/>
          <w:szCs w:val="24"/>
          <w:lang w:eastAsia="zh-CN"/>
        </w:rPr>
      </w:pPr>
    </w:p>
    <w:p w14:paraId="34F4AF1F">
      <w:pPr>
        <w:pStyle w:val="2"/>
        <w:rPr>
          <w:rFonts w:hint="eastAsia" w:ascii="仿宋" w:hAnsi="仿宋" w:eastAsia="仿宋" w:cs="仿宋"/>
          <w:sz w:val="24"/>
          <w:szCs w:val="24"/>
          <w:highlight w:val="none"/>
          <w:lang w:eastAsia="zh-CN"/>
        </w:rPr>
      </w:pPr>
    </w:p>
    <w:p w14:paraId="791EE0B3">
      <w:pPr>
        <w:rPr>
          <w:rFonts w:hint="eastAsia" w:ascii="仿宋" w:hAnsi="仿宋" w:eastAsia="仿宋" w:cs="仿宋"/>
          <w:sz w:val="24"/>
          <w:szCs w:val="24"/>
          <w:highlight w:val="none"/>
          <w:lang w:eastAsia="zh-CN"/>
        </w:rPr>
      </w:pPr>
    </w:p>
    <w:p w14:paraId="7B1A7AEC">
      <w:pPr>
        <w:pStyle w:val="2"/>
        <w:rPr>
          <w:rFonts w:hint="eastAsia" w:ascii="仿宋" w:hAnsi="仿宋" w:eastAsia="仿宋" w:cs="仿宋"/>
          <w:sz w:val="24"/>
          <w:szCs w:val="24"/>
          <w:highlight w:val="none"/>
          <w:lang w:eastAsia="zh-CN"/>
        </w:rPr>
      </w:pPr>
    </w:p>
    <w:p w14:paraId="137C7E83">
      <w:pPr>
        <w:rPr>
          <w:rFonts w:hint="eastAsia" w:ascii="仿宋" w:hAnsi="仿宋" w:eastAsia="仿宋" w:cs="仿宋"/>
          <w:sz w:val="24"/>
          <w:szCs w:val="24"/>
          <w:highlight w:val="none"/>
          <w:lang w:eastAsia="zh-CN"/>
        </w:rPr>
      </w:pPr>
    </w:p>
    <w:p w14:paraId="73F741F3">
      <w:pPr>
        <w:pStyle w:val="3"/>
        <w:tabs>
          <w:tab w:val="left" w:pos="0"/>
        </w:tabs>
        <w:spacing w:before="0" w:after="0" w:line="240" w:lineRule="atLeast"/>
        <w:jc w:val="both"/>
        <w:rPr>
          <w:rFonts w:hint="eastAsia" w:ascii="仿宋" w:hAnsi="仿宋" w:eastAsia="仿宋" w:cs="仿宋"/>
          <w:sz w:val="24"/>
          <w:szCs w:val="24"/>
          <w:highlight w:val="none"/>
          <w:lang w:eastAsia="zh-CN"/>
        </w:rPr>
      </w:pPr>
    </w:p>
    <w:p w14:paraId="3E4E6C4A">
      <w:pPr>
        <w:pStyle w:val="3"/>
        <w:tabs>
          <w:tab w:val="left" w:pos="0"/>
        </w:tabs>
        <w:spacing w:before="0" w:after="0" w:line="240" w:lineRule="atLeast"/>
        <w:rPr>
          <w:rFonts w:hint="eastAsia" w:ascii="仿宋" w:hAnsi="仿宋" w:eastAsia="仿宋" w:cs="仿宋"/>
          <w:sz w:val="24"/>
          <w:szCs w:val="24"/>
          <w:highlight w:val="none"/>
          <w:lang w:eastAsia="zh-CN"/>
        </w:rPr>
      </w:pPr>
    </w:p>
    <w:p w14:paraId="78961A88">
      <w:pPr>
        <w:rPr>
          <w:rFonts w:hint="eastAsia" w:ascii="仿宋" w:hAnsi="仿宋" w:eastAsia="仿宋" w:cs="仿宋"/>
          <w:sz w:val="24"/>
          <w:szCs w:val="24"/>
          <w:highlight w:val="none"/>
          <w:lang w:eastAsia="zh-CN"/>
        </w:rPr>
      </w:pPr>
    </w:p>
    <w:p w14:paraId="6CBD0DEB">
      <w:pPr>
        <w:pStyle w:val="2"/>
        <w:rPr>
          <w:rFonts w:hint="eastAsia" w:ascii="仿宋" w:hAnsi="仿宋" w:eastAsia="仿宋" w:cs="仿宋"/>
          <w:sz w:val="24"/>
          <w:szCs w:val="24"/>
          <w:lang w:eastAsia="zh-CN"/>
        </w:rPr>
      </w:pPr>
    </w:p>
    <w:p w14:paraId="1200991D">
      <w:pPr>
        <w:pStyle w:val="3"/>
        <w:numPr>
          <w:ilvl w:val="0"/>
          <w:numId w:val="0"/>
        </w:numPr>
        <w:tabs>
          <w:tab w:val="left" w:pos="0"/>
        </w:tabs>
        <w:spacing w:before="0" w:after="0" w:line="240" w:lineRule="atLeast"/>
        <w:ind w:leftChars="0"/>
        <w:jc w:val="center"/>
        <w:rPr>
          <w:rFonts w:hint="eastAsia" w:ascii="仿宋" w:hAnsi="仿宋" w:eastAsia="仿宋" w:cs="仿宋"/>
          <w:b/>
          <w:sz w:val="36"/>
          <w:szCs w:val="36"/>
          <w:lang w:eastAsia="zh-CN"/>
        </w:rPr>
      </w:pPr>
      <w:r>
        <w:rPr>
          <w:rFonts w:hint="eastAsia" w:ascii="仿宋" w:hAnsi="仿宋" w:eastAsia="仿宋" w:cs="仿宋"/>
          <w:b/>
          <w:sz w:val="36"/>
          <w:szCs w:val="36"/>
          <w:lang w:eastAsia="zh-CN"/>
        </w:rPr>
        <w:t xml:space="preserve"> </w:t>
      </w:r>
      <w:bookmarkStart w:id="229" w:name="_Toc28709"/>
      <w:bookmarkStart w:id="230" w:name="_Toc11870"/>
      <w:bookmarkStart w:id="231" w:name="_Toc18867"/>
      <w:bookmarkStart w:id="232" w:name="_Toc22624"/>
      <w:bookmarkStart w:id="233" w:name="_Toc3964"/>
      <w:bookmarkStart w:id="234" w:name="_Toc30544"/>
      <w:bookmarkStart w:id="235" w:name="_Toc5471"/>
      <w:bookmarkStart w:id="236" w:name="_Toc23258"/>
      <w:bookmarkStart w:id="237" w:name="_Toc8272"/>
      <w:bookmarkStart w:id="238" w:name="_Toc30862"/>
      <w:bookmarkStart w:id="239" w:name="_Toc9326"/>
      <w:bookmarkStart w:id="240" w:name="_Toc15055"/>
      <w:bookmarkStart w:id="241" w:name="_Toc2510"/>
      <w:bookmarkStart w:id="242" w:name="_Toc17793"/>
      <w:bookmarkStart w:id="243" w:name="_Toc16162"/>
      <w:bookmarkStart w:id="244" w:name="_Toc1687"/>
      <w:r>
        <w:rPr>
          <w:rFonts w:hint="eastAsia" w:ascii="仿宋" w:hAnsi="仿宋" w:eastAsia="仿宋" w:cs="仿宋"/>
          <w:b/>
          <w:sz w:val="36"/>
          <w:szCs w:val="36"/>
          <w:lang w:eastAsia="zh-CN"/>
        </w:rPr>
        <w:t>第二章  响应文件格式</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7A4C1AE9">
      <w:pPr>
        <w:rPr>
          <w:rFonts w:hint="eastAsia" w:ascii="仿宋" w:hAnsi="仿宋" w:eastAsia="仿宋" w:cs="仿宋"/>
          <w:sz w:val="24"/>
          <w:szCs w:val="24"/>
          <w:highlight w:val="none"/>
        </w:rPr>
      </w:pPr>
    </w:p>
    <w:p w14:paraId="69D40E95">
      <w:pPr>
        <w:rPr>
          <w:rFonts w:hint="eastAsia" w:ascii="仿宋" w:hAnsi="仿宋" w:eastAsia="仿宋" w:cs="仿宋"/>
          <w:color w:val="auto"/>
          <w:sz w:val="24"/>
          <w:szCs w:val="24"/>
          <w:highlight w:val="none"/>
        </w:rPr>
      </w:pPr>
    </w:p>
    <w:p w14:paraId="1987FF05">
      <w:pPr>
        <w:pStyle w:val="4"/>
        <w:spacing w:before="0" w:line="240" w:lineRule="atLeast"/>
        <w:ind w:left="1080" w:leftChars="257" w:hanging="540"/>
        <w:rPr>
          <w:rFonts w:hint="eastAsia" w:ascii="仿宋" w:hAnsi="仿宋" w:eastAsia="仿宋" w:cs="仿宋"/>
          <w:color w:val="auto"/>
          <w:sz w:val="32"/>
          <w:szCs w:val="32"/>
          <w:highlight w:val="none"/>
        </w:rPr>
      </w:pPr>
      <w:bookmarkStart w:id="245" w:name="_Toc25825"/>
      <w:bookmarkStart w:id="246" w:name="_Toc24822"/>
      <w:bookmarkStart w:id="247" w:name="_Toc11730"/>
      <w:bookmarkStart w:id="248" w:name="_Toc8875"/>
      <w:bookmarkStart w:id="249" w:name="_Toc11201"/>
      <w:bookmarkStart w:id="250" w:name="_Toc14363"/>
      <w:bookmarkStart w:id="251" w:name="_Toc1308"/>
      <w:bookmarkStart w:id="252" w:name="_Toc32210"/>
      <w:bookmarkStart w:id="253" w:name="_Toc13309"/>
      <w:bookmarkStart w:id="254" w:name="_Toc10047"/>
      <w:bookmarkStart w:id="255" w:name="_Toc21312"/>
      <w:bookmarkStart w:id="256" w:name="_Toc7162"/>
      <w:r>
        <w:rPr>
          <w:rFonts w:hint="eastAsia" w:ascii="仿宋" w:hAnsi="仿宋" w:eastAsia="仿宋" w:cs="仿宋"/>
          <w:color w:val="auto"/>
          <w:sz w:val="32"/>
          <w:szCs w:val="32"/>
          <w:highlight w:val="none"/>
        </w:rPr>
        <w:t>第一部分 开标一览表及资格证明文件</w:t>
      </w:r>
      <w:bookmarkEnd w:id="245"/>
      <w:bookmarkEnd w:id="246"/>
      <w:bookmarkEnd w:id="247"/>
      <w:bookmarkEnd w:id="248"/>
      <w:bookmarkEnd w:id="249"/>
      <w:bookmarkEnd w:id="250"/>
      <w:bookmarkEnd w:id="251"/>
      <w:bookmarkEnd w:id="252"/>
      <w:bookmarkEnd w:id="253"/>
      <w:bookmarkEnd w:id="254"/>
      <w:bookmarkEnd w:id="255"/>
      <w:bookmarkEnd w:id="256"/>
    </w:p>
    <w:p w14:paraId="3E5B5A54">
      <w:pPr>
        <w:pStyle w:val="4"/>
        <w:spacing w:before="0" w:line="240" w:lineRule="atLeast"/>
        <w:ind w:left="1080" w:leftChars="257" w:hanging="540"/>
        <w:rPr>
          <w:rFonts w:hint="eastAsia" w:ascii="仿宋" w:hAnsi="仿宋" w:eastAsia="仿宋" w:cs="仿宋"/>
          <w:color w:val="auto"/>
          <w:sz w:val="24"/>
          <w:szCs w:val="24"/>
          <w:highlight w:val="none"/>
        </w:rPr>
      </w:pPr>
    </w:p>
    <w:p w14:paraId="1F6D5A39">
      <w:pPr>
        <w:pStyle w:val="12"/>
        <w:tabs>
          <w:tab w:val="left" w:pos="5580"/>
        </w:tabs>
        <w:spacing w:line="240" w:lineRule="atLeast"/>
        <w:rPr>
          <w:rFonts w:hint="eastAsia" w:ascii="仿宋" w:hAnsi="仿宋" w:eastAsia="仿宋" w:cs="仿宋"/>
          <w:color w:val="auto"/>
          <w:sz w:val="24"/>
          <w:szCs w:val="24"/>
          <w:highlight w:val="none"/>
        </w:rPr>
      </w:pPr>
    </w:p>
    <w:p w14:paraId="70B69F29">
      <w:pPr>
        <w:pStyle w:val="12"/>
        <w:tabs>
          <w:tab w:val="left" w:pos="5580"/>
        </w:tabs>
        <w:spacing w:line="240" w:lineRule="atLeast"/>
        <w:ind w:left="269" w:leftChars="128"/>
        <w:rPr>
          <w:rFonts w:hint="eastAsia" w:ascii="仿宋" w:hAnsi="仿宋" w:eastAsia="仿宋" w:cs="仿宋"/>
          <w:color w:val="auto"/>
          <w:sz w:val="24"/>
          <w:szCs w:val="24"/>
          <w:highlight w:val="none"/>
        </w:rPr>
      </w:pPr>
    </w:p>
    <w:p w14:paraId="041615ED">
      <w:pPr>
        <w:pStyle w:val="12"/>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1、开标一览表</w:t>
      </w:r>
    </w:p>
    <w:p w14:paraId="4E169C96">
      <w:pPr>
        <w:pStyle w:val="12"/>
        <w:numPr>
          <w:ilvl w:val="0"/>
          <w:numId w:val="0"/>
        </w:numPr>
        <w:spacing w:line="288" w:lineRule="auto"/>
        <w:ind w:left="420" w:leftChars="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投标函</w:t>
      </w:r>
    </w:p>
    <w:p w14:paraId="521D788E">
      <w:pPr>
        <w:pStyle w:val="12"/>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政府采购投标及履约承诺函</w:t>
      </w:r>
    </w:p>
    <w:p w14:paraId="408ABC68">
      <w:pPr>
        <w:pStyle w:val="12"/>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施工单位工程质量责任承诺书</w:t>
      </w:r>
    </w:p>
    <w:p w14:paraId="46D6999C">
      <w:pPr>
        <w:pStyle w:val="12"/>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施工单位工程安全生产承诺书(法定代表人)</w:t>
      </w:r>
    </w:p>
    <w:p w14:paraId="1D9F76A3">
      <w:pPr>
        <w:pStyle w:val="12"/>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6、</w:t>
      </w:r>
      <w:r>
        <w:rPr>
          <w:rFonts w:hint="eastAsia" w:ascii="仿宋" w:hAnsi="仿宋" w:eastAsia="仿宋" w:cs="仿宋"/>
          <w:sz w:val="24"/>
          <w:szCs w:val="24"/>
          <w:highlight w:val="none"/>
          <w:lang w:val="en-US" w:eastAsia="zh-CN"/>
        </w:rPr>
        <w:t>法定代表人身份证明</w:t>
      </w:r>
    </w:p>
    <w:p w14:paraId="02E08F84">
      <w:pPr>
        <w:pStyle w:val="12"/>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7、</w:t>
      </w:r>
      <w:r>
        <w:rPr>
          <w:rFonts w:hint="eastAsia" w:ascii="仿宋" w:hAnsi="仿宋" w:eastAsia="仿宋" w:cs="仿宋"/>
          <w:sz w:val="24"/>
          <w:szCs w:val="24"/>
          <w:highlight w:val="none"/>
          <w:lang w:val="en-US" w:eastAsia="zh-CN"/>
        </w:rPr>
        <w:t>法定代表人授权委托书</w:t>
      </w:r>
    </w:p>
    <w:p w14:paraId="5465F795">
      <w:pPr>
        <w:pStyle w:val="12"/>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8、</w:t>
      </w:r>
      <w:r>
        <w:rPr>
          <w:rFonts w:hint="eastAsia" w:ascii="仿宋" w:hAnsi="仿宋" w:eastAsia="仿宋" w:cs="仿宋"/>
          <w:sz w:val="24"/>
          <w:szCs w:val="24"/>
          <w:highlight w:val="none"/>
          <w:lang w:val="en-US" w:eastAsia="zh-CN"/>
        </w:rPr>
        <w:t>投标保证金缴纳凭证复印件或银行保函复印件</w:t>
      </w:r>
    </w:p>
    <w:p w14:paraId="62F81455">
      <w:pPr>
        <w:pStyle w:val="12"/>
        <w:numPr>
          <w:ilvl w:val="0"/>
          <w:numId w:val="0"/>
        </w:numPr>
        <w:spacing w:line="288" w:lineRule="auto"/>
        <w:ind w:left="420" w:left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9、</w:t>
      </w:r>
      <w:r>
        <w:rPr>
          <w:rFonts w:hint="eastAsia" w:ascii="仿宋" w:hAnsi="仿宋" w:eastAsia="仿宋" w:cs="仿宋"/>
          <w:sz w:val="24"/>
          <w:szCs w:val="24"/>
          <w:highlight w:val="none"/>
          <w:lang w:val="en-US" w:eastAsia="zh-CN"/>
        </w:rPr>
        <w:t>中小企业声明函、（监狱企业适用）、残疾人福利性单位声明函</w:t>
      </w:r>
    </w:p>
    <w:p w14:paraId="0BF84BA4">
      <w:pPr>
        <w:pStyle w:val="12"/>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投标单位（供应商）针对本次项目《反商业贿赂承诺书》</w:t>
      </w:r>
    </w:p>
    <w:p w14:paraId="30BA3F64">
      <w:pPr>
        <w:pStyle w:val="12"/>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参加政府采购活动前3年内在经营活动中没有重大违法记录的书面声明</w:t>
      </w:r>
    </w:p>
    <w:p w14:paraId="6B7CA63F">
      <w:pPr>
        <w:pStyle w:val="12"/>
        <w:numPr>
          <w:ilvl w:val="0"/>
          <w:numId w:val="0"/>
        </w:numPr>
        <w:spacing w:line="288" w:lineRule="auto"/>
        <w:ind w:left="420" w:left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12、供应商须知资料表要求的其他资格证明文件</w:t>
      </w:r>
    </w:p>
    <w:p w14:paraId="67DCCED7">
      <w:pPr>
        <w:pStyle w:val="12"/>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13、近3年发生的被申请强制执行，未履行诉讼及仲裁生效法律文书的情况</w:t>
      </w:r>
    </w:p>
    <w:p w14:paraId="23F21223">
      <w:pPr>
        <w:pStyle w:val="5"/>
        <w:jc w:val="center"/>
        <w:rPr>
          <w:rFonts w:hint="eastAsia" w:ascii="仿宋" w:hAnsi="仿宋" w:eastAsia="仿宋" w:cs="仿宋"/>
          <w:b/>
          <w:bCs w:val="0"/>
          <w:snapToGrid w:val="0"/>
          <w:color w:val="000000"/>
          <w:kern w:val="0"/>
          <w:sz w:val="24"/>
          <w:szCs w:val="24"/>
          <w:highlight w:val="none"/>
          <w:lang w:val="en-US" w:eastAsia="zh-CN" w:bidi="ar-SA"/>
        </w:rPr>
      </w:pPr>
    </w:p>
    <w:p w14:paraId="085B48D4">
      <w:pPr>
        <w:rPr>
          <w:rFonts w:hint="eastAsia" w:ascii="仿宋" w:hAnsi="仿宋" w:eastAsia="仿宋" w:cs="仿宋"/>
          <w:b/>
          <w:bCs w:val="0"/>
          <w:snapToGrid w:val="0"/>
          <w:color w:val="000000"/>
          <w:kern w:val="0"/>
          <w:sz w:val="24"/>
          <w:szCs w:val="24"/>
          <w:highlight w:val="none"/>
          <w:lang w:val="en-US" w:eastAsia="zh-CN" w:bidi="ar-SA"/>
        </w:rPr>
      </w:pPr>
    </w:p>
    <w:p w14:paraId="058C1F14">
      <w:pPr>
        <w:pStyle w:val="2"/>
        <w:rPr>
          <w:rFonts w:hint="eastAsia" w:ascii="仿宋" w:hAnsi="仿宋" w:eastAsia="仿宋" w:cs="仿宋"/>
          <w:b/>
          <w:bCs w:val="0"/>
          <w:snapToGrid w:val="0"/>
          <w:color w:val="000000"/>
          <w:kern w:val="0"/>
          <w:sz w:val="24"/>
          <w:szCs w:val="24"/>
          <w:highlight w:val="none"/>
          <w:lang w:val="en-US" w:eastAsia="zh-CN" w:bidi="ar-SA"/>
        </w:rPr>
      </w:pPr>
    </w:p>
    <w:p w14:paraId="0F0DB159">
      <w:pPr>
        <w:rPr>
          <w:rFonts w:hint="eastAsia" w:ascii="仿宋" w:hAnsi="仿宋" w:eastAsia="仿宋" w:cs="仿宋"/>
          <w:b/>
          <w:bCs w:val="0"/>
          <w:snapToGrid w:val="0"/>
          <w:color w:val="000000"/>
          <w:kern w:val="0"/>
          <w:sz w:val="24"/>
          <w:szCs w:val="24"/>
          <w:highlight w:val="none"/>
          <w:lang w:val="en-US" w:eastAsia="zh-CN" w:bidi="ar-SA"/>
        </w:rPr>
      </w:pPr>
    </w:p>
    <w:p w14:paraId="7B2AFEE2">
      <w:pPr>
        <w:pStyle w:val="2"/>
        <w:rPr>
          <w:rFonts w:hint="eastAsia" w:ascii="仿宋" w:hAnsi="仿宋" w:eastAsia="仿宋" w:cs="仿宋"/>
          <w:b/>
          <w:bCs w:val="0"/>
          <w:snapToGrid w:val="0"/>
          <w:color w:val="000000"/>
          <w:kern w:val="0"/>
          <w:sz w:val="24"/>
          <w:szCs w:val="24"/>
          <w:highlight w:val="none"/>
          <w:lang w:val="en-US" w:eastAsia="zh-CN" w:bidi="ar-SA"/>
        </w:rPr>
      </w:pPr>
    </w:p>
    <w:p w14:paraId="33A531C7">
      <w:pPr>
        <w:rPr>
          <w:rFonts w:hint="eastAsia" w:ascii="仿宋" w:hAnsi="仿宋" w:eastAsia="仿宋" w:cs="仿宋"/>
          <w:b/>
          <w:bCs w:val="0"/>
          <w:snapToGrid w:val="0"/>
          <w:color w:val="000000"/>
          <w:kern w:val="0"/>
          <w:sz w:val="24"/>
          <w:szCs w:val="24"/>
          <w:highlight w:val="none"/>
          <w:lang w:val="en-US" w:eastAsia="zh-CN" w:bidi="ar-SA"/>
        </w:rPr>
      </w:pPr>
    </w:p>
    <w:p w14:paraId="01D200F7">
      <w:pPr>
        <w:pStyle w:val="2"/>
        <w:rPr>
          <w:rFonts w:hint="eastAsia" w:ascii="仿宋" w:hAnsi="仿宋" w:eastAsia="仿宋" w:cs="仿宋"/>
          <w:b/>
          <w:bCs w:val="0"/>
          <w:snapToGrid w:val="0"/>
          <w:color w:val="000000"/>
          <w:kern w:val="0"/>
          <w:sz w:val="24"/>
          <w:szCs w:val="24"/>
          <w:highlight w:val="none"/>
          <w:lang w:val="en-US" w:eastAsia="zh-CN" w:bidi="ar-SA"/>
        </w:rPr>
      </w:pPr>
    </w:p>
    <w:p w14:paraId="49D42F4A">
      <w:pPr>
        <w:rPr>
          <w:rFonts w:hint="eastAsia" w:ascii="仿宋" w:hAnsi="仿宋" w:eastAsia="仿宋" w:cs="仿宋"/>
          <w:b/>
          <w:bCs w:val="0"/>
          <w:snapToGrid w:val="0"/>
          <w:color w:val="000000"/>
          <w:kern w:val="0"/>
          <w:sz w:val="24"/>
          <w:szCs w:val="24"/>
          <w:highlight w:val="none"/>
          <w:lang w:val="en-US" w:eastAsia="zh-CN" w:bidi="ar-SA"/>
        </w:rPr>
      </w:pPr>
    </w:p>
    <w:p w14:paraId="6EBADA7F">
      <w:pPr>
        <w:pStyle w:val="2"/>
        <w:rPr>
          <w:rFonts w:hint="eastAsia" w:ascii="仿宋" w:hAnsi="仿宋" w:eastAsia="仿宋" w:cs="仿宋"/>
          <w:b/>
          <w:bCs w:val="0"/>
          <w:snapToGrid w:val="0"/>
          <w:color w:val="000000"/>
          <w:kern w:val="0"/>
          <w:sz w:val="24"/>
          <w:szCs w:val="24"/>
          <w:highlight w:val="none"/>
          <w:lang w:val="en-US" w:eastAsia="zh-CN" w:bidi="ar-SA"/>
        </w:rPr>
      </w:pPr>
    </w:p>
    <w:p w14:paraId="5B05FCC0">
      <w:pPr>
        <w:rPr>
          <w:rFonts w:hint="eastAsia" w:ascii="仿宋" w:hAnsi="仿宋" w:eastAsia="仿宋" w:cs="仿宋"/>
          <w:b/>
          <w:bCs w:val="0"/>
          <w:snapToGrid w:val="0"/>
          <w:color w:val="000000"/>
          <w:kern w:val="0"/>
          <w:sz w:val="24"/>
          <w:szCs w:val="24"/>
          <w:highlight w:val="none"/>
          <w:lang w:val="en-US" w:eastAsia="zh-CN" w:bidi="ar-SA"/>
        </w:rPr>
      </w:pPr>
    </w:p>
    <w:p w14:paraId="3BF31161">
      <w:pPr>
        <w:pStyle w:val="2"/>
        <w:rPr>
          <w:rFonts w:hint="eastAsia" w:ascii="仿宋" w:hAnsi="仿宋" w:eastAsia="仿宋" w:cs="仿宋"/>
          <w:b/>
          <w:bCs w:val="0"/>
          <w:snapToGrid w:val="0"/>
          <w:color w:val="000000"/>
          <w:kern w:val="0"/>
          <w:sz w:val="24"/>
          <w:szCs w:val="24"/>
          <w:highlight w:val="none"/>
          <w:lang w:val="en-US" w:eastAsia="zh-CN" w:bidi="ar-SA"/>
        </w:rPr>
      </w:pPr>
    </w:p>
    <w:p w14:paraId="1DF93DBC">
      <w:pPr>
        <w:rPr>
          <w:rFonts w:hint="eastAsia" w:ascii="仿宋" w:hAnsi="仿宋" w:eastAsia="仿宋" w:cs="仿宋"/>
          <w:b/>
          <w:bCs w:val="0"/>
          <w:snapToGrid w:val="0"/>
          <w:color w:val="000000"/>
          <w:kern w:val="0"/>
          <w:sz w:val="24"/>
          <w:szCs w:val="24"/>
          <w:highlight w:val="none"/>
          <w:lang w:val="en-US" w:eastAsia="zh-CN" w:bidi="ar-SA"/>
        </w:rPr>
      </w:pPr>
    </w:p>
    <w:p w14:paraId="4A13EECA">
      <w:pPr>
        <w:pStyle w:val="2"/>
        <w:rPr>
          <w:rFonts w:hint="eastAsia" w:ascii="仿宋" w:hAnsi="仿宋" w:eastAsia="仿宋" w:cs="仿宋"/>
          <w:b/>
          <w:bCs w:val="0"/>
          <w:snapToGrid w:val="0"/>
          <w:color w:val="000000"/>
          <w:kern w:val="0"/>
          <w:sz w:val="24"/>
          <w:szCs w:val="24"/>
          <w:highlight w:val="none"/>
          <w:lang w:val="en-US" w:eastAsia="zh-CN" w:bidi="ar-SA"/>
        </w:rPr>
      </w:pPr>
    </w:p>
    <w:p w14:paraId="61383B9C">
      <w:pPr>
        <w:rPr>
          <w:rFonts w:hint="eastAsia" w:ascii="仿宋" w:hAnsi="仿宋" w:eastAsia="仿宋" w:cs="仿宋"/>
          <w:b/>
          <w:bCs w:val="0"/>
          <w:snapToGrid w:val="0"/>
          <w:color w:val="000000"/>
          <w:kern w:val="0"/>
          <w:sz w:val="24"/>
          <w:szCs w:val="24"/>
          <w:highlight w:val="none"/>
          <w:lang w:val="en-US" w:eastAsia="zh-CN" w:bidi="ar-SA"/>
        </w:rPr>
      </w:pPr>
    </w:p>
    <w:p w14:paraId="45EA2BB0">
      <w:pPr>
        <w:pStyle w:val="2"/>
        <w:rPr>
          <w:rFonts w:hint="eastAsia" w:ascii="仿宋" w:hAnsi="仿宋" w:eastAsia="仿宋" w:cs="仿宋"/>
          <w:b/>
          <w:bCs w:val="0"/>
          <w:snapToGrid w:val="0"/>
          <w:color w:val="000000"/>
          <w:kern w:val="0"/>
          <w:sz w:val="24"/>
          <w:szCs w:val="24"/>
          <w:highlight w:val="none"/>
          <w:lang w:val="en-US" w:eastAsia="zh-CN" w:bidi="ar-SA"/>
        </w:rPr>
      </w:pPr>
    </w:p>
    <w:p w14:paraId="710CEFD3">
      <w:pPr>
        <w:rPr>
          <w:rFonts w:hint="eastAsia" w:ascii="仿宋" w:hAnsi="仿宋" w:eastAsia="仿宋" w:cs="仿宋"/>
          <w:b/>
          <w:bCs w:val="0"/>
          <w:snapToGrid w:val="0"/>
          <w:color w:val="000000"/>
          <w:kern w:val="0"/>
          <w:sz w:val="24"/>
          <w:szCs w:val="24"/>
          <w:highlight w:val="none"/>
          <w:lang w:val="en-US" w:eastAsia="zh-CN" w:bidi="ar-SA"/>
        </w:rPr>
      </w:pPr>
    </w:p>
    <w:p w14:paraId="3D7DF47F">
      <w:pPr>
        <w:pStyle w:val="2"/>
        <w:rPr>
          <w:rFonts w:hint="eastAsia" w:ascii="仿宋" w:hAnsi="仿宋" w:eastAsia="仿宋" w:cs="仿宋"/>
          <w:sz w:val="24"/>
          <w:szCs w:val="24"/>
          <w:lang w:val="en-US" w:eastAsia="zh-CN"/>
        </w:rPr>
      </w:pPr>
    </w:p>
    <w:p w14:paraId="08097E47">
      <w:pPr>
        <w:pStyle w:val="2"/>
        <w:rPr>
          <w:rFonts w:hint="eastAsia" w:ascii="仿宋" w:hAnsi="仿宋" w:eastAsia="仿宋" w:cs="仿宋"/>
          <w:sz w:val="24"/>
          <w:szCs w:val="24"/>
          <w:lang w:val="en-US" w:eastAsia="zh-CN"/>
        </w:rPr>
      </w:pPr>
    </w:p>
    <w:p w14:paraId="20BA6652">
      <w:pPr>
        <w:pStyle w:val="5"/>
        <w:jc w:val="center"/>
        <w:rPr>
          <w:rFonts w:hint="eastAsia" w:ascii="仿宋" w:hAnsi="仿宋" w:eastAsia="仿宋" w:cs="仿宋"/>
          <w:color w:val="auto"/>
          <w:sz w:val="36"/>
          <w:szCs w:val="36"/>
          <w:highlight w:val="none"/>
          <w:u w:val="none"/>
        </w:rPr>
      </w:pPr>
      <w:bookmarkStart w:id="257" w:name="_Toc31138"/>
      <w:r>
        <w:rPr>
          <w:rFonts w:hint="eastAsia" w:ascii="仿宋" w:hAnsi="仿宋" w:eastAsia="仿宋" w:cs="仿宋"/>
          <w:b/>
          <w:bCs w:val="0"/>
          <w:snapToGrid w:val="0"/>
          <w:color w:val="000000"/>
          <w:kern w:val="0"/>
          <w:sz w:val="36"/>
          <w:szCs w:val="36"/>
          <w:highlight w:val="none"/>
          <w:u w:val="none"/>
          <w:lang w:val="en-US" w:eastAsia="zh-CN" w:bidi="ar-SA"/>
        </w:rPr>
        <w:t>1 开标一览表</w:t>
      </w:r>
      <w:bookmarkEnd w:id="257"/>
    </w:p>
    <w:p w14:paraId="44F31EE3">
      <w:pPr>
        <w:pStyle w:val="2"/>
        <w:shd w:val="clear"/>
        <w:spacing w:before="78" w:line="219" w:lineRule="auto"/>
        <w:ind w:left="61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项目编号：                </w:t>
      </w:r>
      <w:r>
        <w:rPr>
          <w:rFonts w:hint="eastAsia" w:ascii="仿宋" w:hAnsi="仿宋" w:eastAsia="仿宋" w:cs="仿宋"/>
          <w:color w:val="auto"/>
          <w:spacing w:val="-1"/>
          <w:sz w:val="24"/>
          <w:szCs w:val="24"/>
          <w:highlight w:val="none"/>
        </w:rPr>
        <w:t xml:space="preserve"> 分包号：/</w:t>
      </w:r>
    </w:p>
    <w:p w14:paraId="1125E008">
      <w:pPr>
        <w:pStyle w:val="2"/>
        <w:shd w:val="clear"/>
        <w:spacing w:before="27" w:line="211" w:lineRule="auto"/>
        <w:ind w:left="61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报价单位：人民币  </w:t>
      </w:r>
      <w:r>
        <w:rPr>
          <w:rFonts w:hint="eastAsia" w:ascii="仿宋" w:hAnsi="仿宋" w:eastAsia="仿宋" w:cs="仿宋"/>
          <w:b/>
          <w:bCs/>
          <w:color w:val="auto"/>
          <w:sz w:val="24"/>
          <w:szCs w:val="24"/>
          <w:highlight w:val="none"/>
        </w:rPr>
        <w:t>元</w:t>
      </w:r>
    </w:p>
    <w:tbl>
      <w:tblPr>
        <w:tblStyle w:val="26"/>
        <w:tblW w:w="9159"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961"/>
        <w:gridCol w:w="2180"/>
        <w:gridCol w:w="1083"/>
        <w:gridCol w:w="1375"/>
        <w:gridCol w:w="1137"/>
      </w:tblGrid>
      <w:tr w14:paraId="1F97E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423" w:type="dxa"/>
            <w:tcBorders>
              <w:top w:val="single" w:color="000000" w:sz="2" w:space="0"/>
              <w:left w:val="single" w:color="000000" w:sz="2" w:space="0"/>
            </w:tcBorders>
            <w:vAlign w:val="top"/>
          </w:tcPr>
          <w:p w14:paraId="73449ED8">
            <w:pPr>
              <w:shd w:val="clear"/>
              <w:spacing w:before="216" w:line="220" w:lineRule="auto"/>
              <w:ind w:left="258"/>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项目名称</w:t>
            </w:r>
          </w:p>
        </w:tc>
        <w:tc>
          <w:tcPr>
            <w:tcW w:w="1961" w:type="dxa"/>
            <w:tcBorders>
              <w:top w:val="single" w:color="000000" w:sz="2" w:space="0"/>
              <w:right w:val="single" w:color="000000" w:sz="2" w:space="0"/>
            </w:tcBorders>
            <w:vAlign w:val="top"/>
          </w:tcPr>
          <w:p w14:paraId="77F60F15">
            <w:pPr>
              <w:shd w:val="clear"/>
              <w:spacing w:before="216" w:line="218" w:lineRule="auto"/>
              <w:ind w:left="697"/>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投标总价</w:t>
            </w:r>
          </w:p>
        </w:tc>
        <w:tc>
          <w:tcPr>
            <w:tcW w:w="2180" w:type="dxa"/>
            <w:tcBorders>
              <w:left w:val="single" w:color="000000" w:sz="2" w:space="0"/>
              <w:right w:val="single" w:color="000000" w:sz="2" w:space="0"/>
            </w:tcBorders>
            <w:vAlign w:val="top"/>
          </w:tcPr>
          <w:p w14:paraId="75F320EC">
            <w:pPr>
              <w:shd w:val="clear"/>
              <w:spacing w:before="216" w:line="218" w:lineRule="auto"/>
              <w:rPr>
                <w:rFonts w:hint="eastAsia"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rPr>
              <w:t>磋商保证金</w:t>
            </w:r>
            <w:r>
              <w:rPr>
                <w:rFonts w:hint="eastAsia" w:ascii="仿宋" w:hAnsi="仿宋" w:eastAsia="仿宋" w:cs="仿宋"/>
                <w:color w:val="auto"/>
                <w:spacing w:val="-4"/>
                <w:sz w:val="24"/>
                <w:szCs w:val="24"/>
                <w:highlight w:val="none"/>
                <w:lang w:val="en-US" w:eastAsia="zh-CN"/>
              </w:rPr>
              <w:t>金额及缴纳方式</w:t>
            </w:r>
          </w:p>
        </w:tc>
        <w:tc>
          <w:tcPr>
            <w:tcW w:w="1083" w:type="dxa"/>
            <w:tcBorders>
              <w:left w:val="single" w:color="000000" w:sz="2" w:space="0"/>
              <w:right w:val="single" w:color="000000" w:sz="2" w:space="0"/>
            </w:tcBorders>
            <w:vAlign w:val="top"/>
          </w:tcPr>
          <w:p w14:paraId="32FFCC14">
            <w:pPr>
              <w:shd w:val="clear"/>
              <w:spacing w:before="216" w:line="220" w:lineRule="auto"/>
              <w:ind w:firstLine="226" w:firstLineChars="100"/>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工期</w:t>
            </w:r>
          </w:p>
        </w:tc>
        <w:tc>
          <w:tcPr>
            <w:tcW w:w="1375" w:type="dxa"/>
            <w:tcBorders>
              <w:left w:val="single" w:color="000000" w:sz="2" w:space="0"/>
              <w:right w:val="single" w:color="000000" w:sz="2" w:space="0"/>
            </w:tcBorders>
            <w:vAlign w:val="top"/>
          </w:tcPr>
          <w:p w14:paraId="31824141">
            <w:pPr>
              <w:shd w:val="clear"/>
              <w:spacing w:before="216" w:line="220" w:lineRule="auto"/>
              <w:ind w:firstLine="226" w:firstLineChars="100"/>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lang w:val="en-US" w:eastAsia="zh-CN"/>
              </w:rPr>
              <w:t>项目负责人</w:t>
            </w:r>
          </w:p>
        </w:tc>
        <w:tc>
          <w:tcPr>
            <w:tcW w:w="1137" w:type="dxa"/>
            <w:tcBorders>
              <w:left w:val="single" w:color="000000" w:sz="2" w:space="0"/>
            </w:tcBorders>
            <w:vAlign w:val="top"/>
          </w:tcPr>
          <w:p w14:paraId="5A2458F0">
            <w:pPr>
              <w:shd w:val="clear"/>
              <w:spacing w:before="216" w:line="221" w:lineRule="auto"/>
              <w:ind w:left="338"/>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备注</w:t>
            </w:r>
          </w:p>
        </w:tc>
      </w:tr>
      <w:tr w14:paraId="57205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44" w:hRule="atLeast"/>
        </w:trPr>
        <w:tc>
          <w:tcPr>
            <w:tcW w:w="1423" w:type="dxa"/>
            <w:tcBorders>
              <w:left w:val="single" w:color="000000" w:sz="2" w:space="0"/>
            </w:tcBorders>
            <w:vAlign w:val="top"/>
          </w:tcPr>
          <w:p w14:paraId="6FBD2039">
            <w:pPr>
              <w:shd w:val="clear"/>
              <w:rPr>
                <w:rFonts w:hint="eastAsia" w:ascii="仿宋" w:hAnsi="仿宋" w:eastAsia="仿宋" w:cs="仿宋"/>
                <w:color w:val="auto"/>
                <w:sz w:val="24"/>
                <w:szCs w:val="24"/>
                <w:highlight w:val="none"/>
              </w:rPr>
            </w:pPr>
          </w:p>
        </w:tc>
        <w:tc>
          <w:tcPr>
            <w:tcW w:w="1961" w:type="dxa"/>
            <w:tcBorders>
              <w:right w:val="single" w:color="000000" w:sz="2" w:space="0"/>
            </w:tcBorders>
            <w:vAlign w:val="top"/>
          </w:tcPr>
          <w:p w14:paraId="508F16E3">
            <w:pPr>
              <w:shd w:val="clear"/>
              <w:spacing w:line="463" w:lineRule="auto"/>
              <w:rPr>
                <w:rFonts w:hint="eastAsia" w:ascii="仿宋" w:hAnsi="仿宋" w:eastAsia="仿宋" w:cs="仿宋"/>
                <w:color w:val="auto"/>
                <w:sz w:val="24"/>
                <w:szCs w:val="24"/>
                <w:highlight w:val="none"/>
              </w:rPr>
            </w:pPr>
          </w:p>
          <w:p w14:paraId="1C8C0603">
            <w:pPr>
              <w:shd w:val="clear"/>
              <w:spacing w:before="78"/>
              <w:ind w:left="13"/>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大写：</w:t>
            </w:r>
          </w:p>
          <w:p w14:paraId="28BA76C3">
            <w:pPr>
              <w:shd w:val="clear"/>
              <w:spacing w:line="221" w:lineRule="auto"/>
              <w:ind w:left="16"/>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小写：</w:t>
            </w:r>
          </w:p>
        </w:tc>
        <w:tc>
          <w:tcPr>
            <w:tcW w:w="2180" w:type="dxa"/>
            <w:tcBorders>
              <w:left w:val="single" w:color="000000" w:sz="2" w:space="0"/>
              <w:right w:val="single" w:color="000000" w:sz="2" w:space="0"/>
            </w:tcBorders>
            <w:vAlign w:val="top"/>
          </w:tcPr>
          <w:p w14:paraId="4F721082">
            <w:pPr>
              <w:shd w:val="clear"/>
              <w:rPr>
                <w:rFonts w:hint="eastAsia" w:ascii="仿宋" w:hAnsi="仿宋" w:eastAsia="仿宋" w:cs="仿宋"/>
                <w:color w:val="auto"/>
                <w:sz w:val="24"/>
                <w:szCs w:val="24"/>
                <w:highlight w:val="none"/>
              </w:rPr>
            </w:pPr>
          </w:p>
        </w:tc>
        <w:tc>
          <w:tcPr>
            <w:tcW w:w="1083" w:type="dxa"/>
            <w:tcBorders>
              <w:left w:val="single" w:color="000000" w:sz="2" w:space="0"/>
              <w:right w:val="single" w:color="000000" w:sz="2" w:space="0"/>
            </w:tcBorders>
            <w:vAlign w:val="top"/>
          </w:tcPr>
          <w:p w14:paraId="4FB76D10">
            <w:pPr>
              <w:shd w:val="clear"/>
              <w:rPr>
                <w:rFonts w:hint="eastAsia" w:ascii="仿宋" w:hAnsi="仿宋" w:eastAsia="仿宋" w:cs="仿宋"/>
                <w:color w:val="auto"/>
                <w:sz w:val="24"/>
                <w:szCs w:val="24"/>
                <w:highlight w:val="none"/>
              </w:rPr>
            </w:pPr>
          </w:p>
        </w:tc>
        <w:tc>
          <w:tcPr>
            <w:tcW w:w="1375" w:type="dxa"/>
            <w:tcBorders>
              <w:left w:val="single" w:color="000000" w:sz="2" w:space="0"/>
              <w:right w:val="single" w:color="000000" w:sz="2" w:space="0"/>
            </w:tcBorders>
            <w:vAlign w:val="top"/>
          </w:tcPr>
          <w:p w14:paraId="19706BF5">
            <w:pPr>
              <w:shd w:val="clear"/>
              <w:rPr>
                <w:rFonts w:hint="eastAsia" w:ascii="仿宋" w:hAnsi="仿宋" w:eastAsia="仿宋" w:cs="仿宋"/>
                <w:color w:val="auto"/>
                <w:sz w:val="24"/>
                <w:szCs w:val="24"/>
                <w:highlight w:val="none"/>
              </w:rPr>
            </w:pPr>
          </w:p>
        </w:tc>
        <w:tc>
          <w:tcPr>
            <w:tcW w:w="1137" w:type="dxa"/>
            <w:tcBorders>
              <w:left w:val="single" w:color="000000" w:sz="2" w:space="0"/>
            </w:tcBorders>
            <w:vAlign w:val="top"/>
          </w:tcPr>
          <w:p w14:paraId="2988CE7B">
            <w:pPr>
              <w:shd w:val="clear"/>
              <w:rPr>
                <w:rFonts w:hint="eastAsia" w:ascii="仿宋" w:hAnsi="仿宋" w:eastAsia="仿宋" w:cs="仿宋"/>
                <w:color w:val="auto"/>
                <w:sz w:val="24"/>
                <w:szCs w:val="24"/>
                <w:highlight w:val="none"/>
              </w:rPr>
            </w:pPr>
          </w:p>
        </w:tc>
      </w:tr>
    </w:tbl>
    <w:p w14:paraId="51751B3C">
      <w:pPr>
        <w:shd w:val="clear"/>
        <w:spacing w:line="296" w:lineRule="auto"/>
        <w:rPr>
          <w:rFonts w:hint="eastAsia" w:ascii="仿宋" w:hAnsi="仿宋" w:eastAsia="仿宋" w:cs="仿宋"/>
          <w:color w:val="auto"/>
          <w:sz w:val="24"/>
          <w:szCs w:val="24"/>
          <w:highlight w:val="none"/>
        </w:rPr>
      </w:pPr>
    </w:p>
    <w:p w14:paraId="4A6E30D9">
      <w:pPr>
        <w:shd w:val="clear"/>
        <w:spacing w:line="297" w:lineRule="auto"/>
        <w:rPr>
          <w:rFonts w:hint="eastAsia" w:ascii="仿宋" w:hAnsi="仿宋" w:eastAsia="仿宋" w:cs="仿宋"/>
          <w:color w:val="auto"/>
          <w:sz w:val="24"/>
          <w:szCs w:val="24"/>
          <w:highlight w:val="none"/>
        </w:rPr>
      </w:pPr>
    </w:p>
    <w:p w14:paraId="5D983D3B">
      <w:pPr>
        <w:shd w:val="clear"/>
        <w:spacing w:line="297" w:lineRule="auto"/>
        <w:rPr>
          <w:rFonts w:hint="eastAsia" w:ascii="仿宋" w:hAnsi="仿宋" w:eastAsia="仿宋" w:cs="仿宋"/>
          <w:color w:val="auto"/>
          <w:sz w:val="24"/>
          <w:szCs w:val="24"/>
          <w:highlight w:val="none"/>
        </w:rPr>
      </w:pPr>
    </w:p>
    <w:p w14:paraId="79E917D6">
      <w:pPr>
        <w:pStyle w:val="2"/>
        <w:shd w:val="clear"/>
        <w:spacing w:before="78"/>
        <w:ind w:left="618"/>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投标人名称（单位章</w:t>
      </w:r>
      <w:r>
        <w:rPr>
          <w:rFonts w:hint="eastAsia" w:ascii="仿宋" w:hAnsi="仿宋" w:eastAsia="仿宋" w:cs="仿宋"/>
          <w:color w:val="auto"/>
          <w:spacing w:val="2"/>
          <w:sz w:val="24"/>
          <w:szCs w:val="24"/>
          <w:highlight w:val="none"/>
        </w:rPr>
        <w:t>）：</w:t>
      </w:r>
      <w:r>
        <w:rPr>
          <w:rFonts w:hint="eastAsia" w:ascii="仿宋" w:hAnsi="仿宋" w:eastAsia="仿宋" w:cs="仿宋"/>
          <w:color w:val="auto"/>
          <w:sz w:val="24"/>
          <w:szCs w:val="24"/>
          <w:highlight w:val="none"/>
          <w:u w:val="single" w:color="auto"/>
        </w:rPr>
        <w:t xml:space="preserve">                       </w:t>
      </w:r>
    </w:p>
    <w:p w14:paraId="0F9D4060">
      <w:pPr>
        <w:pStyle w:val="2"/>
        <w:shd w:val="clear"/>
        <w:spacing w:line="219" w:lineRule="auto"/>
        <w:ind w:left="616"/>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法定代表人或其委托代理人(签字</w:t>
      </w:r>
      <w:r>
        <w:rPr>
          <w:rFonts w:hint="eastAsia" w:ascii="仿宋" w:hAnsi="仿宋" w:eastAsia="仿宋" w:cs="仿宋"/>
          <w:color w:val="auto"/>
          <w:spacing w:val="-1"/>
          <w:sz w:val="24"/>
          <w:szCs w:val="24"/>
          <w:highlight w:val="none"/>
          <w:lang w:val="en-US" w:eastAsia="zh-CN"/>
        </w:rPr>
        <w:t>/签章</w:t>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u w:val="single" w:color="auto"/>
        </w:rPr>
        <w:t xml:space="preserve">           </w:t>
      </w:r>
    </w:p>
    <w:p w14:paraId="07AA6192">
      <w:pPr>
        <w:shd w:val="clear"/>
        <w:spacing w:line="284" w:lineRule="auto"/>
        <w:rPr>
          <w:rFonts w:hint="eastAsia" w:ascii="仿宋" w:hAnsi="仿宋" w:eastAsia="仿宋" w:cs="仿宋"/>
          <w:color w:val="auto"/>
          <w:sz w:val="24"/>
          <w:szCs w:val="24"/>
          <w:highlight w:val="none"/>
        </w:rPr>
      </w:pPr>
    </w:p>
    <w:p w14:paraId="3B48CD0F">
      <w:pPr>
        <w:shd w:val="clear"/>
        <w:spacing w:line="285" w:lineRule="auto"/>
        <w:rPr>
          <w:rFonts w:hint="eastAsia" w:ascii="仿宋" w:hAnsi="仿宋" w:eastAsia="仿宋" w:cs="仿宋"/>
          <w:color w:val="auto"/>
          <w:sz w:val="24"/>
          <w:szCs w:val="24"/>
          <w:highlight w:val="none"/>
        </w:rPr>
      </w:pPr>
    </w:p>
    <w:p w14:paraId="09CAA618">
      <w:pPr>
        <w:pStyle w:val="2"/>
        <w:shd w:val="clear"/>
        <w:spacing w:before="78" w:line="218" w:lineRule="auto"/>
        <w:ind w:left="555"/>
        <w:rPr>
          <w:rFonts w:hint="eastAsia" w:ascii="仿宋" w:hAnsi="仿宋" w:eastAsia="仿宋" w:cs="仿宋"/>
          <w:color w:val="auto"/>
          <w:sz w:val="24"/>
          <w:szCs w:val="24"/>
          <w:highlight w:val="none"/>
        </w:rPr>
        <w:sectPr>
          <w:headerReference r:id="rId6" w:type="default"/>
          <w:footerReference r:id="rId7" w:type="default"/>
          <w:pgSz w:w="11906" w:h="16839"/>
          <w:pgMar w:top="1429" w:right="1722" w:bottom="1167" w:left="1014" w:header="0" w:footer="987" w:gutter="0"/>
          <w:pgNumType w:fmt="decimal" w:start="1"/>
          <w:cols w:space="720" w:num="1"/>
        </w:sectPr>
      </w:pPr>
      <w:r>
        <w:rPr>
          <w:rFonts w:hint="eastAsia" w:ascii="仿宋" w:hAnsi="仿宋" w:eastAsia="仿宋" w:cs="仿宋"/>
          <w:color w:val="auto"/>
          <w:spacing w:val="-1"/>
          <w:sz w:val="24"/>
          <w:szCs w:val="24"/>
          <w:highlight w:val="none"/>
        </w:rPr>
        <w:t>注:此表中，每包的投标总价应和投标分项报价表的总价相一致</w:t>
      </w:r>
    </w:p>
    <w:p w14:paraId="23BD0411">
      <w:pPr>
        <w:pStyle w:val="5"/>
        <w:jc w:val="center"/>
        <w:rPr>
          <w:rFonts w:hint="eastAsia" w:ascii="仿宋" w:hAnsi="仿宋" w:eastAsia="仿宋" w:cs="仿宋"/>
          <w:b/>
          <w:bCs w:val="0"/>
          <w:snapToGrid w:val="0"/>
          <w:color w:val="000000"/>
          <w:kern w:val="0"/>
          <w:sz w:val="36"/>
          <w:szCs w:val="36"/>
          <w:highlight w:val="none"/>
          <w:lang w:val="en-US" w:eastAsia="zh-CN" w:bidi="ar-SA"/>
        </w:rPr>
      </w:pPr>
      <w:bookmarkStart w:id="258" w:name="_Toc14443"/>
      <w:bookmarkStart w:id="259" w:name="_Toc11707"/>
      <w:bookmarkStart w:id="260" w:name="_Toc27716"/>
      <w:bookmarkStart w:id="261" w:name="_Toc28754"/>
      <w:bookmarkStart w:id="262" w:name="_Toc10939"/>
      <w:bookmarkStart w:id="263" w:name="_Toc17923"/>
      <w:bookmarkStart w:id="264" w:name="_Toc13608"/>
      <w:bookmarkStart w:id="265" w:name="_Toc12324"/>
      <w:bookmarkStart w:id="266" w:name="_Toc29361"/>
      <w:bookmarkStart w:id="267" w:name="_Toc3315"/>
      <w:bookmarkStart w:id="268" w:name="_Toc3935"/>
      <w:bookmarkStart w:id="269" w:name="_Toc29224"/>
      <w:r>
        <w:rPr>
          <w:rFonts w:hint="eastAsia" w:ascii="仿宋" w:hAnsi="仿宋" w:eastAsia="仿宋" w:cs="仿宋"/>
          <w:b/>
          <w:bCs w:val="0"/>
          <w:snapToGrid w:val="0"/>
          <w:color w:val="000000"/>
          <w:kern w:val="0"/>
          <w:sz w:val="36"/>
          <w:szCs w:val="36"/>
          <w:highlight w:val="none"/>
          <w:u w:val="none"/>
          <w:lang w:val="en-US" w:eastAsia="zh-CN" w:bidi="ar-SA"/>
        </w:rPr>
        <w:t>2 投标函</w:t>
      </w:r>
      <w:bookmarkEnd w:id="258"/>
      <w:bookmarkEnd w:id="259"/>
    </w:p>
    <w:p w14:paraId="6266D8DC">
      <w:pPr>
        <w:spacing w:line="360" w:lineRule="auto"/>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 xml:space="preserve">致： </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u w:val="single"/>
          <w:lang w:val="en-US" w:eastAsia="zh-CN" w:bidi="ar-SA"/>
        </w:rPr>
        <w:t>（采购人）</w:t>
      </w:r>
      <w:r>
        <w:rPr>
          <w:rFonts w:hint="eastAsia" w:ascii="仿宋" w:hAnsi="仿宋" w:eastAsia="仿宋" w:cs="仿宋"/>
          <w:b w:val="0"/>
          <w:bCs w:val="0"/>
          <w:snapToGrid w:val="0"/>
          <w:color w:val="000000"/>
          <w:kern w:val="0"/>
          <w:sz w:val="24"/>
          <w:szCs w:val="24"/>
          <w:highlight w:val="none"/>
          <w:lang w:val="en-US" w:eastAsia="zh-CN"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 xml:space="preserve">  </w:t>
      </w:r>
    </w:p>
    <w:p w14:paraId="4450271F">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1、根据已收到贵单位的项目编号为</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的</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项目的</w:t>
      </w:r>
      <w:r>
        <w:rPr>
          <w:rFonts w:hint="eastAsia" w:ascii="仿宋" w:hAnsi="仿宋" w:eastAsia="仿宋" w:cs="仿宋"/>
          <w:b w:val="0"/>
          <w:bCs w:val="0"/>
          <w:snapToGrid w:val="0"/>
          <w:color w:val="000000"/>
          <w:kern w:val="0"/>
          <w:sz w:val="24"/>
          <w:szCs w:val="24"/>
          <w:highlight w:val="none"/>
          <w:lang w:val="en-US" w:eastAsia="zh-CN" w:bidi="ar-SA"/>
        </w:rPr>
        <w:t>磋商文件</w:t>
      </w:r>
      <w:r>
        <w:rPr>
          <w:rFonts w:hint="eastAsia" w:ascii="仿宋" w:hAnsi="仿宋" w:eastAsia="仿宋" w:cs="仿宋"/>
          <w:b w:val="0"/>
          <w:bCs w:val="0"/>
          <w:snapToGrid w:val="0"/>
          <w:color w:val="000000"/>
          <w:kern w:val="0"/>
          <w:sz w:val="24"/>
          <w:szCs w:val="24"/>
          <w:highlight w:val="none"/>
          <w:lang w:val="en-US" w:eastAsia="en-US" w:bidi="ar-SA"/>
        </w:rPr>
        <w:t>，遵照《政府采购</w:t>
      </w:r>
      <w:r>
        <w:rPr>
          <w:rFonts w:hint="eastAsia" w:ascii="仿宋" w:hAnsi="仿宋" w:eastAsia="仿宋" w:cs="仿宋"/>
          <w:b w:val="0"/>
          <w:bCs w:val="0"/>
          <w:snapToGrid w:val="0"/>
          <w:color w:val="000000"/>
          <w:kern w:val="0"/>
          <w:sz w:val="24"/>
          <w:szCs w:val="24"/>
          <w:highlight w:val="none"/>
          <w:lang w:val="en-US" w:eastAsia="zh-CN" w:bidi="ar-SA"/>
        </w:rPr>
        <w:t>法</w:t>
      </w:r>
      <w:r>
        <w:rPr>
          <w:rFonts w:hint="eastAsia" w:ascii="仿宋" w:hAnsi="仿宋" w:eastAsia="仿宋" w:cs="仿宋"/>
          <w:b w:val="0"/>
          <w:bCs w:val="0"/>
          <w:snapToGrid w:val="0"/>
          <w:color w:val="000000"/>
          <w:kern w:val="0"/>
          <w:sz w:val="24"/>
          <w:szCs w:val="24"/>
          <w:highlight w:val="none"/>
          <w:lang w:val="en-US" w:eastAsia="en-US" w:bidi="ar-SA"/>
        </w:rPr>
        <w:t>》和《政府采购</w:t>
      </w:r>
      <w:r>
        <w:rPr>
          <w:rFonts w:hint="eastAsia" w:ascii="仿宋" w:hAnsi="仿宋" w:eastAsia="仿宋" w:cs="仿宋"/>
          <w:b w:val="0"/>
          <w:bCs w:val="0"/>
          <w:snapToGrid w:val="0"/>
          <w:color w:val="000000"/>
          <w:kern w:val="0"/>
          <w:sz w:val="24"/>
          <w:szCs w:val="24"/>
          <w:highlight w:val="none"/>
          <w:lang w:val="en-US" w:eastAsia="zh-CN" w:bidi="ar-SA"/>
        </w:rPr>
        <w:t>法实施条例</w:t>
      </w:r>
      <w:r>
        <w:rPr>
          <w:rFonts w:hint="eastAsia" w:ascii="仿宋" w:hAnsi="仿宋" w:eastAsia="仿宋" w:cs="仿宋"/>
          <w:b w:val="0"/>
          <w:bCs w:val="0"/>
          <w:snapToGrid w:val="0"/>
          <w:color w:val="000000"/>
          <w:kern w:val="0"/>
          <w:sz w:val="24"/>
          <w:szCs w:val="24"/>
          <w:highlight w:val="none"/>
          <w:lang w:val="en-US" w:eastAsia="en-US" w:bidi="ar-SA"/>
        </w:rPr>
        <w:t>》等有关规定，我单位经研究上述</w:t>
      </w:r>
      <w:r>
        <w:rPr>
          <w:rFonts w:hint="eastAsia" w:ascii="仿宋" w:hAnsi="仿宋" w:eastAsia="仿宋" w:cs="仿宋"/>
          <w:b w:val="0"/>
          <w:bCs w:val="0"/>
          <w:snapToGrid w:val="0"/>
          <w:color w:val="000000"/>
          <w:kern w:val="0"/>
          <w:sz w:val="24"/>
          <w:szCs w:val="24"/>
          <w:highlight w:val="none"/>
          <w:lang w:val="en-US" w:eastAsia="zh-CN" w:bidi="ar-SA"/>
        </w:rPr>
        <w:t>磋商文件</w:t>
      </w:r>
      <w:r>
        <w:rPr>
          <w:rFonts w:hint="eastAsia" w:ascii="仿宋" w:hAnsi="仿宋" w:eastAsia="仿宋" w:cs="仿宋"/>
          <w:b w:val="0"/>
          <w:bCs w:val="0"/>
          <w:snapToGrid w:val="0"/>
          <w:color w:val="000000"/>
          <w:kern w:val="0"/>
          <w:sz w:val="24"/>
          <w:szCs w:val="24"/>
          <w:highlight w:val="none"/>
          <w:lang w:val="en-US" w:eastAsia="en-US" w:bidi="ar-SA"/>
        </w:rPr>
        <w:t>的专用条款及通用条款后，愿意按照</w:t>
      </w:r>
      <w:r>
        <w:rPr>
          <w:rFonts w:hint="eastAsia" w:ascii="仿宋" w:hAnsi="仿宋" w:eastAsia="仿宋" w:cs="仿宋"/>
          <w:b w:val="0"/>
          <w:bCs w:val="0"/>
          <w:snapToGrid w:val="0"/>
          <w:color w:val="000000"/>
          <w:kern w:val="0"/>
          <w:sz w:val="24"/>
          <w:szCs w:val="24"/>
          <w:highlight w:val="none"/>
          <w:lang w:val="en-US" w:eastAsia="zh-CN" w:bidi="ar-SA"/>
        </w:rPr>
        <w:t>磋商文件</w:t>
      </w:r>
      <w:r>
        <w:rPr>
          <w:rFonts w:hint="eastAsia" w:ascii="仿宋" w:hAnsi="仿宋" w:eastAsia="仿宋" w:cs="仿宋"/>
          <w:b w:val="0"/>
          <w:bCs w:val="0"/>
          <w:snapToGrid w:val="0"/>
          <w:color w:val="000000"/>
          <w:kern w:val="0"/>
          <w:sz w:val="24"/>
          <w:szCs w:val="24"/>
          <w:highlight w:val="none"/>
          <w:lang w:val="en-US" w:eastAsia="en-US" w:bidi="ar-SA"/>
        </w:rPr>
        <w:t>要求承包上述项目并修补其任何缺陷。</w:t>
      </w:r>
    </w:p>
    <w:p w14:paraId="7D57837C">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2、投标价格见投标</w:t>
      </w:r>
      <w:r>
        <w:rPr>
          <w:rFonts w:hint="eastAsia" w:ascii="仿宋" w:hAnsi="仿宋" w:eastAsia="仿宋" w:cs="仿宋"/>
          <w:b w:val="0"/>
          <w:bCs w:val="0"/>
          <w:snapToGrid w:val="0"/>
          <w:color w:val="000000"/>
          <w:kern w:val="0"/>
          <w:sz w:val="24"/>
          <w:szCs w:val="24"/>
          <w:highlight w:val="none"/>
          <w:lang w:val="en-US" w:eastAsia="zh-CN" w:bidi="ar-SA"/>
        </w:rPr>
        <w:t>文件</w:t>
      </w:r>
      <w:r>
        <w:rPr>
          <w:rFonts w:hint="eastAsia" w:ascii="仿宋" w:hAnsi="仿宋" w:eastAsia="仿宋" w:cs="仿宋"/>
          <w:b w:val="0"/>
          <w:bCs w:val="0"/>
          <w:snapToGrid w:val="0"/>
          <w:color w:val="000000"/>
          <w:kern w:val="0"/>
          <w:sz w:val="24"/>
          <w:szCs w:val="24"/>
          <w:highlight w:val="none"/>
          <w:lang w:val="en-US" w:eastAsia="en-US" w:bidi="ar-SA"/>
        </w:rPr>
        <w:t>中《开标一览表》中填写的投标报价。</w:t>
      </w:r>
    </w:p>
    <w:p w14:paraId="75B32BA1">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3、如果我单位中标，我单位将按照</w:t>
      </w:r>
      <w:r>
        <w:rPr>
          <w:rFonts w:hint="eastAsia" w:ascii="仿宋" w:hAnsi="仿宋" w:eastAsia="仿宋" w:cs="仿宋"/>
          <w:b w:val="0"/>
          <w:bCs w:val="0"/>
          <w:snapToGrid w:val="0"/>
          <w:color w:val="000000"/>
          <w:kern w:val="0"/>
          <w:sz w:val="24"/>
          <w:szCs w:val="24"/>
          <w:highlight w:val="none"/>
          <w:lang w:val="en-US" w:eastAsia="zh-CN" w:bidi="ar-SA"/>
        </w:rPr>
        <w:t>磋商文件</w:t>
      </w:r>
      <w:r>
        <w:rPr>
          <w:rFonts w:hint="eastAsia" w:ascii="仿宋" w:hAnsi="仿宋" w:eastAsia="仿宋" w:cs="仿宋"/>
          <w:b w:val="0"/>
          <w:bCs w:val="0"/>
          <w:snapToGrid w:val="0"/>
          <w:color w:val="000000"/>
          <w:kern w:val="0"/>
          <w:sz w:val="24"/>
          <w:szCs w:val="24"/>
          <w:highlight w:val="none"/>
          <w:lang w:val="en-US" w:eastAsia="en-US" w:bidi="ar-SA"/>
        </w:rPr>
        <w:t>的要求提交履约担保。</w:t>
      </w:r>
    </w:p>
    <w:p w14:paraId="3F4B6074">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4、我单位同意所递交的投标文件在“</w:t>
      </w:r>
      <w:r>
        <w:rPr>
          <w:rFonts w:hint="eastAsia" w:ascii="仿宋" w:hAnsi="仿宋" w:eastAsia="仿宋" w:cs="仿宋"/>
          <w:b w:val="0"/>
          <w:bCs w:val="0"/>
          <w:snapToGrid w:val="0"/>
          <w:color w:val="000000"/>
          <w:kern w:val="0"/>
          <w:sz w:val="24"/>
          <w:szCs w:val="24"/>
          <w:highlight w:val="none"/>
          <w:lang w:val="en-US" w:eastAsia="zh-CN" w:bidi="ar-SA"/>
        </w:rPr>
        <w:t>供应商须知资料表</w:t>
      </w:r>
      <w:r>
        <w:rPr>
          <w:rFonts w:hint="eastAsia" w:ascii="仿宋" w:hAnsi="仿宋" w:eastAsia="仿宋" w:cs="仿宋"/>
          <w:b w:val="0"/>
          <w:bCs w:val="0"/>
          <w:snapToGrid w:val="0"/>
          <w:color w:val="000000"/>
          <w:kern w:val="0"/>
          <w:sz w:val="24"/>
          <w:szCs w:val="24"/>
          <w:highlight w:val="none"/>
          <w:lang w:val="en-US" w:eastAsia="en-US" w:bidi="ar-SA"/>
        </w:rPr>
        <w:t>”中明确的投标有效期内有效，在此期间内我单位的投标有可能中标，我方将受此约束。</w:t>
      </w:r>
    </w:p>
    <w:p w14:paraId="3E219832">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5、除非另外达成协议并生效，贵单位的中标通知书和本投标文件将构成合同的重要内容。</w:t>
      </w:r>
    </w:p>
    <w:p w14:paraId="7EFDC0A4">
      <w:pPr>
        <w:ind w:left="540" w:leftChars="200" w:hanging="120" w:hangingChars="5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6、我单位理解贵单位将不受必须接受所收到的最低报价或其它任何投标文件的约束。</w:t>
      </w:r>
    </w:p>
    <w:p w14:paraId="50C5EC39">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 xml:space="preserve">投标人：                       单位地址：               </w:t>
      </w:r>
    </w:p>
    <w:p w14:paraId="1E6CA686">
      <w:pPr>
        <w:ind w:left="540" w:leftChars="257"/>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法定代表人（负责人）或其委托代理人</w:t>
      </w:r>
      <w:r>
        <w:rPr>
          <w:rFonts w:hint="eastAsia" w:ascii="仿宋" w:hAnsi="仿宋" w:eastAsia="仿宋" w:cs="仿宋"/>
          <w:color w:val="auto"/>
          <w:spacing w:val="-1"/>
          <w:sz w:val="24"/>
          <w:szCs w:val="24"/>
          <w:highlight w:val="none"/>
        </w:rPr>
        <w:t>(签字</w:t>
      </w:r>
      <w:r>
        <w:rPr>
          <w:rFonts w:hint="eastAsia" w:ascii="仿宋" w:hAnsi="仿宋" w:eastAsia="仿宋" w:cs="仿宋"/>
          <w:color w:val="auto"/>
          <w:spacing w:val="-1"/>
          <w:sz w:val="24"/>
          <w:szCs w:val="24"/>
          <w:highlight w:val="none"/>
          <w:lang w:val="en-US" w:eastAsia="zh-CN"/>
        </w:rPr>
        <w:t>/签章</w:t>
      </w:r>
      <w:r>
        <w:rPr>
          <w:rFonts w:hint="eastAsia" w:ascii="仿宋" w:hAnsi="仿宋" w:eastAsia="仿宋" w:cs="仿宋"/>
          <w:color w:val="auto"/>
          <w:spacing w:val="-1"/>
          <w:sz w:val="24"/>
          <w:szCs w:val="24"/>
          <w:highlight w:val="none"/>
        </w:rPr>
        <w:t>):</w:t>
      </w:r>
      <w:r>
        <w:rPr>
          <w:rFonts w:hint="eastAsia" w:ascii="仿宋" w:hAnsi="仿宋" w:eastAsia="仿宋" w:cs="仿宋"/>
          <w:b w:val="0"/>
          <w:bCs w:val="0"/>
          <w:snapToGrid w:val="0"/>
          <w:color w:val="000000"/>
          <w:kern w:val="0"/>
          <w:sz w:val="24"/>
          <w:szCs w:val="24"/>
          <w:highlight w:val="none"/>
          <w:lang w:val="en-US" w:eastAsia="en-US" w:bidi="ar-SA"/>
        </w:rPr>
        <w:t xml:space="preserve">：                   </w:t>
      </w:r>
    </w:p>
    <w:p w14:paraId="4F072216">
      <w:pPr>
        <w:ind w:left="540" w:leftChars="257"/>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邮政编码：</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 xml:space="preserve"> 电话：</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 xml:space="preserve">     邮箱：</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 xml:space="preserve">            </w:t>
      </w:r>
    </w:p>
    <w:p w14:paraId="346AC073">
      <w:pPr>
        <w:ind w:left="540" w:leftChars="257"/>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开户银行名称：</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开户银行账号：</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p>
    <w:p w14:paraId="0E1D5553">
      <w:pPr>
        <w:ind w:left="540" w:leftChars="257"/>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开户银行地址：</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开户银行电话：</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p>
    <w:p w14:paraId="0E2AF79B">
      <w:pPr>
        <w:ind w:firstLine="616" w:firstLineChars="257"/>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 xml:space="preserve">                               </w:t>
      </w:r>
    </w:p>
    <w:p w14:paraId="678E08A2">
      <w:pPr>
        <w:rPr>
          <w:rFonts w:hint="eastAsia" w:ascii="仿宋" w:hAnsi="仿宋" w:eastAsia="仿宋" w:cs="仿宋"/>
          <w:b w:val="0"/>
          <w:bCs w:val="0"/>
          <w:snapToGrid w:val="0"/>
          <w:color w:val="000000"/>
          <w:kern w:val="0"/>
          <w:sz w:val="24"/>
          <w:szCs w:val="24"/>
          <w:highlight w:val="none"/>
          <w:lang w:val="en-US" w:eastAsia="zh-CN" w:bidi="ar-SA"/>
        </w:rPr>
      </w:pPr>
      <w:r>
        <w:rPr>
          <w:rFonts w:hint="eastAsia" w:ascii="仿宋" w:hAnsi="仿宋" w:eastAsia="仿宋" w:cs="仿宋"/>
          <w:b w:val="0"/>
          <w:bCs w:val="0"/>
          <w:snapToGrid w:val="0"/>
          <w:color w:val="000000"/>
          <w:kern w:val="0"/>
          <w:sz w:val="24"/>
          <w:szCs w:val="24"/>
          <w:highlight w:val="none"/>
          <w:lang w:val="en-US" w:eastAsia="zh-CN" w:bidi="ar-SA"/>
        </w:rPr>
        <w:t xml:space="preserve"> </w:t>
      </w:r>
    </w:p>
    <w:p w14:paraId="0A469DD8">
      <w:pPr>
        <w:jc w:val="center"/>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zh-CN"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投标人</w:t>
      </w:r>
      <w:r>
        <w:rPr>
          <w:rFonts w:hint="eastAsia" w:ascii="仿宋" w:hAnsi="仿宋" w:eastAsia="仿宋" w:cs="仿宋"/>
          <w:b w:val="0"/>
          <w:bCs w:val="0"/>
          <w:snapToGrid w:val="0"/>
          <w:color w:val="000000"/>
          <w:kern w:val="0"/>
          <w:sz w:val="24"/>
          <w:szCs w:val="24"/>
          <w:highlight w:val="none"/>
          <w:lang w:val="en-US" w:eastAsia="zh-CN" w:bidi="ar-SA"/>
        </w:rPr>
        <w:t>（签字/签章）</w:t>
      </w:r>
      <w:r>
        <w:rPr>
          <w:rFonts w:hint="eastAsia" w:ascii="仿宋" w:hAnsi="仿宋" w:eastAsia="仿宋" w:cs="仿宋"/>
          <w:b w:val="0"/>
          <w:bCs w:val="0"/>
          <w:snapToGrid w:val="0"/>
          <w:color w:val="000000"/>
          <w:kern w:val="0"/>
          <w:sz w:val="24"/>
          <w:szCs w:val="24"/>
          <w:highlight w:val="none"/>
          <w:lang w:val="en-US" w:eastAsia="en-US" w:bidi="ar-SA"/>
        </w:rPr>
        <w:t>：</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p>
    <w:p w14:paraId="553AABAA">
      <w:pPr>
        <w:jc w:val="center"/>
        <w:rPr>
          <w:rFonts w:hint="eastAsia" w:ascii="仿宋" w:hAnsi="仿宋" w:eastAsia="仿宋" w:cs="仿宋"/>
          <w:b w:val="0"/>
          <w:bCs w:val="0"/>
          <w:snapToGrid w:val="0"/>
          <w:color w:val="000000"/>
          <w:kern w:val="0"/>
          <w:sz w:val="24"/>
          <w:szCs w:val="24"/>
          <w:highlight w:val="none"/>
          <w:lang w:val="en-US" w:eastAsia="zh-CN" w:bidi="ar-SA"/>
        </w:rPr>
      </w:pPr>
      <w:r>
        <w:rPr>
          <w:rFonts w:hint="eastAsia" w:ascii="仿宋" w:hAnsi="仿宋" w:eastAsia="仿宋" w:cs="仿宋"/>
          <w:b w:val="0"/>
          <w:bCs w:val="0"/>
          <w:snapToGrid w:val="0"/>
          <w:color w:val="000000"/>
          <w:kern w:val="0"/>
          <w:sz w:val="24"/>
          <w:szCs w:val="24"/>
          <w:highlight w:val="none"/>
          <w:lang w:val="en-US" w:eastAsia="zh-CN"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日期：</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年</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 xml:space="preserve">月 </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 xml:space="preserve">日 </w:t>
      </w:r>
    </w:p>
    <w:p w14:paraId="39D2197C">
      <w:pPr>
        <w:pStyle w:val="5"/>
        <w:ind w:left="0" w:leftChars="0" w:firstLine="0" w:firstLineChars="0"/>
        <w:jc w:val="center"/>
        <w:rPr>
          <w:rFonts w:hint="eastAsia" w:ascii="仿宋" w:hAnsi="仿宋" w:eastAsia="仿宋" w:cs="仿宋"/>
          <w:b/>
          <w:color w:val="auto"/>
          <w:kern w:val="0"/>
          <w:sz w:val="24"/>
          <w:szCs w:val="24"/>
          <w:highlight w:val="none"/>
          <w:u w:val="none"/>
          <w:lang w:val="en-US" w:eastAsia="zh-CN" w:bidi="ar-SA"/>
        </w:rPr>
      </w:pPr>
      <w:bookmarkStart w:id="270" w:name="_Toc31147"/>
    </w:p>
    <w:p w14:paraId="43BD59A5">
      <w:pPr>
        <w:pStyle w:val="5"/>
        <w:ind w:left="0" w:leftChars="0" w:firstLine="0" w:firstLineChars="0"/>
        <w:jc w:val="center"/>
        <w:rPr>
          <w:rFonts w:hint="eastAsia" w:ascii="仿宋" w:hAnsi="仿宋" w:eastAsia="仿宋" w:cs="仿宋"/>
          <w:b/>
          <w:color w:val="auto"/>
          <w:kern w:val="0"/>
          <w:sz w:val="24"/>
          <w:szCs w:val="24"/>
          <w:highlight w:val="none"/>
          <w:u w:val="none"/>
          <w:lang w:val="en-US" w:eastAsia="zh-CN" w:bidi="ar-SA"/>
        </w:rPr>
      </w:pPr>
    </w:p>
    <w:bookmarkEnd w:id="270"/>
    <w:p w14:paraId="3DBEF291">
      <w:pPr>
        <w:ind w:firstLine="480" w:firstLineChars="200"/>
        <w:rPr>
          <w:rFonts w:hint="eastAsia" w:ascii="仿宋" w:hAnsi="仿宋" w:eastAsia="仿宋" w:cs="仿宋"/>
          <w:color w:val="auto"/>
          <w:sz w:val="24"/>
          <w:szCs w:val="24"/>
          <w:highlight w:val="none"/>
        </w:rPr>
      </w:pPr>
    </w:p>
    <w:p w14:paraId="4252465C">
      <w:pPr>
        <w:ind w:firstLine="480" w:firstLineChars="200"/>
        <w:rPr>
          <w:rFonts w:hint="eastAsia" w:ascii="仿宋" w:hAnsi="仿宋" w:eastAsia="仿宋" w:cs="仿宋"/>
          <w:color w:val="auto"/>
          <w:sz w:val="24"/>
          <w:szCs w:val="24"/>
          <w:highlight w:val="none"/>
        </w:rPr>
      </w:pPr>
    </w:p>
    <w:p w14:paraId="4E429EFC">
      <w:pPr>
        <w:ind w:firstLine="480" w:firstLineChars="200"/>
        <w:rPr>
          <w:rFonts w:hint="eastAsia" w:ascii="仿宋" w:hAnsi="仿宋" w:eastAsia="仿宋" w:cs="仿宋"/>
          <w:color w:val="auto"/>
          <w:sz w:val="24"/>
          <w:szCs w:val="24"/>
          <w:highlight w:val="none"/>
        </w:rPr>
      </w:pPr>
    </w:p>
    <w:p w14:paraId="05D4B996">
      <w:pPr>
        <w:ind w:firstLine="480" w:firstLineChars="200"/>
        <w:rPr>
          <w:rFonts w:hint="eastAsia" w:ascii="仿宋" w:hAnsi="仿宋" w:eastAsia="仿宋" w:cs="仿宋"/>
          <w:color w:val="auto"/>
          <w:sz w:val="24"/>
          <w:szCs w:val="24"/>
          <w:highlight w:val="none"/>
        </w:rPr>
      </w:pPr>
    </w:p>
    <w:p w14:paraId="35B49D1A">
      <w:pPr>
        <w:ind w:firstLine="480" w:firstLineChars="200"/>
        <w:rPr>
          <w:rFonts w:hint="eastAsia" w:ascii="仿宋" w:hAnsi="仿宋" w:eastAsia="仿宋" w:cs="仿宋"/>
          <w:color w:val="auto"/>
          <w:sz w:val="24"/>
          <w:szCs w:val="24"/>
          <w:highlight w:val="none"/>
        </w:rPr>
      </w:pPr>
    </w:p>
    <w:p w14:paraId="2C4727CA">
      <w:pPr>
        <w:ind w:firstLine="480" w:firstLineChars="200"/>
        <w:rPr>
          <w:rFonts w:hint="eastAsia" w:ascii="仿宋" w:hAnsi="仿宋" w:eastAsia="仿宋" w:cs="仿宋"/>
          <w:color w:val="auto"/>
          <w:sz w:val="24"/>
          <w:szCs w:val="24"/>
          <w:highlight w:val="none"/>
        </w:rPr>
      </w:pPr>
    </w:p>
    <w:p w14:paraId="2E69BD43">
      <w:pPr>
        <w:ind w:firstLine="480" w:firstLineChars="200"/>
        <w:rPr>
          <w:rFonts w:hint="eastAsia" w:ascii="仿宋" w:hAnsi="仿宋" w:eastAsia="仿宋" w:cs="仿宋"/>
          <w:color w:val="auto"/>
          <w:sz w:val="24"/>
          <w:szCs w:val="24"/>
          <w:highlight w:val="none"/>
        </w:rPr>
      </w:pPr>
    </w:p>
    <w:p w14:paraId="1D1C5F2D">
      <w:pPr>
        <w:ind w:firstLine="480" w:firstLineChars="200"/>
        <w:rPr>
          <w:rFonts w:hint="eastAsia" w:ascii="仿宋" w:hAnsi="仿宋" w:eastAsia="仿宋" w:cs="仿宋"/>
          <w:color w:val="auto"/>
          <w:sz w:val="24"/>
          <w:szCs w:val="24"/>
          <w:highlight w:val="none"/>
        </w:rPr>
      </w:pPr>
    </w:p>
    <w:p w14:paraId="4C55DF7F">
      <w:pPr>
        <w:ind w:firstLine="480" w:firstLineChars="200"/>
        <w:rPr>
          <w:rFonts w:hint="eastAsia" w:ascii="仿宋" w:hAnsi="仿宋" w:eastAsia="仿宋" w:cs="仿宋"/>
          <w:color w:val="auto"/>
          <w:sz w:val="24"/>
          <w:szCs w:val="24"/>
          <w:highlight w:val="none"/>
        </w:rPr>
      </w:pPr>
    </w:p>
    <w:p w14:paraId="0279F67E">
      <w:pPr>
        <w:ind w:firstLine="480" w:firstLineChars="200"/>
        <w:rPr>
          <w:rFonts w:hint="eastAsia" w:ascii="仿宋" w:hAnsi="仿宋" w:eastAsia="仿宋" w:cs="仿宋"/>
          <w:color w:val="auto"/>
          <w:sz w:val="24"/>
          <w:szCs w:val="24"/>
          <w:highlight w:val="none"/>
        </w:rPr>
      </w:pPr>
    </w:p>
    <w:p w14:paraId="06B6C280">
      <w:pPr>
        <w:ind w:firstLine="480" w:firstLineChars="200"/>
        <w:rPr>
          <w:rFonts w:hint="eastAsia" w:ascii="仿宋" w:hAnsi="仿宋" w:eastAsia="仿宋" w:cs="仿宋"/>
          <w:color w:val="auto"/>
          <w:sz w:val="24"/>
          <w:szCs w:val="24"/>
          <w:highlight w:val="none"/>
        </w:rPr>
      </w:pPr>
    </w:p>
    <w:p w14:paraId="7C971E1B">
      <w:pPr>
        <w:ind w:firstLine="480" w:firstLineChars="200"/>
        <w:rPr>
          <w:rFonts w:hint="eastAsia" w:ascii="仿宋" w:hAnsi="仿宋" w:eastAsia="仿宋" w:cs="仿宋"/>
          <w:color w:val="auto"/>
          <w:sz w:val="24"/>
          <w:szCs w:val="24"/>
          <w:highlight w:val="none"/>
        </w:rPr>
      </w:pPr>
    </w:p>
    <w:p w14:paraId="0AD96CDF">
      <w:pPr>
        <w:ind w:firstLine="480" w:firstLineChars="200"/>
        <w:rPr>
          <w:rFonts w:hint="eastAsia" w:ascii="仿宋" w:hAnsi="仿宋" w:eastAsia="仿宋" w:cs="仿宋"/>
          <w:color w:val="auto"/>
          <w:sz w:val="24"/>
          <w:szCs w:val="24"/>
          <w:highlight w:val="none"/>
        </w:rPr>
      </w:pPr>
    </w:p>
    <w:p w14:paraId="5051C71F">
      <w:pPr>
        <w:pStyle w:val="2"/>
        <w:rPr>
          <w:rFonts w:hint="eastAsia" w:ascii="仿宋" w:hAnsi="仿宋" w:eastAsia="仿宋" w:cs="仿宋"/>
          <w:color w:val="auto"/>
          <w:sz w:val="24"/>
          <w:szCs w:val="24"/>
          <w:highlight w:val="none"/>
        </w:rPr>
      </w:pPr>
    </w:p>
    <w:p w14:paraId="6D836AA0">
      <w:pPr>
        <w:rPr>
          <w:rFonts w:hint="eastAsia" w:ascii="仿宋" w:hAnsi="仿宋" w:eastAsia="仿宋" w:cs="仿宋"/>
          <w:color w:val="auto"/>
          <w:sz w:val="24"/>
          <w:szCs w:val="24"/>
          <w:highlight w:val="none"/>
        </w:rPr>
      </w:pPr>
    </w:p>
    <w:p w14:paraId="15306EB8">
      <w:pPr>
        <w:pStyle w:val="2"/>
        <w:rPr>
          <w:rFonts w:hint="eastAsia" w:ascii="仿宋" w:hAnsi="仿宋" w:eastAsia="仿宋" w:cs="仿宋"/>
          <w:sz w:val="24"/>
          <w:szCs w:val="24"/>
        </w:rPr>
      </w:pPr>
    </w:p>
    <w:p w14:paraId="19F37183">
      <w:pPr>
        <w:ind w:firstLine="480" w:firstLineChars="200"/>
        <w:rPr>
          <w:rFonts w:hint="eastAsia" w:ascii="仿宋" w:hAnsi="仿宋" w:eastAsia="仿宋" w:cs="仿宋"/>
          <w:color w:val="auto"/>
          <w:sz w:val="24"/>
          <w:szCs w:val="24"/>
          <w:highlight w:val="none"/>
        </w:rPr>
      </w:pPr>
    </w:p>
    <w:p w14:paraId="6FAB8698">
      <w:pPr>
        <w:ind w:firstLine="480" w:firstLineChars="200"/>
        <w:rPr>
          <w:rFonts w:hint="eastAsia" w:ascii="仿宋" w:hAnsi="仿宋" w:eastAsia="仿宋" w:cs="仿宋"/>
          <w:color w:val="auto"/>
          <w:sz w:val="24"/>
          <w:szCs w:val="24"/>
          <w:highlight w:val="none"/>
        </w:rPr>
      </w:pPr>
    </w:p>
    <w:p w14:paraId="2B137511">
      <w:pPr>
        <w:pStyle w:val="5"/>
        <w:jc w:val="center"/>
        <w:rPr>
          <w:rFonts w:hint="eastAsia" w:ascii="仿宋" w:hAnsi="仿宋" w:eastAsia="仿宋" w:cs="仿宋"/>
          <w:b/>
          <w:bCs w:val="0"/>
          <w:snapToGrid w:val="0"/>
          <w:color w:val="000000"/>
          <w:kern w:val="0"/>
          <w:sz w:val="36"/>
          <w:szCs w:val="36"/>
          <w:highlight w:val="none"/>
          <w:u w:val="none"/>
          <w:lang w:val="en-US" w:eastAsia="zh-CN" w:bidi="ar-SA"/>
        </w:rPr>
      </w:pPr>
      <w:bookmarkStart w:id="271" w:name="_Toc4434"/>
      <w:r>
        <w:rPr>
          <w:rFonts w:hint="eastAsia" w:ascii="仿宋" w:hAnsi="仿宋" w:eastAsia="仿宋" w:cs="仿宋"/>
          <w:b/>
          <w:bCs w:val="0"/>
          <w:snapToGrid w:val="0"/>
          <w:color w:val="000000"/>
          <w:kern w:val="0"/>
          <w:sz w:val="36"/>
          <w:szCs w:val="36"/>
          <w:highlight w:val="none"/>
          <w:u w:val="none"/>
          <w:lang w:val="en-US" w:eastAsia="zh-CN" w:bidi="ar-SA"/>
        </w:rPr>
        <w:t>3 政府采购投标及履约承诺函</w:t>
      </w:r>
      <w:bookmarkEnd w:id="271"/>
    </w:p>
    <w:p w14:paraId="66CD9E10">
      <w:pPr>
        <w:ind w:firstLine="480" w:firstLineChars="200"/>
        <w:rPr>
          <w:rFonts w:hint="eastAsia" w:ascii="仿宋" w:hAnsi="仿宋" w:eastAsia="仿宋" w:cs="仿宋"/>
          <w:b w:val="0"/>
          <w:bCs w:val="0"/>
          <w:snapToGrid w:val="0"/>
          <w:color w:val="000000"/>
          <w:kern w:val="0"/>
          <w:sz w:val="24"/>
          <w:szCs w:val="24"/>
          <w:highlight w:val="none"/>
          <w:u w:val="singl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致：</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u w:val="single"/>
          <w:lang w:val="en-US" w:eastAsia="zh-CN" w:bidi="ar-SA"/>
        </w:rPr>
        <w:t xml:space="preserve">（采购人）  </w:t>
      </w:r>
    </w:p>
    <w:p w14:paraId="7012FA6D">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我单位承诺：</w:t>
      </w:r>
    </w:p>
    <w:p w14:paraId="6D583A55">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1.我单位参与本项目所投标（响应）的货物、工程或服务，不存在侵犯知识产权的情况；已知悉并同意中标（成交）结果信息公示（公开）的内容。</w:t>
      </w:r>
    </w:p>
    <w:p w14:paraId="60BE9454">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2.我单位参与本项目投标前三年内，在经营活动中没有因违法经营受到刑事处罚或者责令停产停业、吊销许可证或者执照、较大数额罚款等行政处罚。</w:t>
      </w:r>
    </w:p>
    <w:p w14:paraId="656CA774">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3.我单位参与本项目政府采购活动时不存在被有关部门禁止参与政府采购活动且在有效期内的情况。</w:t>
      </w:r>
    </w:p>
    <w:p w14:paraId="4C937D7F">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4.我单位具备《中华人民共和国政府采购法》第二十二条第一款规定的六项条件。</w:t>
      </w:r>
    </w:p>
    <w:p w14:paraId="22629BAF">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5.我单位未被列入失信被执行人、重大税收违法案件当事人名单、政府采购严重违法失信行为记录名单</w:t>
      </w:r>
    </w:p>
    <w:p w14:paraId="0DD09328">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1B96DFCB">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7.我单位如果中标，做到守信，不偷工减料，依照本项目</w:t>
      </w:r>
      <w:r>
        <w:rPr>
          <w:rFonts w:hint="eastAsia" w:ascii="仿宋" w:hAnsi="仿宋" w:eastAsia="仿宋" w:cs="仿宋"/>
          <w:b w:val="0"/>
          <w:bCs w:val="0"/>
          <w:snapToGrid w:val="0"/>
          <w:color w:val="000000"/>
          <w:kern w:val="0"/>
          <w:sz w:val="24"/>
          <w:szCs w:val="24"/>
          <w:highlight w:val="none"/>
          <w:lang w:val="en-US" w:eastAsia="zh-CN" w:bidi="ar-SA"/>
        </w:rPr>
        <w:t>磋商文件</w:t>
      </w:r>
      <w:r>
        <w:rPr>
          <w:rFonts w:hint="eastAsia" w:ascii="仿宋" w:hAnsi="仿宋" w:eastAsia="仿宋" w:cs="仿宋"/>
          <w:b w:val="0"/>
          <w:bCs w:val="0"/>
          <w:snapToGrid w:val="0"/>
          <w:color w:val="000000"/>
          <w:kern w:val="0"/>
          <w:sz w:val="24"/>
          <w:szCs w:val="24"/>
          <w:highlight w:val="none"/>
          <w:lang w:val="en-US" w:eastAsia="en-US" w:bidi="ar-SA"/>
        </w:rPr>
        <w:t>需求内容、签署的采购合同及本单位在投标中所作的一切承诺履约。我单位对本项目的报价负责，中标后将严格按照本项目</w:t>
      </w:r>
      <w:r>
        <w:rPr>
          <w:rFonts w:hint="eastAsia" w:ascii="仿宋" w:hAnsi="仿宋" w:eastAsia="仿宋" w:cs="仿宋"/>
          <w:b w:val="0"/>
          <w:bCs w:val="0"/>
          <w:snapToGrid w:val="0"/>
          <w:color w:val="000000"/>
          <w:kern w:val="0"/>
          <w:sz w:val="24"/>
          <w:szCs w:val="24"/>
          <w:highlight w:val="none"/>
          <w:lang w:val="en-US" w:eastAsia="zh-CN" w:bidi="ar-SA"/>
        </w:rPr>
        <w:t>磋商文件</w:t>
      </w:r>
      <w:r>
        <w:rPr>
          <w:rFonts w:hint="eastAsia" w:ascii="仿宋" w:hAnsi="仿宋" w:eastAsia="仿宋" w:cs="仿宋"/>
          <w:b w:val="0"/>
          <w:bCs w:val="0"/>
          <w:snapToGrid w:val="0"/>
          <w:color w:val="000000"/>
          <w:kern w:val="0"/>
          <w:sz w:val="24"/>
          <w:szCs w:val="24"/>
          <w:highlight w:val="none"/>
          <w:lang w:val="en-US" w:eastAsia="en-US" w:bidi="ar-SA"/>
        </w:rPr>
        <w:t>需求、签署的采购合同及我单位在投标中所作的全部承诺履行。</w:t>
      </w:r>
    </w:p>
    <w:p w14:paraId="62E16509">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09FB1EB3">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48497D5">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9.我单位承诺中标后项目不转包，未经采购人同意不进行分包。</w:t>
      </w:r>
    </w:p>
    <w:p w14:paraId="5FCB4DAA">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63EF86A">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11.我单位保证，若所投货物涉及《财政部生态环境部关于印发节能产品政府采购品目清单的通知》（财库〔2019〕19号）列明的政府采购强制产品，则所投该产品符合节能产品的认证要求。</w:t>
      </w:r>
    </w:p>
    <w:p w14:paraId="52316E4A">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12.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18B7A13B">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568976CA">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p>
    <w:p w14:paraId="54113D4F">
      <w:pPr>
        <w:ind w:firstLine="480" w:firstLineChars="200"/>
        <w:rPr>
          <w:rFonts w:hint="eastAsia" w:ascii="仿宋" w:hAnsi="仿宋" w:eastAsia="仿宋" w:cs="仿宋"/>
          <w:color w:val="auto"/>
          <w:sz w:val="24"/>
          <w:szCs w:val="24"/>
          <w:highlight w:val="none"/>
        </w:rPr>
      </w:pPr>
      <w:r>
        <w:rPr>
          <w:rFonts w:hint="eastAsia" w:ascii="仿宋" w:hAnsi="仿宋" w:eastAsia="仿宋" w:cs="仿宋"/>
          <w:b w:val="0"/>
          <w:bCs w:val="0"/>
          <w:snapToGrid w:val="0"/>
          <w:color w:val="000000"/>
          <w:kern w:val="0"/>
          <w:sz w:val="24"/>
          <w:szCs w:val="24"/>
          <w:highlight w:val="none"/>
          <w:lang w:val="en-US" w:eastAsia="en-US" w:bidi="ar-SA"/>
        </w:rPr>
        <w:t xml:space="preserve">以上承诺，如有违反，愿依照国家相关法律法规处理，并承担由此给采购人带来的损失。  </w:t>
      </w:r>
      <w:r>
        <w:rPr>
          <w:rFonts w:hint="eastAsia" w:ascii="仿宋" w:hAnsi="仿宋" w:eastAsia="仿宋" w:cs="仿宋"/>
          <w:color w:val="auto"/>
          <w:sz w:val="24"/>
          <w:szCs w:val="24"/>
          <w:highlight w:val="none"/>
        </w:rPr>
        <w:t xml:space="preserve">                            </w:t>
      </w:r>
    </w:p>
    <w:p w14:paraId="34AE00C4">
      <w:pPr>
        <w:ind w:left="5999" w:leftChars="228" w:hanging="5520" w:hangingChars="2300"/>
        <w:rPr>
          <w:rFonts w:hint="eastAsia" w:ascii="仿宋" w:hAnsi="仿宋" w:eastAsia="仿宋" w:cs="仿宋"/>
          <w:b w:val="0"/>
          <w:bCs w:val="0"/>
          <w:snapToGrid w:val="0"/>
          <w:color w:val="000000"/>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val="0"/>
          <w:bCs w:val="0"/>
          <w:snapToGrid w:val="0"/>
          <w:color w:val="000000"/>
          <w:kern w:val="0"/>
          <w:sz w:val="24"/>
          <w:szCs w:val="24"/>
          <w:highlight w:val="none"/>
          <w:lang w:val="en-US" w:eastAsia="zh-CN"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投标人</w:t>
      </w:r>
      <w:r>
        <w:rPr>
          <w:rFonts w:hint="eastAsia" w:ascii="仿宋" w:hAnsi="仿宋" w:eastAsia="仿宋" w:cs="仿宋"/>
          <w:b w:val="0"/>
          <w:bCs w:val="0"/>
          <w:snapToGrid w:val="0"/>
          <w:color w:val="000000"/>
          <w:kern w:val="0"/>
          <w:sz w:val="24"/>
          <w:szCs w:val="24"/>
          <w:highlight w:val="none"/>
          <w:lang w:val="en-US" w:eastAsia="zh-CN" w:bidi="ar-SA"/>
        </w:rPr>
        <w:t>（签字/签章）</w:t>
      </w:r>
      <w:r>
        <w:rPr>
          <w:rFonts w:hint="eastAsia" w:ascii="仿宋" w:hAnsi="仿宋" w:eastAsia="仿宋" w:cs="仿宋"/>
          <w:b w:val="0"/>
          <w:bCs w:val="0"/>
          <w:snapToGrid w:val="0"/>
          <w:color w:val="000000"/>
          <w:kern w:val="0"/>
          <w:sz w:val="24"/>
          <w:szCs w:val="24"/>
          <w:highlight w:val="none"/>
          <w:lang w:val="en-US" w:eastAsia="en-US" w:bidi="ar-SA"/>
        </w:rPr>
        <w:t>：</w:t>
      </w:r>
      <w:r>
        <w:rPr>
          <w:rFonts w:hint="eastAsia" w:ascii="仿宋" w:hAnsi="仿宋" w:eastAsia="仿宋" w:cs="仿宋"/>
          <w:b w:val="0"/>
          <w:bCs w:val="0"/>
          <w:snapToGrid w:val="0"/>
          <w:color w:val="000000"/>
          <w:kern w:val="0"/>
          <w:sz w:val="24"/>
          <w:szCs w:val="24"/>
          <w:highlight w:val="none"/>
          <w:lang w:val="en-US" w:eastAsia="zh-CN"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 xml:space="preserve">日期：       年     月    日 </w:t>
      </w:r>
    </w:p>
    <w:p w14:paraId="4086DA31">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p>
    <w:p w14:paraId="1CBBC360">
      <w:pPr>
        <w:pStyle w:val="5"/>
        <w:jc w:val="center"/>
        <w:rPr>
          <w:rFonts w:hint="eastAsia" w:ascii="仿宋" w:hAnsi="仿宋" w:eastAsia="仿宋" w:cs="仿宋"/>
          <w:b/>
          <w:bCs w:val="0"/>
          <w:snapToGrid w:val="0"/>
          <w:color w:val="000000"/>
          <w:kern w:val="0"/>
          <w:sz w:val="32"/>
          <w:szCs w:val="32"/>
          <w:highlight w:val="none"/>
          <w:u w:val="none"/>
          <w:lang w:val="en-US" w:eastAsia="zh-CN" w:bidi="ar-SA"/>
        </w:rPr>
      </w:pPr>
      <w:bookmarkStart w:id="272" w:name="_Toc17778"/>
      <w:bookmarkStart w:id="273" w:name="_Toc778"/>
      <w:r>
        <w:rPr>
          <w:rFonts w:hint="eastAsia" w:ascii="仿宋" w:hAnsi="仿宋" w:eastAsia="仿宋" w:cs="仿宋"/>
          <w:b/>
          <w:bCs w:val="0"/>
          <w:snapToGrid w:val="0"/>
          <w:color w:val="000000"/>
          <w:kern w:val="0"/>
          <w:sz w:val="32"/>
          <w:szCs w:val="32"/>
          <w:highlight w:val="none"/>
          <w:u w:val="none"/>
          <w:lang w:val="en-US" w:eastAsia="zh-CN" w:bidi="ar-SA"/>
        </w:rPr>
        <w:t>4 施工单位工程质量责任承诺书</w:t>
      </w:r>
      <w:bookmarkEnd w:id="272"/>
      <w:bookmarkEnd w:id="273"/>
    </w:p>
    <w:p w14:paraId="275D5C1D">
      <w:pPr>
        <w:keepNext w:val="0"/>
        <w:keepLines w:val="0"/>
        <w:pageBreakBefore w:val="0"/>
        <w:widowControl w:val="0"/>
        <w:kinsoku/>
        <w:overflowPunct/>
        <w:topLinePunct w:val="0"/>
        <w:autoSpaceDE/>
        <w:autoSpaceDN/>
        <w:bidi w:val="0"/>
        <w:adjustRightInd/>
        <w:snapToGrid/>
        <w:spacing w:line="240" w:lineRule="auto"/>
        <w:ind w:left="0" w:leftChars="0" w:firstLine="480" w:firstLineChars="200"/>
        <w:jc w:val="both"/>
        <w:textAlignment w:val="auto"/>
        <w:rPr>
          <w:rFonts w:hint="eastAsia" w:ascii="仿宋" w:hAnsi="仿宋" w:eastAsia="仿宋" w:cs="仿宋"/>
          <w:color w:val="auto"/>
          <w:sz w:val="24"/>
          <w:szCs w:val="24"/>
          <w:highlight w:val="none"/>
        </w:rPr>
      </w:pPr>
    </w:p>
    <w:p w14:paraId="59BED87F">
      <w:pPr>
        <w:keepNext w:val="0"/>
        <w:keepLines w:val="0"/>
        <w:pageBreakBefore w:val="0"/>
        <w:widowControl w:val="0"/>
        <w:kinsoku/>
        <w:overflowPunct/>
        <w:topLinePunct w:val="0"/>
        <w:autoSpaceDE/>
        <w:autoSpaceDN/>
        <w:bidi w:val="0"/>
        <w:adjustRightInd/>
        <w:snapToGrid/>
        <w:spacing w:line="240" w:lineRule="auto"/>
        <w:ind w:left="0" w:leftChars="0" w:firstLine="480" w:firstLineChars="200"/>
        <w:jc w:val="both"/>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本人受</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(法定代表人)授权,担任</w:t>
      </w:r>
      <w:r>
        <w:rPr>
          <w:rFonts w:hint="eastAsia" w:ascii="仿宋" w:hAnsi="仿宋" w:eastAsia="仿宋" w:cs="仿宋"/>
          <w:color w:val="auto"/>
          <w:sz w:val="24"/>
          <w:szCs w:val="24"/>
          <w:highlight w:val="none"/>
          <w:u w:val="single"/>
          <w:lang w:val="en-US" w:eastAsia="zh-CN"/>
        </w:rPr>
        <w:t xml:space="preserve">                                                    </w:t>
      </w:r>
    </w:p>
    <w:p w14:paraId="461E8A64">
      <w:pPr>
        <w:keepNext w:val="0"/>
        <w:keepLines w:val="0"/>
        <w:pageBreakBefore w:val="0"/>
        <w:widowControl w:val="0"/>
        <w:kinsoku/>
        <w:overflowPunct/>
        <w:topLinePunct w:val="0"/>
        <w:autoSpaceDE/>
        <w:autoSpaceDN/>
        <w:bidi w:val="0"/>
        <w:adjustRightInd/>
        <w:snapToGrid/>
        <w:spacing w:line="24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工程项目的</w:t>
      </w:r>
      <w:r>
        <w:rPr>
          <w:rFonts w:hint="eastAsia" w:ascii="仿宋" w:hAnsi="仿宋" w:eastAsia="仿宋" w:cs="仿宋"/>
          <w:color w:val="auto"/>
          <w:sz w:val="24"/>
          <w:szCs w:val="24"/>
          <w:highlight w:val="none"/>
          <w:lang w:eastAsia="zh-CN"/>
        </w:rPr>
        <w:t>施工单位</w:t>
      </w:r>
      <w:r>
        <w:rPr>
          <w:rFonts w:hint="eastAsia" w:ascii="仿宋" w:hAnsi="仿宋" w:eastAsia="仿宋" w:cs="仿宋"/>
          <w:color w:val="auto"/>
          <w:sz w:val="24"/>
          <w:szCs w:val="24"/>
          <w:highlight w:val="none"/>
        </w:rPr>
        <w:t>项目负责人。本人承诺将严格依据国家有关法律法规及标准规范履行职责,并对该工程项目设计使用年限内的工程质量承担相应终身责任。</w:t>
      </w:r>
    </w:p>
    <w:p w14:paraId="5F6777CB">
      <w:pPr>
        <w:keepNext w:val="0"/>
        <w:keepLines w:val="0"/>
        <w:pageBreakBefore w:val="0"/>
        <w:widowControl w:val="0"/>
        <w:kinsoku/>
        <w:wordWrap w:val="0"/>
        <w:overflowPunct/>
        <w:topLinePunct w:val="0"/>
        <w:autoSpaceDE/>
        <w:autoSpaceDN/>
        <w:bidi w:val="0"/>
        <w:adjustRightInd/>
        <w:snapToGrid/>
        <w:spacing w:line="240" w:lineRule="auto"/>
        <w:ind w:left="0" w:leftChars="0" w:firstLine="480" w:firstLineChars="200"/>
        <w:jc w:val="right"/>
        <w:textAlignment w:val="auto"/>
        <w:rPr>
          <w:rFonts w:hint="eastAsia" w:ascii="仿宋" w:hAnsi="仿宋" w:eastAsia="仿宋" w:cs="仿宋"/>
          <w:color w:val="auto"/>
          <w:sz w:val="24"/>
          <w:szCs w:val="24"/>
          <w:highlight w:val="none"/>
          <w:lang w:eastAsia="zh-CN"/>
        </w:rPr>
      </w:pPr>
    </w:p>
    <w:p w14:paraId="5C714769">
      <w:pPr>
        <w:pStyle w:val="23"/>
        <w:rPr>
          <w:rFonts w:hint="eastAsia" w:ascii="仿宋" w:hAnsi="仿宋" w:eastAsia="仿宋" w:cs="仿宋"/>
          <w:color w:val="auto"/>
          <w:sz w:val="24"/>
          <w:szCs w:val="24"/>
          <w:highlight w:val="none"/>
          <w:lang w:eastAsia="zh-CN"/>
        </w:rPr>
      </w:pPr>
    </w:p>
    <w:p w14:paraId="496ED6A8">
      <w:pPr>
        <w:keepNext w:val="0"/>
        <w:keepLines w:val="0"/>
        <w:pageBreakBefore w:val="0"/>
        <w:widowControl w:val="0"/>
        <w:kinsoku/>
        <w:wordWrap w:val="0"/>
        <w:overflowPunct/>
        <w:topLinePunct w:val="0"/>
        <w:autoSpaceDE/>
        <w:autoSpaceDN/>
        <w:bidi w:val="0"/>
        <w:adjustRightInd/>
        <w:snapToGrid/>
        <w:spacing w:line="240" w:lineRule="auto"/>
        <w:ind w:left="0" w:leftChars="0" w:firstLine="480" w:firstLineChars="200"/>
        <w:jc w:val="righ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承诺人</w:t>
      </w:r>
      <w:r>
        <w:rPr>
          <w:rFonts w:hint="eastAsia" w:ascii="仿宋" w:hAnsi="仿宋" w:eastAsia="仿宋" w:cs="仿宋"/>
          <w:color w:val="auto"/>
          <w:sz w:val="24"/>
          <w:szCs w:val="24"/>
          <w:highlight w:val="none"/>
          <w:lang w:val="en-US" w:eastAsia="zh-CN"/>
        </w:rPr>
        <w:t>（签字/签章）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p>
    <w:p w14:paraId="06B44913">
      <w:pPr>
        <w:keepNext w:val="0"/>
        <w:keepLines w:val="0"/>
        <w:pageBreakBefore w:val="0"/>
        <w:widowControl w:val="0"/>
        <w:kinsoku/>
        <w:wordWrap w:val="0"/>
        <w:overflowPunct/>
        <w:topLinePunct w:val="0"/>
        <w:autoSpaceDE/>
        <w:autoSpaceDN/>
        <w:bidi w:val="0"/>
        <w:adjustRightInd/>
        <w:snapToGrid/>
        <w:spacing w:line="240" w:lineRule="auto"/>
        <w:ind w:left="0" w:leftChars="0"/>
        <w:jc w:val="righ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身份证号:</w:t>
      </w:r>
      <w:r>
        <w:rPr>
          <w:rFonts w:hint="eastAsia" w:ascii="仿宋" w:hAnsi="仿宋" w:eastAsia="仿宋" w:cs="仿宋"/>
          <w:color w:val="auto"/>
          <w:sz w:val="24"/>
          <w:szCs w:val="24"/>
          <w:highlight w:val="none"/>
          <w:u w:val="single"/>
          <w:lang w:val="en-US" w:eastAsia="zh-CN"/>
        </w:rPr>
        <w:t xml:space="preserve">                  </w:t>
      </w:r>
    </w:p>
    <w:p w14:paraId="69CB5FD5">
      <w:pPr>
        <w:keepNext w:val="0"/>
        <w:keepLines w:val="0"/>
        <w:pageBreakBefore w:val="0"/>
        <w:widowControl w:val="0"/>
        <w:kinsoku/>
        <w:wordWrap w:val="0"/>
        <w:overflowPunct/>
        <w:topLinePunct w:val="0"/>
        <w:autoSpaceDE/>
        <w:autoSpaceDN/>
        <w:bidi w:val="0"/>
        <w:adjustRightInd/>
        <w:snapToGrid/>
        <w:spacing w:line="240" w:lineRule="auto"/>
        <w:ind w:left="0" w:leftChars="0"/>
        <w:jc w:val="righ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注册执业资格:</w:t>
      </w:r>
      <w:r>
        <w:rPr>
          <w:rFonts w:hint="eastAsia" w:ascii="仿宋" w:hAnsi="仿宋" w:eastAsia="仿宋" w:cs="仿宋"/>
          <w:color w:val="auto"/>
          <w:sz w:val="24"/>
          <w:szCs w:val="24"/>
          <w:highlight w:val="none"/>
          <w:u w:val="single"/>
          <w:lang w:val="en-US" w:eastAsia="zh-CN"/>
        </w:rPr>
        <w:t xml:space="preserve">              </w:t>
      </w:r>
    </w:p>
    <w:p w14:paraId="564914BE">
      <w:pPr>
        <w:keepNext w:val="0"/>
        <w:keepLines w:val="0"/>
        <w:pageBreakBefore w:val="0"/>
        <w:widowControl w:val="0"/>
        <w:kinsoku/>
        <w:wordWrap w:val="0"/>
        <w:overflowPunct/>
        <w:topLinePunct w:val="0"/>
        <w:autoSpaceDE/>
        <w:autoSpaceDN/>
        <w:bidi w:val="0"/>
        <w:adjustRightInd/>
        <w:snapToGrid/>
        <w:spacing w:line="240" w:lineRule="auto"/>
        <w:ind w:left="0" w:leftChars="0"/>
        <w:jc w:val="righ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注册执业证号:</w:t>
      </w:r>
      <w:r>
        <w:rPr>
          <w:rFonts w:hint="eastAsia" w:ascii="仿宋" w:hAnsi="仿宋" w:eastAsia="仿宋" w:cs="仿宋"/>
          <w:color w:val="auto"/>
          <w:sz w:val="24"/>
          <w:szCs w:val="24"/>
          <w:highlight w:val="none"/>
          <w:u w:val="single"/>
          <w:lang w:val="en-US" w:eastAsia="zh-CN"/>
        </w:rPr>
        <w:t xml:space="preserve">              </w:t>
      </w:r>
    </w:p>
    <w:p w14:paraId="398D4608">
      <w:pPr>
        <w:keepNext w:val="0"/>
        <w:keepLines w:val="0"/>
        <w:pageBreakBefore w:val="0"/>
        <w:widowControl w:val="0"/>
        <w:kinsoku/>
        <w:overflowPunct/>
        <w:topLinePunct w:val="0"/>
        <w:autoSpaceDE/>
        <w:autoSpaceDN/>
        <w:bidi w:val="0"/>
        <w:adjustRightInd/>
        <w:snapToGrid/>
        <w:spacing w:line="240" w:lineRule="auto"/>
        <w:ind w:left="0" w:leftChars="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承诺日期: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w:t>
      </w:r>
    </w:p>
    <w:p w14:paraId="14084FEA">
      <w:pPr>
        <w:rPr>
          <w:rFonts w:hint="eastAsia" w:ascii="仿宋" w:hAnsi="仿宋" w:eastAsia="仿宋" w:cs="仿宋"/>
          <w:b/>
          <w:bCs/>
          <w:color w:val="auto"/>
          <w:sz w:val="24"/>
          <w:szCs w:val="24"/>
          <w:highlight w:val="none"/>
          <w:lang w:val="en-US" w:eastAsia="zh-CN"/>
        </w:rPr>
      </w:pPr>
    </w:p>
    <w:p w14:paraId="1F1520D1">
      <w:pPr>
        <w:keepNext w:val="0"/>
        <w:keepLines w:val="0"/>
        <w:pageBreakBefore w:val="0"/>
        <w:widowControl w:val="0"/>
        <w:kinsoku/>
        <w:overflowPunct/>
        <w:topLinePunct w:val="0"/>
        <w:autoSpaceDE/>
        <w:autoSpaceDN/>
        <w:bidi w:val="0"/>
        <w:adjustRightInd/>
        <w:snapToGrid/>
        <w:spacing w:line="240" w:lineRule="auto"/>
        <w:ind w:left="0" w:leftChars="0"/>
        <w:jc w:val="both"/>
        <w:textAlignment w:val="auto"/>
        <w:rPr>
          <w:rFonts w:hint="eastAsia" w:ascii="仿宋" w:hAnsi="仿宋" w:eastAsia="仿宋" w:cs="仿宋"/>
          <w:b/>
          <w:bCs/>
          <w:color w:val="auto"/>
          <w:sz w:val="24"/>
          <w:szCs w:val="24"/>
          <w:highlight w:val="none"/>
          <w:lang w:val="en-US" w:eastAsia="zh-CN"/>
        </w:rPr>
      </w:pPr>
    </w:p>
    <w:p w14:paraId="4DA83C59">
      <w:pPr>
        <w:pStyle w:val="5"/>
        <w:jc w:val="center"/>
        <w:rPr>
          <w:rFonts w:hint="eastAsia" w:ascii="仿宋" w:hAnsi="仿宋" w:eastAsia="仿宋" w:cs="仿宋"/>
          <w:b/>
          <w:bCs w:val="0"/>
          <w:snapToGrid w:val="0"/>
          <w:color w:val="000000"/>
          <w:kern w:val="0"/>
          <w:sz w:val="28"/>
          <w:szCs w:val="28"/>
          <w:highlight w:val="none"/>
          <w:u w:val="none"/>
          <w:lang w:val="en-US" w:eastAsia="zh-CN" w:bidi="ar-SA"/>
        </w:rPr>
      </w:pPr>
      <w:bookmarkStart w:id="274" w:name="_Toc19843"/>
      <w:bookmarkStart w:id="275" w:name="_Toc17421"/>
      <w:r>
        <w:rPr>
          <w:rFonts w:hint="eastAsia" w:ascii="仿宋" w:hAnsi="仿宋" w:eastAsia="仿宋" w:cs="仿宋"/>
          <w:b/>
          <w:bCs w:val="0"/>
          <w:snapToGrid w:val="0"/>
          <w:color w:val="000000"/>
          <w:kern w:val="0"/>
          <w:sz w:val="28"/>
          <w:szCs w:val="28"/>
          <w:highlight w:val="none"/>
          <w:u w:val="none"/>
          <w:lang w:val="en-US" w:eastAsia="zh-CN" w:bidi="ar-SA"/>
        </w:rPr>
        <w:t>5 施工单位工程安全生产承诺书(法定代表人)</w:t>
      </w:r>
      <w:bookmarkEnd w:id="274"/>
      <w:bookmarkEnd w:id="275"/>
    </w:p>
    <w:p w14:paraId="727DCB46">
      <w:pPr>
        <w:pStyle w:val="23"/>
        <w:rPr>
          <w:rFonts w:hint="eastAsia" w:ascii="仿宋" w:hAnsi="仿宋" w:eastAsia="仿宋" w:cs="仿宋"/>
          <w:color w:val="auto"/>
          <w:sz w:val="24"/>
          <w:szCs w:val="24"/>
          <w:highlight w:val="none"/>
          <w:lang w:eastAsia="zh-CN"/>
        </w:rPr>
      </w:pPr>
    </w:p>
    <w:p w14:paraId="770CA2EB">
      <w:pPr>
        <w:keepNext w:val="0"/>
        <w:keepLines w:val="0"/>
        <w:pageBreakBefore w:val="0"/>
        <w:widowControl w:val="0"/>
        <w:kinsoku/>
        <w:overflowPunct/>
        <w:topLinePunct w:val="0"/>
        <w:autoSpaceDE/>
        <w:autoSpaceDN/>
        <w:bidi w:val="0"/>
        <w:adjustRightInd/>
        <w:snapToGrid/>
        <w:spacing w:line="240" w:lineRule="auto"/>
        <w:ind w:left="0" w:leftChars="0" w:firstLine="480" w:firstLineChars="200"/>
        <w:jc w:val="both"/>
        <w:textAlignment w:val="auto"/>
        <w:rPr>
          <w:rFonts w:hint="eastAsia" w:ascii="仿宋" w:hAnsi="仿宋" w:eastAsia="仿宋" w:cs="仿宋"/>
          <w:color w:val="auto"/>
          <w:sz w:val="24"/>
          <w:szCs w:val="24"/>
          <w:highlight w:val="none"/>
        </w:rPr>
      </w:pPr>
    </w:p>
    <w:p w14:paraId="53837961">
      <w:pPr>
        <w:keepNext w:val="0"/>
        <w:keepLines w:val="0"/>
        <w:pageBreakBefore w:val="0"/>
        <w:widowControl w:val="0"/>
        <w:kinsoku/>
        <w:overflowPunct/>
        <w:topLinePunct w:val="0"/>
        <w:autoSpaceDE/>
        <w:autoSpaceDN/>
        <w:bidi w:val="0"/>
        <w:adjustRightInd/>
        <w:snapToGrid/>
        <w:spacing w:line="240" w:lineRule="auto"/>
        <w:ind w:left="0" w:leftChars="0" w:firstLine="480" w:firstLineChars="200"/>
        <w:jc w:val="both"/>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本人为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单位法定代表人，对本单位开发建设的</w:t>
      </w:r>
      <w:r>
        <w:rPr>
          <w:rFonts w:hint="eastAsia" w:ascii="仿宋" w:hAnsi="仿宋" w:eastAsia="仿宋" w:cs="仿宋"/>
          <w:color w:val="auto"/>
          <w:sz w:val="24"/>
          <w:szCs w:val="24"/>
          <w:highlight w:val="none"/>
          <w:u w:val="single"/>
          <w:lang w:val="en-US" w:eastAsia="zh-CN"/>
        </w:rPr>
        <w:t xml:space="preserve">                                                </w:t>
      </w:r>
    </w:p>
    <w:p w14:paraId="55A36FF9">
      <w:pPr>
        <w:keepNext w:val="0"/>
        <w:keepLines w:val="0"/>
        <w:pageBreakBefore w:val="0"/>
        <w:widowControl w:val="0"/>
        <w:kinsoku/>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工程项目的安全生产工作实施统筹管理，本人承诺将严格依据国家有关法律法规及标准规范履行职责,并对施工过程中的安全生产承担相应责任。</w:t>
      </w:r>
    </w:p>
    <w:p w14:paraId="5FDF2B50">
      <w:pPr>
        <w:keepNext w:val="0"/>
        <w:keepLines w:val="0"/>
        <w:pageBreakBefore w:val="0"/>
        <w:widowControl w:val="0"/>
        <w:kinsoku/>
        <w:overflowPunct/>
        <w:topLinePunct w:val="0"/>
        <w:autoSpaceDE/>
        <w:autoSpaceDN/>
        <w:bidi w:val="0"/>
        <w:adjustRightInd/>
        <w:snapToGrid/>
        <w:spacing w:line="240" w:lineRule="auto"/>
        <w:ind w:left="240" w:leftChars="0" w:hanging="240" w:hangingChars="100"/>
        <w:jc w:val="both"/>
        <w:textAlignment w:val="auto"/>
        <w:rPr>
          <w:rFonts w:hint="eastAsia" w:ascii="仿宋" w:hAnsi="仿宋" w:eastAsia="仿宋" w:cs="仿宋"/>
          <w:color w:val="auto"/>
          <w:sz w:val="24"/>
          <w:szCs w:val="24"/>
          <w:highlight w:val="none"/>
        </w:rPr>
      </w:pPr>
    </w:p>
    <w:p w14:paraId="0D3E896A">
      <w:pPr>
        <w:keepNext w:val="0"/>
        <w:keepLines w:val="0"/>
        <w:pageBreakBefore w:val="0"/>
        <w:widowControl w:val="0"/>
        <w:kinsoku/>
        <w:overflowPunct/>
        <w:topLinePunct w:val="0"/>
        <w:autoSpaceDE/>
        <w:autoSpaceDN/>
        <w:bidi w:val="0"/>
        <w:adjustRightInd/>
        <w:snapToGrid/>
        <w:spacing w:line="240" w:lineRule="auto"/>
        <w:ind w:left="240" w:leftChars="0" w:hanging="240" w:hangingChars="100"/>
        <w:jc w:val="both"/>
        <w:textAlignment w:val="auto"/>
        <w:rPr>
          <w:rFonts w:hint="eastAsia" w:ascii="仿宋" w:hAnsi="仿宋" w:eastAsia="仿宋" w:cs="仿宋"/>
          <w:color w:val="auto"/>
          <w:sz w:val="24"/>
          <w:szCs w:val="24"/>
          <w:highlight w:val="none"/>
        </w:rPr>
      </w:pPr>
    </w:p>
    <w:p w14:paraId="4B62205C">
      <w:pPr>
        <w:keepNext w:val="0"/>
        <w:keepLines w:val="0"/>
        <w:pageBreakBefore w:val="0"/>
        <w:widowControl w:val="0"/>
        <w:kinsoku/>
        <w:wordWrap w:val="0"/>
        <w:overflowPunct/>
        <w:topLinePunct w:val="0"/>
        <w:autoSpaceDE/>
        <w:autoSpaceDN/>
        <w:bidi w:val="0"/>
        <w:adjustRightInd/>
        <w:snapToGrid/>
        <w:spacing w:line="240" w:lineRule="auto"/>
        <w:ind w:left="0" w:leftChars="0" w:firstLine="480" w:firstLineChars="200"/>
        <w:jc w:val="righ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承诺人</w:t>
      </w:r>
      <w:r>
        <w:rPr>
          <w:rFonts w:hint="eastAsia" w:ascii="仿宋" w:hAnsi="仿宋" w:eastAsia="仿宋" w:cs="仿宋"/>
          <w:color w:val="auto"/>
          <w:sz w:val="24"/>
          <w:szCs w:val="24"/>
          <w:highlight w:val="none"/>
          <w:lang w:val="en-US" w:eastAsia="zh-CN"/>
        </w:rPr>
        <w:t>（签字/签章）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p>
    <w:p w14:paraId="0C34CF1E">
      <w:pPr>
        <w:keepNext w:val="0"/>
        <w:keepLines w:val="0"/>
        <w:pageBreakBefore w:val="0"/>
        <w:widowControl w:val="0"/>
        <w:kinsoku/>
        <w:wordWrap w:val="0"/>
        <w:overflowPunct/>
        <w:topLinePunct w:val="0"/>
        <w:autoSpaceDE/>
        <w:autoSpaceDN/>
        <w:bidi w:val="0"/>
        <w:adjustRightInd/>
        <w:snapToGrid/>
        <w:spacing w:line="240" w:lineRule="auto"/>
        <w:ind w:left="240" w:leftChars="0" w:hanging="240" w:hangingChars="1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w:t>
      </w:r>
      <w:r>
        <w:rPr>
          <w:rFonts w:hint="eastAsia" w:ascii="仿宋" w:hAnsi="仿宋" w:eastAsia="仿宋" w:cs="仿宋"/>
          <w:color w:val="auto"/>
          <w:sz w:val="24"/>
          <w:szCs w:val="24"/>
          <w:highlight w:val="none"/>
          <w:u w:val="single"/>
          <w:lang w:val="en-US" w:eastAsia="zh-CN"/>
        </w:rPr>
        <w:t xml:space="preserve">                         </w:t>
      </w:r>
    </w:p>
    <w:p w14:paraId="226B3401">
      <w:pPr>
        <w:keepNext w:val="0"/>
        <w:keepLines w:val="0"/>
        <w:pageBreakBefore w:val="0"/>
        <w:widowControl w:val="0"/>
        <w:kinsoku/>
        <w:overflowPunct/>
        <w:topLinePunct w:val="0"/>
        <w:autoSpaceDE/>
        <w:autoSpaceDN/>
        <w:bidi w:val="0"/>
        <w:adjustRightInd/>
        <w:snapToGrid/>
        <w:spacing w:line="240" w:lineRule="auto"/>
        <w:ind w:left="240" w:leftChars="0" w:hanging="240" w:hangingChars="100"/>
        <w:jc w:val="right"/>
        <w:textAlignment w:val="auto"/>
        <w:rPr>
          <w:rFonts w:hint="eastAsia" w:ascii="仿宋" w:hAnsi="仿宋" w:eastAsia="仿宋" w:cs="仿宋"/>
          <w:color w:val="auto"/>
          <w:sz w:val="24"/>
          <w:szCs w:val="24"/>
          <w:highlight w:val="none"/>
          <w:lang w:val="en-US" w:eastAsia="zh-CN"/>
        </w:rPr>
        <w:sectPr>
          <w:pgSz w:w="11906" w:h="16839"/>
          <w:pgMar w:top="1259" w:right="1191" w:bottom="998" w:left="799" w:header="0" w:footer="987" w:gutter="0"/>
          <w:pgNumType w:fmt="decimal"/>
          <w:cols w:space="720" w:num="1"/>
        </w:sectPr>
      </w:pPr>
      <w:r>
        <w:rPr>
          <w:rFonts w:hint="eastAsia" w:ascii="仿宋" w:hAnsi="仿宋" w:eastAsia="仿宋" w:cs="仿宋"/>
          <w:color w:val="auto"/>
          <w:sz w:val="24"/>
          <w:szCs w:val="24"/>
          <w:highlight w:val="none"/>
        </w:rPr>
        <w:t>承诺日期: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w:t>
      </w:r>
    </w:p>
    <w:bookmarkEnd w:id="260"/>
    <w:bookmarkEnd w:id="261"/>
    <w:bookmarkEnd w:id="262"/>
    <w:bookmarkEnd w:id="263"/>
    <w:bookmarkEnd w:id="264"/>
    <w:bookmarkEnd w:id="265"/>
    <w:bookmarkEnd w:id="266"/>
    <w:bookmarkEnd w:id="267"/>
    <w:bookmarkEnd w:id="268"/>
    <w:bookmarkEnd w:id="269"/>
    <w:p w14:paraId="3DAC223D">
      <w:pPr>
        <w:pStyle w:val="5"/>
        <w:jc w:val="center"/>
        <w:rPr>
          <w:rFonts w:hint="eastAsia" w:ascii="仿宋" w:hAnsi="仿宋" w:eastAsia="仿宋" w:cs="仿宋"/>
          <w:b/>
          <w:bCs w:val="0"/>
          <w:snapToGrid w:val="0"/>
          <w:color w:val="000000"/>
          <w:kern w:val="0"/>
          <w:sz w:val="28"/>
          <w:szCs w:val="28"/>
          <w:highlight w:val="none"/>
          <w:u w:val="none"/>
          <w:lang w:val="en-US" w:eastAsia="zh-CN" w:bidi="ar-SA"/>
        </w:rPr>
      </w:pPr>
      <w:bookmarkStart w:id="276" w:name="_Toc31844_WPSOffice_Level2"/>
      <w:bookmarkStart w:id="277" w:name="_Toc13765"/>
      <w:bookmarkStart w:id="278" w:name="_Toc17640"/>
      <w:bookmarkStart w:id="279" w:name="_Toc7492"/>
      <w:bookmarkStart w:id="280" w:name="_Toc20985"/>
      <w:bookmarkStart w:id="281" w:name="_Toc23379"/>
      <w:bookmarkStart w:id="282" w:name="_Toc23602"/>
      <w:bookmarkStart w:id="283" w:name="_Toc16471"/>
      <w:bookmarkStart w:id="284" w:name="_Toc3311"/>
      <w:bookmarkStart w:id="285" w:name="_Toc11984"/>
      <w:bookmarkStart w:id="286" w:name="_Toc6694"/>
      <w:bookmarkStart w:id="287" w:name="_Toc11186"/>
      <w:bookmarkStart w:id="288" w:name="_Toc515647808"/>
      <w:bookmarkStart w:id="289" w:name="_Toc32520"/>
      <w:bookmarkStart w:id="290" w:name="_Toc7039"/>
      <w:bookmarkStart w:id="291" w:name="_Toc18130"/>
      <w:r>
        <w:rPr>
          <w:rFonts w:hint="eastAsia" w:ascii="仿宋" w:hAnsi="仿宋" w:eastAsia="仿宋" w:cs="仿宋"/>
          <w:b/>
          <w:bCs w:val="0"/>
          <w:snapToGrid w:val="0"/>
          <w:color w:val="000000"/>
          <w:kern w:val="0"/>
          <w:sz w:val="28"/>
          <w:szCs w:val="28"/>
          <w:highlight w:val="none"/>
          <w:u w:val="none"/>
          <w:lang w:val="en-US" w:eastAsia="zh-CN" w:bidi="ar-SA"/>
        </w:rPr>
        <w:t>6 法定代表人身份证明</w:t>
      </w:r>
      <w:bookmarkEnd w:id="276"/>
      <w:bookmarkEnd w:id="277"/>
      <w:bookmarkEnd w:id="278"/>
      <w:bookmarkEnd w:id="279"/>
      <w:bookmarkEnd w:id="280"/>
      <w:bookmarkEnd w:id="281"/>
      <w:bookmarkEnd w:id="282"/>
      <w:bookmarkEnd w:id="283"/>
      <w:bookmarkEnd w:id="284"/>
      <w:bookmarkEnd w:id="285"/>
      <w:bookmarkEnd w:id="286"/>
      <w:bookmarkEnd w:id="287"/>
    </w:p>
    <w:p w14:paraId="56028500">
      <w:pPr>
        <w:rPr>
          <w:rFonts w:hint="eastAsia" w:ascii="仿宋" w:hAnsi="仿宋" w:eastAsia="仿宋" w:cs="仿宋"/>
          <w:sz w:val="24"/>
          <w:szCs w:val="24"/>
        </w:rPr>
      </w:pPr>
    </w:p>
    <w:p w14:paraId="77823D6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同志，现任我单位</w:t>
      </w:r>
      <w:r>
        <w:rPr>
          <w:rFonts w:hint="eastAsia" w:ascii="仿宋" w:hAnsi="仿宋" w:eastAsia="仿宋" w:cs="仿宋"/>
          <w:sz w:val="24"/>
          <w:szCs w:val="24"/>
          <w:highlight w:val="none"/>
          <w:u w:val="single"/>
        </w:rPr>
        <w:t xml:space="preserve">          职</w:t>
      </w:r>
      <w:r>
        <w:rPr>
          <w:rFonts w:hint="eastAsia" w:ascii="仿宋" w:hAnsi="仿宋" w:eastAsia="仿宋" w:cs="仿宋"/>
          <w:sz w:val="24"/>
          <w:szCs w:val="24"/>
          <w:highlight w:val="none"/>
        </w:rPr>
        <w:t>务，为法定代表人，特此证明。</w:t>
      </w:r>
    </w:p>
    <w:p w14:paraId="08DB70E1">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08C7041B">
      <w:pPr>
        <w:spacing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附：代表人性别：            年龄：           身份证号码：</w:t>
      </w:r>
    </w:p>
    <w:p w14:paraId="3CFB087C">
      <w:pPr>
        <w:spacing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联系电话：</w:t>
      </w:r>
    </w:p>
    <w:p w14:paraId="0C57153A">
      <w:pPr>
        <w:spacing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营业执照号码：              经济性质：</w:t>
      </w:r>
    </w:p>
    <w:p w14:paraId="29213C7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p w14:paraId="2BBE02E4">
      <w:pPr>
        <w:spacing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1、法定代表人为企业事业单位、国家机关、社会团体的主要行政负责人。</w:t>
      </w:r>
    </w:p>
    <w:p w14:paraId="0CF8C66F">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2、内容必须填写真实、清楚、涂改无效，不得转让。</w:t>
      </w:r>
    </w:p>
    <w:p w14:paraId="3AD6DF7D">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10795</wp:posOffset>
                </wp:positionV>
                <wp:extent cx="2333625" cy="1584325"/>
                <wp:effectExtent l="4445" t="4445" r="5080" b="11430"/>
                <wp:wrapNone/>
                <wp:docPr id="38" name="流程图: 可选过程 38"/>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E2DBEDC">
                            <w:pPr>
                              <w:jc w:val="center"/>
                              <w:rPr>
                                <w:rFonts w:hAnsi="宋体"/>
                                <w:szCs w:val="21"/>
                              </w:rPr>
                            </w:pPr>
                          </w:p>
                          <w:p w14:paraId="0BBF0F93">
                            <w:pPr>
                              <w:jc w:val="center"/>
                              <w:rPr>
                                <w:rFonts w:hAnsi="宋体"/>
                                <w:szCs w:val="21"/>
                              </w:rPr>
                            </w:pPr>
                          </w:p>
                          <w:p w14:paraId="18160FFA">
                            <w:pPr>
                              <w:jc w:val="center"/>
                              <w:rPr>
                                <w:rFonts w:hAnsi="宋体"/>
                                <w:szCs w:val="21"/>
                              </w:rPr>
                            </w:pPr>
                          </w:p>
                          <w:p w14:paraId="668DA226">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12.15pt;margin-top:0.85pt;height:124.75pt;width:183.75pt;z-index:251659264;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5WTr11gAAAAgBAAAPAAAAAAAAAAEAIAAAACIAAABkcnMvZG93bnJldi54bWxQSwEC&#10;FAAUAAAACACHTuJAS6YgcS8CAABgBAAADgAAAAAAAAABACAAAAAlAQAAZHJzL2Uyb0RvYy54bWxQ&#10;SwUGAAAAAAYABgBZAQAAxgUAAAAA&#10;">
                <v:fill on="t" focussize="0,0"/>
                <v:stroke color="#000000" joinstyle="miter"/>
                <v:imagedata o:title=""/>
                <o:lock v:ext="edit" aspectratio="f"/>
                <v:textbox>
                  <w:txbxContent>
                    <w:p w14:paraId="3E2DBEDC">
                      <w:pPr>
                        <w:jc w:val="center"/>
                        <w:rPr>
                          <w:rFonts w:hAnsi="宋体"/>
                          <w:szCs w:val="21"/>
                        </w:rPr>
                      </w:pPr>
                    </w:p>
                    <w:p w14:paraId="0BBF0F93">
                      <w:pPr>
                        <w:jc w:val="center"/>
                        <w:rPr>
                          <w:rFonts w:hAnsi="宋体"/>
                          <w:szCs w:val="21"/>
                        </w:rPr>
                      </w:pPr>
                    </w:p>
                    <w:p w14:paraId="18160FFA">
                      <w:pPr>
                        <w:jc w:val="center"/>
                        <w:rPr>
                          <w:rFonts w:hAnsi="宋体"/>
                          <w:szCs w:val="21"/>
                        </w:rPr>
                      </w:pPr>
                    </w:p>
                    <w:p w14:paraId="668DA226">
                      <w:pPr>
                        <w:jc w:val="center"/>
                        <w:rPr>
                          <w:szCs w:val="21"/>
                        </w:rPr>
                      </w:pPr>
                      <w:r>
                        <w:rPr>
                          <w:rFonts w:hint="eastAsia" w:hAnsi="宋体"/>
                          <w:szCs w:val="21"/>
                        </w:rPr>
                        <w:t>法定代表人身份证复印件</w:t>
                      </w:r>
                    </w:p>
                  </w:txbxContent>
                </v:textbox>
              </v:shape>
            </w:pict>
          </mc:Fallback>
        </mc:AlternateContent>
      </w:r>
      <w:r>
        <w:rPr>
          <w:rFonts w:hint="eastAsia" w:ascii="仿宋" w:hAnsi="仿宋" w:eastAsia="仿宋" w:cs="仿宋"/>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2918460</wp:posOffset>
                </wp:positionH>
                <wp:positionV relativeFrom="paragraph">
                  <wp:posOffset>28575</wp:posOffset>
                </wp:positionV>
                <wp:extent cx="2609850" cy="1557020"/>
                <wp:effectExtent l="7620" t="7620" r="11430" b="16510"/>
                <wp:wrapNone/>
                <wp:docPr id="40" name="圆角矩形 40"/>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78735EDB">
                            <w:pPr>
                              <w:jc w:val="center"/>
                              <w:rPr>
                                <w:rFonts w:hAnsi="宋体"/>
                                <w:szCs w:val="21"/>
                              </w:rPr>
                            </w:pPr>
                            <w:r>
                              <w:rPr>
                                <w:rFonts w:hint="eastAsia" w:hAnsi="宋体"/>
                                <w:szCs w:val="21"/>
                              </w:rPr>
                              <w:t xml:space="preserve">  </w:t>
                            </w:r>
                          </w:p>
                          <w:p w14:paraId="3EBA1E0F">
                            <w:pPr>
                              <w:jc w:val="center"/>
                              <w:rPr>
                                <w:rFonts w:hAnsi="宋体"/>
                                <w:szCs w:val="21"/>
                              </w:rPr>
                            </w:pPr>
                          </w:p>
                          <w:p w14:paraId="2F775FFB">
                            <w:pPr>
                              <w:jc w:val="center"/>
                              <w:rPr>
                                <w:rFonts w:hAnsi="宋体"/>
                                <w:szCs w:val="21"/>
                              </w:rPr>
                            </w:pPr>
                          </w:p>
                          <w:p w14:paraId="0D76AC2B">
                            <w:pPr>
                              <w:jc w:val="center"/>
                              <w:rPr>
                                <w:szCs w:val="21"/>
                              </w:rPr>
                            </w:pPr>
                            <w:r>
                              <w:rPr>
                                <w:rFonts w:hint="eastAsia" w:hAnsi="宋体"/>
                                <w:szCs w:val="21"/>
                              </w:rPr>
                              <w:t>法人身份证复印件反面</w:t>
                            </w:r>
                          </w:p>
                          <w:p w14:paraId="4AF5F143"/>
                          <w:p w14:paraId="5E2CC15C">
                            <w:pPr>
                              <w:pStyle w:val="7"/>
                            </w:pPr>
                          </w:p>
                          <w:p w14:paraId="500E673A">
                            <w:pPr>
                              <w:pStyle w:val="7"/>
                            </w:pPr>
                          </w:p>
                          <w:p w14:paraId="68D78F7A">
                            <w:pPr>
                              <w:pStyle w:val="7"/>
                            </w:pPr>
                          </w:p>
                          <w:p w14:paraId="0C9CB7A9">
                            <w:pPr>
                              <w:pStyle w:val="7"/>
                            </w:pPr>
                          </w:p>
                        </w:txbxContent>
                      </wps:txbx>
                      <wps:bodyPr upright="1"/>
                    </wps:wsp>
                  </a:graphicData>
                </a:graphic>
              </wp:anchor>
            </w:drawing>
          </mc:Choice>
          <mc:Fallback>
            <w:pict>
              <v:roundrect id="_x0000_s1026" o:spid="_x0000_s1026" o:spt="2" style="position:absolute;left:0pt;margin-left:229.8pt;margin-top:2.25pt;height:122.6pt;width:205.5pt;z-index:251660288;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y9jX9oAAAAJAQAADwAAAAAAAAABACAAAAAiAAAAZHJzL2Rvd25yZXYueG1sUEsB&#10;AhQAFAAAAAgAh07iQMpt//wsAgAAaAQAAA4AAAAAAAAAAQAgAAAAKQEAAGRycy9lMm9Eb2MueG1s&#10;UEsFBgAAAAAGAAYAWQEAAMcFAAAAAA==&#10;">
                <v:fill on="t" focussize="0,0"/>
                <v:stroke weight="1.25pt" color="#808080" joinstyle="round"/>
                <v:imagedata o:title=""/>
                <o:lock v:ext="edit" aspectratio="f"/>
                <v:textbox>
                  <w:txbxContent>
                    <w:p w14:paraId="78735EDB">
                      <w:pPr>
                        <w:jc w:val="center"/>
                        <w:rPr>
                          <w:rFonts w:hAnsi="宋体"/>
                          <w:szCs w:val="21"/>
                        </w:rPr>
                      </w:pPr>
                      <w:r>
                        <w:rPr>
                          <w:rFonts w:hint="eastAsia" w:hAnsi="宋体"/>
                          <w:szCs w:val="21"/>
                        </w:rPr>
                        <w:t xml:space="preserve">  </w:t>
                      </w:r>
                    </w:p>
                    <w:p w14:paraId="3EBA1E0F">
                      <w:pPr>
                        <w:jc w:val="center"/>
                        <w:rPr>
                          <w:rFonts w:hAnsi="宋体"/>
                          <w:szCs w:val="21"/>
                        </w:rPr>
                      </w:pPr>
                    </w:p>
                    <w:p w14:paraId="2F775FFB">
                      <w:pPr>
                        <w:jc w:val="center"/>
                        <w:rPr>
                          <w:rFonts w:hAnsi="宋体"/>
                          <w:szCs w:val="21"/>
                        </w:rPr>
                      </w:pPr>
                    </w:p>
                    <w:p w14:paraId="0D76AC2B">
                      <w:pPr>
                        <w:jc w:val="center"/>
                        <w:rPr>
                          <w:szCs w:val="21"/>
                        </w:rPr>
                      </w:pPr>
                      <w:r>
                        <w:rPr>
                          <w:rFonts w:hint="eastAsia" w:hAnsi="宋体"/>
                          <w:szCs w:val="21"/>
                        </w:rPr>
                        <w:t>法人身份证复印件反面</w:t>
                      </w:r>
                    </w:p>
                    <w:p w14:paraId="4AF5F143"/>
                    <w:p w14:paraId="5E2CC15C">
                      <w:pPr>
                        <w:pStyle w:val="7"/>
                      </w:pPr>
                    </w:p>
                    <w:p w14:paraId="500E673A">
                      <w:pPr>
                        <w:pStyle w:val="7"/>
                      </w:pPr>
                    </w:p>
                    <w:p w14:paraId="68D78F7A">
                      <w:pPr>
                        <w:pStyle w:val="7"/>
                      </w:pPr>
                    </w:p>
                    <w:p w14:paraId="0C9CB7A9">
                      <w:pPr>
                        <w:pStyle w:val="7"/>
                      </w:pPr>
                    </w:p>
                  </w:txbxContent>
                </v:textbox>
              </v:roundrect>
            </w:pict>
          </mc:Fallback>
        </mc:AlternateContent>
      </w:r>
    </w:p>
    <w:p w14:paraId="05B7E743">
      <w:pPr>
        <w:spacing w:line="360" w:lineRule="auto"/>
        <w:rPr>
          <w:rFonts w:hint="eastAsia" w:ascii="仿宋" w:hAnsi="仿宋" w:eastAsia="仿宋" w:cs="仿宋"/>
          <w:sz w:val="24"/>
          <w:szCs w:val="24"/>
          <w:highlight w:val="none"/>
        </w:rPr>
      </w:pPr>
    </w:p>
    <w:p w14:paraId="0125EB47">
      <w:pPr>
        <w:spacing w:line="360" w:lineRule="auto"/>
        <w:rPr>
          <w:rFonts w:hint="eastAsia" w:ascii="仿宋" w:hAnsi="仿宋" w:eastAsia="仿宋" w:cs="仿宋"/>
          <w:sz w:val="24"/>
          <w:szCs w:val="24"/>
          <w:highlight w:val="none"/>
        </w:rPr>
      </w:pPr>
    </w:p>
    <w:p w14:paraId="3E83A99E">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仿宋" w:hAnsi="仿宋" w:eastAsia="仿宋" w:cs="仿宋"/>
          <w:sz w:val="24"/>
          <w:szCs w:val="24"/>
          <w:highlight w:val="none"/>
        </w:rPr>
      </w:pPr>
    </w:p>
    <w:p w14:paraId="5A77BF1F">
      <w:pPr>
        <w:autoSpaceDE w:val="0"/>
        <w:autoSpaceDN w:val="0"/>
        <w:adjustRightInd w:val="0"/>
        <w:spacing w:line="360" w:lineRule="auto"/>
        <w:ind w:right="246"/>
        <w:rPr>
          <w:rFonts w:hint="eastAsia" w:ascii="仿宋" w:hAnsi="仿宋" w:eastAsia="仿宋" w:cs="仿宋"/>
          <w:sz w:val="24"/>
          <w:szCs w:val="24"/>
          <w:highlight w:val="none"/>
        </w:rPr>
      </w:pPr>
    </w:p>
    <w:p w14:paraId="7BCC094B">
      <w:pPr>
        <w:autoSpaceDE w:val="0"/>
        <w:autoSpaceDN w:val="0"/>
        <w:adjustRightInd w:val="0"/>
        <w:spacing w:line="360" w:lineRule="auto"/>
        <w:ind w:right="246" w:firstLine="784" w:firstLineChars="327"/>
        <w:rPr>
          <w:rFonts w:hint="eastAsia" w:ascii="仿宋" w:hAnsi="仿宋" w:eastAsia="仿宋" w:cs="仿宋"/>
          <w:sz w:val="24"/>
          <w:szCs w:val="24"/>
          <w:highlight w:val="none"/>
        </w:rPr>
      </w:pPr>
    </w:p>
    <w:p w14:paraId="470DE7DE">
      <w:pPr>
        <w:autoSpaceDE w:val="0"/>
        <w:autoSpaceDN w:val="0"/>
        <w:adjustRightInd w:val="0"/>
        <w:spacing w:line="360" w:lineRule="auto"/>
        <w:ind w:right="246" w:firstLine="784" w:firstLineChars="327"/>
        <w:rPr>
          <w:rFonts w:hint="eastAsia" w:ascii="仿宋" w:hAnsi="仿宋" w:eastAsia="仿宋" w:cs="仿宋"/>
          <w:sz w:val="24"/>
          <w:szCs w:val="24"/>
          <w:highlight w:val="none"/>
        </w:rPr>
      </w:pPr>
    </w:p>
    <w:p w14:paraId="37206167">
      <w:pPr>
        <w:autoSpaceDE w:val="0"/>
        <w:autoSpaceDN w:val="0"/>
        <w:adjustRightInd w:val="0"/>
        <w:spacing w:line="360" w:lineRule="auto"/>
        <w:ind w:right="246" w:firstLine="784" w:firstLineChars="327"/>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供应商（盖章）：                              </w:t>
      </w:r>
    </w:p>
    <w:p w14:paraId="5B70A9C3">
      <w:pPr>
        <w:adjustRightInd w:val="0"/>
        <w:snapToGrid w:val="0"/>
        <w:spacing w:line="360" w:lineRule="auto"/>
        <w:ind w:firstLine="784" w:firstLineChars="327"/>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b w:val="0"/>
          <w:bCs w:val="0"/>
          <w:snapToGrid w:val="0"/>
          <w:color w:val="000000"/>
          <w:kern w:val="0"/>
          <w:sz w:val="24"/>
          <w:szCs w:val="24"/>
          <w:highlight w:val="none"/>
          <w:lang w:val="en-US" w:eastAsia="zh-CN" w:bidi="ar-SA"/>
        </w:rPr>
        <w:t>（签字/签章）</w:t>
      </w:r>
      <w:r>
        <w:rPr>
          <w:rFonts w:hint="eastAsia" w:ascii="仿宋" w:hAnsi="仿宋" w:eastAsia="仿宋" w:cs="仿宋"/>
          <w:sz w:val="24"/>
          <w:szCs w:val="24"/>
          <w:highlight w:val="none"/>
        </w:rPr>
        <w:t xml:space="preserve">：                    </w:t>
      </w:r>
    </w:p>
    <w:p w14:paraId="7290DC0C">
      <w:pPr>
        <w:adjustRightInd w:val="0"/>
        <w:snapToGrid w:val="0"/>
        <w:spacing w:line="360" w:lineRule="auto"/>
        <w:ind w:firstLine="784" w:firstLineChars="327"/>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日期：                                       </w:t>
      </w:r>
    </w:p>
    <w:p w14:paraId="3F52DB4F">
      <w:pPr>
        <w:pStyle w:val="12"/>
        <w:tabs>
          <w:tab w:val="left" w:pos="5580"/>
        </w:tabs>
        <w:spacing w:line="240" w:lineRule="atLeast"/>
        <w:ind w:left="1079" w:leftChars="257" w:hanging="540"/>
        <w:rPr>
          <w:rFonts w:hint="eastAsia" w:ascii="仿宋" w:hAnsi="仿宋" w:eastAsia="仿宋" w:cs="仿宋"/>
          <w:sz w:val="24"/>
          <w:szCs w:val="24"/>
          <w:highlight w:val="none"/>
        </w:rPr>
      </w:pPr>
    </w:p>
    <w:p w14:paraId="15606432">
      <w:pPr>
        <w:pStyle w:val="12"/>
        <w:tabs>
          <w:tab w:val="left" w:pos="5580"/>
        </w:tabs>
        <w:spacing w:line="240" w:lineRule="atLeast"/>
        <w:rPr>
          <w:rFonts w:hint="eastAsia" w:ascii="仿宋" w:hAnsi="仿宋" w:eastAsia="仿宋" w:cs="仿宋"/>
          <w:sz w:val="24"/>
          <w:szCs w:val="24"/>
          <w:highlight w:val="none"/>
        </w:rPr>
      </w:pPr>
      <w:r>
        <w:rPr>
          <w:rFonts w:hint="eastAsia" w:ascii="仿宋" w:hAnsi="仿宋" w:eastAsia="仿宋" w:cs="仿宋"/>
          <w:sz w:val="24"/>
          <w:szCs w:val="24"/>
          <w:highlight w:val="none"/>
        </w:rPr>
        <w:t>说明：1.提供有效的营业执照等证明文件复印件，复印件上应加盖本单位章。</w:t>
      </w:r>
    </w:p>
    <w:p w14:paraId="3913D3CD">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 供应商为自然人的，应提供身份证明的复印件。</w:t>
      </w:r>
    </w:p>
    <w:p w14:paraId="21939D0D">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3.报价联合体应提供联合体各方满足以上要求的证明文件。</w:t>
      </w:r>
      <w:bookmarkStart w:id="292" w:name="_Toc22472"/>
      <w:bookmarkStart w:id="293" w:name="_Toc1083"/>
      <w:bookmarkStart w:id="294" w:name="_Toc515647807"/>
      <w:bookmarkStart w:id="295" w:name="_Toc12847_WPSOffice_Level2"/>
    </w:p>
    <w:p w14:paraId="4027E9D9">
      <w:pPr>
        <w:pStyle w:val="7"/>
        <w:rPr>
          <w:rFonts w:hint="eastAsia" w:ascii="仿宋" w:hAnsi="仿宋" w:eastAsia="仿宋" w:cs="仿宋"/>
          <w:sz w:val="24"/>
          <w:szCs w:val="24"/>
          <w:highlight w:val="none"/>
        </w:rPr>
      </w:pPr>
    </w:p>
    <w:p w14:paraId="640C7B4A">
      <w:pPr>
        <w:pStyle w:val="6"/>
        <w:numPr>
          <w:ilvl w:val="3"/>
          <w:numId w:val="0"/>
        </w:numPr>
        <w:rPr>
          <w:rFonts w:hint="eastAsia" w:ascii="仿宋" w:hAnsi="仿宋" w:eastAsia="仿宋" w:cs="仿宋"/>
          <w:sz w:val="24"/>
          <w:szCs w:val="24"/>
          <w:highlight w:val="none"/>
        </w:rPr>
      </w:pPr>
    </w:p>
    <w:p w14:paraId="5BFD4FBA">
      <w:pPr>
        <w:rPr>
          <w:rFonts w:hint="eastAsia" w:ascii="仿宋" w:hAnsi="仿宋" w:eastAsia="仿宋" w:cs="仿宋"/>
          <w:sz w:val="24"/>
          <w:szCs w:val="24"/>
          <w:highlight w:val="none"/>
        </w:rPr>
      </w:pPr>
    </w:p>
    <w:p w14:paraId="092DF257">
      <w:pPr>
        <w:pStyle w:val="2"/>
        <w:rPr>
          <w:rFonts w:hint="eastAsia" w:ascii="仿宋" w:hAnsi="仿宋" w:eastAsia="仿宋" w:cs="仿宋"/>
          <w:sz w:val="24"/>
          <w:szCs w:val="24"/>
        </w:rPr>
      </w:pPr>
    </w:p>
    <w:p w14:paraId="18937618">
      <w:pPr>
        <w:pStyle w:val="2"/>
        <w:rPr>
          <w:rFonts w:hint="eastAsia" w:ascii="仿宋" w:hAnsi="仿宋" w:eastAsia="仿宋" w:cs="仿宋"/>
          <w:sz w:val="24"/>
          <w:szCs w:val="24"/>
          <w:highlight w:val="none"/>
        </w:rPr>
      </w:pPr>
    </w:p>
    <w:p w14:paraId="3147CB69">
      <w:pPr>
        <w:rPr>
          <w:rFonts w:hint="eastAsia" w:ascii="仿宋" w:hAnsi="仿宋" w:eastAsia="仿宋" w:cs="仿宋"/>
          <w:sz w:val="24"/>
          <w:szCs w:val="24"/>
        </w:rPr>
      </w:pPr>
    </w:p>
    <w:p w14:paraId="0D5EC4A9">
      <w:pPr>
        <w:rPr>
          <w:rFonts w:hint="eastAsia" w:ascii="仿宋" w:hAnsi="仿宋" w:eastAsia="仿宋" w:cs="仿宋"/>
          <w:sz w:val="24"/>
          <w:szCs w:val="24"/>
        </w:rPr>
      </w:pPr>
    </w:p>
    <w:p w14:paraId="5358CE95">
      <w:pPr>
        <w:pStyle w:val="5"/>
        <w:jc w:val="center"/>
        <w:rPr>
          <w:rFonts w:hint="eastAsia" w:ascii="仿宋" w:hAnsi="仿宋" w:eastAsia="仿宋" w:cs="仿宋"/>
          <w:b/>
          <w:bCs w:val="0"/>
          <w:snapToGrid w:val="0"/>
          <w:color w:val="000000"/>
          <w:kern w:val="0"/>
          <w:sz w:val="28"/>
          <w:szCs w:val="28"/>
          <w:highlight w:val="none"/>
          <w:u w:val="none"/>
          <w:lang w:val="en-US" w:eastAsia="zh-CN" w:bidi="ar-SA"/>
        </w:rPr>
      </w:pPr>
      <w:bookmarkStart w:id="296" w:name="_Toc25830"/>
      <w:bookmarkStart w:id="297" w:name="_Toc15673"/>
      <w:bookmarkStart w:id="298" w:name="_Toc1783"/>
      <w:bookmarkStart w:id="299" w:name="_Toc26923"/>
      <w:bookmarkStart w:id="300" w:name="_Toc5946"/>
      <w:bookmarkStart w:id="301" w:name="_Toc16455"/>
      <w:bookmarkStart w:id="302" w:name="_Toc26070"/>
      <w:bookmarkStart w:id="303" w:name="_Toc8727"/>
      <w:bookmarkStart w:id="304" w:name="_Toc4256"/>
      <w:bookmarkStart w:id="305" w:name="_Toc24776"/>
      <w:r>
        <w:rPr>
          <w:rFonts w:hint="eastAsia" w:ascii="仿宋" w:hAnsi="仿宋" w:eastAsia="仿宋" w:cs="仿宋"/>
          <w:b/>
          <w:bCs w:val="0"/>
          <w:snapToGrid w:val="0"/>
          <w:color w:val="000000"/>
          <w:kern w:val="0"/>
          <w:sz w:val="28"/>
          <w:szCs w:val="28"/>
          <w:highlight w:val="none"/>
          <w:u w:val="none"/>
          <w:lang w:val="en-US" w:eastAsia="zh-CN" w:bidi="ar-SA"/>
        </w:rPr>
        <w:t>7 法定代表人授权委托书</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52DE2961">
      <w:pPr>
        <w:pStyle w:val="12"/>
        <w:keepNext w:val="0"/>
        <w:keepLines w:val="0"/>
        <w:pageBreakBefore w:val="0"/>
        <w:widowControl w:val="0"/>
        <w:tabs>
          <w:tab w:val="left" w:pos="5580"/>
        </w:tabs>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仿宋" w:hAnsi="仿宋" w:eastAsia="仿宋" w:cs="仿宋"/>
          <w:b w:val="0"/>
          <w:i w:val="0"/>
          <w:caps w:val="0"/>
          <w:spacing w:val="0"/>
          <w:w w:val="100"/>
          <w:sz w:val="24"/>
          <w:szCs w:val="24"/>
        </w:rPr>
      </w:pPr>
      <w:bookmarkStart w:id="306" w:name="_Toc5179"/>
      <w:r>
        <w:rPr>
          <w:rFonts w:hint="eastAsia" w:ascii="仿宋" w:hAnsi="仿宋" w:eastAsia="仿宋" w:cs="仿宋"/>
          <w:sz w:val="24"/>
          <w:szCs w:val="24"/>
          <w:highlight w:val="none"/>
        </w:rPr>
        <w:cr/>
      </w:r>
      <w:bookmarkEnd w:id="306"/>
      <w:r>
        <w:rPr>
          <w:rFonts w:hint="eastAsia" w:ascii="仿宋" w:hAnsi="仿宋" w:eastAsia="仿宋" w:cs="仿宋"/>
          <w:b w:val="0"/>
          <w:i w:val="0"/>
          <w:caps w:val="0"/>
          <w:spacing w:val="0"/>
          <w:w w:val="100"/>
          <w:sz w:val="24"/>
          <w:szCs w:val="24"/>
        </w:rPr>
        <w:t xml:space="preserve"> </w:t>
      </w:r>
      <w:r>
        <w:rPr>
          <w:rFonts w:hint="eastAsia" w:ascii="仿宋" w:hAnsi="仿宋" w:eastAsia="仿宋" w:cs="仿宋"/>
          <w:b w:val="0"/>
          <w:i w:val="0"/>
          <w:caps w:val="0"/>
          <w:spacing w:val="0"/>
          <w:w w:val="100"/>
          <w:sz w:val="24"/>
          <w:szCs w:val="24"/>
          <w:lang w:val="en-US" w:eastAsia="zh-CN"/>
        </w:rPr>
        <w:t xml:space="preserve">    </w:t>
      </w:r>
      <w:r>
        <w:rPr>
          <w:rFonts w:hint="eastAsia" w:ascii="仿宋" w:hAnsi="仿宋" w:eastAsia="仿宋" w:cs="仿宋"/>
          <w:b w:val="0"/>
          <w:i w:val="0"/>
          <w:caps w:val="0"/>
          <w:spacing w:val="0"/>
          <w:w w:val="100"/>
          <w:sz w:val="24"/>
          <w:szCs w:val="24"/>
        </w:rPr>
        <w:t>本授权书声明：注册于</w:t>
      </w:r>
      <w:r>
        <w:rPr>
          <w:rFonts w:hint="eastAsia" w:ascii="仿宋" w:hAnsi="仿宋" w:eastAsia="仿宋" w:cs="仿宋"/>
          <w:b w:val="0"/>
          <w:i w:val="0"/>
          <w:caps w:val="0"/>
          <w:spacing w:val="0"/>
          <w:w w:val="100"/>
          <w:sz w:val="24"/>
          <w:szCs w:val="24"/>
          <w:u w:val="single"/>
        </w:rPr>
        <w:t>（国家或地区的名称）</w:t>
      </w:r>
      <w:r>
        <w:rPr>
          <w:rFonts w:hint="eastAsia" w:ascii="仿宋" w:hAnsi="仿宋" w:eastAsia="仿宋" w:cs="仿宋"/>
          <w:b w:val="0"/>
          <w:i w:val="0"/>
          <w:caps w:val="0"/>
          <w:spacing w:val="0"/>
          <w:w w:val="100"/>
          <w:sz w:val="24"/>
          <w:szCs w:val="24"/>
        </w:rPr>
        <w:t>的</w:t>
      </w:r>
      <w:r>
        <w:rPr>
          <w:rFonts w:hint="eastAsia" w:ascii="仿宋" w:hAnsi="仿宋" w:eastAsia="仿宋" w:cs="仿宋"/>
          <w:b w:val="0"/>
          <w:i w:val="0"/>
          <w:caps w:val="0"/>
          <w:spacing w:val="0"/>
          <w:w w:val="100"/>
          <w:sz w:val="24"/>
          <w:szCs w:val="24"/>
          <w:u w:val="single"/>
        </w:rPr>
        <w:t>（供应商）</w:t>
      </w:r>
      <w:r>
        <w:rPr>
          <w:rFonts w:hint="eastAsia" w:ascii="仿宋" w:hAnsi="仿宋" w:eastAsia="仿宋" w:cs="仿宋"/>
          <w:b w:val="0"/>
          <w:i w:val="0"/>
          <w:caps w:val="0"/>
          <w:spacing w:val="0"/>
          <w:w w:val="100"/>
          <w:sz w:val="24"/>
          <w:szCs w:val="24"/>
        </w:rPr>
        <w:t>的在下面签字的</w:t>
      </w:r>
      <w:r>
        <w:rPr>
          <w:rFonts w:hint="eastAsia" w:ascii="仿宋" w:hAnsi="仿宋" w:eastAsia="仿宋" w:cs="仿宋"/>
          <w:b w:val="0"/>
          <w:i w:val="0"/>
          <w:caps w:val="0"/>
          <w:spacing w:val="0"/>
          <w:w w:val="100"/>
          <w:sz w:val="24"/>
          <w:szCs w:val="24"/>
          <w:u w:val="single"/>
        </w:rPr>
        <w:t>（法人代表姓名、职务）</w:t>
      </w:r>
      <w:r>
        <w:rPr>
          <w:rFonts w:hint="eastAsia" w:ascii="仿宋" w:hAnsi="仿宋" w:eastAsia="仿宋" w:cs="仿宋"/>
          <w:b w:val="0"/>
          <w:i w:val="0"/>
          <w:caps w:val="0"/>
          <w:spacing w:val="0"/>
          <w:w w:val="100"/>
          <w:sz w:val="24"/>
          <w:szCs w:val="24"/>
        </w:rPr>
        <w:t>代表我单位授权</w:t>
      </w:r>
      <w:r>
        <w:rPr>
          <w:rFonts w:hint="eastAsia" w:ascii="仿宋" w:hAnsi="仿宋" w:eastAsia="仿宋" w:cs="仿宋"/>
          <w:b w:val="0"/>
          <w:i w:val="0"/>
          <w:caps w:val="0"/>
          <w:spacing w:val="0"/>
          <w:w w:val="100"/>
          <w:sz w:val="24"/>
          <w:szCs w:val="24"/>
          <w:u w:val="single"/>
        </w:rPr>
        <w:t>（单位名称）</w:t>
      </w:r>
      <w:r>
        <w:rPr>
          <w:rFonts w:hint="eastAsia" w:ascii="仿宋" w:hAnsi="仿宋" w:eastAsia="仿宋" w:cs="仿宋"/>
          <w:b w:val="0"/>
          <w:i w:val="0"/>
          <w:caps w:val="0"/>
          <w:spacing w:val="0"/>
          <w:w w:val="100"/>
          <w:sz w:val="24"/>
          <w:szCs w:val="24"/>
        </w:rPr>
        <w:t>的在下面签字的</w:t>
      </w:r>
      <w:r>
        <w:rPr>
          <w:rFonts w:hint="eastAsia" w:ascii="仿宋" w:hAnsi="仿宋" w:eastAsia="仿宋" w:cs="仿宋"/>
          <w:b w:val="0"/>
          <w:i w:val="0"/>
          <w:caps w:val="0"/>
          <w:spacing w:val="0"/>
          <w:w w:val="100"/>
          <w:sz w:val="24"/>
          <w:szCs w:val="24"/>
          <w:u w:val="single"/>
        </w:rPr>
        <w:t>（被授权人的姓名、职务）</w:t>
      </w:r>
      <w:r>
        <w:rPr>
          <w:rFonts w:hint="eastAsia" w:ascii="仿宋" w:hAnsi="仿宋" w:eastAsia="仿宋" w:cs="仿宋"/>
          <w:b w:val="0"/>
          <w:i w:val="0"/>
          <w:caps w:val="0"/>
          <w:spacing w:val="0"/>
          <w:w w:val="100"/>
          <w:sz w:val="24"/>
          <w:szCs w:val="24"/>
        </w:rPr>
        <w:t>为我单位的合法代理人，就</w:t>
      </w:r>
      <w:r>
        <w:rPr>
          <w:rFonts w:hint="eastAsia" w:ascii="仿宋" w:hAnsi="仿宋" w:eastAsia="仿宋" w:cs="仿宋"/>
          <w:b w:val="0"/>
          <w:i w:val="0"/>
          <w:caps w:val="0"/>
          <w:spacing w:val="0"/>
          <w:w w:val="100"/>
          <w:sz w:val="24"/>
          <w:szCs w:val="24"/>
          <w:u w:val="single"/>
          <w:lang w:eastAsia="zh-CN"/>
        </w:rPr>
        <w:t>（</w:t>
      </w:r>
      <w:r>
        <w:rPr>
          <w:rFonts w:hint="eastAsia" w:ascii="仿宋" w:hAnsi="仿宋" w:eastAsia="仿宋" w:cs="仿宋"/>
          <w:b w:val="0"/>
          <w:i w:val="0"/>
          <w:caps w:val="0"/>
          <w:spacing w:val="0"/>
          <w:w w:val="100"/>
          <w:sz w:val="24"/>
          <w:szCs w:val="24"/>
          <w:u w:val="single"/>
        </w:rPr>
        <w:t>项 目 名 称</w:t>
      </w:r>
      <w:r>
        <w:rPr>
          <w:rFonts w:hint="eastAsia" w:ascii="仿宋" w:hAnsi="仿宋" w:eastAsia="仿宋" w:cs="仿宋"/>
          <w:b w:val="0"/>
          <w:i w:val="0"/>
          <w:caps w:val="0"/>
          <w:spacing w:val="0"/>
          <w:w w:val="100"/>
          <w:sz w:val="24"/>
          <w:szCs w:val="24"/>
          <w:u w:val="single"/>
          <w:lang w:eastAsia="zh-CN"/>
        </w:rPr>
        <w:t>、</w:t>
      </w:r>
      <w:r>
        <w:rPr>
          <w:rFonts w:hint="eastAsia" w:ascii="仿宋" w:hAnsi="仿宋" w:eastAsia="仿宋" w:cs="仿宋"/>
          <w:b w:val="0"/>
          <w:i w:val="0"/>
          <w:caps w:val="0"/>
          <w:spacing w:val="0"/>
          <w:w w:val="100"/>
          <w:sz w:val="24"/>
          <w:szCs w:val="24"/>
          <w:u w:val="single"/>
        </w:rPr>
        <w:t xml:space="preserve"> 项目编号）</w:t>
      </w:r>
      <w:r>
        <w:rPr>
          <w:rFonts w:hint="eastAsia" w:ascii="仿宋" w:hAnsi="仿宋" w:eastAsia="仿宋" w:cs="仿宋"/>
          <w:b w:val="0"/>
          <w:i w:val="0"/>
          <w:caps w:val="0"/>
          <w:spacing w:val="0"/>
          <w:w w:val="100"/>
          <w:sz w:val="24"/>
          <w:szCs w:val="24"/>
          <w:lang w:eastAsia="zh-CN"/>
        </w:rPr>
        <w:t>竞争性磋商</w:t>
      </w:r>
      <w:r>
        <w:rPr>
          <w:rFonts w:hint="eastAsia" w:ascii="仿宋" w:hAnsi="仿宋" w:eastAsia="仿宋" w:cs="仿宋"/>
          <w:b w:val="0"/>
          <w:i w:val="0"/>
          <w:caps w:val="0"/>
          <w:spacing w:val="0"/>
          <w:w w:val="100"/>
          <w:sz w:val="24"/>
          <w:szCs w:val="24"/>
        </w:rPr>
        <w:t>招标，以我单位名义处理一切与之有关的事务。</w:t>
      </w:r>
      <w:r>
        <w:rPr>
          <w:rFonts w:hint="eastAsia" w:ascii="仿宋" w:hAnsi="仿宋" w:eastAsia="仿宋" w:cs="仿宋"/>
          <w:b w:val="0"/>
          <w:i w:val="0"/>
          <w:caps w:val="0"/>
          <w:spacing w:val="0"/>
          <w:w w:val="100"/>
          <w:sz w:val="24"/>
          <w:szCs w:val="24"/>
          <w:lang w:val="en-US" w:eastAsia="zh-CN"/>
        </w:rPr>
        <w:t xml:space="preserve"> </w:t>
      </w:r>
      <w:r>
        <w:rPr>
          <w:rFonts w:hint="eastAsia" w:ascii="仿宋" w:hAnsi="仿宋" w:eastAsia="仿宋" w:cs="仿宋"/>
          <w:b w:val="0"/>
          <w:i w:val="0"/>
          <w:caps w:val="0"/>
          <w:spacing w:val="0"/>
          <w:w w:val="100"/>
          <w:sz w:val="24"/>
          <w:szCs w:val="24"/>
        </w:rPr>
        <w:cr/>
      </w:r>
      <w:r>
        <w:rPr>
          <w:rFonts w:hint="eastAsia" w:ascii="仿宋" w:hAnsi="仿宋" w:eastAsia="仿宋" w:cs="仿宋"/>
          <w:b w:val="0"/>
          <w:i w:val="0"/>
          <w:caps w:val="0"/>
          <w:spacing w:val="0"/>
          <w:w w:val="100"/>
          <w:sz w:val="24"/>
          <w:szCs w:val="24"/>
        </w:rPr>
        <w:t>　　</w:t>
      </w:r>
    </w:p>
    <w:p w14:paraId="1DD241FD">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b w:val="0"/>
          <w:i w:val="0"/>
          <w:caps w:val="0"/>
          <w:spacing w:val="0"/>
          <w:w w:val="100"/>
          <w:sz w:val="24"/>
          <w:szCs w:val="24"/>
        </w:rPr>
        <w:t>本授权书于           年     月     日签字生效,特此声明。</w:t>
      </w:r>
      <w:r>
        <w:rPr>
          <w:rFonts w:hint="eastAsia" w:ascii="仿宋" w:hAnsi="仿宋" w:eastAsia="仿宋" w:cs="仿宋"/>
          <w:sz w:val="24"/>
          <w:szCs w:val="24"/>
          <w:highlight w:val="none"/>
        </w:rPr>
        <w:cr/>
      </w:r>
    </w:p>
    <w:p w14:paraId="1C038A20">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2810510</wp:posOffset>
                </wp:positionH>
                <wp:positionV relativeFrom="paragraph">
                  <wp:posOffset>15875</wp:posOffset>
                </wp:positionV>
                <wp:extent cx="2563495" cy="1158240"/>
                <wp:effectExtent l="7620" t="7620" r="19685" b="15240"/>
                <wp:wrapNone/>
                <wp:docPr id="55" name="圆角矩形 55"/>
                <wp:cNvGraphicFramePr/>
                <a:graphic xmlns:a="http://schemas.openxmlformats.org/drawingml/2006/main">
                  <a:graphicData uri="http://schemas.microsoft.com/office/word/2010/wordprocessingShape">
                    <wps:wsp>
                      <wps:cNvSpPr/>
                      <wps:spPr>
                        <a:xfrm>
                          <a:off x="0" y="0"/>
                          <a:ext cx="2563495" cy="115824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5101A09B">
                            <w:pPr>
                              <w:rPr>
                                <w:rFonts w:hAnsi="宋体"/>
                              </w:rPr>
                            </w:pPr>
                          </w:p>
                          <w:p w14:paraId="51C46682">
                            <w:pPr>
                              <w:rPr>
                                <w:rFonts w:hAnsi="宋体"/>
                              </w:rPr>
                            </w:pPr>
                          </w:p>
                          <w:p w14:paraId="36AF16D1">
                            <w:r>
                              <w:rPr>
                                <w:rFonts w:hint="eastAsia" w:hAnsi="宋体"/>
                              </w:rPr>
                              <w:t>授权委托人身份证复印件反面</w:t>
                            </w:r>
                          </w:p>
                          <w:p w14:paraId="65EC7955"/>
                        </w:txbxContent>
                      </wps:txbx>
                      <wps:bodyPr upright="1"/>
                    </wps:wsp>
                  </a:graphicData>
                </a:graphic>
              </wp:anchor>
            </w:drawing>
          </mc:Choice>
          <mc:Fallback>
            <w:pict>
              <v:roundrect id="_x0000_s1026" o:spid="_x0000_s1026" o:spt="2" style="position:absolute;left:0pt;margin-left:221.3pt;margin-top:1.25pt;height:91.2pt;width:201.85pt;z-index:251662336;mso-width-relative:page;mso-height-relative:page;" fillcolor="#FFFFFF" filled="t" stroked="t" coordsize="21600,21600" arcsize="0.166666666666667" o:gfxdata="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16pm2wAAAAkBAAAPAAAAAAAAAAEAIAAAACIAAABkcnMvZG93bnJldi54bWxQSwECFAAU&#10;AAAACACHTuJAELlwvicCAABaBAAADgAAAAAAAAABACAAAAAqAQAAZHJzL2Uyb0RvYy54bWxQSwUG&#10;AAAAAAYABgBZAQAAwwUAAAAA&#10;">
                <v:fill on="t" focussize="0,0"/>
                <v:stroke weight="1.25pt" color="#808080" joinstyle="round"/>
                <v:imagedata o:title=""/>
                <o:lock v:ext="edit" aspectratio="f"/>
                <v:textbox>
                  <w:txbxContent>
                    <w:p w14:paraId="5101A09B">
                      <w:pPr>
                        <w:rPr>
                          <w:rFonts w:hAnsi="宋体"/>
                        </w:rPr>
                      </w:pPr>
                    </w:p>
                    <w:p w14:paraId="51C46682">
                      <w:pPr>
                        <w:rPr>
                          <w:rFonts w:hAnsi="宋体"/>
                        </w:rPr>
                      </w:pPr>
                    </w:p>
                    <w:p w14:paraId="36AF16D1">
                      <w:r>
                        <w:rPr>
                          <w:rFonts w:hint="eastAsia" w:hAnsi="宋体"/>
                        </w:rPr>
                        <w:t>授权委托人身份证复印件反面</w:t>
                      </w:r>
                    </w:p>
                    <w:p w14:paraId="65EC7955"/>
                  </w:txbxContent>
                </v:textbox>
              </v:roundrect>
            </w:pict>
          </mc:Fallback>
        </mc:AlternateContent>
      </w:r>
      <w:r>
        <w:rPr>
          <w:rFonts w:hint="eastAsia" w:ascii="仿宋" w:hAnsi="仿宋" w:eastAsia="仿宋" w:cs="仿宋"/>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241935</wp:posOffset>
                </wp:positionH>
                <wp:positionV relativeFrom="paragraph">
                  <wp:posOffset>6350</wp:posOffset>
                </wp:positionV>
                <wp:extent cx="2317750" cy="1143000"/>
                <wp:effectExtent l="4445" t="5080" r="20955" b="13970"/>
                <wp:wrapNone/>
                <wp:docPr id="56" name="流程图: 可选过程 56"/>
                <wp:cNvGraphicFramePr/>
                <a:graphic xmlns:a="http://schemas.openxmlformats.org/drawingml/2006/main">
                  <a:graphicData uri="http://schemas.microsoft.com/office/word/2010/wordprocessingShape">
                    <wps:wsp>
                      <wps:cNvSpPr/>
                      <wps:spPr>
                        <a:xfrm>
                          <a:off x="0" y="0"/>
                          <a:ext cx="2317750" cy="11430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2B00FE9">
                            <w:pPr>
                              <w:jc w:val="center"/>
                              <w:rPr>
                                <w:rFonts w:hAnsi="宋体"/>
                              </w:rPr>
                            </w:pPr>
                          </w:p>
                          <w:p w14:paraId="4F3B52B2">
                            <w:pPr>
                              <w:jc w:val="center"/>
                              <w:rPr>
                                <w:rFonts w:hAnsi="宋体"/>
                              </w:rPr>
                            </w:pPr>
                          </w:p>
                          <w:p w14:paraId="3C668CEF">
                            <w:r>
                              <w:rPr>
                                <w:rFonts w:hint="eastAsia" w:hAnsi="宋体"/>
                              </w:rPr>
                              <w:t>授权委托人身份证复印件正面</w:t>
                            </w:r>
                          </w:p>
                        </w:txbxContent>
                      </wps:txbx>
                      <wps:bodyPr upright="1"/>
                    </wps:wsp>
                  </a:graphicData>
                </a:graphic>
              </wp:anchor>
            </w:drawing>
          </mc:Choice>
          <mc:Fallback>
            <w:pict>
              <v:shape id="_x0000_s1026" o:spid="_x0000_s1026" o:spt="176" type="#_x0000_t176" style="position:absolute;left:0pt;margin-left:19.05pt;margin-top:0.5pt;height:90pt;width:182.5pt;z-index:251661312;mso-width-relative:page;mso-height-relative:page;" fillcolor="#FFFFFF" filled="t" stroked="t" coordsize="21600,21600" o:gfxdata="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MQVFtEAAAAIAQAADwAAAAAAAAABACAAAAAiAAAAZHJzL2Rvd25yZXYueG1sUEsBAhQAFAAA&#10;AAgAh07iQJ68W5ovAgAAUgQAAA4AAAAAAAAAAQAgAAAAIAEAAGRycy9lMm9Eb2MueG1sUEsFBgAA&#10;AAAGAAYAWQEAAMEFAAAAAA==&#10;">
                <v:fill on="t" focussize="0,0"/>
                <v:stroke color="#000000" joinstyle="miter"/>
                <v:imagedata o:title=""/>
                <o:lock v:ext="edit" aspectratio="f"/>
                <v:textbox>
                  <w:txbxContent>
                    <w:p w14:paraId="52B00FE9">
                      <w:pPr>
                        <w:jc w:val="center"/>
                        <w:rPr>
                          <w:rFonts w:hAnsi="宋体"/>
                        </w:rPr>
                      </w:pPr>
                    </w:p>
                    <w:p w14:paraId="4F3B52B2">
                      <w:pPr>
                        <w:jc w:val="center"/>
                        <w:rPr>
                          <w:rFonts w:hAnsi="宋体"/>
                        </w:rPr>
                      </w:pPr>
                    </w:p>
                    <w:p w14:paraId="3C668CEF">
                      <w:r>
                        <w:rPr>
                          <w:rFonts w:hint="eastAsia" w:hAnsi="宋体"/>
                        </w:rPr>
                        <w:t>授权委托人身份证复印件正面</w:t>
                      </w:r>
                    </w:p>
                  </w:txbxContent>
                </v:textbox>
              </v:shape>
            </w:pict>
          </mc:Fallback>
        </mc:AlternateContent>
      </w:r>
    </w:p>
    <w:p w14:paraId="3B869F5F">
      <w:pPr>
        <w:pStyle w:val="12"/>
        <w:tabs>
          <w:tab w:val="left" w:pos="5580"/>
        </w:tabs>
        <w:spacing w:line="240" w:lineRule="atLeast"/>
        <w:ind w:left="1079" w:leftChars="257" w:hanging="540"/>
        <w:rPr>
          <w:rFonts w:hint="eastAsia" w:ascii="仿宋" w:hAnsi="仿宋" w:eastAsia="仿宋" w:cs="仿宋"/>
          <w:sz w:val="24"/>
          <w:szCs w:val="24"/>
          <w:highlight w:val="none"/>
        </w:rPr>
      </w:pPr>
    </w:p>
    <w:p w14:paraId="25FB7C63">
      <w:pPr>
        <w:pStyle w:val="12"/>
        <w:tabs>
          <w:tab w:val="left" w:pos="5580"/>
        </w:tabs>
        <w:spacing w:line="240" w:lineRule="atLeast"/>
        <w:ind w:left="1079" w:leftChars="257" w:hanging="540"/>
        <w:rPr>
          <w:rFonts w:hint="eastAsia" w:ascii="仿宋" w:hAnsi="仿宋" w:eastAsia="仿宋" w:cs="仿宋"/>
          <w:sz w:val="24"/>
          <w:szCs w:val="24"/>
          <w:highlight w:val="none"/>
        </w:rPr>
      </w:pPr>
    </w:p>
    <w:p w14:paraId="77223B84">
      <w:pPr>
        <w:pStyle w:val="12"/>
        <w:tabs>
          <w:tab w:val="left" w:pos="5580"/>
        </w:tabs>
        <w:spacing w:line="240" w:lineRule="atLeast"/>
        <w:ind w:left="1079" w:leftChars="257" w:hanging="540"/>
        <w:rPr>
          <w:rFonts w:hint="eastAsia" w:ascii="仿宋" w:hAnsi="仿宋" w:eastAsia="仿宋" w:cs="仿宋"/>
          <w:sz w:val="24"/>
          <w:szCs w:val="24"/>
          <w:highlight w:val="none"/>
        </w:rPr>
      </w:pPr>
    </w:p>
    <w:p w14:paraId="6F19AD8B">
      <w:pPr>
        <w:pStyle w:val="12"/>
        <w:tabs>
          <w:tab w:val="left" w:pos="5580"/>
        </w:tabs>
        <w:spacing w:line="240" w:lineRule="atLeast"/>
        <w:ind w:left="1079" w:leftChars="257" w:hanging="540"/>
        <w:rPr>
          <w:rFonts w:hint="eastAsia" w:ascii="仿宋" w:hAnsi="仿宋" w:eastAsia="仿宋" w:cs="仿宋"/>
          <w:sz w:val="24"/>
          <w:szCs w:val="24"/>
          <w:highlight w:val="none"/>
        </w:rPr>
      </w:pPr>
    </w:p>
    <w:p w14:paraId="4B39B3E8">
      <w:pPr>
        <w:pStyle w:val="12"/>
        <w:tabs>
          <w:tab w:val="left" w:pos="5580"/>
        </w:tabs>
        <w:spacing w:line="240" w:lineRule="atLeast"/>
        <w:ind w:left="1079" w:leftChars="257" w:hanging="540"/>
        <w:rPr>
          <w:rFonts w:hint="eastAsia" w:ascii="仿宋" w:hAnsi="仿宋" w:eastAsia="仿宋" w:cs="仿宋"/>
          <w:sz w:val="24"/>
          <w:szCs w:val="24"/>
          <w:highlight w:val="none"/>
        </w:rPr>
      </w:pPr>
    </w:p>
    <w:p w14:paraId="3DA2E498">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2820035</wp:posOffset>
                </wp:positionH>
                <wp:positionV relativeFrom="paragraph">
                  <wp:posOffset>52070</wp:posOffset>
                </wp:positionV>
                <wp:extent cx="2566670" cy="1067435"/>
                <wp:effectExtent l="7620" t="7620" r="16510" b="10795"/>
                <wp:wrapNone/>
                <wp:docPr id="57" name="圆角矩形 57"/>
                <wp:cNvGraphicFramePr/>
                <a:graphic xmlns:a="http://schemas.openxmlformats.org/drawingml/2006/main">
                  <a:graphicData uri="http://schemas.microsoft.com/office/word/2010/wordprocessingShape">
                    <wps:wsp>
                      <wps:cNvSpPr/>
                      <wps:spPr>
                        <a:xfrm>
                          <a:off x="0" y="0"/>
                          <a:ext cx="2566670" cy="106743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18B6DC43">
                            <w:pPr>
                              <w:rPr>
                                <w:rFonts w:hAnsi="宋体"/>
                              </w:rPr>
                            </w:pPr>
                            <w:r>
                              <w:rPr>
                                <w:rFonts w:hint="eastAsia" w:hAnsi="宋体"/>
                              </w:rPr>
                              <w:t xml:space="preserve">  </w:t>
                            </w:r>
                          </w:p>
                          <w:p w14:paraId="0960B236">
                            <w:pPr>
                              <w:ind w:firstLine="420" w:firstLineChars="200"/>
                              <w:rPr>
                                <w:rFonts w:hAnsi="宋体"/>
                              </w:rPr>
                            </w:pPr>
                          </w:p>
                          <w:p w14:paraId="150CB572">
                            <w:pPr>
                              <w:ind w:firstLine="420" w:firstLineChars="200"/>
                            </w:pPr>
                            <w:r>
                              <w:rPr>
                                <w:rFonts w:hint="eastAsia" w:hAnsi="宋体"/>
                              </w:rPr>
                              <w:t>法人身份证复印件反面</w:t>
                            </w:r>
                          </w:p>
                          <w:p w14:paraId="3BE54B15"/>
                        </w:txbxContent>
                      </wps:txbx>
                      <wps:bodyPr upright="1"/>
                    </wps:wsp>
                  </a:graphicData>
                </a:graphic>
              </wp:anchor>
            </w:drawing>
          </mc:Choice>
          <mc:Fallback>
            <w:pict>
              <v:roundrect id="_x0000_s1026" o:spid="_x0000_s1026" o:spt="2" style="position:absolute;left:0pt;margin-left:222.05pt;margin-top:4.1pt;height:84.05pt;width:202.1pt;z-index:251664384;mso-width-relative:page;mso-height-relative:page;" fillcolor="#FFFFFF" filled="t" stroked="t" coordsize="21600,21600" arcsize="0.166666666666667" o:gfxdata="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sapEjaAAAACQEAAA8AAAAAAAAAAQAgAAAAIgAAAGRycy9kb3ducmV2LnhtbFBLAQIUABQAAAAI&#10;AIdO4kBemb7SJAIAAFoEAAAOAAAAAAAAAAEAIAAAACkBAABkcnMvZTJvRG9jLnhtbFBLBQYAAAAA&#10;BgAGAFkBAAC/BQAAAAA=&#10;">
                <v:fill on="t" focussize="0,0"/>
                <v:stroke weight="1.25pt" color="#808080" joinstyle="round"/>
                <v:imagedata o:title=""/>
                <o:lock v:ext="edit" aspectratio="f"/>
                <v:textbox>
                  <w:txbxContent>
                    <w:p w14:paraId="18B6DC43">
                      <w:pPr>
                        <w:rPr>
                          <w:rFonts w:hAnsi="宋体"/>
                        </w:rPr>
                      </w:pPr>
                      <w:r>
                        <w:rPr>
                          <w:rFonts w:hint="eastAsia" w:hAnsi="宋体"/>
                        </w:rPr>
                        <w:t xml:space="preserve">  </w:t>
                      </w:r>
                    </w:p>
                    <w:p w14:paraId="0960B236">
                      <w:pPr>
                        <w:ind w:firstLine="420" w:firstLineChars="200"/>
                        <w:rPr>
                          <w:rFonts w:hAnsi="宋体"/>
                        </w:rPr>
                      </w:pPr>
                    </w:p>
                    <w:p w14:paraId="150CB572">
                      <w:pPr>
                        <w:ind w:firstLine="420" w:firstLineChars="200"/>
                      </w:pPr>
                      <w:r>
                        <w:rPr>
                          <w:rFonts w:hint="eastAsia" w:hAnsi="宋体"/>
                        </w:rPr>
                        <w:t>法人身份证复印件反面</w:t>
                      </w:r>
                    </w:p>
                    <w:p w14:paraId="3BE54B15"/>
                  </w:txbxContent>
                </v:textbox>
              </v:roundrect>
            </w:pict>
          </mc:Fallback>
        </mc:AlternateContent>
      </w:r>
      <w:r>
        <w:rPr>
          <w:rFonts w:hint="eastAsia" w:ascii="仿宋" w:hAnsi="仿宋" w:eastAsia="仿宋" w:cs="仿宋"/>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194310</wp:posOffset>
                </wp:positionH>
                <wp:positionV relativeFrom="paragraph">
                  <wp:posOffset>21590</wp:posOffset>
                </wp:positionV>
                <wp:extent cx="2372995" cy="1114425"/>
                <wp:effectExtent l="7620" t="7620" r="19685" b="20955"/>
                <wp:wrapNone/>
                <wp:docPr id="58" name="圆角矩形 58"/>
                <wp:cNvGraphicFramePr/>
                <a:graphic xmlns:a="http://schemas.openxmlformats.org/drawingml/2006/main">
                  <a:graphicData uri="http://schemas.microsoft.com/office/word/2010/wordprocessingShape">
                    <wps:wsp>
                      <wps:cNvSpPr/>
                      <wps:spPr>
                        <a:xfrm>
                          <a:off x="0" y="0"/>
                          <a:ext cx="2372995" cy="111442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69B691D0">
                            <w:pPr>
                              <w:jc w:val="center"/>
                              <w:rPr>
                                <w:rFonts w:hAnsi="宋体"/>
                              </w:rPr>
                            </w:pPr>
                          </w:p>
                          <w:p w14:paraId="699126B0">
                            <w:pPr>
                              <w:jc w:val="center"/>
                              <w:rPr>
                                <w:rFonts w:hAnsi="宋体"/>
                              </w:rPr>
                            </w:pPr>
                          </w:p>
                          <w:p w14:paraId="16E61C73">
                            <w:pPr>
                              <w:ind w:firstLine="420" w:firstLineChars="200"/>
                            </w:pPr>
                            <w:r>
                              <w:rPr>
                                <w:rFonts w:hint="eastAsia" w:hAnsi="宋体"/>
                              </w:rPr>
                              <w:t>法人身份证复印件正面</w:t>
                            </w:r>
                          </w:p>
                          <w:p w14:paraId="5DC4ECD9"/>
                        </w:txbxContent>
                      </wps:txbx>
                      <wps:bodyPr upright="1"/>
                    </wps:wsp>
                  </a:graphicData>
                </a:graphic>
              </wp:anchor>
            </w:drawing>
          </mc:Choice>
          <mc:Fallback>
            <w:pict>
              <v:roundrect id="_x0000_s1026" o:spid="_x0000_s1026" o:spt="2" style="position:absolute;left:0pt;margin-left:15.3pt;margin-top:1.7pt;height:87.75pt;width:186.85pt;z-index:251663360;mso-width-relative:page;mso-height-relative:page;" fillcolor="#FFFFFF" filled="t" stroked="t" coordsize="21600,21600" arcsize="0.166666666666667" o:gfxdata="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tAIFi2QAAAAgBAAAPAAAAAAAAAAEAIAAAACIAAABkcnMvZG93bnJldi54bWxQSwECFAAUAAAA&#10;CACHTuJA0Gb9ZSYCAABaBAAADgAAAAAAAAABACAAAAAoAQAAZHJzL2Uyb0RvYy54bWxQSwUGAAAA&#10;AAYABgBZAQAAwAUAAAAA&#10;">
                <v:fill on="t" focussize="0,0"/>
                <v:stroke weight="1.25pt" color="#808080" joinstyle="round"/>
                <v:imagedata o:title=""/>
                <o:lock v:ext="edit" aspectratio="f"/>
                <v:textbox>
                  <w:txbxContent>
                    <w:p w14:paraId="69B691D0">
                      <w:pPr>
                        <w:jc w:val="center"/>
                        <w:rPr>
                          <w:rFonts w:hAnsi="宋体"/>
                        </w:rPr>
                      </w:pPr>
                    </w:p>
                    <w:p w14:paraId="699126B0">
                      <w:pPr>
                        <w:jc w:val="center"/>
                        <w:rPr>
                          <w:rFonts w:hAnsi="宋体"/>
                        </w:rPr>
                      </w:pPr>
                    </w:p>
                    <w:p w14:paraId="16E61C73">
                      <w:pPr>
                        <w:ind w:firstLine="420" w:firstLineChars="200"/>
                      </w:pPr>
                      <w:r>
                        <w:rPr>
                          <w:rFonts w:hint="eastAsia" w:hAnsi="宋体"/>
                        </w:rPr>
                        <w:t>法人身份证复印件正面</w:t>
                      </w:r>
                    </w:p>
                    <w:p w14:paraId="5DC4ECD9"/>
                  </w:txbxContent>
                </v:textbox>
              </v:roundrect>
            </w:pict>
          </mc:Fallback>
        </mc:AlternateContent>
      </w:r>
    </w:p>
    <w:p w14:paraId="22A6BA92">
      <w:pPr>
        <w:pStyle w:val="12"/>
        <w:tabs>
          <w:tab w:val="left" w:pos="5580"/>
        </w:tabs>
        <w:spacing w:line="240" w:lineRule="atLeast"/>
        <w:ind w:left="1079" w:leftChars="257" w:hanging="540"/>
        <w:rPr>
          <w:rFonts w:hint="eastAsia" w:ascii="仿宋" w:hAnsi="仿宋" w:eastAsia="仿宋" w:cs="仿宋"/>
          <w:sz w:val="24"/>
          <w:szCs w:val="24"/>
          <w:highlight w:val="none"/>
        </w:rPr>
      </w:pPr>
    </w:p>
    <w:p w14:paraId="501C5C9F">
      <w:pPr>
        <w:pStyle w:val="12"/>
        <w:tabs>
          <w:tab w:val="left" w:pos="5580"/>
        </w:tabs>
        <w:spacing w:line="240" w:lineRule="atLeast"/>
        <w:ind w:left="1079" w:leftChars="257" w:hanging="540"/>
        <w:rPr>
          <w:rFonts w:hint="eastAsia" w:ascii="仿宋" w:hAnsi="仿宋" w:eastAsia="仿宋" w:cs="仿宋"/>
          <w:sz w:val="24"/>
          <w:szCs w:val="24"/>
          <w:highlight w:val="none"/>
        </w:rPr>
      </w:pPr>
    </w:p>
    <w:p w14:paraId="6D156E26">
      <w:pPr>
        <w:pStyle w:val="12"/>
        <w:tabs>
          <w:tab w:val="left" w:pos="5580"/>
        </w:tabs>
        <w:spacing w:line="240" w:lineRule="atLeast"/>
        <w:ind w:left="1079" w:leftChars="257" w:hanging="540"/>
        <w:rPr>
          <w:rFonts w:hint="eastAsia" w:ascii="仿宋" w:hAnsi="仿宋" w:eastAsia="仿宋" w:cs="仿宋"/>
          <w:sz w:val="24"/>
          <w:szCs w:val="24"/>
          <w:highlight w:val="none"/>
        </w:rPr>
      </w:pPr>
    </w:p>
    <w:p w14:paraId="479CFF96">
      <w:pPr>
        <w:pStyle w:val="12"/>
        <w:tabs>
          <w:tab w:val="left" w:pos="5580"/>
        </w:tabs>
        <w:spacing w:line="240" w:lineRule="atLeast"/>
        <w:ind w:left="1079" w:leftChars="257" w:hanging="540"/>
        <w:rPr>
          <w:rFonts w:hint="eastAsia" w:ascii="仿宋" w:hAnsi="仿宋" w:eastAsia="仿宋" w:cs="仿宋"/>
          <w:sz w:val="24"/>
          <w:szCs w:val="24"/>
          <w:highlight w:val="none"/>
        </w:rPr>
      </w:pPr>
    </w:p>
    <w:p w14:paraId="6A1101F8">
      <w:pPr>
        <w:pStyle w:val="12"/>
        <w:tabs>
          <w:tab w:val="left" w:pos="5580"/>
        </w:tabs>
        <w:spacing w:line="240" w:lineRule="atLeast"/>
        <w:ind w:left="1079" w:leftChars="257" w:hanging="540"/>
        <w:rPr>
          <w:rFonts w:hint="eastAsia" w:ascii="仿宋" w:hAnsi="仿宋" w:eastAsia="仿宋" w:cs="仿宋"/>
          <w:sz w:val="24"/>
          <w:szCs w:val="24"/>
          <w:highlight w:val="none"/>
        </w:rPr>
      </w:pPr>
    </w:p>
    <w:p w14:paraId="3E9C7CF8">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供应商（盖单位章）;                           </w:t>
      </w:r>
    </w:p>
    <w:p w14:paraId="706AA5F3">
      <w:pPr>
        <w:pStyle w:val="12"/>
        <w:tabs>
          <w:tab w:val="left" w:pos="5580"/>
        </w:tabs>
        <w:spacing w:line="240" w:lineRule="atLeast"/>
        <w:ind w:left="1079" w:leftChars="257" w:hanging="54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法定代表人（签字或签章）：</w:t>
      </w:r>
      <w:r>
        <w:rPr>
          <w:rFonts w:hint="eastAsia" w:ascii="仿宋" w:hAnsi="仿宋" w:eastAsia="仿宋" w:cs="仿宋"/>
          <w:sz w:val="24"/>
          <w:szCs w:val="24"/>
          <w:highlight w:val="none"/>
          <w:u w:val="single"/>
        </w:rPr>
        <w:t xml:space="preserve">                     </w:t>
      </w:r>
    </w:p>
    <w:p w14:paraId="5A6063D8">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身份证号码：__________________________________ </w:t>
      </w:r>
    </w:p>
    <w:p w14:paraId="64149961">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委托代理人</w:t>
      </w:r>
      <w:r>
        <w:rPr>
          <w:rFonts w:hint="eastAsia" w:ascii="仿宋" w:hAnsi="仿宋" w:eastAsia="仿宋" w:cs="仿宋"/>
          <w:sz w:val="24"/>
          <w:szCs w:val="24"/>
          <w:highlight w:val="none"/>
          <w:lang w:eastAsia="zh-CN"/>
        </w:rPr>
        <w:t>（签字或签章）</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3FA1812C">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身份证号码：</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5705D013">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详细通讯地址：</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6A6D4410">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邮 政 编 码 ：</w:t>
      </w:r>
      <w:r>
        <w:rPr>
          <w:rFonts w:hint="eastAsia" w:ascii="仿宋" w:hAnsi="仿宋" w:eastAsia="仿宋" w:cs="仿宋"/>
          <w:sz w:val="24"/>
          <w:szCs w:val="24"/>
          <w:highlight w:val="none"/>
          <w:u w:val="single"/>
        </w:rPr>
        <w:t xml:space="preserve">                                 </w:t>
      </w:r>
    </w:p>
    <w:p w14:paraId="2C7F7323">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传　　　　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0CF6CB50">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电　　　　话：</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179B8D9A">
      <w:pPr>
        <w:widowControl/>
        <w:spacing w:line="500" w:lineRule="exact"/>
        <w:ind w:firstLine="470" w:firstLineChars="196"/>
        <w:rPr>
          <w:rFonts w:hint="eastAsia" w:ascii="仿宋" w:hAnsi="仿宋" w:eastAsia="仿宋" w:cs="仿宋"/>
          <w:sz w:val="24"/>
          <w:szCs w:val="24"/>
          <w:highlight w:val="none"/>
          <w:u w:val="single" w:color="FFFFFF"/>
        </w:rPr>
      </w:pPr>
      <w:r>
        <w:rPr>
          <w:rFonts w:hint="eastAsia" w:ascii="仿宋" w:hAnsi="仿宋" w:eastAsia="仿宋" w:cs="仿宋"/>
          <w:sz w:val="24"/>
          <w:szCs w:val="24"/>
          <w:highlight w:val="none"/>
          <w:u w:val="single" w:color="FFFFFF"/>
        </w:rPr>
        <w:t xml:space="preserve">   </w:t>
      </w:r>
      <w:r>
        <w:rPr>
          <w:rFonts w:hint="eastAsia" w:ascii="仿宋" w:hAnsi="仿宋" w:eastAsia="仿宋" w:cs="仿宋"/>
          <w:b/>
          <w:bCs/>
          <w:sz w:val="24"/>
          <w:szCs w:val="24"/>
          <w:highlight w:val="none"/>
          <w:u w:val="single" w:color="FFFFFF"/>
        </w:rPr>
        <w:t xml:space="preserve"> </w:t>
      </w:r>
      <w:bookmarkEnd w:id="288"/>
      <w:bookmarkEnd w:id="289"/>
      <w:bookmarkEnd w:id="290"/>
      <w:bookmarkEnd w:id="291"/>
      <w:r>
        <w:rPr>
          <w:rFonts w:hint="eastAsia" w:ascii="仿宋" w:hAnsi="仿宋" w:eastAsia="仿宋" w:cs="仿宋"/>
          <w:sz w:val="24"/>
          <w:szCs w:val="24"/>
          <w:highlight w:val="none"/>
          <w:u w:val="single" w:color="FFFFFF"/>
        </w:rPr>
        <w:t xml:space="preserve"> </w:t>
      </w:r>
      <w:bookmarkStart w:id="307" w:name="_Toc515647810"/>
      <w:bookmarkStart w:id="308" w:name="_Toc5710"/>
      <w:bookmarkStart w:id="309" w:name="_Toc18754"/>
      <w:bookmarkStart w:id="310" w:name="_Toc41737064"/>
    </w:p>
    <w:p w14:paraId="21EE1B60">
      <w:pPr>
        <w:widowControl/>
        <w:spacing w:line="500" w:lineRule="exact"/>
        <w:ind w:firstLine="470" w:firstLineChars="196"/>
        <w:rPr>
          <w:rFonts w:hint="eastAsia" w:ascii="仿宋" w:hAnsi="仿宋" w:eastAsia="仿宋" w:cs="仿宋"/>
          <w:sz w:val="24"/>
          <w:szCs w:val="24"/>
          <w:highlight w:val="none"/>
          <w:u w:val="single" w:color="FFFFFF"/>
        </w:rPr>
      </w:pPr>
    </w:p>
    <w:p w14:paraId="76B1BE8A">
      <w:pPr>
        <w:widowControl/>
        <w:spacing w:line="500" w:lineRule="exact"/>
        <w:ind w:firstLine="470" w:firstLineChars="196"/>
        <w:rPr>
          <w:rFonts w:hint="eastAsia" w:ascii="仿宋" w:hAnsi="仿宋" w:eastAsia="仿宋" w:cs="仿宋"/>
          <w:sz w:val="24"/>
          <w:szCs w:val="24"/>
          <w:highlight w:val="none"/>
          <w:u w:val="single" w:color="FFFFFF"/>
        </w:rPr>
      </w:pPr>
    </w:p>
    <w:p w14:paraId="63EE5837">
      <w:pPr>
        <w:widowControl/>
        <w:spacing w:line="500" w:lineRule="exact"/>
        <w:ind w:firstLine="470" w:firstLineChars="196"/>
        <w:rPr>
          <w:rFonts w:hint="eastAsia" w:ascii="仿宋" w:hAnsi="仿宋" w:eastAsia="仿宋" w:cs="仿宋"/>
          <w:sz w:val="24"/>
          <w:szCs w:val="24"/>
          <w:highlight w:val="none"/>
          <w:u w:val="single" w:color="FFFFFF"/>
        </w:rPr>
      </w:pPr>
    </w:p>
    <w:p w14:paraId="28138165">
      <w:pPr>
        <w:pStyle w:val="17"/>
        <w:rPr>
          <w:rFonts w:hint="eastAsia" w:ascii="仿宋" w:hAnsi="仿宋" w:eastAsia="仿宋" w:cs="仿宋"/>
          <w:sz w:val="24"/>
          <w:szCs w:val="24"/>
          <w:highlight w:val="none"/>
          <w:u w:val="single" w:color="FFFFFF"/>
        </w:rPr>
      </w:pPr>
    </w:p>
    <w:p w14:paraId="10F46E51">
      <w:pPr>
        <w:widowControl/>
        <w:spacing w:line="500" w:lineRule="exact"/>
        <w:rPr>
          <w:rFonts w:hint="eastAsia" w:ascii="仿宋" w:hAnsi="仿宋" w:eastAsia="仿宋" w:cs="仿宋"/>
          <w:sz w:val="24"/>
          <w:szCs w:val="24"/>
          <w:highlight w:val="none"/>
          <w:u w:val="single" w:color="FFFFFF"/>
        </w:rPr>
      </w:pPr>
    </w:p>
    <w:bookmarkEnd w:id="307"/>
    <w:bookmarkEnd w:id="308"/>
    <w:bookmarkEnd w:id="309"/>
    <w:bookmarkEnd w:id="310"/>
    <w:p w14:paraId="7F66D14F">
      <w:pPr>
        <w:pStyle w:val="5"/>
        <w:jc w:val="center"/>
        <w:rPr>
          <w:rFonts w:hint="eastAsia" w:ascii="仿宋" w:hAnsi="仿宋" w:eastAsia="仿宋" w:cs="仿宋"/>
          <w:b/>
          <w:bCs w:val="0"/>
          <w:snapToGrid w:val="0"/>
          <w:color w:val="000000"/>
          <w:kern w:val="0"/>
          <w:sz w:val="28"/>
          <w:szCs w:val="28"/>
          <w:highlight w:val="none"/>
          <w:u w:val="none"/>
          <w:lang w:val="en-US" w:eastAsia="zh-CN" w:bidi="ar-SA"/>
        </w:rPr>
      </w:pPr>
      <w:bookmarkStart w:id="311" w:name="_Toc22037"/>
      <w:bookmarkStart w:id="312" w:name="_Toc19764"/>
      <w:r>
        <w:rPr>
          <w:rFonts w:hint="eastAsia" w:ascii="仿宋" w:hAnsi="仿宋" w:eastAsia="仿宋" w:cs="仿宋"/>
          <w:b/>
          <w:bCs w:val="0"/>
          <w:snapToGrid w:val="0"/>
          <w:color w:val="000000"/>
          <w:kern w:val="0"/>
          <w:sz w:val="28"/>
          <w:szCs w:val="28"/>
          <w:highlight w:val="none"/>
          <w:u w:val="none"/>
          <w:lang w:val="en-US" w:eastAsia="zh-CN" w:bidi="ar-SA"/>
        </w:rPr>
        <w:t>8 投标保证金缴纳凭证复印件或银行保函复印件</w:t>
      </w:r>
      <w:bookmarkEnd w:id="311"/>
      <w:bookmarkEnd w:id="312"/>
    </w:p>
    <w:p w14:paraId="57833D9C">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147"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投标保证金应当以支票、汇票、本票或者金融机构、担保机构出具的保函等非现金形式提交。投标人未按照招标文件要求提交投标保证金的，投标无效。</w:t>
      </w:r>
      <w:r>
        <w:rPr>
          <w:rFonts w:hint="eastAsia" w:ascii="仿宋" w:hAnsi="仿宋" w:eastAsia="仿宋" w:cs="仿宋"/>
          <w:color w:val="auto"/>
          <w:sz w:val="24"/>
          <w:szCs w:val="24"/>
          <w:highlight w:val="none"/>
        </w:rPr>
        <w:t>投标人可将本项目保证金缴纳凭证</w:t>
      </w:r>
      <w:r>
        <w:rPr>
          <w:rFonts w:hint="eastAsia" w:ascii="仿宋" w:hAnsi="仿宋" w:eastAsia="仿宋" w:cs="仿宋"/>
          <w:color w:val="auto"/>
          <w:sz w:val="24"/>
          <w:szCs w:val="24"/>
          <w:highlight w:val="none"/>
          <w:lang w:eastAsia="zh-CN"/>
        </w:rPr>
        <w:t>体现</w:t>
      </w:r>
      <w:r>
        <w:rPr>
          <w:rFonts w:hint="eastAsia" w:ascii="仿宋" w:hAnsi="仿宋" w:eastAsia="仿宋" w:cs="仿宋"/>
          <w:color w:val="auto"/>
          <w:sz w:val="24"/>
          <w:szCs w:val="24"/>
          <w:highlight w:val="none"/>
        </w:rPr>
        <w:t>在本部分</w:t>
      </w:r>
      <w:r>
        <w:rPr>
          <w:rFonts w:hint="eastAsia" w:ascii="仿宋" w:hAnsi="仿宋" w:eastAsia="仿宋" w:cs="仿宋"/>
          <w:color w:val="auto"/>
          <w:sz w:val="24"/>
          <w:szCs w:val="24"/>
          <w:highlight w:val="none"/>
          <w:lang w:eastAsia="zh-CN"/>
        </w:rPr>
        <w:t>中</w:t>
      </w:r>
      <w:r>
        <w:rPr>
          <w:rFonts w:hint="eastAsia" w:ascii="仿宋" w:hAnsi="仿宋" w:eastAsia="仿宋" w:cs="仿宋"/>
          <w:color w:val="auto"/>
          <w:sz w:val="24"/>
          <w:szCs w:val="24"/>
          <w:highlight w:val="none"/>
        </w:rPr>
        <w:t>，复印件上应加盖本单位章；使用银行保函等其他投标担保函的，应将担保函</w:t>
      </w:r>
      <w:r>
        <w:rPr>
          <w:rFonts w:hint="eastAsia" w:ascii="仿宋" w:hAnsi="仿宋" w:eastAsia="仿宋" w:cs="仿宋"/>
          <w:color w:val="auto"/>
          <w:sz w:val="24"/>
          <w:szCs w:val="24"/>
          <w:highlight w:val="none"/>
          <w:lang w:eastAsia="zh-CN"/>
        </w:rPr>
        <w:t>复印件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体现</w:t>
      </w:r>
      <w:r>
        <w:rPr>
          <w:rFonts w:hint="eastAsia" w:ascii="仿宋" w:hAnsi="仿宋" w:eastAsia="仿宋" w:cs="仿宋"/>
          <w:color w:val="auto"/>
          <w:sz w:val="24"/>
          <w:szCs w:val="24"/>
          <w:highlight w:val="none"/>
        </w:rPr>
        <w:t>在本部分中；如采用政府采购信用担保形式的，应使用</w:t>
      </w:r>
      <w:r>
        <w:rPr>
          <w:rFonts w:hint="eastAsia" w:ascii="仿宋" w:hAnsi="仿宋" w:eastAsia="仿宋" w:cs="仿宋"/>
          <w:color w:val="auto"/>
          <w:sz w:val="24"/>
          <w:szCs w:val="24"/>
          <w:highlight w:val="none"/>
          <w:lang w:eastAsia="zh-CN"/>
        </w:rPr>
        <w:t>以下模板</w:t>
      </w:r>
      <w:r>
        <w:rPr>
          <w:rFonts w:hint="eastAsia" w:ascii="仿宋" w:hAnsi="仿宋" w:eastAsia="仿宋" w:cs="仿宋"/>
          <w:color w:val="auto"/>
          <w:sz w:val="24"/>
          <w:szCs w:val="24"/>
          <w:highlight w:val="none"/>
        </w:rPr>
        <w:t>,将</w:t>
      </w:r>
      <w:r>
        <w:rPr>
          <w:rFonts w:hint="eastAsia" w:ascii="仿宋" w:hAnsi="仿宋" w:eastAsia="仿宋" w:cs="仿宋"/>
          <w:color w:val="auto"/>
          <w:sz w:val="24"/>
          <w:szCs w:val="24"/>
          <w:highlight w:val="none"/>
          <w:lang w:eastAsia="zh-CN"/>
        </w:rPr>
        <w:t>复印件体现</w:t>
      </w:r>
      <w:r>
        <w:rPr>
          <w:rFonts w:hint="eastAsia" w:ascii="仿宋" w:hAnsi="仿宋" w:eastAsia="仿宋" w:cs="仿宋"/>
          <w:color w:val="auto"/>
          <w:sz w:val="24"/>
          <w:szCs w:val="24"/>
          <w:highlight w:val="none"/>
        </w:rPr>
        <w:t>在本部分中。</w:t>
      </w:r>
    </w:p>
    <w:p w14:paraId="5EECBC9C">
      <w:pPr>
        <w:rPr>
          <w:rFonts w:hint="eastAsia" w:ascii="仿宋" w:hAnsi="仿宋" w:eastAsia="仿宋" w:cs="仿宋"/>
          <w:sz w:val="24"/>
          <w:szCs w:val="24"/>
        </w:rPr>
      </w:pPr>
    </w:p>
    <w:p w14:paraId="51695D89">
      <w:pPr>
        <w:rPr>
          <w:rFonts w:hint="eastAsia" w:ascii="仿宋" w:hAnsi="仿宋" w:eastAsia="仿宋" w:cs="仿宋"/>
          <w:sz w:val="24"/>
          <w:szCs w:val="24"/>
        </w:rPr>
      </w:pPr>
    </w:p>
    <w:p w14:paraId="4A4F5547">
      <w:pPr>
        <w:rPr>
          <w:rFonts w:hint="eastAsia" w:ascii="仿宋" w:hAnsi="仿宋" w:eastAsia="仿宋" w:cs="仿宋"/>
          <w:sz w:val="24"/>
          <w:szCs w:val="24"/>
        </w:rPr>
      </w:pPr>
    </w:p>
    <w:p w14:paraId="5F78AFB9">
      <w:pPr>
        <w:rPr>
          <w:rFonts w:hint="eastAsia" w:ascii="仿宋" w:hAnsi="仿宋" w:eastAsia="仿宋" w:cs="仿宋"/>
          <w:sz w:val="24"/>
          <w:szCs w:val="24"/>
        </w:rPr>
      </w:pPr>
    </w:p>
    <w:p w14:paraId="42B6C50B">
      <w:pPr>
        <w:rPr>
          <w:rFonts w:hint="eastAsia" w:ascii="仿宋" w:hAnsi="仿宋" w:eastAsia="仿宋" w:cs="仿宋"/>
          <w:sz w:val="24"/>
          <w:szCs w:val="24"/>
        </w:rPr>
      </w:pPr>
    </w:p>
    <w:p w14:paraId="0F72209F">
      <w:pPr>
        <w:rPr>
          <w:rFonts w:hint="eastAsia" w:ascii="仿宋" w:hAnsi="仿宋" w:eastAsia="仿宋" w:cs="仿宋"/>
          <w:sz w:val="24"/>
          <w:szCs w:val="24"/>
        </w:rPr>
      </w:pPr>
    </w:p>
    <w:p w14:paraId="7A0198DC">
      <w:pPr>
        <w:rPr>
          <w:rFonts w:hint="eastAsia" w:ascii="仿宋" w:hAnsi="仿宋" w:eastAsia="仿宋" w:cs="仿宋"/>
          <w:sz w:val="24"/>
          <w:szCs w:val="24"/>
        </w:rPr>
      </w:pPr>
    </w:p>
    <w:p w14:paraId="09FFF3C8">
      <w:pPr>
        <w:rPr>
          <w:rFonts w:hint="eastAsia" w:ascii="仿宋" w:hAnsi="仿宋" w:eastAsia="仿宋" w:cs="仿宋"/>
          <w:sz w:val="24"/>
          <w:szCs w:val="24"/>
        </w:rPr>
      </w:pPr>
    </w:p>
    <w:p w14:paraId="4127083A">
      <w:pPr>
        <w:rPr>
          <w:rFonts w:hint="eastAsia" w:ascii="仿宋" w:hAnsi="仿宋" w:eastAsia="仿宋" w:cs="仿宋"/>
          <w:sz w:val="24"/>
          <w:szCs w:val="24"/>
        </w:rPr>
      </w:pPr>
    </w:p>
    <w:p w14:paraId="645E74F4">
      <w:pPr>
        <w:rPr>
          <w:rFonts w:hint="eastAsia" w:ascii="仿宋" w:hAnsi="仿宋" w:eastAsia="仿宋" w:cs="仿宋"/>
          <w:sz w:val="24"/>
          <w:szCs w:val="24"/>
        </w:rPr>
      </w:pPr>
    </w:p>
    <w:p w14:paraId="001113E2">
      <w:pPr>
        <w:rPr>
          <w:rFonts w:hint="eastAsia" w:ascii="仿宋" w:hAnsi="仿宋" w:eastAsia="仿宋" w:cs="仿宋"/>
          <w:sz w:val="24"/>
          <w:szCs w:val="24"/>
        </w:rPr>
      </w:pPr>
    </w:p>
    <w:p w14:paraId="0FF07160">
      <w:pPr>
        <w:rPr>
          <w:rFonts w:hint="eastAsia" w:ascii="仿宋" w:hAnsi="仿宋" w:eastAsia="仿宋" w:cs="仿宋"/>
          <w:sz w:val="24"/>
          <w:szCs w:val="24"/>
        </w:rPr>
      </w:pPr>
    </w:p>
    <w:p w14:paraId="754CFBBD">
      <w:pPr>
        <w:rPr>
          <w:rFonts w:hint="eastAsia" w:ascii="仿宋" w:hAnsi="仿宋" w:eastAsia="仿宋" w:cs="仿宋"/>
          <w:sz w:val="24"/>
          <w:szCs w:val="24"/>
        </w:rPr>
      </w:pPr>
    </w:p>
    <w:p w14:paraId="12ABD76E">
      <w:pPr>
        <w:rPr>
          <w:rFonts w:hint="eastAsia" w:ascii="仿宋" w:hAnsi="仿宋" w:eastAsia="仿宋" w:cs="仿宋"/>
          <w:sz w:val="24"/>
          <w:szCs w:val="24"/>
        </w:rPr>
      </w:pPr>
    </w:p>
    <w:p w14:paraId="15AD50CA">
      <w:pPr>
        <w:rPr>
          <w:rFonts w:hint="eastAsia" w:ascii="仿宋" w:hAnsi="仿宋" w:eastAsia="仿宋" w:cs="仿宋"/>
          <w:sz w:val="24"/>
          <w:szCs w:val="24"/>
        </w:rPr>
      </w:pPr>
    </w:p>
    <w:p w14:paraId="3A344315">
      <w:pPr>
        <w:rPr>
          <w:rFonts w:hint="eastAsia" w:ascii="仿宋" w:hAnsi="仿宋" w:eastAsia="仿宋" w:cs="仿宋"/>
          <w:sz w:val="24"/>
          <w:szCs w:val="24"/>
        </w:rPr>
      </w:pPr>
    </w:p>
    <w:p w14:paraId="12FE7032">
      <w:pPr>
        <w:rPr>
          <w:rFonts w:hint="eastAsia" w:ascii="仿宋" w:hAnsi="仿宋" w:eastAsia="仿宋" w:cs="仿宋"/>
          <w:sz w:val="24"/>
          <w:szCs w:val="24"/>
        </w:rPr>
      </w:pPr>
    </w:p>
    <w:p w14:paraId="7CD763AA">
      <w:pPr>
        <w:rPr>
          <w:rFonts w:hint="eastAsia" w:ascii="仿宋" w:hAnsi="仿宋" w:eastAsia="仿宋" w:cs="仿宋"/>
          <w:sz w:val="24"/>
          <w:szCs w:val="24"/>
        </w:rPr>
      </w:pPr>
    </w:p>
    <w:p w14:paraId="6148FFB8">
      <w:pPr>
        <w:rPr>
          <w:rFonts w:hint="eastAsia" w:ascii="仿宋" w:hAnsi="仿宋" w:eastAsia="仿宋" w:cs="仿宋"/>
          <w:sz w:val="24"/>
          <w:szCs w:val="24"/>
        </w:rPr>
      </w:pPr>
    </w:p>
    <w:p w14:paraId="7B94D4CD">
      <w:pPr>
        <w:rPr>
          <w:rFonts w:hint="eastAsia" w:ascii="仿宋" w:hAnsi="仿宋" w:eastAsia="仿宋" w:cs="仿宋"/>
          <w:sz w:val="24"/>
          <w:szCs w:val="24"/>
        </w:rPr>
      </w:pPr>
    </w:p>
    <w:p w14:paraId="6BC51DBC">
      <w:pPr>
        <w:rPr>
          <w:rFonts w:hint="eastAsia" w:ascii="仿宋" w:hAnsi="仿宋" w:eastAsia="仿宋" w:cs="仿宋"/>
          <w:sz w:val="24"/>
          <w:szCs w:val="24"/>
        </w:rPr>
      </w:pPr>
    </w:p>
    <w:p w14:paraId="115B5DA6">
      <w:pPr>
        <w:rPr>
          <w:rFonts w:hint="eastAsia" w:ascii="仿宋" w:hAnsi="仿宋" w:eastAsia="仿宋" w:cs="仿宋"/>
          <w:sz w:val="24"/>
          <w:szCs w:val="24"/>
        </w:rPr>
      </w:pPr>
    </w:p>
    <w:p w14:paraId="689F775F">
      <w:pPr>
        <w:rPr>
          <w:rFonts w:hint="eastAsia" w:ascii="仿宋" w:hAnsi="仿宋" w:eastAsia="仿宋" w:cs="仿宋"/>
          <w:sz w:val="24"/>
          <w:szCs w:val="24"/>
        </w:rPr>
      </w:pPr>
    </w:p>
    <w:p w14:paraId="1DF3A32E">
      <w:pPr>
        <w:rPr>
          <w:rFonts w:hint="eastAsia" w:ascii="仿宋" w:hAnsi="仿宋" w:eastAsia="仿宋" w:cs="仿宋"/>
          <w:sz w:val="24"/>
          <w:szCs w:val="24"/>
        </w:rPr>
      </w:pPr>
    </w:p>
    <w:p w14:paraId="730CC8C6">
      <w:pPr>
        <w:rPr>
          <w:rFonts w:hint="eastAsia" w:ascii="仿宋" w:hAnsi="仿宋" w:eastAsia="仿宋" w:cs="仿宋"/>
          <w:sz w:val="24"/>
          <w:szCs w:val="24"/>
        </w:rPr>
      </w:pPr>
    </w:p>
    <w:p w14:paraId="710931E0">
      <w:pPr>
        <w:rPr>
          <w:rFonts w:hint="eastAsia" w:ascii="仿宋" w:hAnsi="仿宋" w:eastAsia="仿宋" w:cs="仿宋"/>
          <w:sz w:val="24"/>
          <w:szCs w:val="24"/>
        </w:rPr>
      </w:pPr>
    </w:p>
    <w:p w14:paraId="01FDCC51">
      <w:pPr>
        <w:rPr>
          <w:rFonts w:hint="eastAsia" w:ascii="仿宋" w:hAnsi="仿宋" w:eastAsia="仿宋" w:cs="仿宋"/>
          <w:sz w:val="24"/>
          <w:szCs w:val="24"/>
        </w:rPr>
      </w:pPr>
    </w:p>
    <w:p w14:paraId="166C863F">
      <w:pPr>
        <w:rPr>
          <w:rFonts w:hint="eastAsia" w:ascii="仿宋" w:hAnsi="仿宋" w:eastAsia="仿宋" w:cs="仿宋"/>
          <w:sz w:val="24"/>
          <w:szCs w:val="24"/>
        </w:rPr>
      </w:pPr>
    </w:p>
    <w:p w14:paraId="4EDF926E">
      <w:pPr>
        <w:rPr>
          <w:rFonts w:hint="eastAsia" w:ascii="仿宋" w:hAnsi="仿宋" w:eastAsia="仿宋" w:cs="仿宋"/>
          <w:sz w:val="24"/>
          <w:szCs w:val="24"/>
        </w:rPr>
      </w:pPr>
    </w:p>
    <w:p w14:paraId="563D4289">
      <w:pPr>
        <w:rPr>
          <w:rFonts w:hint="eastAsia" w:ascii="仿宋" w:hAnsi="仿宋" w:eastAsia="仿宋" w:cs="仿宋"/>
          <w:sz w:val="24"/>
          <w:szCs w:val="24"/>
        </w:rPr>
      </w:pPr>
    </w:p>
    <w:p w14:paraId="794E34D0">
      <w:pPr>
        <w:rPr>
          <w:rFonts w:hint="eastAsia" w:ascii="仿宋" w:hAnsi="仿宋" w:eastAsia="仿宋" w:cs="仿宋"/>
          <w:sz w:val="24"/>
          <w:szCs w:val="24"/>
        </w:rPr>
      </w:pPr>
    </w:p>
    <w:p w14:paraId="6C5239CC">
      <w:pPr>
        <w:rPr>
          <w:rFonts w:hint="eastAsia" w:ascii="仿宋" w:hAnsi="仿宋" w:eastAsia="仿宋" w:cs="仿宋"/>
          <w:sz w:val="24"/>
          <w:szCs w:val="24"/>
        </w:rPr>
      </w:pPr>
    </w:p>
    <w:p w14:paraId="24853514">
      <w:pPr>
        <w:rPr>
          <w:rFonts w:hint="eastAsia" w:ascii="仿宋" w:hAnsi="仿宋" w:eastAsia="仿宋" w:cs="仿宋"/>
          <w:sz w:val="24"/>
          <w:szCs w:val="24"/>
        </w:rPr>
      </w:pPr>
    </w:p>
    <w:p w14:paraId="03AB76FB">
      <w:pPr>
        <w:rPr>
          <w:rFonts w:hint="eastAsia" w:ascii="仿宋" w:hAnsi="仿宋" w:eastAsia="仿宋" w:cs="仿宋"/>
          <w:sz w:val="24"/>
          <w:szCs w:val="24"/>
        </w:rPr>
      </w:pPr>
    </w:p>
    <w:p w14:paraId="50812E25">
      <w:pPr>
        <w:rPr>
          <w:rFonts w:hint="eastAsia" w:ascii="仿宋" w:hAnsi="仿宋" w:eastAsia="仿宋" w:cs="仿宋"/>
          <w:sz w:val="24"/>
          <w:szCs w:val="24"/>
        </w:rPr>
      </w:pPr>
    </w:p>
    <w:p w14:paraId="7C0474F8">
      <w:pPr>
        <w:rPr>
          <w:rFonts w:hint="eastAsia" w:ascii="仿宋" w:hAnsi="仿宋" w:eastAsia="仿宋" w:cs="仿宋"/>
          <w:sz w:val="24"/>
          <w:szCs w:val="24"/>
        </w:rPr>
      </w:pPr>
    </w:p>
    <w:p w14:paraId="0056593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政府采购投标担保函 （项目用）</w:t>
      </w:r>
    </w:p>
    <w:p w14:paraId="2F23D298">
      <w:pPr>
        <w:ind w:firstLine="7680" w:firstLineChars="3200"/>
        <w:rPr>
          <w:rFonts w:hint="eastAsia" w:ascii="仿宋" w:hAnsi="仿宋" w:eastAsia="仿宋" w:cs="仿宋"/>
          <w:sz w:val="24"/>
          <w:szCs w:val="24"/>
          <w:highlight w:val="none"/>
        </w:rPr>
      </w:pPr>
      <w:r>
        <w:rPr>
          <w:rFonts w:hint="eastAsia" w:ascii="仿宋" w:hAnsi="仿宋" w:eastAsia="仿宋" w:cs="仿宋"/>
          <w:sz w:val="24"/>
          <w:szCs w:val="24"/>
          <w:highlight w:val="none"/>
        </w:rPr>
        <w:t>编号：</w:t>
      </w:r>
    </w:p>
    <w:p w14:paraId="306FA649">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2ED8302B">
      <w:pPr>
        <w:tabs>
          <w:tab w:val="left" w:pos="6669"/>
        </w:tabs>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（采购人或采购代理机构）：</w:t>
      </w:r>
      <w:r>
        <w:rPr>
          <w:rFonts w:hint="eastAsia" w:ascii="仿宋" w:hAnsi="仿宋" w:eastAsia="仿宋" w:cs="仿宋"/>
          <w:sz w:val="24"/>
          <w:szCs w:val="24"/>
          <w:highlight w:val="none"/>
        </w:rPr>
        <w:tab/>
      </w:r>
    </w:p>
    <w:p w14:paraId="2DE97128">
      <w:pPr>
        <w:rPr>
          <w:rFonts w:hint="eastAsia" w:ascii="仿宋" w:hAnsi="仿宋" w:eastAsia="仿宋" w:cs="仿宋"/>
          <w:sz w:val="24"/>
          <w:szCs w:val="24"/>
          <w:highlight w:val="none"/>
        </w:rPr>
      </w:pPr>
    </w:p>
    <w:p w14:paraId="4639DE80">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鉴于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（以下简称“供应商”）拟参加编号为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26427A07">
      <w:pPr>
        <w:rPr>
          <w:rFonts w:hint="eastAsia" w:ascii="仿宋" w:hAnsi="仿宋" w:eastAsia="仿宋" w:cs="仿宋"/>
          <w:sz w:val="24"/>
          <w:szCs w:val="24"/>
          <w:highlight w:val="none"/>
        </w:rPr>
      </w:pPr>
      <w:r>
        <w:rPr>
          <w:rFonts w:hint="eastAsia" w:ascii="仿宋" w:hAnsi="仿宋" w:eastAsia="仿宋" w:cs="仿宋"/>
          <w:sz w:val="24"/>
          <w:szCs w:val="24"/>
          <w:highlight w:val="none"/>
        </w:rPr>
        <w:t>项目（以下简称“本项目”）投标，根据本项目磋商文件，供应商参加投标时应向你方交纳投标保证金，且可以投标担保函的形式交纳投标保证金。应供应商的申请，我方以保证的方式向你方提供如下投标保证金担保：</w:t>
      </w:r>
    </w:p>
    <w:p w14:paraId="0AE0E316">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一、保证责任的情形及保证金额</w:t>
      </w:r>
    </w:p>
    <w:p w14:paraId="4E922AF9">
      <w:pPr>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（一）在供应商出现下列情形之一时，我方承担保证责任：</w:t>
      </w:r>
    </w:p>
    <w:p w14:paraId="0A9312CF">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1．中标后供应商无正当理由不与采购人或者采购代理机构签订《政府采购合同》；</w:t>
      </w:r>
    </w:p>
    <w:p w14:paraId="196DB7BB">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2．磋商文件规定的供应商应当缴纳保证金的其他情形。</w:t>
      </w:r>
    </w:p>
    <w:p w14:paraId="4A454466">
      <w:pPr>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（二）我方承担保证责任的最高金额为人民币</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），即本项目的投标保证金金额。</w:t>
      </w:r>
    </w:p>
    <w:p w14:paraId="6A45FEB0">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二、保证的方式及保证期间</w:t>
      </w:r>
    </w:p>
    <w:p w14:paraId="66FA79DE">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我方保证的方式为：连带责任保证。</w:t>
      </w:r>
    </w:p>
    <w:p w14:paraId="2B2C8307">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我方的保证期间为：自本保函生效之日起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个月止。</w:t>
      </w:r>
    </w:p>
    <w:p w14:paraId="40E30397">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三、承担保证责任的程序</w:t>
      </w:r>
    </w:p>
    <w:p w14:paraId="56000695">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013491BB">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2．我方在收到索赔通知及相关证明材料后，在</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个工作日内进行审查，符合应承担保证责任情形的，我方应按照你方的要求代供应商向你方支付投标保证金。</w:t>
      </w:r>
    </w:p>
    <w:p w14:paraId="3DBA2697">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四、保证责任的终止</w:t>
      </w:r>
    </w:p>
    <w:p w14:paraId="6F219F46">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1．保证期间届满你方未向我方书面主张保证责任的，自保证期间届满次日起，我方保证责任自动终止。</w:t>
      </w:r>
    </w:p>
    <w:p w14:paraId="17AA375C">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2．我方按照本保函向你贵方履行了保证责任后，自我方向你贵方支付款项（支付款项从我方账户划出）之日起，保证责任终止。</w:t>
      </w:r>
    </w:p>
    <w:p w14:paraId="7A28C72E">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3．按照法律法规的规定或出现我方保证责任终止的其它情形的，我方在本保函项下的保证责任亦终止。</w:t>
      </w:r>
    </w:p>
    <w:p w14:paraId="74163C64">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五、免责条款</w:t>
      </w:r>
    </w:p>
    <w:p w14:paraId="3845F1AD">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1．依照法律规定或你方与供应商的另行约定，全部或者部分免除供应商投标保证金义务时，我方亦免除相应的保证责任。</w:t>
      </w:r>
    </w:p>
    <w:p w14:paraId="51D5E03F">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2．因你方原因致使供应商发生本保函第一条第（一）款约定情形的，我方不承担保证责任。</w:t>
      </w:r>
    </w:p>
    <w:p w14:paraId="21A0B3E0">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3．因不可抗力造成供应商发生本保函第一条约定情形的，我方不承担保证责任。</w:t>
      </w:r>
    </w:p>
    <w:p w14:paraId="28D4A998">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4．你方或其他有权机关对磋商文件进行任何澄清或修改，加重我方保证责任的，我方对加重部分不承担保证责任，但该澄清或修改经我方事先书面同意的除外。</w:t>
      </w:r>
    </w:p>
    <w:p w14:paraId="0646C9EA">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六、争议的解决</w:t>
      </w:r>
    </w:p>
    <w:p w14:paraId="484A4C84">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因本保函发生的纠纷，由你我双方协商解决，协商不成的，通过诉讼程序解决，诉讼管辖地法院为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法院。</w:t>
      </w:r>
    </w:p>
    <w:p w14:paraId="7CE09222">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七、保函的生效</w:t>
      </w:r>
    </w:p>
    <w:p w14:paraId="5DC9E8D2">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本保函自我方加盖公章之日起生效。</w:t>
      </w:r>
    </w:p>
    <w:p w14:paraId="4F6BACD6">
      <w:pPr>
        <w:ind w:firstLine="6360" w:firstLineChars="2650"/>
        <w:rPr>
          <w:rFonts w:hint="eastAsia" w:ascii="仿宋" w:hAnsi="仿宋" w:eastAsia="仿宋" w:cs="仿宋"/>
          <w:sz w:val="24"/>
          <w:szCs w:val="24"/>
          <w:highlight w:val="none"/>
        </w:rPr>
      </w:pPr>
      <w:r>
        <w:rPr>
          <w:rFonts w:hint="eastAsia" w:ascii="仿宋" w:hAnsi="仿宋" w:eastAsia="仿宋" w:cs="仿宋"/>
          <w:sz w:val="24"/>
          <w:szCs w:val="24"/>
          <w:highlight w:val="none"/>
        </w:rPr>
        <w:t>保证人：（公章）</w:t>
      </w:r>
    </w:p>
    <w:p w14:paraId="1BA293AC">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0C0F2F08">
      <w:pPr>
        <w:ind w:firstLine="6600" w:firstLineChars="2750"/>
        <w:rPr>
          <w:rFonts w:hint="eastAsia" w:ascii="仿宋" w:hAnsi="仿宋" w:eastAsia="仿宋" w:cs="仿宋"/>
          <w:sz w:val="24"/>
          <w:szCs w:val="24"/>
          <w:highlight w:val="none"/>
        </w:rPr>
        <w:sectPr>
          <w:footerReference r:id="rId8" w:type="default"/>
          <w:pgSz w:w="11906" w:h="16838"/>
          <w:pgMar w:top="1440" w:right="1740" w:bottom="1440" w:left="1740" w:header="851" w:footer="992" w:gutter="0"/>
          <w:pgNumType w:fmt="decimal"/>
          <w:cols w:space="720" w:num="1"/>
          <w:docGrid w:type="linesAndChars" w:linePitch="312" w:charSpace="0"/>
        </w:sectPr>
      </w:pPr>
      <w:r>
        <w:rPr>
          <w:rFonts w:hint="eastAsia" w:ascii="仿宋" w:hAnsi="仿宋" w:eastAsia="仿宋" w:cs="仿宋"/>
          <w:sz w:val="24"/>
          <w:szCs w:val="24"/>
          <w:highlight w:val="none"/>
        </w:rPr>
        <w:t>年     月      日</w:t>
      </w:r>
    </w:p>
    <w:p w14:paraId="504CBE0E">
      <w:pPr>
        <w:pStyle w:val="5"/>
        <w:jc w:val="center"/>
        <w:rPr>
          <w:rFonts w:hint="eastAsia" w:ascii="仿宋" w:hAnsi="仿宋" w:eastAsia="仿宋" w:cs="仿宋"/>
          <w:b/>
          <w:bCs w:val="0"/>
          <w:snapToGrid w:val="0"/>
          <w:color w:val="000000"/>
          <w:kern w:val="0"/>
          <w:sz w:val="28"/>
          <w:szCs w:val="28"/>
          <w:highlight w:val="none"/>
          <w:u w:val="none"/>
          <w:lang w:val="en-US" w:eastAsia="zh-CN" w:bidi="ar-SA"/>
        </w:rPr>
      </w:pPr>
      <w:bookmarkStart w:id="313" w:name="_Toc27595"/>
      <w:bookmarkStart w:id="314" w:name="_Toc7849"/>
      <w:r>
        <w:rPr>
          <w:rFonts w:hint="eastAsia" w:ascii="仿宋" w:hAnsi="仿宋" w:eastAsia="仿宋" w:cs="仿宋"/>
          <w:b/>
          <w:bCs w:val="0"/>
          <w:snapToGrid w:val="0"/>
          <w:color w:val="000000"/>
          <w:kern w:val="0"/>
          <w:sz w:val="28"/>
          <w:szCs w:val="28"/>
          <w:highlight w:val="none"/>
          <w:u w:val="none"/>
          <w:lang w:val="en-US" w:eastAsia="zh-CN" w:bidi="ar-SA"/>
        </w:rPr>
        <w:t>9-1  中小企业声明函</w:t>
      </w:r>
      <w:bookmarkEnd w:id="313"/>
      <w:r>
        <w:rPr>
          <w:rFonts w:hint="eastAsia" w:ascii="仿宋" w:hAnsi="仿宋" w:eastAsia="仿宋" w:cs="仿宋"/>
          <w:b/>
          <w:bCs w:val="0"/>
          <w:snapToGrid w:val="0"/>
          <w:color w:val="000000"/>
          <w:kern w:val="0"/>
          <w:sz w:val="28"/>
          <w:szCs w:val="28"/>
          <w:highlight w:val="none"/>
          <w:u w:val="none"/>
          <w:lang w:val="en-US" w:eastAsia="zh-CN" w:bidi="ar-SA"/>
        </w:rPr>
        <w:t>（工程、服务）</w:t>
      </w:r>
      <w:bookmarkEnd w:id="314"/>
    </w:p>
    <w:p w14:paraId="473C9159">
      <w:pPr>
        <w:pStyle w:val="5"/>
        <w:jc w:val="center"/>
        <w:rPr>
          <w:rFonts w:hint="eastAsia" w:ascii="仿宋" w:hAnsi="仿宋" w:eastAsia="仿宋" w:cs="仿宋"/>
          <w:b/>
          <w:bCs w:val="0"/>
          <w:snapToGrid w:val="0"/>
          <w:color w:val="000000"/>
          <w:kern w:val="0"/>
          <w:sz w:val="24"/>
          <w:szCs w:val="24"/>
          <w:highlight w:val="none"/>
          <w:u w:val="none"/>
          <w:lang w:val="en-US" w:eastAsia="zh-CN" w:bidi="ar-SA"/>
        </w:rPr>
      </w:pPr>
    </w:p>
    <w:p w14:paraId="77A2A0CC">
      <w:pPr>
        <w:pStyle w:val="2"/>
        <w:keepNext w:val="0"/>
        <w:keepLines w:val="0"/>
        <w:pageBreakBefore w:val="0"/>
        <w:tabs>
          <w:tab w:val="left" w:pos="567"/>
        </w:tabs>
        <w:kinsoku/>
        <w:wordWrap/>
        <w:overflowPunct/>
        <w:topLinePunct w:val="0"/>
        <w:autoSpaceDE/>
        <w:autoSpaceDN/>
        <w:bidi w:val="0"/>
        <w:adjustRightInd/>
        <w:spacing w:before="78" w:line="246" w:lineRule="auto"/>
        <w:ind w:left="22" w:right="24" w:firstLine="48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本公司（联合体）郑重声明，根据《政府采购促进中小企业发展管理办法》</w:t>
      </w:r>
      <w:r>
        <w:rPr>
          <w:rFonts w:hint="eastAsia" w:ascii="仿宋" w:hAnsi="仿宋" w:eastAsia="仿宋" w:cs="仿宋"/>
          <w:color w:val="auto"/>
          <w:spacing w:val="7"/>
          <w:sz w:val="24"/>
          <w:szCs w:val="24"/>
          <w:highlight w:val="none"/>
        </w:rPr>
        <w:t xml:space="preserve"> </w:t>
      </w:r>
      <w:r>
        <w:rPr>
          <w:rFonts w:hint="eastAsia" w:ascii="仿宋" w:hAnsi="仿宋" w:eastAsia="仿宋" w:cs="仿宋"/>
          <w:color w:val="auto"/>
          <w:sz w:val="24"/>
          <w:szCs w:val="24"/>
          <w:highlight w:val="none"/>
        </w:rPr>
        <w:t>（财库﹝2020﹞46 号）的规定，本公司（联合体）</w:t>
      </w:r>
      <w:r>
        <w:rPr>
          <w:rFonts w:hint="eastAsia" w:ascii="仿宋" w:hAnsi="仿宋" w:eastAsia="仿宋" w:cs="仿宋"/>
          <w:color w:val="auto"/>
          <w:spacing w:val="-1"/>
          <w:sz w:val="24"/>
          <w:szCs w:val="24"/>
          <w:highlight w:val="none"/>
        </w:rPr>
        <w:t>参加</w:t>
      </w:r>
      <w:r>
        <w:rPr>
          <w:rFonts w:hint="eastAsia" w:ascii="仿宋" w:hAnsi="仿宋" w:eastAsia="仿宋" w:cs="仿宋"/>
          <w:color w:val="auto"/>
          <w:spacing w:val="-1"/>
          <w:sz w:val="24"/>
          <w:szCs w:val="24"/>
          <w:highlight w:val="none"/>
          <w:u w:val="single" w:color="auto"/>
        </w:rPr>
        <w:t>（单位名称）</w:t>
      </w:r>
      <w:r>
        <w:rPr>
          <w:rFonts w:hint="eastAsia" w:ascii="仿宋" w:hAnsi="仿宋" w:eastAsia="仿宋" w:cs="仿宋"/>
          <w:color w:val="auto"/>
          <w:spacing w:val="-1"/>
          <w:sz w:val="24"/>
          <w:szCs w:val="24"/>
          <w:highlight w:val="none"/>
        </w:rPr>
        <w:t>的</w:t>
      </w:r>
      <w:r>
        <w:rPr>
          <w:rFonts w:hint="eastAsia" w:ascii="仿宋" w:hAnsi="仿宋" w:eastAsia="仿宋" w:cs="仿宋"/>
          <w:color w:val="auto"/>
          <w:spacing w:val="-1"/>
          <w:sz w:val="24"/>
          <w:szCs w:val="24"/>
          <w:highlight w:val="none"/>
          <w:u w:val="single" w:color="auto"/>
        </w:rPr>
        <w:t>（项目</w:t>
      </w:r>
      <w:r>
        <w:rPr>
          <w:rFonts w:hint="eastAsia" w:ascii="仿宋" w:hAnsi="仿宋" w:eastAsia="仿宋" w:cs="仿宋"/>
          <w:color w:val="auto"/>
          <w:spacing w:val="-9"/>
          <w:sz w:val="24"/>
          <w:szCs w:val="24"/>
          <w:highlight w:val="none"/>
          <w:u w:val="single" w:color="auto"/>
        </w:rPr>
        <w:t>名称）</w:t>
      </w:r>
      <w:r>
        <w:rPr>
          <w:rFonts w:hint="eastAsia" w:ascii="仿宋" w:hAnsi="仿宋" w:eastAsia="仿宋" w:cs="仿宋"/>
          <w:color w:val="auto"/>
          <w:spacing w:val="-9"/>
          <w:sz w:val="24"/>
          <w:szCs w:val="24"/>
          <w:highlight w:val="none"/>
        </w:rPr>
        <w:t>采购活动，工程的施工单位全部为符</w:t>
      </w:r>
      <w:r>
        <w:rPr>
          <w:rFonts w:hint="eastAsia" w:ascii="仿宋" w:hAnsi="仿宋" w:eastAsia="仿宋" w:cs="仿宋"/>
          <w:color w:val="auto"/>
          <w:spacing w:val="-10"/>
          <w:sz w:val="24"/>
          <w:szCs w:val="24"/>
          <w:highlight w:val="none"/>
        </w:rPr>
        <w:t>合政策要求的中小企业。相关企业（含</w:t>
      </w:r>
      <w:r>
        <w:rPr>
          <w:rFonts w:hint="eastAsia" w:ascii="仿宋" w:hAnsi="仿宋" w:eastAsia="仿宋" w:cs="仿宋"/>
          <w:color w:val="auto"/>
          <w:sz w:val="24"/>
          <w:szCs w:val="24"/>
          <w:highlight w:val="none"/>
        </w:rPr>
        <w:t>联合体中的中小企业、签订分包意向协议的中</w:t>
      </w:r>
      <w:r>
        <w:rPr>
          <w:rFonts w:hint="eastAsia" w:ascii="仿宋" w:hAnsi="仿宋" w:eastAsia="仿宋" w:cs="仿宋"/>
          <w:color w:val="auto"/>
          <w:spacing w:val="-1"/>
          <w:sz w:val="24"/>
          <w:szCs w:val="24"/>
          <w:highlight w:val="none"/>
        </w:rPr>
        <w:t>小企业）的具体情况如下：</w:t>
      </w:r>
    </w:p>
    <w:p w14:paraId="7D33E367">
      <w:pPr>
        <w:keepNext w:val="0"/>
        <w:keepLines w:val="0"/>
        <w:pageBreakBefore w:val="0"/>
        <w:kinsoku/>
        <w:wordWrap/>
        <w:overflowPunct/>
        <w:topLinePunct w:val="0"/>
        <w:autoSpaceDE/>
        <w:autoSpaceDN/>
        <w:bidi w:val="0"/>
        <w:adjustRightInd/>
        <w:spacing w:line="245" w:lineRule="auto"/>
        <w:textAlignment w:val="auto"/>
        <w:outlineLvl w:val="9"/>
        <w:rPr>
          <w:rFonts w:hint="eastAsia" w:ascii="仿宋" w:hAnsi="仿宋" w:eastAsia="仿宋" w:cs="仿宋"/>
          <w:color w:val="auto"/>
          <w:sz w:val="24"/>
          <w:szCs w:val="24"/>
          <w:highlight w:val="none"/>
        </w:rPr>
      </w:pPr>
    </w:p>
    <w:p w14:paraId="3D731857">
      <w:pPr>
        <w:pStyle w:val="2"/>
        <w:keepNext w:val="0"/>
        <w:keepLines w:val="0"/>
        <w:pageBreakBefore w:val="0"/>
        <w:tabs>
          <w:tab w:val="left" w:pos="567"/>
        </w:tabs>
        <w:kinsoku/>
        <w:wordWrap/>
        <w:overflowPunct/>
        <w:topLinePunct w:val="0"/>
        <w:autoSpaceDE/>
        <w:autoSpaceDN/>
        <w:bidi w:val="0"/>
        <w:adjustRightInd/>
        <w:spacing w:before="78"/>
        <w:ind w:left="22" w:firstLine="495"/>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w:t>
      </w:r>
      <w:r>
        <w:rPr>
          <w:rFonts w:hint="eastAsia" w:ascii="仿宋" w:hAnsi="仿宋" w:eastAsia="仿宋" w:cs="仿宋"/>
          <w:color w:val="auto"/>
          <w:spacing w:val="-4"/>
          <w:sz w:val="24"/>
          <w:szCs w:val="24"/>
          <w:highlight w:val="none"/>
          <w:u w:val="single" w:color="auto"/>
        </w:rPr>
        <w:t>（标的名称</w:t>
      </w:r>
      <w:r>
        <w:rPr>
          <w:rFonts w:hint="eastAsia" w:ascii="仿宋" w:hAnsi="仿宋" w:eastAsia="仿宋" w:cs="仿宋"/>
          <w:color w:val="auto"/>
          <w:spacing w:val="-14"/>
          <w:sz w:val="24"/>
          <w:szCs w:val="24"/>
          <w:highlight w:val="none"/>
          <w:u w:val="single" w:color="auto"/>
        </w:rPr>
        <w:t>）</w:t>
      </w:r>
      <w:r>
        <w:rPr>
          <w:rFonts w:hint="eastAsia" w:ascii="仿宋" w:hAnsi="仿宋" w:eastAsia="仿宋" w:cs="仿宋"/>
          <w:color w:val="auto"/>
          <w:spacing w:val="-11"/>
          <w:sz w:val="24"/>
          <w:szCs w:val="24"/>
          <w:highlight w:val="none"/>
          <w:u w:val="single" w:color="auto"/>
        </w:rPr>
        <w:t xml:space="preserve"> </w:t>
      </w:r>
      <w:r>
        <w:rPr>
          <w:rFonts w:hint="eastAsia" w:ascii="仿宋" w:hAnsi="仿宋" w:eastAsia="仿宋" w:cs="仿宋"/>
          <w:color w:val="auto"/>
          <w:spacing w:val="-91"/>
          <w:sz w:val="24"/>
          <w:szCs w:val="24"/>
          <w:highlight w:val="none"/>
        </w:rPr>
        <w:t xml:space="preserve"> </w:t>
      </w:r>
      <w:r>
        <w:rPr>
          <w:rFonts w:hint="eastAsia" w:ascii="仿宋" w:hAnsi="仿宋" w:eastAsia="仿宋" w:cs="仿宋"/>
          <w:color w:val="auto"/>
          <w:spacing w:val="-14"/>
          <w:sz w:val="24"/>
          <w:szCs w:val="24"/>
          <w:highlight w:val="none"/>
        </w:rPr>
        <w:t>，</w:t>
      </w:r>
      <w:r>
        <w:rPr>
          <w:rFonts w:hint="eastAsia" w:ascii="仿宋" w:hAnsi="仿宋" w:eastAsia="仿宋" w:cs="仿宋"/>
          <w:color w:val="auto"/>
          <w:spacing w:val="-4"/>
          <w:sz w:val="24"/>
          <w:szCs w:val="24"/>
          <w:highlight w:val="none"/>
        </w:rPr>
        <w:t>属于</w:t>
      </w:r>
      <w:r>
        <w:rPr>
          <w:rFonts w:hint="eastAsia" w:ascii="仿宋" w:hAnsi="仿宋" w:eastAsia="仿宋" w:cs="仿宋"/>
          <w:color w:val="auto"/>
          <w:spacing w:val="-4"/>
          <w:sz w:val="24"/>
          <w:szCs w:val="24"/>
          <w:highlight w:val="none"/>
          <w:u w:val="single" w:color="auto"/>
        </w:rPr>
        <w:t>（采购文件中明确的所属行业）</w:t>
      </w:r>
      <w:r>
        <w:rPr>
          <w:rFonts w:hint="eastAsia" w:ascii="仿宋" w:hAnsi="仿宋" w:eastAsia="仿宋" w:cs="仿宋"/>
          <w:color w:val="auto"/>
          <w:spacing w:val="-4"/>
          <w:sz w:val="24"/>
          <w:szCs w:val="24"/>
          <w:highlight w:val="none"/>
        </w:rPr>
        <w:t>行业；承建（承接）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企业为</w:t>
      </w:r>
      <w:r>
        <w:rPr>
          <w:rFonts w:hint="eastAsia" w:ascii="仿宋" w:hAnsi="仿宋" w:eastAsia="仿宋" w:cs="仿宋"/>
          <w:color w:val="auto"/>
          <w:spacing w:val="-2"/>
          <w:sz w:val="24"/>
          <w:szCs w:val="24"/>
          <w:highlight w:val="none"/>
          <w:u w:val="single" w:color="auto"/>
        </w:rPr>
        <w:t>（企业名称</w:t>
      </w:r>
      <w:r>
        <w:rPr>
          <w:rFonts w:hint="eastAsia" w:ascii="仿宋" w:hAnsi="仿宋" w:eastAsia="仿宋" w:cs="仿宋"/>
          <w:color w:val="auto"/>
          <w:spacing w:val="9"/>
          <w:sz w:val="24"/>
          <w:szCs w:val="24"/>
          <w:highlight w:val="none"/>
          <w:u w:val="single" w:color="auto"/>
        </w:rPr>
        <w:t>）</w:t>
      </w:r>
      <w:r>
        <w:rPr>
          <w:rFonts w:hint="eastAsia" w:ascii="仿宋" w:hAnsi="仿宋" w:eastAsia="仿宋" w:cs="仿宋"/>
          <w:color w:val="auto"/>
          <w:spacing w:val="9"/>
          <w:sz w:val="24"/>
          <w:szCs w:val="24"/>
          <w:highlight w:val="none"/>
        </w:rPr>
        <w:t>，</w:t>
      </w:r>
      <w:r>
        <w:rPr>
          <w:rFonts w:hint="eastAsia" w:ascii="仿宋" w:hAnsi="仿宋" w:eastAsia="仿宋" w:cs="仿宋"/>
          <w:color w:val="auto"/>
          <w:spacing w:val="-2"/>
          <w:sz w:val="24"/>
          <w:szCs w:val="24"/>
          <w:highlight w:val="none"/>
        </w:rPr>
        <w:t>从业人员</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8"/>
          <w:sz w:val="24"/>
          <w:szCs w:val="24"/>
          <w:highlight w:val="none"/>
        </w:rPr>
        <w:t xml:space="preserve"> </w:t>
      </w:r>
      <w:r>
        <w:rPr>
          <w:rFonts w:hint="eastAsia" w:ascii="仿宋" w:hAnsi="仿宋" w:eastAsia="仿宋" w:cs="仿宋"/>
          <w:color w:val="auto"/>
          <w:spacing w:val="-2"/>
          <w:sz w:val="24"/>
          <w:szCs w:val="24"/>
          <w:highlight w:val="none"/>
        </w:rPr>
        <w:t>人，营业收入为</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5"/>
          <w:sz w:val="24"/>
          <w:szCs w:val="24"/>
          <w:highlight w:val="none"/>
        </w:rPr>
        <w:t xml:space="preserve"> </w:t>
      </w:r>
      <w:r>
        <w:rPr>
          <w:rFonts w:hint="eastAsia" w:ascii="仿宋" w:hAnsi="仿宋" w:eastAsia="仿宋" w:cs="仿宋"/>
          <w:color w:val="auto"/>
          <w:spacing w:val="-2"/>
          <w:sz w:val="24"/>
          <w:szCs w:val="24"/>
          <w:highlight w:val="none"/>
        </w:rPr>
        <w:t>万元，资产总额为</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4"/>
          <w:sz w:val="24"/>
          <w:szCs w:val="24"/>
          <w:highlight w:val="none"/>
        </w:rPr>
        <w:t xml:space="preserve"> </w:t>
      </w:r>
      <w:r>
        <w:rPr>
          <w:rFonts w:hint="eastAsia" w:ascii="仿宋" w:hAnsi="仿宋" w:eastAsia="仿宋" w:cs="仿宋"/>
          <w:color w:val="auto"/>
          <w:spacing w:val="-2"/>
          <w:sz w:val="24"/>
          <w:szCs w:val="24"/>
          <w:highlight w:val="none"/>
        </w:rPr>
        <w:t>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元</w:t>
      </w:r>
      <w:r>
        <w:rPr>
          <w:rFonts w:hint="eastAsia" w:ascii="仿宋" w:hAnsi="仿宋" w:eastAsia="仿宋" w:cs="仿宋"/>
          <w:color w:val="auto"/>
          <w:spacing w:val="-36"/>
          <w:position w:val="14"/>
          <w:sz w:val="24"/>
          <w:szCs w:val="24"/>
          <w:highlight w:val="none"/>
        </w:rPr>
        <w:t xml:space="preserve"> </w:t>
      </w:r>
      <w:r>
        <w:rPr>
          <w:rFonts w:hint="eastAsia" w:ascii="仿宋" w:hAnsi="仿宋" w:eastAsia="仿宋" w:cs="仿宋"/>
          <w:color w:val="auto"/>
          <w:spacing w:val="-3"/>
          <w:sz w:val="24"/>
          <w:szCs w:val="24"/>
          <w:highlight w:val="none"/>
        </w:rPr>
        <w:t>，属于</w:t>
      </w:r>
      <w:r>
        <w:rPr>
          <w:rFonts w:hint="eastAsia" w:ascii="仿宋" w:hAnsi="仿宋" w:eastAsia="仿宋" w:cs="仿宋"/>
          <w:color w:val="auto"/>
          <w:spacing w:val="-3"/>
          <w:sz w:val="24"/>
          <w:szCs w:val="24"/>
          <w:highlight w:val="none"/>
          <w:u w:val="single" w:color="auto"/>
        </w:rPr>
        <w:t>（中型企业、小型企业、微型企业</w:t>
      </w:r>
      <w:r>
        <w:rPr>
          <w:rFonts w:hint="eastAsia" w:ascii="仿宋" w:hAnsi="仿宋" w:eastAsia="仿宋" w:cs="仿宋"/>
          <w:color w:val="auto"/>
          <w:spacing w:val="3"/>
          <w:sz w:val="24"/>
          <w:szCs w:val="24"/>
          <w:highlight w:val="none"/>
          <w:u w:val="single" w:color="auto"/>
        </w:rPr>
        <w:t>）</w:t>
      </w:r>
      <w:r>
        <w:rPr>
          <w:rFonts w:hint="eastAsia" w:ascii="仿宋" w:hAnsi="仿宋" w:eastAsia="仿宋" w:cs="仿宋"/>
          <w:color w:val="auto"/>
          <w:spacing w:val="3"/>
          <w:sz w:val="24"/>
          <w:szCs w:val="24"/>
          <w:highlight w:val="none"/>
        </w:rPr>
        <w:t>；</w:t>
      </w:r>
    </w:p>
    <w:p w14:paraId="6C4C2F8D">
      <w:pPr>
        <w:keepNext w:val="0"/>
        <w:keepLines w:val="0"/>
        <w:pageBreakBefore w:val="0"/>
        <w:kinsoku/>
        <w:wordWrap/>
        <w:overflowPunct/>
        <w:topLinePunct w:val="0"/>
        <w:autoSpaceDE/>
        <w:autoSpaceDN/>
        <w:bidi w:val="0"/>
        <w:adjustRightInd/>
        <w:spacing w:line="258" w:lineRule="auto"/>
        <w:textAlignment w:val="auto"/>
        <w:outlineLvl w:val="9"/>
        <w:rPr>
          <w:rFonts w:hint="eastAsia" w:ascii="仿宋" w:hAnsi="仿宋" w:eastAsia="仿宋" w:cs="仿宋"/>
          <w:color w:val="auto"/>
          <w:sz w:val="24"/>
          <w:szCs w:val="24"/>
          <w:highlight w:val="none"/>
        </w:rPr>
      </w:pPr>
    </w:p>
    <w:p w14:paraId="79596984">
      <w:pPr>
        <w:pStyle w:val="2"/>
        <w:keepNext w:val="0"/>
        <w:keepLines w:val="0"/>
        <w:pageBreakBefore w:val="0"/>
        <w:tabs>
          <w:tab w:val="left" w:pos="567"/>
        </w:tabs>
        <w:kinsoku/>
        <w:wordWrap/>
        <w:overflowPunct/>
        <w:topLinePunct w:val="0"/>
        <w:autoSpaceDE/>
        <w:autoSpaceDN/>
        <w:bidi w:val="0"/>
        <w:adjustRightInd/>
        <w:spacing w:before="78" w:line="242" w:lineRule="auto"/>
        <w:ind w:left="22" w:firstLine="48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2.</w:t>
      </w:r>
      <w:r>
        <w:rPr>
          <w:rFonts w:hint="eastAsia" w:ascii="仿宋" w:hAnsi="仿宋" w:eastAsia="仿宋" w:cs="仿宋"/>
          <w:color w:val="auto"/>
          <w:spacing w:val="-4"/>
          <w:sz w:val="24"/>
          <w:szCs w:val="24"/>
          <w:highlight w:val="none"/>
          <w:u w:val="single" w:color="auto"/>
        </w:rPr>
        <w:t>（标的名称</w:t>
      </w:r>
      <w:r>
        <w:rPr>
          <w:rFonts w:hint="eastAsia" w:ascii="仿宋" w:hAnsi="仿宋" w:eastAsia="仿宋" w:cs="仿宋"/>
          <w:color w:val="auto"/>
          <w:spacing w:val="-13"/>
          <w:sz w:val="24"/>
          <w:szCs w:val="24"/>
          <w:highlight w:val="none"/>
          <w:u w:val="single" w:color="auto"/>
        </w:rPr>
        <w:t>）</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13"/>
          <w:sz w:val="24"/>
          <w:szCs w:val="24"/>
          <w:highlight w:val="none"/>
        </w:rPr>
        <w:t>，</w:t>
      </w:r>
      <w:r>
        <w:rPr>
          <w:rFonts w:hint="eastAsia" w:ascii="仿宋" w:hAnsi="仿宋" w:eastAsia="仿宋" w:cs="仿宋"/>
          <w:color w:val="auto"/>
          <w:spacing w:val="-4"/>
          <w:sz w:val="24"/>
          <w:szCs w:val="24"/>
          <w:highlight w:val="none"/>
        </w:rPr>
        <w:t>属于</w:t>
      </w:r>
      <w:r>
        <w:rPr>
          <w:rFonts w:hint="eastAsia" w:ascii="仿宋" w:hAnsi="仿宋" w:eastAsia="仿宋" w:cs="仿宋"/>
          <w:color w:val="auto"/>
          <w:spacing w:val="-4"/>
          <w:sz w:val="24"/>
          <w:szCs w:val="24"/>
          <w:highlight w:val="none"/>
          <w:u w:val="single" w:color="auto"/>
        </w:rPr>
        <w:t>（采购文件中明确的所属行业）</w:t>
      </w:r>
      <w:r>
        <w:rPr>
          <w:rFonts w:hint="eastAsia" w:ascii="仿宋" w:hAnsi="仿宋" w:eastAsia="仿宋" w:cs="仿宋"/>
          <w:color w:val="auto"/>
          <w:spacing w:val="-4"/>
          <w:sz w:val="24"/>
          <w:szCs w:val="24"/>
          <w:highlight w:val="none"/>
        </w:rPr>
        <w:t>行业；承建（承接）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企业为</w:t>
      </w:r>
      <w:r>
        <w:rPr>
          <w:rFonts w:hint="eastAsia" w:ascii="仿宋" w:hAnsi="仿宋" w:eastAsia="仿宋" w:cs="仿宋"/>
          <w:color w:val="auto"/>
          <w:spacing w:val="-2"/>
          <w:sz w:val="24"/>
          <w:szCs w:val="24"/>
          <w:highlight w:val="none"/>
          <w:u w:val="single" w:color="auto"/>
        </w:rPr>
        <w:t>（企业名称</w:t>
      </w:r>
      <w:r>
        <w:rPr>
          <w:rFonts w:hint="eastAsia" w:ascii="仿宋" w:hAnsi="仿宋" w:eastAsia="仿宋" w:cs="仿宋"/>
          <w:color w:val="auto"/>
          <w:spacing w:val="9"/>
          <w:sz w:val="24"/>
          <w:szCs w:val="24"/>
          <w:highlight w:val="none"/>
          <w:u w:val="single" w:color="auto"/>
        </w:rPr>
        <w:t>）</w:t>
      </w:r>
      <w:r>
        <w:rPr>
          <w:rFonts w:hint="eastAsia" w:ascii="仿宋" w:hAnsi="仿宋" w:eastAsia="仿宋" w:cs="仿宋"/>
          <w:color w:val="auto"/>
          <w:spacing w:val="9"/>
          <w:sz w:val="24"/>
          <w:szCs w:val="24"/>
          <w:highlight w:val="none"/>
        </w:rPr>
        <w:t>，</w:t>
      </w:r>
      <w:r>
        <w:rPr>
          <w:rFonts w:hint="eastAsia" w:ascii="仿宋" w:hAnsi="仿宋" w:eastAsia="仿宋" w:cs="仿宋"/>
          <w:color w:val="auto"/>
          <w:spacing w:val="-2"/>
          <w:sz w:val="24"/>
          <w:szCs w:val="24"/>
          <w:highlight w:val="none"/>
        </w:rPr>
        <w:t>从业人员</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8"/>
          <w:sz w:val="24"/>
          <w:szCs w:val="24"/>
          <w:highlight w:val="none"/>
        </w:rPr>
        <w:t xml:space="preserve"> </w:t>
      </w:r>
      <w:r>
        <w:rPr>
          <w:rFonts w:hint="eastAsia" w:ascii="仿宋" w:hAnsi="仿宋" w:eastAsia="仿宋" w:cs="仿宋"/>
          <w:color w:val="auto"/>
          <w:spacing w:val="-2"/>
          <w:sz w:val="24"/>
          <w:szCs w:val="24"/>
          <w:highlight w:val="none"/>
        </w:rPr>
        <w:t>人，营业收入为</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5"/>
          <w:sz w:val="24"/>
          <w:szCs w:val="24"/>
          <w:highlight w:val="none"/>
        </w:rPr>
        <w:t xml:space="preserve"> </w:t>
      </w:r>
      <w:r>
        <w:rPr>
          <w:rFonts w:hint="eastAsia" w:ascii="仿宋" w:hAnsi="仿宋" w:eastAsia="仿宋" w:cs="仿宋"/>
          <w:color w:val="auto"/>
          <w:spacing w:val="-2"/>
          <w:sz w:val="24"/>
          <w:szCs w:val="24"/>
          <w:highlight w:val="none"/>
        </w:rPr>
        <w:t>万元，资产总额为</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4"/>
          <w:sz w:val="24"/>
          <w:szCs w:val="24"/>
          <w:highlight w:val="none"/>
        </w:rPr>
        <w:t xml:space="preserve"> </w:t>
      </w:r>
      <w:r>
        <w:rPr>
          <w:rFonts w:hint="eastAsia" w:ascii="仿宋" w:hAnsi="仿宋" w:eastAsia="仿宋" w:cs="仿宋"/>
          <w:color w:val="auto"/>
          <w:spacing w:val="-2"/>
          <w:sz w:val="24"/>
          <w:szCs w:val="24"/>
          <w:highlight w:val="none"/>
        </w:rPr>
        <w:t>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元，属于</w:t>
      </w:r>
      <w:r>
        <w:rPr>
          <w:rFonts w:hint="eastAsia" w:ascii="仿宋" w:hAnsi="仿宋" w:eastAsia="仿宋" w:cs="仿宋"/>
          <w:color w:val="auto"/>
          <w:spacing w:val="-1"/>
          <w:sz w:val="24"/>
          <w:szCs w:val="24"/>
          <w:highlight w:val="none"/>
          <w:u w:val="single" w:color="auto"/>
        </w:rPr>
        <w:t>（中型企业、小型企业、微型企业</w:t>
      </w:r>
      <w:r>
        <w:rPr>
          <w:rFonts w:hint="eastAsia" w:ascii="仿宋" w:hAnsi="仿宋" w:eastAsia="仿宋" w:cs="仿宋"/>
          <w:color w:val="auto"/>
          <w:spacing w:val="3"/>
          <w:sz w:val="24"/>
          <w:szCs w:val="24"/>
          <w:highlight w:val="none"/>
          <w:u w:val="single" w:color="auto"/>
        </w:rPr>
        <w:t>）</w:t>
      </w:r>
      <w:r>
        <w:rPr>
          <w:rFonts w:hint="eastAsia" w:ascii="仿宋" w:hAnsi="仿宋" w:eastAsia="仿宋" w:cs="仿宋"/>
          <w:color w:val="auto"/>
          <w:spacing w:val="3"/>
          <w:sz w:val="24"/>
          <w:szCs w:val="24"/>
          <w:highlight w:val="none"/>
        </w:rPr>
        <w:t>；</w:t>
      </w:r>
    </w:p>
    <w:p w14:paraId="7566D4FF">
      <w:pPr>
        <w:keepNext w:val="0"/>
        <w:keepLines w:val="0"/>
        <w:pageBreakBefore w:val="0"/>
        <w:kinsoku/>
        <w:wordWrap/>
        <w:overflowPunct/>
        <w:topLinePunct w:val="0"/>
        <w:autoSpaceDE/>
        <w:autoSpaceDN/>
        <w:bidi w:val="0"/>
        <w:adjustRightInd/>
        <w:textAlignment w:val="auto"/>
        <w:outlineLvl w:val="9"/>
        <w:rPr>
          <w:rFonts w:hint="eastAsia" w:ascii="仿宋" w:hAnsi="仿宋" w:eastAsia="仿宋" w:cs="仿宋"/>
          <w:color w:val="auto"/>
          <w:sz w:val="24"/>
          <w:szCs w:val="24"/>
          <w:highlight w:val="none"/>
        </w:rPr>
      </w:pPr>
    </w:p>
    <w:p w14:paraId="2CCD4765">
      <w:pPr>
        <w:keepNext w:val="0"/>
        <w:keepLines w:val="0"/>
        <w:pageBreakBefore w:val="0"/>
        <w:kinsoku/>
        <w:wordWrap/>
        <w:overflowPunct/>
        <w:topLinePunct w:val="0"/>
        <w:autoSpaceDE/>
        <w:autoSpaceDN/>
        <w:bidi w:val="0"/>
        <w:adjustRightInd/>
        <w:textAlignment w:val="auto"/>
        <w:outlineLvl w:val="9"/>
        <w:rPr>
          <w:rFonts w:hint="eastAsia" w:ascii="仿宋" w:hAnsi="仿宋" w:eastAsia="仿宋" w:cs="仿宋"/>
          <w:color w:val="auto"/>
          <w:sz w:val="24"/>
          <w:szCs w:val="24"/>
          <w:highlight w:val="none"/>
        </w:rPr>
      </w:pPr>
    </w:p>
    <w:p w14:paraId="56A4E30C">
      <w:pPr>
        <w:pStyle w:val="2"/>
        <w:keepNext w:val="0"/>
        <w:keepLines w:val="0"/>
        <w:pageBreakBefore w:val="0"/>
        <w:tabs>
          <w:tab w:val="left" w:pos="567"/>
        </w:tabs>
        <w:kinsoku/>
        <w:wordWrap/>
        <w:overflowPunct/>
        <w:topLinePunct w:val="0"/>
        <w:autoSpaceDE/>
        <w:autoSpaceDN/>
        <w:bidi w:val="0"/>
        <w:adjustRightInd/>
        <w:spacing w:before="78" w:line="99" w:lineRule="exact"/>
        <w:ind w:left="507"/>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w:t>
      </w:r>
    </w:p>
    <w:p w14:paraId="40D47F82">
      <w:pPr>
        <w:keepNext w:val="0"/>
        <w:keepLines w:val="0"/>
        <w:pageBreakBefore w:val="0"/>
        <w:kinsoku/>
        <w:wordWrap/>
        <w:overflowPunct/>
        <w:topLinePunct w:val="0"/>
        <w:autoSpaceDE/>
        <w:autoSpaceDN/>
        <w:bidi w:val="0"/>
        <w:adjustRightInd/>
        <w:spacing w:line="256" w:lineRule="auto"/>
        <w:textAlignment w:val="auto"/>
        <w:outlineLvl w:val="9"/>
        <w:rPr>
          <w:rFonts w:hint="eastAsia" w:ascii="仿宋" w:hAnsi="仿宋" w:eastAsia="仿宋" w:cs="仿宋"/>
          <w:color w:val="auto"/>
          <w:sz w:val="24"/>
          <w:szCs w:val="24"/>
          <w:highlight w:val="none"/>
        </w:rPr>
      </w:pPr>
    </w:p>
    <w:p w14:paraId="29A9A9B2">
      <w:pPr>
        <w:pStyle w:val="2"/>
        <w:keepNext w:val="0"/>
        <w:keepLines w:val="0"/>
        <w:pageBreakBefore w:val="0"/>
        <w:tabs>
          <w:tab w:val="left" w:pos="567"/>
        </w:tabs>
        <w:kinsoku/>
        <w:wordWrap/>
        <w:overflowPunct/>
        <w:topLinePunct w:val="0"/>
        <w:autoSpaceDE/>
        <w:autoSpaceDN/>
        <w:bidi w:val="0"/>
        <w:adjustRightInd/>
        <w:spacing w:before="79" w:line="236" w:lineRule="auto"/>
        <w:ind w:left="24" w:right="99" w:firstLine="503"/>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以上企业，不属于大企业的分支机构，不存在控股股东为大企业的情形，也</w:t>
      </w:r>
      <w:r>
        <w:rPr>
          <w:rFonts w:hint="eastAsia" w:ascii="仿宋" w:hAnsi="仿宋" w:eastAsia="仿宋" w:cs="仿宋"/>
          <w:color w:val="auto"/>
          <w:spacing w:val="5"/>
          <w:sz w:val="24"/>
          <w:szCs w:val="24"/>
          <w:highlight w:val="none"/>
        </w:rPr>
        <w:t xml:space="preserve"> </w:t>
      </w:r>
      <w:r>
        <w:rPr>
          <w:rFonts w:hint="eastAsia" w:ascii="仿宋" w:hAnsi="仿宋" w:eastAsia="仿宋" w:cs="仿宋"/>
          <w:color w:val="auto"/>
          <w:spacing w:val="-1"/>
          <w:sz w:val="24"/>
          <w:szCs w:val="24"/>
          <w:highlight w:val="none"/>
        </w:rPr>
        <w:t>不存在与大企业的负责人为同一人的情形。</w:t>
      </w:r>
    </w:p>
    <w:p w14:paraId="6039E4D9">
      <w:pPr>
        <w:keepNext w:val="0"/>
        <w:keepLines w:val="0"/>
        <w:pageBreakBefore w:val="0"/>
        <w:kinsoku/>
        <w:wordWrap/>
        <w:overflowPunct/>
        <w:topLinePunct w:val="0"/>
        <w:autoSpaceDE/>
        <w:autoSpaceDN/>
        <w:bidi w:val="0"/>
        <w:adjustRightInd/>
        <w:spacing w:line="244" w:lineRule="auto"/>
        <w:textAlignment w:val="auto"/>
        <w:outlineLvl w:val="9"/>
        <w:rPr>
          <w:rFonts w:hint="eastAsia" w:ascii="仿宋" w:hAnsi="仿宋" w:eastAsia="仿宋" w:cs="仿宋"/>
          <w:color w:val="auto"/>
          <w:sz w:val="24"/>
          <w:szCs w:val="24"/>
          <w:highlight w:val="none"/>
        </w:rPr>
      </w:pPr>
    </w:p>
    <w:p w14:paraId="089B3781">
      <w:pPr>
        <w:pStyle w:val="2"/>
        <w:keepNext w:val="0"/>
        <w:keepLines w:val="0"/>
        <w:pageBreakBefore w:val="0"/>
        <w:tabs>
          <w:tab w:val="left" w:pos="567"/>
        </w:tabs>
        <w:kinsoku/>
        <w:wordWrap/>
        <w:overflowPunct/>
        <w:topLinePunct w:val="0"/>
        <w:autoSpaceDE/>
        <w:autoSpaceDN/>
        <w:bidi w:val="0"/>
        <w:adjustRightInd/>
        <w:spacing w:before="78" w:line="219" w:lineRule="auto"/>
        <w:ind w:left="502"/>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w:t>
      </w:r>
      <w:r>
        <w:rPr>
          <w:rFonts w:hint="eastAsia" w:ascii="仿宋" w:hAnsi="仿宋" w:eastAsia="仿宋" w:cs="仿宋"/>
          <w:color w:val="auto"/>
          <w:spacing w:val="-1"/>
          <w:sz w:val="24"/>
          <w:szCs w:val="24"/>
          <w:highlight w:val="none"/>
        </w:rPr>
        <w:t>假，将依法承担相应责任。</w:t>
      </w:r>
    </w:p>
    <w:p w14:paraId="3EDE29F7">
      <w:pPr>
        <w:keepNext w:val="0"/>
        <w:keepLines w:val="0"/>
        <w:pageBreakBefore w:val="0"/>
        <w:kinsoku/>
        <w:wordWrap/>
        <w:overflowPunct/>
        <w:topLinePunct w:val="0"/>
        <w:autoSpaceDE/>
        <w:autoSpaceDN/>
        <w:bidi w:val="0"/>
        <w:adjustRightInd/>
        <w:spacing w:line="241" w:lineRule="auto"/>
        <w:textAlignment w:val="auto"/>
        <w:outlineLvl w:val="9"/>
        <w:rPr>
          <w:rFonts w:hint="eastAsia" w:ascii="仿宋" w:hAnsi="仿宋" w:eastAsia="仿宋" w:cs="仿宋"/>
          <w:color w:val="auto"/>
          <w:sz w:val="24"/>
          <w:szCs w:val="24"/>
          <w:highlight w:val="none"/>
        </w:rPr>
      </w:pPr>
    </w:p>
    <w:p w14:paraId="15460807">
      <w:pPr>
        <w:keepNext w:val="0"/>
        <w:keepLines w:val="0"/>
        <w:pageBreakBefore w:val="0"/>
        <w:kinsoku/>
        <w:wordWrap/>
        <w:overflowPunct/>
        <w:topLinePunct w:val="0"/>
        <w:autoSpaceDE/>
        <w:autoSpaceDN/>
        <w:bidi w:val="0"/>
        <w:adjustRightInd/>
        <w:spacing w:line="241" w:lineRule="auto"/>
        <w:textAlignment w:val="auto"/>
        <w:outlineLvl w:val="9"/>
        <w:rPr>
          <w:rFonts w:hint="eastAsia" w:ascii="仿宋" w:hAnsi="仿宋" w:eastAsia="仿宋" w:cs="仿宋"/>
          <w:color w:val="auto"/>
          <w:sz w:val="24"/>
          <w:szCs w:val="24"/>
          <w:highlight w:val="none"/>
        </w:rPr>
      </w:pPr>
    </w:p>
    <w:p w14:paraId="1C8B2008">
      <w:pPr>
        <w:keepNext w:val="0"/>
        <w:keepLines w:val="0"/>
        <w:pageBreakBefore w:val="0"/>
        <w:kinsoku/>
        <w:wordWrap/>
        <w:overflowPunct/>
        <w:topLinePunct w:val="0"/>
        <w:autoSpaceDE/>
        <w:autoSpaceDN/>
        <w:bidi w:val="0"/>
        <w:adjustRightInd/>
        <w:spacing w:line="241" w:lineRule="auto"/>
        <w:textAlignment w:val="auto"/>
        <w:outlineLvl w:val="9"/>
        <w:rPr>
          <w:rFonts w:hint="eastAsia" w:ascii="仿宋" w:hAnsi="仿宋" w:eastAsia="仿宋" w:cs="仿宋"/>
          <w:color w:val="auto"/>
          <w:sz w:val="24"/>
          <w:szCs w:val="24"/>
          <w:highlight w:val="none"/>
        </w:rPr>
      </w:pPr>
    </w:p>
    <w:p w14:paraId="3963365D">
      <w:pPr>
        <w:keepNext w:val="0"/>
        <w:keepLines w:val="0"/>
        <w:pageBreakBefore w:val="0"/>
        <w:kinsoku/>
        <w:wordWrap/>
        <w:overflowPunct/>
        <w:topLinePunct w:val="0"/>
        <w:autoSpaceDE/>
        <w:autoSpaceDN/>
        <w:bidi w:val="0"/>
        <w:adjustRightInd/>
        <w:spacing w:line="241" w:lineRule="auto"/>
        <w:textAlignment w:val="auto"/>
        <w:outlineLvl w:val="9"/>
        <w:rPr>
          <w:rFonts w:hint="eastAsia" w:ascii="仿宋" w:hAnsi="仿宋" w:eastAsia="仿宋" w:cs="仿宋"/>
          <w:color w:val="auto"/>
          <w:sz w:val="24"/>
          <w:szCs w:val="24"/>
          <w:highlight w:val="none"/>
        </w:rPr>
      </w:pPr>
    </w:p>
    <w:p w14:paraId="6C40F008">
      <w:pPr>
        <w:keepNext w:val="0"/>
        <w:keepLines w:val="0"/>
        <w:pageBreakBefore w:val="0"/>
        <w:kinsoku/>
        <w:wordWrap/>
        <w:overflowPunct/>
        <w:topLinePunct w:val="0"/>
        <w:autoSpaceDE/>
        <w:autoSpaceDN/>
        <w:bidi w:val="0"/>
        <w:adjustRightInd/>
        <w:spacing w:line="242" w:lineRule="auto"/>
        <w:textAlignment w:val="auto"/>
        <w:outlineLvl w:val="9"/>
        <w:rPr>
          <w:rFonts w:hint="eastAsia" w:ascii="仿宋" w:hAnsi="仿宋" w:eastAsia="仿宋" w:cs="仿宋"/>
          <w:color w:val="auto"/>
          <w:sz w:val="24"/>
          <w:szCs w:val="24"/>
          <w:highlight w:val="none"/>
        </w:rPr>
      </w:pPr>
    </w:p>
    <w:p w14:paraId="0943671F">
      <w:pPr>
        <w:pStyle w:val="2"/>
        <w:keepNext w:val="0"/>
        <w:keepLines w:val="0"/>
        <w:pageBreakBefore w:val="0"/>
        <w:tabs>
          <w:tab w:val="left" w:pos="567"/>
        </w:tabs>
        <w:kinsoku/>
        <w:wordWrap/>
        <w:overflowPunct/>
        <w:topLinePunct w:val="0"/>
        <w:autoSpaceDE/>
        <w:autoSpaceDN/>
        <w:bidi w:val="0"/>
        <w:adjustRightInd/>
        <w:spacing w:before="78" w:line="219" w:lineRule="auto"/>
        <w:ind w:left="3984"/>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企业名称（盖单位章</w:t>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u w:val="single" w:color="auto"/>
        </w:rPr>
        <w:t xml:space="preserve">             </w:t>
      </w:r>
    </w:p>
    <w:p w14:paraId="00088BCE">
      <w:pPr>
        <w:keepNext w:val="0"/>
        <w:keepLines w:val="0"/>
        <w:pageBreakBefore w:val="0"/>
        <w:kinsoku/>
        <w:wordWrap/>
        <w:overflowPunct/>
        <w:topLinePunct w:val="0"/>
        <w:autoSpaceDE/>
        <w:autoSpaceDN/>
        <w:bidi w:val="0"/>
        <w:adjustRightInd/>
        <w:spacing w:line="245" w:lineRule="auto"/>
        <w:textAlignment w:val="auto"/>
        <w:outlineLvl w:val="9"/>
        <w:rPr>
          <w:rFonts w:hint="eastAsia" w:ascii="仿宋" w:hAnsi="仿宋" w:eastAsia="仿宋" w:cs="仿宋"/>
          <w:color w:val="auto"/>
          <w:sz w:val="24"/>
          <w:szCs w:val="24"/>
          <w:highlight w:val="none"/>
        </w:rPr>
      </w:pPr>
    </w:p>
    <w:p w14:paraId="3AEEDBBD">
      <w:pPr>
        <w:pStyle w:val="2"/>
        <w:keepNext w:val="0"/>
        <w:keepLines w:val="0"/>
        <w:pageBreakBefore w:val="0"/>
        <w:tabs>
          <w:tab w:val="left" w:pos="567"/>
        </w:tabs>
        <w:kinsoku/>
        <w:wordWrap/>
        <w:overflowPunct/>
        <w:topLinePunct w:val="0"/>
        <w:autoSpaceDE/>
        <w:autoSpaceDN/>
        <w:bidi w:val="0"/>
        <w:adjustRightInd/>
        <w:spacing w:before="79" w:line="220" w:lineRule="auto"/>
        <w:ind w:left="4022"/>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日</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12"/>
          <w:sz w:val="24"/>
          <w:szCs w:val="24"/>
          <w:highlight w:val="none"/>
        </w:rPr>
        <w:t>期：</w:t>
      </w:r>
      <w:r>
        <w:rPr>
          <w:rFonts w:hint="eastAsia" w:ascii="仿宋" w:hAnsi="仿宋" w:eastAsia="仿宋" w:cs="仿宋"/>
          <w:color w:val="auto"/>
          <w:spacing w:val="-12"/>
          <w:sz w:val="24"/>
          <w:szCs w:val="24"/>
          <w:highlight w:val="none"/>
          <w:u w:val="single" w:color="auto"/>
        </w:rPr>
        <w:t xml:space="preserve">                 </w:t>
      </w:r>
      <w:r>
        <w:rPr>
          <w:rFonts w:hint="eastAsia" w:ascii="仿宋" w:hAnsi="仿宋" w:eastAsia="仿宋" w:cs="仿宋"/>
          <w:color w:val="auto"/>
          <w:spacing w:val="-13"/>
          <w:sz w:val="24"/>
          <w:szCs w:val="24"/>
          <w:highlight w:val="none"/>
          <w:u w:val="single" w:color="auto"/>
        </w:rPr>
        <w:t xml:space="preserve">     </w:t>
      </w:r>
    </w:p>
    <w:p w14:paraId="3EA29952">
      <w:pPr>
        <w:keepNext w:val="0"/>
        <w:keepLines w:val="0"/>
        <w:pageBreakBefore w:val="0"/>
        <w:kinsoku/>
        <w:wordWrap/>
        <w:overflowPunct/>
        <w:topLinePunct w:val="0"/>
        <w:autoSpaceDE/>
        <w:autoSpaceDN/>
        <w:bidi w:val="0"/>
        <w:adjustRightInd/>
        <w:spacing w:line="283" w:lineRule="auto"/>
        <w:textAlignment w:val="auto"/>
        <w:outlineLvl w:val="9"/>
        <w:rPr>
          <w:rFonts w:hint="eastAsia" w:ascii="仿宋" w:hAnsi="仿宋" w:eastAsia="仿宋" w:cs="仿宋"/>
          <w:color w:val="auto"/>
          <w:sz w:val="24"/>
          <w:szCs w:val="24"/>
          <w:highlight w:val="none"/>
        </w:rPr>
      </w:pPr>
    </w:p>
    <w:p w14:paraId="4E5072F8">
      <w:pPr>
        <w:keepNext w:val="0"/>
        <w:keepLines w:val="0"/>
        <w:pageBreakBefore w:val="0"/>
        <w:kinsoku/>
        <w:wordWrap/>
        <w:overflowPunct/>
        <w:topLinePunct w:val="0"/>
        <w:autoSpaceDE/>
        <w:autoSpaceDN/>
        <w:bidi w:val="0"/>
        <w:adjustRightInd/>
        <w:spacing w:line="284" w:lineRule="auto"/>
        <w:textAlignment w:val="auto"/>
        <w:outlineLvl w:val="9"/>
        <w:rPr>
          <w:rFonts w:hint="eastAsia" w:ascii="仿宋" w:hAnsi="仿宋" w:eastAsia="仿宋" w:cs="仿宋"/>
          <w:color w:val="auto"/>
          <w:sz w:val="24"/>
          <w:szCs w:val="24"/>
          <w:highlight w:val="none"/>
        </w:rPr>
      </w:pPr>
    </w:p>
    <w:p w14:paraId="7664D226">
      <w:pPr>
        <w:keepNext w:val="0"/>
        <w:keepLines w:val="0"/>
        <w:pageBreakBefore w:val="0"/>
        <w:kinsoku/>
        <w:wordWrap/>
        <w:overflowPunct/>
        <w:topLinePunct w:val="0"/>
        <w:autoSpaceDE/>
        <w:autoSpaceDN/>
        <w:bidi w:val="0"/>
        <w:adjustRightInd/>
        <w:spacing w:line="284" w:lineRule="auto"/>
        <w:textAlignment w:val="auto"/>
        <w:outlineLvl w:val="9"/>
        <w:rPr>
          <w:rFonts w:hint="eastAsia" w:ascii="仿宋" w:hAnsi="仿宋" w:eastAsia="仿宋" w:cs="仿宋"/>
          <w:color w:val="auto"/>
          <w:sz w:val="24"/>
          <w:szCs w:val="24"/>
          <w:highlight w:val="none"/>
        </w:rPr>
      </w:pPr>
    </w:p>
    <w:p w14:paraId="128AF0EA">
      <w:pPr>
        <w:keepNext w:val="0"/>
        <w:keepLines w:val="0"/>
        <w:pageBreakBefore w:val="0"/>
        <w:kinsoku/>
        <w:wordWrap/>
        <w:overflowPunct/>
        <w:topLinePunct w:val="0"/>
        <w:autoSpaceDE/>
        <w:autoSpaceDN/>
        <w:bidi w:val="0"/>
        <w:adjustRightInd/>
        <w:spacing w:line="284" w:lineRule="auto"/>
        <w:textAlignment w:val="auto"/>
        <w:outlineLvl w:val="9"/>
        <w:rPr>
          <w:rFonts w:hint="eastAsia" w:ascii="仿宋" w:hAnsi="仿宋" w:eastAsia="仿宋" w:cs="仿宋"/>
          <w:color w:val="auto"/>
          <w:sz w:val="24"/>
          <w:szCs w:val="24"/>
          <w:highlight w:val="none"/>
        </w:rPr>
      </w:pPr>
    </w:p>
    <w:p w14:paraId="7BD473E0">
      <w:pPr>
        <w:keepNext w:val="0"/>
        <w:keepLines w:val="0"/>
        <w:pageBreakBefore w:val="0"/>
        <w:kinsoku/>
        <w:wordWrap/>
        <w:overflowPunct/>
        <w:topLinePunct w:val="0"/>
        <w:autoSpaceDE/>
        <w:autoSpaceDN/>
        <w:bidi w:val="0"/>
        <w:adjustRightInd/>
        <w:spacing w:line="284" w:lineRule="auto"/>
        <w:textAlignment w:val="auto"/>
        <w:outlineLvl w:val="9"/>
        <w:rPr>
          <w:rFonts w:hint="eastAsia" w:ascii="仿宋" w:hAnsi="仿宋" w:eastAsia="仿宋" w:cs="仿宋"/>
          <w:color w:val="auto"/>
          <w:sz w:val="24"/>
          <w:szCs w:val="24"/>
          <w:highlight w:val="none"/>
        </w:rPr>
      </w:pPr>
    </w:p>
    <w:p w14:paraId="33F90432">
      <w:pPr>
        <w:pStyle w:val="2"/>
        <w:keepNext w:val="0"/>
        <w:keepLines w:val="0"/>
        <w:pageBreakBefore w:val="0"/>
        <w:tabs>
          <w:tab w:val="left" w:pos="567"/>
        </w:tabs>
        <w:kinsoku/>
        <w:wordWrap/>
        <w:overflowPunct/>
        <w:topLinePunct w:val="0"/>
        <w:autoSpaceDE/>
        <w:autoSpaceDN/>
        <w:bidi w:val="0"/>
        <w:adjustRightInd/>
        <w:spacing w:before="59" w:line="234" w:lineRule="auto"/>
        <w:ind w:left="18"/>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b/>
          <w:bCs/>
          <w:color w:val="auto"/>
          <w:position w:val="10"/>
          <w:sz w:val="24"/>
          <w:szCs w:val="24"/>
          <w:highlight w:val="none"/>
        </w:rPr>
        <w:t>1</w:t>
      </w:r>
      <w:r>
        <w:rPr>
          <w:rFonts w:hint="eastAsia" w:ascii="仿宋" w:hAnsi="仿宋" w:eastAsia="仿宋" w:cs="仿宋"/>
          <w:color w:val="auto"/>
          <w:sz w:val="24"/>
          <w:szCs w:val="24"/>
          <w:highlight w:val="none"/>
        </w:rPr>
        <w:t>从业人员、营业收入、资产总额填报上一年度数据，无上一年度数据的新成立企业可</w:t>
      </w:r>
      <w:r>
        <w:rPr>
          <w:rFonts w:hint="eastAsia" w:ascii="仿宋" w:hAnsi="仿宋" w:eastAsia="仿宋" w:cs="仿宋"/>
          <w:color w:val="auto"/>
          <w:spacing w:val="-1"/>
          <w:sz w:val="24"/>
          <w:szCs w:val="24"/>
          <w:highlight w:val="none"/>
        </w:rPr>
        <w:t>不填报。</w:t>
      </w:r>
    </w:p>
    <w:p w14:paraId="7AEF182C">
      <w:pPr>
        <w:pStyle w:val="2"/>
        <w:keepNext w:val="0"/>
        <w:keepLines w:val="0"/>
        <w:pageBreakBefore w:val="0"/>
        <w:tabs>
          <w:tab w:val="left" w:pos="567"/>
        </w:tabs>
        <w:kinsoku/>
        <w:wordWrap/>
        <w:overflowPunct/>
        <w:topLinePunct w:val="0"/>
        <w:autoSpaceDE/>
        <w:autoSpaceDN/>
        <w:bidi w:val="0"/>
        <w:adjustRightInd/>
        <w:spacing w:before="158" w:line="219" w:lineRule="auto"/>
        <w:ind w:left="19"/>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本项目对应的中小企业划分标准所属行业为：</w:t>
      </w:r>
      <w:r>
        <w:rPr>
          <w:rFonts w:hint="eastAsia" w:ascii="仿宋" w:hAnsi="仿宋" w:eastAsia="仿宋" w:cs="仿宋"/>
          <w:b/>
          <w:bCs/>
          <w:color w:val="auto"/>
          <w:spacing w:val="-1"/>
          <w:sz w:val="24"/>
          <w:szCs w:val="24"/>
          <w:highlight w:val="none"/>
        </w:rPr>
        <w:t>建筑业</w:t>
      </w:r>
    </w:p>
    <w:p w14:paraId="349CEB84">
      <w:pPr>
        <w:keepNext w:val="0"/>
        <w:keepLines w:val="0"/>
        <w:pageBreakBefore w:val="0"/>
        <w:kinsoku/>
        <w:wordWrap/>
        <w:overflowPunct/>
        <w:topLinePunct w:val="0"/>
        <w:autoSpaceDE/>
        <w:autoSpaceDN/>
        <w:bidi w:val="0"/>
        <w:adjustRightInd/>
        <w:spacing w:line="219" w:lineRule="auto"/>
        <w:textAlignment w:val="auto"/>
        <w:outlineLvl w:val="9"/>
        <w:rPr>
          <w:rFonts w:hint="eastAsia" w:ascii="仿宋" w:hAnsi="仿宋" w:eastAsia="仿宋" w:cs="仿宋"/>
          <w:color w:val="auto"/>
          <w:sz w:val="24"/>
          <w:szCs w:val="24"/>
          <w:highlight w:val="none"/>
        </w:rPr>
      </w:pPr>
    </w:p>
    <w:p w14:paraId="4E8497D1">
      <w:pPr>
        <w:keepNext w:val="0"/>
        <w:keepLines w:val="0"/>
        <w:pageBreakBefore w:val="0"/>
        <w:kinsoku/>
        <w:wordWrap/>
        <w:overflowPunct/>
        <w:topLinePunct w:val="0"/>
        <w:autoSpaceDE/>
        <w:autoSpaceDN/>
        <w:bidi w:val="0"/>
        <w:adjustRightInd/>
        <w:spacing w:line="219" w:lineRule="auto"/>
        <w:textAlignment w:val="auto"/>
        <w:outlineLvl w:val="9"/>
        <w:rPr>
          <w:rFonts w:hint="eastAsia" w:ascii="仿宋" w:hAnsi="仿宋" w:eastAsia="仿宋" w:cs="仿宋"/>
          <w:color w:val="auto"/>
          <w:sz w:val="24"/>
          <w:szCs w:val="24"/>
          <w:highlight w:val="none"/>
        </w:rPr>
      </w:pPr>
    </w:p>
    <w:p w14:paraId="4C36CFD3">
      <w:pPr>
        <w:keepNext w:val="0"/>
        <w:keepLines w:val="0"/>
        <w:pageBreakBefore w:val="0"/>
        <w:kinsoku/>
        <w:wordWrap/>
        <w:overflowPunct/>
        <w:topLinePunct w:val="0"/>
        <w:autoSpaceDE/>
        <w:autoSpaceDN/>
        <w:bidi w:val="0"/>
        <w:adjustRightInd/>
        <w:spacing w:line="219" w:lineRule="auto"/>
        <w:textAlignment w:val="auto"/>
        <w:outlineLvl w:val="9"/>
        <w:rPr>
          <w:rFonts w:hint="eastAsia" w:ascii="仿宋" w:hAnsi="仿宋" w:eastAsia="仿宋" w:cs="仿宋"/>
          <w:color w:val="auto"/>
          <w:sz w:val="24"/>
          <w:szCs w:val="24"/>
          <w:highlight w:val="none"/>
        </w:rPr>
        <w:sectPr>
          <w:footerReference r:id="rId9" w:type="default"/>
          <w:pgSz w:w="11906" w:h="16839"/>
          <w:pgMar w:top="1431" w:right="1698" w:bottom="1094" w:left="1785" w:header="0" w:footer="915" w:gutter="0"/>
          <w:pgNumType w:fmt="decimal"/>
          <w:cols w:space="720" w:num="1"/>
        </w:sectPr>
      </w:pPr>
    </w:p>
    <w:p w14:paraId="144524D2">
      <w:pPr>
        <w:keepNext w:val="0"/>
        <w:keepLines w:val="0"/>
        <w:pageBreakBefore w:val="0"/>
        <w:kinsoku/>
        <w:wordWrap/>
        <w:overflowPunct/>
        <w:topLinePunct w:val="0"/>
        <w:autoSpaceDE/>
        <w:autoSpaceDN/>
        <w:bidi w:val="0"/>
        <w:adjustRightInd/>
        <w:jc w:val="left"/>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附：</w:t>
      </w:r>
    </w:p>
    <w:p w14:paraId="7804ED6B">
      <w:pPr>
        <w:keepNext w:val="0"/>
        <w:keepLines w:val="0"/>
        <w:pageBreakBefore w:val="0"/>
        <w:kinsoku/>
        <w:wordWrap/>
        <w:overflowPunct/>
        <w:topLinePunct w:val="0"/>
        <w:autoSpaceDE/>
        <w:autoSpaceDN/>
        <w:bidi w:val="0"/>
        <w:adjustRightInd/>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中小微企业划型标准</w:t>
      </w:r>
    </w:p>
    <w:tbl>
      <w:tblPr>
        <w:tblStyle w:val="24"/>
        <w:tblW w:w="9378" w:type="dxa"/>
        <w:jc w:val="center"/>
        <w:tblLayout w:type="fixed"/>
        <w:tblCellMar>
          <w:top w:w="0" w:type="dxa"/>
          <w:left w:w="108" w:type="dxa"/>
          <w:bottom w:w="0" w:type="dxa"/>
          <w:right w:w="108" w:type="dxa"/>
        </w:tblCellMar>
      </w:tblPr>
      <w:tblGrid>
        <w:gridCol w:w="1570"/>
        <w:gridCol w:w="1819"/>
        <w:gridCol w:w="1307"/>
        <w:gridCol w:w="1903"/>
        <w:gridCol w:w="1692"/>
        <w:gridCol w:w="1087"/>
      </w:tblGrid>
      <w:tr w14:paraId="11F3E138">
        <w:tblPrEx>
          <w:tblCellMar>
            <w:top w:w="0" w:type="dxa"/>
            <w:left w:w="108" w:type="dxa"/>
            <w:bottom w:w="0" w:type="dxa"/>
            <w:right w:w="108" w:type="dxa"/>
          </w:tblCellMar>
        </w:tblPrEx>
        <w:trPr>
          <w:trHeight w:val="252"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65F58A3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行业名称</w:t>
            </w:r>
          </w:p>
        </w:tc>
        <w:tc>
          <w:tcPr>
            <w:tcW w:w="1819" w:type="dxa"/>
            <w:tcBorders>
              <w:top w:val="single" w:color="auto" w:sz="4" w:space="0"/>
              <w:left w:val="nil"/>
              <w:bottom w:val="single" w:color="auto" w:sz="4" w:space="0"/>
              <w:right w:val="single" w:color="auto" w:sz="4" w:space="0"/>
            </w:tcBorders>
            <w:noWrap w:val="0"/>
            <w:vAlign w:val="center"/>
          </w:tcPr>
          <w:p w14:paraId="0062268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指标名称</w:t>
            </w:r>
          </w:p>
        </w:tc>
        <w:tc>
          <w:tcPr>
            <w:tcW w:w="1307" w:type="dxa"/>
            <w:tcBorders>
              <w:top w:val="single" w:color="auto" w:sz="4" w:space="0"/>
              <w:left w:val="nil"/>
              <w:bottom w:val="single" w:color="auto" w:sz="4" w:space="0"/>
              <w:right w:val="single" w:color="auto" w:sz="4" w:space="0"/>
            </w:tcBorders>
            <w:noWrap w:val="0"/>
            <w:vAlign w:val="center"/>
          </w:tcPr>
          <w:p w14:paraId="2039BA0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计量单位</w:t>
            </w:r>
          </w:p>
        </w:tc>
        <w:tc>
          <w:tcPr>
            <w:tcW w:w="1903" w:type="dxa"/>
            <w:tcBorders>
              <w:top w:val="single" w:color="auto" w:sz="4" w:space="0"/>
              <w:left w:val="nil"/>
              <w:bottom w:val="single" w:color="auto" w:sz="4" w:space="0"/>
              <w:right w:val="single" w:color="auto" w:sz="4" w:space="0"/>
            </w:tcBorders>
            <w:noWrap w:val="0"/>
            <w:vAlign w:val="center"/>
          </w:tcPr>
          <w:p w14:paraId="1A2C732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中型</w:t>
            </w:r>
          </w:p>
        </w:tc>
        <w:tc>
          <w:tcPr>
            <w:tcW w:w="1692" w:type="dxa"/>
            <w:tcBorders>
              <w:top w:val="single" w:color="auto" w:sz="4" w:space="0"/>
              <w:left w:val="nil"/>
              <w:bottom w:val="single" w:color="auto" w:sz="4" w:space="0"/>
              <w:right w:val="single" w:color="auto" w:sz="4" w:space="0"/>
            </w:tcBorders>
            <w:noWrap w:val="0"/>
            <w:vAlign w:val="center"/>
          </w:tcPr>
          <w:p w14:paraId="4C6DEB5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小型</w:t>
            </w:r>
          </w:p>
        </w:tc>
        <w:tc>
          <w:tcPr>
            <w:tcW w:w="1087" w:type="dxa"/>
            <w:tcBorders>
              <w:top w:val="single" w:color="auto" w:sz="4" w:space="0"/>
              <w:left w:val="nil"/>
              <w:bottom w:val="single" w:color="auto" w:sz="4" w:space="0"/>
              <w:right w:val="single" w:color="auto" w:sz="4" w:space="0"/>
            </w:tcBorders>
            <w:noWrap w:val="0"/>
            <w:vAlign w:val="center"/>
          </w:tcPr>
          <w:p w14:paraId="451DBBC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微型</w:t>
            </w:r>
          </w:p>
        </w:tc>
      </w:tr>
      <w:tr w14:paraId="16DF67B7">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5D57E86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农、林、牧、渔</w:t>
            </w:r>
          </w:p>
        </w:tc>
        <w:tc>
          <w:tcPr>
            <w:tcW w:w="1819" w:type="dxa"/>
            <w:tcBorders>
              <w:top w:val="nil"/>
              <w:left w:val="nil"/>
              <w:bottom w:val="single" w:color="auto" w:sz="4" w:space="0"/>
              <w:right w:val="single" w:color="auto" w:sz="4" w:space="0"/>
            </w:tcBorders>
            <w:noWrap w:val="0"/>
            <w:vAlign w:val="center"/>
          </w:tcPr>
          <w:p w14:paraId="07F9A28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05D7B9D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38AD2D3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0CC3DF5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50≤Y＜500</w:t>
            </w:r>
          </w:p>
        </w:tc>
        <w:tc>
          <w:tcPr>
            <w:tcW w:w="1087" w:type="dxa"/>
            <w:tcBorders>
              <w:top w:val="nil"/>
              <w:left w:val="nil"/>
              <w:bottom w:val="single" w:color="auto" w:sz="4" w:space="0"/>
              <w:right w:val="single" w:color="auto" w:sz="4" w:space="0"/>
            </w:tcBorders>
            <w:noWrap w:val="0"/>
            <w:vAlign w:val="center"/>
          </w:tcPr>
          <w:p w14:paraId="6B909CD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w:t>
            </w:r>
          </w:p>
        </w:tc>
      </w:tr>
      <w:tr w14:paraId="6C7B1D4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F84CAD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工业</w:t>
            </w:r>
          </w:p>
        </w:tc>
        <w:tc>
          <w:tcPr>
            <w:tcW w:w="1819" w:type="dxa"/>
            <w:tcBorders>
              <w:top w:val="nil"/>
              <w:left w:val="nil"/>
              <w:bottom w:val="single" w:color="auto" w:sz="4" w:space="0"/>
              <w:right w:val="single" w:color="auto" w:sz="4" w:space="0"/>
            </w:tcBorders>
            <w:noWrap w:val="0"/>
            <w:vAlign w:val="center"/>
          </w:tcPr>
          <w:p w14:paraId="34A04E4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412D2BA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D5883F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74297DC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3C1EF84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411D604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9A7063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5114288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42AC32D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27D2FE7">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2000≤Y＜40000</w:t>
            </w:r>
          </w:p>
        </w:tc>
        <w:tc>
          <w:tcPr>
            <w:tcW w:w="1692" w:type="dxa"/>
            <w:tcBorders>
              <w:top w:val="nil"/>
              <w:left w:val="nil"/>
              <w:bottom w:val="single" w:color="auto" w:sz="4" w:space="0"/>
              <w:right w:val="single" w:color="auto" w:sz="4" w:space="0"/>
            </w:tcBorders>
            <w:noWrap w:val="0"/>
            <w:vAlign w:val="center"/>
          </w:tcPr>
          <w:p w14:paraId="517CD0A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300≤Y＜2000</w:t>
            </w:r>
          </w:p>
        </w:tc>
        <w:tc>
          <w:tcPr>
            <w:tcW w:w="1087" w:type="dxa"/>
            <w:tcBorders>
              <w:top w:val="nil"/>
              <w:left w:val="nil"/>
              <w:bottom w:val="single" w:color="auto" w:sz="4" w:space="0"/>
              <w:right w:val="single" w:color="auto" w:sz="4" w:space="0"/>
            </w:tcBorders>
            <w:noWrap w:val="0"/>
            <w:vAlign w:val="center"/>
          </w:tcPr>
          <w:p w14:paraId="79D5FC9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77045BC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3016DF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建筑业</w:t>
            </w:r>
          </w:p>
        </w:tc>
        <w:tc>
          <w:tcPr>
            <w:tcW w:w="1819" w:type="dxa"/>
            <w:tcBorders>
              <w:top w:val="nil"/>
              <w:left w:val="nil"/>
              <w:bottom w:val="single" w:color="auto" w:sz="4" w:space="0"/>
              <w:right w:val="single" w:color="auto" w:sz="4" w:space="0"/>
            </w:tcBorders>
            <w:noWrap w:val="0"/>
            <w:vAlign w:val="center"/>
          </w:tcPr>
          <w:p w14:paraId="2AB8420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142ACFD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920DFA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6000≤Y＜80000</w:t>
            </w:r>
          </w:p>
        </w:tc>
        <w:tc>
          <w:tcPr>
            <w:tcW w:w="1692" w:type="dxa"/>
            <w:tcBorders>
              <w:top w:val="nil"/>
              <w:left w:val="nil"/>
              <w:bottom w:val="single" w:color="auto" w:sz="4" w:space="0"/>
              <w:right w:val="single" w:color="auto" w:sz="4" w:space="0"/>
            </w:tcBorders>
            <w:noWrap w:val="0"/>
            <w:vAlign w:val="center"/>
          </w:tcPr>
          <w:p w14:paraId="4898408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300≤Y＜6000</w:t>
            </w:r>
          </w:p>
        </w:tc>
        <w:tc>
          <w:tcPr>
            <w:tcW w:w="1087" w:type="dxa"/>
            <w:tcBorders>
              <w:top w:val="nil"/>
              <w:left w:val="nil"/>
              <w:bottom w:val="single" w:color="auto" w:sz="4" w:space="0"/>
              <w:right w:val="single" w:color="auto" w:sz="4" w:space="0"/>
            </w:tcBorders>
            <w:noWrap w:val="0"/>
            <w:vAlign w:val="center"/>
          </w:tcPr>
          <w:p w14:paraId="33FC589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1DC6928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F6083D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27ACA78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307" w:type="dxa"/>
            <w:tcBorders>
              <w:top w:val="nil"/>
              <w:left w:val="nil"/>
              <w:bottom w:val="single" w:color="auto" w:sz="4" w:space="0"/>
              <w:right w:val="single" w:color="auto" w:sz="4" w:space="0"/>
            </w:tcBorders>
            <w:noWrap w:val="0"/>
            <w:vAlign w:val="center"/>
          </w:tcPr>
          <w:p w14:paraId="03D86F7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9CB044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5000≤Z＜80000</w:t>
            </w:r>
          </w:p>
        </w:tc>
        <w:tc>
          <w:tcPr>
            <w:tcW w:w="1692" w:type="dxa"/>
            <w:tcBorders>
              <w:top w:val="nil"/>
              <w:left w:val="nil"/>
              <w:bottom w:val="single" w:color="auto" w:sz="4" w:space="0"/>
              <w:right w:val="single" w:color="auto" w:sz="4" w:space="0"/>
            </w:tcBorders>
            <w:noWrap w:val="0"/>
            <w:vAlign w:val="center"/>
          </w:tcPr>
          <w:p w14:paraId="3FB64A8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300≤Z＜5000</w:t>
            </w:r>
          </w:p>
        </w:tc>
        <w:tc>
          <w:tcPr>
            <w:tcW w:w="1087" w:type="dxa"/>
            <w:tcBorders>
              <w:top w:val="nil"/>
              <w:left w:val="nil"/>
              <w:bottom w:val="single" w:color="auto" w:sz="4" w:space="0"/>
              <w:right w:val="single" w:color="auto" w:sz="4" w:space="0"/>
            </w:tcBorders>
            <w:noWrap w:val="0"/>
            <w:vAlign w:val="center"/>
          </w:tcPr>
          <w:p w14:paraId="679905E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Z＜300</w:t>
            </w:r>
          </w:p>
        </w:tc>
      </w:tr>
      <w:tr w14:paraId="1150EE2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9D99CF1">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批发业</w:t>
            </w:r>
          </w:p>
        </w:tc>
        <w:tc>
          <w:tcPr>
            <w:tcW w:w="1819" w:type="dxa"/>
            <w:tcBorders>
              <w:top w:val="nil"/>
              <w:left w:val="nil"/>
              <w:bottom w:val="single" w:color="auto" w:sz="4" w:space="0"/>
              <w:right w:val="single" w:color="auto" w:sz="4" w:space="0"/>
            </w:tcBorders>
            <w:noWrap w:val="0"/>
            <w:vAlign w:val="center"/>
          </w:tcPr>
          <w:p w14:paraId="4454867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4E60BD21">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1C8B72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20≤X＜200</w:t>
            </w:r>
          </w:p>
        </w:tc>
        <w:tc>
          <w:tcPr>
            <w:tcW w:w="1692" w:type="dxa"/>
            <w:tcBorders>
              <w:top w:val="nil"/>
              <w:left w:val="nil"/>
              <w:bottom w:val="single" w:color="auto" w:sz="4" w:space="0"/>
              <w:right w:val="single" w:color="auto" w:sz="4" w:space="0"/>
            </w:tcBorders>
            <w:noWrap w:val="0"/>
            <w:vAlign w:val="center"/>
          </w:tcPr>
          <w:p w14:paraId="67AC333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5≤X＜20</w:t>
            </w:r>
          </w:p>
        </w:tc>
        <w:tc>
          <w:tcPr>
            <w:tcW w:w="1087" w:type="dxa"/>
            <w:tcBorders>
              <w:top w:val="nil"/>
              <w:left w:val="nil"/>
              <w:bottom w:val="single" w:color="auto" w:sz="4" w:space="0"/>
              <w:right w:val="single" w:color="auto" w:sz="4" w:space="0"/>
            </w:tcBorders>
            <w:noWrap w:val="0"/>
            <w:vAlign w:val="center"/>
          </w:tcPr>
          <w:p w14:paraId="2F2377A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X＜5</w:t>
            </w:r>
          </w:p>
        </w:tc>
      </w:tr>
      <w:tr w14:paraId="64D4A91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896D37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0E23E78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0076129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16B1DF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5000≤Y＜40000</w:t>
            </w:r>
          </w:p>
        </w:tc>
        <w:tc>
          <w:tcPr>
            <w:tcW w:w="1692" w:type="dxa"/>
            <w:tcBorders>
              <w:top w:val="nil"/>
              <w:left w:val="nil"/>
              <w:bottom w:val="single" w:color="auto" w:sz="4" w:space="0"/>
              <w:right w:val="single" w:color="auto" w:sz="4" w:space="0"/>
            </w:tcBorders>
            <w:noWrap w:val="0"/>
            <w:vAlign w:val="center"/>
          </w:tcPr>
          <w:p w14:paraId="53F2D16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087" w:type="dxa"/>
            <w:tcBorders>
              <w:top w:val="nil"/>
              <w:left w:val="nil"/>
              <w:bottom w:val="single" w:color="auto" w:sz="4" w:space="0"/>
              <w:right w:val="single" w:color="auto" w:sz="4" w:space="0"/>
            </w:tcBorders>
            <w:noWrap w:val="0"/>
            <w:vAlign w:val="center"/>
          </w:tcPr>
          <w:p w14:paraId="009B47C9">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Y＜1000</w:t>
            </w:r>
          </w:p>
        </w:tc>
      </w:tr>
      <w:tr w14:paraId="59336A0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92DDBE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零售业</w:t>
            </w:r>
          </w:p>
        </w:tc>
        <w:tc>
          <w:tcPr>
            <w:tcW w:w="1819" w:type="dxa"/>
            <w:tcBorders>
              <w:top w:val="nil"/>
              <w:left w:val="nil"/>
              <w:bottom w:val="single" w:color="auto" w:sz="4" w:space="0"/>
              <w:right w:val="single" w:color="auto" w:sz="4" w:space="0"/>
            </w:tcBorders>
            <w:noWrap w:val="0"/>
            <w:vAlign w:val="center"/>
          </w:tcPr>
          <w:p w14:paraId="4E7967A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4A33A72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80D42E1">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50≤X＜300</w:t>
            </w:r>
          </w:p>
        </w:tc>
        <w:tc>
          <w:tcPr>
            <w:tcW w:w="1692" w:type="dxa"/>
            <w:tcBorders>
              <w:top w:val="nil"/>
              <w:left w:val="nil"/>
              <w:bottom w:val="single" w:color="auto" w:sz="4" w:space="0"/>
              <w:right w:val="single" w:color="auto" w:sz="4" w:space="0"/>
            </w:tcBorders>
            <w:noWrap w:val="0"/>
            <w:vAlign w:val="center"/>
          </w:tcPr>
          <w:p w14:paraId="4AE6197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10≤X＜50</w:t>
            </w:r>
          </w:p>
        </w:tc>
        <w:tc>
          <w:tcPr>
            <w:tcW w:w="1087" w:type="dxa"/>
            <w:tcBorders>
              <w:top w:val="nil"/>
              <w:left w:val="nil"/>
              <w:bottom w:val="single" w:color="auto" w:sz="4" w:space="0"/>
              <w:right w:val="single" w:color="auto" w:sz="4" w:space="0"/>
            </w:tcBorders>
            <w:noWrap w:val="0"/>
            <w:vAlign w:val="center"/>
          </w:tcPr>
          <w:p w14:paraId="1D0670D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41033A7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85F0BD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49679DF9">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241708C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8F07BE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521A9E6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100≤Y＜500</w:t>
            </w:r>
          </w:p>
        </w:tc>
        <w:tc>
          <w:tcPr>
            <w:tcW w:w="1087" w:type="dxa"/>
            <w:tcBorders>
              <w:top w:val="nil"/>
              <w:left w:val="nil"/>
              <w:bottom w:val="single" w:color="auto" w:sz="4" w:space="0"/>
              <w:right w:val="single" w:color="auto" w:sz="4" w:space="0"/>
            </w:tcBorders>
            <w:noWrap w:val="0"/>
            <w:vAlign w:val="center"/>
          </w:tcPr>
          <w:p w14:paraId="1CC310D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504F6D2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D0B45C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交通运输业</w:t>
            </w:r>
          </w:p>
        </w:tc>
        <w:tc>
          <w:tcPr>
            <w:tcW w:w="1819" w:type="dxa"/>
            <w:tcBorders>
              <w:top w:val="nil"/>
              <w:left w:val="nil"/>
              <w:bottom w:val="single" w:color="auto" w:sz="4" w:space="0"/>
              <w:right w:val="single" w:color="auto" w:sz="4" w:space="0"/>
            </w:tcBorders>
            <w:noWrap w:val="0"/>
            <w:vAlign w:val="center"/>
          </w:tcPr>
          <w:p w14:paraId="09951879">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588E5BF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CAE3109">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747FC3A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2A1F17F7">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2959182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7519259">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6297790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0348570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B12C50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3000≤Y＜30000</w:t>
            </w:r>
          </w:p>
        </w:tc>
        <w:tc>
          <w:tcPr>
            <w:tcW w:w="1692" w:type="dxa"/>
            <w:tcBorders>
              <w:top w:val="nil"/>
              <w:left w:val="nil"/>
              <w:bottom w:val="single" w:color="auto" w:sz="4" w:space="0"/>
              <w:right w:val="single" w:color="auto" w:sz="4" w:space="0"/>
            </w:tcBorders>
            <w:noWrap w:val="0"/>
            <w:vAlign w:val="center"/>
          </w:tcPr>
          <w:p w14:paraId="185B3C2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200≤Y＜3000</w:t>
            </w:r>
          </w:p>
        </w:tc>
        <w:tc>
          <w:tcPr>
            <w:tcW w:w="1087" w:type="dxa"/>
            <w:tcBorders>
              <w:top w:val="nil"/>
              <w:left w:val="nil"/>
              <w:bottom w:val="single" w:color="auto" w:sz="4" w:space="0"/>
              <w:right w:val="single" w:color="auto" w:sz="4" w:space="0"/>
            </w:tcBorders>
            <w:noWrap w:val="0"/>
            <w:vAlign w:val="center"/>
          </w:tcPr>
          <w:p w14:paraId="283D882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w:t>
            </w:r>
          </w:p>
        </w:tc>
      </w:tr>
      <w:tr w14:paraId="5B25A592">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718681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仓储业</w:t>
            </w:r>
          </w:p>
        </w:tc>
        <w:tc>
          <w:tcPr>
            <w:tcW w:w="1819" w:type="dxa"/>
            <w:tcBorders>
              <w:top w:val="nil"/>
              <w:left w:val="nil"/>
              <w:bottom w:val="single" w:color="auto" w:sz="4" w:space="0"/>
              <w:right w:val="single" w:color="auto" w:sz="4" w:space="0"/>
            </w:tcBorders>
            <w:noWrap w:val="0"/>
            <w:vAlign w:val="center"/>
          </w:tcPr>
          <w:p w14:paraId="7873137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6990721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176BDE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100≤X＜200</w:t>
            </w:r>
          </w:p>
        </w:tc>
        <w:tc>
          <w:tcPr>
            <w:tcW w:w="1692" w:type="dxa"/>
            <w:tcBorders>
              <w:top w:val="nil"/>
              <w:left w:val="nil"/>
              <w:bottom w:val="single" w:color="auto" w:sz="4" w:space="0"/>
              <w:right w:val="single" w:color="auto" w:sz="4" w:space="0"/>
            </w:tcBorders>
            <w:noWrap w:val="0"/>
            <w:vAlign w:val="center"/>
          </w:tcPr>
          <w:p w14:paraId="0509A5A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20≤X＜100</w:t>
            </w:r>
          </w:p>
        </w:tc>
        <w:tc>
          <w:tcPr>
            <w:tcW w:w="1087" w:type="dxa"/>
            <w:tcBorders>
              <w:top w:val="nil"/>
              <w:left w:val="nil"/>
              <w:bottom w:val="single" w:color="auto" w:sz="4" w:space="0"/>
              <w:right w:val="single" w:color="auto" w:sz="4" w:space="0"/>
            </w:tcBorders>
            <w:noWrap w:val="0"/>
            <w:vAlign w:val="center"/>
          </w:tcPr>
          <w:p w14:paraId="42D20AD9">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2AF83D0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188891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54B38169">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779F78A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D86594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1000≤Y＜30000</w:t>
            </w:r>
          </w:p>
        </w:tc>
        <w:tc>
          <w:tcPr>
            <w:tcW w:w="1692" w:type="dxa"/>
            <w:tcBorders>
              <w:top w:val="nil"/>
              <w:left w:val="nil"/>
              <w:bottom w:val="single" w:color="auto" w:sz="4" w:space="0"/>
              <w:right w:val="single" w:color="auto" w:sz="4" w:space="0"/>
            </w:tcBorders>
            <w:noWrap w:val="0"/>
            <w:vAlign w:val="center"/>
          </w:tcPr>
          <w:p w14:paraId="214A419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0722077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261B769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547244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邮政业</w:t>
            </w:r>
          </w:p>
        </w:tc>
        <w:tc>
          <w:tcPr>
            <w:tcW w:w="1819" w:type="dxa"/>
            <w:tcBorders>
              <w:top w:val="nil"/>
              <w:left w:val="nil"/>
              <w:bottom w:val="single" w:color="auto" w:sz="4" w:space="0"/>
              <w:right w:val="single" w:color="auto" w:sz="4" w:space="0"/>
            </w:tcBorders>
            <w:noWrap w:val="0"/>
            <w:vAlign w:val="center"/>
          </w:tcPr>
          <w:p w14:paraId="6FA0BAA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7D5302F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0D1E1E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57038A9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245F16E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7AFA300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D15B34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273F7B8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06CF553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6763DF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2000≤Y＜30000</w:t>
            </w:r>
          </w:p>
        </w:tc>
        <w:tc>
          <w:tcPr>
            <w:tcW w:w="1692" w:type="dxa"/>
            <w:tcBorders>
              <w:top w:val="nil"/>
              <w:left w:val="nil"/>
              <w:bottom w:val="single" w:color="auto" w:sz="4" w:space="0"/>
              <w:right w:val="single" w:color="auto" w:sz="4" w:space="0"/>
            </w:tcBorders>
            <w:noWrap w:val="0"/>
            <w:vAlign w:val="center"/>
          </w:tcPr>
          <w:p w14:paraId="0AAE8E0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70F2ADD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6FC4476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FF557B1">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住宿业</w:t>
            </w:r>
          </w:p>
        </w:tc>
        <w:tc>
          <w:tcPr>
            <w:tcW w:w="1819" w:type="dxa"/>
            <w:tcBorders>
              <w:top w:val="nil"/>
              <w:left w:val="nil"/>
              <w:bottom w:val="single" w:color="auto" w:sz="4" w:space="0"/>
              <w:right w:val="single" w:color="auto" w:sz="4" w:space="0"/>
            </w:tcBorders>
            <w:noWrap w:val="0"/>
            <w:vAlign w:val="center"/>
          </w:tcPr>
          <w:p w14:paraId="735DD92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3FB6329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995ABC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52FA914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775A71D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6B16365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042CDC1">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422FD9B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1A686FF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4F474B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01B8D8C7">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239272C7">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69797651">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AC71C7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餐饮业</w:t>
            </w:r>
          </w:p>
        </w:tc>
        <w:tc>
          <w:tcPr>
            <w:tcW w:w="1819" w:type="dxa"/>
            <w:tcBorders>
              <w:top w:val="nil"/>
              <w:left w:val="nil"/>
              <w:bottom w:val="single" w:color="auto" w:sz="4" w:space="0"/>
              <w:right w:val="single" w:color="auto" w:sz="4" w:space="0"/>
            </w:tcBorders>
            <w:noWrap w:val="0"/>
            <w:vAlign w:val="center"/>
          </w:tcPr>
          <w:p w14:paraId="41BA3B6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6642ADA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917EE5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7E94F45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0905840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6E5B1444">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D85046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554FD4A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60B9105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CAD1CD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1EEF980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297A630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46166DF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30AE4F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信息传输业</w:t>
            </w:r>
          </w:p>
        </w:tc>
        <w:tc>
          <w:tcPr>
            <w:tcW w:w="1819" w:type="dxa"/>
            <w:tcBorders>
              <w:top w:val="nil"/>
              <w:left w:val="nil"/>
              <w:bottom w:val="single" w:color="auto" w:sz="4" w:space="0"/>
              <w:right w:val="single" w:color="auto" w:sz="4" w:space="0"/>
            </w:tcBorders>
            <w:noWrap w:val="0"/>
            <w:vAlign w:val="center"/>
          </w:tcPr>
          <w:p w14:paraId="2039FC6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0BC6112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5F44D3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100≤X＜2000</w:t>
            </w:r>
          </w:p>
        </w:tc>
        <w:tc>
          <w:tcPr>
            <w:tcW w:w="1692" w:type="dxa"/>
            <w:tcBorders>
              <w:top w:val="nil"/>
              <w:left w:val="nil"/>
              <w:bottom w:val="single" w:color="auto" w:sz="4" w:space="0"/>
              <w:right w:val="single" w:color="auto" w:sz="4" w:space="0"/>
            </w:tcBorders>
            <w:noWrap w:val="0"/>
            <w:vAlign w:val="center"/>
          </w:tcPr>
          <w:p w14:paraId="5FE70B8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0DB8ECC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79A9C50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EDC733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440929C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0D1973B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86D49F9">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1000≤Y＜100000</w:t>
            </w:r>
          </w:p>
        </w:tc>
        <w:tc>
          <w:tcPr>
            <w:tcW w:w="1692" w:type="dxa"/>
            <w:tcBorders>
              <w:top w:val="nil"/>
              <w:left w:val="nil"/>
              <w:bottom w:val="single" w:color="auto" w:sz="4" w:space="0"/>
              <w:right w:val="single" w:color="auto" w:sz="4" w:space="0"/>
            </w:tcBorders>
            <w:noWrap w:val="0"/>
            <w:vAlign w:val="center"/>
          </w:tcPr>
          <w:p w14:paraId="43EDD95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43BECC5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78A2B87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D4B784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软件和信息技术服务业</w:t>
            </w:r>
          </w:p>
        </w:tc>
        <w:tc>
          <w:tcPr>
            <w:tcW w:w="1819" w:type="dxa"/>
            <w:tcBorders>
              <w:top w:val="nil"/>
              <w:left w:val="nil"/>
              <w:bottom w:val="single" w:color="auto" w:sz="4" w:space="0"/>
              <w:right w:val="single" w:color="auto" w:sz="4" w:space="0"/>
            </w:tcBorders>
            <w:noWrap w:val="0"/>
            <w:vAlign w:val="center"/>
          </w:tcPr>
          <w:p w14:paraId="4C8FD667">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70F907F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6933FB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55F60C4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D5B7C6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50EDC6A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E1E3A8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087A263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535F8BE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8DD8901">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1000≤Y＜10000</w:t>
            </w:r>
          </w:p>
        </w:tc>
        <w:tc>
          <w:tcPr>
            <w:tcW w:w="1692" w:type="dxa"/>
            <w:tcBorders>
              <w:top w:val="nil"/>
              <w:left w:val="nil"/>
              <w:bottom w:val="single" w:color="auto" w:sz="4" w:space="0"/>
              <w:right w:val="single" w:color="auto" w:sz="4" w:space="0"/>
            </w:tcBorders>
            <w:noWrap w:val="0"/>
            <w:vAlign w:val="center"/>
          </w:tcPr>
          <w:p w14:paraId="1A7071C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50≤Y＜1000</w:t>
            </w:r>
          </w:p>
        </w:tc>
        <w:tc>
          <w:tcPr>
            <w:tcW w:w="1087" w:type="dxa"/>
            <w:tcBorders>
              <w:top w:val="nil"/>
              <w:left w:val="nil"/>
              <w:bottom w:val="single" w:color="auto" w:sz="4" w:space="0"/>
              <w:right w:val="single" w:color="auto" w:sz="4" w:space="0"/>
            </w:tcBorders>
            <w:noWrap w:val="0"/>
            <w:vAlign w:val="center"/>
          </w:tcPr>
          <w:p w14:paraId="64F4B71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w:t>
            </w:r>
          </w:p>
        </w:tc>
      </w:tr>
      <w:tr w14:paraId="53D23C9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63DA03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房地产开发经营</w:t>
            </w:r>
          </w:p>
        </w:tc>
        <w:tc>
          <w:tcPr>
            <w:tcW w:w="1819" w:type="dxa"/>
            <w:tcBorders>
              <w:top w:val="nil"/>
              <w:left w:val="nil"/>
              <w:bottom w:val="single" w:color="auto" w:sz="4" w:space="0"/>
              <w:right w:val="single" w:color="auto" w:sz="4" w:space="0"/>
            </w:tcBorders>
            <w:noWrap w:val="0"/>
            <w:vAlign w:val="center"/>
          </w:tcPr>
          <w:p w14:paraId="398CAB7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3DF853D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B2414A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1000≤Y＜200000</w:t>
            </w:r>
          </w:p>
        </w:tc>
        <w:tc>
          <w:tcPr>
            <w:tcW w:w="1692" w:type="dxa"/>
            <w:tcBorders>
              <w:top w:val="nil"/>
              <w:left w:val="nil"/>
              <w:bottom w:val="single" w:color="auto" w:sz="4" w:space="0"/>
              <w:right w:val="single" w:color="auto" w:sz="4" w:space="0"/>
            </w:tcBorders>
            <w:noWrap w:val="0"/>
            <w:vAlign w:val="center"/>
          </w:tcPr>
          <w:p w14:paraId="24F6032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100≤X＜1000</w:t>
            </w:r>
          </w:p>
        </w:tc>
        <w:tc>
          <w:tcPr>
            <w:tcW w:w="1087" w:type="dxa"/>
            <w:tcBorders>
              <w:top w:val="nil"/>
              <w:left w:val="nil"/>
              <w:bottom w:val="single" w:color="auto" w:sz="4" w:space="0"/>
              <w:right w:val="single" w:color="auto" w:sz="4" w:space="0"/>
            </w:tcBorders>
            <w:noWrap w:val="0"/>
            <w:vAlign w:val="center"/>
          </w:tcPr>
          <w:p w14:paraId="46CC7F1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57BA7A6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F0FA787">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1DA85AE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307" w:type="dxa"/>
            <w:tcBorders>
              <w:top w:val="nil"/>
              <w:left w:val="nil"/>
              <w:bottom w:val="single" w:color="auto" w:sz="4" w:space="0"/>
              <w:right w:val="single" w:color="auto" w:sz="4" w:space="0"/>
            </w:tcBorders>
            <w:noWrap w:val="0"/>
            <w:vAlign w:val="center"/>
          </w:tcPr>
          <w:p w14:paraId="1548E7B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F37B51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5000≤Z＜10000</w:t>
            </w:r>
          </w:p>
        </w:tc>
        <w:tc>
          <w:tcPr>
            <w:tcW w:w="1692" w:type="dxa"/>
            <w:tcBorders>
              <w:top w:val="nil"/>
              <w:left w:val="nil"/>
              <w:bottom w:val="single" w:color="auto" w:sz="4" w:space="0"/>
              <w:right w:val="single" w:color="auto" w:sz="4" w:space="0"/>
            </w:tcBorders>
            <w:noWrap w:val="0"/>
            <w:vAlign w:val="center"/>
          </w:tcPr>
          <w:p w14:paraId="4846B86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2000≤Y＜5000</w:t>
            </w:r>
          </w:p>
        </w:tc>
        <w:tc>
          <w:tcPr>
            <w:tcW w:w="1087" w:type="dxa"/>
            <w:tcBorders>
              <w:top w:val="nil"/>
              <w:left w:val="nil"/>
              <w:bottom w:val="single" w:color="auto" w:sz="4" w:space="0"/>
              <w:right w:val="single" w:color="auto" w:sz="4" w:space="0"/>
            </w:tcBorders>
            <w:noWrap w:val="0"/>
            <w:vAlign w:val="center"/>
          </w:tcPr>
          <w:p w14:paraId="7D99BA3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Y＜2000</w:t>
            </w:r>
          </w:p>
        </w:tc>
      </w:tr>
      <w:tr w14:paraId="10D4324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B0063D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物业管理</w:t>
            </w:r>
          </w:p>
        </w:tc>
        <w:tc>
          <w:tcPr>
            <w:tcW w:w="1819" w:type="dxa"/>
            <w:tcBorders>
              <w:top w:val="nil"/>
              <w:left w:val="nil"/>
              <w:bottom w:val="single" w:color="auto" w:sz="4" w:space="0"/>
              <w:right w:val="single" w:color="auto" w:sz="4" w:space="0"/>
            </w:tcBorders>
            <w:noWrap w:val="0"/>
            <w:vAlign w:val="center"/>
          </w:tcPr>
          <w:p w14:paraId="1CEA7EA1">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7C7C505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3D2EEE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6186F16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087" w:type="dxa"/>
            <w:tcBorders>
              <w:top w:val="nil"/>
              <w:left w:val="nil"/>
              <w:bottom w:val="single" w:color="auto" w:sz="4" w:space="0"/>
              <w:right w:val="single" w:color="auto" w:sz="4" w:space="0"/>
            </w:tcBorders>
            <w:noWrap w:val="0"/>
            <w:vAlign w:val="center"/>
          </w:tcPr>
          <w:p w14:paraId="00F583F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2041973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42B35D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0A7FCFE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5FC45E4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52EE9E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692" w:type="dxa"/>
            <w:tcBorders>
              <w:top w:val="nil"/>
              <w:left w:val="nil"/>
              <w:bottom w:val="single" w:color="auto" w:sz="4" w:space="0"/>
              <w:right w:val="single" w:color="auto" w:sz="4" w:space="0"/>
            </w:tcBorders>
            <w:noWrap w:val="0"/>
            <w:vAlign w:val="center"/>
          </w:tcPr>
          <w:p w14:paraId="28F042E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500≤Y＜1000</w:t>
            </w:r>
          </w:p>
        </w:tc>
        <w:tc>
          <w:tcPr>
            <w:tcW w:w="1087" w:type="dxa"/>
            <w:tcBorders>
              <w:top w:val="nil"/>
              <w:left w:val="nil"/>
              <w:bottom w:val="single" w:color="auto" w:sz="4" w:space="0"/>
              <w:right w:val="single" w:color="auto" w:sz="4" w:space="0"/>
            </w:tcBorders>
            <w:noWrap w:val="0"/>
            <w:vAlign w:val="center"/>
          </w:tcPr>
          <w:p w14:paraId="241D1C7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Y＜500</w:t>
            </w:r>
          </w:p>
        </w:tc>
      </w:tr>
      <w:tr w14:paraId="328769B5">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8ABCF6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租赁和商务服务业</w:t>
            </w:r>
          </w:p>
        </w:tc>
        <w:tc>
          <w:tcPr>
            <w:tcW w:w="1819" w:type="dxa"/>
            <w:tcBorders>
              <w:top w:val="nil"/>
              <w:left w:val="nil"/>
              <w:bottom w:val="single" w:color="auto" w:sz="4" w:space="0"/>
              <w:right w:val="single" w:color="auto" w:sz="4" w:space="0"/>
            </w:tcBorders>
            <w:noWrap w:val="0"/>
            <w:vAlign w:val="center"/>
          </w:tcPr>
          <w:p w14:paraId="66CA3AA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6651CC61">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ACC905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6459C4A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55E6BBE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2D58D87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9B5DEC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144A1697">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307" w:type="dxa"/>
            <w:tcBorders>
              <w:top w:val="nil"/>
              <w:left w:val="nil"/>
              <w:bottom w:val="single" w:color="auto" w:sz="4" w:space="0"/>
              <w:right w:val="single" w:color="auto" w:sz="4" w:space="0"/>
            </w:tcBorders>
            <w:noWrap w:val="0"/>
            <w:vAlign w:val="center"/>
          </w:tcPr>
          <w:p w14:paraId="797238E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3BCCD40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8000≤Z＜120000</w:t>
            </w:r>
          </w:p>
        </w:tc>
        <w:tc>
          <w:tcPr>
            <w:tcW w:w="1692" w:type="dxa"/>
            <w:tcBorders>
              <w:top w:val="nil"/>
              <w:left w:val="nil"/>
              <w:bottom w:val="single" w:color="auto" w:sz="4" w:space="0"/>
              <w:right w:val="single" w:color="auto" w:sz="4" w:space="0"/>
            </w:tcBorders>
            <w:noWrap w:val="0"/>
            <w:vAlign w:val="center"/>
          </w:tcPr>
          <w:p w14:paraId="0EE1CA5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100≤Z＜8000</w:t>
            </w:r>
          </w:p>
        </w:tc>
        <w:tc>
          <w:tcPr>
            <w:tcW w:w="1087" w:type="dxa"/>
            <w:tcBorders>
              <w:top w:val="nil"/>
              <w:left w:val="nil"/>
              <w:bottom w:val="single" w:color="auto" w:sz="4" w:space="0"/>
              <w:right w:val="single" w:color="auto" w:sz="4" w:space="0"/>
            </w:tcBorders>
            <w:noWrap w:val="0"/>
            <w:vAlign w:val="center"/>
          </w:tcPr>
          <w:p w14:paraId="5D0C755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47822744">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682C8A9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其他未列明行业</w:t>
            </w:r>
          </w:p>
        </w:tc>
        <w:tc>
          <w:tcPr>
            <w:tcW w:w="1819" w:type="dxa"/>
            <w:tcBorders>
              <w:top w:val="nil"/>
              <w:left w:val="nil"/>
              <w:bottom w:val="single" w:color="auto" w:sz="4" w:space="0"/>
              <w:right w:val="single" w:color="auto" w:sz="4" w:space="0"/>
            </w:tcBorders>
            <w:noWrap w:val="0"/>
            <w:vAlign w:val="center"/>
          </w:tcPr>
          <w:p w14:paraId="24ECDA5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29900AA7">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75E121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1B987A9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36D2269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bl>
    <w:p w14:paraId="5CBBB152">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2" w:firstLineChars="200"/>
        <w:jc w:val="left"/>
        <w:textAlignment w:val="auto"/>
        <w:outlineLvl w:val="9"/>
        <w:rPr>
          <w:rFonts w:hint="eastAsia" w:ascii="仿宋" w:hAnsi="仿宋" w:eastAsia="仿宋" w:cs="仿宋"/>
          <w:b/>
          <w:bCs/>
          <w:i w:val="0"/>
          <w:iCs w:val="0"/>
          <w:caps w:val="0"/>
          <w:color w:val="auto"/>
          <w:spacing w:val="0"/>
          <w:kern w:val="0"/>
          <w:sz w:val="24"/>
          <w:szCs w:val="24"/>
          <w:highlight w:val="none"/>
          <w:shd w:val="clear" w:color="auto" w:fill="FFFFFF"/>
          <w:lang w:val="en-US" w:eastAsia="zh-CN"/>
        </w:rPr>
      </w:pPr>
    </w:p>
    <w:p w14:paraId="06243E02">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2" w:firstLineChars="200"/>
        <w:jc w:val="left"/>
        <w:textAlignment w:val="auto"/>
        <w:outlineLvl w:val="9"/>
        <w:rPr>
          <w:rFonts w:hint="eastAsia" w:ascii="仿宋" w:hAnsi="仿宋" w:eastAsia="仿宋" w:cs="仿宋"/>
          <w:b/>
          <w:bCs/>
          <w:i w:val="0"/>
          <w:iCs w:val="0"/>
          <w:caps w:val="0"/>
          <w:color w:val="auto"/>
          <w:spacing w:val="0"/>
          <w:kern w:val="0"/>
          <w:sz w:val="24"/>
          <w:szCs w:val="24"/>
          <w:highlight w:val="none"/>
          <w:shd w:val="clear" w:color="auto" w:fill="FFFFFF"/>
          <w:lang w:val="en-US" w:eastAsia="zh-CN"/>
        </w:rPr>
        <w:sectPr>
          <w:footerReference r:id="rId10" w:type="default"/>
          <w:pgSz w:w="11906" w:h="16839"/>
          <w:pgMar w:top="1431" w:right="1698" w:bottom="1094" w:left="1785" w:header="0" w:footer="915" w:gutter="0"/>
          <w:pgNumType w:fmt="decimal"/>
          <w:cols w:space="720" w:num="1"/>
        </w:sectPr>
      </w:pPr>
    </w:p>
    <w:p w14:paraId="59755033">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2" w:firstLineChars="200"/>
        <w:jc w:val="left"/>
        <w:textAlignment w:val="auto"/>
        <w:outlineLvl w:val="9"/>
        <w:rPr>
          <w:rFonts w:hint="eastAsia" w:ascii="仿宋" w:hAnsi="仿宋" w:eastAsia="仿宋" w:cs="仿宋"/>
          <w:i w:val="0"/>
          <w:iCs w:val="0"/>
          <w:caps w:val="0"/>
          <w:color w:val="auto"/>
          <w:spacing w:val="0"/>
          <w:kern w:val="0"/>
          <w:sz w:val="24"/>
          <w:szCs w:val="24"/>
          <w:highlight w:val="none"/>
          <w:shd w:val="clear" w:color="auto" w:fill="FFFFFF"/>
          <w:lang w:val="en-US" w:eastAsia="zh-CN"/>
        </w:rPr>
      </w:pPr>
      <w:r>
        <w:rPr>
          <w:rFonts w:hint="eastAsia" w:ascii="仿宋" w:hAnsi="仿宋" w:eastAsia="仿宋" w:cs="仿宋"/>
          <w:b/>
          <w:bCs/>
          <w:i w:val="0"/>
          <w:iCs w:val="0"/>
          <w:caps w:val="0"/>
          <w:color w:val="auto"/>
          <w:spacing w:val="0"/>
          <w:kern w:val="0"/>
          <w:sz w:val="24"/>
          <w:szCs w:val="24"/>
          <w:highlight w:val="none"/>
          <w:shd w:val="clear" w:color="auto" w:fill="FFFFFF"/>
          <w:lang w:val="en-US" w:eastAsia="zh-CN"/>
        </w:rPr>
        <w:t>说明：</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上述标准参照《关于印发中小企业划型标准规定的通知》（工信部联企业[2011]300号），大型、中型和小型企业须同时满足所列指标的下限，否则下划一档；微型企业只须满足所列指标中的一项即可。</w:t>
      </w:r>
    </w:p>
    <w:p w14:paraId="6D0F2569">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outlineLvl w:val="9"/>
        <w:rPr>
          <w:rFonts w:hint="eastAsia" w:ascii="仿宋" w:hAnsi="仿宋" w:eastAsia="仿宋" w:cs="仿宋"/>
          <w:i w:val="0"/>
          <w:iCs w:val="0"/>
          <w:caps w:val="0"/>
          <w:color w:val="auto"/>
          <w:spacing w:val="0"/>
          <w:kern w:val="0"/>
          <w:sz w:val="24"/>
          <w:szCs w:val="24"/>
          <w:highlight w:val="none"/>
          <w:shd w:val="clear" w:color="auto" w:fill="FFFFFF"/>
          <w:lang w:val="en-US" w:eastAsia="zh-CN"/>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291E873F">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outlineLvl w:val="9"/>
        <w:rPr>
          <w:rFonts w:hint="eastAsia" w:ascii="仿宋" w:hAnsi="仿宋" w:eastAsia="仿宋" w:cs="仿宋"/>
          <w:i w:val="0"/>
          <w:iCs w:val="0"/>
          <w:caps w:val="0"/>
          <w:color w:val="auto"/>
          <w:spacing w:val="0"/>
          <w:kern w:val="0"/>
          <w:sz w:val="24"/>
          <w:szCs w:val="24"/>
          <w:highlight w:val="none"/>
          <w:shd w:val="clear" w:color="auto" w:fill="FFFFFF"/>
          <w:lang w:val="en-US" w:eastAsia="zh-CN"/>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（1）在货物采购项目中，货物由中小企业制造，即货物由中小企业生产且使用该中小企业商号或者注册商标，不对其中涉及的工程承建商和服务的承接商作出要求；</w:t>
      </w:r>
    </w:p>
    <w:p w14:paraId="37D4B175">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outlineLvl w:val="9"/>
        <w:rPr>
          <w:rFonts w:hint="eastAsia" w:ascii="仿宋" w:hAnsi="仿宋" w:eastAsia="仿宋" w:cs="仿宋"/>
          <w:i w:val="0"/>
          <w:iCs w:val="0"/>
          <w:caps w:val="0"/>
          <w:color w:val="auto"/>
          <w:spacing w:val="0"/>
          <w:kern w:val="0"/>
          <w:sz w:val="24"/>
          <w:szCs w:val="24"/>
          <w:highlight w:val="none"/>
          <w:shd w:val="clear" w:color="auto" w:fill="FFFFFF"/>
          <w:lang w:val="en-US" w:eastAsia="zh-CN"/>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（2）在工程采购项目中，工程由中小企业承建，即工程施工单位为中小企业，不对其中涉及的货物的制造商和服务的承接商作出要求；</w:t>
      </w:r>
    </w:p>
    <w:p w14:paraId="272846A8">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outlineLvl w:val="9"/>
        <w:rPr>
          <w:rFonts w:hint="eastAsia" w:ascii="仿宋" w:hAnsi="仿宋" w:eastAsia="仿宋" w:cs="仿宋"/>
          <w:i w:val="0"/>
          <w:iCs w:val="0"/>
          <w:caps w:val="0"/>
          <w:color w:val="auto"/>
          <w:spacing w:val="0"/>
          <w:kern w:val="0"/>
          <w:sz w:val="24"/>
          <w:szCs w:val="24"/>
          <w:highlight w:val="none"/>
          <w:shd w:val="clear" w:color="auto" w:fill="FFFFFF"/>
          <w:lang w:val="en-US" w:eastAsia="zh-CN"/>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（3）在服务采购项目中，服务由中小企业承接，即提供服务的人员为中小企业依照《中华人民共和国劳动合同法》订立劳动合同的从业人员，不对其中涉及的货物的制造商和工程承建商作出要求。</w:t>
      </w:r>
    </w:p>
    <w:p w14:paraId="5009DF05">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outlineLvl w:val="9"/>
        <w:rPr>
          <w:rFonts w:hint="eastAsia" w:ascii="仿宋" w:hAnsi="仿宋" w:eastAsia="仿宋" w:cs="仿宋"/>
          <w:i w:val="0"/>
          <w:iCs w:val="0"/>
          <w:caps w:val="0"/>
          <w:color w:val="auto"/>
          <w:spacing w:val="0"/>
          <w:kern w:val="0"/>
          <w:sz w:val="24"/>
          <w:szCs w:val="24"/>
          <w:highlight w:val="none"/>
          <w:shd w:val="clear" w:color="auto" w:fill="FFFFFF"/>
          <w:lang w:val="en-US" w:eastAsia="zh-CN"/>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2B2F0041">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outlineLvl w:val="9"/>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依据本招标文件规定享受扶持政策获得政府采购合同的，小微企业不得将合同分包给大中型企业，中型企业不得将合同分包给大型企业。</w:t>
      </w:r>
    </w:p>
    <w:p w14:paraId="08D60F2A">
      <w:pPr>
        <w:pStyle w:val="4"/>
        <w:spacing w:before="0" w:line="240" w:lineRule="atLeast"/>
        <w:ind w:left="1080" w:leftChars="257" w:hanging="540"/>
        <w:rPr>
          <w:rFonts w:hint="eastAsia" w:ascii="仿宋" w:hAnsi="仿宋" w:eastAsia="仿宋" w:cs="仿宋"/>
          <w:b/>
          <w:bCs/>
          <w:color w:val="auto"/>
          <w:kern w:val="2"/>
          <w:sz w:val="24"/>
          <w:szCs w:val="24"/>
          <w:highlight w:val="none"/>
          <w:lang w:val="en-US" w:eastAsia="zh-CN" w:bidi="ar-SA"/>
        </w:rPr>
      </w:pPr>
    </w:p>
    <w:p w14:paraId="2C729228">
      <w:pPr>
        <w:keepNext w:val="0"/>
        <w:keepLines w:val="0"/>
        <w:widowControl/>
        <w:suppressLineNumbers w:val="0"/>
        <w:shd w:val="clear" w:color="auto" w:fill="FFFFFF"/>
        <w:spacing w:before="100" w:beforeAutospacing="1" w:after="100" w:afterAutospacing="1" w:line="435" w:lineRule="atLeast"/>
        <w:ind w:right="0"/>
        <w:jc w:val="center"/>
        <w:rPr>
          <w:rFonts w:hint="eastAsia" w:ascii="仿宋" w:hAnsi="仿宋" w:eastAsia="仿宋" w:cs="仿宋"/>
          <w:b/>
          <w:bCs/>
          <w:color w:val="auto"/>
          <w:kern w:val="2"/>
          <w:sz w:val="24"/>
          <w:szCs w:val="24"/>
          <w:highlight w:val="none"/>
          <w:lang w:val="en-US" w:eastAsia="zh-CN" w:bidi="ar-SA"/>
        </w:rPr>
      </w:pPr>
    </w:p>
    <w:p w14:paraId="634123D3">
      <w:pPr>
        <w:keepNext w:val="0"/>
        <w:keepLines w:val="0"/>
        <w:widowControl/>
        <w:suppressLineNumbers w:val="0"/>
        <w:shd w:val="clear" w:color="auto" w:fill="FFFFFF"/>
        <w:spacing w:before="100" w:beforeAutospacing="1" w:after="100" w:afterAutospacing="1" w:line="435" w:lineRule="atLeast"/>
        <w:ind w:right="0"/>
        <w:jc w:val="center"/>
        <w:rPr>
          <w:rFonts w:hint="eastAsia" w:ascii="仿宋" w:hAnsi="仿宋" w:eastAsia="仿宋" w:cs="仿宋"/>
          <w:b/>
          <w:bCs/>
          <w:color w:val="auto"/>
          <w:kern w:val="2"/>
          <w:sz w:val="24"/>
          <w:szCs w:val="24"/>
          <w:highlight w:val="none"/>
          <w:lang w:val="en-US" w:eastAsia="zh-CN" w:bidi="ar-SA"/>
        </w:rPr>
      </w:pPr>
    </w:p>
    <w:p w14:paraId="2680E4A1">
      <w:pPr>
        <w:keepNext w:val="0"/>
        <w:keepLines w:val="0"/>
        <w:widowControl/>
        <w:suppressLineNumbers w:val="0"/>
        <w:shd w:val="clear" w:color="auto" w:fill="FFFFFF"/>
        <w:spacing w:beforeAutospacing="0" w:afterAutospacing="0" w:line="240" w:lineRule="auto"/>
        <w:ind w:right="0"/>
        <w:jc w:val="center"/>
        <w:rPr>
          <w:rFonts w:hint="eastAsia" w:ascii="仿宋" w:hAnsi="仿宋" w:eastAsia="仿宋" w:cs="仿宋"/>
          <w:b/>
          <w:bCs/>
          <w:color w:val="auto"/>
          <w:kern w:val="2"/>
          <w:sz w:val="24"/>
          <w:szCs w:val="24"/>
          <w:highlight w:val="none"/>
          <w:lang w:val="en-US" w:eastAsia="zh-CN" w:bidi="ar-SA"/>
        </w:rPr>
        <w:sectPr>
          <w:footerReference r:id="rId11" w:type="default"/>
          <w:pgSz w:w="11906" w:h="16839"/>
          <w:pgMar w:top="1431" w:right="1698" w:bottom="1094" w:left="1785" w:header="0" w:footer="915" w:gutter="0"/>
          <w:pgNumType w:fmt="decimal"/>
          <w:cols w:space="720" w:num="1"/>
        </w:sectPr>
      </w:pPr>
    </w:p>
    <w:p w14:paraId="741D7623">
      <w:pPr>
        <w:pStyle w:val="2"/>
        <w:keepNext w:val="0"/>
        <w:keepLines w:val="0"/>
        <w:pageBreakBefore w:val="0"/>
        <w:widowControl w:val="0"/>
        <w:tabs>
          <w:tab w:val="left" w:pos="567"/>
        </w:tabs>
        <w:kinsoku/>
        <w:wordWrap/>
        <w:overflowPunct/>
        <w:topLinePunct w:val="0"/>
        <w:autoSpaceDE/>
        <w:autoSpaceDN/>
        <w:bidi w:val="0"/>
        <w:adjustRightInd/>
        <w:snapToGrid/>
        <w:spacing w:before="249" w:line="228" w:lineRule="auto"/>
        <w:jc w:val="center"/>
        <w:textAlignment w:val="auto"/>
        <w:outlineLvl w:val="2"/>
        <w:rPr>
          <w:rFonts w:hint="eastAsia" w:ascii="仿宋" w:hAnsi="仿宋" w:eastAsia="仿宋" w:cs="仿宋"/>
          <w:b/>
          <w:color w:val="auto"/>
          <w:kern w:val="0"/>
          <w:sz w:val="32"/>
          <w:szCs w:val="32"/>
          <w:highlight w:val="none"/>
          <w:u w:val="none"/>
          <w:lang w:val="en-US" w:eastAsia="zh-CN" w:bidi="ar-SA"/>
        </w:rPr>
      </w:pPr>
      <w:bookmarkStart w:id="315" w:name="_Toc3941"/>
      <w:bookmarkStart w:id="316" w:name="_Toc5702"/>
      <w:r>
        <w:rPr>
          <w:rFonts w:hint="eastAsia" w:ascii="仿宋" w:hAnsi="仿宋" w:eastAsia="仿宋" w:cs="仿宋"/>
          <w:b/>
          <w:bCs w:val="0"/>
          <w:snapToGrid w:val="0"/>
          <w:color w:val="000000"/>
          <w:kern w:val="0"/>
          <w:sz w:val="32"/>
          <w:szCs w:val="32"/>
          <w:highlight w:val="none"/>
          <w:u w:val="none"/>
          <w:lang w:val="en-US" w:eastAsia="zh-CN" w:bidi="ar-SA"/>
        </w:rPr>
        <w:t>9-2  （监狱企业适用）</w:t>
      </w:r>
      <w:bookmarkEnd w:id="315"/>
      <w:bookmarkEnd w:id="316"/>
    </w:p>
    <w:p w14:paraId="2BBDF54C">
      <w:pPr>
        <w:pStyle w:val="21"/>
        <w:keepNext w:val="0"/>
        <w:keepLines w:val="0"/>
        <w:widowControl/>
        <w:suppressLineNumbers w:val="0"/>
        <w:spacing w:before="75" w:beforeAutospacing="0" w:after="75" w:afterAutospacing="0" w:line="420" w:lineRule="atLeast"/>
        <w:ind w:left="0" w:right="0" w:firstLine="480" w:firstLineChars="20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本公司郑重声明，根据《关于政府采购支持监狱企业发展有关问题的通知》（财库[2014]68号）的规定，本公司为监狱企业。</w:t>
      </w:r>
    </w:p>
    <w:p w14:paraId="3D1FD344">
      <w:pPr>
        <w:pStyle w:val="21"/>
        <w:keepNext w:val="0"/>
        <w:keepLines w:val="0"/>
        <w:widowControl/>
        <w:suppressLineNumbers w:val="0"/>
        <w:spacing w:before="75" w:beforeAutospacing="0" w:after="75" w:afterAutospacing="0" w:line="420" w:lineRule="atLeast"/>
        <w:ind w:left="0" w:right="0" w:firstLine="480" w:firstLineChars="20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本公司参加______单位的______项目采购活动，采购活动提供本企业（填写制造的货物，由本企业承担工程、提供服务）。</w:t>
      </w:r>
    </w:p>
    <w:p w14:paraId="66863983">
      <w:pPr>
        <w:pStyle w:val="21"/>
        <w:keepNext w:val="0"/>
        <w:keepLines w:val="0"/>
        <w:widowControl/>
        <w:suppressLineNumbers w:val="0"/>
        <w:spacing w:before="75" w:beforeAutospacing="0" w:after="75" w:afterAutospacing="0" w:line="420" w:lineRule="atLeast"/>
        <w:ind w:left="0" w:right="0" w:firstLine="480" w:firstLineChars="20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本条所称货物不包括使用大型企业注册商标的货物和服务。</w:t>
      </w:r>
    </w:p>
    <w:p w14:paraId="38596346">
      <w:pPr>
        <w:pStyle w:val="21"/>
        <w:keepNext w:val="0"/>
        <w:keepLines w:val="0"/>
        <w:widowControl/>
        <w:suppressLineNumbers w:val="0"/>
        <w:spacing w:before="75" w:beforeAutospacing="0" w:after="75" w:afterAutospacing="0" w:line="420" w:lineRule="atLeast"/>
        <w:ind w:left="0" w:right="0" w:firstLine="480" w:firstLineChars="20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本公司对上述声明的真实性负责。如有虚假，将依法承担相应责任。</w:t>
      </w:r>
    </w:p>
    <w:p w14:paraId="130C75D1">
      <w:pPr>
        <w:pStyle w:val="21"/>
        <w:keepNext w:val="0"/>
        <w:keepLines w:val="0"/>
        <w:widowControl/>
        <w:suppressLineNumbers w:val="0"/>
        <w:spacing w:before="75" w:beforeAutospacing="0" w:after="75" w:afterAutospacing="0" w:line="420" w:lineRule="atLeast"/>
        <w:ind w:left="0" w:right="0" w:firstLine="0"/>
        <w:jc w:val="left"/>
        <w:rPr>
          <w:rFonts w:hint="eastAsia" w:ascii="仿宋" w:hAnsi="仿宋" w:eastAsia="仿宋" w:cs="仿宋"/>
          <w:i w:val="0"/>
          <w:iCs w:val="0"/>
          <w:caps w:val="0"/>
          <w:color w:val="auto"/>
          <w:spacing w:val="0"/>
          <w:sz w:val="24"/>
          <w:szCs w:val="24"/>
          <w:highlight w:val="none"/>
        </w:rPr>
      </w:pPr>
    </w:p>
    <w:p w14:paraId="28CB335F">
      <w:pPr>
        <w:pStyle w:val="21"/>
        <w:keepNext w:val="0"/>
        <w:keepLines w:val="0"/>
        <w:widowControl/>
        <w:suppressLineNumbers w:val="0"/>
        <w:spacing w:before="75" w:beforeAutospacing="0" w:after="75" w:afterAutospacing="0" w:line="420" w:lineRule="atLeast"/>
        <w:ind w:left="0" w:right="0" w:firstLine="480" w:firstLineChars="20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企业名称（加盖公章）：</w:t>
      </w:r>
    </w:p>
    <w:p w14:paraId="54B86AEA">
      <w:pPr>
        <w:pStyle w:val="21"/>
        <w:keepNext w:val="0"/>
        <w:keepLines w:val="0"/>
        <w:widowControl/>
        <w:suppressLineNumbers w:val="0"/>
        <w:spacing w:before="75" w:beforeAutospacing="0" w:after="75" w:afterAutospacing="0" w:line="420" w:lineRule="atLeast"/>
        <w:ind w:left="0" w:right="0" w:firstLine="480" w:firstLineChars="20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法定代表人（负责人）或其授权代表</w:t>
      </w:r>
      <w:r>
        <w:rPr>
          <w:rFonts w:hint="eastAsia" w:ascii="仿宋" w:hAnsi="仿宋" w:eastAsia="仿宋" w:cs="仿宋"/>
          <w:sz w:val="24"/>
          <w:szCs w:val="24"/>
          <w:highlight w:val="none"/>
        </w:rPr>
        <w:t>（签字或签章）</w:t>
      </w:r>
      <w:r>
        <w:rPr>
          <w:rFonts w:hint="eastAsia" w:ascii="仿宋" w:hAnsi="仿宋" w:eastAsia="仿宋" w:cs="仿宋"/>
          <w:i w:val="0"/>
          <w:iCs w:val="0"/>
          <w:caps w:val="0"/>
          <w:color w:val="auto"/>
          <w:spacing w:val="0"/>
          <w:sz w:val="24"/>
          <w:szCs w:val="24"/>
          <w:highlight w:val="none"/>
        </w:rPr>
        <w:t>：</w:t>
      </w:r>
    </w:p>
    <w:p w14:paraId="5F4C6A22">
      <w:pPr>
        <w:pStyle w:val="21"/>
        <w:keepNext w:val="0"/>
        <w:keepLines w:val="0"/>
        <w:widowControl/>
        <w:suppressLineNumbers w:val="0"/>
        <w:spacing w:before="75" w:beforeAutospacing="0" w:after="75" w:afterAutospacing="0" w:line="420" w:lineRule="atLeast"/>
        <w:ind w:left="0" w:right="0" w:firstLine="480" w:firstLineChars="20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日期：</w:t>
      </w:r>
    </w:p>
    <w:p w14:paraId="72034283">
      <w:pPr>
        <w:pStyle w:val="21"/>
        <w:keepNext w:val="0"/>
        <w:keepLines w:val="0"/>
        <w:widowControl/>
        <w:suppressLineNumbers w:val="0"/>
        <w:spacing w:before="75" w:beforeAutospacing="0" w:after="75" w:afterAutospacing="0" w:line="420" w:lineRule="atLeast"/>
        <w:ind w:left="0" w:right="0" w:firstLine="0"/>
        <w:jc w:val="left"/>
        <w:rPr>
          <w:rFonts w:hint="eastAsia" w:ascii="仿宋" w:hAnsi="仿宋" w:eastAsia="仿宋" w:cs="仿宋"/>
          <w:i w:val="0"/>
          <w:iCs w:val="0"/>
          <w:caps w:val="0"/>
          <w:color w:val="auto"/>
          <w:spacing w:val="0"/>
          <w:sz w:val="24"/>
          <w:szCs w:val="24"/>
          <w:highlight w:val="none"/>
        </w:rPr>
      </w:pPr>
    </w:p>
    <w:p w14:paraId="5DDA701B">
      <w:pPr>
        <w:pStyle w:val="21"/>
        <w:keepNext w:val="0"/>
        <w:keepLines w:val="0"/>
        <w:widowControl/>
        <w:suppressLineNumbers w:val="0"/>
        <w:spacing w:before="75" w:beforeAutospacing="0" w:after="75" w:afterAutospacing="0" w:line="420" w:lineRule="atLeast"/>
        <w:ind w:left="0" w:right="0" w:firstLine="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注：后附监狱企业资格证明文件</w:t>
      </w:r>
    </w:p>
    <w:p w14:paraId="154A3C02">
      <w:pPr>
        <w:pStyle w:val="21"/>
        <w:keepNext w:val="0"/>
        <w:keepLines w:val="0"/>
        <w:widowControl/>
        <w:suppressLineNumbers w:val="0"/>
        <w:spacing w:before="75" w:beforeAutospacing="0" w:after="75" w:afterAutospacing="0" w:line="420" w:lineRule="atLeast"/>
        <w:ind w:left="0" w:right="0" w:firstLine="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 省级以上监狱管理局、戒毒管理局（含新疆生产建设兵团）出具的属于监狱企业的证明文件；</w:t>
      </w:r>
    </w:p>
    <w:p w14:paraId="20B3CFB0">
      <w:pPr>
        <w:pStyle w:val="21"/>
        <w:keepNext w:val="0"/>
        <w:keepLines w:val="0"/>
        <w:widowControl/>
        <w:suppressLineNumbers w:val="0"/>
        <w:spacing w:before="75" w:beforeAutospacing="0" w:after="75" w:afterAutospacing="0" w:line="420" w:lineRule="atLeast"/>
        <w:ind w:left="0" w:right="0" w:firstLine="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2.证明材料加盖供应商公章。</w:t>
      </w:r>
    </w:p>
    <w:p w14:paraId="5581DE79">
      <w:pPr>
        <w:pStyle w:val="21"/>
        <w:keepNext w:val="0"/>
        <w:keepLines w:val="0"/>
        <w:widowControl/>
        <w:suppressLineNumbers w:val="0"/>
        <w:spacing w:before="75" w:beforeAutospacing="0" w:after="75" w:afterAutospacing="0" w:line="420" w:lineRule="atLeast"/>
        <w:ind w:left="0" w:right="0" w:firstLine="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（若</w:t>
      </w:r>
      <w:r>
        <w:rPr>
          <w:rFonts w:hint="eastAsia" w:ascii="仿宋" w:hAnsi="仿宋" w:eastAsia="仿宋" w:cs="仿宋"/>
          <w:i w:val="0"/>
          <w:iCs w:val="0"/>
          <w:caps w:val="0"/>
          <w:color w:val="auto"/>
          <w:spacing w:val="0"/>
          <w:sz w:val="24"/>
          <w:szCs w:val="24"/>
          <w:highlight w:val="none"/>
          <w:lang w:val="en-US" w:eastAsia="zh-CN"/>
        </w:rPr>
        <w:t>响应文件</w:t>
      </w:r>
      <w:r>
        <w:rPr>
          <w:rFonts w:hint="eastAsia" w:ascii="仿宋" w:hAnsi="仿宋" w:eastAsia="仿宋" w:cs="仿宋"/>
          <w:i w:val="0"/>
          <w:iCs w:val="0"/>
          <w:caps w:val="0"/>
          <w:color w:val="auto"/>
          <w:spacing w:val="0"/>
          <w:sz w:val="24"/>
          <w:szCs w:val="24"/>
          <w:highlight w:val="none"/>
        </w:rPr>
        <w:t>中无上述证明文件，</w:t>
      </w:r>
      <w:r>
        <w:rPr>
          <w:rFonts w:hint="eastAsia" w:ascii="仿宋" w:hAnsi="仿宋" w:eastAsia="仿宋" w:cs="仿宋"/>
          <w:i w:val="0"/>
          <w:iCs w:val="0"/>
          <w:caps w:val="0"/>
          <w:color w:val="auto"/>
          <w:spacing w:val="0"/>
          <w:sz w:val="24"/>
          <w:szCs w:val="24"/>
          <w:highlight w:val="none"/>
          <w:lang w:val="en-US" w:eastAsia="zh-CN"/>
        </w:rPr>
        <w:t>不视为中小微型企业，</w:t>
      </w:r>
      <w:r>
        <w:rPr>
          <w:rFonts w:hint="eastAsia" w:ascii="仿宋" w:hAnsi="仿宋" w:eastAsia="仿宋" w:cs="仿宋"/>
          <w:i w:val="0"/>
          <w:iCs w:val="0"/>
          <w:caps w:val="0"/>
          <w:color w:val="auto"/>
          <w:spacing w:val="0"/>
          <w:sz w:val="24"/>
          <w:szCs w:val="24"/>
          <w:highlight w:val="none"/>
        </w:rPr>
        <w:t xml:space="preserve">则在评审时不考虑对该监狱企业的相关优惠。） </w:t>
      </w:r>
    </w:p>
    <w:p w14:paraId="05A17D09">
      <w:pPr>
        <w:rPr>
          <w:rFonts w:hint="eastAsia" w:ascii="仿宋" w:hAnsi="仿宋" w:eastAsia="仿宋" w:cs="仿宋"/>
          <w:i w:val="0"/>
          <w:iCs w:val="0"/>
          <w:caps w:val="0"/>
          <w:color w:val="auto"/>
          <w:spacing w:val="0"/>
          <w:sz w:val="24"/>
          <w:szCs w:val="24"/>
          <w:highlight w:val="none"/>
        </w:rPr>
      </w:pPr>
    </w:p>
    <w:p w14:paraId="4E6ED438">
      <w:pPr>
        <w:pStyle w:val="5"/>
        <w:rPr>
          <w:rFonts w:hint="eastAsia" w:ascii="仿宋" w:hAnsi="仿宋" w:eastAsia="仿宋" w:cs="仿宋"/>
          <w:color w:val="auto"/>
          <w:sz w:val="24"/>
          <w:szCs w:val="24"/>
          <w:highlight w:val="none"/>
        </w:rPr>
      </w:pPr>
    </w:p>
    <w:p w14:paraId="29F2DA24">
      <w:pPr>
        <w:snapToGrid w:val="0"/>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4"/>
          <w:szCs w:val="24"/>
          <w:highlight w:val="none"/>
        </w:rPr>
      </w:pPr>
    </w:p>
    <w:p w14:paraId="54ECB2E0">
      <w:pPr>
        <w:pStyle w:val="7"/>
        <w:rPr>
          <w:rFonts w:hint="eastAsia" w:ascii="仿宋" w:hAnsi="仿宋" w:eastAsia="仿宋" w:cs="仿宋"/>
          <w:b w:val="0"/>
          <w:i w:val="0"/>
          <w:caps w:val="0"/>
          <w:color w:val="auto"/>
          <w:spacing w:val="0"/>
          <w:w w:val="100"/>
          <w:sz w:val="24"/>
          <w:szCs w:val="24"/>
          <w:highlight w:val="none"/>
        </w:rPr>
      </w:pPr>
    </w:p>
    <w:p w14:paraId="3AD877FC">
      <w:pPr>
        <w:pStyle w:val="8"/>
        <w:rPr>
          <w:rFonts w:hint="eastAsia" w:ascii="仿宋" w:hAnsi="仿宋" w:eastAsia="仿宋" w:cs="仿宋"/>
          <w:b w:val="0"/>
          <w:i w:val="0"/>
          <w:caps w:val="0"/>
          <w:color w:val="auto"/>
          <w:spacing w:val="0"/>
          <w:w w:val="100"/>
          <w:sz w:val="24"/>
          <w:szCs w:val="24"/>
          <w:highlight w:val="none"/>
        </w:rPr>
      </w:pPr>
    </w:p>
    <w:p w14:paraId="17D335AE">
      <w:pPr>
        <w:rPr>
          <w:rFonts w:hint="eastAsia" w:ascii="仿宋" w:hAnsi="仿宋" w:eastAsia="仿宋" w:cs="仿宋"/>
          <w:b w:val="0"/>
          <w:i w:val="0"/>
          <w:caps w:val="0"/>
          <w:color w:val="auto"/>
          <w:spacing w:val="0"/>
          <w:w w:val="100"/>
          <w:sz w:val="24"/>
          <w:szCs w:val="24"/>
          <w:highlight w:val="none"/>
        </w:rPr>
      </w:pPr>
    </w:p>
    <w:p w14:paraId="26186285">
      <w:pPr>
        <w:pStyle w:val="7"/>
        <w:rPr>
          <w:rFonts w:hint="eastAsia" w:ascii="仿宋" w:hAnsi="仿宋" w:eastAsia="仿宋" w:cs="仿宋"/>
          <w:b w:val="0"/>
          <w:i w:val="0"/>
          <w:caps w:val="0"/>
          <w:color w:val="auto"/>
          <w:spacing w:val="0"/>
          <w:w w:val="100"/>
          <w:sz w:val="24"/>
          <w:szCs w:val="24"/>
          <w:highlight w:val="none"/>
        </w:rPr>
      </w:pPr>
    </w:p>
    <w:p w14:paraId="2D587EA7">
      <w:pPr>
        <w:pStyle w:val="8"/>
        <w:rPr>
          <w:rFonts w:hint="eastAsia" w:ascii="仿宋" w:hAnsi="仿宋" w:eastAsia="仿宋" w:cs="仿宋"/>
          <w:b w:val="0"/>
          <w:i w:val="0"/>
          <w:caps w:val="0"/>
          <w:color w:val="auto"/>
          <w:spacing w:val="0"/>
          <w:w w:val="100"/>
          <w:sz w:val="24"/>
          <w:szCs w:val="24"/>
          <w:highlight w:val="none"/>
        </w:rPr>
      </w:pPr>
    </w:p>
    <w:p w14:paraId="233879F3">
      <w:pPr>
        <w:rPr>
          <w:rFonts w:hint="eastAsia" w:ascii="仿宋" w:hAnsi="仿宋" w:eastAsia="仿宋" w:cs="仿宋"/>
          <w:b w:val="0"/>
          <w:i w:val="0"/>
          <w:caps w:val="0"/>
          <w:color w:val="auto"/>
          <w:spacing w:val="0"/>
          <w:w w:val="100"/>
          <w:sz w:val="24"/>
          <w:szCs w:val="24"/>
          <w:highlight w:val="none"/>
        </w:rPr>
      </w:pPr>
    </w:p>
    <w:p w14:paraId="02BDD797">
      <w:pPr>
        <w:pStyle w:val="7"/>
        <w:rPr>
          <w:rFonts w:hint="eastAsia" w:ascii="仿宋" w:hAnsi="仿宋" w:eastAsia="仿宋" w:cs="仿宋"/>
          <w:b w:val="0"/>
          <w:i w:val="0"/>
          <w:caps w:val="0"/>
          <w:color w:val="auto"/>
          <w:spacing w:val="0"/>
          <w:w w:val="100"/>
          <w:sz w:val="24"/>
          <w:szCs w:val="24"/>
          <w:highlight w:val="none"/>
        </w:rPr>
      </w:pPr>
    </w:p>
    <w:p w14:paraId="4B13A53A">
      <w:pPr>
        <w:pStyle w:val="8"/>
        <w:rPr>
          <w:rFonts w:hint="eastAsia" w:ascii="仿宋" w:hAnsi="仿宋" w:eastAsia="仿宋" w:cs="仿宋"/>
          <w:b w:val="0"/>
          <w:i w:val="0"/>
          <w:caps w:val="0"/>
          <w:color w:val="auto"/>
          <w:spacing w:val="0"/>
          <w:w w:val="100"/>
          <w:sz w:val="24"/>
          <w:szCs w:val="24"/>
          <w:highlight w:val="none"/>
        </w:rPr>
      </w:pPr>
    </w:p>
    <w:p w14:paraId="6B298311">
      <w:pPr>
        <w:rPr>
          <w:rFonts w:hint="eastAsia" w:ascii="仿宋" w:hAnsi="仿宋" w:eastAsia="仿宋" w:cs="仿宋"/>
          <w:b w:val="0"/>
          <w:i w:val="0"/>
          <w:caps w:val="0"/>
          <w:color w:val="auto"/>
          <w:spacing w:val="0"/>
          <w:w w:val="100"/>
          <w:sz w:val="24"/>
          <w:szCs w:val="24"/>
          <w:highlight w:val="none"/>
        </w:rPr>
      </w:pPr>
    </w:p>
    <w:p w14:paraId="541BF5EA">
      <w:pPr>
        <w:pStyle w:val="2"/>
        <w:tabs>
          <w:tab w:val="left" w:pos="567"/>
        </w:tabs>
        <w:rPr>
          <w:rFonts w:hint="eastAsia" w:ascii="仿宋" w:hAnsi="仿宋" w:eastAsia="仿宋" w:cs="仿宋"/>
          <w:color w:val="auto"/>
          <w:sz w:val="24"/>
          <w:szCs w:val="24"/>
          <w:highlight w:val="none"/>
        </w:rPr>
      </w:pPr>
    </w:p>
    <w:p w14:paraId="6CB0C68D">
      <w:pPr>
        <w:pStyle w:val="8"/>
        <w:rPr>
          <w:rFonts w:hint="eastAsia" w:ascii="仿宋" w:hAnsi="仿宋" w:eastAsia="仿宋" w:cs="仿宋"/>
          <w:color w:val="auto"/>
          <w:sz w:val="24"/>
          <w:szCs w:val="24"/>
          <w:highlight w:val="none"/>
        </w:rPr>
      </w:pPr>
    </w:p>
    <w:p w14:paraId="76C4DF1D">
      <w:pPr>
        <w:pStyle w:val="8"/>
        <w:rPr>
          <w:rFonts w:hint="eastAsia" w:ascii="仿宋" w:hAnsi="仿宋" w:eastAsia="仿宋" w:cs="仿宋"/>
          <w:color w:val="auto"/>
          <w:sz w:val="24"/>
          <w:szCs w:val="24"/>
          <w:highlight w:val="none"/>
        </w:rPr>
      </w:pPr>
    </w:p>
    <w:p w14:paraId="006EB76F">
      <w:pPr>
        <w:pStyle w:val="5"/>
        <w:jc w:val="center"/>
        <w:rPr>
          <w:rFonts w:hint="eastAsia" w:ascii="仿宋" w:hAnsi="仿宋" w:eastAsia="仿宋" w:cs="仿宋"/>
          <w:b/>
          <w:bCs w:val="0"/>
          <w:snapToGrid w:val="0"/>
          <w:color w:val="000000"/>
          <w:kern w:val="0"/>
          <w:sz w:val="32"/>
          <w:szCs w:val="32"/>
          <w:highlight w:val="none"/>
          <w:u w:val="none"/>
          <w:lang w:val="en-US" w:eastAsia="zh-CN" w:bidi="ar-SA"/>
        </w:rPr>
      </w:pPr>
      <w:bookmarkStart w:id="317" w:name="_Toc31498"/>
      <w:bookmarkStart w:id="318" w:name="_Toc9254"/>
      <w:bookmarkStart w:id="319" w:name="_Toc32108"/>
      <w:bookmarkStart w:id="320" w:name="_Toc26897"/>
      <w:bookmarkStart w:id="321" w:name="_Toc24603"/>
      <w:bookmarkStart w:id="322" w:name="_Toc4978"/>
      <w:bookmarkStart w:id="323" w:name="_Toc22731"/>
      <w:bookmarkStart w:id="324" w:name="_Toc15900"/>
      <w:bookmarkStart w:id="325" w:name="_Toc17001"/>
      <w:bookmarkStart w:id="326" w:name="_Toc23069"/>
      <w:bookmarkStart w:id="327" w:name="_Toc26954"/>
      <w:bookmarkStart w:id="328" w:name="_Toc2337"/>
      <w:bookmarkStart w:id="329" w:name="_Toc972"/>
      <w:r>
        <w:rPr>
          <w:rFonts w:hint="eastAsia" w:ascii="仿宋" w:hAnsi="仿宋" w:eastAsia="仿宋" w:cs="仿宋"/>
          <w:b/>
          <w:bCs w:val="0"/>
          <w:snapToGrid w:val="0"/>
          <w:color w:val="000000"/>
          <w:kern w:val="0"/>
          <w:sz w:val="32"/>
          <w:szCs w:val="32"/>
          <w:highlight w:val="none"/>
          <w:u w:val="none"/>
          <w:lang w:val="en-US" w:eastAsia="zh-CN" w:bidi="ar-SA"/>
        </w:rPr>
        <w:t>9-3  残疾人福利性单位声明函</w:t>
      </w:r>
      <w:bookmarkEnd w:id="317"/>
      <w:bookmarkEnd w:id="318"/>
      <w:bookmarkEnd w:id="319"/>
      <w:bookmarkEnd w:id="320"/>
      <w:bookmarkEnd w:id="321"/>
      <w:bookmarkEnd w:id="322"/>
      <w:bookmarkEnd w:id="323"/>
      <w:bookmarkEnd w:id="324"/>
      <w:bookmarkEnd w:id="325"/>
      <w:bookmarkEnd w:id="326"/>
      <w:bookmarkEnd w:id="327"/>
      <w:bookmarkEnd w:id="328"/>
      <w:bookmarkEnd w:id="329"/>
    </w:p>
    <w:p w14:paraId="0FD847C4">
      <w:pPr>
        <w:rPr>
          <w:rFonts w:hint="eastAsia" w:ascii="仿宋" w:hAnsi="仿宋" w:eastAsia="仿宋" w:cs="仿宋"/>
          <w:b/>
          <w:color w:val="auto"/>
          <w:kern w:val="0"/>
          <w:sz w:val="24"/>
          <w:szCs w:val="24"/>
          <w:highlight w:val="none"/>
          <w:u w:val="none"/>
          <w:lang w:val="en-US" w:eastAsia="zh-CN" w:bidi="ar-SA"/>
        </w:rPr>
      </w:pPr>
    </w:p>
    <w:p w14:paraId="65BA07CD">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本供应商郑重声明，根据《财政部民政部中国残疾人联合会关于促进残疾人就业政府采购政策的通知》（财库〔2017〕141 号）的规定，本供应商参加（采购人名称）的（项目名称）采购活动，提供的货物全部由符合政策要求的残疾人福利性单位制造。相关残疾人福利性单位的具体情况如下：</w:t>
      </w:r>
    </w:p>
    <w:p w14:paraId="07A694EF">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 （标的名称），制造商为（单位名称），属于残疾人福利性单位；</w:t>
      </w:r>
    </w:p>
    <w:p w14:paraId="6E669612">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 （标的名称），制造商为（单位名称），属于残疾人福利性单位。</w:t>
      </w:r>
    </w:p>
    <w:p w14:paraId="60F8A8EE">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 </w:t>
      </w:r>
    </w:p>
    <w:p w14:paraId="448DC762">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val="en-US" w:eastAsia="zh-CN" w:bidi="ar-SA"/>
        </w:rPr>
      </w:pPr>
      <w:bookmarkStart w:id="330" w:name="_Hlk73562331"/>
      <w:r>
        <w:rPr>
          <w:rFonts w:hint="eastAsia" w:ascii="仿宋" w:hAnsi="仿宋" w:eastAsia="仿宋" w:cs="仿宋"/>
          <w:i w:val="0"/>
          <w:iCs w:val="0"/>
          <w:caps w:val="0"/>
          <w:color w:val="auto"/>
          <w:spacing w:val="0"/>
          <w:kern w:val="0"/>
          <w:sz w:val="24"/>
          <w:szCs w:val="24"/>
          <w:highlight w:val="none"/>
          <w:lang w:val="en-US" w:eastAsia="zh-CN" w:bidi="ar-SA"/>
        </w:rPr>
        <w:t>本供应商已知悉《财政部民政部中国残疾人联合会关于促进残疾人就业政府采购政策的通知》（财库〔2017〕141 号）的规定，承诺提供的声明函内容是真实的，如提供声明函内容不实，则依法追究相关法律责任。</w:t>
      </w:r>
      <w:bookmarkEnd w:id="330"/>
    </w:p>
    <w:p w14:paraId="777F7747">
      <w:pPr>
        <w:spacing w:after="60" w:afterLines="25" w:line="300" w:lineRule="auto"/>
        <w:jc w:val="both"/>
        <w:rPr>
          <w:rFonts w:hint="eastAsia" w:ascii="仿宋" w:hAnsi="仿宋" w:eastAsia="仿宋" w:cs="仿宋"/>
          <w:i w:val="0"/>
          <w:iCs w:val="0"/>
          <w:caps w:val="0"/>
          <w:color w:val="auto"/>
          <w:spacing w:val="0"/>
          <w:kern w:val="0"/>
          <w:sz w:val="24"/>
          <w:szCs w:val="24"/>
          <w:highlight w:val="none"/>
          <w:lang w:val="en-US" w:eastAsia="zh-CN" w:bidi="ar-SA"/>
        </w:rPr>
      </w:pPr>
    </w:p>
    <w:p w14:paraId="4910B87C">
      <w:pPr>
        <w:spacing w:after="60" w:afterLines="25" w:line="300" w:lineRule="auto"/>
        <w:ind w:right="420" w:firstLine="5040" w:firstLineChars="210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供应商（投标单位）：</w:t>
      </w:r>
    </w:p>
    <w:p w14:paraId="4C101F6D">
      <w:pPr>
        <w:spacing w:after="60" w:afterLines="25" w:line="300" w:lineRule="auto"/>
        <w:ind w:right="420" w:firstLine="6600" w:firstLineChars="275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日期：</w:t>
      </w:r>
    </w:p>
    <w:p w14:paraId="44E75F2C">
      <w:pPr>
        <w:spacing w:after="60" w:afterLines="25" w:line="300" w:lineRule="auto"/>
        <w:jc w:val="left"/>
        <w:textAlignment w:val="auto"/>
        <w:rPr>
          <w:rFonts w:hint="eastAsia" w:ascii="仿宋" w:hAnsi="仿宋" w:eastAsia="仿宋" w:cs="仿宋"/>
          <w:b w:val="0"/>
          <w:bCs/>
          <w:color w:val="auto"/>
          <w:kern w:val="0"/>
          <w:sz w:val="24"/>
          <w:szCs w:val="24"/>
          <w:highlight w:val="none"/>
        </w:rPr>
      </w:pPr>
    </w:p>
    <w:p w14:paraId="5BF5B237">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bidi="ar-SA"/>
        </w:rPr>
      </w:pPr>
      <w:r>
        <w:rPr>
          <w:rFonts w:hint="eastAsia" w:ascii="仿宋" w:hAnsi="仿宋" w:eastAsia="仿宋" w:cs="仿宋"/>
          <w:i w:val="0"/>
          <w:iCs w:val="0"/>
          <w:caps w:val="0"/>
          <w:color w:val="auto"/>
          <w:spacing w:val="0"/>
          <w:kern w:val="0"/>
          <w:sz w:val="24"/>
          <w:szCs w:val="24"/>
          <w:highlight w:val="none"/>
          <w:lang w:bidi="ar-SA"/>
        </w:rPr>
        <w:t>说明：根据财库〔2017〕141号文件的规定,享受政府采购支持政策的残疾人福利性单位应当同时满足以下条件：</w:t>
      </w:r>
    </w:p>
    <w:p w14:paraId="05FAA972">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bidi="ar-SA"/>
        </w:rPr>
      </w:pPr>
      <w:r>
        <w:rPr>
          <w:rFonts w:hint="eastAsia" w:ascii="仿宋" w:hAnsi="仿宋" w:eastAsia="仿宋" w:cs="仿宋"/>
          <w:i w:val="0"/>
          <w:iCs w:val="0"/>
          <w:caps w:val="0"/>
          <w:color w:val="auto"/>
          <w:spacing w:val="0"/>
          <w:kern w:val="0"/>
          <w:sz w:val="24"/>
          <w:szCs w:val="24"/>
          <w:highlight w:val="none"/>
          <w:lang w:bidi="ar-SA"/>
        </w:rPr>
        <w:t>（一）安置的残疾人占本单位在职职工人数的比例不低于25%（含25%），并且安置的残疾人人数不少于10人（含10人）；</w:t>
      </w:r>
    </w:p>
    <w:p w14:paraId="4A1B5480">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bidi="ar-SA"/>
        </w:rPr>
      </w:pPr>
      <w:r>
        <w:rPr>
          <w:rFonts w:hint="eastAsia" w:ascii="仿宋" w:hAnsi="仿宋" w:eastAsia="仿宋" w:cs="仿宋"/>
          <w:i w:val="0"/>
          <w:iCs w:val="0"/>
          <w:caps w:val="0"/>
          <w:color w:val="auto"/>
          <w:spacing w:val="0"/>
          <w:kern w:val="0"/>
          <w:sz w:val="24"/>
          <w:szCs w:val="24"/>
          <w:highlight w:val="none"/>
          <w:lang w:bidi="ar-SA"/>
        </w:rPr>
        <w:t>（二）依法与安置的每位残疾人签订了一年以上（含一年）的劳动合同或服务协议；</w:t>
      </w:r>
    </w:p>
    <w:p w14:paraId="4E546BC4">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bidi="ar-SA"/>
        </w:rPr>
      </w:pPr>
      <w:r>
        <w:rPr>
          <w:rFonts w:hint="eastAsia" w:ascii="仿宋" w:hAnsi="仿宋" w:eastAsia="仿宋" w:cs="仿宋"/>
          <w:i w:val="0"/>
          <w:iCs w:val="0"/>
          <w:caps w:val="0"/>
          <w:color w:val="auto"/>
          <w:spacing w:val="0"/>
          <w:kern w:val="0"/>
          <w:sz w:val="24"/>
          <w:szCs w:val="24"/>
          <w:highlight w:val="none"/>
          <w:lang w:bidi="ar-SA"/>
        </w:rPr>
        <w:t>（三）为安置的每位残疾人按月足额缴纳了基本养老保险、基本医疗保险、失业保险、工伤保险和生育保险等社会保险费；</w:t>
      </w:r>
    </w:p>
    <w:p w14:paraId="429870E9">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bidi="ar-SA"/>
        </w:rPr>
      </w:pPr>
      <w:r>
        <w:rPr>
          <w:rFonts w:hint="eastAsia" w:ascii="仿宋" w:hAnsi="仿宋" w:eastAsia="仿宋" w:cs="仿宋"/>
          <w:i w:val="0"/>
          <w:iCs w:val="0"/>
          <w:caps w:val="0"/>
          <w:color w:val="auto"/>
          <w:spacing w:val="0"/>
          <w:kern w:val="0"/>
          <w:sz w:val="24"/>
          <w:szCs w:val="24"/>
          <w:highlight w:val="none"/>
          <w:lang w:bidi="ar-SA"/>
        </w:rPr>
        <w:t>（四）通过银行等金融机构向安置的每位残疾人，按月支付了不低于单位所在区县适用的经省级人民政府批准的月最低工资标准的工资；</w:t>
      </w:r>
    </w:p>
    <w:p w14:paraId="726EA0A0">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bidi="ar-SA"/>
        </w:rPr>
      </w:pPr>
      <w:r>
        <w:rPr>
          <w:rFonts w:hint="eastAsia" w:ascii="仿宋" w:hAnsi="仿宋" w:eastAsia="仿宋" w:cs="仿宋"/>
          <w:i w:val="0"/>
          <w:iCs w:val="0"/>
          <w:caps w:val="0"/>
          <w:color w:val="auto"/>
          <w:spacing w:val="0"/>
          <w:kern w:val="0"/>
          <w:sz w:val="24"/>
          <w:szCs w:val="24"/>
          <w:highlight w:val="none"/>
          <w:lang w:bidi="ar-SA"/>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F0B22DF">
      <w:pPr>
        <w:spacing w:line="219" w:lineRule="auto"/>
        <w:rPr>
          <w:rFonts w:hint="eastAsia" w:ascii="仿宋" w:hAnsi="仿宋" w:eastAsia="仿宋" w:cs="仿宋"/>
          <w:color w:val="auto"/>
          <w:sz w:val="24"/>
          <w:szCs w:val="24"/>
          <w:highlight w:val="none"/>
        </w:rPr>
        <w:sectPr>
          <w:footerReference r:id="rId12" w:type="default"/>
          <w:pgSz w:w="11906" w:h="16839"/>
          <w:pgMar w:top="1431" w:right="1698" w:bottom="1094" w:left="1785" w:header="0" w:footer="915" w:gutter="0"/>
          <w:pgNumType w:fmt="decimal"/>
          <w:cols w:space="720" w:num="1"/>
        </w:sectPr>
      </w:pPr>
    </w:p>
    <w:p w14:paraId="1D1B495A">
      <w:pPr>
        <w:pStyle w:val="5"/>
        <w:jc w:val="center"/>
        <w:rPr>
          <w:rFonts w:hint="eastAsia" w:ascii="仿宋" w:hAnsi="仿宋" w:eastAsia="仿宋" w:cs="仿宋"/>
          <w:b/>
          <w:bCs w:val="0"/>
          <w:snapToGrid w:val="0"/>
          <w:color w:val="000000"/>
          <w:kern w:val="0"/>
          <w:sz w:val="28"/>
          <w:szCs w:val="28"/>
          <w:highlight w:val="none"/>
          <w:u w:val="none"/>
          <w:lang w:val="en-US" w:eastAsia="zh-CN" w:bidi="ar-SA"/>
        </w:rPr>
      </w:pPr>
      <w:bookmarkStart w:id="331" w:name="_Toc26676"/>
      <w:r>
        <w:rPr>
          <w:rFonts w:hint="eastAsia" w:ascii="仿宋" w:hAnsi="仿宋" w:eastAsia="仿宋" w:cs="仿宋"/>
          <w:b/>
          <w:bCs w:val="0"/>
          <w:snapToGrid w:val="0"/>
          <w:color w:val="000000"/>
          <w:kern w:val="0"/>
          <w:sz w:val="32"/>
          <w:szCs w:val="32"/>
          <w:highlight w:val="none"/>
          <w:u w:val="none"/>
          <w:lang w:val="en-US" w:eastAsia="zh-CN" w:bidi="ar-SA"/>
        </w:rPr>
        <w:t>1</w:t>
      </w:r>
      <w:r>
        <w:rPr>
          <w:rFonts w:hint="eastAsia" w:ascii="仿宋" w:hAnsi="仿宋" w:eastAsia="仿宋" w:cs="仿宋"/>
          <w:b/>
          <w:bCs w:val="0"/>
          <w:snapToGrid w:val="0"/>
          <w:color w:val="000000"/>
          <w:kern w:val="0"/>
          <w:sz w:val="28"/>
          <w:szCs w:val="28"/>
          <w:highlight w:val="none"/>
          <w:u w:val="none"/>
          <w:lang w:val="en-US" w:eastAsia="zh-CN" w:bidi="ar-SA"/>
        </w:rPr>
        <w:t>0 投标单位（供应商）针对本次项目《反商业贿赂承诺书》</w:t>
      </w:r>
      <w:bookmarkEnd w:id="331"/>
    </w:p>
    <w:p w14:paraId="7C441AA8">
      <w:pPr>
        <w:ind w:firstLine="480" w:firstLineChars="200"/>
        <w:rPr>
          <w:rFonts w:hint="eastAsia" w:ascii="仿宋" w:hAnsi="仿宋" w:eastAsia="仿宋" w:cs="仿宋"/>
          <w:sz w:val="24"/>
          <w:szCs w:val="24"/>
          <w:highlight w:val="none"/>
        </w:rPr>
      </w:pPr>
    </w:p>
    <w:p w14:paraId="318398EC">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我公司承诺在</w:t>
      </w:r>
      <w:r>
        <w:rPr>
          <w:rFonts w:hint="eastAsia" w:ascii="仿宋" w:hAnsi="仿宋" w:eastAsia="仿宋" w:cs="仿宋"/>
          <w:sz w:val="24"/>
          <w:szCs w:val="24"/>
          <w:highlight w:val="none"/>
          <w:u w:val="single"/>
        </w:rPr>
        <w:t xml:space="preserve">  （项目名称）</w:t>
      </w:r>
      <w:r>
        <w:rPr>
          <w:rFonts w:hint="eastAsia" w:ascii="仿宋" w:hAnsi="仿宋" w:eastAsia="仿宋" w:cs="仿宋"/>
          <w:sz w:val="24"/>
          <w:szCs w:val="24"/>
          <w:highlight w:val="none"/>
        </w:rPr>
        <w:t>项目</w:t>
      </w:r>
      <w:r>
        <w:rPr>
          <w:rFonts w:hint="eastAsia" w:ascii="仿宋" w:hAnsi="仿宋" w:eastAsia="仿宋" w:cs="仿宋"/>
          <w:sz w:val="24"/>
          <w:szCs w:val="24"/>
          <w:highlight w:val="none"/>
          <w:u w:val="single"/>
        </w:rPr>
        <w:t xml:space="preserve">    （项目编号）  </w:t>
      </w:r>
      <w:r>
        <w:rPr>
          <w:rFonts w:hint="eastAsia" w:ascii="仿宋" w:hAnsi="仿宋" w:eastAsia="仿宋" w:cs="仿宋"/>
          <w:sz w:val="24"/>
          <w:szCs w:val="24"/>
          <w:highlight w:val="none"/>
        </w:rPr>
        <w:t>公开采购标活动中，不给予国家工作人员以及中介机构工作人员及其亲属各种形式的商业贿赂（包括送礼金礼品、有价证券、购物券、回扣、佣金、咨询费、劳务费、赞助费、宣传费、支付旅游费、报销各种消费凭证、宴请、娱乐等），如有上述行为，我公司及项目参与人员愿意按照《反不正当竞争法》的有关规定接受处罚。</w:t>
      </w:r>
    </w:p>
    <w:p w14:paraId="56E3A17B">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02910760">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投标单位名称:                    </w:t>
      </w:r>
    </w:p>
    <w:p w14:paraId="0C145AC8">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2053E7A7">
      <w:pPr>
        <w:rPr>
          <w:rFonts w:hint="eastAsia" w:ascii="仿宋" w:hAnsi="仿宋" w:eastAsia="仿宋" w:cs="仿宋"/>
          <w:sz w:val="24"/>
          <w:szCs w:val="24"/>
          <w:highlight w:val="none"/>
        </w:rPr>
      </w:pPr>
      <w:r>
        <w:rPr>
          <w:rFonts w:hint="eastAsia" w:ascii="仿宋" w:hAnsi="仿宋" w:eastAsia="仿宋" w:cs="仿宋"/>
          <w:sz w:val="24"/>
          <w:szCs w:val="24"/>
          <w:highlight w:val="none"/>
        </w:rPr>
        <w:t>投标单位法定代表人（签字或签章）：</w:t>
      </w:r>
    </w:p>
    <w:p w14:paraId="0248AC73">
      <w:pPr>
        <w:rPr>
          <w:rFonts w:hint="eastAsia" w:ascii="仿宋" w:hAnsi="仿宋" w:eastAsia="仿宋" w:cs="仿宋"/>
          <w:sz w:val="24"/>
          <w:szCs w:val="24"/>
          <w:highlight w:val="none"/>
        </w:rPr>
      </w:pPr>
    </w:p>
    <w:p w14:paraId="7C1B7877">
      <w:pPr>
        <w:rPr>
          <w:rFonts w:hint="eastAsia" w:ascii="仿宋" w:hAnsi="仿宋" w:eastAsia="仿宋" w:cs="仿宋"/>
          <w:sz w:val="24"/>
          <w:szCs w:val="24"/>
          <w:highlight w:val="none"/>
        </w:rPr>
      </w:pPr>
      <w:r>
        <w:rPr>
          <w:rFonts w:hint="eastAsia" w:ascii="仿宋" w:hAnsi="仿宋" w:eastAsia="仿宋" w:cs="仿宋"/>
          <w:sz w:val="24"/>
          <w:szCs w:val="24"/>
          <w:highlight w:val="none"/>
        </w:rPr>
        <w:t>委托代表人（签字或签章）：</w:t>
      </w:r>
    </w:p>
    <w:p w14:paraId="717DD8AB">
      <w:pPr>
        <w:rPr>
          <w:rFonts w:hint="eastAsia" w:ascii="仿宋" w:hAnsi="仿宋" w:eastAsia="仿宋" w:cs="仿宋"/>
          <w:sz w:val="24"/>
          <w:szCs w:val="24"/>
          <w:highlight w:val="none"/>
        </w:rPr>
      </w:pPr>
    </w:p>
    <w:p w14:paraId="7516205A">
      <w:pPr>
        <w:rPr>
          <w:rFonts w:hint="eastAsia" w:ascii="仿宋" w:hAnsi="仿宋" w:eastAsia="仿宋" w:cs="仿宋"/>
          <w:sz w:val="24"/>
          <w:szCs w:val="24"/>
          <w:highlight w:val="none"/>
        </w:rPr>
      </w:pPr>
      <w:r>
        <w:rPr>
          <w:rFonts w:hint="eastAsia" w:ascii="仿宋" w:hAnsi="仿宋" w:eastAsia="仿宋" w:cs="仿宋"/>
          <w:sz w:val="24"/>
          <w:szCs w:val="24"/>
          <w:highlight w:val="none"/>
        </w:rPr>
        <w:t>日期：  年  月  日</w:t>
      </w:r>
    </w:p>
    <w:p w14:paraId="1CCA53C4">
      <w:pPr>
        <w:pStyle w:val="4"/>
        <w:spacing w:before="0" w:line="240" w:lineRule="atLeast"/>
        <w:ind w:left="1079" w:leftChars="257" w:hanging="540"/>
        <w:rPr>
          <w:rFonts w:hint="eastAsia" w:ascii="仿宋" w:hAnsi="仿宋" w:eastAsia="仿宋" w:cs="仿宋"/>
          <w:sz w:val="24"/>
          <w:szCs w:val="24"/>
          <w:highlight w:val="none"/>
        </w:rPr>
      </w:pPr>
    </w:p>
    <w:p w14:paraId="3EF1B905">
      <w:pPr>
        <w:rPr>
          <w:rFonts w:hint="eastAsia" w:ascii="仿宋" w:hAnsi="仿宋" w:eastAsia="仿宋" w:cs="仿宋"/>
          <w:sz w:val="24"/>
          <w:szCs w:val="24"/>
          <w:highlight w:val="none"/>
        </w:rPr>
      </w:pPr>
    </w:p>
    <w:p w14:paraId="6BDCAC6F">
      <w:pPr>
        <w:rPr>
          <w:rFonts w:hint="eastAsia" w:ascii="仿宋" w:hAnsi="仿宋" w:eastAsia="仿宋" w:cs="仿宋"/>
          <w:sz w:val="24"/>
          <w:szCs w:val="24"/>
          <w:highlight w:val="none"/>
        </w:rPr>
      </w:pPr>
    </w:p>
    <w:p w14:paraId="02622D72">
      <w:pPr>
        <w:pStyle w:val="7"/>
        <w:rPr>
          <w:rFonts w:hint="eastAsia" w:ascii="仿宋" w:hAnsi="仿宋" w:eastAsia="仿宋" w:cs="仿宋"/>
          <w:sz w:val="24"/>
          <w:szCs w:val="24"/>
          <w:highlight w:val="none"/>
        </w:rPr>
      </w:pPr>
    </w:p>
    <w:p w14:paraId="22C0E72A">
      <w:pPr>
        <w:spacing w:line="240" w:lineRule="atLeast"/>
        <w:rPr>
          <w:rFonts w:hint="eastAsia" w:ascii="仿宋" w:hAnsi="仿宋" w:eastAsia="仿宋" w:cs="仿宋"/>
          <w:sz w:val="24"/>
          <w:szCs w:val="24"/>
          <w:highlight w:val="none"/>
        </w:rPr>
      </w:pPr>
    </w:p>
    <w:p w14:paraId="1B34D803">
      <w:pPr>
        <w:pStyle w:val="5"/>
        <w:jc w:val="center"/>
        <w:rPr>
          <w:rFonts w:hint="eastAsia" w:ascii="仿宋" w:hAnsi="仿宋" w:eastAsia="仿宋" w:cs="仿宋"/>
          <w:b/>
          <w:bCs w:val="0"/>
          <w:snapToGrid w:val="0"/>
          <w:color w:val="000000"/>
          <w:kern w:val="0"/>
          <w:sz w:val="28"/>
          <w:szCs w:val="28"/>
          <w:highlight w:val="none"/>
          <w:u w:val="none"/>
          <w:lang w:val="en-US" w:eastAsia="zh-CN" w:bidi="ar-SA"/>
        </w:rPr>
      </w:pPr>
      <w:bookmarkStart w:id="332" w:name="_Toc13683"/>
      <w:bookmarkStart w:id="333" w:name="_Toc26785"/>
      <w:bookmarkStart w:id="334" w:name="_Toc4092"/>
      <w:r>
        <w:rPr>
          <w:rFonts w:hint="eastAsia" w:ascii="仿宋" w:hAnsi="仿宋" w:eastAsia="仿宋" w:cs="仿宋"/>
          <w:b/>
          <w:bCs w:val="0"/>
          <w:snapToGrid w:val="0"/>
          <w:color w:val="000000"/>
          <w:kern w:val="0"/>
          <w:sz w:val="28"/>
          <w:szCs w:val="28"/>
          <w:highlight w:val="none"/>
          <w:u w:val="none"/>
          <w:lang w:val="en-US" w:eastAsia="zh-CN" w:bidi="ar-SA"/>
        </w:rPr>
        <w:t>11 参加政府采购活动前3年内</w:t>
      </w:r>
      <w:bookmarkStart w:id="335" w:name="_Toc6008"/>
      <w:bookmarkStart w:id="336" w:name="_Toc515647812"/>
      <w:r>
        <w:rPr>
          <w:rFonts w:hint="eastAsia" w:ascii="仿宋" w:hAnsi="仿宋" w:eastAsia="仿宋" w:cs="仿宋"/>
          <w:b/>
          <w:bCs w:val="0"/>
          <w:snapToGrid w:val="0"/>
          <w:color w:val="000000"/>
          <w:kern w:val="0"/>
          <w:sz w:val="28"/>
          <w:szCs w:val="28"/>
          <w:highlight w:val="none"/>
          <w:u w:val="none"/>
          <w:lang w:val="en-US" w:eastAsia="zh-CN" w:bidi="ar-SA"/>
        </w:rPr>
        <w:t>在经营活动中没有重大违法记录的书面声明</w:t>
      </w:r>
      <w:bookmarkEnd w:id="332"/>
      <w:bookmarkEnd w:id="333"/>
      <w:bookmarkEnd w:id="334"/>
      <w:bookmarkEnd w:id="335"/>
      <w:bookmarkEnd w:id="336"/>
    </w:p>
    <w:p w14:paraId="6CCA3324">
      <w:pPr>
        <w:pStyle w:val="5"/>
        <w:jc w:val="center"/>
        <w:rPr>
          <w:rFonts w:hint="eastAsia" w:ascii="仿宋" w:hAnsi="仿宋" w:eastAsia="仿宋" w:cs="仿宋"/>
          <w:b/>
          <w:bCs w:val="0"/>
          <w:snapToGrid w:val="0"/>
          <w:color w:val="000000"/>
          <w:kern w:val="0"/>
          <w:sz w:val="32"/>
          <w:szCs w:val="32"/>
          <w:highlight w:val="none"/>
          <w:u w:val="none"/>
          <w:lang w:val="en-US" w:eastAsia="zh-CN" w:bidi="ar-SA"/>
        </w:rPr>
      </w:pPr>
    </w:p>
    <w:p w14:paraId="13D53486">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说明：1.供应商应按照相关法规规定如实作出说明。</w:t>
      </w:r>
    </w:p>
    <w:p w14:paraId="2BC2CBAF">
      <w:pPr>
        <w:pStyle w:val="12"/>
        <w:tabs>
          <w:tab w:val="left" w:pos="5580"/>
        </w:tabs>
        <w:spacing w:line="240" w:lineRule="atLeast"/>
        <w:ind w:left="644" w:leftChars="307" w:firstLine="600" w:firstLineChars="250"/>
        <w:rPr>
          <w:rFonts w:hint="eastAsia" w:ascii="仿宋" w:hAnsi="仿宋" w:eastAsia="仿宋" w:cs="仿宋"/>
          <w:sz w:val="24"/>
          <w:szCs w:val="24"/>
          <w:highlight w:val="none"/>
        </w:rPr>
      </w:pPr>
      <w:r>
        <w:rPr>
          <w:rFonts w:hint="eastAsia" w:ascii="仿宋" w:hAnsi="仿宋" w:eastAsia="仿宋" w:cs="仿宋"/>
          <w:sz w:val="24"/>
          <w:szCs w:val="24"/>
          <w:highlight w:val="none"/>
        </w:rPr>
        <w:t>2．按照磋商文件的规定加盖单位章（自然人投标的无需盖章，需要签字）。</w:t>
      </w:r>
    </w:p>
    <w:p w14:paraId="0BF30704">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3.如果是联合体投标，联合体各方均需提供上述证明。</w:t>
      </w:r>
    </w:p>
    <w:p w14:paraId="64401764">
      <w:pPr>
        <w:pStyle w:val="12"/>
        <w:tabs>
          <w:tab w:val="left" w:pos="5580"/>
        </w:tabs>
        <w:spacing w:line="360" w:lineRule="auto"/>
        <w:rPr>
          <w:rFonts w:hint="eastAsia" w:ascii="仿宋" w:hAnsi="仿宋" w:eastAsia="仿宋" w:cs="仿宋"/>
          <w:sz w:val="24"/>
          <w:szCs w:val="24"/>
          <w:highlight w:val="none"/>
        </w:rPr>
      </w:pPr>
    </w:p>
    <w:p w14:paraId="6A3ADFA9">
      <w:pPr>
        <w:pStyle w:val="17"/>
        <w:rPr>
          <w:rFonts w:hint="eastAsia" w:ascii="仿宋" w:hAnsi="仿宋" w:eastAsia="仿宋" w:cs="仿宋"/>
          <w:sz w:val="24"/>
          <w:szCs w:val="24"/>
          <w:highlight w:val="none"/>
        </w:rPr>
      </w:pPr>
    </w:p>
    <w:p w14:paraId="125AE527">
      <w:pPr>
        <w:pStyle w:val="2"/>
        <w:tabs>
          <w:tab w:val="left" w:pos="567"/>
        </w:tabs>
        <w:rPr>
          <w:rFonts w:hint="eastAsia" w:ascii="仿宋" w:hAnsi="仿宋" w:eastAsia="仿宋" w:cs="仿宋"/>
          <w:sz w:val="24"/>
          <w:szCs w:val="24"/>
          <w:highlight w:val="none"/>
        </w:rPr>
      </w:pPr>
    </w:p>
    <w:p w14:paraId="2A344F46">
      <w:pPr>
        <w:pStyle w:val="2"/>
        <w:tabs>
          <w:tab w:val="left" w:pos="567"/>
        </w:tabs>
        <w:spacing w:before="60" w:line="228" w:lineRule="auto"/>
        <w:rPr>
          <w:rFonts w:hint="eastAsia" w:ascii="仿宋" w:hAnsi="仿宋" w:eastAsia="仿宋" w:cs="仿宋"/>
          <w:b/>
          <w:bCs/>
          <w:color w:val="auto"/>
          <w:spacing w:val="5"/>
          <w:sz w:val="24"/>
          <w:szCs w:val="24"/>
          <w:highlight w:val="none"/>
        </w:rPr>
      </w:pPr>
    </w:p>
    <w:p w14:paraId="462C5758">
      <w:pPr>
        <w:pStyle w:val="2"/>
        <w:tabs>
          <w:tab w:val="left" w:pos="567"/>
        </w:tabs>
        <w:spacing w:before="60" w:line="228" w:lineRule="auto"/>
        <w:ind w:left="4261"/>
        <w:rPr>
          <w:rFonts w:hint="eastAsia" w:ascii="仿宋" w:hAnsi="仿宋" w:eastAsia="仿宋" w:cs="仿宋"/>
          <w:b/>
          <w:bCs/>
          <w:color w:val="auto"/>
          <w:spacing w:val="5"/>
          <w:sz w:val="24"/>
          <w:szCs w:val="24"/>
          <w:highlight w:val="none"/>
        </w:rPr>
      </w:pPr>
    </w:p>
    <w:p w14:paraId="78E13D83">
      <w:pPr>
        <w:rPr>
          <w:rFonts w:hint="eastAsia" w:ascii="仿宋" w:hAnsi="仿宋" w:eastAsia="仿宋" w:cs="仿宋"/>
          <w:sz w:val="24"/>
          <w:szCs w:val="24"/>
        </w:rPr>
        <w:sectPr>
          <w:headerReference r:id="rId13" w:type="default"/>
          <w:footerReference r:id="rId14" w:type="default"/>
          <w:pgSz w:w="11906" w:h="16838"/>
          <w:pgMar w:top="1440" w:right="1797" w:bottom="1440" w:left="1797" w:header="851" w:footer="992" w:gutter="0"/>
          <w:pgNumType w:fmt="decimal"/>
          <w:cols w:space="720" w:num="1"/>
          <w:docGrid w:type="linesAndChars" w:linePitch="312" w:charSpace="0"/>
        </w:sectPr>
      </w:pPr>
    </w:p>
    <w:p w14:paraId="6D0D95C6">
      <w:pPr>
        <w:pStyle w:val="5"/>
        <w:jc w:val="center"/>
        <w:rPr>
          <w:rFonts w:hint="eastAsia" w:ascii="仿宋" w:hAnsi="仿宋" w:eastAsia="仿宋" w:cs="仿宋"/>
          <w:b/>
          <w:bCs w:val="0"/>
          <w:snapToGrid w:val="0"/>
          <w:color w:val="000000"/>
          <w:kern w:val="0"/>
          <w:sz w:val="28"/>
          <w:szCs w:val="28"/>
          <w:highlight w:val="none"/>
          <w:u w:val="none"/>
          <w:lang w:val="en-US" w:eastAsia="zh-CN" w:bidi="ar-SA"/>
        </w:rPr>
      </w:pPr>
      <w:bookmarkStart w:id="337" w:name="_Toc30355"/>
      <w:bookmarkStart w:id="338" w:name="_Toc190"/>
      <w:r>
        <w:rPr>
          <w:rFonts w:hint="eastAsia" w:ascii="仿宋" w:hAnsi="仿宋" w:eastAsia="仿宋" w:cs="仿宋"/>
          <w:b/>
          <w:bCs w:val="0"/>
          <w:snapToGrid w:val="0"/>
          <w:color w:val="000000"/>
          <w:kern w:val="0"/>
          <w:sz w:val="28"/>
          <w:szCs w:val="28"/>
          <w:highlight w:val="none"/>
          <w:u w:val="none"/>
          <w:lang w:val="en-US" w:eastAsia="zh-CN" w:bidi="ar-SA"/>
        </w:rPr>
        <mc:AlternateContent>
          <mc:Choice Requires="wps">
            <w:drawing>
              <wp:anchor distT="0" distB="0" distL="114300" distR="114300" simplePos="0" relativeHeight="251665408" behindDoc="0" locked="0" layoutInCell="0" allowOverlap="1">
                <wp:simplePos x="0" y="0"/>
                <wp:positionH relativeFrom="page">
                  <wp:posOffset>1141095</wp:posOffset>
                </wp:positionH>
                <wp:positionV relativeFrom="page">
                  <wp:posOffset>8472170</wp:posOffset>
                </wp:positionV>
                <wp:extent cx="5278755" cy="9525"/>
                <wp:effectExtent l="0" t="0" r="0" b="0"/>
                <wp:wrapNone/>
                <wp:docPr id="67" name="任意多边形 67"/>
                <wp:cNvGraphicFramePr/>
                <a:graphic xmlns:a="http://schemas.openxmlformats.org/drawingml/2006/main">
                  <a:graphicData uri="http://schemas.microsoft.com/office/word/2010/wordprocessingShape">
                    <wps:wsp>
                      <wps:cNvSpPr/>
                      <wps:spPr>
                        <a:xfrm>
                          <a:off x="0" y="0"/>
                          <a:ext cx="5278755" cy="9525"/>
                        </a:xfrm>
                        <a:custGeom>
                          <a:avLst/>
                          <a:gdLst/>
                          <a:ahLst/>
                          <a:cxnLst/>
                          <a:pathLst>
                            <a:path w="8312" h="15">
                              <a:moveTo>
                                <a:pt x="0" y="0"/>
                              </a:moveTo>
                              <a:lnTo>
                                <a:pt x="8312" y="0"/>
                              </a:lnTo>
                              <a:lnTo>
                                <a:pt x="831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9.85pt;margin-top:667.1pt;height:0.75pt;width:415.65pt;mso-position-horizontal-relative:page;mso-position-vertical-relative:page;z-index:251665408;mso-width-relative:page;mso-height-relative:page;" fillcolor="#000000" filled="t" stroked="f" coordsize="8312,15" o:allowincell="f" o:gfxdata="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SgXkbbAAAADgEAAA8A&#10;AAAAAAAAAQAgAAAAIgAAAGRycy9kb3ducmV2LnhtbFBLAQIUABQAAAAIAIdO4kCoB8ZeFAIAAH0E&#10;AAAOAAAAAAAAAAEAIAAAACoBAABkcnMvZTJvRG9jLnhtbFBLBQYAAAAABgAGAFkBAACwBQAAAAA=&#10;" path="m0,0l8312,0,8312,14,0,14,0,0xe">
                <v:fill on="t" focussize="0,0"/>
                <v:stroke on="f"/>
                <v:imagedata o:title=""/>
                <o:lock v:ext="edit" aspectratio="f"/>
              </v:shape>
            </w:pict>
          </mc:Fallback>
        </mc:AlternateContent>
      </w:r>
      <w:bookmarkStart w:id="339" w:name="bookmark28"/>
      <w:bookmarkEnd w:id="339"/>
      <w:r>
        <w:rPr>
          <w:rFonts w:hint="eastAsia" w:ascii="仿宋" w:hAnsi="仿宋" w:eastAsia="仿宋" w:cs="仿宋"/>
          <w:b/>
          <w:bCs w:val="0"/>
          <w:snapToGrid w:val="0"/>
          <w:color w:val="000000"/>
          <w:kern w:val="0"/>
          <w:sz w:val="28"/>
          <w:szCs w:val="28"/>
          <w:highlight w:val="none"/>
          <w:u w:val="none"/>
          <w:lang w:val="en-US" w:eastAsia="zh-CN" w:bidi="ar-SA"/>
        </w:rPr>
        <w:t xml:space="preserve">12 </w:t>
      </w:r>
      <w:bookmarkEnd w:id="337"/>
      <w:r>
        <w:rPr>
          <w:rFonts w:hint="eastAsia" w:ascii="仿宋" w:hAnsi="仿宋" w:eastAsia="仿宋" w:cs="仿宋"/>
          <w:b/>
          <w:bCs w:val="0"/>
          <w:snapToGrid w:val="0"/>
          <w:color w:val="000000"/>
          <w:kern w:val="0"/>
          <w:sz w:val="28"/>
          <w:szCs w:val="28"/>
          <w:highlight w:val="none"/>
          <w:u w:val="none"/>
          <w:lang w:val="en-US" w:eastAsia="zh-CN" w:bidi="ar-SA"/>
        </w:rPr>
        <w:t>供应商须知资料表要求的其他资格证明文件</w:t>
      </w:r>
      <w:bookmarkEnd w:id="338"/>
    </w:p>
    <w:p w14:paraId="2FA9DD37">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p w14:paraId="5090C51A">
      <w:pPr>
        <w:pStyle w:val="2"/>
        <w:keepNext w:val="0"/>
        <w:keepLines w:val="0"/>
        <w:pageBreakBefore w:val="0"/>
        <w:widowControl/>
        <w:shd w:val="clear"/>
        <w:kinsoku w:val="0"/>
        <w:wordWrap/>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包括但不限于以下内容：</w:t>
      </w:r>
    </w:p>
    <w:p w14:paraId="799FA528">
      <w:pPr>
        <w:pStyle w:val="2"/>
        <w:keepNext w:val="0"/>
        <w:keepLines w:val="0"/>
        <w:pageBreakBefore w:val="0"/>
        <w:widowControl/>
        <w:shd w:val="clear"/>
        <w:kinsoku w:val="0"/>
        <w:wordWrap/>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（1）具有有效的营业执照；</w:t>
      </w:r>
    </w:p>
    <w:p w14:paraId="3FB6711D">
      <w:pPr>
        <w:pStyle w:val="2"/>
        <w:keepNext w:val="0"/>
        <w:keepLines w:val="0"/>
        <w:pageBreakBefore w:val="0"/>
        <w:widowControl/>
        <w:shd w:val="clear"/>
        <w:kinsoku w:val="0"/>
        <w:wordWrap/>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（2）法定代表人证明或法定代表人授权委托书签字（章）并加盖公章；</w:t>
      </w:r>
    </w:p>
    <w:p w14:paraId="180B645D">
      <w:pPr>
        <w:pStyle w:val="2"/>
        <w:keepNext w:val="0"/>
        <w:keepLines w:val="0"/>
        <w:pageBreakBefore w:val="0"/>
        <w:widowControl/>
        <w:shd w:val="clear"/>
        <w:kinsoku w:val="0"/>
        <w:wordWrap/>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（3）良好的商业信誉和健全的财务会计制度证明材料（会计事务所出具的 2023 年或2024年的年度财务审计报告书；注册成立未满一年新公司可提供近三个月内任意一个月的银行资信证明）；</w:t>
      </w:r>
    </w:p>
    <w:p w14:paraId="42E0844B">
      <w:pPr>
        <w:pStyle w:val="2"/>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（4）供应商须具备【建筑工程施工总承包叁级】(含)以上资质或【建筑装修装饰工程专业承包贰级】（含）以上资质等级，并具备有效的安全生产许可证；</w:t>
      </w:r>
    </w:p>
    <w:p w14:paraId="1F1E0A3D">
      <w:pPr>
        <w:pStyle w:val="2"/>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snapToGrid w:val="0"/>
          <w:color w:val="0000FF"/>
          <w:spacing w:val="-3"/>
          <w:kern w:val="0"/>
          <w:position w:val="1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（5）项目负责人：须具备【建筑工程专业】二级或以上注册建造师执业资格，具备有效的安全生产考核合格证书，且未担任其他在建建设工程项目的项目负责人；</w:t>
      </w:r>
    </w:p>
    <w:p w14:paraId="4CF6702E">
      <w:pPr>
        <w:pStyle w:val="2"/>
        <w:keepNext w:val="0"/>
        <w:keepLines w:val="0"/>
        <w:pageBreakBefore w:val="0"/>
        <w:widowControl/>
        <w:shd w:val="clear"/>
        <w:kinsoku w:val="0"/>
        <w:wordWrap/>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（6）</w:t>
      </w:r>
      <w:r>
        <w:rPr>
          <w:rFonts w:hint="eastAsia" w:ascii="仿宋" w:hAnsi="仿宋" w:eastAsia="仿宋" w:cs="仿宋"/>
          <w:snapToGrid w:val="0"/>
          <w:color w:val="auto"/>
          <w:spacing w:val="-3"/>
          <w:kern w:val="0"/>
          <w:position w:val="10"/>
          <w:sz w:val="24"/>
          <w:szCs w:val="24"/>
          <w:highlight w:val="none"/>
          <w:lang w:val="en-US" w:eastAsia="en-US" w:bidi="ar-SA"/>
        </w:rPr>
        <w:t>提供投标单位缴纳近三个月内（任意一个月）的社保证明</w:t>
      </w:r>
      <w:r>
        <w:rPr>
          <w:rFonts w:hint="eastAsia" w:ascii="仿宋" w:hAnsi="仿宋" w:eastAsia="仿宋" w:cs="仿宋"/>
          <w:snapToGrid w:val="0"/>
          <w:color w:val="auto"/>
          <w:spacing w:val="-3"/>
          <w:kern w:val="0"/>
          <w:position w:val="10"/>
          <w:sz w:val="24"/>
          <w:szCs w:val="24"/>
          <w:highlight w:val="none"/>
          <w:lang w:val="en-US" w:eastAsia="zh-CN" w:bidi="ar-SA"/>
        </w:rPr>
        <w:t>；</w:t>
      </w:r>
    </w:p>
    <w:p w14:paraId="0A5607CB">
      <w:pPr>
        <w:pStyle w:val="2"/>
        <w:keepNext w:val="0"/>
        <w:keepLines w:val="0"/>
        <w:pageBreakBefore w:val="0"/>
        <w:widowControl/>
        <w:shd w:val="clear"/>
        <w:kinsoku w:val="0"/>
        <w:wordWrap/>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（7）近三个月所属期限内（任意一个月）依法缴纳税收的证明（税务部门出具的企业完税凭证或缴税证明）；依法免税应提供相应文件证明；</w:t>
      </w:r>
    </w:p>
    <w:p w14:paraId="74D7DF30">
      <w:pPr>
        <w:pStyle w:val="2"/>
        <w:keepNext w:val="0"/>
        <w:keepLines w:val="0"/>
        <w:pageBreakBefore w:val="0"/>
        <w:widowControl/>
        <w:shd w:val="clear"/>
        <w:kinsoku w:val="0"/>
        <w:wordWrap/>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（8） 根据《财政部关于在政府采购活动中查询及使用信用记录有关问题的通知》（财库﹝2016﹞125号）的要求，凡拟参加本次采购项目的供应商，如在“信用中国”网站（ www.creditchina.gov.cn） 被列入失信被执行人、重大税收违法案件当事人名单(信用服务-重点领域严重失信主体名单查询-搜索栏输入单位全称)、中国政府采购网（http://www.ccgp.gov.cn/search/cr/）严重违法失信行为记录名单的（尚在处罚期内的），将拒绝其参加本次采购活动（以采购代理机构或采购人查询为准）</w:t>
      </w:r>
    </w:p>
    <w:p w14:paraId="0DDBBCF3">
      <w:pPr>
        <w:pStyle w:val="2"/>
        <w:keepNext w:val="0"/>
        <w:keepLines w:val="0"/>
        <w:pageBreakBefore w:val="0"/>
        <w:widowControl/>
        <w:shd w:val="clear"/>
        <w:kinsoku w:val="0"/>
        <w:wordWrap/>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（9）参加政府采购活动前三年内在经营活动中没有重大违法记录的书面声明；</w:t>
      </w:r>
    </w:p>
    <w:p w14:paraId="79AF0834">
      <w:pPr>
        <w:pStyle w:val="2"/>
        <w:keepNext w:val="0"/>
        <w:keepLines w:val="0"/>
        <w:pageBreakBefore w:val="0"/>
        <w:widowControl/>
        <w:shd w:val="clear"/>
        <w:kinsoku w:val="0"/>
        <w:wordWrap/>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（10）</w:t>
      </w:r>
      <w:r>
        <w:rPr>
          <w:rFonts w:hint="eastAsia" w:ascii="仿宋" w:hAnsi="仿宋" w:eastAsia="仿宋" w:cs="仿宋"/>
          <w:snapToGrid w:val="0"/>
          <w:color w:val="auto"/>
          <w:spacing w:val="-3"/>
          <w:kern w:val="0"/>
          <w:position w:val="10"/>
          <w:sz w:val="24"/>
          <w:szCs w:val="24"/>
          <w:highlight w:val="none"/>
          <w:lang w:val="en-US" w:eastAsia="en-US" w:bidi="ar-SA"/>
        </w:rPr>
        <w:t>提供投标单位按磋商文件要求缴纳磋商保证金的</w:t>
      </w:r>
      <w:r>
        <w:rPr>
          <w:rFonts w:hint="eastAsia" w:ascii="仿宋" w:hAnsi="仿宋" w:eastAsia="仿宋" w:cs="仿宋"/>
          <w:snapToGrid w:val="0"/>
          <w:color w:val="auto"/>
          <w:spacing w:val="-3"/>
          <w:kern w:val="0"/>
          <w:position w:val="10"/>
          <w:sz w:val="24"/>
          <w:szCs w:val="24"/>
          <w:highlight w:val="none"/>
          <w:lang w:val="en-US" w:eastAsia="zh-CN" w:bidi="ar-SA"/>
        </w:rPr>
        <w:t>的缴款凭证或金融机构、担保机构出具的保函。</w:t>
      </w:r>
    </w:p>
    <w:p w14:paraId="4FAEA82E">
      <w:pPr>
        <w:pStyle w:val="2"/>
        <w:keepNext w:val="0"/>
        <w:keepLines w:val="0"/>
        <w:pageBreakBefore w:val="0"/>
        <w:widowControl/>
        <w:shd w:val="clear"/>
        <w:kinsoku w:val="0"/>
        <w:wordWrap/>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注：“提供依法缴纳近三个月任意1个月的税收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供应商注意！</w:t>
      </w:r>
    </w:p>
    <w:p w14:paraId="06EF75FC">
      <w:pPr>
        <w:keepNext w:val="0"/>
        <w:keepLines w:val="0"/>
        <w:pageBreakBefore w:val="0"/>
        <w:widowControl/>
        <w:shd w:val="clear"/>
        <w:kinsoku w:val="0"/>
        <w:wordWrap/>
        <w:overflowPunct/>
        <w:topLinePunct w:val="0"/>
        <w:autoSpaceDE w:val="0"/>
        <w:autoSpaceDN w:val="0"/>
        <w:bidi w:val="0"/>
        <w:adjustRightInd w:val="0"/>
        <w:snapToGrid w:val="0"/>
        <w:spacing w:line="249" w:lineRule="auto"/>
        <w:textAlignment w:val="baseline"/>
        <w:outlineLvl w:val="9"/>
        <w:rPr>
          <w:rFonts w:hint="eastAsia" w:ascii="仿宋" w:hAnsi="仿宋" w:eastAsia="仿宋" w:cs="仿宋"/>
          <w:color w:val="auto"/>
          <w:sz w:val="24"/>
          <w:szCs w:val="24"/>
          <w:highlight w:val="none"/>
        </w:rPr>
      </w:pPr>
    </w:p>
    <w:p w14:paraId="6AF6CA90">
      <w:pPr>
        <w:keepNext w:val="0"/>
        <w:keepLines w:val="0"/>
        <w:pageBreakBefore w:val="0"/>
        <w:widowControl/>
        <w:shd w:val="clear"/>
        <w:kinsoku w:val="0"/>
        <w:wordWrap/>
        <w:overflowPunct/>
        <w:topLinePunct w:val="0"/>
        <w:autoSpaceDE w:val="0"/>
        <w:autoSpaceDN w:val="0"/>
        <w:bidi w:val="0"/>
        <w:adjustRightInd w:val="0"/>
        <w:snapToGrid w:val="0"/>
        <w:spacing w:line="250" w:lineRule="auto"/>
        <w:textAlignment w:val="baseline"/>
        <w:outlineLvl w:val="9"/>
        <w:rPr>
          <w:rFonts w:hint="eastAsia" w:ascii="仿宋" w:hAnsi="仿宋" w:eastAsia="仿宋" w:cs="仿宋"/>
          <w:color w:val="auto"/>
          <w:sz w:val="24"/>
          <w:szCs w:val="24"/>
          <w:highlight w:val="none"/>
        </w:rPr>
      </w:pPr>
    </w:p>
    <w:p w14:paraId="12F6894C">
      <w:pPr>
        <w:pStyle w:val="2"/>
        <w:keepNext w:val="0"/>
        <w:keepLines w:val="0"/>
        <w:pageBreakBefore w:val="0"/>
        <w:widowControl/>
        <w:shd w:val="clear"/>
        <w:kinsoku w:val="0"/>
        <w:wordWrap/>
        <w:overflowPunct/>
        <w:topLinePunct w:val="0"/>
        <w:autoSpaceDE w:val="0"/>
        <w:autoSpaceDN w:val="0"/>
        <w:bidi w:val="0"/>
        <w:adjustRightInd w:val="0"/>
        <w:snapToGrid w:val="0"/>
        <w:spacing w:before="78" w:line="229" w:lineRule="auto"/>
        <w:ind w:right="136"/>
        <w:textAlignment w:val="baseline"/>
        <w:outlineLvl w:val="9"/>
        <w:rPr>
          <w:rFonts w:hint="eastAsia" w:ascii="仿宋" w:hAnsi="仿宋" w:eastAsia="仿宋" w:cs="仿宋"/>
          <w:b/>
          <w:bCs/>
          <w:color w:val="auto"/>
          <w:spacing w:val="-4"/>
          <w:sz w:val="24"/>
          <w:szCs w:val="24"/>
          <w:highlight w:val="none"/>
        </w:rPr>
      </w:pPr>
      <w:r>
        <w:rPr>
          <w:rFonts w:hint="eastAsia" w:ascii="仿宋" w:hAnsi="仿宋" w:eastAsia="仿宋" w:cs="仿宋"/>
          <w:b/>
          <w:bCs/>
          <w:color w:val="auto"/>
          <w:spacing w:val="-2"/>
          <w:sz w:val="24"/>
          <w:szCs w:val="24"/>
          <w:highlight w:val="none"/>
        </w:rPr>
        <w:t>注：以上资料</w:t>
      </w:r>
      <w:r>
        <w:rPr>
          <w:rFonts w:hint="eastAsia" w:ascii="仿宋" w:hAnsi="仿宋" w:eastAsia="仿宋" w:cs="仿宋"/>
          <w:b/>
          <w:bCs/>
          <w:color w:val="auto"/>
          <w:spacing w:val="-2"/>
          <w:sz w:val="24"/>
          <w:szCs w:val="24"/>
          <w:highlight w:val="none"/>
          <w:lang w:eastAsia="zh-CN"/>
        </w:rPr>
        <w:t>的</w:t>
      </w:r>
      <w:r>
        <w:rPr>
          <w:rFonts w:hint="eastAsia" w:ascii="仿宋" w:hAnsi="仿宋" w:eastAsia="仿宋" w:cs="仿宋"/>
          <w:b/>
          <w:bCs/>
          <w:color w:val="auto"/>
          <w:spacing w:val="-2"/>
          <w:sz w:val="24"/>
          <w:szCs w:val="24"/>
          <w:highlight w:val="none"/>
        </w:rPr>
        <w:t>复印件</w:t>
      </w:r>
      <w:r>
        <w:rPr>
          <w:rFonts w:hint="eastAsia" w:ascii="仿宋" w:hAnsi="仿宋" w:eastAsia="仿宋" w:cs="仿宋"/>
          <w:b/>
          <w:bCs/>
          <w:color w:val="auto"/>
          <w:spacing w:val="-2"/>
          <w:sz w:val="24"/>
          <w:szCs w:val="24"/>
          <w:highlight w:val="none"/>
          <w:lang w:eastAsia="zh-CN"/>
        </w:rPr>
        <w:t>或扫描件</w:t>
      </w:r>
      <w:r>
        <w:rPr>
          <w:rFonts w:hint="eastAsia" w:ascii="仿宋" w:hAnsi="仿宋" w:eastAsia="仿宋" w:cs="仿宋"/>
          <w:b/>
          <w:bCs/>
          <w:color w:val="auto"/>
          <w:spacing w:val="-2"/>
          <w:sz w:val="24"/>
          <w:szCs w:val="24"/>
          <w:highlight w:val="none"/>
        </w:rPr>
        <w:t>（需</w:t>
      </w:r>
      <w:r>
        <w:rPr>
          <w:rFonts w:hint="eastAsia" w:ascii="仿宋" w:hAnsi="仿宋" w:eastAsia="仿宋" w:cs="仿宋"/>
          <w:b/>
          <w:bCs/>
          <w:color w:val="auto"/>
          <w:spacing w:val="-4"/>
          <w:sz w:val="24"/>
          <w:szCs w:val="24"/>
          <w:highlight w:val="none"/>
        </w:rPr>
        <w:t>加盖投标人公章）</w:t>
      </w:r>
    </w:p>
    <w:p w14:paraId="566FDA6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b/>
          <w:bCs/>
          <w:color w:val="auto"/>
          <w:spacing w:val="-4"/>
          <w:sz w:val="24"/>
          <w:szCs w:val="24"/>
          <w:highlight w:val="none"/>
        </w:rPr>
      </w:pPr>
    </w:p>
    <w:p w14:paraId="451788EE">
      <w:pPr>
        <w:pStyle w:val="2"/>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b/>
          <w:bCs/>
          <w:color w:val="auto"/>
          <w:spacing w:val="-4"/>
          <w:sz w:val="24"/>
          <w:szCs w:val="24"/>
          <w:highlight w:val="none"/>
        </w:rPr>
      </w:pPr>
    </w:p>
    <w:p w14:paraId="5E6AD788">
      <w:pPr>
        <w:pStyle w:val="2"/>
        <w:rPr>
          <w:rFonts w:hint="eastAsia" w:ascii="仿宋" w:hAnsi="仿宋" w:eastAsia="仿宋" w:cs="仿宋"/>
          <w:b/>
          <w:bCs/>
          <w:color w:val="auto"/>
          <w:spacing w:val="-4"/>
          <w:sz w:val="24"/>
          <w:szCs w:val="24"/>
          <w:highlight w:val="none"/>
        </w:rPr>
      </w:pPr>
    </w:p>
    <w:p w14:paraId="764D5D9E">
      <w:pPr>
        <w:pStyle w:val="5"/>
        <w:jc w:val="center"/>
        <w:rPr>
          <w:rFonts w:hint="eastAsia" w:ascii="仿宋" w:hAnsi="仿宋" w:eastAsia="仿宋" w:cs="仿宋"/>
          <w:b/>
          <w:bCs w:val="0"/>
          <w:snapToGrid w:val="0"/>
          <w:color w:val="000000"/>
          <w:kern w:val="0"/>
          <w:sz w:val="32"/>
          <w:szCs w:val="32"/>
          <w:highlight w:val="none"/>
          <w:u w:val="none"/>
          <w:lang w:val="en-US" w:eastAsia="zh-CN" w:bidi="ar-SA"/>
        </w:rPr>
        <w:sectPr>
          <w:footerReference r:id="rId15" w:type="default"/>
          <w:pgSz w:w="11906" w:h="16839"/>
          <w:pgMar w:top="1426" w:right="1691" w:bottom="1094" w:left="1770" w:header="0" w:footer="915" w:gutter="0"/>
          <w:pgNumType w:fmt="decimal"/>
          <w:cols w:space="720" w:num="1"/>
        </w:sectPr>
      </w:pPr>
      <w:bookmarkStart w:id="340" w:name="_Toc6436"/>
      <w:r>
        <w:rPr>
          <w:rFonts w:hint="eastAsia" w:ascii="仿宋" w:hAnsi="仿宋" w:eastAsia="仿宋" w:cs="仿宋"/>
          <w:b/>
          <w:bCs w:val="0"/>
          <w:snapToGrid w:val="0"/>
          <w:color w:val="000000"/>
          <w:kern w:val="0"/>
          <w:sz w:val="32"/>
          <w:szCs w:val="32"/>
          <w:highlight w:val="none"/>
          <w:u w:val="none"/>
          <w:lang w:val="en-US" w:eastAsia="zh-CN" w:bidi="ar-SA"/>
        </w:rPr>
        <w:t>13 近3年发生的被申请强制执行，未履行诉讼及仲裁生效法律文书的情况</w:t>
      </w:r>
      <w:bookmarkEnd w:id="340"/>
    </w:p>
    <w:p w14:paraId="47958FA6">
      <w:pPr>
        <w:pStyle w:val="23"/>
        <w:shd w:val="clear"/>
        <w:ind w:left="0" w:leftChars="0" w:firstLine="0" w:firstLineChars="0"/>
        <w:rPr>
          <w:rFonts w:hint="eastAsia" w:ascii="仿宋" w:hAnsi="仿宋" w:eastAsia="仿宋" w:cs="仿宋"/>
          <w:color w:val="auto"/>
          <w:sz w:val="24"/>
          <w:szCs w:val="24"/>
          <w:highlight w:val="none"/>
        </w:rPr>
      </w:pPr>
    </w:p>
    <w:p w14:paraId="52072806">
      <w:pPr>
        <w:shd w:val="clear"/>
        <w:rPr>
          <w:rFonts w:hint="eastAsia" w:ascii="仿宋" w:hAnsi="仿宋" w:eastAsia="仿宋" w:cs="仿宋"/>
          <w:color w:val="auto"/>
          <w:sz w:val="24"/>
          <w:szCs w:val="24"/>
          <w:highlight w:val="none"/>
        </w:rPr>
      </w:pPr>
    </w:p>
    <w:p w14:paraId="495D5996">
      <w:pPr>
        <w:pStyle w:val="23"/>
        <w:shd w:val="clear"/>
        <w:rPr>
          <w:rFonts w:hint="eastAsia" w:ascii="仿宋" w:hAnsi="仿宋" w:eastAsia="仿宋" w:cs="仿宋"/>
          <w:color w:val="auto"/>
          <w:sz w:val="24"/>
          <w:szCs w:val="24"/>
          <w:highlight w:val="none"/>
        </w:rPr>
      </w:pPr>
    </w:p>
    <w:p w14:paraId="2B057473">
      <w:pPr>
        <w:pStyle w:val="4"/>
        <w:spacing w:before="0" w:line="240" w:lineRule="atLeast"/>
        <w:ind w:left="1080" w:leftChars="257" w:hanging="540"/>
        <w:rPr>
          <w:rFonts w:hint="eastAsia" w:ascii="仿宋" w:hAnsi="仿宋" w:eastAsia="仿宋" w:cs="仿宋"/>
          <w:color w:val="auto"/>
          <w:sz w:val="36"/>
          <w:szCs w:val="36"/>
          <w:highlight w:val="none"/>
        </w:rPr>
      </w:pPr>
      <w:bookmarkStart w:id="341" w:name="_Toc515647816"/>
      <w:bookmarkStart w:id="342" w:name="_Toc22967"/>
      <w:bookmarkStart w:id="343" w:name="_Toc7593"/>
      <w:bookmarkStart w:id="344" w:name="_Toc11180"/>
      <w:bookmarkStart w:id="345" w:name="_Toc8031"/>
      <w:bookmarkStart w:id="346" w:name="_Toc26653"/>
      <w:bookmarkStart w:id="347" w:name="_Toc26350"/>
      <w:bookmarkStart w:id="348" w:name="_Toc15721"/>
      <w:r>
        <w:rPr>
          <w:rFonts w:hint="eastAsia" w:ascii="仿宋" w:hAnsi="仿宋" w:eastAsia="仿宋" w:cs="仿宋"/>
          <w:color w:val="auto"/>
          <w:sz w:val="36"/>
          <w:szCs w:val="36"/>
          <w:highlight w:val="none"/>
        </w:rPr>
        <w:t>第二部分  商务及技术文件</w:t>
      </w:r>
      <w:bookmarkEnd w:id="341"/>
      <w:bookmarkEnd w:id="342"/>
      <w:bookmarkEnd w:id="343"/>
      <w:bookmarkEnd w:id="344"/>
      <w:bookmarkEnd w:id="345"/>
      <w:bookmarkEnd w:id="346"/>
      <w:bookmarkEnd w:id="347"/>
      <w:bookmarkEnd w:id="348"/>
    </w:p>
    <w:p w14:paraId="341DA621">
      <w:pPr>
        <w:pStyle w:val="12"/>
        <w:ind w:left="1080" w:leftChars="257" w:hanging="540"/>
        <w:rPr>
          <w:rFonts w:hint="eastAsia" w:ascii="仿宋" w:hAnsi="仿宋" w:eastAsia="仿宋" w:cs="仿宋"/>
          <w:color w:val="auto"/>
          <w:sz w:val="24"/>
          <w:szCs w:val="24"/>
          <w:highlight w:val="none"/>
        </w:rPr>
      </w:pPr>
    </w:p>
    <w:p w14:paraId="570E9C9C">
      <w:pPr>
        <w:pStyle w:val="12"/>
        <w:spacing w:line="288"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磋商响应函</w:t>
      </w:r>
    </w:p>
    <w:p w14:paraId="42700D64">
      <w:pPr>
        <w:pStyle w:val="12"/>
        <w:spacing w:line="288"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商务条款偏离表</w:t>
      </w:r>
    </w:p>
    <w:p w14:paraId="134E494C">
      <w:pPr>
        <w:pStyle w:val="12"/>
        <w:spacing w:line="288"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供应商关联单位的说明</w:t>
      </w:r>
    </w:p>
    <w:p w14:paraId="312310F8">
      <w:pPr>
        <w:pStyle w:val="12"/>
        <w:spacing w:line="288"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4、附  录</w:t>
      </w:r>
    </w:p>
    <w:p w14:paraId="3F2E08CA">
      <w:pPr>
        <w:pStyle w:val="12"/>
        <w:spacing w:line="288"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5、项目管理机构</w:t>
      </w:r>
    </w:p>
    <w:p w14:paraId="7DB6D6B3">
      <w:pPr>
        <w:pStyle w:val="12"/>
        <w:spacing w:line="288"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6、审查资料</w:t>
      </w:r>
    </w:p>
    <w:p w14:paraId="7F9BE49E">
      <w:pPr>
        <w:pStyle w:val="12"/>
        <w:spacing w:line="288"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7、已标价的工程量清单</w:t>
      </w:r>
    </w:p>
    <w:p w14:paraId="0AEB863C">
      <w:pPr>
        <w:pStyle w:val="12"/>
        <w:spacing w:line="288"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8、技术文件</w:t>
      </w:r>
    </w:p>
    <w:p w14:paraId="7EBF6E4E">
      <w:pPr>
        <w:shd w:val="clear"/>
        <w:rPr>
          <w:rFonts w:hint="eastAsia" w:ascii="仿宋" w:hAnsi="仿宋" w:eastAsia="仿宋" w:cs="仿宋"/>
          <w:color w:val="auto"/>
          <w:sz w:val="24"/>
          <w:szCs w:val="24"/>
          <w:highlight w:val="none"/>
        </w:rPr>
      </w:pPr>
    </w:p>
    <w:p w14:paraId="4E62495B">
      <w:pPr>
        <w:pStyle w:val="23"/>
        <w:shd w:val="clear"/>
        <w:rPr>
          <w:rFonts w:hint="eastAsia" w:ascii="仿宋" w:hAnsi="仿宋" w:eastAsia="仿宋" w:cs="仿宋"/>
          <w:color w:val="auto"/>
          <w:sz w:val="24"/>
          <w:szCs w:val="24"/>
          <w:highlight w:val="none"/>
        </w:rPr>
      </w:pPr>
    </w:p>
    <w:p w14:paraId="57F17B13">
      <w:pPr>
        <w:shd w:val="clear"/>
        <w:rPr>
          <w:rFonts w:hint="eastAsia" w:ascii="仿宋" w:hAnsi="仿宋" w:eastAsia="仿宋" w:cs="仿宋"/>
          <w:color w:val="auto"/>
          <w:sz w:val="24"/>
          <w:szCs w:val="24"/>
          <w:highlight w:val="none"/>
        </w:rPr>
      </w:pPr>
    </w:p>
    <w:p w14:paraId="46933882">
      <w:pPr>
        <w:pStyle w:val="23"/>
        <w:shd w:val="clear"/>
        <w:rPr>
          <w:rFonts w:hint="eastAsia" w:ascii="仿宋" w:hAnsi="仿宋" w:eastAsia="仿宋" w:cs="仿宋"/>
          <w:color w:val="auto"/>
          <w:sz w:val="24"/>
          <w:szCs w:val="24"/>
          <w:highlight w:val="none"/>
        </w:rPr>
      </w:pPr>
    </w:p>
    <w:p w14:paraId="59FCF0DC">
      <w:pPr>
        <w:shd w:val="clear"/>
        <w:rPr>
          <w:rFonts w:hint="eastAsia" w:ascii="仿宋" w:hAnsi="仿宋" w:eastAsia="仿宋" w:cs="仿宋"/>
          <w:color w:val="auto"/>
          <w:sz w:val="24"/>
          <w:szCs w:val="24"/>
          <w:highlight w:val="none"/>
        </w:rPr>
      </w:pPr>
    </w:p>
    <w:p w14:paraId="576FF0F8">
      <w:pPr>
        <w:pStyle w:val="23"/>
        <w:shd w:val="clear"/>
        <w:rPr>
          <w:rFonts w:hint="eastAsia" w:ascii="仿宋" w:hAnsi="仿宋" w:eastAsia="仿宋" w:cs="仿宋"/>
          <w:color w:val="auto"/>
          <w:sz w:val="24"/>
          <w:szCs w:val="24"/>
          <w:highlight w:val="none"/>
        </w:rPr>
      </w:pPr>
    </w:p>
    <w:p w14:paraId="19EB4969">
      <w:pPr>
        <w:shd w:val="clear"/>
        <w:rPr>
          <w:rFonts w:hint="eastAsia" w:ascii="仿宋" w:hAnsi="仿宋" w:eastAsia="仿宋" w:cs="仿宋"/>
          <w:color w:val="auto"/>
          <w:sz w:val="24"/>
          <w:szCs w:val="24"/>
          <w:highlight w:val="none"/>
        </w:rPr>
      </w:pPr>
    </w:p>
    <w:p w14:paraId="4E45169B">
      <w:pPr>
        <w:pStyle w:val="23"/>
        <w:shd w:val="clear"/>
        <w:rPr>
          <w:rFonts w:hint="eastAsia" w:ascii="仿宋" w:hAnsi="仿宋" w:eastAsia="仿宋" w:cs="仿宋"/>
          <w:color w:val="auto"/>
          <w:sz w:val="24"/>
          <w:szCs w:val="24"/>
          <w:highlight w:val="none"/>
        </w:rPr>
      </w:pPr>
    </w:p>
    <w:p w14:paraId="60817E0D">
      <w:pPr>
        <w:shd w:val="clear"/>
        <w:rPr>
          <w:rFonts w:hint="eastAsia" w:ascii="仿宋" w:hAnsi="仿宋" w:eastAsia="仿宋" w:cs="仿宋"/>
          <w:color w:val="auto"/>
          <w:sz w:val="24"/>
          <w:szCs w:val="24"/>
          <w:highlight w:val="none"/>
        </w:rPr>
      </w:pPr>
    </w:p>
    <w:p w14:paraId="6C1C1841">
      <w:pPr>
        <w:shd w:val="clear"/>
        <w:ind w:firstLine="645"/>
        <w:rPr>
          <w:rFonts w:hint="eastAsia" w:ascii="仿宋" w:hAnsi="仿宋" w:eastAsia="仿宋" w:cs="仿宋"/>
          <w:color w:val="auto"/>
          <w:sz w:val="24"/>
          <w:szCs w:val="24"/>
          <w:highlight w:val="none"/>
        </w:rPr>
      </w:pPr>
    </w:p>
    <w:p w14:paraId="3620246A">
      <w:pPr>
        <w:shd w:val="clear"/>
        <w:jc w:val="both"/>
        <w:rPr>
          <w:rFonts w:hint="eastAsia" w:ascii="仿宋" w:hAnsi="仿宋" w:eastAsia="仿宋" w:cs="仿宋"/>
          <w:color w:val="auto"/>
          <w:sz w:val="24"/>
          <w:szCs w:val="24"/>
          <w:highlight w:val="none"/>
          <w:lang w:val="en-US" w:eastAsia="zh-CN"/>
        </w:rPr>
      </w:pPr>
    </w:p>
    <w:p w14:paraId="4ECBC17A">
      <w:pPr>
        <w:shd w:val="clear"/>
        <w:ind w:firstLine="480" w:firstLineChars="200"/>
        <w:jc w:val="center"/>
        <w:rPr>
          <w:rFonts w:hint="eastAsia" w:ascii="仿宋" w:hAnsi="仿宋" w:eastAsia="仿宋" w:cs="仿宋"/>
          <w:color w:val="auto"/>
          <w:sz w:val="24"/>
          <w:szCs w:val="24"/>
          <w:highlight w:val="none"/>
          <w:lang w:val="en-US" w:eastAsia="zh-CN"/>
        </w:rPr>
      </w:pPr>
    </w:p>
    <w:p w14:paraId="142D75E1">
      <w:pPr>
        <w:shd w:val="clear"/>
        <w:ind w:firstLine="480" w:firstLineChars="200"/>
        <w:jc w:val="center"/>
        <w:rPr>
          <w:rFonts w:hint="eastAsia" w:ascii="仿宋" w:hAnsi="仿宋" w:eastAsia="仿宋" w:cs="仿宋"/>
          <w:color w:val="auto"/>
          <w:sz w:val="24"/>
          <w:szCs w:val="24"/>
          <w:highlight w:val="none"/>
          <w:lang w:val="en-US" w:eastAsia="zh-CN"/>
        </w:rPr>
      </w:pPr>
    </w:p>
    <w:p w14:paraId="3C9C550F">
      <w:pPr>
        <w:shd w:val="clear"/>
        <w:ind w:firstLine="480" w:firstLineChars="200"/>
        <w:jc w:val="center"/>
        <w:rPr>
          <w:rFonts w:hint="eastAsia" w:ascii="仿宋" w:hAnsi="仿宋" w:eastAsia="仿宋" w:cs="仿宋"/>
          <w:color w:val="auto"/>
          <w:sz w:val="24"/>
          <w:szCs w:val="24"/>
          <w:highlight w:val="none"/>
          <w:lang w:val="en-US" w:eastAsia="zh-CN"/>
        </w:rPr>
      </w:pPr>
    </w:p>
    <w:p w14:paraId="30283A2B">
      <w:pPr>
        <w:keepNext w:val="0"/>
        <w:keepLines w:val="0"/>
        <w:pageBreakBefore w:val="0"/>
        <w:widowControl w:val="0"/>
        <w:shd w:val="clear"/>
        <w:kinsoku/>
        <w:overflowPunct/>
        <w:topLinePunct w:val="0"/>
        <w:autoSpaceDE/>
        <w:autoSpaceDN/>
        <w:bidi w:val="0"/>
        <w:adjustRightInd/>
        <w:snapToGrid/>
        <w:spacing w:line="360" w:lineRule="auto"/>
        <w:ind w:left="0" w:leftChars="0"/>
        <w:jc w:val="both"/>
        <w:textAlignment w:val="auto"/>
        <w:rPr>
          <w:rFonts w:hint="eastAsia" w:ascii="仿宋" w:hAnsi="仿宋" w:eastAsia="仿宋" w:cs="仿宋"/>
          <w:color w:val="auto"/>
          <w:sz w:val="24"/>
          <w:szCs w:val="24"/>
          <w:highlight w:val="none"/>
        </w:rPr>
      </w:pPr>
    </w:p>
    <w:p w14:paraId="261862C9">
      <w:pPr>
        <w:pStyle w:val="23"/>
        <w:shd w:val="clear"/>
        <w:rPr>
          <w:rFonts w:hint="eastAsia" w:ascii="仿宋" w:hAnsi="仿宋" w:eastAsia="仿宋" w:cs="仿宋"/>
          <w:color w:val="auto"/>
          <w:sz w:val="24"/>
          <w:szCs w:val="24"/>
          <w:highlight w:val="none"/>
        </w:rPr>
      </w:pPr>
    </w:p>
    <w:p w14:paraId="6EA4F746">
      <w:pPr>
        <w:pStyle w:val="2"/>
        <w:shd w:val="clear"/>
        <w:spacing w:before="60" w:line="228" w:lineRule="auto"/>
        <w:rPr>
          <w:rFonts w:hint="eastAsia" w:ascii="仿宋" w:hAnsi="仿宋" w:eastAsia="仿宋" w:cs="仿宋"/>
          <w:b/>
          <w:bCs/>
          <w:color w:val="auto"/>
          <w:spacing w:val="5"/>
          <w:sz w:val="24"/>
          <w:szCs w:val="24"/>
          <w:highlight w:val="none"/>
        </w:rPr>
      </w:pPr>
    </w:p>
    <w:p w14:paraId="3FF1ADE0">
      <w:pPr>
        <w:rPr>
          <w:rFonts w:hint="eastAsia" w:ascii="仿宋" w:hAnsi="仿宋" w:eastAsia="仿宋" w:cs="仿宋"/>
          <w:b/>
          <w:bCs/>
          <w:color w:val="auto"/>
          <w:spacing w:val="5"/>
          <w:sz w:val="24"/>
          <w:szCs w:val="24"/>
          <w:highlight w:val="none"/>
        </w:rPr>
      </w:pPr>
    </w:p>
    <w:p w14:paraId="1F1A0DA1">
      <w:pPr>
        <w:pStyle w:val="23"/>
        <w:rPr>
          <w:rFonts w:hint="eastAsia" w:ascii="仿宋" w:hAnsi="仿宋" w:eastAsia="仿宋" w:cs="仿宋"/>
          <w:b/>
          <w:bCs/>
          <w:color w:val="auto"/>
          <w:spacing w:val="5"/>
          <w:sz w:val="24"/>
          <w:szCs w:val="24"/>
          <w:highlight w:val="none"/>
        </w:rPr>
      </w:pPr>
    </w:p>
    <w:p w14:paraId="2B538DC4">
      <w:pPr>
        <w:pStyle w:val="7"/>
        <w:rPr>
          <w:rFonts w:hint="eastAsia" w:ascii="仿宋" w:hAnsi="仿宋" w:eastAsia="仿宋" w:cs="仿宋"/>
          <w:b/>
          <w:bCs/>
          <w:color w:val="auto"/>
          <w:spacing w:val="5"/>
          <w:sz w:val="24"/>
          <w:szCs w:val="24"/>
          <w:highlight w:val="none"/>
        </w:rPr>
      </w:pPr>
    </w:p>
    <w:p w14:paraId="40C4A0D8">
      <w:pPr>
        <w:pStyle w:val="6"/>
        <w:numPr>
          <w:ilvl w:val="3"/>
          <w:numId w:val="0"/>
        </w:numPr>
        <w:rPr>
          <w:rFonts w:hint="eastAsia" w:ascii="仿宋" w:hAnsi="仿宋" w:eastAsia="仿宋" w:cs="仿宋"/>
          <w:b/>
          <w:bCs/>
          <w:color w:val="auto"/>
          <w:spacing w:val="5"/>
          <w:sz w:val="24"/>
          <w:szCs w:val="24"/>
          <w:highlight w:val="none"/>
        </w:rPr>
      </w:pPr>
    </w:p>
    <w:p w14:paraId="19D402BB">
      <w:pPr>
        <w:rPr>
          <w:rFonts w:hint="eastAsia" w:ascii="仿宋" w:hAnsi="仿宋" w:eastAsia="仿宋" w:cs="仿宋"/>
          <w:b/>
          <w:bCs/>
          <w:color w:val="auto"/>
          <w:spacing w:val="5"/>
          <w:sz w:val="24"/>
          <w:szCs w:val="24"/>
          <w:highlight w:val="none"/>
        </w:rPr>
      </w:pPr>
    </w:p>
    <w:p w14:paraId="1A9CE342">
      <w:pPr>
        <w:pStyle w:val="23"/>
        <w:rPr>
          <w:rFonts w:hint="eastAsia" w:ascii="仿宋" w:hAnsi="仿宋" w:eastAsia="仿宋" w:cs="仿宋"/>
          <w:b/>
          <w:bCs/>
          <w:color w:val="auto"/>
          <w:spacing w:val="5"/>
          <w:sz w:val="24"/>
          <w:szCs w:val="24"/>
          <w:highlight w:val="none"/>
        </w:rPr>
      </w:pPr>
    </w:p>
    <w:p w14:paraId="27C07B02">
      <w:pPr>
        <w:pStyle w:val="7"/>
        <w:ind w:left="0" w:leftChars="0" w:firstLine="0" w:firstLineChars="0"/>
        <w:rPr>
          <w:rFonts w:hint="eastAsia" w:ascii="仿宋" w:hAnsi="仿宋" w:eastAsia="仿宋" w:cs="仿宋"/>
          <w:b/>
          <w:bCs/>
          <w:color w:val="auto"/>
          <w:spacing w:val="5"/>
          <w:sz w:val="24"/>
          <w:szCs w:val="24"/>
          <w:highlight w:val="none"/>
        </w:rPr>
      </w:pPr>
    </w:p>
    <w:p w14:paraId="379928F6">
      <w:pPr>
        <w:pStyle w:val="6"/>
        <w:numPr>
          <w:ilvl w:val="3"/>
          <w:numId w:val="0"/>
        </w:numPr>
        <w:ind w:left="864" w:leftChars="0"/>
        <w:rPr>
          <w:rFonts w:hint="eastAsia" w:ascii="仿宋" w:hAnsi="仿宋" w:eastAsia="仿宋" w:cs="仿宋"/>
          <w:b/>
          <w:bCs/>
          <w:color w:val="auto"/>
          <w:spacing w:val="5"/>
          <w:sz w:val="24"/>
          <w:szCs w:val="24"/>
          <w:highlight w:val="none"/>
        </w:rPr>
      </w:pPr>
    </w:p>
    <w:p w14:paraId="6CAB7C70">
      <w:pPr>
        <w:pStyle w:val="23"/>
        <w:ind w:left="0" w:leftChars="0" w:firstLine="0" w:firstLineChars="0"/>
        <w:rPr>
          <w:rFonts w:hint="eastAsia" w:ascii="仿宋" w:hAnsi="仿宋" w:eastAsia="仿宋" w:cs="仿宋"/>
          <w:sz w:val="24"/>
          <w:szCs w:val="24"/>
        </w:rPr>
      </w:pPr>
    </w:p>
    <w:p w14:paraId="2437195B">
      <w:pPr>
        <w:pStyle w:val="2"/>
        <w:keepNext w:val="0"/>
        <w:keepLines w:val="0"/>
        <w:pageBreakBefore w:val="0"/>
        <w:widowControl w:val="0"/>
        <w:tabs>
          <w:tab w:val="left" w:pos="567"/>
        </w:tabs>
        <w:kinsoku/>
        <w:wordWrap/>
        <w:overflowPunct/>
        <w:topLinePunct w:val="0"/>
        <w:autoSpaceDE/>
        <w:autoSpaceDN/>
        <w:bidi w:val="0"/>
        <w:adjustRightInd/>
        <w:snapToGrid/>
        <w:spacing w:before="249" w:line="228" w:lineRule="auto"/>
        <w:jc w:val="center"/>
        <w:textAlignment w:val="auto"/>
        <w:outlineLvl w:val="2"/>
        <w:rPr>
          <w:rFonts w:hint="eastAsia" w:ascii="仿宋" w:hAnsi="仿宋" w:eastAsia="仿宋" w:cs="仿宋"/>
          <w:b/>
          <w:color w:val="auto"/>
          <w:kern w:val="0"/>
          <w:sz w:val="32"/>
          <w:szCs w:val="32"/>
          <w:highlight w:val="none"/>
          <w:u w:val="none"/>
          <w:lang w:val="en-US" w:eastAsia="zh-CN" w:bidi="ar-SA"/>
        </w:rPr>
      </w:pPr>
      <w:bookmarkStart w:id="349" w:name="_Toc4003"/>
      <w:bookmarkStart w:id="350" w:name="_Toc1116"/>
      <w:bookmarkStart w:id="351" w:name="_Toc17434"/>
      <w:bookmarkStart w:id="352" w:name="_Toc18055"/>
      <w:bookmarkStart w:id="353" w:name="_Toc9782"/>
      <w:bookmarkStart w:id="354" w:name="_Toc21159"/>
      <w:bookmarkStart w:id="355" w:name="_Toc12083"/>
      <w:bookmarkStart w:id="356" w:name="_Toc14607"/>
      <w:bookmarkStart w:id="357" w:name="_Toc362"/>
      <w:bookmarkStart w:id="358" w:name="_Toc29559"/>
      <w:bookmarkStart w:id="359" w:name="_Toc14062"/>
      <w:bookmarkStart w:id="360" w:name="_Toc31410"/>
      <w:bookmarkStart w:id="361" w:name="_Toc28985"/>
      <w:bookmarkStart w:id="362" w:name="_Toc31638"/>
      <w:bookmarkStart w:id="363" w:name="_Toc17635"/>
      <w:bookmarkStart w:id="364" w:name="_Toc24743"/>
      <w:bookmarkStart w:id="365" w:name="_Toc19728"/>
      <w:r>
        <w:rPr>
          <w:rFonts w:hint="eastAsia" w:ascii="仿宋" w:hAnsi="仿宋" w:eastAsia="仿宋" w:cs="仿宋"/>
          <w:b/>
          <w:color w:val="auto"/>
          <w:kern w:val="0"/>
          <w:sz w:val="32"/>
          <w:szCs w:val="32"/>
          <w:highlight w:val="none"/>
          <w:u w:val="none"/>
          <w:lang w:val="en-US" w:eastAsia="zh-CN" w:bidi="ar-SA"/>
        </w:rPr>
        <w:t>1</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Pr>
          <w:rFonts w:hint="eastAsia" w:ascii="仿宋" w:hAnsi="仿宋" w:eastAsia="仿宋" w:cs="仿宋"/>
          <w:b/>
          <w:color w:val="auto"/>
          <w:kern w:val="0"/>
          <w:sz w:val="32"/>
          <w:szCs w:val="32"/>
          <w:highlight w:val="none"/>
          <w:u w:val="none"/>
          <w:lang w:val="en-US" w:eastAsia="zh-CN" w:bidi="ar-SA"/>
        </w:rPr>
        <w:t xml:space="preserve"> 磋商响应函</w:t>
      </w:r>
      <w:bookmarkEnd w:id="365"/>
    </w:p>
    <w:p w14:paraId="14C1B468">
      <w:pPr>
        <w:tabs>
          <w:tab w:val="left" w:pos="5580"/>
        </w:tabs>
        <w:spacing w:line="240" w:lineRule="atLeast"/>
        <w:ind w:left="1080" w:leftChars="257" w:hanging="540"/>
        <w:rPr>
          <w:rFonts w:hint="eastAsia" w:ascii="仿宋" w:hAnsi="仿宋" w:eastAsia="仿宋" w:cs="仿宋"/>
          <w:sz w:val="24"/>
          <w:szCs w:val="24"/>
          <w:highlight w:val="none"/>
        </w:rPr>
      </w:pPr>
    </w:p>
    <w:p w14:paraId="6248C3ED">
      <w:pPr>
        <w:pageBreakBefore w:val="0"/>
        <w:widowControl/>
        <w:tabs>
          <w:tab w:val="left" w:pos="5580"/>
        </w:tabs>
        <w:kinsoku w:val="0"/>
        <w:wordWrap/>
        <w:overflowPunct/>
        <w:topLinePunct w:val="0"/>
        <w:autoSpaceDE w:val="0"/>
        <w:autoSpaceDN w:val="0"/>
        <w:bidi w:val="0"/>
        <w:adjustRightInd w:val="0"/>
        <w:snapToGrid w:val="0"/>
        <w:spacing w:line="240" w:lineRule="atLeast"/>
        <w:ind w:left="1080" w:hanging="108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致：</w:t>
      </w:r>
      <w:r>
        <w:rPr>
          <w:rFonts w:hint="eastAsia" w:ascii="仿宋" w:hAnsi="仿宋" w:eastAsia="仿宋" w:cs="仿宋"/>
          <w:color w:val="000000"/>
          <w:sz w:val="24"/>
          <w:szCs w:val="24"/>
          <w:highlight w:val="none"/>
          <w:u w:val="single" w:color="000000"/>
        </w:rPr>
        <w:t>（采购人名称）</w:t>
      </w:r>
    </w:p>
    <w:p w14:paraId="089C9218">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p>
    <w:p w14:paraId="08BAB5D8">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p>
    <w:p w14:paraId="252E9B5D">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2" w:leftChars="1" w:firstLine="480" w:firstLineChars="20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根据贵方(</w:t>
      </w:r>
      <w:r>
        <w:rPr>
          <w:rFonts w:hint="eastAsia" w:ascii="仿宋" w:hAnsi="仿宋" w:eastAsia="仿宋" w:cs="仿宋"/>
          <w:i/>
          <w:sz w:val="24"/>
          <w:szCs w:val="24"/>
          <w:highlight w:val="none"/>
          <w:u w:val="single"/>
        </w:rPr>
        <w:t>项目名称</w:t>
      </w:r>
      <w:r>
        <w:rPr>
          <w:rFonts w:hint="eastAsia" w:ascii="仿宋" w:hAnsi="仿宋" w:eastAsia="仿宋" w:cs="仿宋"/>
          <w:sz w:val="24"/>
          <w:szCs w:val="24"/>
          <w:highlight w:val="none"/>
        </w:rPr>
        <w:t>)项目的投标邀请(</w:t>
      </w:r>
      <w:r>
        <w:rPr>
          <w:rFonts w:hint="eastAsia" w:ascii="仿宋" w:hAnsi="仿宋" w:eastAsia="仿宋" w:cs="仿宋"/>
          <w:i/>
          <w:sz w:val="24"/>
          <w:szCs w:val="24"/>
          <w:highlight w:val="none"/>
          <w:u w:val="single"/>
        </w:rPr>
        <w:t>招标编号</w:t>
      </w:r>
      <w:r>
        <w:rPr>
          <w:rFonts w:hint="eastAsia" w:ascii="仿宋" w:hAnsi="仿宋" w:eastAsia="仿宋" w:cs="仿宋"/>
          <w:sz w:val="24"/>
          <w:szCs w:val="24"/>
          <w:highlight w:val="none"/>
        </w:rPr>
        <w:t>),签字代表(</w:t>
      </w:r>
      <w:r>
        <w:rPr>
          <w:rFonts w:hint="eastAsia" w:ascii="仿宋" w:hAnsi="仿宋" w:eastAsia="仿宋" w:cs="仿宋"/>
          <w:i/>
          <w:sz w:val="24"/>
          <w:szCs w:val="24"/>
          <w:highlight w:val="none"/>
          <w:u w:val="single"/>
        </w:rPr>
        <w:t>姓名、职务</w:t>
      </w:r>
      <w:r>
        <w:rPr>
          <w:rFonts w:hint="eastAsia" w:ascii="仿宋" w:hAnsi="仿宋" w:eastAsia="仿宋" w:cs="仿宋"/>
          <w:sz w:val="24"/>
          <w:szCs w:val="24"/>
          <w:highlight w:val="none"/>
        </w:rPr>
        <w:t>)</w:t>
      </w:r>
      <w:r>
        <w:rPr>
          <w:rFonts w:hint="eastAsia" w:ascii="仿宋" w:hAnsi="仿宋" w:eastAsia="仿宋" w:cs="仿宋"/>
          <w:color w:val="000000"/>
          <w:sz w:val="24"/>
          <w:szCs w:val="24"/>
          <w:highlight w:val="none"/>
          <w:u w:val="single" w:color="000000"/>
        </w:rPr>
        <w:t>经正式授权并代表投标人（名称、地址）上传响应文件</w:t>
      </w:r>
      <w:r>
        <w:rPr>
          <w:rFonts w:hint="eastAsia" w:ascii="仿宋" w:hAnsi="仿宋" w:eastAsia="仿宋" w:cs="仿宋"/>
          <w:sz w:val="24"/>
          <w:szCs w:val="24"/>
          <w:highlight w:val="none"/>
        </w:rPr>
        <w:t>，并以</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形式出具的金额为人民币</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元的投标保证金。</w:t>
      </w:r>
    </w:p>
    <w:p w14:paraId="394C9571">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据此，签字代表宣布同意如下：</w:t>
      </w:r>
    </w:p>
    <w:p w14:paraId="152CA849">
      <w:pPr>
        <w:pStyle w:val="12"/>
        <w:pageBreakBefore w:val="0"/>
        <w:widowControl/>
        <w:tabs>
          <w:tab w:val="left" w:pos="720"/>
          <w:tab w:val="left" w:pos="900"/>
        </w:tabs>
        <w:kinsoku w:val="0"/>
        <w:wordWrap/>
        <w:overflowPunct/>
        <w:topLinePunct w:val="0"/>
        <w:autoSpaceDE w:val="0"/>
        <w:autoSpaceDN w:val="0"/>
        <w:bidi w:val="0"/>
        <w:adjustRightInd w:val="0"/>
        <w:snapToGrid w:val="0"/>
        <w:spacing w:line="240" w:lineRule="atLeast"/>
        <w:ind w:left="769" w:leftChars="257" w:hanging="229"/>
        <w:textAlignment w:val="baseline"/>
        <w:outlineLvl w:val="9"/>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（1）附投标价格表中规定的应提供货物的投标总价详见开标一览表。</w:t>
      </w:r>
    </w:p>
    <w:p w14:paraId="183D4942">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（2）本投标有效期为自投标截止之日起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个日历日。</w:t>
      </w:r>
    </w:p>
    <w:p w14:paraId="3582FA17">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（3）联合体中的大中型企业和其他自然人、法人或者非法人组织，与联合体中的小型、微型企业之间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存在、不存在）投资关系（如果是联合体的话）。</w:t>
      </w:r>
    </w:p>
    <w:p w14:paraId="34FFE06D">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（4）已详细审查全部磋商文件，包括所有补充通知（如果有的话），完全理解并同意放弃对这方面有不明、误解和质疑的权力。</w:t>
      </w:r>
    </w:p>
    <w:p w14:paraId="5E34002F">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（5）在规定的开标时间后，遵守磋商文件中有关保证金的规定。</w:t>
      </w:r>
    </w:p>
    <w:p w14:paraId="66848708">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（6）我方不是为本项目提供整体设计、规范编制或者项目管理、监理、检测等服务的供应商，我方不是采购代理机构的附属机构。</w:t>
      </w:r>
    </w:p>
    <w:p w14:paraId="7EA3B9C1">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（7）在领取中标通知书的同时按磋商文件规定的形式，向贵方一次性支付中标服务费。</w:t>
      </w:r>
    </w:p>
    <w:p w14:paraId="67D5B68C">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（8）按照贵方可能要求，提供与其投标有关的一切数据或资料，完全理解贵方不一定接受最低价的投标或收到的任何投标。</w:t>
      </w:r>
    </w:p>
    <w:p w14:paraId="138058D3">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（9）按照磋商文件的规定履行合同责任和义务。</w:t>
      </w:r>
    </w:p>
    <w:p w14:paraId="18644DF2">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359" w:leftChars="68" w:hanging="216" w:hangingChars="9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与本投标有关的一切正式往来信函请寄：</w:t>
      </w:r>
    </w:p>
    <w:p w14:paraId="14376DB5">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传真</w:t>
      </w:r>
      <w:r>
        <w:rPr>
          <w:rFonts w:hint="eastAsia" w:ascii="仿宋" w:hAnsi="仿宋" w:eastAsia="仿宋" w:cs="仿宋"/>
          <w:sz w:val="24"/>
          <w:szCs w:val="24"/>
          <w:highlight w:val="none"/>
          <w:u w:val="single"/>
        </w:rPr>
        <w:t xml:space="preserve">                             </w:t>
      </w:r>
    </w:p>
    <w:p w14:paraId="5F533FCD">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b/>
          <w:sz w:val="24"/>
          <w:szCs w:val="24"/>
          <w:highlight w:val="none"/>
        </w:rPr>
      </w:pPr>
      <w:r>
        <w:rPr>
          <w:rFonts w:hint="eastAsia" w:ascii="仿宋" w:hAnsi="仿宋" w:eastAsia="仿宋" w:cs="仿宋"/>
          <w:sz w:val="24"/>
          <w:szCs w:val="24"/>
          <w:highlight w:val="none"/>
        </w:rPr>
        <w:t>电话</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电子函件</w:t>
      </w:r>
      <w:r>
        <w:rPr>
          <w:rFonts w:hint="eastAsia" w:ascii="仿宋" w:hAnsi="仿宋" w:eastAsia="仿宋" w:cs="仿宋"/>
          <w:sz w:val="24"/>
          <w:szCs w:val="24"/>
          <w:highlight w:val="none"/>
          <w:u w:val="single"/>
        </w:rPr>
        <w:t xml:space="preserve">                         </w:t>
      </w:r>
    </w:p>
    <w:p w14:paraId="163618C1">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p>
    <w:p w14:paraId="01F442DE">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法定代表人或其委托代理人签字-----------------</w:t>
      </w:r>
    </w:p>
    <w:p w14:paraId="4D8C6952">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供应商名称（全称）-----------------</w:t>
      </w:r>
    </w:p>
    <w:p w14:paraId="69F65285">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供应商开户银行（全称）</w:t>
      </w:r>
      <w:r>
        <w:rPr>
          <w:rFonts w:hint="eastAsia" w:ascii="仿宋" w:hAnsi="仿宋" w:eastAsia="仿宋" w:cs="仿宋"/>
          <w:sz w:val="24"/>
          <w:szCs w:val="24"/>
          <w:highlight w:val="none"/>
          <w:u w:val="single"/>
        </w:rPr>
        <w:t xml:space="preserve">　　　　　　 </w:t>
      </w:r>
    </w:p>
    <w:p w14:paraId="0712C760">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供应商银行帐号</w:t>
      </w:r>
      <w:r>
        <w:rPr>
          <w:rFonts w:hint="eastAsia" w:ascii="仿宋" w:hAnsi="仿宋" w:eastAsia="仿宋" w:cs="仿宋"/>
          <w:sz w:val="24"/>
          <w:szCs w:val="24"/>
          <w:highlight w:val="none"/>
          <w:u w:val="single"/>
        </w:rPr>
        <w:t>　　　　　　　　 　　</w:t>
      </w:r>
    </w:p>
    <w:p w14:paraId="43315740">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供应商单位章-------------------------</w:t>
      </w:r>
    </w:p>
    <w:p w14:paraId="216A50A1">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rPr>
      </w:pPr>
      <w:r>
        <w:rPr>
          <w:rFonts w:hint="eastAsia" w:ascii="仿宋" w:hAnsi="仿宋" w:eastAsia="仿宋" w:cs="仿宋"/>
          <w:sz w:val="24"/>
          <w:szCs w:val="24"/>
          <w:highlight w:val="none"/>
        </w:rPr>
        <w:t>日期-------------------------------</w:t>
      </w:r>
    </w:p>
    <w:p w14:paraId="33501185">
      <w:pPr>
        <w:pStyle w:val="8"/>
        <w:rPr>
          <w:rFonts w:hint="eastAsia" w:ascii="仿宋" w:hAnsi="仿宋" w:eastAsia="仿宋" w:cs="仿宋"/>
          <w:sz w:val="24"/>
          <w:szCs w:val="24"/>
        </w:rPr>
      </w:pPr>
    </w:p>
    <w:p w14:paraId="74996DF9">
      <w:pPr>
        <w:rPr>
          <w:rFonts w:hint="eastAsia" w:ascii="仿宋" w:hAnsi="仿宋" w:eastAsia="仿宋" w:cs="仿宋"/>
          <w:sz w:val="24"/>
          <w:szCs w:val="24"/>
        </w:rPr>
      </w:pPr>
    </w:p>
    <w:p w14:paraId="52D291A6">
      <w:pPr>
        <w:pStyle w:val="2"/>
        <w:rPr>
          <w:rFonts w:hint="eastAsia" w:ascii="仿宋" w:hAnsi="仿宋" w:eastAsia="仿宋" w:cs="仿宋"/>
          <w:sz w:val="24"/>
          <w:szCs w:val="24"/>
        </w:rPr>
      </w:pPr>
    </w:p>
    <w:p w14:paraId="026EEE67">
      <w:pPr>
        <w:rPr>
          <w:rFonts w:hint="eastAsia" w:ascii="仿宋" w:hAnsi="仿宋" w:eastAsia="仿宋" w:cs="仿宋"/>
          <w:sz w:val="24"/>
          <w:szCs w:val="24"/>
        </w:rPr>
      </w:pPr>
    </w:p>
    <w:p w14:paraId="2ECC55AC">
      <w:pPr>
        <w:pStyle w:val="2"/>
        <w:rPr>
          <w:rFonts w:hint="eastAsia" w:ascii="仿宋" w:hAnsi="仿宋" w:eastAsia="仿宋" w:cs="仿宋"/>
          <w:sz w:val="24"/>
          <w:szCs w:val="24"/>
        </w:rPr>
      </w:pPr>
    </w:p>
    <w:p w14:paraId="66E74EDD">
      <w:pPr>
        <w:rPr>
          <w:rFonts w:hint="eastAsia" w:ascii="仿宋" w:hAnsi="仿宋" w:eastAsia="仿宋" w:cs="仿宋"/>
          <w:sz w:val="24"/>
          <w:szCs w:val="24"/>
        </w:rPr>
      </w:pPr>
    </w:p>
    <w:p w14:paraId="589A8861">
      <w:pPr>
        <w:pStyle w:val="2"/>
        <w:rPr>
          <w:rFonts w:hint="eastAsia" w:ascii="仿宋" w:hAnsi="仿宋" w:eastAsia="仿宋" w:cs="仿宋"/>
          <w:sz w:val="24"/>
          <w:szCs w:val="24"/>
        </w:rPr>
      </w:pPr>
    </w:p>
    <w:p w14:paraId="55B23969">
      <w:pPr>
        <w:rPr>
          <w:rFonts w:hint="eastAsia" w:ascii="仿宋" w:hAnsi="仿宋" w:eastAsia="仿宋" w:cs="仿宋"/>
          <w:sz w:val="24"/>
          <w:szCs w:val="24"/>
        </w:rPr>
      </w:pPr>
    </w:p>
    <w:p w14:paraId="445215E3">
      <w:pPr>
        <w:pStyle w:val="2"/>
        <w:keepNext w:val="0"/>
        <w:keepLines w:val="0"/>
        <w:pageBreakBefore w:val="0"/>
        <w:widowControl w:val="0"/>
        <w:tabs>
          <w:tab w:val="left" w:pos="567"/>
        </w:tabs>
        <w:kinsoku/>
        <w:wordWrap/>
        <w:overflowPunct/>
        <w:topLinePunct w:val="0"/>
        <w:autoSpaceDE/>
        <w:autoSpaceDN/>
        <w:bidi w:val="0"/>
        <w:adjustRightInd/>
        <w:snapToGrid/>
        <w:spacing w:before="249" w:line="228" w:lineRule="auto"/>
        <w:jc w:val="center"/>
        <w:textAlignment w:val="auto"/>
        <w:outlineLvl w:val="2"/>
        <w:rPr>
          <w:rFonts w:hint="eastAsia" w:ascii="仿宋" w:hAnsi="仿宋" w:eastAsia="仿宋" w:cs="仿宋"/>
          <w:b/>
          <w:color w:val="auto"/>
          <w:kern w:val="0"/>
          <w:sz w:val="32"/>
          <w:szCs w:val="32"/>
          <w:highlight w:val="none"/>
          <w:u w:val="none"/>
          <w:lang w:val="en-US" w:eastAsia="zh-CN" w:bidi="ar-SA"/>
        </w:rPr>
      </w:pPr>
      <w:bookmarkStart w:id="366" w:name="_Toc216582818"/>
      <w:bookmarkStart w:id="367" w:name="_Toc1980"/>
      <w:bookmarkStart w:id="368" w:name="_Toc23"/>
      <w:bookmarkStart w:id="369" w:name="_Toc32568"/>
      <w:bookmarkStart w:id="370" w:name="_Toc9745"/>
      <w:bookmarkStart w:id="371" w:name="_Toc25996"/>
      <w:bookmarkStart w:id="372" w:name="_Toc515647821"/>
      <w:bookmarkStart w:id="373" w:name="_Toc11991"/>
      <w:r>
        <w:rPr>
          <w:rFonts w:hint="eastAsia" w:ascii="仿宋" w:hAnsi="仿宋" w:eastAsia="仿宋" w:cs="仿宋"/>
          <w:b/>
          <w:color w:val="auto"/>
          <w:kern w:val="0"/>
          <w:sz w:val="32"/>
          <w:szCs w:val="32"/>
          <w:highlight w:val="none"/>
          <w:u w:val="none"/>
          <w:lang w:val="en-US" w:eastAsia="zh-CN" w:bidi="ar-SA"/>
        </w:rPr>
        <w:t>2 商务条款偏离表</w:t>
      </w:r>
      <w:bookmarkEnd w:id="366"/>
      <w:bookmarkEnd w:id="367"/>
      <w:bookmarkEnd w:id="368"/>
      <w:bookmarkEnd w:id="369"/>
      <w:bookmarkEnd w:id="370"/>
      <w:bookmarkEnd w:id="371"/>
      <w:bookmarkEnd w:id="372"/>
      <w:bookmarkEnd w:id="373"/>
    </w:p>
    <w:p w14:paraId="3487B6C8">
      <w:pPr>
        <w:pStyle w:val="12"/>
        <w:spacing w:line="240" w:lineRule="atLeast"/>
        <w:ind w:left="1080" w:leftChars="257" w:hanging="540"/>
        <w:rPr>
          <w:rFonts w:hint="eastAsia" w:ascii="仿宋" w:hAnsi="仿宋" w:eastAsia="仿宋" w:cs="仿宋"/>
          <w:b/>
          <w:color w:val="auto"/>
          <w:kern w:val="0"/>
          <w:sz w:val="24"/>
          <w:szCs w:val="24"/>
          <w:highlight w:val="none"/>
          <w:u w:val="none"/>
          <w:lang w:val="en-US" w:eastAsia="zh-CN" w:bidi="ar-SA"/>
        </w:rPr>
      </w:pPr>
    </w:p>
    <w:p w14:paraId="6EEFA9D1">
      <w:pPr>
        <w:pStyle w:val="12"/>
        <w:spacing w:line="240" w:lineRule="atLeast"/>
        <w:ind w:left="1080" w:leftChars="257" w:hanging="540"/>
        <w:rPr>
          <w:rFonts w:hint="eastAsia" w:ascii="仿宋" w:hAnsi="仿宋" w:eastAsia="仿宋" w:cs="仿宋"/>
          <w:color w:val="auto"/>
          <w:sz w:val="24"/>
          <w:szCs w:val="24"/>
          <w:highlight w:val="none"/>
        </w:rPr>
      </w:pPr>
    </w:p>
    <w:p w14:paraId="0D50C026">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项目编号: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348"/>
        <w:gridCol w:w="2918"/>
        <w:gridCol w:w="1145"/>
      </w:tblGrid>
      <w:tr w14:paraId="48B1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5BC172C">
            <w:pPr>
              <w:pStyle w:val="12"/>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348" w:type="dxa"/>
            <w:noWrap w:val="0"/>
            <w:vAlign w:val="top"/>
          </w:tcPr>
          <w:p w14:paraId="24044285">
            <w:pPr>
              <w:pStyle w:val="12"/>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文件的商务条款</w:t>
            </w:r>
          </w:p>
        </w:tc>
        <w:tc>
          <w:tcPr>
            <w:tcW w:w="2918" w:type="dxa"/>
            <w:noWrap w:val="0"/>
            <w:vAlign w:val="top"/>
          </w:tcPr>
          <w:p w14:paraId="19DD732F">
            <w:pPr>
              <w:pStyle w:val="12"/>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响应文件的商务条款</w:t>
            </w:r>
          </w:p>
        </w:tc>
        <w:tc>
          <w:tcPr>
            <w:tcW w:w="1145" w:type="dxa"/>
            <w:noWrap w:val="0"/>
            <w:vAlign w:val="top"/>
          </w:tcPr>
          <w:p w14:paraId="2B628DE0">
            <w:pPr>
              <w:pStyle w:val="12"/>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013E0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5A62426">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13C0D4C3">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jc w:val="center"/>
              <w:textAlignment w:val="baseline"/>
              <w:rPr>
                <w:rFonts w:hint="eastAsia" w:ascii="仿宋" w:hAnsi="仿宋" w:eastAsia="仿宋" w:cs="仿宋"/>
                <w:color w:val="auto"/>
                <w:sz w:val="24"/>
                <w:szCs w:val="24"/>
                <w:highlight w:val="none"/>
              </w:rPr>
            </w:pPr>
          </w:p>
        </w:tc>
        <w:tc>
          <w:tcPr>
            <w:tcW w:w="2918" w:type="dxa"/>
            <w:noWrap w:val="0"/>
            <w:vAlign w:val="top"/>
          </w:tcPr>
          <w:p w14:paraId="0EF0710F">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jc w:val="center"/>
              <w:textAlignment w:val="baseline"/>
              <w:rPr>
                <w:rFonts w:hint="eastAsia" w:ascii="仿宋" w:hAnsi="仿宋" w:eastAsia="仿宋" w:cs="仿宋"/>
                <w:color w:val="auto"/>
                <w:sz w:val="24"/>
                <w:szCs w:val="24"/>
                <w:highlight w:val="none"/>
              </w:rPr>
            </w:pPr>
          </w:p>
        </w:tc>
        <w:tc>
          <w:tcPr>
            <w:tcW w:w="1145" w:type="dxa"/>
            <w:noWrap w:val="0"/>
            <w:vAlign w:val="top"/>
          </w:tcPr>
          <w:p w14:paraId="1AA02A76">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r w14:paraId="6208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6A7D403">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5C4FB11D">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2918" w:type="dxa"/>
            <w:noWrap w:val="0"/>
            <w:vAlign w:val="top"/>
          </w:tcPr>
          <w:p w14:paraId="378E22F6">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1145" w:type="dxa"/>
            <w:noWrap w:val="0"/>
            <w:vAlign w:val="top"/>
          </w:tcPr>
          <w:p w14:paraId="26ACB068">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r w14:paraId="73A4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95CAA38">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5F083BEE">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2918" w:type="dxa"/>
            <w:noWrap w:val="0"/>
            <w:vAlign w:val="top"/>
          </w:tcPr>
          <w:p w14:paraId="14A22AFB">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1145" w:type="dxa"/>
            <w:noWrap w:val="0"/>
            <w:vAlign w:val="top"/>
          </w:tcPr>
          <w:p w14:paraId="1A8E0B84">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r w14:paraId="36EC7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D53F328">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10BFDF3A">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2918" w:type="dxa"/>
            <w:noWrap w:val="0"/>
            <w:vAlign w:val="top"/>
          </w:tcPr>
          <w:p w14:paraId="343F9713">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1145" w:type="dxa"/>
            <w:noWrap w:val="0"/>
            <w:vAlign w:val="top"/>
          </w:tcPr>
          <w:p w14:paraId="321BD28E">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r w14:paraId="44BE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BD0FA21">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006C59F9">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2918" w:type="dxa"/>
            <w:noWrap w:val="0"/>
            <w:vAlign w:val="top"/>
          </w:tcPr>
          <w:p w14:paraId="0F98D784">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1145" w:type="dxa"/>
            <w:noWrap w:val="0"/>
            <w:vAlign w:val="top"/>
          </w:tcPr>
          <w:p w14:paraId="0AC69EED">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r w14:paraId="39DE1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2B5F19B">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6811DB1C">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2918" w:type="dxa"/>
            <w:noWrap w:val="0"/>
            <w:vAlign w:val="top"/>
          </w:tcPr>
          <w:p w14:paraId="11774021">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1145" w:type="dxa"/>
            <w:noWrap w:val="0"/>
            <w:vAlign w:val="top"/>
          </w:tcPr>
          <w:p w14:paraId="3698D3D9">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r w14:paraId="2BA0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99368A1">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5E82A653">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2918" w:type="dxa"/>
            <w:noWrap w:val="0"/>
            <w:vAlign w:val="top"/>
          </w:tcPr>
          <w:p w14:paraId="1A0FEA0B">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1145" w:type="dxa"/>
            <w:noWrap w:val="0"/>
            <w:vAlign w:val="top"/>
          </w:tcPr>
          <w:p w14:paraId="35E12178">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r w14:paraId="3DAE3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81FE5C7">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256DE2AB">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2918" w:type="dxa"/>
            <w:noWrap w:val="0"/>
            <w:vAlign w:val="top"/>
          </w:tcPr>
          <w:p w14:paraId="67D7C344">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1145" w:type="dxa"/>
            <w:noWrap w:val="0"/>
            <w:vAlign w:val="top"/>
          </w:tcPr>
          <w:p w14:paraId="09C7A536">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r w14:paraId="769A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CC9596E">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6BE213C9">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2918" w:type="dxa"/>
            <w:noWrap w:val="0"/>
            <w:vAlign w:val="top"/>
          </w:tcPr>
          <w:p w14:paraId="1802BC34">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1145" w:type="dxa"/>
            <w:noWrap w:val="0"/>
            <w:vAlign w:val="top"/>
          </w:tcPr>
          <w:p w14:paraId="54F4B17C">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bl>
    <w:p w14:paraId="1068A846">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p w14:paraId="643D261A">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w:t>
      </w:r>
    </w:p>
    <w:p w14:paraId="638AB9CB">
      <w:pPr>
        <w:pStyle w:val="12"/>
        <w:keepNext w:val="0"/>
        <w:keepLines w:val="0"/>
        <w:pageBreakBefore w:val="0"/>
        <w:widowControl/>
        <w:numPr>
          <w:ilvl w:val="0"/>
          <w:numId w:val="6"/>
        </w:numPr>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商务条款</w:t>
      </w:r>
      <w:r>
        <w:rPr>
          <w:rFonts w:hint="eastAsia" w:ascii="仿宋" w:hAnsi="仿宋" w:eastAsia="仿宋" w:cs="仿宋"/>
          <w:b/>
          <w:bCs/>
          <w:color w:val="auto"/>
          <w:sz w:val="24"/>
          <w:szCs w:val="24"/>
          <w:highlight w:val="none"/>
          <w:lang w:eastAsia="zh-CN"/>
        </w:rPr>
        <w:t>包括付款方式、交货地点（履约地点）等</w:t>
      </w:r>
      <w:r>
        <w:rPr>
          <w:rFonts w:hint="eastAsia" w:ascii="仿宋" w:hAnsi="仿宋" w:eastAsia="仿宋" w:cs="仿宋"/>
          <w:color w:val="auto"/>
          <w:sz w:val="24"/>
          <w:szCs w:val="24"/>
          <w:highlight w:val="none"/>
          <w:lang w:eastAsia="zh-CN"/>
        </w:rPr>
        <w:t>内容；</w:t>
      </w:r>
    </w:p>
    <w:p w14:paraId="4814612C">
      <w:pPr>
        <w:pStyle w:val="13"/>
        <w:numPr>
          <w:ilvl w:val="0"/>
          <w:numId w:val="6"/>
        </w:numPr>
        <w:ind w:left="1080" w:leftChars="257" w:hanging="540" w:firstLineChars="0"/>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投标人应对照采购文件要求的商务条款内容，说明已对采购文件要求的商务条款作出了响应或偏离（正偏离/负偏离/无偏离）；</w:t>
      </w:r>
    </w:p>
    <w:p w14:paraId="2E96C5EE">
      <w:pPr>
        <w:pStyle w:val="13"/>
        <w:numPr>
          <w:ilvl w:val="0"/>
          <w:numId w:val="6"/>
        </w:numPr>
        <w:ind w:left="1080" w:leftChars="257" w:hanging="540" w:firstLineChars="0"/>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以上响应/偏离内容投标人认为有必要提供说明或备注应在说明栏中注明该条在响应文件中相关部分（或页码）相应的依据；</w:t>
      </w:r>
    </w:p>
    <w:p w14:paraId="3CA0F411">
      <w:pPr>
        <w:pStyle w:val="13"/>
        <w:numPr>
          <w:ilvl w:val="0"/>
          <w:numId w:val="6"/>
        </w:numPr>
        <w:ind w:left="1080" w:leftChars="257" w:hanging="540" w:firstLineChars="0"/>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供应商所供产品或服务与采购文件要求的商务条款不一致，则需在上表说明栏中注明；</w:t>
      </w:r>
    </w:p>
    <w:p w14:paraId="68047DD1">
      <w:pPr>
        <w:pStyle w:val="13"/>
        <w:numPr>
          <w:ilvl w:val="0"/>
          <w:numId w:val="6"/>
        </w:numPr>
        <w:ind w:left="1080" w:leftChars="257" w:hanging="540" w:firstLineChars="0"/>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如不按要求填写，产生的一切后果由供应商负责。</w:t>
      </w:r>
    </w:p>
    <w:p w14:paraId="27E82794">
      <w:pPr>
        <w:pStyle w:val="13"/>
        <w:numPr>
          <w:ilvl w:val="0"/>
          <w:numId w:val="0"/>
        </w:numPr>
        <w:kinsoku w:val="0"/>
        <w:autoSpaceDE w:val="0"/>
        <w:autoSpaceDN w:val="0"/>
        <w:adjustRightInd w:val="0"/>
        <w:snapToGrid w:val="0"/>
        <w:spacing w:line="240" w:lineRule="auto"/>
        <w:jc w:val="left"/>
        <w:textAlignment w:val="baseline"/>
        <w:rPr>
          <w:rFonts w:hint="eastAsia" w:ascii="仿宋" w:hAnsi="仿宋" w:eastAsia="仿宋" w:cs="仿宋"/>
          <w:color w:val="auto"/>
          <w:sz w:val="24"/>
          <w:szCs w:val="24"/>
          <w:highlight w:val="none"/>
        </w:rPr>
      </w:pPr>
    </w:p>
    <w:p w14:paraId="03AEF174">
      <w:pPr>
        <w:pStyle w:val="13"/>
        <w:numPr>
          <w:ilvl w:val="0"/>
          <w:numId w:val="0"/>
        </w:numPr>
        <w:kinsoku w:val="0"/>
        <w:autoSpaceDE w:val="0"/>
        <w:autoSpaceDN w:val="0"/>
        <w:adjustRightInd w:val="0"/>
        <w:snapToGrid w:val="0"/>
        <w:spacing w:line="240" w:lineRule="auto"/>
        <w:jc w:val="left"/>
        <w:textAlignment w:val="baseline"/>
        <w:rPr>
          <w:rFonts w:hint="eastAsia" w:ascii="仿宋" w:hAnsi="仿宋" w:eastAsia="仿宋" w:cs="仿宋"/>
          <w:color w:val="auto"/>
          <w:sz w:val="24"/>
          <w:szCs w:val="24"/>
          <w:highlight w:val="none"/>
        </w:rPr>
      </w:pPr>
    </w:p>
    <w:p w14:paraId="3CD254BB">
      <w:pPr>
        <w:pStyle w:val="13"/>
        <w:numPr>
          <w:ilvl w:val="0"/>
          <w:numId w:val="0"/>
        </w:numPr>
        <w:kinsoku w:val="0"/>
        <w:autoSpaceDE w:val="0"/>
        <w:autoSpaceDN w:val="0"/>
        <w:adjustRightInd w:val="0"/>
        <w:snapToGrid w:val="0"/>
        <w:spacing w:line="240" w:lineRule="auto"/>
        <w:jc w:val="left"/>
        <w:textAlignment w:val="baseline"/>
        <w:rPr>
          <w:rFonts w:hint="eastAsia" w:ascii="仿宋" w:hAnsi="仿宋" w:eastAsia="仿宋" w:cs="仿宋"/>
          <w:color w:val="auto"/>
          <w:sz w:val="24"/>
          <w:szCs w:val="24"/>
          <w:highlight w:val="none"/>
        </w:rPr>
      </w:pPr>
    </w:p>
    <w:p w14:paraId="14E74F8E">
      <w:pPr>
        <w:pStyle w:val="13"/>
        <w:numPr>
          <w:ilvl w:val="0"/>
          <w:numId w:val="0"/>
        </w:numPr>
        <w:kinsoku w:val="0"/>
        <w:autoSpaceDE w:val="0"/>
        <w:autoSpaceDN w:val="0"/>
        <w:adjustRightInd w:val="0"/>
        <w:snapToGrid w:val="0"/>
        <w:spacing w:line="240" w:lineRule="auto"/>
        <w:jc w:val="left"/>
        <w:textAlignment w:val="baseline"/>
        <w:rPr>
          <w:rFonts w:hint="eastAsia" w:ascii="仿宋" w:hAnsi="仿宋" w:eastAsia="仿宋" w:cs="仿宋"/>
          <w:color w:val="auto"/>
          <w:sz w:val="24"/>
          <w:szCs w:val="24"/>
          <w:highlight w:val="none"/>
        </w:rPr>
      </w:pPr>
    </w:p>
    <w:p w14:paraId="3F2F50AA">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p>
    <w:p w14:paraId="6A6A7BF4">
      <w:pPr>
        <w:pStyle w:val="12"/>
        <w:keepNext w:val="0"/>
        <w:keepLines w:val="0"/>
        <w:pageBreakBefore w:val="0"/>
        <w:widowControl/>
        <w:tabs>
          <w:tab w:val="left" w:pos="5370"/>
        </w:tabs>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供应商(盖单位章):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lang w:val="en-US" w:eastAsia="zh-CN"/>
        </w:rPr>
        <w:t xml:space="preserve">       </w:t>
      </w:r>
    </w:p>
    <w:p w14:paraId="3C3B85C3">
      <w:pPr>
        <w:pStyle w:val="7"/>
        <w:rPr>
          <w:rFonts w:hint="eastAsia" w:ascii="仿宋" w:hAnsi="仿宋" w:eastAsia="仿宋" w:cs="仿宋"/>
          <w:color w:val="auto"/>
          <w:sz w:val="24"/>
          <w:szCs w:val="24"/>
          <w:highlight w:val="none"/>
        </w:rPr>
      </w:pPr>
    </w:p>
    <w:p w14:paraId="7447AF1E">
      <w:pPr>
        <w:pStyle w:val="27"/>
        <w:rPr>
          <w:rFonts w:hint="eastAsia" w:ascii="仿宋" w:hAnsi="仿宋" w:eastAsia="仿宋" w:cs="仿宋"/>
          <w:color w:val="auto"/>
          <w:sz w:val="24"/>
          <w:szCs w:val="24"/>
          <w:highlight w:val="none"/>
        </w:rPr>
      </w:pPr>
    </w:p>
    <w:p w14:paraId="6857C03F">
      <w:pPr>
        <w:pStyle w:val="27"/>
        <w:rPr>
          <w:rFonts w:hint="eastAsia" w:ascii="仿宋" w:hAnsi="仿宋" w:eastAsia="仿宋" w:cs="仿宋"/>
          <w:color w:val="auto"/>
          <w:sz w:val="24"/>
          <w:szCs w:val="24"/>
          <w:highlight w:val="none"/>
        </w:rPr>
      </w:pPr>
    </w:p>
    <w:p w14:paraId="5385C2B8">
      <w:pPr>
        <w:pStyle w:val="27"/>
        <w:rPr>
          <w:rFonts w:hint="eastAsia" w:ascii="仿宋" w:hAnsi="仿宋" w:eastAsia="仿宋" w:cs="仿宋"/>
          <w:color w:val="auto"/>
          <w:sz w:val="24"/>
          <w:szCs w:val="24"/>
          <w:highlight w:val="none"/>
        </w:rPr>
      </w:pPr>
    </w:p>
    <w:p w14:paraId="2F8A9C2E">
      <w:pPr>
        <w:pStyle w:val="27"/>
        <w:rPr>
          <w:rFonts w:hint="eastAsia" w:ascii="仿宋" w:hAnsi="仿宋" w:eastAsia="仿宋" w:cs="仿宋"/>
          <w:color w:val="auto"/>
          <w:sz w:val="24"/>
          <w:szCs w:val="24"/>
          <w:highlight w:val="none"/>
        </w:rPr>
      </w:pPr>
    </w:p>
    <w:p w14:paraId="0FD56D3F">
      <w:pPr>
        <w:pStyle w:val="27"/>
        <w:rPr>
          <w:rFonts w:hint="eastAsia" w:ascii="仿宋" w:hAnsi="仿宋" w:eastAsia="仿宋" w:cs="仿宋"/>
          <w:color w:val="auto"/>
          <w:sz w:val="24"/>
          <w:szCs w:val="24"/>
          <w:highlight w:val="none"/>
        </w:rPr>
      </w:pPr>
    </w:p>
    <w:p w14:paraId="376F69EB">
      <w:pPr>
        <w:pStyle w:val="27"/>
        <w:rPr>
          <w:rFonts w:hint="eastAsia" w:ascii="仿宋" w:hAnsi="仿宋" w:eastAsia="仿宋" w:cs="仿宋"/>
          <w:color w:val="auto"/>
          <w:sz w:val="24"/>
          <w:szCs w:val="24"/>
          <w:highlight w:val="none"/>
        </w:rPr>
      </w:pPr>
    </w:p>
    <w:p w14:paraId="73D06A96">
      <w:pPr>
        <w:pStyle w:val="27"/>
        <w:rPr>
          <w:rFonts w:hint="eastAsia" w:ascii="仿宋" w:hAnsi="仿宋" w:eastAsia="仿宋" w:cs="仿宋"/>
          <w:color w:val="auto"/>
          <w:sz w:val="24"/>
          <w:szCs w:val="24"/>
          <w:highlight w:val="none"/>
        </w:rPr>
      </w:pPr>
    </w:p>
    <w:p w14:paraId="3795837D">
      <w:pPr>
        <w:pStyle w:val="27"/>
        <w:ind w:left="0" w:leftChars="0" w:firstLine="0" w:firstLineChars="0"/>
        <w:rPr>
          <w:rFonts w:hint="eastAsia" w:ascii="仿宋" w:hAnsi="仿宋" w:eastAsia="仿宋" w:cs="仿宋"/>
          <w:color w:val="auto"/>
          <w:sz w:val="24"/>
          <w:szCs w:val="24"/>
          <w:highlight w:val="none"/>
        </w:rPr>
      </w:pPr>
    </w:p>
    <w:p w14:paraId="23108E54">
      <w:pPr>
        <w:pStyle w:val="2"/>
        <w:keepNext w:val="0"/>
        <w:keepLines w:val="0"/>
        <w:pageBreakBefore w:val="0"/>
        <w:widowControl w:val="0"/>
        <w:tabs>
          <w:tab w:val="left" w:pos="567"/>
        </w:tabs>
        <w:kinsoku/>
        <w:wordWrap/>
        <w:overflowPunct/>
        <w:topLinePunct w:val="0"/>
        <w:autoSpaceDE/>
        <w:autoSpaceDN/>
        <w:bidi w:val="0"/>
        <w:adjustRightInd/>
        <w:snapToGrid/>
        <w:spacing w:before="249" w:line="228" w:lineRule="auto"/>
        <w:jc w:val="center"/>
        <w:textAlignment w:val="auto"/>
        <w:outlineLvl w:val="2"/>
        <w:rPr>
          <w:rFonts w:hint="eastAsia" w:ascii="仿宋" w:hAnsi="仿宋" w:eastAsia="仿宋" w:cs="仿宋"/>
          <w:b/>
          <w:color w:val="auto"/>
          <w:kern w:val="0"/>
          <w:sz w:val="32"/>
          <w:szCs w:val="32"/>
          <w:highlight w:val="none"/>
          <w:u w:val="none"/>
          <w:lang w:val="en-US" w:eastAsia="zh-CN" w:bidi="ar-SA"/>
        </w:rPr>
      </w:pPr>
      <w:bookmarkStart w:id="374" w:name="_Toc16775"/>
      <w:bookmarkStart w:id="375" w:name="_Toc1260"/>
      <w:bookmarkStart w:id="376" w:name="_Toc22912"/>
      <w:r>
        <w:rPr>
          <w:rFonts w:hint="eastAsia" w:ascii="仿宋" w:hAnsi="仿宋" w:eastAsia="仿宋" w:cs="仿宋"/>
          <w:b/>
          <w:color w:val="auto"/>
          <w:kern w:val="0"/>
          <w:sz w:val="32"/>
          <w:szCs w:val="32"/>
          <w:highlight w:val="none"/>
          <w:u w:val="none"/>
          <w:lang w:val="en-US" w:eastAsia="zh-CN" w:bidi="ar-SA"/>
        </w:rPr>
        <w:t>3 供应商关联单位的说明</w:t>
      </w:r>
      <w:bookmarkEnd w:id="374"/>
      <w:bookmarkEnd w:id="375"/>
      <w:bookmarkEnd w:id="376"/>
    </w:p>
    <w:p w14:paraId="6DE1AC3E">
      <w:pPr>
        <w:pStyle w:val="7"/>
        <w:keepNext w:val="0"/>
        <w:keepLines w:val="0"/>
        <w:pageBreakBefore w:val="0"/>
        <w:wordWrap/>
        <w:overflowPunct/>
        <w:topLinePunct w:val="0"/>
        <w:autoSpaceDE w:val="0"/>
        <w:autoSpaceDN w:val="0"/>
        <w:bidi w:val="0"/>
        <w:adjustRightInd w:val="0"/>
        <w:jc w:val="center"/>
        <w:rPr>
          <w:rFonts w:hint="eastAsia" w:ascii="仿宋" w:hAnsi="仿宋" w:eastAsia="仿宋" w:cs="仿宋"/>
          <w:b/>
          <w:color w:val="auto"/>
          <w:kern w:val="0"/>
          <w:sz w:val="24"/>
          <w:szCs w:val="24"/>
          <w:highlight w:val="none"/>
          <w:u w:val="none"/>
          <w:lang w:val="en-US" w:eastAsia="zh-CN" w:bidi="ar-SA"/>
        </w:rPr>
      </w:pPr>
    </w:p>
    <w:p w14:paraId="669DF18B">
      <w:pPr>
        <w:pStyle w:val="7"/>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说明：供应商应当如实披露与本单位存在下列关联关系的单位名称：</w:t>
      </w:r>
    </w:p>
    <w:p w14:paraId="00D71F73">
      <w:pPr>
        <w:pStyle w:val="7"/>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（1）与供应商单位负责人为同一人的其他单位；</w:t>
      </w:r>
    </w:p>
    <w:p w14:paraId="58C5450B">
      <w:pPr>
        <w:pStyle w:val="7"/>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（2）与供应商存在直接控股、管理关系的其他单位。</w:t>
      </w:r>
    </w:p>
    <w:p w14:paraId="767DDA1D">
      <w:pPr>
        <w:pStyle w:val="2"/>
        <w:keepNext w:val="0"/>
        <w:keepLines w:val="0"/>
        <w:pageBreakBefore w:val="0"/>
        <w:widowControl w:val="0"/>
        <w:tabs>
          <w:tab w:val="left" w:pos="567"/>
        </w:tabs>
        <w:kinsoku/>
        <w:wordWrap/>
        <w:overflowPunct/>
        <w:topLinePunct w:val="0"/>
        <w:bidi w:val="0"/>
        <w:snapToGrid/>
        <w:spacing w:before="92" w:line="219" w:lineRule="auto"/>
        <w:ind w:left="3470" w:firstLine="229" w:firstLineChars="100"/>
        <w:textAlignment w:val="auto"/>
        <w:rPr>
          <w:rFonts w:hint="eastAsia" w:ascii="仿宋" w:hAnsi="仿宋" w:eastAsia="仿宋" w:cs="仿宋"/>
          <w:b/>
          <w:bCs/>
          <w:color w:val="auto"/>
          <w:spacing w:val="-6"/>
          <w:sz w:val="24"/>
          <w:szCs w:val="24"/>
          <w:highlight w:val="none"/>
          <w:lang w:val="en-US" w:eastAsia="zh-CN"/>
        </w:rPr>
      </w:pPr>
    </w:p>
    <w:p w14:paraId="78B5901C">
      <w:pPr>
        <w:rPr>
          <w:rFonts w:hint="eastAsia" w:ascii="仿宋" w:hAnsi="仿宋" w:eastAsia="仿宋" w:cs="仿宋"/>
          <w:sz w:val="24"/>
          <w:szCs w:val="24"/>
        </w:rPr>
      </w:pPr>
    </w:p>
    <w:p w14:paraId="6727765C">
      <w:pPr>
        <w:pStyle w:val="2"/>
        <w:keepNext w:val="0"/>
        <w:keepLines w:val="0"/>
        <w:pageBreakBefore w:val="0"/>
        <w:widowControl w:val="0"/>
        <w:tabs>
          <w:tab w:val="left" w:pos="567"/>
        </w:tabs>
        <w:kinsoku/>
        <w:wordWrap/>
        <w:overflowPunct/>
        <w:topLinePunct w:val="0"/>
        <w:autoSpaceDE/>
        <w:autoSpaceDN/>
        <w:bidi w:val="0"/>
        <w:adjustRightInd/>
        <w:snapToGrid/>
        <w:spacing w:before="249" w:line="228" w:lineRule="auto"/>
        <w:jc w:val="center"/>
        <w:textAlignment w:val="auto"/>
        <w:outlineLvl w:val="2"/>
        <w:rPr>
          <w:rFonts w:hint="eastAsia" w:ascii="仿宋" w:hAnsi="仿宋" w:eastAsia="仿宋" w:cs="仿宋"/>
          <w:b/>
          <w:color w:val="auto"/>
          <w:kern w:val="0"/>
          <w:sz w:val="32"/>
          <w:szCs w:val="32"/>
          <w:highlight w:val="none"/>
          <w:u w:val="none"/>
          <w:lang w:val="en-US" w:eastAsia="zh-CN" w:bidi="ar-SA"/>
        </w:rPr>
      </w:pPr>
      <w:bookmarkStart w:id="377" w:name="_Toc10403"/>
      <w:r>
        <w:rPr>
          <w:rFonts w:hint="eastAsia" w:ascii="仿宋" w:hAnsi="仿宋" w:eastAsia="仿宋" w:cs="仿宋"/>
          <w:b/>
          <w:color w:val="auto"/>
          <w:kern w:val="0"/>
          <w:sz w:val="32"/>
          <w:szCs w:val="32"/>
          <w:highlight w:val="none"/>
          <w:u w:val="none"/>
          <w:lang w:val="en-US" w:eastAsia="zh-CN" w:bidi="ar-SA"/>
        </w:rPr>
        <w:t>4 附  录</w:t>
      </w:r>
      <w:bookmarkEnd w:id="377"/>
    </w:p>
    <w:p w14:paraId="1591E3BD">
      <w:pPr>
        <w:pStyle w:val="2"/>
        <w:keepNext w:val="0"/>
        <w:keepLines w:val="0"/>
        <w:pageBreakBefore w:val="0"/>
        <w:widowControl/>
        <w:shd w:val="clear"/>
        <w:kinsoku w:val="0"/>
        <w:wordWrap/>
        <w:overflowPunct/>
        <w:topLinePunct w:val="0"/>
        <w:autoSpaceDE w:val="0"/>
        <w:autoSpaceDN w:val="0"/>
        <w:bidi w:val="0"/>
        <w:adjustRightInd w:val="0"/>
        <w:snapToGrid w:val="0"/>
        <w:spacing w:before="188" w:line="228"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项目名称：</w:t>
      </w:r>
    </w:p>
    <w:p w14:paraId="7EE86EBA">
      <w:pPr>
        <w:keepNext w:val="0"/>
        <w:keepLines w:val="0"/>
        <w:pageBreakBefore w:val="0"/>
        <w:widowControl/>
        <w:shd w:val="clear"/>
        <w:kinsoku w:val="0"/>
        <w:wordWrap/>
        <w:overflowPunct/>
        <w:topLinePunct w:val="0"/>
        <w:autoSpaceDE w:val="0"/>
        <w:autoSpaceDN w:val="0"/>
        <w:bidi w:val="0"/>
        <w:adjustRightInd w:val="0"/>
        <w:snapToGrid w:val="0"/>
        <w:spacing w:line="19" w:lineRule="exact"/>
        <w:textAlignment w:val="baseline"/>
        <w:rPr>
          <w:rFonts w:hint="eastAsia" w:ascii="仿宋" w:hAnsi="仿宋" w:eastAsia="仿宋" w:cs="仿宋"/>
          <w:color w:val="auto"/>
          <w:sz w:val="24"/>
          <w:szCs w:val="24"/>
          <w:highlight w:val="none"/>
        </w:rPr>
      </w:pPr>
    </w:p>
    <w:tbl>
      <w:tblPr>
        <w:tblStyle w:val="26"/>
        <w:tblW w:w="9287" w:type="dxa"/>
        <w:tblInd w:w="1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3150"/>
        <w:gridCol w:w="2122"/>
        <w:gridCol w:w="2403"/>
        <w:gridCol w:w="881"/>
      </w:tblGrid>
      <w:tr w14:paraId="1C402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31" w:type="dxa"/>
            <w:vAlign w:val="top"/>
          </w:tcPr>
          <w:p w14:paraId="4F74D4BE">
            <w:pPr>
              <w:pStyle w:val="28"/>
              <w:keepNext w:val="0"/>
              <w:keepLines w:val="0"/>
              <w:pageBreakBefore w:val="0"/>
              <w:widowControl/>
              <w:shd w:val="clear"/>
              <w:kinsoku w:val="0"/>
              <w:wordWrap/>
              <w:overflowPunct/>
              <w:topLinePunct w:val="0"/>
              <w:autoSpaceDE w:val="0"/>
              <w:autoSpaceDN w:val="0"/>
              <w:bidi w:val="0"/>
              <w:adjustRightInd w:val="0"/>
              <w:snapToGrid w:val="0"/>
              <w:spacing w:before="150" w:line="221" w:lineRule="auto"/>
              <w:ind w:left="130"/>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序号</w:t>
            </w:r>
          </w:p>
        </w:tc>
        <w:tc>
          <w:tcPr>
            <w:tcW w:w="3150" w:type="dxa"/>
            <w:vAlign w:val="top"/>
          </w:tcPr>
          <w:p w14:paraId="422B083B">
            <w:pPr>
              <w:pStyle w:val="28"/>
              <w:keepNext w:val="0"/>
              <w:keepLines w:val="0"/>
              <w:pageBreakBefore w:val="0"/>
              <w:widowControl/>
              <w:shd w:val="clear"/>
              <w:kinsoku w:val="0"/>
              <w:wordWrap/>
              <w:overflowPunct/>
              <w:topLinePunct w:val="0"/>
              <w:autoSpaceDE w:val="0"/>
              <w:autoSpaceDN w:val="0"/>
              <w:bidi w:val="0"/>
              <w:adjustRightInd w:val="0"/>
              <w:snapToGrid w:val="0"/>
              <w:spacing w:before="151" w:line="219" w:lineRule="auto"/>
              <w:ind w:left="1101"/>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条款内容</w:t>
            </w:r>
          </w:p>
        </w:tc>
        <w:tc>
          <w:tcPr>
            <w:tcW w:w="2122" w:type="dxa"/>
            <w:vAlign w:val="top"/>
          </w:tcPr>
          <w:p w14:paraId="6D472FA4">
            <w:pPr>
              <w:pStyle w:val="28"/>
              <w:keepNext w:val="0"/>
              <w:keepLines w:val="0"/>
              <w:pageBreakBefore w:val="0"/>
              <w:widowControl/>
              <w:shd w:val="clear"/>
              <w:kinsoku w:val="0"/>
              <w:wordWrap/>
              <w:overflowPunct/>
              <w:topLinePunct w:val="0"/>
              <w:autoSpaceDE w:val="0"/>
              <w:autoSpaceDN w:val="0"/>
              <w:bidi w:val="0"/>
              <w:adjustRightInd w:val="0"/>
              <w:snapToGrid w:val="0"/>
              <w:spacing w:before="150" w:line="219" w:lineRule="auto"/>
              <w:ind w:left="341"/>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采购人要求</w:t>
            </w:r>
          </w:p>
        </w:tc>
        <w:tc>
          <w:tcPr>
            <w:tcW w:w="2403" w:type="dxa"/>
            <w:vAlign w:val="top"/>
          </w:tcPr>
          <w:p w14:paraId="5171AED0">
            <w:pPr>
              <w:pStyle w:val="28"/>
              <w:keepNext w:val="0"/>
              <w:keepLines w:val="0"/>
              <w:pageBreakBefore w:val="0"/>
              <w:widowControl/>
              <w:shd w:val="clear"/>
              <w:kinsoku w:val="0"/>
              <w:wordWrap/>
              <w:overflowPunct/>
              <w:topLinePunct w:val="0"/>
              <w:autoSpaceDE w:val="0"/>
              <w:autoSpaceDN w:val="0"/>
              <w:bidi w:val="0"/>
              <w:adjustRightInd w:val="0"/>
              <w:snapToGrid w:val="0"/>
              <w:spacing w:before="151" w:line="219" w:lineRule="auto"/>
              <w:ind w:left="721"/>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投标人承诺</w:t>
            </w:r>
          </w:p>
        </w:tc>
        <w:tc>
          <w:tcPr>
            <w:tcW w:w="881" w:type="dxa"/>
            <w:vAlign w:val="top"/>
          </w:tcPr>
          <w:p w14:paraId="6A38370C">
            <w:pPr>
              <w:pStyle w:val="28"/>
              <w:keepNext w:val="0"/>
              <w:keepLines w:val="0"/>
              <w:pageBreakBefore w:val="0"/>
              <w:widowControl/>
              <w:shd w:val="clear"/>
              <w:kinsoku w:val="0"/>
              <w:wordWrap/>
              <w:overflowPunct/>
              <w:topLinePunct w:val="0"/>
              <w:autoSpaceDE w:val="0"/>
              <w:autoSpaceDN w:val="0"/>
              <w:bidi w:val="0"/>
              <w:adjustRightInd w:val="0"/>
              <w:snapToGrid w:val="0"/>
              <w:spacing w:before="150" w:line="221" w:lineRule="auto"/>
              <w:ind w:left="302"/>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9"/>
                <w:sz w:val="24"/>
                <w:szCs w:val="24"/>
                <w:highlight w:val="none"/>
              </w:rPr>
              <w:t>备注</w:t>
            </w:r>
          </w:p>
        </w:tc>
      </w:tr>
      <w:tr w14:paraId="3AE6FE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731" w:type="dxa"/>
            <w:vAlign w:val="top"/>
          </w:tcPr>
          <w:p w14:paraId="30DBD4D0">
            <w:pPr>
              <w:keepNext w:val="0"/>
              <w:keepLines w:val="0"/>
              <w:pageBreakBefore w:val="0"/>
              <w:widowControl/>
              <w:shd w:val="clear"/>
              <w:kinsoku w:val="0"/>
              <w:wordWrap/>
              <w:overflowPunct/>
              <w:topLinePunct w:val="0"/>
              <w:autoSpaceDE w:val="0"/>
              <w:autoSpaceDN w:val="0"/>
              <w:bidi w:val="0"/>
              <w:adjustRightInd w:val="0"/>
              <w:snapToGrid w:val="0"/>
              <w:spacing w:line="275" w:lineRule="auto"/>
              <w:textAlignment w:val="baseline"/>
              <w:rPr>
                <w:rFonts w:hint="eastAsia" w:ascii="仿宋" w:hAnsi="仿宋" w:eastAsia="仿宋" w:cs="仿宋"/>
                <w:color w:val="auto"/>
                <w:sz w:val="24"/>
                <w:szCs w:val="24"/>
                <w:highlight w:val="none"/>
              </w:rPr>
            </w:pPr>
          </w:p>
          <w:p w14:paraId="68E0796F">
            <w:pPr>
              <w:pStyle w:val="28"/>
              <w:keepNext w:val="0"/>
              <w:keepLines w:val="0"/>
              <w:pageBreakBefore w:val="0"/>
              <w:widowControl/>
              <w:shd w:val="clear"/>
              <w:kinsoku w:val="0"/>
              <w:wordWrap/>
              <w:overflowPunct/>
              <w:topLinePunct w:val="0"/>
              <w:autoSpaceDE w:val="0"/>
              <w:autoSpaceDN w:val="0"/>
              <w:bidi w:val="0"/>
              <w:adjustRightInd w:val="0"/>
              <w:snapToGrid w:val="0"/>
              <w:spacing w:before="78" w:line="184" w:lineRule="auto"/>
              <w:ind w:left="329"/>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150" w:type="dxa"/>
            <w:vAlign w:val="center"/>
          </w:tcPr>
          <w:p w14:paraId="4DD1FF49">
            <w:pPr>
              <w:pStyle w:val="28"/>
              <w:keepNext w:val="0"/>
              <w:keepLines w:val="0"/>
              <w:pageBreakBefore w:val="0"/>
              <w:widowControl/>
              <w:shd w:val="clear"/>
              <w:kinsoku w:val="0"/>
              <w:wordWrap/>
              <w:overflowPunct/>
              <w:topLinePunct w:val="0"/>
              <w:autoSpaceDE w:val="0"/>
              <w:autoSpaceDN w:val="0"/>
              <w:bidi w:val="0"/>
              <w:adjustRightInd w:val="0"/>
              <w:snapToGrid w:val="0"/>
              <w:spacing w:before="318" w:line="22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项目经理</w:t>
            </w:r>
          </w:p>
        </w:tc>
        <w:tc>
          <w:tcPr>
            <w:tcW w:w="2122" w:type="dxa"/>
            <w:vAlign w:val="center"/>
          </w:tcPr>
          <w:p w14:paraId="762D99E1">
            <w:pPr>
              <w:pStyle w:val="28"/>
              <w:keepNext w:val="0"/>
              <w:keepLines w:val="0"/>
              <w:pageBreakBefore w:val="0"/>
              <w:widowControl/>
              <w:shd w:val="clear"/>
              <w:kinsoku w:val="0"/>
              <w:wordWrap/>
              <w:overflowPunct/>
              <w:topLinePunct w:val="0"/>
              <w:autoSpaceDE w:val="0"/>
              <w:autoSpaceDN w:val="0"/>
              <w:bidi w:val="0"/>
              <w:adjustRightInd w:val="0"/>
              <w:snapToGrid w:val="0"/>
              <w:spacing w:before="105" w:line="257" w:lineRule="auto"/>
              <w:ind w:right="104"/>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投标人须知资料表</w:t>
            </w:r>
          </w:p>
        </w:tc>
        <w:tc>
          <w:tcPr>
            <w:tcW w:w="2403" w:type="dxa"/>
            <w:vAlign w:val="top"/>
          </w:tcPr>
          <w:p w14:paraId="00A4D585">
            <w:pPr>
              <w:pStyle w:val="28"/>
              <w:keepNext w:val="0"/>
              <w:keepLines w:val="0"/>
              <w:pageBreakBefore w:val="0"/>
              <w:widowControl/>
              <w:shd w:val="clear"/>
              <w:kinsoku w:val="0"/>
              <w:wordWrap/>
              <w:overflowPunct/>
              <w:topLinePunct w:val="0"/>
              <w:autoSpaceDE w:val="0"/>
              <w:autoSpaceDN w:val="0"/>
              <w:bidi w:val="0"/>
              <w:adjustRightInd w:val="0"/>
              <w:snapToGrid w:val="0"/>
              <w:spacing w:before="318" w:line="219" w:lineRule="auto"/>
              <w:ind w:left="116"/>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姓名：</w:t>
            </w:r>
            <w:r>
              <w:rPr>
                <w:rFonts w:hint="eastAsia" w:ascii="仿宋" w:hAnsi="仿宋" w:eastAsia="仿宋" w:cs="仿宋"/>
                <w:color w:val="auto"/>
                <w:sz w:val="24"/>
                <w:szCs w:val="24"/>
                <w:highlight w:val="none"/>
                <w:u w:val="single" w:color="auto"/>
              </w:rPr>
              <w:t xml:space="preserve">           </w:t>
            </w:r>
          </w:p>
        </w:tc>
        <w:tc>
          <w:tcPr>
            <w:tcW w:w="881" w:type="dxa"/>
            <w:vAlign w:val="top"/>
          </w:tcPr>
          <w:p w14:paraId="4EDB187E">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08ECE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1" w:type="dxa"/>
            <w:vAlign w:val="top"/>
          </w:tcPr>
          <w:p w14:paraId="58448120">
            <w:pPr>
              <w:pStyle w:val="28"/>
              <w:keepNext w:val="0"/>
              <w:keepLines w:val="0"/>
              <w:pageBreakBefore w:val="0"/>
              <w:widowControl/>
              <w:shd w:val="clear"/>
              <w:kinsoku w:val="0"/>
              <w:wordWrap/>
              <w:overflowPunct/>
              <w:topLinePunct w:val="0"/>
              <w:autoSpaceDE w:val="0"/>
              <w:autoSpaceDN w:val="0"/>
              <w:bidi w:val="0"/>
              <w:adjustRightInd w:val="0"/>
              <w:snapToGrid w:val="0"/>
              <w:spacing w:before="186" w:line="183" w:lineRule="auto"/>
              <w:ind w:left="314"/>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150" w:type="dxa"/>
            <w:vAlign w:val="center"/>
          </w:tcPr>
          <w:p w14:paraId="01A7851D">
            <w:pPr>
              <w:pStyle w:val="28"/>
              <w:keepNext w:val="0"/>
              <w:keepLines w:val="0"/>
              <w:pageBreakBefore w:val="0"/>
              <w:widowControl/>
              <w:shd w:val="clear"/>
              <w:kinsoku w:val="0"/>
              <w:wordWrap/>
              <w:overflowPunct/>
              <w:topLinePunct w:val="0"/>
              <w:autoSpaceDE w:val="0"/>
              <w:autoSpaceDN w:val="0"/>
              <w:bidi w:val="0"/>
              <w:adjustRightInd w:val="0"/>
              <w:snapToGrid w:val="0"/>
              <w:spacing w:before="148" w:line="22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工期</w:t>
            </w:r>
          </w:p>
        </w:tc>
        <w:tc>
          <w:tcPr>
            <w:tcW w:w="2122" w:type="dxa"/>
            <w:vAlign w:val="center"/>
          </w:tcPr>
          <w:p w14:paraId="617A05AC">
            <w:pPr>
              <w:pStyle w:val="28"/>
              <w:keepNext w:val="0"/>
              <w:keepLines w:val="0"/>
              <w:pageBreakBefore w:val="0"/>
              <w:widowControl/>
              <w:shd w:val="clear"/>
              <w:kinsoku w:val="0"/>
              <w:wordWrap/>
              <w:overflowPunct/>
              <w:topLinePunct w:val="0"/>
              <w:autoSpaceDE w:val="0"/>
              <w:autoSpaceDN w:val="0"/>
              <w:bidi w:val="0"/>
              <w:adjustRightInd w:val="0"/>
              <w:snapToGrid w:val="0"/>
              <w:spacing w:before="134" w:line="22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7"/>
                <w:sz w:val="24"/>
                <w:szCs w:val="24"/>
                <w:highlight w:val="none"/>
              </w:rPr>
              <w:t>日历天</w:t>
            </w:r>
          </w:p>
        </w:tc>
        <w:tc>
          <w:tcPr>
            <w:tcW w:w="2403" w:type="dxa"/>
            <w:vAlign w:val="top"/>
          </w:tcPr>
          <w:p w14:paraId="237E88E3">
            <w:pPr>
              <w:pStyle w:val="28"/>
              <w:keepNext w:val="0"/>
              <w:keepLines w:val="0"/>
              <w:pageBreakBefore w:val="0"/>
              <w:widowControl/>
              <w:shd w:val="clear"/>
              <w:kinsoku w:val="0"/>
              <w:wordWrap/>
              <w:overflowPunct/>
              <w:topLinePunct w:val="0"/>
              <w:autoSpaceDE w:val="0"/>
              <w:autoSpaceDN w:val="0"/>
              <w:bidi w:val="0"/>
              <w:adjustRightInd w:val="0"/>
              <w:snapToGrid w:val="0"/>
              <w:spacing w:before="148" w:line="219" w:lineRule="auto"/>
              <w:ind w:left="12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天数：</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70"/>
                <w:sz w:val="24"/>
                <w:szCs w:val="24"/>
                <w:highlight w:val="none"/>
              </w:rPr>
              <w:t xml:space="preserve"> </w:t>
            </w:r>
            <w:r>
              <w:rPr>
                <w:rFonts w:hint="eastAsia" w:ascii="仿宋" w:hAnsi="仿宋" w:eastAsia="仿宋" w:cs="仿宋"/>
                <w:color w:val="auto"/>
                <w:spacing w:val="-11"/>
                <w:sz w:val="24"/>
                <w:szCs w:val="24"/>
                <w:highlight w:val="none"/>
              </w:rPr>
              <w:t>日历天</w:t>
            </w:r>
          </w:p>
        </w:tc>
        <w:tc>
          <w:tcPr>
            <w:tcW w:w="881" w:type="dxa"/>
            <w:vAlign w:val="top"/>
          </w:tcPr>
          <w:p w14:paraId="7D58DC02">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70D44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731" w:type="dxa"/>
            <w:vAlign w:val="top"/>
          </w:tcPr>
          <w:p w14:paraId="5646B6EF">
            <w:pPr>
              <w:pStyle w:val="28"/>
              <w:keepNext w:val="0"/>
              <w:keepLines w:val="0"/>
              <w:pageBreakBefore w:val="0"/>
              <w:widowControl/>
              <w:shd w:val="clear"/>
              <w:kinsoku w:val="0"/>
              <w:wordWrap/>
              <w:overflowPunct/>
              <w:topLinePunct w:val="0"/>
              <w:autoSpaceDE w:val="0"/>
              <w:autoSpaceDN w:val="0"/>
              <w:bidi w:val="0"/>
              <w:adjustRightInd w:val="0"/>
              <w:snapToGrid w:val="0"/>
              <w:spacing w:before="218" w:line="183" w:lineRule="auto"/>
              <w:ind w:left="316"/>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150" w:type="dxa"/>
            <w:vAlign w:val="center"/>
          </w:tcPr>
          <w:p w14:paraId="5E8EA99C">
            <w:pPr>
              <w:pStyle w:val="28"/>
              <w:keepNext w:val="0"/>
              <w:keepLines w:val="0"/>
              <w:pageBreakBefore w:val="0"/>
              <w:widowControl/>
              <w:shd w:val="clear"/>
              <w:kinsoku w:val="0"/>
              <w:wordWrap/>
              <w:overflowPunct/>
              <w:topLinePunct w:val="0"/>
              <w:autoSpaceDE w:val="0"/>
              <w:autoSpaceDN w:val="0"/>
              <w:bidi w:val="0"/>
              <w:adjustRightInd w:val="0"/>
              <w:snapToGrid w:val="0"/>
              <w:spacing w:before="180" w:line="22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质量标准</w:t>
            </w:r>
          </w:p>
        </w:tc>
        <w:tc>
          <w:tcPr>
            <w:tcW w:w="2122" w:type="dxa"/>
            <w:vAlign w:val="center"/>
          </w:tcPr>
          <w:p w14:paraId="32ECFBA0">
            <w:pPr>
              <w:pStyle w:val="28"/>
              <w:keepNext w:val="0"/>
              <w:keepLines w:val="0"/>
              <w:pageBreakBefore w:val="0"/>
              <w:widowControl/>
              <w:shd w:val="clear"/>
              <w:kinsoku w:val="0"/>
              <w:wordWrap/>
              <w:overflowPunct/>
              <w:topLinePunct w:val="0"/>
              <w:autoSpaceDE w:val="0"/>
              <w:autoSpaceDN w:val="0"/>
              <w:bidi w:val="0"/>
              <w:adjustRightInd w:val="0"/>
              <w:snapToGrid w:val="0"/>
              <w:spacing w:before="181" w:line="219"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合格</w:t>
            </w:r>
          </w:p>
        </w:tc>
        <w:tc>
          <w:tcPr>
            <w:tcW w:w="2403" w:type="dxa"/>
            <w:vAlign w:val="top"/>
          </w:tcPr>
          <w:p w14:paraId="0469BC51">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c>
          <w:tcPr>
            <w:tcW w:w="881" w:type="dxa"/>
            <w:vAlign w:val="top"/>
          </w:tcPr>
          <w:p w14:paraId="7C45DD83">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06F7D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31" w:type="dxa"/>
            <w:vAlign w:val="top"/>
          </w:tcPr>
          <w:p w14:paraId="02DC4488">
            <w:pPr>
              <w:pStyle w:val="28"/>
              <w:keepNext w:val="0"/>
              <w:keepLines w:val="0"/>
              <w:pageBreakBefore w:val="0"/>
              <w:widowControl/>
              <w:shd w:val="clear"/>
              <w:kinsoku w:val="0"/>
              <w:wordWrap/>
              <w:overflowPunct/>
              <w:topLinePunct w:val="0"/>
              <w:autoSpaceDE w:val="0"/>
              <w:autoSpaceDN w:val="0"/>
              <w:bidi w:val="0"/>
              <w:adjustRightInd w:val="0"/>
              <w:snapToGrid w:val="0"/>
              <w:spacing w:before="187" w:line="183" w:lineRule="auto"/>
              <w:ind w:left="31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150" w:type="dxa"/>
            <w:vAlign w:val="center"/>
          </w:tcPr>
          <w:p w14:paraId="232D0F5C">
            <w:pPr>
              <w:pStyle w:val="28"/>
              <w:keepNext w:val="0"/>
              <w:keepLines w:val="0"/>
              <w:pageBreakBefore w:val="0"/>
              <w:widowControl/>
              <w:shd w:val="clear"/>
              <w:kinsoku w:val="0"/>
              <w:wordWrap/>
              <w:overflowPunct/>
              <w:topLinePunct w:val="0"/>
              <w:autoSpaceDE w:val="0"/>
              <w:autoSpaceDN w:val="0"/>
              <w:bidi w:val="0"/>
              <w:adjustRightInd w:val="0"/>
              <w:snapToGrid w:val="0"/>
              <w:spacing w:before="149" w:line="22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分包</w:t>
            </w:r>
          </w:p>
        </w:tc>
        <w:tc>
          <w:tcPr>
            <w:tcW w:w="2122" w:type="dxa"/>
            <w:vAlign w:val="center"/>
          </w:tcPr>
          <w:p w14:paraId="0D3BB532">
            <w:pPr>
              <w:pStyle w:val="28"/>
              <w:keepNext w:val="0"/>
              <w:keepLines w:val="0"/>
              <w:pageBreakBefore w:val="0"/>
              <w:widowControl/>
              <w:shd w:val="clear"/>
              <w:kinsoku w:val="0"/>
              <w:wordWrap/>
              <w:overflowPunct/>
              <w:topLinePunct w:val="0"/>
              <w:autoSpaceDE w:val="0"/>
              <w:autoSpaceDN w:val="0"/>
              <w:bidi w:val="0"/>
              <w:adjustRightInd w:val="0"/>
              <w:snapToGrid w:val="0"/>
              <w:spacing w:before="149" w:line="22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2403" w:type="dxa"/>
            <w:vAlign w:val="top"/>
          </w:tcPr>
          <w:p w14:paraId="682484EE">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c>
          <w:tcPr>
            <w:tcW w:w="881" w:type="dxa"/>
            <w:vAlign w:val="top"/>
          </w:tcPr>
          <w:p w14:paraId="3AD4F44B">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1FBB5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1" w:type="dxa"/>
            <w:vAlign w:val="top"/>
          </w:tcPr>
          <w:p w14:paraId="5C6B6EB4">
            <w:pPr>
              <w:pStyle w:val="28"/>
              <w:keepNext w:val="0"/>
              <w:keepLines w:val="0"/>
              <w:pageBreakBefore w:val="0"/>
              <w:widowControl/>
              <w:shd w:val="clear"/>
              <w:kinsoku w:val="0"/>
              <w:wordWrap/>
              <w:overflowPunct/>
              <w:topLinePunct w:val="0"/>
              <w:autoSpaceDE w:val="0"/>
              <w:autoSpaceDN w:val="0"/>
              <w:bidi w:val="0"/>
              <w:adjustRightInd w:val="0"/>
              <w:snapToGrid w:val="0"/>
              <w:spacing w:before="187" w:line="182" w:lineRule="auto"/>
              <w:ind w:left="316"/>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150" w:type="dxa"/>
            <w:vAlign w:val="center"/>
          </w:tcPr>
          <w:p w14:paraId="64FE1049">
            <w:pPr>
              <w:pStyle w:val="28"/>
              <w:keepNext w:val="0"/>
              <w:keepLines w:val="0"/>
              <w:pageBreakBefore w:val="0"/>
              <w:widowControl/>
              <w:shd w:val="clear"/>
              <w:kinsoku w:val="0"/>
              <w:wordWrap/>
              <w:overflowPunct/>
              <w:topLinePunct w:val="0"/>
              <w:autoSpaceDE w:val="0"/>
              <w:autoSpaceDN w:val="0"/>
              <w:bidi w:val="0"/>
              <w:adjustRightInd w:val="0"/>
              <w:snapToGrid w:val="0"/>
              <w:spacing w:before="102" w:line="219"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延误工期赔偿费金额(每天)</w:t>
            </w:r>
          </w:p>
        </w:tc>
        <w:tc>
          <w:tcPr>
            <w:tcW w:w="2122" w:type="dxa"/>
            <w:vAlign w:val="center"/>
          </w:tcPr>
          <w:p w14:paraId="3B0FA6DB">
            <w:pPr>
              <w:pStyle w:val="28"/>
              <w:keepNext w:val="0"/>
              <w:keepLines w:val="0"/>
              <w:pageBreakBefore w:val="0"/>
              <w:widowControl/>
              <w:shd w:val="clear"/>
              <w:kinsoku w:val="0"/>
              <w:wordWrap/>
              <w:overflowPunct/>
              <w:topLinePunct w:val="0"/>
              <w:autoSpaceDE w:val="0"/>
              <w:autoSpaceDN w:val="0"/>
              <w:bidi w:val="0"/>
              <w:adjustRightInd w:val="0"/>
              <w:snapToGrid w:val="0"/>
              <w:spacing w:before="102" w:line="22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2000</w:t>
            </w:r>
            <w:r>
              <w:rPr>
                <w:rFonts w:hint="eastAsia" w:ascii="仿宋" w:hAnsi="仿宋" w:eastAsia="仿宋" w:cs="仿宋"/>
                <w:color w:val="auto"/>
                <w:spacing w:val="-47"/>
                <w:sz w:val="24"/>
                <w:szCs w:val="24"/>
                <w:highlight w:val="none"/>
              </w:rPr>
              <w:t xml:space="preserve"> </w:t>
            </w:r>
            <w:r>
              <w:rPr>
                <w:rFonts w:hint="eastAsia" w:ascii="仿宋" w:hAnsi="仿宋" w:eastAsia="仿宋" w:cs="仿宋"/>
                <w:color w:val="auto"/>
                <w:spacing w:val="-3"/>
                <w:sz w:val="24"/>
                <w:szCs w:val="24"/>
                <w:highlight w:val="none"/>
              </w:rPr>
              <w:t>元</w:t>
            </w:r>
          </w:p>
        </w:tc>
        <w:tc>
          <w:tcPr>
            <w:tcW w:w="2403" w:type="dxa"/>
            <w:vAlign w:val="top"/>
          </w:tcPr>
          <w:p w14:paraId="4704B4C5">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c>
          <w:tcPr>
            <w:tcW w:w="881" w:type="dxa"/>
            <w:vAlign w:val="top"/>
          </w:tcPr>
          <w:p w14:paraId="045BA325">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43BEE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31" w:type="dxa"/>
            <w:vAlign w:val="top"/>
          </w:tcPr>
          <w:p w14:paraId="2CD5E49B">
            <w:pPr>
              <w:pStyle w:val="28"/>
              <w:keepNext w:val="0"/>
              <w:keepLines w:val="0"/>
              <w:pageBreakBefore w:val="0"/>
              <w:widowControl/>
              <w:shd w:val="clear"/>
              <w:kinsoku w:val="0"/>
              <w:wordWrap/>
              <w:overflowPunct/>
              <w:topLinePunct w:val="0"/>
              <w:autoSpaceDE w:val="0"/>
              <w:autoSpaceDN w:val="0"/>
              <w:bidi w:val="0"/>
              <w:adjustRightInd w:val="0"/>
              <w:snapToGrid w:val="0"/>
              <w:spacing w:before="278" w:line="183" w:lineRule="auto"/>
              <w:ind w:left="313"/>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3150" w:type="dxa"/>
            <w:vAlign w:val="center"/>
          </w:tcPr>
          <w:p w14:paraId="0DDF7576">
            <w:pPr>
              <w:pStyle w:val="28"/>
              <w:keepNext w:val="0"/>
              <w:keepLines w:val="0"/>
              <w:pageBreakBefore w:val="0"/>
              <w:widowControl/>
              <w:shd w:val="clear"/>
              <w:kinsoku w:val="0"/>
              <w:wordWrap/>
              <w:overflowPunct/>
              <w:topLinePunct w:val="0"/>
              <w:autoSpaceDE w:val="0"/>
              <w:autoSpaceDN w:val="0"/>
              <w:bidi w:val="0"/>
              <w:adjustRightInd w:val="0"/>
              <w:snapToGrid w:val="0"/>
              <w:spacing w:before="240" w:line="219"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延误工期赔偿费的最大限额</w:t>
            </w:r>
          </w:p>
        </w:tc>
        <w:tc>
          <w:tcPr>
            <w:tcW w:w="2122" w:type="dxa"/>
            <w:vAlign w:val="center"/>
          </w:tcPr>
          <w:p w14:paraId="5ED6399C">
            <w:pPr>
              <w:pStyle w:val="28"/>
              <w:keepNext w:val="0"/>
              <w:keepLines w:val="0"/>
              <w:pageBreakBefore w:val="0"/>
              <w:widowControl/>
              <w:shd w:val="clear"/>
              <w:kinsoku w:val="0"/>
              <w:wordWrap/>
              <w:overflowPunct/>
              <w:topLinePunct w:val="0"/>
              <w:autoSpaceDE w:val="0"/>
              <w:autoSpaceDN w:val="0"/>
              <w:bidi w:val="0"/>
              <w:adjustRightInd w:val="0"/>
              <w:snapToGrid w:val="0"/>
              <w:spacing w:before="38" w:line="223" w:lineRule="auto"/>
              <w:ind w:right="334"/>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合同价款的</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20"/>
                <w:sz w:val="24"/>
                <w:szCs w:val="24"/>
                <w:highlight w:val="none"/>
              </w:rPr>
              <w:t>10%</w:t>
            </w:r>
          </w:p>
        </w:tc>
        <w:tc>
          <w:tcPr>
            <w:tcW w:w="2403" w:type="dxa"/>
            <w:vAlign w:val="top"/>
          </w:tcPr>
          <w:p w14:paraId="5BAC4EA3">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c>
          <w:tcPr>
            <w:tcW w:w="881" w:type="dxa"/>
            <w:vAlign w:val="top"/>
          </w:tcPr>
          <w:p w14:paraId="15B4F0E9">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59774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1" w:type="dxa"/>
            <w:vAlign w:val="top"/>
          </w:tcPr>
          <w:p w14:paraId="68CB0D32">
            <w:pPr>
              <w:pStyle w:val="28"/>
              <w:keepNext w:val="0"/>
              <w:keepLines w:val="0"/>
              <w:pageBreakBefore w:val="0"/>
              <w:widowControl/>
              <w:shd w:val="clear"/>
              <w:kinsoku w:val="0"/>
              <w:wordWrap/>
              <w:overflowPunct/>
              <w:topLinePunct w:val="0"/>
              <w:autoSpaceDE w:val="0"/>
              <w:autoSpaceDN w:val="0"/>
              <w:bidi w:val="0"/>
              <w:adjustRightInd w:val="0"/>
              <w:snapToGrid w:val="0"/>
              <w:spacing w:before="189" w:line="182" w:lineRule="auto"/>
              <w:ind w:left="317"/>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3150" w:type="dxa"/>
            <w:vAlign w:val="center"/>
          </w:tcPr>
          <w:p w14:paraId="44A0B1C9">
            <w:pPr>
              <w:pStyle w:val="28"/>
              <w:keepNext w:val="0"/>
              <w:keepLines w:val="0"/>
              <w:pageBreakBefore w:val="0"/>
              <w:widowControl/>
              <w:shd w:val="clear"/>
              <w:kinsoku w:val="0"/>
              <w:wordWrap/>
              <w:overflowPunct/>
              <w:topLinePunct w:val="0"/>
              <w:autoSpaceDE w:val="0"/>
              <w:autoSpaceDN w:val="0"/>
              <w:bidi w:val="0"/>
              <w:adjustRightInd w:val="0"/>
              <w:snapToGrid w:val="0"/>
              <w:spacing w:before="150" w:line="219"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履约保证金</w:t>
            </w:r>
          </w:p>
        </w:tc>
        <w:tc>
          <w:tcPr>
            <w:tcW w:w="2122" w:type="dxa"/>
            <w:vAlign w:val="center"/>
          </w:tcPr>
          <w:p w14:paraId="4D81D9B0">
            <w:pPr>
              <w:pStyle w:val="28"/>
              <w:keepNext w:val="0"/>
              <w:keepLines w:val="0"/>
              <w:pageBreakBefore w:val="0"/>
              <w:widowControl/>
              <w:shd w:val="clear"/>
              <w:kinsoku w:val="0"/>
              <w:wordWrap/>
              <w:overflowPunct/>
              <w:topLinePunct w:val="0"/>
              <w:autoSpaceDE w:val="0"/>
              <w:autoSpaceDN w:val="0"/>
              <w:bidi w:val="0"/>
              <w:adjustRightInd w:val="0"/>
              <w:snapToGrid w:val="0"/>
              <w:spacing w:before="104" w:line="218"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中标价的</w:t>
            </w:r>
            <w:r>
              <w:rPr>
                <w:rFonts w:hint="eastAsia" w:ascii="仿宋" w:hAnsi="仿宋" w:eastAsia="仿宋" w:cs="仿宋"/>
                <w:color w:val="auto"/>
                <w:spacing w:val="-45"/>
                <w:sz w:val="24"/>
                <w:szCs w:val="24"/>
                <w:highlight w:val="none"/>
                <w:lang w:val="en-US" w:eastAsia="zh-CN"/>
              </w:rPr>
              <w:t xml:space="preserve">10 </w:t>
            </w:r>
            <w:r>
              <w:rPr>
                <w:rFonts w:hint="eastAsia" w:ascii="仿宋" w:hAnsi="仿宋" w:eastAsia="仿宋" w:cs="仿宋"/>
                <w:color w:val="auto"/>
                <w:spacing w:val="-8"/>
                <w:sz w:val="24"/>
                <w:szCs w:val="24"/>
                <w:highlight w:val="none"/>
              </w:rPr>
              <w:t>%</w:t>
            </w:r>
          </w:p>
        </w:tc>
        <w:tc>
          <w:tcPr>
            <w:tcW w:w="2403" w:type="dxa"/>
            <w:vAlign w:val="top"/>
          </w:tcPr>
          <w:p w14:paraId="69C4196E">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c>
          <w:tcPr>
            <w:tcW w:w="881" w:type="dxa"/>
            <w:vAlign w:val="top"/>
          </w:tcPr>
          <w:p w14:paraId="7DBA139C">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575B9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1" w:type="dxa"/>
            <w:vAlign w:val="top"/>
          </w:tcPr>
          <w:p w14:paraId="586447BC">
            <w:pPr>
              <w:pStyle w:val="28"/>
              <w:keepNext w:val="0"/>
              <w:keepLines w:val="0"/>
              <w:pageBreakBefore w:val="0"/>
              <w:widowControl/>
              <w:shd w:val="clear"/>
              <w:kinsoku w:val="0"/>
              <w:wordWrap/>
              <w:overflowPunct/>
              <w:topLinePunct w:val="0"/>
              <w:autoSpaceDE w:val="0"/>
              <w:autoSpaceDN w:val="0"/>
              <w:bidi w:val="0"/>
              <w:adjustRightInd w:val="0"/>
              <w:snapToGrid w:val="0"/>
              <w:spacing w:before="186" w:line="183" w:lineRule="auto"/>
              <w:ind w:left="312"/>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3150" w:type="dxa"/>
            <w:vAlign w:val="center"/>
          </w:tcPr>
          <w:p w14:paraId="54DC86A5">
            <w:pPr>
              <w:pStyle w:val="28"/>
              <w:keepNext w:val="0"/>
              <w:keepLines w:val="0"/>
              <w:pageBreakBefore w:val="0"/>
              <w:widowControl/>
              <w:shd w:val="clear"/>
              <w:kinsoku w:val="0"/>
              <w:wordWrap/>
              <w:overflowPunct/>
              <w:topLinePunct w:val="0"/>
              <w:autoSpaceDE w:val="0"/>
              <w:autoSpaceDN w:val="0"/>
              <w:bidi w:val="0"/>
              <w:adjustRightInd w:val="0"/>
              <w:snapToGrid w:val="0"/>
              <w:spacing w:before="149" w:line="219"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工程质量保修期限</w:t>
            </w:r>
          </w:p>
        </w:tc>
        <w:tc>
          <w:tcPr>
            <w:tcW w:w="2122" w:type="dxa"/>
            <w:vAlign w:val="center"/>
          </w:tcPr>
          <w:p w14:paraId="56EF04E2">
            <w:pPr>
              <w:pStyle w:val="28"/>
              <w:keepNext w:val="0"/>
              <w:keepLines w:val="0"/>
              <w:pageBreakBefore w:val="0"/>
              <w:widowControl/>
              <w:shd w:val="clear"/>
              <w:kinsoku w:val="0"/>
              <w:wordWrap/>
              <w:overflowPunct/>
              <w:topLinePunct w:val="0"/>
              <w:autoSpaceDE w:val="0"/>
              <w:autoSpaceDN w:val="0"/>
              <w:bidi w:val="0"/>
              <w:adjustRightInd w:val="0"/>
              <w:snapToGrid w:val="0"/>
              <w:spacing w:before="149" w:line="219"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保修期</w:t>
            </w:r>
            <w:r>
              <w:rPr>
                <w:rFonts w:hint="eastAsia" w:ascii="仿宋" w:hAnsi="仿宋" w:eastAsia="仿宋" w:cs="仿宋"/>
                <w:color w:val="auto"/>
                <w:spacing w:val="-47"/>
                <w:sz w:val="24"/>
                <w:szCs w:val="24"/>
                <w:highlight w:val="none"/>
              </w:rPr>
              <w:t xml:space="preserve"> </w:t>
            </w:r>
            <w:r>
              <w:rPr>
                <w:rFonts w:hint="eastAsia" w:ascii="仿宋" w:hAnsi="仿宋" w:eastAsia="仿宋" w:cs="仿宋"/>
                <w:color w:val="auto"/>
                <w:spacing w:val="-5"/>
                <w:sz w:val="24"/>
                <w:szCs w:val="24"/>
                <w:highlight w:val="none"/>
              </w:rPr>
              <w:t>2</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5"/>
                <w:sz w:val="24"/>
                <w:szCs w:val="24"/>
                <w:highlight w:val="none"/>
              </w:rPr>
              <w:t>年</w:t>
            </w:r>
          </w:p>
        </w:tc>
        <w:tc>
          <w:tcPr>
            <w:tcW w:w="2403" w:type="dxa"/>
            <w:vAlign w:val="top"/>
          </w:tcPr>
          <w:p w14:paraId="4DA57402">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c>
          <w:tcPr>
            <w:tcW w:w="881" w:type="dxa"/>
            <w:vAlign w:val="top"/>
          </w:tcPr>
          <w:p w14:paraId="4B98CE08">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0BBFB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31" w:type="dxa"/>
            <w:vAlign w:val="top"/>
          </w:tcPr>
          <w:p w14:paraId="4F79A62A">
            <w:pPr>
              <w:keepNext w:val="0"/>
              <w:keepLines w:val="0"/>
              <w:pageBreakBefore w:val="0"/>
              <w:widowControl/>
              <w:shd w:val="clear"/>
              <w:kinsoku w:val="0"/>
              <w:wordWrap/>
              <w:overflowPunct/>
              <w:topLinePunct w:val="0"/>
              <w:autoSpaceDE w:val="0"/>
              <w:autoSpaceDN w:val="0"/>
              <w:bidi w:val="0"/>
              <w:adjustRightInd w:val="0"/>
              <w:snapToGrid w:val="0"/>
              <w:spacing w:line="353" w:lineRule="auto"/>
              <w:textAlignment w:val="baseline"/>
              <w:rPr>
                <w:rFonts w:hint="eastAsia" w:ascii="仿宋" w:hAnsi="仿宋" w:eastAsia="仿宋" w:cs="仿宋"/>
                <w:color w:val="auto"/>
                <w:sz w:val="24"/>
                <w:szCs w:val="24"/>
                <w:highlight w:val="none"/>
              </w:rPr>
            </w:pPr>
          </w:p>
          <w:p w14:paraId="758D2CBD">
            <w:pPr>
              <w:pStyle w:val="28"/>
              <w:keepNext w:val="0"/>
              <w:keepLines w:val="0"/>
              <w:pageBreakBefore w:val="0"/>
              <w:widowControl/>
              <w:shd w:val="clear"/>
              <w:kinsoku w:val="0"/>
              <w:wordWrap/>
              <w:overflowPunct/>
              <w:topLinePunct w:val="0"/>
              <w:autoSpaceDE w:val="0"/>
              <w:autoSpaceDN w:val="0"/>
              <w:bidi w:val="0"/>
              <w:adjustRightInd w:val="0"/>
              <w:snapToGrid w:val="0"/>
              <w:spacing w:before="78" w:line="184" w:lineRule="auto"/>
              <w:ind w:left="192"/>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8.1</w:t>
            </w:r>
          </w:p>
        </w:tc>
        <w:tc>
          <w:tcPr>
            <w:tcW w:w="3150" w:type="dxa"/>
            <w:vAlign w:val="center"/>
          </w:tcPr>
          <w:p w14:paraId="793F1CB1">
            <w:pPr>
              <w:pStyle w:val="28"/>
              <w:keepNext w:val="0"/>
              <w:keepLines w:val="0"/>
              <w:pageBreakBefore w:val="0"/>
              <w:widowControl/>
              <w:shd w:val="clear"/>
              <w:kinsoku w:val="0"/>
              <w:wordWrap/>
              <w:overflowPunct/>
              <w:topLinePunct w:val="0"/>
              <w:autoSpaceDE w:val="0"/>
              <w:autoSpaceDN w:val="0"/>
              <w:bidi w:val="0"/>
              <w:adjustRightInd w:val="0"/>
              <w:snapToGrid w:val="0"/>
              <w:spacing w:before="38" w:line="230" w:lineRule="auto"/>
              <w:ind w:right="132"/>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tc>
        <w:tc>
          <w:tcPr>
            <w:tcW w:w="2122" w:type="dxa"/>
            <w:vAlign w:val="center"/>
          </w:tcPr>
          <w:p w14:paraId="3D40C511">
            <w:pPr>
              <w:pStyle w:val="28"/>
              <w:keepNext w:val="0"/>
              <w:keepLines w:val="0"/>
              <w:pageBreakBefore w:val="0"/>
              <w:widowControl/>
              <w:shd w:val="clear"/>
              <w:kinsoku w:val="0"/>
              <w:wordWrap/>
              <w:overflowPunct/>
              <w:topLinePunct w:val="0"/>
              <w:autoSpaceDE w:val="0"/>
              <w:autoSpaceDN w:val="0"/>
              <w:bidi w:val="0"/>
              <w:adjustRightInd w:val="0"/>
              <w:snapToGrid w:val="0"/>
              <w:spacing w:before="78" w:line="219" w:lineRule="auto"/>
              <w:jc w:val="center"/>
              <w:textAlignment w:val="baseline"/>
              <w:rPr>
                <w:rFonts w:hint="eastAsia" w:ascii="仿宋" w:hAnsi="仿宋" w:eastAsia="仿宋" w:cs="仿宋"/>
                <w:color w:val="auto"/>
                <w:sz w:val="24"/>
                <w:szCs w:val="24"/>
                <w:highlight w:val="none"/>
              </w:rPr>
            </w:pPr>
          </w:p>
        </w:tc>
        <w:tc>
          <w:tcPr>
            <w:tcW w:w="2403" w:type="dxa"/>
            <w:vAlign w:val="top"/>
          </w:tcPr>
          <w:p w14:paraId="379D7A60">
            <w:pPr>
              <w:keepNext w:val="0"/>
              <w:keepLines w:val="0"/>
              <w:pageBreakBefore w:val="0"/>
              <w:widowControl/>
              <w:shd w:val="clear"/>
              <w:kinsoku w:val="0"/>
              <w:wordWrap/>
              <w:overflowPunct/>
              <w:topLinePunct w:val="0"/>
              <w:autoSpaceDE w:val="0"/>
              <w:autoSpaceDN w:val="0"/>
              <w:bidi w:val="0"/>
              <w:adjustRightInd w:val="0"/>
              <w:snapToGrid w:val="0"/>
              <w:spacing w:line="272" w:lineRule="auto"/>
              <w:textAlignment w:val="baseline"/>
              <w:rPr>
                <w:rFonts w:hint="eastAsia" w:ascii="仿宋" w:hAnsi="仿宋" w:eastAsia="仿宋" w:cs="仿宋"/>
                <w:color w:val="auto"/>
                <w:sz w:val="24"/>
                <w:szCs w:val="24"/>
                <w:highlight w:val="none"/>
              </w:rPr>
            </w:pPr>
          </w:p>
          <w:p w14:paraId="36AF0E33">
            <w:pPr>
              <w:pStyle w:val="28"/>
              <w:keepNext w:val="0"/>
              <w:keepLines w:val="0"/>
              <w:pageBreakBefore w:val="0"/>
              <w:widowControl/>
              <w:shd w:val="clear"/>
              <w:kinsoku w:val="0"/>
              <w:wordWrap/>
              <w:overflowPunct/>
              <w:topLinePunct w:val="0"/>
              <w:autoSpaceDE w:val="0"/>
              <w:autoSpaceDN w:val="0"/>
              <w:bidi w:val="0"/>
              <w:adjustRightInd w:val="0"/>
              <w:snapToGrid w:val="0"/>
              <w:spacing w:before="78" w:line="219" w:lineRule="auto"/>
              <w:ind w:left="661"/>
              <w:textAlignment w:val="baseline"/>
              <w:rPr>
                <w:rFonts w:hint="eastAsia" w:ascii="仿宋" w:hAnsi="仿宋" w:eastAsia="仿宋" w:cs="仿宋"/>
                <w:color w:val="auto"/>
                <w:sz w:val="24"/>
                <w:szCs w:val="24"/>
                <w:highlight w:val="none"/>
              </w:rPr>
            </w:pPr>
          </w:p>
        </w:tc>
        <w:tc>
          <w:tcPr>
            <w:tcW w:w="881" w:type="dxa"/>
            <w:vAlign w:val="top"/>
          </w:tcPr>
          <w:p w14:paraId="077BB8F9">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33A71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1" w:type="dxa"/>
            <w:vAlign w:val="top"/>
          </w:tcPr>
          <w:p w14:paraId="67886E5E">
            <w:pPr>
              <w:pStyle w:val="28"/>
              <w:keepNext w:val="0"/>
              <w:keepLines w:val="0"/>
              <w:pageBreakBefore w:val="0"/>
              <w:widowControl/>
              <w:shd w:val="clear"/>
              <w:kinsoku w:val="0"/>
              <w:wordWrap/>
              <w:overflowPunct/>
              <w:topLinePunct w:val="0"/>
              <w:autoSpaceDE w:val="0"/>
              <w:autoSpaceDN w:val="0"/>
              <w:bidi w:val="0"/>
              <w:adjustRightInd w:val="0"/>
              <w:snapToGrid w:val="0"/>
              <w:spacing w:before="279" w:line="183" w:lineRule="auto"/>
              <w:ind w:left="192"/>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8.2</w:t>
            </w:r>
          </w:p>
        </w:tc>
        <w:tc>
          <w:tcPr>
            <w:tcW w:w="3150" w:type="dxa"/>
            <w:vAlign w:val="center"/>
          </w:tcPr>
          <w:p w14:paraId="3305A800">
            <w:pPr>
              <w:pStyle w:val="28"/>
              <w:keepNext w:val="0"/>
              <w:keepLines w:val="0"/>
              <w:pageBreakBefore w:val="0"/>
              <w:widowControl/>
              <w:shd w:val="clear"/>
              <w:kinsoku w:val="0"/>
              <w:wordWrap/>
              <w:overflowPunct/>
              <w:topLinePunct w:val="0"/>
              <w:autoSpaceDE w:val="0"/>
              <w:autoSpaceDN w:val="0"/>
              <w:bidi w:val="0"/>
              <w:adjustRightInd w:val="0"/>
              <w:snapToGrid w:val="0"/>
              <w:spacing w:before="39" w:line="223" w:lineRule="auto"/>
              <w:ind w:right="132"/>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tc>
        <w:tc>
          <w:tcPr>
            <w:tcW w:w="2122" w:type="dxa"/>
            <w:vAlign w:val="center"/>
          </w:tcPr>
          <w:p w14:paraId="61DF9C66">
            <w:pPr>
              <w:pStyle w:val="28"/>
              <w:keepNext w:val="0"/>
              <w:keepLines w:val="0"/>
              <w:pageBreakBefore w:val="0"/>
              <w:widowControl/>
              <w:shd w:val="clear"/>
              <w:kinsoku w:val="0"/>
              <w:wordWrap/>
              <w:overflowPunct/>
              <w:topLinePunct w:val="0"/>
              <w:autoSpaceDE w:val="0"/>
              <w:autoSpaceDN w:val="0"/>
              <w:bidi w:val="0"/>
              <w:adjustRightInd w:val="0"/>
              <w:snapToGrid w:val="0"/>
              <w:spacing w:before="196" w:line="219" w:lineRule="auto"/>
              <w:jc w:val="center"/>
              <w:textAlignment w:val="baseline"/>
              <w:rPr>
                <w:rFonts w:hint="eastAsia" w:ascii="仿宋" w:hAnsi="仿宋" w:eastAsia="仿宋" w:cs="仿宋"/>
                <w:color w:val="auto"/>
                <w:sz w:val="24"/>
                <w:szCs w:val="24"/>
                <w:highlight w:val="none"/>
              </w:rPr>
            </w:pPr>
          </w:p>
        </w:tc>
        <w:tc>
          <w:tcPr>
            <w:tcW w:w="2403" w:type="dxa"/>
            <w:vAlign w:val="top"/>
          </w:tcPr>
          <w:p w14:paraId="5C1043CA">
            <w:pPr>
              <w:pStyle w:val="28"/>
              <w:keepNext w:val="0"/>
              <w:keepLines w:val="0"/>
              <w:pageBreakBefore w:val="0"/>
              <w:widowControl/>
              <w:shd w:val="clear"/>
              <w:kinsoku w:val="0"/>
              <w:wordWrap/>
              <w:overflowPunct/>
              <w:topLinePunct w:val="0"/>
              <w:autoSpaceDE w:val="0"/>
              <w:autoSpaceDN w:val="0"/>
              <w:bidi w:val="0"/>
              <w:adjustRightInd w:val="0"/>
              <w:snapToGrid w:val="0"/>
              <w:spacing w:before="196" w:line="219" w:lineRule="auto"/>
              <w:ind w:left="661"/>
              <w:textAlignment w:val="baseline"/>
              <w:rPr>
                <w:rFonts w:hint="eastAsia" w:ascii="仿宋" w:hAnsi="仿宋" w:eastAsia="仿宋" w:cs="仿宋"/>
                <w:color w:val="auto"/>
                <w:sz w:val="24"/>
                <w:szCs w:val="24"/>
                <w:highlight w:val="none"/>
              </w:rPr>
            </w:pPr>
          </w:p>
        </w:tc>
        <w:tc>
          <w:tcPr>
            <w:tcW w:w="881" w:type="dxa"/>
            <w:vAlign w:val="top"/>
          </w:tcPr>
          <w:p w14:paraId="017DEFED">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54427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31" w:type="dxa"/>
            <w:vAlign w:val="top"/>
          </w:tcPr>
          <w:p w14:paraId="4DAB767D">
            <w:pPr>
              <w:pStyle w:val="28"/>
              <w:keepNext w:val="0"/>
              <w:keepLines w:val="0"/>
              <w:pageBreakBefore w:val="0"/>
              <w:widowControl/>
              <w:shd w:val="clear"/>
              <w:kinsoku w:val="0"/>
              <w:wordWrap/>
              <w:overflowPunct/>
              <w:topLinePunct w:val="0"/>
              <w:autoSpaceDE w:val="0"/>
              <w:autoSpaceDN w:val="0"/>
              <w:bidi w:val="0"/>
              <w:adjustRightInd w:val="0"/>
              <w:snapToGrid w:val="0"/>
              <w:spacing w:before="281" w:line="183" w:lineRule="auto"/>
              <w:ind w:left="192"/>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8.3</w:t>
            </w:r>
          </w:p>
        </w:tc>
        <w:tc>
          <w:tcPr>
            <w:tcW w:w="3150" w:type="dxa"/>
            <w:vAlign w:val="center"/>
          </w:tcPr>
          <w:p w14:paraId="5759FDF0">
            <w:pPr>
              <w:pStyle w:val="28"/>
              <w:keepNext w:val="0"/>
              <w:keepLines w:val="0"/>
              <w:pageBreakBefore w:val="0"/>
              <w:widowControl/>
              <w:shd w:val="clear"/>
              <w:kinsoku w:val="0"/>
              <w:wordWrap/>
              <w:overflowPunct/>
              <w:topLinePunct w:val="0"/>
              <w:autoSpaceDE w:val="0"/>
              <w:autoSpaceDN w:val="0"/>
              <w:bidi w:val="0"/>
              <w:adjustRightInd w:val="0"/>
              <w:snapToGrid w:val="0"/>
              <w:spacing w:before="195" w:line="219" w:lineRule="auto"/>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2122" w:type="dxa"/>
            <w:vAlign w:val="center"/>
          </w:tcPr>
          <w:p w14:paraId="3C1D046D">
            <w:pPr>
              <w:pStyle w:val="28"/>
              <w:keepNext w:val="0"/>
              <w:keepLines w:val="0"/>
              <w:pageBreakBefore w:val="0"/>
              <w:widowControl/>
              <w:shd w:val="clear"/>
              <w:kinsoku w:val="0"/>
              <w:wordWrap/>
              <w:overflowPunct/>
              <w:topLinePunct w:val="0"/>
              <w:autoSpaceDE w:val="0"/>
              <w:autoSpaceDN w:val="0"/>
              <w:bidi w:val="0"/>
              <w:adjustRightInd w:val="0"/>
              <w:snapToGrid w:val="0"/>
              <w:spacing w:before="40" w:line="222" w:lineRule="auto"/>
              <w:ind w:right="154"/>
              <w:jc w:val="center"/>
              <w:textAlignment w:val="baseline"/>
              <w:rPr>
                <w:rFonts w:hint="eastAsia" w:ascii="仿宋" w:hAnsi="仿宋" w:eastAsia="仿宋" w:cs="仿宋"/>
                <w:color w:val="auto"/>
                <w:sz w:val="24"/>
                <w:szCs w:val="24"/>
                <w:highlight w:val="none"/>
              </w:rPr>
            </w:pPr>
          </w:p>
        </w:tc>
        <w:tc>
          <w:tcPr>
            <w:tcW w:w="2403" w:type="dxa"/>
            <w:vAlign w:val="top"/>
          </w:tcPr>
          <w:p w14:paraId="5199051D">
            <w:pPr>
              <w:pStyle w:val="28"/>
              <w:keepNext w:val="0"/>
              <w:keepLines w:val="0"/>
              <w:pageBreakBefore w:val="0"/>
              <w:widowControl/>
              <w:shd w:val="clear"/>
              <w:kinsoku w:val="0"/>
              <w:wordWrap/>
              <w:overflowPunct/>
              <w:topLinePunct w:val="0"/>
              <w:autoSpaceDE w:val="0"/>
              <w:autoSpaceDN w:val="0"/>
              <w:bidi w:val="0"/>
              <w:adjustRightInd w:val="0"/>
              <w:snapToGrid w:val="0"/>
              <w:spacing w:before="195" w:line="219" w:lineRule="auto"/>
              <w:ind w:left="241"/>
              <w:textAlignment w:val="baseline"/>
              <w:rPr>
                <w:rFonts w:hint="eastAsia" w:ascii="仿宋" w:hAnsi="仿宋" w:eastAsia="仿宋" w:cs="仿宋"/>
                <w:color w:val="auto"/>
                <w:sz w:val="24"/>
                <w:szCs w:val="24"/>
                <w:highlight w:val="none"/>
              </w:rPr>
            </w:pPr>
          </w:p>
        </w:tc>
        <w:tc>
          <w:tcPr>
            <w:tcW w:w="881" w:type="dxa"/>
            <w:vAlign w:val="top"/>
          </w:tcPr>
          <w:p w14:paraId="544C003C">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3AC65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1" w:type="dxa"/>
            <w:vAlign w:val="top"/>
          </w:tcPr>
          <w:p w14:paraId="0DEB5B57">
            <w:pPr>
              <w:pStyle w:val="28"/>
              <w:keepNext w:val="0"/>
              <w:keepLines w:val="0"/>
              <w:pageBreakBefore w:val="0"/>
              <w:widowControl/>
              <w:shd w:val="clear"/>
              <w:kinsoku w:val="0"/>
              <w:wordWrap/>
              <w:overflowPunct/>
              <w:topLinePunct w:val="0"/>
              <w:autoSpaceDE w:val="0"/>
              <w:autoSpaceDN w:val="0"/>
              <w:bidi w:val="0"/>
              <w:adjustRightInd w:val="0"/>
              <w:snapToGrid w:val="0"/>
              <w:spacing w:before="188" w:line="183" w:lineRule="auto"/>
              <w:ind w:left="192"/>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8.4</w:t>
            </w:r>
          </w:p>
        </w:tc>
        <w:tc>
          <w:tcPr>
            <w:tcW w:w="3150" w:type="dxa"/>
            <w:vAlign w:val="center"/>
          </w:tcPr>
          <w:p w14:paraId="6E7377DE">
            <w:pPr>
              <w:pStyle w:val="28"/>
              <w:keepNext w:val="0"/>
              <w:keepLines w:val="0"/>
              <w:pageBreakBefore w:val="0"/>
              <w:widowControl/>
              <w:shd w:val="clear"/>
              <w:kinsoku w:val="0"/>
              <w:wordWrap/>
              <w:overflowPunct/>
              <w:topLinePunct w:val="0"/>
              <w:autoSpaceDE w:val="0"/>
              <w:autoSpaceDN w:val="0"/>
              <w:bidi w:val="0"/>
              <w:adjustRightInd w:val="0"/>
              <w:snapToGrid w:val="0"/>
              <w:spacing w:before="105" w:line="219" w:lineRule="auto"/>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3"/>
                <w:sz w:val="24"/>
                <w:szCs w:val="24"/>
                <w:highlight w:val="none"/>
                <w:lang w:val="en-US" w:eastAsia="zh-CN"/>
              </w:rPr>
              <w:t>.......</w:t>
            </w:r>
          </w:p>
        </w:tc>
        <w:tc>
          <w:tcPr>
            <w:tcW w:w="2122" w:type="dxa"/>
            <w:vAlign w:val="center"/>
          </w:tcPr>
          <w:p w14:paraId="1E780AD1">
            <w:pPr>
              <w:pStyle w:val="28"/>
              <w:keepNext w:val="0"/>
              <w:keepLines w:val="0"/>
              <w:pageBreakBefore w:val="0"/>
              <w:widowControl/>
              <w:shd w:val="clear"/>
              <w:kinsoku w:val="0"/>
              <w:wordWrap/>
              <w:overflowPunct/>
              <w:topLinePunct w:val="0"/>
              <w:autoSpaceDE w:val="0"/>
              <w:autoSpaceDN w:val="0"/>
              <w:bidi w:val="0"/>
              <w:adjustRightInd w:val="0"/>
              <w:snapToGrid w:val="0"/>
              <w:spacing w:before="105" w:line="219" w:lineRule="auto"/>
              <w:jc w:val="center"/>
              <w:textAlignment w:val="baseline"/>
              <w:rPr>
                <w:rFonts w:hint="eastAsia" w:ascii="仿宋" w:hAnsi="仿宋" w:eastAsia="仿宋" w:cs="仿宋"/>
                <w:color w:val="auto"/>
                <w:sz w:val="24"/>
                <w:szCs w:val="24"/>
                <w:highlight w:val="none"/>
              </w:rPr>
            </w:pPr>
          </w:p>
        </w:tc>
        <w:tc>
          <w:tcPr>
            <w:tcW w:w="2403" w:type="dxa"/>
            <w:vAlign w:val="top"/>
          </w:tcPr>
          <w:p w14:paraId="2EC12E1E">
            <w:pPr>
              <w:pStyle w:val="28"/>
              <w:keepNext w:val="0"/>
              <w:keepLines w:val="0"/>
              <w:pageBreakBefore w:val="0"/>
              <w:widowControl/>
              <w:shd w:val="clear"/>
              <w:kinsoku w:val="0"/>
              <w:wordWrap/>
              <w:overflowPunct/>
              <w:topLinePunct w:val="0"/>
              <w:autoSpaceDE w:val="0"/>
              <w:autoSpaceDN w:val="0"/>
              <w:bidi w:val="0"/>
              <w:adjustRightInd w:val="0"/>
              <w:snapToGrid w:val="0"/>
              <w:spacing w:before="105" w:line="219" w:lineRule="auto"/>
              <w:ind w:left="661"/>
              <w:textAlignment w:val="baseline"/>
              <w:rPr>
                <w:rFonts w:hint="eastAsia" w:ascii="仿宋" w:hAnsi="仿宋" w:eastAsia="仿宋" w:cs="仿宋"/>
                <w:color w:val="auto"/>
                <w:sz w:val="24"/>
                <w:szCs w:val="24"/>
                <w:highlight w:val="none"/>
              </w:rPr>
            </w:pPr>
          </w:p>
        </w:tc>
        <w:tc>
          <w:tcPr>
            <w:tcW w:w="881" w:type="dxa"/>
            <w:vAlign w:val="top"/>
          </w:tcPr>
          <w:p w14:paraId="424D0D9D">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36C40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31" w:type="dxa"/>
            <w:vAlign w:val="top"/>
          </w:tcPr>
          <w:p w14:paraId="6741FD23">
            <w:pPr>
              <w:pStyle w:val="28"/>
              <w:keepNext w:val="0"/>
              <w:keepLines w:val="0"/>
              <w:pageBreakBefore w:val="0"/>
              <w:widowControl/>
              <w:shd w:val="clear"/>
              <w:kinsoku w:val="0"/>
              <w:wordWrap/>
              <w:overflowPunct/>
              <w:topLinePunct w:val="0"/>
              <w:autoSpaceDE w:val="0"/>
              <w:autoSpaceDN w:val="0"/>
              <w:bidi w:val="0"/>
              <w:adjustRightInd w:val="0"/>
              <w:snapToGrid w:val="0"/>
              <w:spacing w:before="281" w:line="183" w:lineRule="auto"/>
              <w:ind w:left="192"/>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8.5</w:t>
            </w:r>
          </w:p>
        </w:tc>
        <w:tc>
          <w:tcPr>
            <w:tcW w:w="3150" w:type="dxa"/>
            <w:vAlign w:val="center"/>
          </w:tcPr>
          <w:p w14:paraId="0C72F292">
            <w:pPr>
              <w:pStyle w:val="28"/>
              <w:keepNext w:val="0"/>
              <w:keepLines w:val="0"/>
              <w:pageBreakBefore w:val="0"/>
              <w:widowControl/>
              <w:shd w:val="clear"/>
              <w:kinsoku w:val="0"/>
              <w:wordWrap/>
              <w:overflowPunct/>
              <w:topLinePunct w:val="0"/>
              <w:autoSpaceDE w:val="0"/>
              <w:autoSpaceDN w:val="0"/>
              <w:bidi w:val="0"/>
              <w:adjustRightInd w:val="0"/>
              <w:snapToGrid w:val="0"/>
              <w:spacing w:before="197" w:line="220" w:lineRule="auto"/>
              <w:jc w:val="center"/>
              <w:textAlignment w:val="baseline"/>
              <w:rPr>
                <w:rFonts w:hint="eastAsia" w:ascii="仿宋" w:hAnsi="仿宋" w:eastAsia="仿宋" w:cs="仿宋"/>
                <w:color w:val="auto"/>
                <w:sz w:val="24"/>
                <w:szCs w:val="24"/>
                <w:highlight w:val="none"/>
              </w:rPr>
            </w:pPr>
          </w:p>
        </w:tc>
        <w:tc>
          <w:tcPr>
            <w:tcW w:w="2122" w:type="dxa"/>
            <w:vAlign w:val="center"/>
          </w:tcPr>
          <w:p w14:paraId="6D71FCC8">
            <w:pPr>
              <w:pStyle w:val="28"/>
              <w:keepNext w:val="0"/>
              <w:keepLines w:val="0"/>
              <w:pageBreakBefore w:val="0"/>
              <w:widowControl/>
              <w:shd w:val="clear"/>
              <w:kinsoku w:val="0"/>
              <w:wordWrap/>
              <w:overflowPunct/>
              <w:topLinePunct w:val="0"/>
              <w:autoSpaceDE w:val="0"/>
              <w:autoSpaceDN w:val="0"/>
              <w:bidi w:val="0"/>
              <w:adjustRightInd w:val="0"/>
              <w:snapToGrid w:val="0"/>
              <w:spacing w:before="41" w:line="219" w:lineRule="auto"/>
              <w:jc w:val="center"/>
              <w:textAlignment w:val="baseline"/>
              <w:rPr>
                <w:rFonts w:hint="eastAsia" w:ascii="仿宋" w:hAnsi="仿宋" w:eastAsia="仿宋" w:cs="仿宋"/>
                <w:color w:val="auto"/>
                <w:sz w:val="24"/>
                <w:szCs w:val="24"/>
                <w:highlight w:val="none"/>
              </w:rPr>
            </w:pPr>
          </w:p>
        </w:tc>
        <w:tc>
          <w:tcPr>
            <w:tcW w:w="2403" w:type="dxa"/>
            <w:vAlign w:val="top"/>
          </w:tcPr>
          <w:p w14:paraId="5815E782">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c>
          <w:tcPr>
            <w:tcW w:w="881" w:type="dxa"/>
            <w:vAlign w:val="top"/>
          </w:tcPr>
          <w:p w14:paraId="0D993AF0">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bl>
    <w:p w14:paraId="52561297">
      <w:pPr>
        <w:keepNext w:val="0"/>
        <w:keepLines w:val="0"/>
        <w:pageBreakBefore w:val="0"/>
        <w:widowControl/>
        <w:shd w:val="clear"/>
        <w:kinsoku w:val="0"/>
        <w:wordWrap/>
        <w:overflowPunct/>
        <w:topLinePunct w:val="0"/>
        <w:autoSpaceDE w:val="0"/>
        <w:autoSpaceDN w:val="0"/>
        <w:bidi w:val="0"/>
        <w:adjustRightInd w:val="0"/>
        <w:snapToGrid w:val="0"/>
        <w:spacing w:line="374" w:lineRule="auto"/>
        <w:textAlignment w:val="baseline"/>
        <w:rPr>
          <w:rFonts w:hint="eastAsia" w:ascii="仿宋" w:hAnsi="仿宋" w:eastAsia="仿宋" w:cs="仿宋"/>
          <w:color w:val="auto"/>
          <w:sz w:val="24"/>
          <w:szCs w:val="24"/>
          <w:highlight w:val="none"/>
        </w:rPr>
      </w:pPr>
    </w:p>
    <w:p w14:paraId="13396E62">
      <w:pPr>
        <w:pStyle w:val="2"/>
        <w:keepNext w:val="0"/>
        <w:keepLines w:val="0"/>
        <w:pageBreakBefore w:val="0"/>
        <w:widowControl/>
        <w:shd w:val="clear"/>
        <w:kinsoku w:val="0"/>
        <w:wordWrap/>
        <w:overflowPunct/>
        <w:topLinePunct w:val="0"/>
        <w:autoSpaceDE w:val="0"/>
        <w:autoSpaceDN w:val="0"/>
        <w:bidi w:val="0"/>
        <w:adjustRightInd w:val="0"/>
        <w:snapToGrid w:val="0"/>
        <w:spacing w:before="65" w:line="228"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说明：上述内容由投标人自行填写，可按响应磋商文件或优于磋商文件的要求填写。</w:t>
      </w:r>
    </w:p>
    <w:p w14:paraId="58194A23">
      <w:pPr>
        <w:shd w:val="clear"/>
        <w:spacing w:line="228" w:lineRule="auto"/>
        <w:rPr>
          <w:rFonts w:hint="eastAsia" w:ascii="仿宋" w:hAnsi="仿宋" w:eastAsia="仿宋" w:cs="仿宋"/>
          <w:color w:val="auto"/>
          <w:sz w:val="24"/>
          <w:szCs w:val="24"/>
          <w:highlight w:val="none"/>
        </w:rPr>
        <w:sectPr>
          <w:footerReference r:id="rId16" w:type="default"/>
          <w:pgSz w:w="11906" w:h="16839"/>
          <w:pgMar w:top="1431" w:right="1225" w:bottom="1167" w:left="1090" w:header="0" w:footer="987" w:gutter="0"/>
          <w:pgNumType w:fmt="decimal"/>
          <w:cols w:space="720" w:num="1"/>
        </w:sectPr>
      </w:pPr>
    </w:p>
    <w:p w14:paraId="7A4673DD">
      <w:pPr>
        <w:pStyle w:val="2"/>
        <w:keepNext w:val="0"/>
        <w:keepLines w:val="0"/>
        <w:pageBreakBefore w:val="0"/>
        <w:widowControl w:val="0"/>
        <w:tabs>
          <w:tab w:val="left" w:pos="567"/>
        </w:tabs>
        <w:kinsoku/>
        <w:wordWrap/>
        <w:overflowPunct/>
        <w:topLinePunct w:val="0"/>
        <w:autoSpaceDE/>
        <w:autoSpaceDN/>
        <w:bidi w:val="0"/>
        <w:adjustRightInd/>
        <w:snapToGrid/>
        <w:spacing w:before="249" w:line="228" w:lineRule="auto"/>
        <w:jc w:val="center"/>
        <w:textAlignment w:val="auto"/>
        <w:outlineLvl w:val="2"/>
        <w:rPr>
          <w:rFonts w:hint="eastAsia" w:ascii="仿宋" w:hAnsi="仿宋" w:eastAsia="仿宋" w:cs="仿宋"/>
          <w:b/>
          <w:color w:val="auto"/>
          <w:kern w:val="0"/>
          <w:sz w:val="32"/>
          <w:szCs w:val="32"/>
          <w:highlight w:val="none"/>
          <w:u w:val="none"/>
          <w:lang w:val="en-US" w:eastAsia="zh-CN" w:bidi="ar-SA"/>
        </w:rPr>
      </w:pPr>
      <w:bookmarkStart w:id="378" w:name="_Toc17161"/>
      <w:bookmarkStart w:id="379" w:name="_Toc1170"/>
      <w:r>
        <w:rPr>
          <w:rFonts w:hint="eastAsia" w:ascii="仿宋" w:hAnsi="仿宋" w:eastAsia="仿宋" w:cs="仿宋"/>
          <w:b/>
          <w:color w:val="auto"/>
          <w:kern w:val="0"/>
          <w:sz w:val="32"/>
          <w:szCs w:val="32"/>
          <w:highlight w:val="none"/>
          <w:u w:val="none"/>
          <w:lang w:val="en-US" w:eastAsia="zh-CN" w:bidi="ar-SA"/>
        </w:rPr>
        <w:t>5 项目管理机构</w:t>
      </w:r>
      <w:bookmarkEnd w:id="378"/>
      <w:bookmarkEnd w:id="379"/>
    </w:p>
    <w:p w14:paraId="54913A3E">
      <w:pPr>
        <w:shd w:val="clear"/>
        <w:spacing w:line="308" w:lineRule="auto"/>
        <w:rPr>
          <w:rFonts w:hint="eastAsia" w:ascii="仿宋" w:hAnsi="仿宋" w:eastAsia="仿宋" w:cs="仿宋"/>
          <w:color w:val="auto"/>
          <w:sz w:val="24"/>
          <w:szCs w:val="24"/>
          <w:highlight w:val="none"/>
        </w:rPr>
      </w:pPr>
    </w:p>
    <w:p w14:paraId="489C6D36">
      <w:pPr>
        <w:keepNext w:val="0"/>
        <w:keepLines w:val="0"/>
        <w:pageBreakBefore w:val="0"/>
        <w:widowControl/>
        <w:shd w:val="clear"/>
        <w:kinsoku w:val="0"/>
        <w:wordWrap/>
        <w:overflowPunct/>
        <w:topLinePunct w:val="0"/>
        <w:autoSpaceDE w:val="0"/>
        <w:autoSpaceDN w:val="0"/>
        <w:bidi w:val="0"/>
        <w:adjustRightInd w:val="0"/>
        <w:snapToGrid w:val="0"/>
        <w:spacing w:line="308" w:lineRule="auto"/>
        <w:textAlignment w:val="baseline"/>
        <w:outlineLvl w:val="9"/>
        <w:rPr>
          <w:rFonts w:hint="eastAsia" w:ascii="仿宋" w:hAnsi="仿宋" w:eastAsia="仿宋" w:cs="仿宋"/>
          <w:color w:val="auto"/>
          <w:sz w:val="24"/>
          <w:szCs w:val="24"/>
          <w:highlight w:val="none"/>
        </w:rPr>
      </w:pPr>
    </w:p>
    <w:p w14:paraId="5B67AED1">
      <w:pPr>
        <w:pStyle w:val="2"/>
        <w:keepNext w:val="0"/>
        <w:keepLines w:val="0"/>
        <w:pageBreakBefore w:val="0"/>
        <w:widowControl/>
        <w:shd w:val="clear"/>
        <w:kinsoku w:val="0"/>
        <w:wordWrap/>
        <w:overflowPunct/>
        <w:topLinePunct w:val="0"/>
        <w:autoSpaceDE w:val="0"/>
        <w:autoSpaceDN w:val="0"/>
        <w:bidi w:val="0"/>
        <w:adjustRightInd w:val="0"/>
        <w:snapToGrid w:val="0"/>
        <w:spacing w:before="65" w:line="228" w:lineRule="auto"/>
        <w:ind w:left="39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（现场技术力量配备）</w:t>
      </w:r>
    </w:p>
    <w:p w14:paraId="68221890">
      <w:pPr>
        <w:pStyle w:val="2"/>
        <w:keepNext w:val="0"/>
        <w:keepLines w:val="0"/>
        <w:pageBreakBefore w:val="0"/>
        <w:widowControl/>
        <w:shd w:val="clear"/>
        <w:kinsoku w:val="0"/>
        <w:wordWrap/>
        <w:overflowPunct/>
        <w:topLinePunct w:val="0"/>
        <w:autoSpaceDE w:val="0"/>
        <w:autoSpaceDN w:val="0"/>
        <w:bidi w:val="0"/>
        <w:adjustRightInd w:val="0"/>
        <w:snapToGrid w:val="0"/>
        <w:spacing w:before="134" w:line="222" w:lineRule="auto"/>
        <w:ind w:left="13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（一）项目管理机构人员组成表</w:t>
      </w:r>
    </w:p>
    <w:p w14:paraId="10ED4ECA">
      <w:pPr>
        <w:pStyle w:val="2"/>
        <w:keepNext w:val="0"/>
        <w:keepLines w:val="0"/>
        <w:pageBreakBefore w:val="0"/>
        <w:widowControl/>
        <w:shd w:val="clear"/>
        <w:kinsoku w:val="0"/>
        <w:wordWrap/>
        <w:overflowPunct/>
        <w:topLinePunct w:val="0"/>
        <w:autoSpaceDE w:val="0"/>
        <w:autoSpaceDN w:val="0"/>
        <w:bidi w:val="0"/>
        <w:adjustRightInd w:val="0"/>
        <w:snapToGrid w:val="0"/>
        <w:spacing w:before="139" w:line="228" w:lineRule="auto"/>
        <w:ind w:left="1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项目名称：</w:t>
      </w:r>
    </w:p>
    <w:p w14:paraId="07B22DFF">
      <w:pPr>
        <w:keepNext w:val="0"/>
        <w:keepLines w:val="0"/>
        <w:pageBreakBefore w:val="0"/>
        <w:widowControl/>
        <w:shd w:val="clear"/>
        <w:kinsoku w:val="0"/>
        <w:wordWrap/>
        <w:overflowPunct/>
        <w:topLinePunct w:val="0"/>
        <w:autoSpaceDE w:val="0"/>
        <w:autoSpaceDN w:val="0"/>
        <w:bidi w:val="0"/>
        <w:adjustRightInd w:val="0"/>
        <w:snapToGrid w:val="0"/>
        <w:spacing w:line="116" w:lineRule="auto"/>
        <w:textAlignment w:val="baseline"/>
        <w:outlineLvl w:val="9"/>
        <w:rPr>
          <w:rFonts w:hint="eastAsia" w:ascii="仿宋" w:hAnsi="仿宋" w:eastAsia="仿宋" w:cs="仿宋"/>
          <w:color w:val="auto"/>
          <w:sz w:val="24"/>
          <w:szCs w:val="24"/>
          <w:highlight w:val="none"/>
        </w:rPr>
      </w:pPr>
    </w:p>
    <w:tbl>
      <w:tblPr>
        <w:tblStyle w:val="24"/>
        <w:tblW w:w="91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869"/>
        <w:gridCol w:w="900"/>
        <w:gridCol w:w="707"/>
        <w:gridCol w:w="649"/>
        <w:gridCol w:w="1010"/>
        <w:gridCol w:w="986"/>
        <w:gridCol w:w="1000"/>
        <w:gridCol w:w="885"/>
        <w:gridCol w:w="885"/>
      </w:tblGrid>
      <w:tr w14:paraId="7CA9A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exact"/>
          <w:jc w:val="center"/>
        </w:trPr>
        <w:tc>
          <w:tcPr>
            <w:tcW w:w="1276" w:type="dxa"/>
            <w:noWrap w:val="0"/>
            <w:vAlign w:val="center"/>
          </w:tcPr>
          <w:p w14:paraId="633E4333">
            <w:pPr>
              <w:jc w:val="center"/>
              <w:rPr>
                <w:rFonts w:hint="eastAsia" w:ascii="仿宋" w:hAnsi="仿宋" w:eastAsia="仿宋" w:cs="仿宋"/>
                <w:sz w:val="24"/>
                <w:szCs w:val="24"/>
              </w:rPr>
            </w:pPr>
            <w:r>
              <w:rPr>
                <w:rFonts w:hint="eastAsia" w:ascii="仿宋" w:hAnsi="仿宋" w:eastAsia="仿宋" w:cs="仿宋"/>
                <w:sz w:val="24"/>
                <w:szCs w:val="24"/>
              </w:rPr>
              <w:t>职责分工</w:t>
            </w:r>
          </w:p>
        </w:tc>
        <w:tc>
          <w:tcPr>
            <w:tcW w:w="869" w:type="dxa"/>
            <w:noWrap w:val="0"/>
            <w:vAlign w:val="center"/>
          </w:tcPr>
          <w:p w14:paraId="34011149">
            <w:pPr>
              <w:jc w:val="center"/>
              <w:rPr>
                <w:rFonts w:hint="eastAsia" w:ascii="仿宋" w:hAnsi="仿宋" w:eastAsia="仿宋" w:cs="仿宋"/>
                <w:sz w:val="24"/>
                <w:szCs w:val="24"/>
              </w:rPr>
            </w:pPr>
            <w:r>
              <w:rPr>
                <w:rFonts w:hint="eastAsia" w:ascii="仿宋" w:hAnsi="仿宋" w:eastAsia="仿宋" w:cs="仿宋"/>
                <w:sz w:val="24"/>
                <w:szCs w:val="24"/>
              </w:rPr>
              <w:t>姓名</w:t>
            </w:r>
          </w:p>
        </w:tc>
        <w:tc>
          <w:tcPr>
            <w:tcW w:w="900" w:type="dxa"/>
            <w:noWrap w:val="0"/>
            <w:vAlign w:val="center"/>
          </w:tcPr>
          <w:p w14:paraId="6B676A87">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707" w:type="dxa"/>
            <w:tcBorders>
              <w:right w:val="single" w:color="auto" w:sz="4" w:space="0"/>
            </w:tcBorders>
            <w:noWrap w:val="0"/>
            <w:vAlign w:val="center"/>
          </w:tcPr>
          <w:p w14:paraId="503E1869">
            <w:pPr>
              <w:jc w:val="center"/>
              <w:rPr>
                <w:rFonts w:hint="eastAsia" w:ascii="仿宋" w:hAnsi="仿宋" w:eastAsia="仿宋" w:cs="仿宋"/>
                <w:sz w:val="24"/>
                <w:szCs w:val="24"/>
              </w:rPr>
            </w:pPr>
            <w:r>
              <w:rPr>
                <w:rFonts w:hint="eastAsia" w:ascii="仿宋" w:hAnsi="仿宋" w:eastAsia="仿宋" w:cs="仿宋"/>
                <w:sz w:val="24"/>
                <w:szCs w:val="24"/>
              </w:rPr>
              <w:t>专业</w:t>
            </w:r>
          </w:p>
        </w:tc>
        <w:tc>
          <w:tcPr>
            <w:tcW w:w="649" w:type="dxa"/>
            <w:tcBorders>
              <w:left w:val="single" w:color="auto" w:sz="4" w:space="0"/>
            </w:tcBorders>
            <w:noWrap w:val="0"/>
            <w:vAlign w:val="center"/>
          </w:tcPr>
          <w:p w14:paraId="46C6F057">
            <w:pPr>
              <w:jc w:val="center"/>
              <w:rPr>
                <w:rFonts w:hint="eastAsia" w:ascii="仿宋" w:hAnsi="仿宋" w:eastAsia="仿宋" w:cs="仿宋"/>
                <w:sz w:val="24"/>
                <w:szCs w:val="24"/>
              </w:rPr>
            </w:pPr>
            <w:r>
              <w:rPr>
                <w:rFonts w:hint="eastAsia" w:ascii="仿宋" w:hAnsi="仿宋" w:eastAsia="仿宋" w:cs="仿宋"/>
                <w:sz w:val="24"/>
                <w:szCs w:val="24"/>
              </w:rPr>
              <w:t>岗位</w:t>
            </w:r>
          </w:p>
        </w:tc>
        <w:tc>
          <w:tcPr>
            <w:tcW w:w="1010" w:type="dxa"/>
            <w:tcBorders>
              <w:right w:val="single" w:color="auto" w:sz="4" w:space="0"/>
            </w:tcBorders>
            <w:noWrap w:val="0"/>
            <w:vAlign w:val="center"/>
          </w:tcPr>
          <w:p w14:paraId="39CE8C88">
            <w:pPr>
              <w:jc w:val="center"/>
              <w:rPr>
                <w:rFonts w:hint="eastAsia" w:ascii="仿宋" w:hAnsi="仿宋" w:eastAsia="仿宋" w:cs="仿宋"/>
                <w:sz w:val="24"/>
                <w:szCs w:val="24"/>
              </w:rPr>
            </w:pPr>
            <w:r>
              <w:rPr>
                <w:rFonts w:hint="eastAsia" w:ascii="仿宋" w:hAnsi="仿宋" w:eastAsia="仿宋" w:cs="仿宋"/>
                <w:sz w:val="24"/>
                <w:szCs w:val="24"/>
              </w:rPr>
              <w:t>执业</w:t>
            </w:r>
          </w:p>
          <w:p w14:paraId="2B5F4BEB">
            <w:pPr>
              <w:jc w:val="center"/>
              <w:rPr>
                <w:rFonts w:hint="eastAsia" w:ascii="仿宋" w:hAnsi="仿宋" w:eastAsia="仿宋" w:cs="仿宋"/>
                <w:sz w:val="24"/>
                <w:szCs w:val="24"/>
              </w:rPr>
            </w:pPr>
            <w:r>
              <w:rPr>
                <w:rFonts w:hint="eastAsia" w:ascii="仿宋" w:hAnsi="仿宋" w:eastAsia="仿宋" w:cs="仿宋"/>
                <w:sz w:val="24"/>
                <w:szCs w:val="24"/>
              </w:rPr>
              <w:t>资格证</w:t>
            </w:r>
          </w:p>
        </w:tc>
        <w:tc>
          <w:tcPr>
            <w:tcW w:w="986" w:type="dxa"/>
            <w:tcBorders>
              <w:left w:val="single" w:color="auto" w:sz="4" w:space="0"/>
            </w:tcBorders>
            <w:noWrap w:val="0"/>
            <w:vAlign w:val="center"/>
          </w:tcPr>
          <w:p w14:paraId="6274A008">
            <w:pPr>
              <w:jc w:val="center"/>
              <w:rPr>
                <w:rFonts w:hint="eastAsia" w:ascii="仿宋" w:hAnsi="仿宋" w:eastAsia="仿宋" w:cs="仿宋"/>
                <w:sz w:val="24"/>
                <w:szCs w:val="24"/>
              </w:rPr>
            </w:pPr>
            <w:r>
              <w:rPr>
                <w:rFonts w:hint="eastAsia" w:ascii="仿宋" w:hAnsi="仿宋" w:eastAsia="仿宋" w:cs="仿宋"/>
                <w:sz w:val="24"/>
                <w:szCs w:val="24"/>
              </w:rPr>
              <w:t>证件</w:t>
            </w:r>
          </w:p>
          <w:p w14:paraId="64753C7F">
            <w:pPr>
              <w:jc w:val="center"/>
              <w:rPr>
                <w:rFonts w:hint="eastAsia" w:ascii="仿宋" w:hAnsi="仿宋" w:eastAsia="仿宋" w:cs="仿宋"/>
                <w:sz w:val="24"/>
                <w:szCs w:val="24"/>
              </w:rPr>
            </w:pPr>
            <w:r>
              <w:rPr>
                <w:rFonts w:hint="eastAsia" w:ascii="仿宋" w:hAnsi="仿宋" w:eastAsia="仿宋" w:cs="仿宋"/>
                <w:sz w:val="24"/>
                <w:szCs w:val="24"/>
              </w:rPr>
              <w:t>种类</w:t>
            </w:r>
          </w:p>
        </w:tc>
        <w:tc>
          <w:tcPr>
            <w:tcW w:w="1000" w:type="dxa"/>
            <w:noWrap w:val="0"/>
            <w:vAlign w:val="center"/>
          </w:tcPr>
          <w:p w14:paraId="7298DCA0">
            <w:pPr>
              <w:ind w:firstLine="12"/>
              <w:jc w:val="center"/>
              <w:rPr>
                <w:rFonts w:hint="eastAsia" w:ascii="仿宋" w:hAnsi="仿宋" w:eastAsia="仿宋" w:cs="仿宋"/>
                <w:sz w:val="24"/>
                <w:szCs w:val="24"/>
              </w:rPr>
            </w:pPr>
            <w:r>
              <w:rPr>
                <w:rFonts w:hint="eastAsia" w:ascii="仿宋" w:hAnsi="仿宋" w:eastAsia="仿宋" w:cs="仿宋"/>
                <w:sz w:val="24"/>
                <w:szCs w:val="24"/>
              </w:rPr>
              <w:t>职称</w:t>
            </w:r>
          </w:p>
        </w:tc>
        <w:tc>
          <w:tcPr>
            <w:tcW w:w="885" w:type="dxa"/>
            <w:noWrap w:val="0"/>
            <w:vAlign w:val="center"/>
          </w:tcPr>
          <w:p w14:paraId="138F450C">
            <w:pPr>
              <w:ind w:firstLine="12"/>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驻场时间</w:t>
            </w:r>
          </w:p>
        </w:tc>
        <w:tc>
          <w:tcPr>
            <w:tcW w:w="885" w:type="dxa"/>
            <w:noWrap w:val="0"/>
            <w:vAlign w:val="center"/>
          </w:tcPr>
          <w:p w14:paraId="5DA37070">
            <w:pPr>
              <w:ind w:firstLine="12"/>
              <w:jc w:val="center"/>
              <w:rPr>
                <w:rFonts w:hint="eastAsia" w:ascii="仿宋" w:hAnsi="仿宋" w:eastAsia="仿宋" w:cs="仿宋"/>
                <w:sz w:val="24"/>
                <w:szCs w:val="24"/>
              </w:rPr>
            </w:pPr>
            <w:r>
              <w:rPr>
                <w:rFonts w:hint="eastAsia" w:ascii="仿宋" w:hAnsi="仿宋" w:eastAsia="仿宋" w:cs="仿宋"/>
                <w:sz w:val="24"/>
                <w:szCs w:val="24"/>
              </w:rPr>
              <w:t>备注</w:t>
            </w:r>
          </w:p>
        </w:tc>
      </w:tr>
      <w:tr w14:paraId="39928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restart"/>
            <w:noWrap w:val="0"/>
            <w:vAlign w:val="center"/>
          </w:tcPr>
          <w:p w14:paraId="73123A9E">
            <w:pPr>
              <w:jc w:val="center"/>
              <w:rPr>
                <w:rFonts w:hint="eastAsia" w:ascii="仿宋" w:hAnsi="仿宋" w:eastAsia="仿宋" w:cs="仿宋"/>
                <w:sz w:val="24"/>
                <w:szCs w:val="24"/>
              </w:rPr>
            </w:pPr>
            <w:r>
              <w:rPr>
                <w:rFonts w:hint="eastAsia" w:ascii="仿宋" w:hAnsi="仿宋" w:eastAsia="仿宋" w:cs="仿宋"/>
                <w:sz w:val="24"/>
                <w:szCs w:val="24"/>
                <w:lang w:eastAsia="zh-CN"/>
              </w:rPr>
              <w:t>项目组</w:t>
            </w:r>
            <w:r>
              <w:rPr>
                <w:rFonts w:hint="eastAsia" w:ascii="仿宋" w:hAnsi="仿宋" w:eastAsia="仿宋" w:cs="仿宋"/>
                <w:sz w:val="24"/>
                <w:szCs w:val="24"/>
              </w:rPr>
              <w:t>人员</w:t>
            </w:r>
          </w:p>
        </w:tc>
        <w:tc>
          <w:tcPr>
            <w:tcW w:w="869" w:type="dxa"/>
            <w:noWrap w:val="0"/>
            <w:vAlign w:val="center"/>
          </w:tcPr>
          <w:p w14:paraId="783C3937">
            <w:pPr>
              <w:jc w:val="center"/>
              <w:rPr>
                <w:rFonts w:hint="eastAsia" w:ascii="仿宋" w:hAnsi="仿宋" w:eastAsia="仿宋" w:cs="仿宋"/>
                <w:sz w:val="24"/>
                <w:szCs w:val="24"/>
              </w:rPr>
            </w:pPr>
          </w:p>
        </w:tc>
        <w:tc>
          <w:tcPr>
            <w:tcW w:w="900" w:type="dxa"/>
            <w:noWrap w:val="0"/>
            <w:vAlign w:val="center"/>
          </w:tcPr>
          <w:p w14:paraId="1002595E">
            <w:pPr>
              <w:jc w:val="center"/>
              <w:rPr>
                <w:rFonts w:hint="eastAsia" w:ascii="仿宋" w:hAnsi="仿宋" w:eastAsia="仿宋" w:cs="仿宋"/>
                <w:sz w:val="24"/>
                <w:szCs w:val="24"/>
              </w:rPr>
            </w:pPr>
          </w:p>
        </w:tc>
        <w:tc>
          <w:tcPr>
            <w:tcW w:w="707" w:type="dxa"/>
            <w:tcBorders>
              <w:right w:val="single" w:color="auto" w:sz="4" w:space="0"/>
            </w:tcBorders>
            <w:noWrap w:val="0"/>
            <w:vAlign w:val="center"/>
          </w:tcPr>
          <w:p w14:paraId="25728346">
            <w:pPr>
              <w:jc w:val="center"/>
              <w:rPr>
                <w:rFonts w:hint="eastAsia" w:ascii="仿宋" w:hAnsi="仿宋" w:eastAsia="仿宋" w:cs="仿宋"/>
                <w:sz w:val="24"/>
                <w:szCs w:val="24"/>
              </w:rPr>
            </w:pPr>
          </w:p>
        </w:tc>
        <w:tc>
          <w:tcPr>
            <w:tcW w:w="649" w:type="dxa"/>
            <w:tcBorders>
              <w:left w:val="single" w:color="auto" w:sz="4" w:space="0"/>
            </w:tcBorders>
            <w:noWrap w:val="0"/>
            <w:vAlign w:val="center"/>
          </w:tcPr>
          <w:p w14:paraId="4C4C26DA">
            <w:pPr>
              <w:jc w:val="center"/>
              <w:rPr>
                <w:rFonts w:hint="eastAsia" w:ascii="仿宋" w:hAnsi="仿宋" w:eastAsia="仿宋" w:cs="仿宋"/>
                <w:sz w:val="24"/>
                <w:szCs w:val="24"/>
              </w:rPr>
            </w:pPr>
          </w:p>
        </w:tc>
        <w:tc>
          <w:tcPr>
            <w:tcW w:w="1010" w:type="dxa"/>
            <w:tcBorders>
              <w:right w:val="single" w:color="auto" w:sz="4" w:space="0"/>
            </w:tcBorders>
            <w:noWrap w:val="0"/>
            <w:vAlign w:val="center"/>
          </w:tcPr>
          <w:p w14:paraId="2412EF17">
            <w:pPr>
              <w:jc w:val="center"/>
              <w:rPr>
                <w:rFonts w:hint="eastAsia" w:ascii="仿宋" w:hAnsi="仿宋" w:eastAsia="仿宋" w:cs="仿宋"/>
                <w:sz w:val="24"/>
                <w:szCs w:val="24"/>
              </w:rPr>
            </w:pPr>
          </w:p>
        </w:tc>
        <w:tc>
          <w:tcPr>
            <w:tcW w:w="986" w:type="dxa"/>
            <w:tcBorders>
              <w:left w:val="single" w:color="auto" w:sz="4" w:space="0"/>
            </w:tcBorders>
            <w:noWrap w:val="0"/>
            <w:vAlign w:val="center"/>
          </w:tcPr>
          <w:p w14:paraId="38CB536D">
            <w:pPr>
              <w:jc w:val="center"/>
              <w:rPr>
                <w:rFonts w:hint="eastAsia" w:ascii="仿宋" w:hAnsi="仿宋" w:eastAsia="仿宋" w:cs="仿宋"/>
                <w:sz w:val="24"/>
                <w:szCs w:val="24"/>
              </w:rPr>
            </w:pPr>
          </w:p>
        </w:tc>
        <w:tc>
          <w:tcPr>
            <w:tcW w:w="1000" w:type="dxa"/>
            <w:noWrap w:val="0"/>
            <w:vAlign w:val="center"/>
          </w:tcPr>
          <w:p w14:paraId="26B58E01">
            <w:pPr>
              <w:jc w:val="center"/>
              <w:rPr>
                <w:rFonts w:hint="eastAsia" w:ascii="仿宋" w:hAnsi="仿宋" w:eastAsia="仿宋" w:cs="仿宋"/>
                <w:sz w:val="24"/>
                <w:szCs w:val="24"/>
              </w:rPr>
            </w:pPr>
          </w:p>
        </w:tc>
        <w:tc>
          <w:tcPr>
            <w:tcW w:w="885" w:type="dxa"/>
            <w:noWrap w:val="0"/>
            <w:vAlign w:val="center"/>
          </w:tcPr>
          <w:p w14:paraId="088D1C5C">
            <w:pPr>
              <w:jc w:val="center"/>
              <w:rPr>
                <w:rFonts w:hint="eastAsia" w:ascii="仿宋" w:hAnsi="仿宋" w:eastAsia="仿宋" w:cs="仿宋"/>
                <w:sz w:val="24"/>
                <w:szCs w:val="24"/>
              </w:rPr>
            </w:pPr>
          </w:p>
        </w:tc>
        <w:tc>
          <w:tcPr>
            <w:tcW w:w="885" w:type="dxa"/>
            <w:noWrap w:val="0"/>
            <w:vAlign w:val="center"/>
          </w:tcPr>
          <w:p w14:paraId="271781F1">
            <w:pPr>
              <w:jc w:val="center"/>
              <w:rPr>
                <w:rFonts w:hint="eastAsia" w:ascii="仿宋" w:hAnsi="仿宋" w:eastAsia="仿宋" w:cs="仿宋"/>
                <w:sz w:val="24"/>
                <w:szCs w:val="24"/>
              </w:rPr>
            </w:pPr>
          </w:p>
        </w:tc>
      </w:tr>
      <w:tr w14:paraId="53596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6DE26759">
            <w:pPr>
              <w:jc w:val="center"/>
              <w:rPr>
                <w:rFonts w:hint="eastAsia" w:ascii="仿宋" w:hAnsi="仿宋" w:eastAsia="仿宋" w:cs="仿宋"/>
                <w:sz w:val="24"/>
                <w:szCs w:val="24"/>
              </w:rPr>
            </w:pPr>
          </w:p>
        </w:tc>
        <w:tc>
          <w:tcPr>
            <w:tcW w:w="869" w:type="dxa"/>
            <w:noWrap w:val="0"/>
            <w:vAlign w:val="center"/>
          </w:tcPr>
          <w:p w14:paraId="28014D98">
            <w:pPr>
              <w:jc w:val="center"/>
              <w:rPr>
                <w:rFonts w:hint="eastAsia" w:ascii="仿宋" w:hAnsi="仿宋" w:eastAsia="仿宋" w:cs="仿宋"/>
                <w:sz w:val="24"/>
                <w:szCs w:val="24"/>
              </w:rPr>
            </w:pPr>
          </w:p>
        </w:tc>
        <w:tc>
          <w:tcPr>
            <w:tcW w:w="900" w:type="dxa"/>
            <w:noWrap w:val="0"/>
            <w:vAlign w:val="center"/>
          </w:tcPr>
          <w:p w14:paraId="28241E47">
            <w:pPr>
              <w:jc w:val="center"/>
              <w:rPr>
                <w:rFonts w:hint="eastAsia" w:ascii="仿宋" w:hAnsi="仿宋" w:eastAsia="仿宋" w:cs="仿宋"/>
                <w:sz w:val="24"/>
                <w:szCs w:val="24"/>
              </w:rPr>
            </w:pPr>
          </w:p>
        </w:tc>
        <w:tc>
          <w:tcPr>
            <w:tcW w:w="707" w:type="dxa"/>
            <w:tcBorders>
              <w:right w:val="single" w:color="auto" w:sz="4" w:space="0"/>
            </w:tcBorders>
            <w:noWrap w:val="0"/>
            <w:vAlign w:val="center"/>
          </w:tcPr>
          <w:p w14:paraId="39FF1E4D">
            <w:pPr>
              <w:jc w:val="center"/>
              <w:rPr>
                <w:rFonts w:hint="eastAsia" w:ascii="仿宋" w:hAnsi="仿宋" w:eastAsia="仿宋" w:cs="仿宋"/>
                <w:sz w:val="24"/>
                <w:szCs w:val="24"/>
              </w:rPr>
            </w:pPr>
          </w:p>
        </w:tc>
        <w:tc>
          <w:tcPr>
            <w:tcW w:w="649" w:type="dxa"/>
            <w:tcBorders>
              <w:left w:val="single" w:color="auto" w:sz="4" w:space="0"/>
            </w:tcBorders>
            <w:noWrap w:val="0"/>
            <w:vAlign w:val="center"/>
          </w:tcPr>
          <w:p w14:paraId="1C4153E7">
            <w:pPr>
              <w:jc w:val="center"/>
              <w:rPr>
                <w:rFonts w:hint="eastAsia" w:ascii="仿宋" w:hAnsi="仿宋" w:eastAsia="仿宋" w:cs="仿宋"/>
                <w:sz w:val="24"/>
                <w:szCs w:val="24"/>
              </w:rPr>
            </w:pPr>
          </w:p>
        </w:tc>
        <w:tc>
          <w:tcPr>
            <w:tcW w:w="1010" w:type="dxa"/>
            <w:tcBorders>
              <w:right w:val="single" w:color="auto" w:sz="4" w:space="0"/>
            </w:tcBorders>
            <w:noWrap w:val="0"/>
            <w:vAlign w:val="center"/>
          </w:tcPr>
          <w:p w14:paraId="3714A824">
            <w:pPr>
              <w:jc w:val="center"/>
              <w:rPr>
                <w:rFonts w:hint="eastAsia" w:ascii="仿宋" w:hAnsi="仿宋" w:eastAsia="仿宋" w:cs="仿宋"/>
                <w:sz w:val="24"/>
                <w:szCs w:val="24"/>
              </w:rPr>
            </w:pPr>
          </w:p>
        </w:tc>
        <w:tc>
          <w:tcPr>
            <w:tcW w:w="986" w:type="dxa"/>
            <w:tcBorders>
              <w:left w:val="single" w:color="auto" w:sz="4" w:space="0"/>
            </w:tcBorders>
            <w:noWrap w:val="0"/>
            <w:vAlign w:val="center"/>
          </w:tcPr>
          <w:p w14:paraId="1F0E2065">
            <w:pPr>
              <w:jc w:val="center"/>
              <w:rPr>
                <w:rFonts w:hint="eastAsia" w:ascii="仿宋" w:hAnsi="仿宋" w:eastAsia="仿宋" w:cs="仿宋"/>
                <w:sz w:val="24"/>
                <w:szCs w:val="24"/>
              </w:rPr>
            </w:pPr>
          </w:p>
        </w:tc>
        <w:tc>
          <w:tcPr>
            <w:tcW w:w="1000" w:type="dxa"/>
            <w:noWrap w:val="0"/>
            <w:vAlign w:val="center"/>
          </w:tcPr>
          <w:p w14:paraId="6A9F9E88">
            <w:pPr>
              <w:jc w:val="center"/>
              <w:rPr>
                <w:rFonts w:hint="eastAsia" w:ascii="仿宋" w:hAnsi="仿宋" w:eastAsia="仿宋" w:cs="仿宋"/>
                <w:sz w:val="24"/>
                <w:szCs w:val="24"/>
              </w:rPr>
            </w:pPr>
          </w:p>
        </w:tc>
        <w:tc>
          <w:tcPr>
            <w:tcW w:w="885" w:type="dxa"/>
            <w:noWrap w:val="0"/>
            <w:vAlign w:val="center"/>
          </w:tcPr>
          <w:p w14:paraId="7A087711">
            <w:pPr>
              <w:jc w:val="center"/>
              <w:rPr>
                <w:rFonts w:hint="eastAsia" w:ascii="仿宋" w:hAnsi="仿宋" w:eastAsia="仿宋" w:cs="仿宋"/>
                <w:sz w:val="24"/>
                <w:szCs w:val="24"/>
              </w:rPr>
            </w:pPr>
          </w:p>
        </w:tc>
        <w:tc>
          <w:tcPr>
            <w:tcW w:w="885" w:type="dxa"/>
            <w:noWrap w:val="0"/>
            <w:vAlign w:val="center"/>
          </w:tcPr>
          <w:p w14:paraId="7ECBFC7C">
            <w:pPr>
              <w:jc w:val="center"/>
              <w:rPr>
                <w:rFonts w:hint="eastAsia" w:ascii="仿宋" w:hAnsi="仿宋" w:eastAsia="仿宋" w:cs="仿宋"/>
                <w:sz w:val="24"/>
                <w:szCs w:val="24"/>
              </w:rPr>
            </w:pPr>
          </w:p>
        </w:tc>
      </w:tr>
      <w:tr w14:paraId="1D962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15F79179">
            <w:pPr>
              <w:jc w:val="center"/>
              <w:rPr>
                <w:rFonts w:hint="eastAsia" w:ascii="仿宋" w:hAnsi="仿宋" w:eastAsia="仿宋" w:cs="仿宋"/>
                <w:sz w:val="24"/>
                <w:szCs w:val="24"/>
              </w:rPr>
            </w:pPr>
          </w:p>
        </w:tc>
        <w:tc>
          <w:tcPr>
            <w:tcW w:w="869" w:type="dxa"/>
            <w:noWrap w:val="0"/>
            <w:vAlign w:val="center"/>
          </w:tcPr>
          <w:p w14:paraId="66284CEA">
            <w:pPr>
              <w:jc w:val="center"/>
              <w:rPr>
                <w:rFonts w:hint="eastAsia" w:ascii="仿宋" w:hAnsi="仿宋" w:eastAsia="仿宋" w:cs="仿宋"/>
                <w:sz w:val="24"/>
                <w:szCs w:val="24"/>
              </w:rPr>
            </w:pPr>
          </w:p>
        </w:tc>
        <w:tc>
          <w:tcPr>
            <w:tcW w:w="900" w:type="dxa"/>
            <w:noWrap w:val="0"/>
            <w:vAlign w:val="center"/>
          </w:tcPr>
          <w:p w14:paraId="6A2ACBBA">
            <w:pPr>
              <w:jc w:val="center"/>
              <w:rPr>
                <w:rFonts w:hint="eastAsia" w:ascii="仿宋" w:hAnsi="仿宋" w:eastAsia="仿宋" w:cs="仿宋"/>
                <w:sz w:val="24"/>
                <w:szCs w:val="24"/>
              </w:rPr>
            </w:pPr>
          </w:p>
        </w:tc>
        <w:tc>
          <w:tcPr>
            <w:tcW w:w="707" w:type="dxa"/>
            <w:tcBorders>
              <w:right w:val="single" w:color="auto" w:sz="4" w:space="0"/>
            </w:tcBorders>
            <w:noWrap w:val="0"/>
            <w:vAlign w:val="center"/>
          </w:tcPr>
          <w:p w14:paraId="412D25AB">
            <w:pPr>
              <w:jc w:val="center"/>
              <w:rPr>
                <w:rFonts w:hint="eastAsia" w:ascii="仿宋" w:hAnsi="仿宋" w:eastAsia="仿宋" w:cs="仿宋"/>
                <w:sz w:val="24"/>
                <w:szCs w:val="24"/>
              </w:rPr>
            </w:pPr>
          </w:p>
        </w:tc>
        <w:tc>
          <w:tcPr>
            <w:tcW w:w="649" w:type="dxa"/>
            <w:tcBorders>
              <w:left w:val="single" w:color="auto" w:sz="4" w:space="0"/>
            </w:tcBorders>
            <w:noWrap w:val="0"/>
            <w:vAlign w:val="center"/>
          </w:tcPr>
          <w:p w14:paraId="716BFB70">
            <w:pPr>
              <w:jc w:val="center"/>
              <w:rPr>
                <w:rFonts w:hint="eastAsia" w:ascii="仿宋" w:hAnsi="仿宋" w:eastAsia="仿宋" w:cs="仿宋"/>
                <w:sz w:val="24"/>
                <w:szCs w:val="24"/>
              </w:rPr>
            </w:pPr>
          </w:p>
        </w:tc>
        <w:tc>
          <w:tcPr>
            <w:tcW w:w="1010" w:type="dxa"/>
            <w:tcBorders>
              <w:right w:val="single" w:color="auto" w:sz="4" w:space="0"/>
            </w:tcBorders>
            <w:noWrap w:val="0"/>
            <w:vAlign w:val="center"/>
          </w:tcPr>
          <w:p w14:paraId="73C2AB25">
            <w:pPr>
              <w:jc w:val="center"/>
              <w:rPr>
                <w:rFonts w:hint="eastAsia" w:ascii="仿宋" w:hAnsi="仿宋" w:eastAsia="仿宋" w:cs="仿宋"/>
                <w:sz w:val="24"/>
                <w:szCs w:val="24"/>
              </w:rPr>
            </w:pPr>
          </w:p>
        </w:tc>
        <w:tc>
          <w:tcPr>
            <w:tcW w:w="986" w:type="dxa"/>
            <w:tcBorders>
              <w:left w:val="single" w:color="auto" w:sz="4" w:space="0"/>
            </w:tcBorders>
            <w:noWrap w:val="0"/>
            <w:vAlign w:val="center"/>
          </w:tcPr>
          <w:p w14:paraId="42DB4BC5">
            <w:pPr>
              <w:jc w:val="center"/>
              <w:rPr>
                <w:rFonts w:hint="eastAsia" w:ascii="仿宋" w:hAnsi="仿宋" w:eastAsia="仿宋" w:cs="仿宋"/>
                <w:sz w:val="24"/>
                <w:szCs w:val="24"/>
              </w:rPr>
            </w:pPr>
          </w:p>
        </w:tc>
        <w:tc>
          <w:tcPr>
            <w:tcW w:w="1000" w:type="dxa"/>
            <w:noWrap w:val="0"/>
            <w:vAlign w:val="center"/>
          </w:tcPr>
          <w:p w14:paraId="12D60929">
            <w:pPr>
              <w:jc w:val="center"/>
              <w:rPr>
                <w:rFonts w:hint="eastAsia" w:ascii="仿宋" w:hAnsi="仿宋" w:eastAsia="仿宋" w:cs="仿宋"/>
                <w:sz w:val="24"/>
                <w:szCs w:val="24"/>
              </w:rPr>
            </w:pPr>
          </w:p>
        </w:tc>
        <w:tc>
          <w:tcPr>
            <w:tcW w:w="885" w:type="dxa"/>
            <w:noWrap w:val="0"/>
            <w:vAlign w:val="center"/>
          </w:tcPr>
          <w:p w14:paraId="3DD51955">
            <w:pPr>
              <w:jc w:val="center"/>
              <w:rPr>
                <w:rFonts w:hint="eastAsia" w:ascii="仿宋" w:hAnsi="仿宋" w:eastAsia="仿宋" w:cs="仿宋"/>
                <w:sz w:val="24"/>
                <w:szCs w:val="24"/>
              </w:rPr>
            </w:pPr>
          </w:p>
        </w:tc>
        <w:tc>
          <w:tcPr>
            <w:tcW w:w="885" w:type="dxa"/>
            <w:noWrap w:val="0"/>
            <w:vAlign w:val="center"/>
          </w:tcPr>
          <w:p w14:paraId="5F84AB6E">
            <w:pPr>
              <w:jc w:val="center"/>
              <w:rPr>
                <w:rFonts w:hint="eastAsia" w:ascii="仿宋" w:hAnsi="仿宋" w:eastAsia="仿宋" w:cs="仿宋"/>
                <w:sz w:val="24"/>
                <w:szCs w:val="24"/>
              </w:rPr>
            </w:pPr>
          </w:p>
        </w:tc>
      </w:tr>
      <w:tr w14:paraId="04560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42C97D03">
            <w:pPr>
              <w:jc w:val="center"/>
              <w:rPr>
                <w:rFonts w:hint="eastAsia" w:ascii="仿宋" w:hAnsi="仿宋" w:eastAsia="仿宋" w:cs="仿宋"/>
                <w:sz w:val="24"/>
                <w:szCs w:val="24"/>
              </w:rPr>
            </w:pPr>
          </w:p>
        </w:tc>
        <w:tc>
          <w:tcPr>
            <w:tcW w:w="869" w:type="dxa"/>
            <w:noWrap w:val="0"/>
            <w:vAlign w:val="center"/>
          </w:tcPr>
          <w:p w14:paraId="24DFF0AF">
            <w:pPr>
              <w:jc w:val="center"/>
              <w:rPr>
                <w:rFonts w:hint="eastAsia" w:ascii="仿宋" w:hAnsi="仿宋" w:eastAsia="仿宋" w:cs="仿宋"/>
                <w:sz w:val="24"/>
                <w:szCs w:val="24"/>
              </w:rPr>
            </w:pPr>
          </w:p>
        </w:tc>
        <w:tc>
          <w:tcPr>
            <w:tcW w:w="900" w:type="dxa"/>
            <w:noWrap w:val="0"/>
            <w:vAlign w:val="center"/>
          </w:tcPr>
          <w:p w14:paraId="31519572">
            <w:pPr>
              <w:jc w:val="center"/>
              <w:rPr>
                <w:rFonts w:hint="eastAsia" w:ascii="仿宋" w:hAnsi="仿宋" w:eastAsia="仿宋" w:cs="仿宋"/>
                <w:sz w:val="24"/>
                <w:szCs w:val="24"/>
              </w:rPr>
            </w:pPr>
          </w:p>
        </w:tc>
        <w:tc>
          <w:tcPr>
            <w:tcW w:w="707" w:type="dxa"/>
            <w:tcBorders>
              <w:right w:val="single" w:color="auto" w:sz="4" w:space="0"/>
            </w:tcBorders>
            <w:noWrap w:val="0"/>
            <w:vAlign w:val="center"/>
          </w:tcPr>
          <w:p w14:paraId="45D09518">
            <w:pPr>
              <w:jc w:val="center"/>
              <w:rPr>
                <w:rFonts w:hint="eastAsia" w:ascii="仿宋" w:hAnsi="仿宋" w:eastAsia="仿宋" w:cs="仿宋"/>
                <w:sz w:val="24"/>
                <w:szCs w:val="24"/>
              </w:rPr>
            </w:pPr>
          </w:p>
        </w:tc>
        <w:tc>
          <w:tcPr>
            <w:tcW w:w="649" w:type="dxa"/>
            <w:tcBorders>
              <w:left w:val="single" w:color="auto" w:sz="4" w:space="0"/>
            </w:tcBorders>
            <w:noWrap w:val="0"/>
            <w:vAlign w:val="center"/>
          </w:tcPr>
          <w:p w14:paraId="4E661793">
            <w:pPr>
              <w:jc w:val="center"/>
              <w:rPr>
                <w:rFonts w:hint="eastAsia" w:ascii="仿宋" w:hAnsi="仿宋" w:eastAsia="仿宋" w:cs="仿宋"/>
                <w:sz w:val="24"/>
                <w:szCs w:val="24"/>
              </w:rPr>
            </w:pPr>
          </w:p>
        </w:tc>
        <w:tc>
          <w:tcPr>
            <w:tcW w:w="1010" w:type="dxa"/>
            <w:tcBorders>
              <w:right w:val="single" w:color="auto" w:sz="4" w:space="0"/>
            </w:tcBorders>
            <w:noWrap w:val="0"/>
            <w:vAlign w:val="center"/>
          </w:tcPr>
          <w:p w14:paraId="2BF381BD">
            <w:pPr>
              <w:jc w:val="center"/>
              <w:rPr>
                <w:rFonts w:hint="eastAsia" w:ascii="仿宋" w:hAnsi="仿宋" w:eastAsia="仿宋" w:cs="仿宋"/>
                <w:sz w:val="24"/>
                <w:szCs w:val="24"/>
              </w:rPr>
            </w:pPr>
          </w:p>
        </w:tc>
        <w:tc>
          <w:tcPr>
            <w:tcW w:w="986" w:type="dxa"/>
            <w:tcBorders>
              <w:left w:val="single" w:color="auto" w:sz="4" w:space="0"/>
            </w:tcBorders>
            <w:noWrap w:val="0"/>
            <w:vAlign w:val="center"/>
          </w:tcPr>
          <w:p w14:paraId="7CC8E580">
            <w:pPr>
              <w:jc w:val="center"/>
              <w:rPr>
                <w:rFonts w:hint="eastAsia" w:ascii="仿宋" w:hAnsi="仿宋" w:eastAsia="仿宋" w:cs="仿宋"/>
                <w:sz w:val="24"/>
                <w:szCs w:val="24"/>
              </w:rPr>
            </w:pPr>
          </w:p>
        </w:tc>
        <w:tc>
          <w:tcPr>
            <w:tcW w:w="1000" w:type="dxa"/>
            <w:noWrap w:val="0"/>
            <w:vAlign w:val="center"/>
          </w:tcPr>
          <w:p w14:paraId="1EB12789">
            <w:pPr>
              <w:jc w:val="center"/>
              <w:rPr>
                <w:rFonts w:hint="eastAsia" w:ascii="仿宋" w:hAnsi="仿宋" w:eastAsia="仿宋" w:cs="仿宋"/>
                <w:sz w:val="24"/>
                <w:szCs w:val="24"/>
              </w:rPr>
            </w:pPr>
          </w:p>
        </w:tc>
        <w:tc>
          <w:tcPr>
            <w:tcW w:w="885" w:type="dxa"/>
            <w:noWrap w:val="0"/>
            <w:vAlign w:val="center"/>
          </w:tcPr>
          <w:p w14:paraId="58802DEF">
            <w:pPr>
              <w:jc w:val="center"/>
              <w:rPr>
                <w:rFonts w:hint="eastAsia" w:ascii="仿宋" w:hAnsi="仿宋" w:eastAsia="仿宋" w:cs="仿宋"/>
                <w:sz w:val="24"/>
                <w:szCs w:val="24"/>
              </w:rPr>
            </w:pPr>
          </w:p>
        </w:tc>
        <w:tc>
          <w:tcPr>
            <w:tcW w:w="885" w:type="dxa"/>
            <w:noWrap w:val="0"/>
            <w:vAlign w:val="center"/>
          </w:tcPr>
          <w:p w14:paraId="655F6961">
            <w:pPr>
              <w:jc w:val="center"/>
              <w:rPr>
                <w:rFonts w:hint="eastAsia" w:ascii="仿宋" w:hAnsi="仿宋" w:eastAsia="仿宋" w:cs="仿宋"/>
                <w:sz w:val="24"/>
                <w:szCs w:val="24"/>
              </w:rPr>
            </w:pPr>
          </w:p>
        </w:tc>
      </w:tr>
      <w:tr w14:paraId="6147D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78614CA2">
            <w:pPr>
              <w:jc w:val="center"/>
              <w:rPr>
                <w:rFonts w:hint="eastAsia" w:ascii="仿宋" w:hAnsi="仿宋" w:eastAsia="仿宋" w:cs="仿宋"/>
                <w:sz w:val="24"/>
                <w:szCs w:val="24"/>
              </w:rPr>
            </w:pPr>
          </w:p>
        </w:tc>
        <w:tc>
          <w:tcPr>
            <w:tcW w:w="869" w:type="dxa"/>
            <w:noWrap w:val="0"/>
            <w:vAlign w:val="center"/>
          </w:tcPr>
          <w:p w14:paraId="3909AA3F">
            <w:pPr>
              <w:jc w:val="center"/>
              <w:rPr>
                <w:rFonts w:hint="eastAsia" w:ascii="仿宋" w:hAnsi="仿宋" w:eastAsia="仿宋" w:cs="仿宋"/>
                <w:sz w:val="24"/>
                <w:szCs w:val="24"/>
              </w:rPr>
            </w:pPr>
          </w:p>
        </w:tc>
        <w:tc>
          <w:tcPr>
            <w:tcW w:w="900" w:type="dxa"/>
            <w:noWrap w:val="0"/>
            <w:vAlign w:val="center"/>
          </w:tcPr>
          <w:p w14:paraId="430BE58D">
            <w:pPr>
              <w:jc w:val="center"/>
              <w:rPr>
                <w:rFonts w:hint="eastAsia" w:ascii="仿宋" w:hAnsi="仿宋" w:eastAsia="仿宋" w:cs="仿宋"/>
                <w:sz w:val="24"/>
                <w:szCs w:val="24"/>
              </w:rPr>
            </w:pPr>
          </w:p>
        </w:tc>
        <w:tc>
          <w:tcPr>
            <w:tcW w:w="707" w:type="dxa"/>
            <w:tcBorders>
              <w:right w:val="single" w:color="auto" w:sz="4" w:space="0"/>
            </w:tcBorders>
            <w:noWrap w:val="0"/>
            <w:vAlign w:val="center"/>
          </w:tcPr>
          <w:p w14:paraId="68587576">
            <w:pPr>
              <w:jc w:val="center"/>
              <w:rPr>
                <w:rFonts w:hint="eastAsia" w:ascii="仿宋" w:hAnsi="仿宋" w:eastAsia="仿宋" w:cs="仿宋"/>
                <w:sz w:val="24"/>
                <w:szCs w:val="24"/>
              </w:rPr>
            </w:pPr>
          </w:p>
        </w:tc>
        <w:tc>
          <w:tcPr>
            <w:tcW w:w="649" w:type="dxa"/>
            <w:tcBorders>
              <w:left w:val="single" w:color="auto" w:sz="4" w:space="0"/>
            </w:tcBorders>
            <w:noWrap w:val="0"/>
            <w:vAlign w:val="center"/>
          </w:tcPr>
          <w:p w14:paraId="2F4CEA7E">
            <w:pPr>
              <w:jc w:val="center"/>
              <w:rPr>
                <w:rFonts w:hint="eastAsia" w:ascii="仿宋" w:hAnsi="仿宋" w:eastAsia="仿宋" w:cs="仿宋"/>
                <w:sz w:val="24"/>
                <w:szCs w:val="24"/>
              </w:rPr>
            </w:pPr>
          </w:p>
        </w:tc>
        <w:tc>
          <w:tcPr>
            <w:tcW w:w="1010" w:type="dxa"/>
            <w:tcBorders>
              <w:right w:val="single" w:color="auto" w:sz="4" w:space="0"/>
            </w:tcBorders>
            <w:noWrap w:val="0"/>
            <w:vAlign w:val="center"/>
          </w:tcPr>
          <w:p w14:paraId="3DF03C18">
            <w:pPr>
              <w:jc w:val="center"/>
              <w:rPr>
                <w:rFonts w:hint="eastAsia" w:ascii="仿宋" w:hAnsi="仿宋" w:eastAsia="仿宋" w:cs="仿宋"/>
                <w:sz w:val="24"/>
                <w:szCs w:val="24"/>
              </w:rPr>
            </w:pPr>
          </w:p>
        </w:tc>
        <w:tc>
          <w:tcPr>
            <w:tcW w:w="986" w:type="dxa"/>
            <w:tcBorders>
              <w:left w:val="single" w:color="auto" w:sz="4" w:space="0"/>
            </w:tcBorders>
            <w:noWrap w:val="0"/>
            <w:vAlign w:val="center"/>
          </w:tcPr>
          <w:p w14:paraId="08974D22">
            <w:pPr>
              <w:jc w:val="center"/>
              <w:rPr>
                <w:rFonts w:hint="eastAsia" w:ascii="仿宋" w:hAnsi="仿宋" w:eastAsia="仿宋" w:cs="仿宋"/>
                <w:sz w:val="24"/>
                <w:szCs w:val="24"/>
              </w:rPr>
            </w:pPr>
          </w:p>
        </w:tc>
        <w:tc>
          <w:tcPr>
            <w:tcW w:w="1000" w:type="dxa"/>
            <w:noWrap w:val="0"/>
            <w:vAlign w:val="center"/>
          </w:tcPr>
          <w:p w14:paraId="4B7FF7B7">
            <w:pPr>
              <w:jc w:val="center"/>
              <w:rPr>
                <w:rFonts w:hint="eastAsia" w:ascii="仿宋" w:hAnsi="仿宋" w:eastAsia="仿宋" w:cs="仿宋"/>
                <w:sz w:val="24"/>
                <w:szCs w:val="24"/>
              </w:rPr>
            </w:pPr>
          </w:p>
        </w:tc>
        <w:tc>
          <w:tcPr>
            <w:tcW w:w="885" w:type="dxa"/>
            <w:noWrap w:val="0"/>
            <w:vAlign w:val="center"/>
          </w:tcPr>
          <w:p w14:paraId="10EC3C12">
            <w:pPr>
              <w:jc w:val="center"/>
              <w:rPr>
                <w:rFonts w:hint="eastAsia" w:ascii="仿宋" w:hAnsi="仿宋" w:eastAsia="仿宋" w:cs="仿宋"/>
                <w:sz w:val="24"/>
                <w:szCs w:val="24"/>
              </w:rPr>
            </w:pPr>
          </w:p>
        </w:tc>
        <w:tc>
          <w:tcPr>
            <w:tcW w:w="885" w:type="dxa"/>
            <w:noWrap w:val="0"/>
            <w:vAlign w:val="center"/>
          </w:tcPr>
          <w:p w14:paraId="418F14B4">
            <w:pPr>
              <w:jc w:val="center"/>
              <w:rPr>
                <w:rFonts w:hint="eastAsia" w:ascii="仿宋" w:hAnsi="仿宋" w:eastAsia="仿宋" w:cs="仿宋"/>
                <w:sz w:val="24"/>
                <w:szCs w:val="24"/>
              </w:rPr>
            </w:pPr>
          </w:p>
        </w:tc>
      </w:tr>
      <w:tr w14:paraId="2EEAB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3B77937A">
            <w:pPr>
              <w:jc w:val="center"/>
              <w:rPr>
                <w:rFonts w:hint="eastAsia" w:ascii="仿宋" w:hAnsi="仿宋" w:eastAsia="仿宋" w:cs="仿宋"/>
                <w:sz w:val="24"/>
                <w:szCs w:val="24"/>
              </w:rPr>
            </w:pPr>
          </w:p>
        </w:tc>
        <w:tc>
          <w:tcPr>
            <w:tcW w:w="869" w:type="dxa"/>
            <w:noWrap w:val="0"/>
            <w:vAlign w:val="center"/>
          </w:tcPr>
          <w:p w14:paraId="5A3BCC35">
            <w:pPr>
              <w:jc w:val="center"/>
              <w:rPr>
                <w:rFonts w:hint="eastAsia" w:ascii="仿宋" w:hAnsi="仿宋" w:eastAsia="仿宋" w:cs="仿宋"/>
                <w:sz w:val="24"/>
                <w:szCs w:val="24"/>
              </w:rPr>
            </w:pPr>
          </w:p>
        </w:tc>
        <w:tc>
          <w:tcPr>
            <w:tcW w:w="900" w:type="dxa"/>
            <w:noWrap w:val="0"/>
            <w:vAlign w:val="center"/>
          </w:tcPr>
          <w:p w14:paraId="6F9EE3B8">
            <w:pPr>
              <w:jc w:val="center"/>
              <w:rPr>
                <w:rFonts w:hint="eastAsia" w:ascii="仿宋" w:hAnsi="仿宋" w:eastAsia="仿宋" w:cs="仿宋"/>
                <w:sz w:val="24"/>
                <w:szCs w:val="24"/>
              </w:rPr>
            </w:pPr>
          </w:p>
        </w:tc>
        <w:tc>
          <w:tcPr>
            <w:tcW w:w="707" w:type="dxa"/>
            <w:tcBorders>
              <w:right w:val="single" w:color="auto" w:sz="4" w:space="0"/>
            </w:tcBorders>
            <w:noWrap w:val="0"/>
            <w:vAlign w:val="center"/>
          </w:tcPr>
          <w:p w14:paraId="323B4486">
            <w:pPr>
              <w:jc w:val="center"/>
              <w:rPr>
                <w:rFonts w:hint="eastAsia" w:ascii="仿宋" w:hAnsi="仿宋" w:eastAsia="仿宋" w:cs="仿宋"/>
                <w:sz w:val="24"/>
                <w:szCs w:val="24"/>
              </w:rPr>
            </w:pPr>
          </w:p>
        </w:tc>
        <w:tc>
          <w:tcPr>
            <w:tcW w:w="649" w:type="dxa"/>
            <w:tcBorders>
              <w:left w:val="single" w:color="auto" w:sz="4" w:space="0"/>
            </w:tcBorders>
            <w:noWrap w:val="0"/>
            <w:vAlign w:val="center"/>
          </w:tcPr>
          <w:p w14:paraId="7F0801C3">
            <w:pPr>
              <w:jc w:val="center"/>
              <w:rPr>
                <w:rFonts w:hint="eastAsia" w:ascii="仿宋" w:hAnsi="仿宋" w:eastAsia="仿宋" w:cs="仿宋"/>
                <w:sz w:val="24"/>
                <w:szCs w:val="24"/>
              </w:rPr>
            </w:pPr>
          </w:p>
        </w:tc>
        <w:tc>
          <w:tcPr>
            <w:tcW w:w="1010" w:type="dxa"/>
            <w:tcBorders>
              <w:right w:val="single" w:color="auto" w:sz="4" w:space="0"/>
            </w:tcBorders>
            <w:noWrap w:val="0"/>
            <w:vAlign w:val="center"/>
          </w:tcPr>
          <w:p w14:paraId="59B0812E">
            <w:pPr>
              <w:jc w:val="center"/>
              <w:rPr>
                <w:rFonts w:hint="eastAsia" w:ascii="仿宋" w:hAnsi="仿宋" w:eastAsia="仿宋" w:cs="仿宋"/>
                <w:sz w:val="24"/>
                <w:szCs w:val="24"/>
              </w:rPr>
            </w:pPr>
          </w:p>
        </w:tc>
        <w:tc>
          <w:tcPr>
            <w:tcW w:w="986" w:type="dxa"/>
            <w:tcBorders>
              <w:left w:val="single" w:color="auto" w:sz="4" w:space="0"/>
            </w:tcBorders>
            <w:noWrap w:val="0"/>
            <w:vAlign w:val="center"/>
          </w:tcPr>
          <w:p w14:paraId="2DFB0938">
            <w:pPr>
              <w:jc w:val="center"/>
              <w:rPr>
                <w:rFonts w:hint="eastAsia" w:ascii="仿宋" w:hAnsi="仿宋" w:eastAsia="仿宋" w:cs="仿宋"/>
                <w:sz w:val="24"/>
                <w:szCs w:val="24"/>
              </w:rPr>
            </w:pPr>
          </w:p>
        </w:tc>
        <w:tc>
          <w:tcPr>
            <w:tcW w:w="1000" w:type="dxa"/>
            <w:noWrap w:val="0"/>
            <w:vAlign w:val="center"/>
          </w:tcPr>
          <w:p w14:paraId="217D6896">
            <w:pPr>
              <w:jc w:val="center"/>
              <w:rPr>
                <w:rFonts w:hint="eastAsia" w:ascii="仿宋" w:hAnsi="仿宋" w:eastAsia="仿宋" w:cs="仿宋"/>
                <w:sz w:val="24"/>
                <w:szCs w:val="24"/>
              </w:rPr>
            </w:pPr>
          </w:p>
        </w:tc>
        <w:tc>
          <w:tcPr>
            <w:tcW w:w="885" w:type="dxa"/>
            <w:noWrap w:val="0"/>
            <w:vAlign w:val="center"/>
          </w:tcPr>
          <w:p w14:paraId="45304602">
            <w:pPr>
              <w:jc w:val="center"/>
              <w:rPr>
                <w:rFonts w:hint="eastAsia" w:ascii="仿宋" w:hAnsi="仿宋" w:eastAsia="仿宋" w:cs="仿宋"/>
                <w:sz w:val="24"/>
                <w:szCs w:val="24"/>
              </w:rPr>
            </w:pPr>
          </w:p>
        </w:tc>
        <w:tc>
          <w:tcPr>
            <w:tcW w:w="885" w:type="dxa"/>
            <w:noWrap w:val="0"/>
            <w:vAlign w:val="center"/>
          </w:tcPr>
          <w:p w14:paraId="560B1DEC">
            <w:pPr>
              <w:jc w:val="center"/>
              <w:rPr>
                <w:rFonts w:hint="eastAsia" w:ascii="仿宋" w:hAnsi="仿宋" w:eastAsia="仿宋" w:cs="仿宋"/>
                <w:sz w:val="24"/>
                <w:szCs w:val="24"/>
              </w:rPr>
            </w:pPr>
          </w:p>
        </w:tc>
      </w:tr>
      <w:tr w14:paraId="5FE9D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6BD5451C">
            <w:pPr>
              <w:jc w:val="center"/>
              <w:rPr>
                <w:rFonts w:hint="eastAsia" w:ascii="仿宋" w:hAnsi="仿宋" w:eastAsia="仿宋" w:cs="仿宋"/>
                <w:sz w:val="24"/>
                <w:szCs w:val="24"/>
              </w:rPr>
            </w:pPr>
          </w:p>
        </w:tc>
        <w:tc>
          <w:tcPr>
            <w:tcW w:w="869" w:type="dxa"/>
            <w:noWrap w:val="0"/>
            <w:vAlign w:val="center"/>
          </w:tcPr>
          <w:p w14:paraId="30DBE4A4">
            <w:pPr>
              <w:jc w:val="center"/>
              <w:rPr>
                <w:rFonts w:hint="eastAsia" w:ascii="仿宋" w:hAnsi="仿宋" w:eastAsia="仿宋" w:cs="仿宋"/>
                <w:sz w:val="24"/>
                <w:szCs w:val="24"/>
              </w:rPr>
            </w:pPr>
          </w:p>
        </w:tc>
        <w:tc>
          <w:tcPr>
            <w:tcW w:w="900" w:type="dxa"/>
            <w:noWrap w:val="0"/>
            <w:vAlign w:val="center"/>
          </w:tcPr>
          <w:p w14:paraId="46803487">
            <w:pPr>
              <w:jc w:val="center"/>
              <w:rPr>
                <w:rFonts w:hint="eastAsia" w:ascii="仿宋" w:hAnsi="仿宋" w:eastAsia="仿宋" w:cs="仿宋"/>
                <w:sz w:val="24"/>
                <w:szCs w:val="24"/>
              </w:rPr>
            </w:pPr>
          </w:p>
        </w:tc>
        <w:tc>
          <w:tcPr>
            <w:tcW w:w="707" w:type="dxa"/>
            <w:tcBorders>
              <w:right w:val="single" w:color="auto" w:sz="4" w:space="0"/>
            </w:tcBorders>
            <w:noWrap w:val="0"/>
            <w:vAlign w:val="center"/>
          </w:tcPr>
          <w:p w14:paraId="7FDC506F">
            <w:pPr>
              <w:jc w:val="center"/>
              <w:rPr>
                <w:rFonts w:hint="eastAsia" w:ascii="仿宋" w:hAnsi="仿宋" w:eastAsia="仿宋" w:cs="仿宋"/>
                <w:sz w:val="24"/>
                <w:szCs w:val="24"/>
              </w:rPr>
            </w:pPr>
          </w:p>
        </w:tc>
        <w:tc>
          <w:tcPr>
            <w:tcW w:w="649" w:type="dxa"/>
            <w:tcBorders>
              <w:left w:val="single" w:color="auto" w:sz="4" w:space="0"/>
            </w:tcBorders>
            <w:noWrap w:val="0"/>
            <w:vAlign w:val="center"/>
          </w:tcPr>
          <w:p w14:paraId="16A8C9D2">
            <w:pPr>
              <w:jc w:val="center"/>
              <w:rPr>
                <w:rFonts w:hint="eastAsia" w:ascii="仿宋" w:hAnsi="仿宋" w:eastAsia="仿宋" w:cs="仿宋"/>
                <w:sz w:val="24"/>
                <w:szCs w:val="24"/>
              </w:rPr>
            </w:pPr>
          </w:p>
        </w:tc>
        <w:tc>
          <w:tcPr>
            <w:tcW w:w="1010" w:type="dxa"/>
            <w:tcBorders>
              <w:right w:val="single" w:color="auto" w:sz="4" w:space="0"/>
            </w:tcBorders>
            <w:noWrap w:val="0"/>
            <w:vAlign w:val="center"/>
          </w:tcPr>
          <w:p w14:paraId="65A9B37B">
            <w:pPr>
              <w:jc w:val="center"/>
              <w:rPr>
                <w:rFonts w:hint="eastAsia" w:ascii="仿宋" w:hAnsi="仿宋" w:eastAsia="仿宋" w:cs="仿宋"/>
                <w:sz w:val="24"/>
                <w:szCs w:val="24"/>
              </w:rPr>
            </w:pPr>
          </w:p>
        </w:tc>
        <w:tc>
          <w:tcPr>
            <w:tcW w:w="986" w:type="dxa"/>
            <w:tcBorders>
              <w:left w:val="single" w:color="auto" w:sz="4" w:space="0"/>
            </w:tcBorders>
            <w:noWrap w:val="0"/>
            <w:vAlign w:val="center"/>
          </w:tcPr>
          <w:p w14:paraId="651CDC1E">
            <w:pPr>
              <w:jc w:val="center"/>
              <w:rPr>
                <w:rFonts w:hint="eastAsia" w:ascii="仿宋" w:hAnsi="仿宋" w:eastAsia="仿宋" w:cs="仿宋"/>
                <w:sz w:val="24"/>
                <w:szCs w:val="24"/>
              </w:rPr>
            </w:pPr>
          </w:p>
        </w:tc>
        <w:tc>
          <w:tcPr>
            <w:tcW w:w="1000" w:type="dxa"/>
            <w:noWrap w:val="0"/>
            <w:vAlign w:val="center"/>
          </w:tcPr>
          <w:p w14:paraId="1A98280D">
            <w:pPr>
              <w:jc w:val="center"/>
              <w:rPr>
                <w:rFonts w:hint="eastAsia" w:ascii="仿宋" w:hAnsi="仿宋" w:eastAsia="仿宋" w:cs="仿宋"/>
                <w:sz w:val="24"/>
                <w:szCs w:val="24"/>
              </w:rPr>
            </w:pPr>
          </w:p>
        </w:tc>
        <w:tc>
          <w:tcPr>
            <w:tcW w:w="885" w:type="dxa"/>
            <w:noWrap w:val="0"/>
            <w:vAlign w:val="center"/>
          </w:tcPr>
          <w:p w14:paraId="044DE5FE">
            <w:pPr>
              <w:jc w:val="center"/>
              <w:rPr>
                <w:rFonts w:hint="eastAsia" w:ascii="仿宋" w:hAnsi="仿宋" w:eastAsia="仿宋" w:cs="仿宋"/>
                <w:sz w:val="24"/>
                <w:szCs w:val="24"/>
              </w:rPr>
            </w:pPr>
          </w:p>
        </w:tc>
        <w:tc>
          <w:tcPr>
            <w:tcW w:w="885" w:type="dxa"/>
            <w:noWrap w:val="0"/>
            <w:vAlign w:val="center"/>
          </w:tcPr>
          <w:p w14:paraId="1FF329DC">
            <w:pPr>
              <w:jc w:val="center"/>
              <w:rPr>
                <w:rFonts w:hint="eastAsia" w:ascii="仿宋" w:hAnsi="仿宋" w:eastAsia="仿宋" w:cs="仿宋"/>
                <w:sz w:val="24"/>
                <w:szCs w:val="24"/>
              </w:rPr>
            </w:pPr>
          </w:p>
        </w:tc>
      </w:tr>
      <w:tr w14:paraId="43E96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3A7B72A1">
            <w:pPr>
              <w:jc w:val="center"/>
              <w:rPr>
                <w:rFonts w:hint="eastAsia" w:ascii="仿宋" w:hAnsi="仿宋" w:eastAsia="仿宋" w:cs="仿宋"/>
                <w:sz w:val="24"/>
                <w:szCs w:val="24"/>
              </w:rPr>
            </w:pPr>
          </w:p>
        </w:tc>
        <w:tc>
          <w:tcPr>
            <w:tcW w:w="869" w:type="dxa"/>
            <w:noWrap w:val="0"/>
            <w:vAlign w:val="center"/>
          </w:tcPr>
          <w:p w14:paraId="47564809">
            <w:pPr>
              <w:jc w:val="center"/>
              <w:rPr>
                <w:rFonts w:hint="eastAsia" w:ascii="仿宋" w:hAnsi="仿宋" w:eastAsia="仿宋" w:cs="仿宋"/>
                <w:sz w:val="24"/>
                <w:szCs w:val="24"/>
              </w:rPr>
            </w:pPr>
          </w:p>
        </w:tc>
        <w:tc>
          <w:tcPr>
            <w:tcW w:w="900" w:type="dxa"/>
            <w:noWrap w:val="0"/>
            <w:vAlign w:val="center"/>
          </w:tcPr>
          <w:p w14:paraId="05EC0D80">
            <w:pPr>
              <w:jc w:val="center"/>
              <w:rPr>
                <w:rFonts w:hint="eastAsia" w:ascii="仿宋" w:hAnsi="仿宋" w:eastAsia="仿宋" w:cs="仿宋"/>
                <w:sz w:val="24"/>
                <w:szCs w:val="24"/>
              </w:rPr>
            </w:pPr>
          </w:p>
        </w:tc>
        <w:tc>
          <w:tcPr>
            <w:tcW w:w="707" w:type="dxa"/>
            <w:tcBorders>
              <w:right w:val="single" w:color="auto" w:sz="4" w:space="0"/>
            </w:tcBorders>
            <w:noWrap w:val="0"/>
            <w:vAlign w:val="center"/>
          </w:tcPr>
          <w:p w14:paraId="576D7C3F">
            <w:pPr>
              <w:jc w:val="center"/>
              <w:rPr>
                <w:rFonts w:hint="eastAsia" w:ascii="仿宋" w:hAnsi="仿宋" w:eastAsia="仿宋" w:cs="仿宋"/>
                <w:sz w:val="24"/>
                <w:szCs w:val="24"/>
              </w:rPr>
            </w:pPr>
          </w:p>
        </w:tc>
        <w:tc>
          <w:tcPr>
            <w:tcW w:w="649" w:type="dxa"/>
            <w:tcBorders>
              <w:left w:val="single" w:color="auto" w:sz="4" w:space="0"/>
            </w:tcBorders>
            <w:noWrap w:val="0"/>
            <w:vAlign w:val="center"/>
          </w:tcPr>
          <w:p w14:paraId="608E24FE">
            <w:pPr>
              <w:jc w:val="center"/>
              <w:rPr>
                <w:rFonts w:hint="eastAsia" w:ascii="仿宋" w:hAnsi="仿宋" w:eastAsia="仿宋" w:cs="仿宋"/>
                <w:sz w:val="24"/>
                <w:szCs w:val="24"/>
              </w:rPr>
            </w:pPr>
          </w:p>
        </w:tc>
        <w:tc>
          <w:tcPr>
            <w:tcW w:w="1010" w:type="dxa"/>
            <w:tcBorders>
              <w:right w:val="single" w:color="auto" w:sz="4" w:space="0"/>
            </w:tcBorders>
            <w:noWrap w:val="0"/>
            <w:vAlign w:val="center"/>
          </w:tcPr>
          <w:p w14:paraId="1DA9B27F">
            <w:pPr>
              <w:jc w:val="center"/>
              <w:rPr>
                <w:rFonts w:hint="eastAsia" w:ascii="仿宋" w:hAnsi="仿宋" w:eastAsia="仿宋" w:cs="仿宋"/>
                <w:sz w:val="24"/>
                <w:szCs w:val="24"/>
              </w:rPr>
            </w:pPr>
          </w:p>
        </w:tc>
        <w:tc>
          <w:tcPr>
            <w:tcW w:w="986" w:type="dxa"/>
            <w:tcBorders>
              <w:left w:val="single" w:color="auto" w:sz="4" w:space="0"/>
            </w:tcBorders>
            <w:noWrap w:val="0"/>
            <w:vAlign w:val="center"/>
          </w:tcPr>
          <w:p w14:paraId="2317756D">
            <w:pPr>
              <w:jc w:val="center"/>
              <w:rPr>
                <w:rFonts w:hint="eastAsia" w:ascii="仿宋" w:hAnsi="仿宋" w:eastAsia="仿宋" w:cs="仿宋"/>
                <w:sz w:val="24"/>
                <w:szCs w:val="24"/>
              </w:rPr>
            </w:pPr>
          </w:p>
        </w:tc>
        <w:tc>
          <w:tcPr>
            <w:tcW w:w="1000" w:type="dxa"/>
            <w:noWrap w:val="0"/>
            <w:vAlign w:val="center"/>
          </w:tcPr>
          <w:p w14:paraId="3831088A">
            <w:pPr>
              <w:jc w:val="center"/>
              <w:rPr>
                <w:rFonts w:hint="eastAsia" w:ascii="仿宋" w:hAnsi="仿宋" w:eastAsia="仿宋" w:cs="仿宋"/>
                <w:sz w:val="24"/>
                <w:szCs w:val="24"/>
              </w:rPr>
            </w:pPr>
          </w:p>
        </w:tc>
        <w:tc>
          <w:tcPr>
            <w:tcW w:w="885" w:type="dxa"/>
            <w:noWrap w:val="0"/>
            <w:vAlign w:val="center"/>
          </w:tcPr>
          <w:p w14:paraId="1AE12F1E">
            <w:pPr>
              <w:jc w:val="center"/>
              <w:rPr>
                <w:rFonts w:hint="eastAsia" w:ascii="仿宋" w:hAnsi="仿宋" w:eastAsia="仿宋" w:cs="仿宋"/>
                <w:sz w:val="24"/>
                <w:szCs w:val="24"/>
              </w:rPr>
            </w:pPr>
          </w:p>
        </w:tc>
        <w:tc>
          <w:tcPr>
            <w:tcW w:w="885" w:type="dxa"/>
            <w:noWrap w:val="0"/>
            <w:vAlign w:val="center"/>
          </w:tcPr>
          <w:p w14:paraId="18D49EE5">
            <w:pPr>
              <w:jc w:val="center"/>
              <w:rPr>
                <w:rFonts w:hint="eastAsia" w:ascii="仿宋" w:hAnsi="仿宋" w:eastAsia="仿宋" w:cs="仿宋"/>
                <w:sz w:val="24"/>
                <w:szCs w:val="24"/>
              </w:rPr>
            </w:pPr>
          </w:p>
        </w:tc>
      </w:tr>
    </w:tbl>
    <w:p w14:paraId="074525B5">
      <w:pPr>
        <w:pStyle w:val="2"/>
        <w:keepNext w:val="0"/>
        <w:keepLines w:val="0"/>
        <w:pageBreakBefore w:val="0"/>
        <w:widowControl/>
        <w:shd w:val="clear"/>
        <w:kinsoku w:val="0"/>
        <w:wordWrap/>
        <w:overflowPunct/>
        <w:topLinePunct w:val="0"/>
        <w:autoSpaceDE w:val="0"/>
        <w:autoSpaceDN w:val="0"/>
        <w:bidi w:val="0"/>
        <w:adjustRightInd w:val="0"/>
        <w:snapToGrid w:val="0"/>
        <w:spacing w:before="172" w:line="441" w:lineRule="exact"/>
        <w:ind w:left="329"/>
        <w:textAlignment w:val="baseline"/>
        <w:outlineLvl w:val="9"/>
        <w:rPr>
          <w:rFonts w:hint="eastAsia" w:ascii="仿宋" w:hAnsi="仿宋" w:eastAsia="仿宋" w:cs="仿宋"/>
          <w:color w:val="auto"/>
          <w:spacing w:val="8"/>
          <w:position w:val="18"/>
          <w:sz w:val="24"/>
          <w:szCs w:val="24"/>
          <w:highlight w:val="none"/>
        </w:rPr>
      </w:pPr>
      <w:r>
        <w:rPr>
          <w:rFonts w:hint="eastAsia" w:ascii="仿宋" w:hAnsi="仿宋" w:eastAsia="仿宋" w:cs="仿宋"/>
          <w:color w:val="auto"/>
          <w:spacing w:val="8"/>
          <w:position w:val="18"/>
          <w:sz w:val="24"/>
          <w:szCs w:val="24"/>
          <w:highlight w:val="none"/>
        </w:rPr>
        <w:t>注：1、本工程一旦我单位中标，将配备上述项目管理人员。上述填报内容真实，如不真实，将按照有关规定接受处理。</w:t>
      </w:r>
    </w:p>
    <w:p w14:paraId="03BB9C27">
      <w:pPr>
        <w:pStyle w:val="2"/>
        <w:keepNext w:val="0"/>
        <w:keepLines w:val="0"/>
        <w:pageBreakBefore w:val="0"/>
        <w:widowControl/>
        <w:shd w:val="clear"/>
        <w:kinsoku w:val="0"/>
        <w:wordWrap/>
        <w:overflowPunct/>
        <w:topLinePunct w:val="0"/>
        <w:autoSpaceDE w:val="0"/>
        <w:autoSpaceDN w:val="0"/>
        <w:bidi w:val="0"/>
        <w:adjustRightInd w:val="0"/>
        <w:snapToGrid w:val="0"/>
        <w:spacing w:before="192" w:line="439" w:lineRule="exact"/>
        <w:ind w:left="752"/>
        <w:textAlignment w:val="baseline"/>
        <w:outlineLvl w:val="9"/>
        <w:rPr>
          <w:rFonts w:hint="eastAsia" w:ascii="仿宋" w:hAnsi="仿宋" w:eastAsia="仿宋" w:cs="仿宋"/>
          <w:b/>
          <w:bCs/>
          <w:color w:val="auto"/>
          <w:spacing w:val="10"/>
          <w:position w:val="18"/>
          <w:sz w:val="24"/>
          <w:szCs w:val="24"/>
          <w:highlight w:val="none"/>
        </w:rPr>
      </w:pPr>
      <w:r>
        <w:rPr>
          <w:rFonts w:hint="eastAsia" w:ascii="仿宋" w:hAnsi="仿宋" w:eastAsia="仿宋" w:cs="仿宋"/>
          <w:b/>
          <w:bCs/>
          <w:color w:val="auto"/>
          <w:spacing w:val="10"/>
          <w:position w:val="18"/>
          <w:sz w:val="24"/>
          <w:szCs w:val="24"/>
          <w:highlight w:val="none"/>
        </w:rPr>
        <w:t>2、承包人若需要更换本工程响应文件中原有人员时须经</w:t>
      </w:r>
      <w:r>
        <w:rPr>
          <w:rFonts w:hint="eastAsia" w:ascii="仿宋" w:hAnsi="仿宋" w:eastAsia="仿宋" w:cs="仿宋"/>
          <w:b/>
          <w:bCs/>
          <w:color w:val="auto"/>
          <w:spacing w:val="10"/>
          <w:position w:val="18"/>
          <w:sz w:val="24"/>
          <w:szCs w:val="24"/>
          <w:highlight w:val="none"/>
          <w:lang w:val="en-US" w:eastAsia="zh-CN"/>
        </w:rPr>
        <w:t>采购人</w:t>
      </w:r>
      <w:r>
        <w:rPr>
          <w:rFonts w:hint="eastAsia" w:ascii="仿宋" w:hAnsi="仿宋" w:eastAsia="仿宋" w:cs="仿宋"/>
          <w:b/>
          <w:bCs/>
          <w:color w:val="auto"/>
          <w:spacing w:val="10"/>
          <w:position w:val="18"/>
          <w:sz w:val="24"/>
          <w:szCs w:val="24"/>
          <w:highlight w:val="none"/>
        </w:rPr>
        <w:t>同意。未经</w:t>
      </w:r>
      <w:r>
        <w:rPr>
          <w:rFonts w:hint="eastAsia" w:ascii="仿宋" w:hAnsi="仿宋" w:eastAsia="仿宋" w:cs="仿宋"/>
          <w:b/>
          <w:bCs/>
          <w:color w:val="auto"/>
          <w:spacing w:val="10"/>
          <w:position w:val="18"/>
          <w:sz w:val="24"/>
          <w:szCs w:val="24"/>
          <w:highlight w:val="none"/>
          <w:lang w:val="en-US" w:eastAsia="zh-CN"/>
        </w:rPr>
        <w:t>采购人</w:t>
      </w:r>
      <w:r>
        <w:rPr>
          <w:rFonts w:hint="eastAsia" w:ascii="仿宋" w:hAnsi="仿宋" w:eastAsia="仿宋" w:cs="仿宋"/>
          <w:b/>
          <w:bCs/>
          <w:color w:val="auto"/>
          <w:spacing w:val="10"/>
          <w:position w:val="18"/>
          <w:sz w:val="24"/>
          <w:szCs w:val="24"/>
          <w:highlight w:val="none"/>
        </w:rPr>
        <w:t>同意，承包人更换人员应承担违约责任，并且按照中标价 5 ％ 给发包人支付违约金。</w:t>
      </w:r>
    </w:p>
    <w:p w14:paraId="5B806075">
      <w:pPr>
        <w:keepNext w:val="0"/>
        <w:keepLines w:val="0"/>
        <w:pageBreakBefore w:val="0"/>
        <w:widowControl/>
        <w:shd w:val="clear"/>
        <w:kinsoku w:val="0"/>
        <w:wordWrap/>
        <w:overflowPunct/>
        <w:topLinePunct w:val="0"/>
        <w:autoSpaceDE w:val="0"/>
        <w:autoSpaceDN w:val="0"/>
        <w:bidi w:val="0"/>
        <w:adjustRightInd w:val="0"/>
        <w:snapToGrid w:val="0"/>
        <w:spacing w:line="226" w:lineRule="auto"/>
        <w:textAlignment w:val="baseline"/>
        <w:outlineLvl w:val="9"/>
        <w:rPr>
          <w:rFonts w:hint="eastAsia" w:ascii="仿宋" w:hAnsi="仿宋" w:eastAsia="仿宋" w:cs="仿宋"/>
          <w:color w:val="auto"/>
          <w:sz w:val="24"/>
          <w:szCs w:val="24"/>
          <w:highlight w:val="none"/>
        </w:rPr>
        <w:sectPr>
          <w:footerReference r:id="rId17" w:type="default"/>
          <w:pgSz w:w="11906" w:h="16839"/>
          <w:pgMar w:top="1431" w:right="1014" w:bottom="1166" w:left="967" w:header="0" w:footer="987" w:gutter="0"/>
          <w:pgNumType w:fmt="decimal"/>
          <w:cols w:space="720" w:num="1"/>
        </w:sectPr>
      </w:pPr>
    </w:p>
    <w:p w14:paraId="4FBD5156">
      <w:pPr>
        <w:pStyle w:val="2"/>
        <w:keepNext w:val="0"/>
        <w:keepLines w:val="0"/>
        <w:pageBreakBefore w:val="0"/>
        <w:widowControl/>
        <w:shd w:val="clear"/>
        <w:kinsoku w:val="0"/>
        <w:wordWrap/>
        <w:overflowPunct/>
        <w:topLinePunct w:val="0"/>
        <w:autoSpaceDE w:val="0"/>
        <w:autoSpaceDN w:val="0"/>
        <w:bidi w:val="0"/>
        <w:adjustRightInd w:val="0"/>
        <w:snapToGrid w:val="0"/>
        <w:spacing w:before="180" w:line="227" w:lineRule="auto"/>
        <w:jc w:val="center"/>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（二）主要人员简历表</w:t>
      </w:r>
    </w:p>
    <w:p w14:paraId="244E517B">
      <w:pPr>
        <w:pStyle w:val="2"/>
        <w:keepNext w:val="0"/>
        <w:keepLines w:val="0"/>
        <w:pageBreakBefore w:val="0"/>
        <w:widowControl/>
        <w:shd w:val="clear"/>
        <w:kinsoku w:val="0"/>
        <w:wordWrap/>
        <w:overflowPunct/>
        <w:topLinePunct w:val="0"/>
        <w:autoSpaceDE w:val="0"/>
        <w:autoSpaceDN w:val="0"/>
        <w:bidi w:val="0"/>
        <w:adjustRightInd w:val="0"/>
        <w:snapToGrid w:val="0"/>
        <w:spacing w:before="178" w:line="227" w:lineRule="auto"/>
        <w:ind w:left="1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附</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4"/>
          <w:sz w:val="24"/>
          <w:szCs w:val="24"/>
          <w:highlight w:val="none"/>
        </w:rPr>
        <w:t>1：项目经理简历表</w:t>
      </w:r>
    </w:p>
    <w:p w14:paraId="2C1B7F51">
      <w:pPr>
        <w:pStyle w:val="2"/>
        <w:keepNext w:val="0"/>
        <w:keepLines w:val="0"/>
        <w:pageBreakBefore w:val="0"/>
        <w:widowControl/>
        <w:shd w:val="clear"/>
        <w:kinsoku w:val="0"/>
        <w:wordWrap/>
        <w:overflowPunct/>
        <w:topLinePunct w:val="0"/>
        <w:autoSpaceDE w:val="0"/>
        <w:autoSpaceDN w:val="0"/>
        <w:bidi w:val="0"/>
        <w:adjustRightInd w:val="0"/>
        <w:snapToGrid w:val="0"/>
        <w:spacing w:before="173" w:line="388" w:lineRule="auto"/>
        <w:ind w:firstLine="424"/>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项目经理应附建造师注册证书、安全生产考核证书、身份证、职称</w:t>
      </w:r>
      <w:r>
        <w:rPr>
          <w:rFonts w:hint="eastAsia" w:ascii="仿宋" w:hAnsi="仿宋" w:eastAsia="仿宋" w:cs="仿宋"/>
          <w:color w:val="auto"/>
          <w:spacing w:val="9"/>
          <w:sz w:val="24"/>
          <w:szCs w:val="24"/>
          <w:highlight w:val="none"/>
        </w:rPr>
        <w:t>证（如有）、学历证等资料复印件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及未担任其他在施建设工程项目项目经理的承诺书，管理过的项目业绩须附中标通知</w:t>
      </w:r>
      <w:r>
        <w:rPr>
          <w:rFonts w:hint="eastAsia" w:ascii="仿宋" w:hAnsi="仿宋" w:eastAsia="仿宋" w:cs="仿宋"/>
          <w:color w:val="auto"/>
          <w:spacing w:val="9"/>
          <w:sz w:val="24"/>
          <w:szCs w:val="24"/>
          <w:highlight w:val="none"/>
        </w:rPr>
        <w:t>书、合同协议书复印</w:t>
      </w:r>
    </w:p>
    <w:p w14:paraId="76682351">
      <w:pPr>
        <w:pStyle w:val="2"/>
        <w:keepNext w:val="0"/>
        <w:keepLines w:val="0"/>
        <w:pageBreakBefore w:val="0"/>
        <w:widowControl/>
        <w:shd w:val="clear"/>
        <w:kinsoku w:val="0"/>
        <w:wordWrap/>
        <w:overflowPunct/>
        <w:topLinePunct w:val="0"/>
        <w:autoSpaceDE w:val="0"/>
        <w:autoSpaceDN w:val="0"/>
        <w:bidi w:val="0"/>
        <w:adjustRightInd w:val="0"/>
        <w:snapToGrid w:val="0"/>
        <w:spacing w:line="227" w:lineRule="auto"/>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件。类似项目限于以项目经理身份参与的项目。</w:t>
      </w:r>
    </w:p>
    <w:p w14:paraId="13BFF3D2">
      <w:pPr>
        <w:keepNext w:val="0"/>
        <w:keepLines w:val="0"/>
        <w:pageBreakBefore w:val="0"/>
        <w:widowControl/>
        <w:shd w:val="clear"/>
        <w:kinsoku w:val="0"/>
        <w:wordWrap/>
        <w:overflowPunct/>
        <w:topLinePunct w:val="0"/>
        <w:autoSpaceDE w:val="0"/>
        <w:autoSpaceDN w:val="0"/>
        <w:bidi w:val="0"/>
        <w:adjustRightInd w:val="0"/>
        <w:snapToGrid w:val="0"/>
        <w:spacing w:line="17" w:lineRule="exact"/>
        <w:textAlignment w:val="baseline"/>
        <w:outlineLvl w:val="9"/>
        <w:rPr>
          <w:rFonts w:hint="eastAsia" w:ascii="仿宋" w:hAnsi="仿宋" w:eastAsia="仿宋" w:cs="仿宋"/>
          <w:color w:val="auto"/>
          <w:sz w:val="24"/>
          <w:szCs w:val="24"/>
          <w:highlight w:val="none"/>
        </w:rPr>
      </w:pPr>
    </w:p>
    <w:tbl>
      <w:tblPr>
        <w:tblStyle w:val="26"/>
        <w:tblW w:w="8824" w:type="dxa"/>
        <w:tblInd w:w="4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1034"/>
        <w:gridCol w:w="1133"/>
        <w:gridCol w:w="1274"/>
        <w:gridCol w:w="1842"/>
        <w:gridCol w:w="2445"/>
      </w:tblGrid>
      <w:tr w14:paraId="43887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96" w:type="dxa"/>
            <w:vAlign w:val="top"/>
          </w:tcPr>
          <w:p w14:paraId="6F17B09B">
            <w:pPr>
              <w:pStyle w:val="28"/>
              <w:keepNext w:val="0"/>
              <w:keepLines w:val="0"/>
              <w:pageBreakBefore w:val="0"/>
              <w:widowControl/>
              <w:shd w:val="clear"/>
              <w:kinsoku w:val="0"/>
              <w:wordWrap/>
              <w:overflowPunct/>
              <w:topLinePunct w:val="0"/>
              <w:autoSpaceDE w:val="0"/>
              <w:autoSpaceDN w:val="0"/>
              <w:bidi w:val="0"/>
              <w:adjustRightInd w:val="0"/>
              <w:snapToGrid w:val="0"/>
              <w:spacing w:before="127" w:line="228" w:lineRule="auto"/>
              <w:ind w:left="23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z w:val="24"/>
                <w:szCs w:val="24"/>
                <w:highlight w:val="none"/>
              </w:rPr>
              <w:t>名</w:t>
            </w:r>
          </w:p>
        </w:tc>
        <w:tc>
          <w:tcPr>
            <w:tcW w:w="1034" w:type="dxa"/>
            <w:vAlign w:val="top"/>
          </w:tcPr>
          <w:p w14:paraId="1EC1EE9D">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0B343BC8">
            <w:pPr>
              <w:pStyle w:val="28"/>
              <w:keepNext w:val="0"/>
              <w:keepLines w:val="0"/>
              <w:pageBreakBefore w:val="0"/>
              <w:widowControl/>
              <w:shd w:val="clear"/>
              <w:kinsoku w:val="0"/>
              <w:wordWrap/>
              <w:overflowPunct/>
              <w:topLinePunct w:val="0"/>
              <w:autoSpaceDE w:val="0"/>
              <w:autoSpaceDN w:val="0"/>
              <w:bidi w:val="0"/>
              <w:adjustRightInd w:val="0"/>
              <w:snapToGrid w:val="0"/>
              <w:spacing w:before="127" w:line="228" w:lineRule="auto"/>
              <w:ind w:left="25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z w:val="24"/>
                <w:szCs w:val="24"/>
                <w:highlight w:val="none"/>
              </w:rPr>
              <w:t>龄</w:t>
            </w:r>
          </w:p>
        </w:tc>
        <w:tc>
          <w:tcPr>
            <w:tcW w:w="1274" w:type="dxa"/>
            <w:vAlign w:val="top"/>
          </w:tcPr>
          <w:p w14:paraId="3FCE076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52F076C9">
            <w:pPr>
              <w:pStyle w:val="28"/>
              <w:keepNext w:val="0"/>
              <w:keepLines w:val="0"/>
              <w:pageBreakBefore w:val="0"/>
              <w:widowControl/>
              <w:shd w:val="clear"/>
              <w:kinsoku w:val="0"/>
              <w:wordWrap/>
              <w:overflowPunct/>
              <w:topLinePunct w:val="0"/>
              <w:autoSpaceDE w:val="0"/>
              <w:autoSpaceDN w:val="0"/>
              <w:bidi w:val="0"/>
              <w:adjustRightInd w:val="0"/>
              <w:snapToGrid w:val="0"/>
              <w:spacing w:before="127" w:line="229" w:lineRule="auto"/>
              <w:ind w:left="7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学历</w:t>
            </w:r>
          </w:p>
        </w:tc>
        <w:tc>
          <w:tcPr>
            <w:tcW w:w="2445" w:type="dxa"/>
            <w:vAlign w:val="top"/>
          </w:tcPr>
          <w:p w14:paraId="2E94A468">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3A1D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0A0A241D">
            <w:pPr>
              <w:pStyle w:val="28"/>
              <w:keepNext w:val="0"/>
              <w:keepLines w:val="0"/>
              <w:pageBreakBefore w:val="0"/>
              <w:widowControl/>
              <w:shd w:val="clear"/>
              <w:kinsoku w:val="0"/>
              <w:wordWrap/>
              <w:overflowPunct/>
              <w:topLinePunct w:val="0"/>
              <w:autoSpaceDE w:val="0"/>
              <w:autoSpaceDN w:val="0"/>
              <w:bidi w:val="0"/>
              <w:adjustRightInd w:val="0"/>
              <w:snapToGrid w:val="0"/>
              <w:spacing w:before="122" w:line="230" w:lineRule="auto"/>
              <w:ind w:left="23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z w:val="24"/>
                <w:szCs w:val="24"/>
                <w:highlight w:val="none"/>
              </w:rPr>
              <w:t>称</w:t>
            </w:r>
          </w:p>
        </w:tc>
        <w:tc>
          <w:tcPr>
            <w:tcW w:w="1034" w:type="dxa"/>
            <w:vAlign w:val="top"/>
          </w:tcPr>
          <w:p w14:paraId="6A47935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684E2BBF">
            <w:pPr>
              <w:pStyle w:val="28"/>
              <w:keepNext w:val="0"/>
              <w:keepLines w:val="0"/>
              <w:pageBreakBefore w:val="0"/>
              <w:widowControl/>
              <w:shd w:val="clear"/>
              <w:kinsoku w:val="0"/>
              <w:wordWrap/>
              <w:overflowPunct/>
              <w:topLinePunct w:val="0"/>
              <w:autoSpaceDE w:val="0"/>
              <w:autoSpaceDN w:val="0"/>
              <w:bidi w:val="0"/>
              <w:adjustRightInd w:val="0"/>
              <w:snapToGrid w:val="0"/>
              <w:spacing w:before="122" w:line="228" w:lineRule="auto"/>
              <w:ind w:left="25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z w:val="24"/>
                <w:szCs w:val="24"/>
                <w:highlight w:val="none"/>
              </w:rPr>
              <w:t>务</w:t>
            </w:r>
          </w:p>
        </w:tc>
        <w:tc>
          <w:tcPr>
            <w:tcW w:w="1274" w:type="dxa"/>
            <w:vAlign w:val="top"/>
          </w:tcPr>
          <w:p w14:paraId="43493A7E">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71AD8FC6">
            <w:pPr>
              <w:pStyle w:val="28"/>
              <w:keepNext w:val="0"/>
              <w:keepLines w:val="0"/>
              <w:pageBreakBefore w:val="0"/>
              <w:widowControl/>
              <w:shd w:val="clear"/>
              <w:kinsoku w:val="0"/>
              <w:wordWrap/>
              <w:overflowPunct/>
              <w:topLinePunct w:val="0"/>
              <w:autoSpaceDE w:val="0"/>
              <w:autoSpaceDN w:val="0"/>
              <w:bidi w:val="0"/>
              <w:adjustRightInd w:val="0"/>
              <w:snapToGrid w:val="0"/>
              <w:spacing w:before="122" w:line="227" w:lineRule="auto"/>
              <w:ind w:left="19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拟在本工程任职</w:t>
            </w:r>
          </w:p>
        </w:tc>
        <w:tc>
          <w:tcPr>
            <w:tcW w:w="2445" w:type="dxa"/>
            <w:vAlign w:val="top"/>
          </w:tcPr>
          <w:p w14:paraId="052D911F">
            <w:pPr>
              <w:pStyle w:val="28"/>
              <w:keepNext w:val="0"/>
              <w:keepLines w:val="0"/>
              <w:pageBreakBefore w:val="0"/>
              <w:widowControl/>
              <w:shd w:val="clear"/>
              <w:kinsoku w:val="0"/>
              <w:wordWrap/>
              <w:overflowPunct/>
              <w:topLinePunct w:val="0"/>
              <w:autoSpaceDE w:val="0"/>
              <w:autoSpaceDN w:val="0"/>
              <w:bidi w:val="0"/>
              <w:adjustRightInd w:val="0"/>
              <w:snapToGrid w:val="0"/>
              <w:spacing w:before="123" w:line="228" w:lineRule="auto"/>
              <w:ind w:left="8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项目经理</w:t>
            </w:r>
          </w:p>
        </w:tc>
      </w:tr>
      <w:tr w14:paraId="0077B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14:paraId="047BFD67">
            <w:pPr>
              <w:pStyle w:val="28"/>
              <w:keepNext w:val="0"/>
              <w:keepLines w:val="0"/>
              <w:pageBreakBefore w:val="0"/>
              <w:widowControl/>
              <w:shd w:val="clear"/>
              <w:kinsoku w:val="0"/>
              <w:wordWrap/>
              <w:overflowPunct/>
              <w:topLinePunct w:val="0"/>
              <w:autoSpaceDE w:val="0"/>
              <w:autoSpaceDN w:val="0"/>
              <w:bidi w:val="0"/>
              <w:adjustRightInd w:val="0"/>
              <w:snapToGrid w:val="0"/>
              <w:spacing w:before="124" w:line="228" w:lineRule="auto"/>
              <w:ind w:left="48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注册建造师执业资格等级</w:t>
            </w:r>
          </w:p>
        </w:tc>
        <w:tc>
          <w:tcPr>
            <w:tcW w:w="1274" w:type="dxa"/>
            <w:vAlign w:val="top"/>
          </w:tcPr>
          <w:p w14:paraId="230C6CDE">
            <w:pPr>
              <w:pStyle w:val="28"/>
              <w:keepNext w:val="0"/>
              <w:keepLines w:val="0"/>
              <w:pageBreakBefore w:val="0"/>
              <w:widowControl/>
              <w:shd w:val="clear"/>
              <w:kinsoku w:val="0"/>
              <w:wordWrap/>
              <w:overflowPunct/>
              <w:topLinePunct w:val="0"/>
              <w:autoSpaceDE w:val="0"/>
              <w:autoSpaceDN w:val="0"/>
              <w:bidi w:val="0"/>
              <w:adjustRightInd w:val="0"/>
              <w:snapToGrid w:val="0"/>
              <w:spacing w:before="124" w:line="230" w:lineRule="auto"/>
              <w:ind w:left="85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级</w:t>
            </w:r>
          </w:p>
        </w:tc>
        <w:tc>
          <w:tcPr>
            <w:tcW w:w="1842" w:type="dxa"/>
            <w:vAlign w:val="top"/>
          </w:tcPr>
          <w:p w14:paraId="3AC67D0E">
            <w:pPr>
              <w:pStyle w:val="28"/>
              <w:keepNext w:val="0"/>
              <w:keepLines w:val="0"/>
              <w:pageBreakBefore w:val="0"/>
              <w:widowControl/>
              <w:shd w:val="clear"/>
              <w:kinsoku w:val="0"/>
              <w:wordWrap/>
              <w:overflowPunct/>
              <w:topLinePunct w:val="0"/>
              <w:autoSpaceDE w:val="0"/>
              <w:autoSpaceDN w:val="0"/>
              <w:bidi w:val="0"/>
              <w:adjustRightInd w:val="0"/>
              <w:snapToGrid w:val="0"/>
              <w:spacing w:before="124" w:line="228" w:lineRule="auto"/>
              <w:ind w:left="40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建造师专业</w:t>
            </w:r>
          </w:p>
        </w:tc>
        <w:tc>
          <w:tcPr>
            <w:tcW w:w="2445" w:type="dxa"/>
            <w:vAlign w:val="top"/>
          </w:tcPr>
          <w:p w14:paraId="3772D125">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622A5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14:paraId="3B90BED7">
            <w:pPr>
              <w:pStyle w:val="28"/>
              <w:keepNext w:val="0"/>
              <w:keepLines w:val="0"/>
              <w:pageBreakBefore w:val="0"/>
              <w:widowControl/>
              <w:shd w:val="clear"/>
              <w:kinsoku w:val="0"/>
              <w:wordWrap/>
              <w:overflowPunct/>
              <w:topLinePunct w:val="0"/>
              <w:autoSpaceDE w:val="0"/>
              <w:autoSpaceDN w:val="0"/>
              <w:bidi w:val="0"/>
              <w:adjustRightInd w:val="0"/>
              <w:snapToGrid w:val="0"/>
              <w:spacing w:before="123" w:line="227" w:lineRule="auto"/>
              <w:ind w:left="59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安全生产考核合格证书</w:t>
            </w:r>
          </w:p>
        </w:tc>
        <w:tc>
          <w:tcPr>
            <w:tcW w:w="5561" w:type="dxa"/>
            <w:gridSpan w:val="3"/>
            <w:vAlign w:val="top"/>
          </w:tcPr>
          <w:p w14:paraId="7DEAD89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7D86C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4F71B2A1">
            <w:pPr>
              <w:pStyle w:val="28"/>
              <w:keepNext w:val="0"/>
              <w:keepLines w:val="0"/>
              <w:pageBreakBefore w:val="0"/>
              <w:widowControl/>
              <w:shd w:val="clear"/>
              <w:kinsoku w:val="0"/>
              <w:wordWrap/>
              <w:overflowPunct/>
              <w:topLinePunct w:val="0"/>
              <w:autoSpaceDE w:val="0"/>
              <w:autoSpaceDN w:val="0"/>
              <w:bidi w:val="0"/>
              <w:adjustRightInd w:val="0"/>
              <w:snapToGrid w:val="0"/>
              <w:spacing w:before="122" w:line="228" w:lineRule="auto"/>
              <w:ind w:left="1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毕业学校</w:t>
            </w:r>
          </w:p>
        </w:tc>
        <w:tc>
          <w:tcPr>
            <w:tcW w:w="7728" w:type="dxa"/>
            <w:gridSpan w:val="5"/>
            <w:vAlign w:val="top"/>
          </w:tcPr>
          <w:p w14:paraId="6EE08DFC">
            <w:pPr>
              <w:pStyle w:val="28"/>
              <w:keepNext w:val="0"/>
              <w:keepLines w:val="0"/>
              <w:pageBreakBefore w:val="0"/>
              <w:widowControl/>
              <w:shd w:val="clear"/>
              <w:kinsoku w:val="0"/>
              <w:wordWrap/>
              <w:overflowPunct/>
              <w:topLinePunct w:val="0"/>
              <w:autoSpaceDE w:val="0"/>
              <w:autoSpaceDN w:val="0"/>
              <w:bidi w:val="0"/>
              <w:adjustRightInd w:val="0"/>
              <w:snapToGrid w:val="0"/>
              <w:spacing w:before="122" w:line="228" w:lineRule="auto"/>
              <w:ind w:left="95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年毕业于</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学校</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5"/>
                <w:sz w:val="24"/>
                <w:szCs w:val="24"/>
                <w:highlight w:val="none"/>
              </w:rPr>
              <w:t>专业</w:t>
            </w:r>
          </w:p>
        </w:tc>
      </w:tr>
      <w:tr w14:paraId="64A39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24" w:type="dxa"/>
            <w:gridSpan w:val="6"/>
            <w:vAlign w:val="top"/>
          </w:tcPr>
          <w:p w14:paraId="2FCC7080">
            <w:pPr>
              <w:pStyle w:val="28"/>
              <w:keepNext w:val="0"/>
              <w:keepLines w:val="0"/>
              <w:pageBreakBefore w:val="0"/>
              <w:widowControl/>
              <w:shd w:val="clear"/>
              <w:kinsoku w:val="0"/>
              <w:wordWrap/>
              <w:overflowPunct/>
              <w:topLinePunct w:val="0"/>
              <w:autoSpaceDE w:val="0"/>
              <w:autoSpaceDN w:val="0"/>
              <w:bidi w:val="0"/>
              <w:adjustRightInd w:val="0"/>
              <w:snapToGrid w:val="0"/>
              <w:spacing w:before="124" w:line="228" w:lineRule="auto"/>
              <w:ind w:left="378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主要工作经历</w:t>
            </w:r>
          </w:p>
        </w:tc>
      </w:tr>
      <w:tr w14:paraId="4570D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7DE0AB7C">
            <w:pPr>
              <w:pStyle w:val="28"/>
              <w:keepNext w:val="0"/>
              <w:keepLines w:val="0"/>
              <w:pageBreakBefore w:val="0"/>
              <w:widowControl/>
              <w:shd w:val="clear"/>
              <w:kinsoku w:val="0"/>
              <w:wordWrap/>
              <w:overflowPunct/>
              <w:topLinePunct w:val="0"/>
              <w:autoSpaceDE w:val="0"/>
              <w:autoSpaceDN w:val="0"/>
              <w:bidi w:val="0"/>
              <w:adjustRightInd w:val="0"/>
              <w:snapToGrid w:val="0"/>
              <w:spacing w:before="123" w:line="230" w:lineRule="auto"/>
              <w:ind w:left="24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时</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5"/>
                <w:sz w:val="24"/>
                <w:szCs w:val="24"/>
                <w:highlight w:val="none"/>
              </w:rPr>
              <w:t>间</w:t>
            </w:r>
          </w:p>
        </w:tc>
        <w:tc>
          <w:tcPr>
            <w:tcW w:w="3441" w:type="dxa"/>
            <w:gridSpan w:val="3"/>
            <w:vAlign w:val="top"/>
          </w:tcPr>
          <w:p w14:paraId="39815E59">
            <w:pPr>
              <w:pStyle w:val="28"/>
              <w:keepNext w:val="0"/>
              <w:keepLines w:val="0"/>
              <w:pageBreakBefore w:val="0"/>
              <w:widowControl/>
              <w:shd w:val="clear"/>
              <w:kinsoku w:val="0"/>
              <w:wordWrap/>
              <w:overflowPunct/>
              <w:topLinePunct w:val="0"/>
              <w:autoSpaceDE w:val="0"/>
              <w:autoSpaceDN w:val="0"/>
              <w:bidi w:val="0"/>
              <w:adjustRightInd w:val="0"/>
              <w:snapToGrid w:val="0"/>
              <w:spacing w:before="123" w:line="228" w:lineRule="auto"/>
              <w:ind w:left="67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参加过的类似项目名称</w:t>
            </w:r>
          </w:p>
        </w:tc>
        <w:tc>
          <w:tcPr>
            <w:tcW w:w="1842" w:type="dxa"/>
            <w:vAlign w:val="top"/>
          </w:tcPr>
          <w:p w14:paraId="0FC6A20F">
            <w:pPr>
              <w:pStyle w:val="28"/>
              <w:keepNext w:val="0"/>
              <w:keepLines w:val="0"/>
              <w:pageBreakBefore w:val="0"/>
              <w:widowControl/>
              <w:shd w:val="clear"/>
              <w:kinsoku w:val="0"/>
              <w:wordWrap/>
              <w:overflowPunct/>
              <w:topLinePunct w:val="0"/>
              <w:autoSpaceDE w:val="0"/>
              <w:autoSpaceDN w:val="0"/>
              <w:bidi w:val="0"/>
              <w:adjustRightInd w:val="0"/>
              <w:snapToGrid w:val="0"/>
              <w:spacing w:before="123" w:line="228" w:lineRule="auto"/>
              <w:ind w:left="3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工程概况说明</w:t>
            </w:r>
          </w:p>
        </w:tc>
        <w:tc>
          <w:tcPr>
            <w:tcW w:w="2445" w:type="dxa"/>
            <w:vAlign w:val="top"/>
          </w:tcPr>
          <w:p w14:paraId="591472DE">
            <w:pPr>
              <w:pStyle w:val="28"/>
              <w:keepNext w:val="0"/>
              <w:keepLines w:val="0"/>
              <w:pageBreakBefore w:val="0"/>
              <w:widowControl/>
              <w:shd w:val="clear"/>
              <w:kinsoku w:val="0"/>
              <w:wordWrap/>
              <w:overflowPunct/>
              <w:topLinePunct w:val="0"/>
              <w:autoSpaceDE w:val="0"/>
              <w:autoSpaceDN w:val="0"/>
              <w:bidi w:val="0"/>
              <w:adjustRightInd w:val="0"/>
              <w:snapToGrid w:val="0"/>
              <w:spacing w:before="124" w:line="228" w:lineRule="auto"/>
              <w:ind w:left="39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发包人及联系电话</w:t>
            </w:r>
          </w:p>
        </w:tc>
      </w:tr>
      <w:tr w14:paraId="7CC20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12EB6A3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34" w:type="dxa"/>
            <w:vAlign w:val="top"/>
          </w:tcPr>
          <w:p w14:paraId="19644E3D">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3BE2F022">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4" w:type="dxa"/>
            <w:vAlign w:val="top"/>
          </w:tcPr>
          <w:p w14:paraId="2BEB4302">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35B6453E">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2445" w:type="dxa"/>
            <w:vAlign w:val="top"/>
          </w:tcPr>
          <w:p w14:paraId="0AE9F622">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18FE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3E10A46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34" w:type="dxa"/>
            <w:vAlign w:val="top"/>
          </w:tcPr>
          <w:p w14:paraId="0A77F9C4">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3B782195">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4" w:type="dxa"/>
            <w:vAlign w:val="top"/>
          </w:tcPr>
          <w:p w14:paraId="5B2FB1C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498481C8">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2445" w:type="dxa"/>
            <w:vAlign w:val="top"/>
          </w:tcPr>
          <w:p w14:paraId="6615C532">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3EE66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0A77EA1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34" w:type="dxa"/>
            <w:vAlign w:val="top"/>
          </w:tcPr>
          <w:p w14:paraId="4B13B22C">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68B6D2C7">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4" w:type="dxa"/>
            <w:vAlign w:val="top"/>
          </w:tcPr>
          <w:p w14:paraId="0D60C51B">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4639FC5A">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2445" w:type="dxa"/>
            <w:vAlign w:val="top"/>
          </w:tcPr>
          <w:p w14:paraId="612B19B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7488C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1E67D935">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34" w:type="dxa"/>
            <w:vAlign w:val="top"/>
          </w:tcPr>
          <w:p w14:paraId="2E6B2B75">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686F61F5">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4" w:type="dxa"/>
            <w:vAlign w:val="top"/>
          </w:tcPr>
          <w:p w14:paraId="4C2EB6B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46C2DFBD">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2445" w:type="dxa"/>
            <w:vAlign w:val="top"/>
          </w:tcPr>
          <w:p w14:paraId="1FD021B8">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38BDA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69E00F07">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34" w:type="dxa"/>
            <w:vAlign w:val="top"/>
          </w:tcPr>
          <w:p w14:paraId="23D628E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217D84A8">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4" w:type="dxa"/>
            <w:vAlign w:val="top"/>
          </w:tcPr>
          <w:p w14:paraId="757F6844">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5773CCD0">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2445" w:type="dxa"/>
            <w:vAlign w:val="top"/>
          </w:tcPr>
          <w:p w14:paraId="306AC463">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F88A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239B0EE2">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34" w:type="dxa"/>
            <w:vAlign w:val="top"/>
          </w:tcPr>
          <w:p w14:paraId="39DF380A">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4F83C2CB">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4" w:type="dxa"/>
            <w:vAlign w:val="top"/>
          </w:tcPr>
          <w:p w14:paraId="02D8C24B">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612C9713">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2445" w:type="dxa"/>
            <w:vAlign w:val="top"/>
          </w:tcPr>
          <w:p w14:paraId="22F7EBB5">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745E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96" w:type="dxa"/>
            <w:vAlign w:val="top"/>
          </w:tcPr>
          <w:p w14:paraId="055A260B">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34" w:type="dxa"/>
            <w:vAlign w:val="top"/>
          </w:tcPr>
          <w:p w14:paraId="649FB90B">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24E5CFC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4" w:type="dxa"/>
            <w:vAlign w:val="top"/>
          </w:tcPr>
          <w:p w14:paraId="36B6A458">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1EA6DD15">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2445" w:type="dxa"/>
            <w:vAlign w:val="top"/>
          </w:tcPr>
          <w:p w14:paraId="33D8C5F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bl>
    <w:p w14:paraId="67B72015">
      <w:pPr>
        <w:keepNext w:val="0"/>
        <w:keepLines w:val="0"/>
        <w:pageBreakBefore w:val="0"/>
        <w:widowControl/>
        <w:shd w:val="clear"/>
        <w:kinsoku w:val="0"/>
        <w:wordWrap/>
        <w:overflowPunct/>
        <w:topLinePunct w:val="0"/>
        <w:autoSpaceDE w:val="0"/>
        <w:autoSpaceDN w:val="0"/>
        <w:bidi w:val="0"/>
        <w:adjustRightInd w:val="0"/>
        <w:snapToGrid w:val="0"/>
        <w:spacing w:line="384" w:lineRule="auto"/>
        <w:textAlignment w:val="baseline"/>
        <w:outlineLvl w:val="9"/>
        <w:rPr>
          <w:rFonts w:hint="eastAsia" w:ascii="仿宋" w:hAnsi="仿宋" w:eastAsia="仿宋" w:cs="仿宋"/>
          <w:color w:val="auto"/>
          <w:sz w:val="24"/>
          <w:szCs w:val="24"/>
          <w:highlight w:val="none"/>
        </w:rPr>
      </w:pPr>
    </w:p>
    <w:p w14:paraId="7873C189">
      <w:pPr>
        <w:pStyle w:val="2"/>
        <w:keepNext w:val="0"/>
        <w:keepLines w:val="0"/>
        <w:pageBreakBefore w:val="0"/>
        <w:widowControl/>
        <w:shd w:val="clear"/>
        <w:kinsoku w:val="0"/>
        <w:wordWrap/>
        <w:overflowPunct/>
        <w:topLinePunct w:val="0"/>
        <w:autoSpaceDE w:val="0"/>
        <w:autoSpaceDN w:val="0"/>
        <w:bidi w:val="0"/>
        <w:adjustRightInd w:val="0"/>
        <w:snapToGrid w:val="0"/>
        <w:spacing w:before="66" w:line="401" w:lineRule="exact"/>
        <w:ind w:right="16"/>
        <w:jc w:val="left"/>
        <w:textAlignment w:val="baseline"/>
        <w:outlineLvl w:val="9"/>
        <w:rPr>
          <w:rFonts w:hint="eastAsia" w:ascii="仿宋" w:hAnsi="仿宋" w:eastAsia="仿宋" w:cs="仿宋"/>
          <w:b/>
          <w:bCs/>
          <w:color w:val="auto"/>
          <w:spacing w:val="10"/>
          <w:position w:val="14"/>
          <w:sz w:val="24"/>
          <w:szCs w:val="24"/>
          <w:highlight w:val="none"/>
        </w:rPr>
      </w:pPr>
      <w:r>
        <w:rPr>
          <w:rFonts w:hint="eastAsia" w:ascii="仿宋" w:hAnsi="仿宋" w:eastAsia="仿宋" w:cs="仿宋"/>
          <w:b/>
          <w:bCs/>
          <w:color w:val="auto"/>
          <w:spacing w:val="10"/>
          <w:position w:val="14"/>
          <w:sz w:val="24"/>
          <w:szCs w:val="24"/>
          <w:highlight w:val="none"/>
        </w:rPr>
        <w:t>注： 承包人若需要更换本工程响应文件中原有建造师及人员时须经</w:t>
      </w:r>
      <w:r>
        <w:rPr>
          <w:rFonts w:hint="eastAsia" w:ascii="仿宋" w:hAnsi="仿宋" w:eastAsia="仿宋" w:cs="仿宋"/>
          <w:b/>
          <w:bCs/>
          <w:color w:val="auto"/>
          <w:spacing w:val="10"/>
          <w:position w:val="14"/>
          <w:sz w:val="24"/>
          <w:szCs w:val="24"/>
          <w:highlight w:val="none"/>
          <w:lang w:val="en-US" w:eastAsia="zh-CN"/>
        </w:rPr>
        <w:t>采购人</w:t>
      </w:r>
      <w:r>
        <w:rPr>
          <w:rFonts w:hint="eastAsia" w:ascii="仿宋" w:hAnsi="仿宋" w:eastAsia="仿宋" w:cs="仿宋"/>
          <w:b/>
          <w:bCs/>
          <w:color w:val="auto"/>
          <w:spacing w:val="10"/>
          <w:position w:val="14"/>
          <w:sz w:val="24"/>
          <w:szCs w:val="24"/>
          <w:highlight w:val="none"/>
        </w:rPr>
        <w:t>同意。未经</w:t>
      </w:r>
      <w:r>
        <w:rPr>
          <w:rFonts w:hint="eastAsia" w:ascii="仿宋" w:hAnsi="仿宋" w:eastAsia="仿宋" w:cs="仿宋"/>
          <w:b/>
          <w:bCs/>
          <w:color w:val="auto"/>
          <w:spacing w:val="10"/>
          <w:position w:val="14"/>
          <w:sz w:val="24"/>
          <w:szCs w:val="24"/>
          <w:highlight w:val="none"/>
          <w:lang w:val="en-US" w:eastAsia="zh-CN"/>
        </w:rPr>
        <w:t>采购人</w:t>
      </w:r>
      <w:r>
        <w:rPr>
          <w:rFonts w:hint="eastAsia" w:ascii="仿宋" w:hAnsi="仿宋" w:eastAsia="仿宋" w:cs="仿宋"/>
          <w:b/>
          <w:bCs/>
          <w:color w:val="auto"/>
          <w:spacing w:val="10"/>
          <w:position w:val="14"/>
          <w:sz w:val="24"/>
          <w:szCs w:val="24"/>
          <w:highlight w:val="none"/>
        </w:rPr>
        <w:t>同意，承包人更换人员应承担违约责任，并且按照中标价 5 ％ 给发包人支付违约金。</w:t>
      </w:r>
    </w:p>
    <w:p w14:paraId="1903C0E5">
      <w:pPr>
        <w:pStyle w:val="2"/>
        <w:keepNext w:val="0"/>
        <w:keepLines w:val="0"/>
        <w:pageBreakBefore w:val="0"/>
        <w:widowControl/>
        <w:shd w:val="clear"/>
        <w:kinsoku w:val="0"/>
        <w:wordWrap/>
        <w:overflowPunct/>
        <w:topLinePunct w:val="0"/>
        <w:autoSpaceDE w:val="0"/>
        <w:autoSpaceDN w:val="0"/>
        <w:bidi w:val="0"/>
        <w:adjustRightInd w:val="0"/>
        <w:snapToGrid w:val="0"/>
        <w:spacing w:before="66" w:line="401" w:lineRule="exact"/>
        <w:ind w:right="16"/>
        <w:jc w:val="left"/>
        <w:textAlignment w:val="baseline"/>
        <w:outlineLvl w:val="9"/>
        <w:rPr>
          <w:rFonts w:hint="eastAsia" w:ascii="仿宋" w:hAnsi="仿宋" w:eastAsia="仿宋" w:cs="仿宋"/>
          <w:b/>
          <w:bCs/>
          <w:color w:val="auto"/>
          <w:spacing w:val="10"/>
          <w:position w:val="14"/>
          <w:sz w:val="24"/>
          <w:szCs w:val="24"/>
          <w:highlight w:val="none"/>
        </w:rPr>
        <w:sectPr>
          <w:footerReference r:id="rId18" w:type="default"/>
          <w:pgSz w:w="11906" w:h="16839"/>
          <w:pgMar w:top="1431" w:right="1166" w:bottom="1166" w:left="1087" w:header="0" w:footer="987" w:gutter="0"/>
          <w:pgNumType w:fmt="decimal"/>
          <w:cols w:space="720" w:num="1"/>
        </w:sectPr>
      </w:pPr>
    </w:p>
    <w:p w14:paraId="61257824">
      <w:pPr>
        <w:pStyle w:val="2"/>
        <w:keepNext w:val="0"/>
        <w:keepLines w:val="0"/>
        <w:pageBreakBefore w:val="0"/>
        <w:widowControl/>
        <w:shd w:val="clear"/>
        <w:kinsoku w:val="0"/>
        <w:wordWrap/>
        <w:overflowPunct/>
        <w:topLinePunct w:val="0"/>
        <w:autoSpaceDE w:val="0"/>
        <w:autoSpaceDN w:val="0"/>
        <w:bidi w:val="0"/>
        <w:adjustRightInd w:val="0"/>
        <w:snapToGrid w:val="0"/>
        <w:spacing w:before="166" w:line="227" w:lineRule="auto"/>
        <w:ind w:left="34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附</w:t>
      </w:r>
      <w:r>
        <w:rPr>
          <w:rFonts w:hint="eastAsia" w:ascii="仿宋" w:hAnsi="仿宋" w:eastAsia="仿宋" w:cs="仿宋"/>
          <w:color w:val="auto"/>
          <w:spacing w:val="-25"/>
          <w:sz w:val="24"/>
          <w:szCs w:val="24"/>
          <w:highlight w:val="none"/>
        </w:rPr>
        <w:t xml:space="preserve"> </w:t>
      </w:r>
      <w:r>
        <w:rPr>
          <w:rFonts w:hint="eastAsia" w:ascii="仿宋" w:hAnsi="仿宋" w:eastAsia="仿宋" w:cs="仿宋"/>
          <w:color w:val="auto"/>
          <w:spacing w:val="6"/>
          <w:sz w:val="24"/>
          <w:szCs w:val="24"/>
          <w:highlight w:val="none"/>
        </w:rPr>
        <w:t>2：主要项目管理人员简历表</w:t>
      </w:r>
    </w:p>
    <w:p w14:paraId="7C1EFB26">
      <w:pPr>
        <w:pStyle w:val="2"/>
        <w:keepNext w:val="0"/>
        <w:keepLines w:val="0"/>
        <w:pageBreakBefore w:val="0"/>
        <w:widowControl/>
        <w:shd w:val="clear"/>
        <w:kinsoku w:val="0"/>
        <w:wordWrap/>
        <w:overflowPunct/>
        <w:topLinePunct w:val="0"/>
        <w:autoSpaceDE w:val="0"/>
        <w:autoSpaceDN w:val="0"/>
        <w:bidi w:val="0"/>
        <w:adjustRightInd w:val="0"/>
        <w:snapToGrid w:val="0"/>
        <w:spacing w:before="173" w:line="388" w:lineRule="auto"/>
        <w:ind w:left="9" w:firstLine="411"/>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主要项目管理人员指:项目经理、技术负责人、专职安全生产管理人员等岗位人员。应附注册资格证书</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10"/>
          <w:sz w:val="24"/>
          <w:szCs w:val="24"/>
          <w:highlight w:val="none"/>
        </w:rPr>
        <w:t>（如有）、身份证、职称证（如有）、岗位证书等资料复印</w:t>
      </w:r>
      <w:r>
        <w:rPr>
          <w:rFonts w:hint="eastAsia" w:ascii="仿宋" w:hAnsi="仿宋" w:eastAsia="仿宋" w:cs="仿宋"/>
          <w:color w:val="auto"/>
          <w:spacing w:val="9"/>
          <w:sz w:val="24"/>
          <w:szCs w:val="24"/>
          <w:highlight w:val="none"/>
        </w:rPr>
        <w:t>件，专职安全生产管理人员应附安全生产考核合格证书及岗位证书，主要业绩须附合同协议</w:t>
      </w:r>
      <w:r>
        <w:rPr>
          <w:rFonts w:hint="eastAsia" w:ascii="仿宋" w:hAnsi="仿宋" w:eastAsia="仿宋" w:cs="仿宋"/>
          <w:color w:val="auto"/>
          <w:spacing w:val="8"/>
          <w:sz w:val="24"/>
          <w:szCs w:val="24"/>
          <w:highlight w:val="none"/>
        </w:rPr>
        <w:t>书。</w:t>
      </w:r>
    </w:p>
    <w:p w14:paraId="5C0E5465">
      <w:pPr>
        <w:keepNext w:val="0"/>
        <w:keepLines w:val="0"/>
        <w:pageBreakBefore w:val="0"/>
        <w:widowControl/>
        <w:shd w:val="clear"/>
        <w:kinsoku w:val="0"/>
        <w:wordWrap/>
        <w:overflowPunct/>
        <w:topLinePunct w:val="0"/>
        <w:autoSpaceDE w:val="0"/>
        <w:autoSpaceDN w:val="0"/>
        <w:bidi w:val="0"/>
        <w:adjustRightInd w:val="0"/>
        <w:snapToGrid w:val="0"/>
        <w:spacing w:before="215"/>
        <w:textAlignment w:val="baseline"/>
        <w:outlineLvl w:val="9"/>
        <w:rPr>
          <w:rFonts w:hint="eastAsia" w:ascii="仿宋" w:hAnsi="仿宋" w:eastAsia="仿宋" w:cs="仿宋"/>
          <w:color w:val="auto"/>
          <w:sz w:val="24"/>
          <w:szCs w:val="24"/>
          <w:highlight w:val="none"/>
        </w:rPr>
      </w:pPr>
    </w:p>
    <w:tbl>
      <w:tblPr>
        <w:tblStyle w:val="26"/>
        <w:tblW w:w="8904" w:type="dxa"/>
        <w:tblInd w:w="4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4"/>
        <w:gridCol w:w="1322"/>
        <w:gridCol w:w="3418"/>
        <w:gridCol w:w="1260"/>
        <w:gridCol w:w="2300"/>
      </w:tblGrid>
      <w:tr w14:paraId="4F61F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904" w:type="dxa"/>
            <w:gridSpan w:val="5"/>
            <w:vAlign w:val="top"/>
          </w:tcPr>
          <w:p w14:paraId="7567B764">
            <w:pPr>
              <w:pStyle w:val="28"/>
              <w:keepNext w:val="0"/>
              <w:keepLines w:val="0"/>
              <w:pageBreakBefore w:val="0"/>
              <w:widowControl/>
              <w:shd w:val="clear"/>
              <w:kinsoku w:val="0"/>
              <w:wordWrap/>
              <w:overflowPunct/>
              <w:topLinePunct w:val="0"/>
              <w:autoSpaceDE w:val="0"/>
              <w:autoSpaceDN w:val="0"/>
              <w:bidi w:val="0"/>
              <w:adjustRightInd w:val="0"/>
              <w:snapToGrid w:val="0"/>
              <w:spacing w:before="190" w:line="228" w:lineRule="auto"/>
              <w:ind w:left="13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岗位名称</w:t>
            </w:r>
          </w:p>
        </w:tc>
      </w:tr>
      <w:tr w14:paraId="2E53E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926" w:type="dxa"/>
            <w:gridSpan w:val="2"/>
            <w:vAlign w:val="top"/>
          </w:tcPr>
          <w:p w14:paraId="06B9377D">
            <w:pPr>
              <w:pStyle w:val="28"/>
              <w:keepNext w:val="0"/>
              <w:keepLines w:val="0"/>
              <w:pageBreakBefore w:val="0"/>
              <w:widowControl/>
              <w:shd w:val="clear"/>
              <w:kinsoku w:val="0"/>
              <w:wordWrap/>
              <w:overflowPunct/>
              <w:topLinePunct w:val="0"/>
              <w:autoSpaceDE w:val="0"/>
              <w:autoSpaceDN w:val="0"/>
              <w:bidi w:val="0"/>
              <w:adjustRightInd w:val="0"/>
              <w:snapToGrid w:val="0"/>
              <w:spacing w:before="185" w:line="228" w:lineRule="auto"/>
              <w:ind w:left="1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姓名</w:t>
            </w:r>
          </w:p>
        </w:tc>
        <w:tc>
          <w:tcPr>
            <w:tcW w:w="3418" w:type="dxa"/>
            <w:vAlign w:val="top"/>
          </w:tcPr>
          <w:p w14:paraId="23C3897C">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60" w:type="dxa"/>
            <w:vAlign w:val="top"/>
          </w:tcPr>
          <w:p w14:paraId="5C857994">
            <w:pPr>
              <w:pStyle w:val="28"/>
              <w:keepNext w:val="0"/>
              <w:keepLines w:val="0"/>
              <w:pageBreakBefore w:val="0"/>
              <w:widowControl/>
              <w:shd w:val="clear"/>
              <w:kinsoku w:val="0"/>
              <w:wordWrap/>
              <w:overflowPunct/>
              <w:topLinePunct w:val="0"/>
              <w:autoSpaceDE w:val="0"/>
              <w:autoSpaceDN w:val="0"/>
              <w:bidi w:val="0"/>
              <w:adjustRightInd w:val="0"/>
              <w:snapToGrid w:val="0"/>
              <w:spacing w:before="185" w:line="228" w:lineRule="auto"/>
              <w:ind w:left="11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年龄</w:t>
            </w:r>
          </w:p>
        </w:tc>
        <w:tc>
          <w:tcPr>
            <w:tcW w:w="2300" w:type="dxa"/>
            <w:vAlign w:val="top"/>
          </w:tcPr>
          <w:p w14:paraId="029E5AC7">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30663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3594ED88">
            <w:pPr>
              <w:pStyle w:val="28"/>
              <w:keepNext w:val="0"/>
              <w:keepLines w:val="0"/>
              <w:pageBreakBefore w:val="0"/>
              <w:widowControl/>
              <w:shd w:val="clear"/>
              <w:kinsoku w:val="0"/>
              <w:wordWrap/>
              <w:overflowPunct/>
              <w:topLinePunct w:val="0"/>
              <w:autoSpaceDE w:val="0"/>
              <w:autoSpaceDN w:val="0"/>
              <w:bidi w:val="0"/>
              <w:adjustRightInd w:val="0"/>
              <w:snapToGrid w:val="0"/>
              <w:spacing w:before="175" w:line="228" w:lineRule="auto"/>
              <w:ind w:left="11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性别</w:t>
            </w:r>
          </w:p>
        </w:tc>
        <w:tc>
          <w:tcPr>
            <w:tcW w:w="3418" w:type="dxa"/>
            <w:vAlign w:val="top"/>
          </w:tcPr>
          <w:p w14:paraId="01D1881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60" w:type="dxa"/>
            <w:vAlign w:val="top"/>
          </w:tcPr>
          <w:p w14:paraId="7906141F">
            <w:pPr>
              <w:pStyle w:val="28"/>
              <w:keepNext w:val="0"/>
              <w:keepLines w:val="0"/>
              <w:pageBreakBefore w:val="0"/>
              <w:widowControl/>
              <w:shd w:val="clear"/>
              <w:kinsoku w:val="0"/>
              <w:wordWrap/>
              <w:overflowPunct/>
              <w:topLinePunct w:val="0"/>
              <w:autoSpaceDE w:val="0"/>
              <w:autoSpaceDN w:val="0"/>
              <w:bidi w:val="0"/>
              <w:adjustRightInd w:val="0"/>
              <w:snapToGrid w:val="0"/>
              <w:spacing w:before="175" w:line="228" w:lineRule="auto"/>
              <w:ind w:left="11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毕业学校</w:t>
            </w:r>
          </w:p>
        </w:tc>
        <w:tc>
          <w:tcPr>
            <w:tcW w:w="2300" w:type="dxa"/>
            <w:vAlign w:val="top"/>
          </w:tcPr>
          <w:p w14:paraId="4BF55862">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7A4D2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7C1270C8">
            <w:pPr>
              <w:pStyle w:val="28"/>
              <w:keepNext w:val="0"/>
              <w:keepLines w:val="0"/>
              <w:pageBreakBefore w:val="0"/>
              <w:widowControl/>
              <w:shd w:val="clear"/>
              <w:kinsoku w:val="0"/>
              <w:wordWrap/>
              <w:overflowPunct/>
              <w:topLinePunct w:val="0"/>
              <w:autoSpaceDE w:val="0"/>
              <w:autoSpaceDN w:val="0"/>
              <w:bidi w:val="0"/>
              <w:adjustRightInd w:val="0"/>
              <w:snapToGrid w:val="0"/>
              <w:spacing w:before="173" w:line="228" w:lineRule="auto"/>
              <w:ind w:left="11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学历和专业</w:t>
            </w:r>
          </w:p>
        </w:tc>
        <w:tc>
          <w:tcPr>
            <w:tcW w:w="3418" w:type="dxa"/>
            <w:vAlign w:val="top"/>
          </w:tcPr>
          <w:p w14:paraId="171F9F77">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60" w:type="dxa"/>
            <w:vAlign w:val="top"/>
          </w:tcPr>
          <w:p w14:paraId="15B90FA0">
            <w:pPr>
              <w:pStyle w:val="28"/>
              <w:keepNext w:val="0"/>
              <w:keepLines w:val="0"/>
              <w:pageBreakBefore w:val="0"/>
              <w:widowControl/>
              <w:shd w:val="clear"/>
              <w:kinsoku w:val="0"/>
              <w:wordWrap/>
              <w:overflowPunct/>
              <w:topLinePunct w:val="0"/>
              <w:autoSpaceDE w:val="0"/>
              <w:autoSpaceDN w:val="0"/>
              <w:bidi w:val="0"/>
              <w:adjustRightInd w:val="0"/>
              <w:snapToGrid w:val="0"/>
              <w:spacing w:before="172" w:line="228" w:lineRule="auto"/>
              <w:ind w:left="11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毕业时间</w:t>
            </w:r>
          </w:p>
        </w:tc>
        <w:tc>
          <w:tcPr>
            <w:tcW w:w="2300" w:type="dxa"/>
            <w:vAlign w:val="top"/>
          </w:tcPr>
          <w:p w14:paraId="3E4BE219">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31D4C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14D781AD">
            <w:pPr>
              <w:pStyle w:val="28"/>
              <w:keepNext w:val="0"/>
              <w:keepLines w:val="0"/>
              <w:pageBreakBefore w:val="0"/>
              <w:widowControl/>
              <w:shd w:val="clear"/>
              <w:kinsoku w:val="0"/>
              <w:wordWrap/>
              <w:overflowPunct/>
              <w:topLinePunct w:val="0"/>
              <w:autoSpaceDE w:val="0"/>
              <w:autoSpaceDN w:val="0"/>
              <w:bidi w:val="0"/>
              <w:adjustRightInd w:val="0"/>
              <w:snapToGrid w:val="0"/>
              <w:spacing w:before="173" w:line="228" w:lineRule="auto"/>
              <w:ind w:left="1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拥有的执业资格</w:t>
            </w:r>
          </w:p>
        </w:tc>
        <w:tc>
          <w:tcPr>
            <w:tcW w:w="3418" w:type="dxa"/>
            <w:vAlign w:val="top"/>
          </w:tcPr>
          <w:p w14:paraId="6C4561E7">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60" w:type="dxa"/>
            <w:vAlign w:val="top"/>
          </w:tcPr>
          <w:p w14:paraId="63C02FD4">
            <w:pPr>
              <w:pStyle w:val="28"/>
              <w:keepNext w:val="0"/>
              <w:keepLines w:val="0"/>
              <w:pageBreakBefore w:val="0"/>
              <w:widowControl/>
              <w:shd w:val="clear"/>
              <w:kinsoku w:val="0"/>
              <w:wordWrap/>
              <w:overflowPunct/>
              <w:topLinePunct w:val="0"/>
              <w:autoSpaceDE w:val="0"/>
              <w:autoSpaceDN w:val="0"/>
              <w:bidi w:val="0"/>
              <w:adjustRightInd w:val="0"/>
              <w:snapToGrid w:val="0"/>
              <w:spacing w:before="173" w:line="228" w:lineRule="auto"/>
              <w:ind w:left="11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专业职称</w:t>
            </w:r>
          </w:p>
        </w:tc>
        <w:tc>
          <w:tcPr>
            <w:tcW w:w="2300" w:type="dxa"/>
            <w:vAlign w:val="top"/>
          </w:tcPr>
          <w:p w14:paraId="10C051C0">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24FC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3DE2239D">
            <w:pPr>
              <w:pStyle w:val="28"/>
              <w:keepNext w:val="0"/>
              <w:keepLines w:val="0"/>
              <w:pageBreakBefore w:val="0"/>
              <w:widowControl/>
              <w:shd w:val="clear"/>
              <w:kinsoku w:val="0"/>
              <w:wordWrap/>
              <w:overflowPunct/>
              <w:topLinePunct w:val="0"/>
              <w:autoSpaceDE w:val="0"/>
              <w:autoSpaceDN w:val="0"/>
              <w:bidi w:val="0"/>
              <w:adjustRightInd w:val="0"/>
              <w:snapToGrid w:val="0"/>
              <w:spacing w:before="185" w:line="227" w:lineRule="auto"/>
              <w:ind w:left="1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执业资格证书编号</w:t>
            </w:r>
          </w:p>
        </w:tc>
        <w:tc>
          <w:tcPr>
            <w:tcW w:w="3418" w:type="dxa"/>
            <w:vAlign w:val="top"/>
          </w:tcPr>
          <w:p w14:paraId="5B7DEF1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60" w:type="dxa"/>
            <w:vAlign w:val="top"/>
          </w:tcPr>
          <w:p w14:paraId="65F58D93">
            <w:pPr>
              <w:pStyle w:val="28"/>
              <w:keepNext w:val="0"/>
              <w:keepLines w:val="0"/>
              <w:pageBreakBefore w:val="0"/>
              <w:widowControl/>
              <w:shd w:val="clear"/>
              <w:kinsoku w:val="0"/>
              <w:wordWrap/>
              <w:overflowPunct/>
              <w:topLinePunct w:val="0"/>
              <w:autoSpaceDE w:val="0"/>
              <w:autoSpaceDN w:val="0"/>
              <w:bidi w:val="0"/>
              <w:adjustRightInd w:val="0"/>
              <w:snapToGrid w:val="0"/>
              <w:spacing w:before="185" w:line="228" w:lineRule="auto"/>
              <w:ind w:left="1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工作年限</w:t>
            </w:r>
          </w:p>
        </w:tc>
        <w:tc>
          <w:tcPr>
            <w:tcW w:w="2300" w:type="dxa"/>
            <w:vAlign w:val="top"/>
          </w:tcPr>
          <w:p w14:paraId="04E9EB6C">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3E7C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6" w:hRule="atLeast"/>
        </w:trPr>
        <w:tc>
          <w:tcPr>
            <w:tcW w:w="604" w:type="dxa"/>
            <w:textDirection w:val="tbRlV"/>
            <w:vAlign w:val="top"/>
          </w:tcPr>
          <w:p w14:paraId="2F6F83BD">
            <w:pPr>
              <w:pStyle w:val="28"/>
              <w:keepNext w:val="0"/>
              <w:keepLines w:val="0"/>
              <w:pageBreakBefore w:val="0"/>
              <w:widowControl/>
              <w:shd w:val="clear"/>
              <w:kinsoku w:val="0"/>
              <w:wordWrap/>
              <w:overflowPunct/>
              <w:topLinePunct w:val="0"/>
              <w:autoSpaceDE w:val="0"/>
              <w:autoSpaceDN w:val="0"/>
              <w:bidi w:val="0"/>
              <w:adjustRightInd w:val="0"/>
              <w:snapToGrid w:val="0"/>
              <w:spacing w:before="283" w:line="216" w:lineRule="auto"/>
              <w:ind w:left="6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主  要</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9"/>
                <w:sz w:val="24"/>
                <w:szCs w:val="24"/>
                <w:highlight w:val="none"/>
              </w:rPr>
              <w:t>工</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9"/>
                <w:sz w:val="24"/>
                <w:szCs w:val="24"/>
                <w:highlight w:val="none"/>
              </w:rPr>
              <w:t>作</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9"/>
                <w:sz w:val="24"/>
                <w:szCs w:val="24"/>
                <w:highlight w:val="none"/>
              </w:rPr>
              <w:t>业</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绩</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9"/>
                <w:sz w:val="24"/>
                <w:szCs w:val="24"/>
                <w:highlight w:val="none"/>
              </w:rPr>
              <w:t>及</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担</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9"/>
                <w:sz w:val="24"/>
                <w:szCs w:val="24"/>
                <w:highlight w:val="none"/>
              </w:rPr>
              <w:t>任</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9"/>
                <w:sz w:val="24"/>
                <w:szCs w:val="24"/>
                <w:highlight w:val="none"/>
              </w:rPr>
              <w:t>的</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主</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要</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9"/>
                <w:sz w:val="24"/>
                <w:szCs w:val="24"/>
                <w:highlight w:val="none"/>
              </w:rPr>
              <w:t>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作</w:t>
            </w:r>
          </w:p>
        </w:tc>
        <w:tc>
          <w:tcPr>
            <w:tcW w:w="8300" w:type="dxa"/>
            <w:gridSpan w:val="4"/>
            <w:vAlign w:val="top"/>
          </w:tcPr>
          <w:p w14:paraId="4B143534">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bl>
    <w:p w14:paraId="482F540B">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p w14:paraId="31436B65">
      <w:pPr>
        <w:shd w:val="clear"/>
        <w:rPr>
          <w:rFonts w:hint="eastAsia" w:ascii="仿宋" w:hAnsi="仿宋" w:eastAsia="仿宋" w:cs="仿宋"/>
          <w:color w:val="auto"/>
          <w:sz w:val="24"/>
          <w:szCs w:val="24"/>
          <w:highlight w:val="none"/>
        </w:rPr>
        <w:sectPr>
          <w:footerReference r:id="rId19" w:type="default"/>
          <w:pgSz w:w="11906" w:h="16839"/>
          <w:pgMar w:top="1431" w:right="1165" w:bottom="1166" w:left="1088" w:header="0" w:footer="987" w:gutter="0"/>
          <w:pgNumType w:fmt="decimal"/>
          <w:cols w:space="720" w:num="1"/>
        </w:sectPr>
      </w:pPr>
    </w:p>
    <w:p w14:paraId="1991E0E6">
      <w:pPr>
        <w:pStyle w:val="2"/>
        <w:keepNext w:val="0"/>
        <w:keepLines w:val="0"/>
        <w:pageBreakBefore w:val="0"/>
        <w:widowControl w:val="0"/>
        <w:tabs>
          <w:tab w:val="left" w:pos="567"/>
        </w:tabs>
        <w:kinsoku/>
        <w:wordWrap/>
        <w:overflowPunct/>
        <w:topLinePunct w:val="0"/>
        <w:autoSpaceDE/>
        <w:autoSpaceDN/>
        <w:bidi w:val="0"/>
        <w:adjustRightInd/>
        <w:snapToGrid/>
        <w:spacing w:before="249" w:line="228" w:lineRule="auto"/>
        <w:jc w:val="center"/>
        <w:textAlignment w:val="auto"/>
        <w:outlineLvl w:val="2"/>
        <w:rPr>
          <w:rFonts w:hint="eastAsia" w:ascii="仿宋" w:hAnsi="仿宋" w:eastAsia="仿宋" w:cs="仿宋"/>
          <w:b/>
          <w:color w:val="auto"/>
          <w:kern w:val="0"/>
          <w:sz w:val="32"/>
          <w:szCs w:val="32"/>
          <w:highlight w:val="none"/>
          <w:u w:val="none"/>
          <w:lang w:val="en-US" w:eastAsia="zh-CN" w:bidi="ar-SA"/>
        </w:rPr>
      </w:pPr>
      <w:bookmarkStart w:id="380" w:name="_Toc10645"/>
      <w:bookmarkStart w:id="381" w:name="_Toc15589"/>
      <w:r>
        <w:rPr>
          <w:rFonts w:hint="eastAsia" w:ascii="仿宋" w:hAnsi="仿宋" w:eastAsia="仿宋" w:cs="仿宋"/>
          <w:b/>
          <w:color w:val="auto"/>
          <w:kern w:val="0"/>
          <w:sz w:val="32"/>
          <w:szCs w:val="32"/>
          <w:highlight w:val="none"/>
          <w:u w:val="none"/>
          <w:lang w:val="en-US" w:eastAsia="zh-CN" w:bidi="ar-SA"/>
        </w:rPr>
        <w:t>6 审查资料</w:t>
      </w:r>
      <w:bookmarkEnd w:id="380"/>
      <w:bookmarkEnd w:id="381"/>
    </w:p>
    <w:p w14:paraId="0E24CA1A">
      <w:pPr>
        <w:shd w:val="clear"/>
        <w:spacing w:line="284" w:lineRule="auto"/>
        <w:rPr>
          <w:rFonts w:hint="eastAsia" w:ascii="仿宋" w:hAnsi="仿宋" w:eastAsia="仿宋" w:cs="仿宋"/>
          <w:color w:val="auto"/>
          <w:sz w:val="24"/>
          <w:szCs w:val="24"/>
          <w:highlight w:val="none"/>
        </w:rPr>
      </w:pPr>
    </w:p>
    <w:p w14:paraId="7B9B6239">
      <w:pPr>
        <w:pStyle w:val="2"/>
        <w:keepNext w:val="0"/>
        <w:keepLines w:val="0"/>
        <w:pageBreakBefore w:val="0"/>
        <w:widowControl/>
        <w:shd w:val="clear"/>
        <w:kinsoku w:val="0"/>
        <w:wordWrap/>
        <w:overflowPunct/>
        <w:topLinePunct w:val="0"/>
        <w:autoSpaceDE w:val="0"/>
        <w:autoSpaceDN w:val="0"/>
        <w:bidi w:val="0"/>
        <w:adjustRightInd w:val="0"/>
        <w:snapToGrid w:val="0"/>
        <w:spacing w:before="65" w:line="227" w:lineRule="auto"/>
        <w:ind w:left="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（一）投标人基本情况表</w:t>
      </w:r>
    </w:p>
    <w:p w14:paraId="2153B4BE">
      <w:pPr>
        <w:keepNext w:val="0"/>
        <w:keepLines w:val="0"/>
        <w:pageBreakBefore w:val="0"/>
        <w:widowControl/>
        <w:shd w:val="clear"/>
        <w:kinsoku w:val="0"/>
        <w:wordWrap/>
        <w:overflowPunct/>
        <w:topLinePunct w:val="0"/>
        <w:autoSpaceDE w:val="0"/>
        <w:autoSpaceDN w:val="0"/>
        <w:bidi w:val="0"/>
        <w:adjustRightInd w:val="0"/>
        <w:snapToGrid w:val="0"/>
        <w:spacing w:before="91"/>
        <w:textAlignment w:val="baseline"/>
        <w:outlineLvl w:val="9"/>
        <w:rPr>
          <w:rFonts w:hint="eastAsia" w:ascii="仿宋" w:hAnsi="仿宋" w:eastAsia="仿宋" w:cs="仿宋"/>
          <w:color w:val="auto"/>
          <w:sz w:val="24"/>
          <w:szCs w:val="24"/>
          <w:highlight w:val="none"/>
        </w:rPr>
      </w:pPr>
    </w:p>
    <w:tbl>
      <w:tblPr>
        <w:tblStyle w:val="26"/>
        <w:tblW w:w="8650" w:type="dxa"/>
        <w:tblInd w:w="5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0"/>
        <w:gridCol w:w="896"/>
        <w:gridCol w:w="1020"/>
        <w:gridCol w:w="992"/>
        <w:gridCol w:w="283"/>
        <w:gridCol w:w="195"/>
        <w:gridCol w:w="1245"/>
        <w:gridCol w:w="260"/>
        <w:gridCol w:w="709"/>
        <w:gridCol w:w="1420"/>
      </w:tblGrid>
      <w:tr w14:paraId="142D0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30" w:type="dxa"/>
            <w:vAlign w:val="top"/>
          </w:tcPr>
          <w:p w14:paraId="53378E2D">
            <w:pPr>
              <w:pStyle w:val="28"/>
              <w:keepNext w:val="0"/>
              <w:keepLines w:val="0"/>
              <w:pageBreakBefore w:val="0"/>
              <w:widowControl/>
              <w:shd w:val="clear"/>
              <w:kinsoku w:val="0"/>
              <w:wordWrap/>
              <w:overflowPunct/>
              <w:topLinePunct w:val="0"/>
              <w:autoSpaceDE w:val="0"/>
              <w:autoSpaceDN w:val="0"/>
              <w:bidi w:val="0"/>
              <w:adjustRightInd w:val="0"/>
              <w:snapToGrid w:val="0"/>
              <w:spacing w:before="184" w:line="228" w:lineRule="auto"/>
              <w:ind w:left="2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投标人名称</w:t>
            </w:r>
          </w:p>
        </w:tc>
        <w:tc>
          <w:tcPr>
            <w:tcW w:w="7020" w:type="dxa"/>
            <w:gridSpan w:val="9"/>
            <w:vAlign w:val="top"/>
          </w:tcPr>
          <w:p w14:paraId="2CE88D9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3207B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Align w:val="top"/>
          </w:tcPr>
          <w:p w14:paraId="56DFA927">
            <w:pPr>
              <w:pStyle w:val="28"/>
              <w:keepNext w:val="0"/>
              <w:keepLines w:val="0"/>
              <w:pageBreakBefore w:val="0"/>
              <w:widowControl/>
              <w:shd w:val="clear"/>
              <w:kinsoku w:val="0"/>
              <w:wordWrap/>
              <w:overflowPunct/>
              <w:topLinePunct w:val="0"/>
              <w:autoSpaceDE w:val="0"/>
              <w:autoSpaceDN w:val="0"/>
              <w:bidi w:val="0"/>
              <w:adjustRightInd w:val="0"/>
              <w:snapToGrid w:val="0"/>
              <w:spacing w:before="179" w:line="229" w:lineRule="auto"/>
              <w:ind w:left="4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注册地址</w:t>
            </w:r>
          </w:p>
        </w:tc>
        <w:tc>
          <w:tcPr>
            <w:tcW w:w="3386" w:type="dxa"/>
            <w:gridSpan w:val="5"/>
            <w:vAlign w:val="top"/>
          </w:tcPr>
          <w:p w14:paraId="54DF96A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45" w:type="dxa"/>
            <w:vAlign w:val="top"/>
          </w:tcPr>
          <w:p w14:paraId="0962678F">
            <w:pPr>
              <w:pStyle w:val="28"/>
              <w:keepNext w:val="0"/>
              <w:keepLines w:val="0"/>
              <w:pageBreakBefore w:val="0"/>
              <w:widowControl/>
              <w:shd w:val="clear"/>
              <w:kinsoku w:val="0"/>
              <w:wordWrap/>
              <w:overflowPunct/>
              <w:topLinePunct w:val="0"/>
              <w:autoSpaceDE w:val="0"/>
              <w:autoSpaceDN w:val="0"/>
              <w:bidi w:val="0"/>
              <w:adjustRightInd w:val="0"/>
              <w:snapToGrid w:val="0"/>
              <w:spacing w:before="179" w:line="228" w:lineRule="auto"/>
              <w:ind w:left="2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邮政编码</w:t>
            </w:r>
          </w:p>
        </w:tc>
        <w:tc>
          <w:tcPr>
            <w:tcW w:w="2389" w:type="dxa"/>
            <w:gridSpan w:val="3"/>
            <w:vAlign w:val="top"/>
          </w:tcPr>
          <w:p w14:paraId="0AF6717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73AE3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Merge w:val="restart"/>
            <w:tcBorders>
              <w:bottom w:val="nil"/>
            </w:tcBorders>
            <w:vAlign w:val="top"/>
          </w:tcPr>
          <w:p w14:paraId="400B32A9">
            <w:pPr>
              <w:keepNext w:val="0"/>
              <w:keepLines w:val="0"/>
              <w:pageBreakBefore w:val="0"/>
              <w:widowControl/>
              <w:shd w:val="clear"/>
              <w:kinsoku w:val="0"/>
              <w:wordWrap/>
              <w:overflowPunct/>
              <w:topLinePunct w:val="0"/>
              <w:autoSpaceDE w:val="0"/>
              <w:autoSpaceDN w:val="0"/>
              <w:bidi w:val="0"/>
              <w:adjustRightInd w:val="0"/>
              <w:snapToGrid w:val="0"/>
              <w:spacing w:line="402" w:lineRule="auto"/>
              <w:textAlignment w:val="baseline"/>
              <w:outlineLvl w:val="9"/>
              <w:rPr>
                <w:rFonts w:hint="eastAsia" w:ascii="仿宋" w:hAnsi="仿宋" w:eastAsia="仿宋" w:cs="仿宋"/>
                <w:color w:val="auto"/>
                <w:sz w:val="24"/>
                <w:szCs w:val="24"/>
                <w:highlight w:val="none"/>
              </w:rPr>
            </w:pPr>
          </w:p>
          <w:p w14:paraId="3588DFFA">
            <w:pPr>
              <w:pStyle w:val="28"/>
              <w:keepNext w:val="0"/>
              <w:keepLines w:val="0"/>
              <w:pageBreakBefore w:val="0"/>
              <w:widowControl/>
              <w:shd w:val="clear"/>
              <w:kinsoku w:val="0"/>
              <w:wordWrap/>
              <w:overflowPunct/>
              <w:topLinePunct w:val="0"/>
              <w:autoSpaceDE w:val="0"/>
              <w:autoSpaceDN w:val="0"/>
              <w:bidi w:val="0"/>
              <w:adjustRightInd w:val="0"/>
              <w:snapToGrid w:val="0"/>
              <w:spacing w:before="65" w:line="229" w:lineRule="auto"/>
              <w:ind w:left="4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联系方式</w:t>
            </w:r>
          </w:p>
        </w:tc>
        <w:tc>
          <w:tcPr>
            <w:tcW w:w="896" w:type="dxa"/>
            <w:vAlign w:val="top"/>
          </w:tcPr>
          <w:p w14:paraId="6F62C7A2">
            <w:pPr>
              <w:pStyle w:val="28"/>
              <w:keepNext w:val="0"/>
              <w:keepLines w:val="0"/>
              <w:pageBreakBefore w:val="0"/>
              <w:widowControl/>
              <w:shd w:val="clear"/>
              <w:kinsoku w:val="0"/>
              <w:wordWrap/>
              <w:overflowPunct/>
              <w:topLinePunct w:val="0"/>
              <w:autoSpaceDE w:val="0"/>
              <w:autoSpaceDN w:val="0"/>
              <w:bidi w:val="0"/>
              <w:adjustRightInd w:val="0"/>
              <w:snapToGrid w:val="0"/>
              <w:spacing w:before="179" w:line="230" w:lineRule="auto"/>
              <w:ind w:left="1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联系人</w:t>
            </w:r>
          </w:p>
        </w:tc>
        <w:tc>
          <w:tcPr>
            <w:tcW w:w="2490" w:type="dxa"/>
            <w:gridSpan w:val="4"/>
            <w:vAlign w:val="top"/>
          </w:tcPr>
          <w:p w14:paraId="07EB7DEB">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45" w:type="dxa"/>
            <w:vAlign w:val="top"/>
          </w:tcPr>
          <w:p w14:paraId="42A327AF">
            <w:pPr>
              <w:pStyle w:val="28"/>
              <w:keepNext w:val="0"/>
              <w:keepLines w:val="0"/>
              <w:pageBreakBefore w:val="0"/>
              <w:widowControl/>
              <w:shd w:val="clear"/>
              <w:kinsoku w:val="0"/>
              <w:wordWrap/>
              <w:overflowPunct/>
              <w:topLinePunct w:val="0"/>
              <w:autoSpaceDE w:val="0"/>
              <w:autoSpaceDN w:val="0"/>
              <w:bidi w:val="0"/>
              <w:adjustRightInd w:val="0"/>
              <w:snapToGrid w:val="0"/>
              <w:spacing w:before="179" w:line="230" w:lineRule="auto"/>
              <w:ind w:left="33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电</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12"/>
                <w:sz w:val="24"/>
                <w:szCs w:val="24"/>
                <w:highlight w:val="none"/>
              </w:rPr>
              <w:t>话</w:t>
            </w:r>
          </w:p>
        </w:tc>
        <w:tc>
          <w:tcPr>
            <w:tcW w:w="2389" w:type="dxa"/>
            <w:gridSpan w:val="3"/>
            <w:vAlign w:val="top"/>
          </w:tcPr>
          <w:p w14:paraId="2EFAACB5">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71FAF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Merge w:val="continue"/>
            <w:tcBorders>
              <w:top w:val="nil"/>
            </w:tcBorders>
            <w:vAlign w:val="top"/>
          </w:tcPr>
          <w:p w14:paraId="70A46C7E">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896" w:type="dxa"/>
            <w:vAlign w:val="top"/>
          </w:tcPr>
          <w:p w14:paraId="1D12925B">
            <w:pPr>
              <w:pStyle w:val="28"/>
              <w:keepNext w:val="0"/>
              <w:keepLines w:val="0"/>
              <w:pageBreakBefore w:val="0"/>
              <w:widowControl/>
              <w:shd w:val="clear"/>
              <w:kinsoku w:val="0"/>
              <w:wordWrap/>
              <w:overflowPunct/>
              <w:topLinePunct w:val="0"/>
              <w:autoSpaceDE w:val="0"/>
              <w:autoSpaceDN w:val="0"/>
              <w:bidi w:val="0"/>
              <w:adjustRightInd w:val="0"/>
              <w:snapToGrid w:val="0"/>
              <w:spacing w:before="180" w:line="227" w:lineRule="auto"/>
              <w:ind w:left="13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传</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1"/>
                <w:sz w:val="24"/>
                <w:szCs w:val="24"/>
                <w:highlight w:val="none"/>
              </w:rPr>
              <w:t>真</w:t>
            </w:r>
          </w:p>
        </w:tc>
        <w:tc>
          <w:tcPr>
            <w:tcW w:w="2490" w:type="dxa"/>
            <w:gridSpan w:val="4"/>
            <w:vAlign w:val="top"/>
          </w:tcPr>
          <w:p w14:paraId="0659A3EA">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45" w:type="dxa"/>
            <w:vAlign w:val="top"/>
          </w:tcPr>
          <w:p w14:paraId="275DE423">
            <w:pPr>
              <w:pStyle w:val="28"/>
              <w:keepNext w:val="0"/>
              <w:keepLines w:val="0"/>
              <w:pageBreakBefore w:val="0"/>
              <w:widowControl/>
              <w:shd w:val="clear"/>
              <w:kinsoku w:val="0"/>
              <w:wordWrap/>
              <w:overflowPunct/>
              <w:topLinePunct w:val="0"/>
              <w:autoSpaceDE w:val="0"/>
              <w:autoSpaceDN w:val="0"/>
              <w:bidi w:val="0"/>
              <w:adjustRightInd w:val="0"/>
              <w:snapToGrid w:val="0"/>
              <w:spacing w:before="180" w:line="233" w:lineRule="auto"/>
              <w:ind w:left="33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网</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8"/>
                <w:sz w:val="24"/>
                <w:szCs w:val="24"/>
                <w:highlight w:val="none"/>
              </w:rPr>
              <w:t>址</w:t>
            </w:r>
          </w:p>
        </w:tc>
        <w:tc>
          <w:tcPr>
            <w:tcW w:w="2389" w:type="dxa"/>
            <w:gridSpan w:val="3"/>
            <w:vAlign w:val="top"/>
          </w:tcPr>
          <w:p w14:paraId="2BBA7BE0">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30A1F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Align w:val="top"/>
          </w:tcPr>
          <w:p w14:paraId="418EEB8E">
            <w:pPr>
              <w:pStyle w:val="28"/>
              <w:keepNext w:val="0"/>
              <w:keepLines w:val="0"/>
              <w:pageBreakBefore w:val="0"/>
              <w:widowControl/>
              <w:shd w:val="clear"/>
              <w:kinsoku w:val="0"/>
              <w:wordWrap/>
              <w:overflowPunct/>
              <w:topLinePunct w:val="0"/>
              <w:autoSpaceDE w:val="0"/>
              <w:autoSpaceDN w:val="0"/>
              <w:bidi w:val="0"/>
              <w:adjustRightInd w:val="0"/>
              <w:snapToGrid w:val="0"/>
              <w:spacing w:before="180" w:line="228" w:lineRule="auto"/>
              <w:ind w:left="40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组织结构</w:t>
            </w:r>
          </w:p>
        </w:tc>
        <w:tc>
          <w:tcPr>
            <w:tcW w:w="7020" w:type="dxa"/>
            <w:gridSpan w:val="9"/>
            <w:vAlign w:val="top"/>
          </w:tcPr>
          <w:p w14:paraId="33F72317">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37AD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Align w:val="top"/>
          </w:tcPr>
          <w:p w14:paraId="0CCFFFCF">
            <w:pPr>
              <w:pStyle w:val="28"/>
              <w:keepNext w:val="0"/>
              <w:keepLines w:val="0"/>
              <w:pageBreakBefore w:val="0"/>
              <w:widowControl/>
              <w:shd w:val="clear"/>
              <w:kinsoku w:val="0"/>
              <w:wordWrap/>
              <w:overflowPunct/>
              <w:topLinePunct w:val="0"/>
              <w:autoSpaceDE w:val="0"/>
              <w:autoSpaceDN w:val="0"/>
              <w:bidi w:val="0"/>
              <w:adjustRightInd w:val="0"/>
              <w:snapToGrid w:val="0"/>
              <w:spacing w:before="181" w:line="228" w:lineRule="auto"/>
              <w:ind w:left="29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法定代表人</w:t>
            </w:r>
          </w:p>
        </w:tc>
        <w:tc>
          <w:tcPr>
            <w:tcW w:w="896" w:type="dxa"/>
            <w:vAlign w:val="top"/>
          </w:tcPr>
          <w:p w14:paraId="3E4BE9F0">
            <w:pPr>
              <w:pStyle w:val="28"/>
              <w:keepNext w:val="0"/>
              <w:keepLines w:val="0"/>
              <w:pageBreakBefore w:val="0"/>
              <w:widowControl/>
              <w:shd w:val="clear"/>
              <w:kinsoku w:val="0"/>
              <w:wordWrap/>
              <w:overflowPunct/>
              <w:topLinePunct w:val="0"/>
              <w:autoSpaceDE w:val="0"/>
              <w:autoSpaceDN w:val="0"/>
              <w:bidi w:val="0"/>
              <w:adjustRightInd w:val="0"/>
              <w:snapToGrid w:val="0"/>
              <w:spacing w:before="181" w:line="228" w:lineRule="auto"/>
              <w:ind w:left="24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姓名</w:t>
            </w:r>
          </w:p>
        </w:tc>
        <w:tc>
          <w:tcPr>
            <w:tcW w:w="1020" w:type="dxa"/>
            <w:vAlign w:val="top"/>
          </w:tcPr>
          <w:p w14:paraId="40149AB7">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5" w:type="dxa"/>
            <w:gridSpan w:val="2"/>
            <w:vAlign w:val="top"/>
          </w:tcPr>
          <w:p w14:paraId="1F53CBEF">
            <w:pPr>
              <w:pStyle w:val="28"/>
              <w:keepNext w:val="0"/>
              <w:keepLines w:val="0"/>
              <w:pageBreakBefore w:val="0"/>
              <w:widowControl/>
              <w:shd w:val="clear"/>
              <w:kinsoku w:val="0"/>
              <w:wordWrap/>
              <w:overflowPunct/>
              <w:topLinePunct w:val="0"/>
              <w:autoSpaceDE w:val="0"/>
              <w:autoSpaceDN w:val="0"/>
              <w:bidi w:val="0"/>
              <w:adjustRightInd w:val="0"/>
              <w:snapToGrid w:val="0"/>
              <w:spacing w:before="181" w:line="228" w:lineRule="auto"/>
              <w:ind w:left="2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技术职称</w:t>
            </w:r>
          </w:p>
        </w:tc>
        <w:tc>
          <w:tcPr>
            <w:tcW w:w="1700" w:type="dxa"/>
            <w:gridSpan w:val="3"/>
            <w:vAlign w:val="top"/>
          </w:tcPr>
          <w:p w14:paraId="4B9052C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709" w:type="dxa"/>
            <w:vAlign w:val="top"/>
          </w:tcPr>
          <w:p w14:paraId="144BEC3C">
            <w:pPr>
              <w:pStyle w:val="28"/>
              <w:keepNext w:val="0"/>
              <w:keepLines w:val="0"/>
              <w:pageBreakBefore w:val="0"/>
              <w:widowControl/>
              <w:shd w:val="clear"/>
              <w:kinsoku w:val="0"/>
              <w:wordWrap/>
              <w:overflowPunct/>
              <w:topLinePunct w:val="0"/>
              <w:autoSpaceDE w:val="0"/>
              <w:autoSpaceDN w:val="0"/>
              <w:bidi w:val="0"/>
              <w:adjustRightInd w:val="0"/>
              <w:snapToGrid w:val="0"/>
              <w:spacing w:before="182" w:line="230" w:lineRule="auto"/>
              <w:ind w:left="17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电话</w:t>
            </w:r>
          </w:p>
        </w:tc>
        <w:tc>
          <w:tcPr>
            <w:tcW w:w="1420" w:type="dxa"/>
            <w:vAlign w:val="top"/>
          </w:tcPr>
          <w:p w14:paraId="53B0641A">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49954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036C0706">
            <w:pPr>
              <w:pStyle w:val="28"/>
              <w:keepNext w:val="0"/>
              <w:keepLines w:val="0"/>
              <w:pageBreakBefore w:val="0"/>
              <w:widowControl/>
              <w:shd w:val="clear"/>
              <w:kinsoku w:val="0"/>
              <w:wordWrap/>
              <w:overflowPunct/>
              <w:topLinePunct w:val="0"/>
              <w:autoSpaceDE w:val="0"/>
              <w:autoSpaceDN w:val="0"/>
              <w:bidi w:val="0"/>
              <w:adjustRightInd w:val="0"/>
              <w:snapToGrid w:val="0"/>
              <w:spacing w:before="181" w:line="228" w:lineRule="auto"/>
              <w:ind w:left="29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技术负责人</w:t>
            </w:r>
          </w:p>
        </w:tc>
        <w:tc>
          <w:tcPr>
            <w:tcW w:w="896" w:type="dxa"/>
            <w:vAlign w:val="top"/>
          </w:tcPr>
          <w:p w14:paraId="4E34CB4E">
            <w:pPr>
              <w:pStyle w:val="28"/>
              <w:keepNext w:val="0"/>
              <w:keepLines w:val="0"/>
              <w:pageBreakBefore w:val="0"/>
              <w:widowControl/>
              <w:shd w:val="clear"/>
              <w:kinsoku w:val="0"/>
              <w:wordWrap/>
              <w:overflowPunct/>
              <w:topLinePunct w:val="0"/>
              <w:autoSpaceDE w:val="0"/>
              <w:autoSpaceDN w:val="0"/>
              <w:bidi w:val="0"/>
              <w:adjustRightInd w:val="0"/>
              <w:snapToGrid w:val="0"/>
              <w:spacing w:before="181" w:line="228" w:lineRule="auto"/>
              <w:ind w:left="24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姓名</w:t>
            </w:r>
          </w:p>
        </w:tc>
        <w:tc>
          <w:tcPr>
            <w:tcW w:w="1020" w:type="dxa"/>
            <w:vAlign w:val="top"/>
          </w:tcPr>
          <w:p w14:paraId="75A04BA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5" w:type="dxa"/>
            <w:gridSpan w:val="2"/>
            <w:vAlign w:val="top"/>
          </w:tcPr>
          <w:p w14:paraId="2AE0DA93">
            <w:pPr>
              <w:pStyle w:val="28"/>
              <w:keepNext w:val="0"/>
              <w:keepLines w:val="0"/>
              <w:pageBreakBefore w:val="0"/>
              <w:widowControl/>
              <w:shd w:val="clear"/>
              <w:kinsoku w:val="0"/>
              <w:wordWrap/>
              <w:overflowPunct/>
              <w:topLinePunct w:val="0"/>
              <w:autoSpaceDE w:val="0"/>
              <w:autoSpaceDN w:val="0"/>
              <w:bidi w:val="0"/>
              <w:adjustRightInd w:val="0"/>
              <w:snapToGrid w:val="0"/>
              <w:spacing w:before="181" w:line="228" w:lineRule="auto"/>
              <w:ind w:left="2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技术职称</w:t>
            </w:r>
          </w:p>
        </w:tc>
        <w:tc>
          <w:tcPr>
            <w:tcW w:w="1700" w:type="dxa"/>
            <w:gridSpan w:val="3"/>
            <w:vAlign w:val="top"/>
          </w:tcPr>
          <w:p w14:paraId="7826265D">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709" w:type="dxa"/>
            <w:vAlign w:val="top"/>
          </w:tcPr>
          <w:p w14:paraId="27208E95">
            <w:pPr>
              <w:pStyle w:val="28"/>
              <w:keepNext w:val="0"/>
              <w:keepLines w:val="0"/>
              <w:pageBreakBefore w:val="0"/>
              <w:widowControl/>
              <w:shd w:val="clear"/>
              <w:kinsoku w:val="0"/>
              <w:wordWrap/>
              <w:overflowPunct/>
              <w:topLinePunct w:val="0"/>
              <w:autoSpaceDE w:val="0"/>
              <w:autoSpaceDN w:val="0"/>
              <w:bidi w:val="0"/>
              <w:adjustRightInd w:val="0"/>
              <w:snapToGrid w:val="0"/>
              <w:spacing w:before="182" w:line="230" w:lineRule="auto"/>
              <w:ind w:left="17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电话</w:t>
            </w:r>
          </w:p>
        </w:tc>
        <w:tc>
          <w:tcPr>
            <w:tcW w:w="1420" w:type="dxa"/>
            <w:vAlign w:val="top"/>
          </w:tcPr>
          <w:p w14:paraId="4A8B9BA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05FE5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630" w:type="dxa"/>
            <w:vAlign w:val="top"/>
          </w:tcPr>
          <w:p w14:paraId="2C0F4144">
            <w:pPr>
              <w:pStyle w:val="28"/>
              <w:keepNext w:val="0"/>
              <w:keepLines w:val="0"/>
              <w:pageBreakBefore w:val="0"/>
              <w:widowControl/>
              <w:shd w:val="clear"/>
              <w:kinsoku w:val="0"/>
              <w:wordWrap/>
              <w:overflowPunct/>
              <w:topLinePunct w:val="0"/>
              <w:autoSpaceDE w:val="0"/>
              <w:autoSpaceDN w:val="0"/>
              <w:bidi w:val="0"/>
              <w:adjustRightInd w:val="0"/>
              <w:snapToGrid w:val="0"/>
              <w:spacing w:before="111" w:line="229" w:lineRule="auto"/>
              <w:ind w:left="4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成立时间</w:t>
            </w:r>
          </w:p>
        </w:tc>
        <w:tc>
          <w:tcPr>
            <w:tcW w:w="1916" w:type="dxa"/>
            <w:gridSpan w:val="2"/>
            <w:vAlign w:val="top"/>
          </w:tcPr>
          <w:p w14:paraId="7FD064F3">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5104" w:type="dxa"/>
            <w:gridSpan w:val="7"/>
            <w:vAlign w:val="top"/>
          </w:tcPr>
          <w:p w14:paraId="2918D908">
            <w:pPr>
              <w:pStyle w:val="28"/>
              <w:keepNext w:val="0"/>
              <w:keepLines w:val="0"/>
              <w:pageBreakBefore w:val="0"/>
              <w:widowControl/>
              <w:shd w:val="clear"/>
              <w:kinsoku w:val="0"/>
              <w:wordWrap/>
              <w:overflowPunct/>
              <w:topLinePunct w:val="0"/>
              <w:autoSpaceDE w:val="0"/>
              <w:autoSpaceDN w:val="0"/>
              <w:bidi w:val="0"/>
              <w:adjustRightInd w:val="0"/>
              <w:snapToGrid w:val="0"/>
              <w:spacing w:before="111" w:line="228" w:lineRule="auto"/>
              <w:ind w:left="19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员工总人数：</w:t>
            </w:r>
          </w:p>
        </w:tc>
      </w:tr>
      <w:tr w14:paraId="49623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630" w:type="dxa"/>
            <w:vAlign w:val="top"/>
          </w:tcPr>
          <w:p w14:paraId="4A28B311">
            <w:pPr>
              <w:pStyle w:val="28"/>
              <w:keepNext w:val="0"/>
              <w:keepLines w:val="0"/>
              <w:pageBreakBefore w:val="0"/>
              <w:widowControl/>
              <w:shd w:val="clear"/>
              <w:kinsoku w:val="0"/>
              <w:wordWrap/>
              <w:overflowPunct/>
              <w:topLinePunct w:val="0"/>
              <w:autoSpaceDE w:val="0"/>
              <w:autoSpaceDN w:val="0"/>
              <w:bidi w:val="0"/>
              <w:adjustRightInd w:val="0"/>
              <w:snapToGrid w:val="0"/>
              <w:spacing w:before="126" w:line="228" w:lineRule="auto"/>
              <w:ind w:left="19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企业资质等级</w:t>
            </w:r>
          </w:p>
        </w:tc>
        <w:tc>
          <w:tcPr>
            <w:tcW w:w="896" w:type="dxa"/>
            <w:vAlign w:val="top"/>
          </w:tcPr>
          <w:p w14:paraId="4FE09742">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20" w:type="dxa"/>
            <w:vAlign w:val="top"/>
          </w:tcPr>
          <w:p w14:paraId="6F64435C">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992" w:type="dxa"/>
            <w:vMerge w:val="restart"/>
            <w:tcBorders>
              <w:bottom w:val="nil"/>
            </w:tcBorders>
            <w:vAlign w:val="top"/>
          </w:tcPr>
          <w:p w14:paraId="7A8878B6">
            <w:pPr>
              <w:keepNext w:val="0"/>
              <w:keepLines w:val="0"/>
              <w:pageBreakBefore w:val="0"/>
              <w:widowControl/>
              <w:shd w:val="clear"/>
              <w:kinsoku w:val="0"/>
              <w:wordWrap/>
              <w:overflowPunct/>
              <w:topLinePunct w:val="0"/>
              <w:autoSpaceDE w:val="0"/>
              <w:autoSpaceDN w:val="0"/>
              <w:bidi w:val="0"/>
              <w:adjustRightInd w:val="0"/>
              <w:snapToGrid w:val="0"/>
              <w:spacing w:line="312" w:lineRule="auto"/>
              <w:textAlignment w:val="baseline"/>
              <w:outlineLvl w:val="9"/>
              <w:rPr>
                <w:rFonts w:hint="eastAsia" w:ascii="仿宋" w:hAnsi="仿宋" w:eastAsia="仿宋" w:cs="仿宋"/>
                <w:color w:val="auto"/>
                <w:sz w:val="24"/>
                <w:szCs w:val="24"/>
                <w:highlight w:val="none"/>
              </w:rPr>
            </w:pPr>
          </w:p>
          <w:p w14:paraId="513E8949">
            <w:pPr>
              <w:keepNext w:val="0"/>
              <w:keepLines w:val="0"/>
              <w:pageBreakBefore w:val="0"/>
              <w:widowControl/>
              <w:shd w:val="clear"/>
              <w:kinsoku w:val="0"/>
              <w:wordWrap/>
              <w:overflowPunct/>
              <w:topLinePunct w:val="0"/>
              <w:autoSpaceDE w:val="0"/>
              <w:autoSpaceDN w:val="0"/>
              <w:bidi w:val="0"/>
              <w:adjustRightInd w:val="0"/>
              <w:snapToGrid w:val="0"/>
              <w:spacing w:line="312" w:lineRule="auto"/>
              <w:textAlignment w:val="baseline"/>
              <w:outlineLvl w:val="9"/>
              <w:rPr>
                <w:rFonts w:hint="eastAsia" w:ascii="仿宋" w:hAnsi="仿宋" w:eastAsia="仿宋" w:cs="仿宋"/>
                <w:color w:val="auto"/>
                <w:sz w:val="24"/>
                <w:szCs w:val="24"/>
                <w:highlight w:val="none"/>
              </w:rPr>
            </w:pPr>
          </w:p>
          <w:p w14:paraId="26083022">
            <w:pPr>
              <w:keepNext w:val="0"/>
              <w:keepLines w:val="0"/>
              <w:pageBreakBefore w:val="0"/>
              <w:widowControl/>
              <w:shd w:val="clear"/>
              <w:kinsoku w:val="0"/>
              <w:wordWrap/>
              <w:overflowPunct/>
              <w:topLinePunct w:val="0"/>
              <w:autoSpaceDE w:val="0"/>
              <w:autoSpaceDN w:val="0"/>
              <w:bidi w:val="0"/>
              <w:adjustRightInd w:val="0"/>
              <w:snapToGrid w:val="0"/>
              <w:spacing w:line="312" w:lineRule="auto"/>
              <w:textAlignment w:val="baseline"/>
              <w:outlineLvl w:val="9"/>
              <w:rPr>
                <w:rFonts w:hint="eastAsia" w:ascii="仿宋" w:hAnsi="仿宋" w:eastAsia="仿宋" w:cs="仿宋"/>
                <w:color w:val="auto"/>
                <w:sz w:val="24"/>
                <w:szCs w:val="24"/>
                <w:highlight w:val="none"/>
              </w:rPr>
            </w:pPr>
          </w:p>
          <w:p w14:paraId="362BC11A">
            <w:pPr>
              <w:pStyle w:val="28"/>
              <w:keepNext w:val="0"/>
              <w:keepLines w:val="0"/>
              <w:pageBreakBefore w:val="0"/>
              <w:widowControl/>
              <w:shd w:val="clear"/>
              <w:kinsoku w:val="0"/>
              <w:wordWrap/>
              <w:overflowPunct/>
              <w:topLinePunct w:val="0"/>
              <w:autoSpaceDE w:val="0"/>
              <w:autoSpaceDN w:val="0"/>
              <w:bidi w:val="0"/>
              <w:adjustRightInd w:val="0"/>
              <w:snapToGrid w:val="0"/>
              <w:spacing w:before="65" w:line="228" w:lineRule="auto"/>
              <w:ind w:left="29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其中</w:t>
            </w:r>
          </w:p>
        </w:tc>
        <w:tc>
          <w:tcPr>
            <w:tcW w:w="1983" w:type="dxa"/>
            <w:gridSpan w:val="4"/>
            <w:vAlign w:val="top"/>
          </w:tcPr>
          <w:p w14:paraId="496D91D8">
            <w:pPr>
              <w:pStyle w:val="28"/>
              <w:keepNext w:val="0"/>
              <w:keepLines w:val="0"/>
              <w:pageBreakBefore w:val="0"/>
              <w:widowControl/>
              <w:shd w:val="clear"/>
              <w:kinsoku w:val="0"/>
              <w:wordWrap/>
              <w:overflowPunct/>
              <w:topLinePunct w:val="0"/>
              <w:autoSpaceDE w:val="0"/>
              <w:autoSpaceDN w:val="0"/>
              <w:bidi w:val="0"/>
              <w:adjustRightInd w:val="0"/>
              <w:snapToGrid w:val="0"/>
              <w:spacing w:before="126" w:line="228" w:lineRule="auto"/>
              <w:ind w:left="5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项目经理</w:t>
            </w:r>
          </w:p>
        </w:tc>
        <w:tc>
          <w:tcPr>
            <w:tcW w:w="2129" w:type="dxa"/>
            <w:gridSpan w:val="2"/>
            <w:vAlign w:val="top"/>
          </w:tcPr>
          <w:p w14:paraId="0158DBBE">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049E7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630" w:type="dxa"/>
            <w:vAlign w:val="top"/>
          </w:tcPr>
          <w:p w14:paraId="06408121">
            <w:pPr>
              <w:pStyle w:val="28"/>
              <w:keepNext w:val="0"/>
              <w:keepLines w:val="0"/>
              <w:pageBreakBefore w:val="0"/>
              <w:widowControl/>
              <w:shd w:val="clear"/>
              <w:kinsoku w:val="0"/>
              <w:wordWrap/>
              <w:overflowPunct/>
              <w:topLinePunct w:val="0"/>
              <w:autoSpaceDE w:val="0"/>
              <w:autoSpaceDN w:val="0"/>
              <w:bidi w:val="0"/>
              <w:adjustRightInd w:val="0"/>
              <w:snapToGrid w:val="0"/>
              <w:spacing w:before="119" w:line="228" w:lineRule="auto"/>
              <w:ind w:left="3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营业执照号</w:t>
            </w:r>
          </w:p>
        </w:tc>
        <w:tc>
          <w:tcPr>
            <w:tcW w:w="896" w:type="dxa"/>
            <w:vAlign w:val="top"/>
          </w:tcPr>
          <w:p w14:paraId="548C23B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20" w:type="dxa"/>
            <w:vAlign w:val="top"/>
          </w:tcPr>
          <w:p w14:paraId="2BBA02E9">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992" w:type="dxa"/>
            <w:vMerge w:val="continue"/>
            <w:tcBorders>
              <w:top w:val="nil"/>
              <w:bottom w:val="nil"/>
            </w:tcBorders>
            <w:vAlign w:val="top"/>
          </w:tcPr>
          <w:p w14:paraId="14AEC3F9">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983" w:type="dxa"/>
            <w:gridSpan w:val="4"/>
            <w:vAlign w:val="top"/>
          </w:tcPr>
          <w:p w14:paraId="155681E9">
            <w:pPr>
              <w:pStyle w:val="28"/>
              <w:keepNext w:val="0"/>
              <w:keepLines w:val="0"/>
              <w:pageBreakBefore w:val="0"/>
              <w:widowControl/>
              <w:shd w:val="clear"/>
              <w:kinsoku w:val="0"/>
              <w:wordWrap/>
              <w:overflowPunct/>
              <w:topLinePunct w:val="0"/>
              <w:autoSpaceDE w:val="0"/>
              <w:autoSpaceDN w:val="0"/>
              <w:bidi w:val="0"/>
              <w:adjustRightInd w:val="0"/>
              <w:snapToGrid w:val="0"/>
              <w:spacing w:before="119" w:line="228" w:lineRule="auto"/>
              <w:ind w:left="37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高级职称人员</w:t>
            </w:r>
          </w:p>
        </w:tc>
        <w:tc>
          <w:tcPr>
            <w:tcW w:w="2129" w:type="dxa"/>
            <w:gridSpan w:val="2"/>
            <w:vAlign w:val="top"/>
          </w:tcPr>
          <w:p w14:paraId="4828EDF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78C89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630" w:type="dxa"/>
            <w:vAlign w:val="top"/>
          </w:tcPr>
          <w:p w14:paraId="423E1882">
            <w:pPr>
              <w:pStyle w:val="28"/>
              <w:keepNext w:val="0"/>
              <w:keepLines w:val="0"/>
              <w:pageBreakBefore w:val="0"/>
              <w:widowControl/>
              <w:shd w:val="clear"/>
              <w:kinsoku w:val="0"/>
              <w:wordWrap/>
              <w:overflowPunct/>
              <w:topLinePunct w:val="0"/>
              <w:autoSpaceDE w:val="0"/>
              <w:autoSpaceDN w:val="0"/>
              <w:bidi w:val="0"/>
              <w:adjustRightInd w:val="0"/>
              <w:snapToGrid w:val="0"/>
              <w:spacing w:before="107" w:line="229" w:lineRule="auto"/>
              <w:ind w:left="4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注册资金</w:t>
            </w:r>
          </w:p>
        </w:tc>
        <w:tc>
          <w:tcPr>
            <w:tcW w:w="896" w:type="dxa"/>
            <w:vAlign w:val="top"/>
          </w:tcPr>
          <w:p w14:paraId="1B724233">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20" w:type="dxa"/>
            <w:vAlign w:val="top"/>
          </w:tcPr>
          <w:p w14:paraId="6DE5A728">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992" w:type="dxa"/>
            <w:vMerge w:val="continue"/>
            <w:tcBorders>
              <w:top w:val="nil"/>
              <w:bottom w:val="nil"/>
            </w:tcBorders>
            <w:vAlign w:val="top"/>
          </w:tcPr>
          <w:p w14:paraId="296502DE">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983" w:type="dxa"/>
            <w:gridSpan w:val="4"/>
            <w:vAlign w:val="top"/>
          </w:tcPr>
          <w:p w14:paraId="39A03A06">
            <w:pPr>
              <w:pStyle w:val="28"/>
              <w:keepNext w:val="0"/>
              <w:keepLines w:val="0"/>
              <w:pageBreakBefore w:val="0"/>
              <w:widowControl/>
              <w:shd w:val="clear"/>
              <w:kinsoku w:val="0"/>
              <w:wordWrap/>
              <w:overflowPunct/>
              <w:topLinePunct w:val="0"/>
              <w:autoSpaceDE w:val="0"/>
              <w:autoSpaceDN w:val="0"/>
              <w:bidi w:val="0"/>
              <w:adjustRightInd w:val="0"/>
              <w:snapToGrid w:val="0"/>
              <w:spacing w:before="107" w:line="228" w:lineRule="auto"/>
              <w:ind w:left="38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中级职称人员</w:t>
            </w:r>
          </w:p>
        </w:tc>
        <w:tc>
          <w:tcPr>
            <w:tcW w:w="2129" w:type="dxa"/>
            <w:gridSpan w:val="2"/>
            <w:vAlign w:val="top"/>
          </w:tcPr>
          <w:p w14:paraId="125DBBD0">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4189C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630" w:type="dxa"/>
            <w:vAlign w:val="top"/>
          </w:tcPr>
          <w:p w14:paraId="5C15F11B">
            <w:pPr>
              <w:pStyle w:val="28"/>
              <w:keepNext w:val="0"/>
              <w:keepLines w:val="0"/>
              <w:pageBreakBefore w:val="0"/>
              <w:widowControl/>
              <w:shd w:val="clear"/>
              <w:kinsoku w:val="0"/>
              <w:wordWrap/>
              <w:overflowPunct/>
              <w:topLinePunct w:val="0"/>
              <w:autoSpaceDE w:val="0"/>
              <w:autoSpaceDN w:val="0"/>
              <w:bidi w:val="0"/>
              <w:adjustRightInd w:val="0"/>
              <w:snapToGrid w:val="0"/>
              <w:spacing w:before="127" w:line="228" w:lineRule="auto"/>
              <w:ind w:left="4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开户银行</w:t>
            </w:r>
          </w:p>
        </w:tc>
        <w:tc>
          <w:tcPr>
            <w:tcW w:w="896" w:type="dxa"/>
            <w:vAlign w:val="top"/>
          </w:tcPr>
          <w:p w14:paraId="611B674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20" w:type="dxa"/>
            <w:vAlign w:val="top"/>
          </w:tcPr>
          <w:p w14:paraId="66B21DB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992" w:type="dxa"/>
            <w:vMerge w:val="continue"/>
            <w:tcBorders>
              <w:top w:val="nil"/>
              <w:bottom w:val="nil"/>
            </w:tcBorders>
            <w:vAlign w:val="top"/>
          </w:tcPr>
          <w:p w14:paraId="008766D8">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983" w:type="dxa"/>
            <w:gridSpan w:val="4"/>
            <w:vAlign w:val="top"/>
          </w:tcPr>
          <w:p w14:paraId="635B7A8D">
            <w:pPr>
              <w:pStyle w:val="28"/>
              <w:keepNext w:val="0"/>
              <w:keepLines w:val="0"/>
              <w:pageBreakBefore w:val="0"/>
              <w:widowControl/>
              <w:shd w:val="clear"/>
              <w:kinsoku w:val="0"/>
              <w:wordWrap/>
              <w:overflowPunct/>
              <w:topLinePunct w:val="0"/>
              <w:autoSpaceDE w:val="0"/>
              <w:autoSpaceDN w:val="0"/>
              <w:bidi w:val="0"/>
              <w:adjustRightInd w:val="0"/>
              <w:snapToGrid w:val="0"/>
              <w:spacing w:before="127" w:line="229" w:lineRule="auto"/>
              <w:ind w:left="36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初级职称人员</w:t>
            </w:r>
          </w:p>
        </w:tc>
        <w:tc>
          <w:tcPr>
            <w:tcW w:w="2129" w:type="dxa"/>
            <w:gridSpan w:val="2"/>
            <w:vAlign w:val="top"/>
          </w:tcPr>
          <w:p w14:paraId="44815B8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3229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630" w:type="dxa"/>
            <w:vAlign w:val="top"/>
          </w:tcPr>
          <w:p w14:paraId="7EAB3629">
            <w:pPr>
              <w:pStyle w:val="28"/>
              <w:keepNext w:val="0"/>
              <w:keepLines w:val="0"/>
              <w:pageBreakBefore w:val="0"/>
              <w:widowControl/>
              <w:shd w:val="clear"/>
              <w:kinsoku w:val="0"/>
              <w:wordWrap/>
              <w:overflowPunct/>
              <w:topLinePunct w:val="0"/>
              <w:autoSpaceDE w:val="0"/>
              <w:autoSpaceDN w:val="0"/>
              <w:bidi w:val="0"/>
              <w:adjustRightInd w:val="0"/>
              <w:snapToGrid w:val="0"/>
              <w:spacing w:before="101" w:line="229" w:lineRule="auto"/>
              <w:ind w:left="61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账号</w:t>
            </w:r>
          </w:p>
        </w:tc>
        <w:tc>
          <w:tcPr>
            <w:tcW w:w="896" w:type="dxa"/>
            <w:vAlign w:val="top"/>
          </w:tcPr>
          <w:p w14:paraId="0E7F8C4A">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20" w:type="dxa"/>
            <w:vAlign w:val="top"/>
          </w:tcPr>
          <w:p w14:paraId="720ACC7E">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992" w:type="dxa"/>
            <w:vMerge w:val="continue"/>
            <w:tcBorders>
              <w:top w:val="nil"/>
            </w:tcBorders>
            <w:vAlign w:val="top"/>
          </w:tcPr>
          <w:p w14:paraId="30EF804B">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983" w:type="dxa"/>
            <w:gridSpan w:val="4"/>
            <w:vAlign w:val="top"/>
          </w:tcPr>
          <w:p w14:paraId="0B9EF704">
            <w:pPr>
              <w:pStyle w:val="28"/>
              <w:keepNext w:val="0"/>
              <w:keepLines w:val="0"/>
              <w:pageBreakBefore w:val="0"/>
              <w:widowControl/>
              <w:shd w:val="clear"/>
              <w:kinsoku w:val="0"/>
              <w:wordWrap/>
              <w:overflowPunct/>
              <w:topLinePunct w:val="0"/>
              <w:autoSpaceDE w:val="0"/>
              <w:autoSpaceDN w:val="0"/>
              <w:bidi w:val="0"/>
              <w:adjustRightInd w:val="0"/>
              <w:snapToGrid w:val="0"/>
              <w:spacing w:before="101" w:line="229" w:lineRule="auto"/>
              <w:ind w:left="68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z w:val="24"/>
                <w:szCs w:val="24"/>
                <w:highlight w:val="none"/>
              </w:rPr>
              <w:t>工</w:t>
            </w:r>
          </w:p>
        </w:tc>
        <w:tc>
          <w:tcPr>
            <w:tcW w:w="2129" w:type="dxa"/>
            <w:gridSpan w:val="2"/>
            <w:vAlign w:val="top"/>
          </w:tcPr>
          <w:p w14:paraId="3AFE5A6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1AD53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1630" w:type="dxa"/>
            <w:vAlign w:val="top"/>
          </w:tcPr>
          <w:p w14:paraId="4C2E8DE7">
            <w:pPr>
              <w:keepNext w:val="0"/>
              <w:keepLines w:val="0"/>
              <w:pageBreakBefore w:val="0"/>
              <w:widowControl/>
              <w:shd w:val="clear"/>
              <w:kinsoku w:val="0"/>
              <w:wordWrap/>
              <w:overflowPunct/>
              <w:topLinePunct w:val="0"/>
              <w:autoSpaceDE w:val="0"/>
              <w:autoSpaceDN w:val="0"/>
              <w:bidi w:val="0"/>
              <w:adjustRightInd w:val="0"/>
              <w:snapToGrid w:val="0"/>
              <w:spacing w:line="256" w:lineRule="auto"/>
              <w:textAlignment w:val="baseline"/>
              <w:outlineLvl w:val="9"/>
              <w:rPr>
                <w:rFonts w:hint="eastAsia" w:ascii="仿宋" w:hAnsi="仿宋" w:eastAsia="仿宋" w:cs="仿宋"/>
                <w:color w:val="auto"/>
                <w:sz w:val="24"/>
                <w:szCs w:val="24"/>
                <w:highlight w:val="none"/>
              </w:rPr>
            </w:pPr>
          </w:p>
          <w:p w14:paraId="1A881B44">
            <w:pPr>
              <w:pStyle w:val="28"/>
              <w:keepNext w:val="0"/>
              <w:keepLines w:val="0"/>
              <w:pageBreakBefore w:val="0"/>
              <w:widowControl/>
              <w:shd w:val="clear"/>
              <w:kinsoku w:val="0"/>
              <w:wordWrap/>
              <w:overflowPunct/>
              <w:topLinePunct w:val="0"/>
              <w:autoSpaceDE w:val="0"/>
              <w:autoSpaceDN w:val="0"/>
              <w:bidi w:val="0"/>
              <w:adjustRightInd w:val="0"/>
              <w:snapToGrid w:val="0"/>
              <w:spacing w:before="65" w:line="228" w:lineRule="auto"/>
              <w:ind w:left="4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经营范围</w:t>
            </w:r>
          </w:p>
        </w:tc>
        <w:tc>
          <w:tcPr>
            <w:tcW w:w="7020" w:type="dxa"/>
            <w:gridSpan w:val="9"/>
            <w:vAlign w:val="top"/>
          </w:tcPr>
          <w:p w14:paraId="0774149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361B3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30" w:type="dxa"/>
            <w:vAlign w:val="top"/>
          </w:tcPr>
          <w:p w14:paraId="7CB9D8C2">
            <w:pPr>
              <w:pStyle w:val="28"/>
              <w:keepNext w:val="0"/>
              <w:keepLines w:val="0"/>
              <w:pageBreakBefore w:val="0"/>
              <w:widowControl/>
              <w:shd w:val="clear"/>
              <w:kinsoku w:val="0"/>
              <w:wordWrap/>
              <w:overflowPunct/>
              <w:topLinePunct w:val="0"/>
              <w:autoSpaceDE w:val="0"/>
              <w:autoSpaceDN w:val="0"/>
              <w:bidi w:val="0"/>
              <w:adjustRightInd w:val="0"/>
              <w:snapToGrid w:val="0"/>
              <w:spacing w:before="182" w:line="229" w:lineRule="auto"/>
              <w:ind w:left="6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备注</w:t>
            </w:r>
          </w:p>
        </w:tc>
        <w:tc>
          <w:tcPr>
            <w:tcW w:w="7020" w:type="dxa"/>
            <w:gridSpan w:val="9"/>
            <w:vAlign w:val="top"/>
          </w:tcPr>
          <w:p w14:paraId="2ADE06B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bl>
    <w:p w14:paraId="700E0AA0">
      <w:pPr>
        <w:pStyle w:val="2"/>
        <w:keepNext w:val="0"/>
        <w:keepLines w:val="0"/>
        <w:pageBreakBefore w:val="0"/>
        <w:widowControl/>
        <w:shd w:val="clear"/>
        <w:kinsoku w:val="0"/>
        <w:wordWrap/>
        <w:overflowPunct/>
        <w:topLinePunct w:val="0"/>
        <w:autoSpaceDE w:val="0"/>
        <w:autoSpaceDN w:val="0"/>
        <w:bidi w:val="0"/>
        <w:adjustRightInd w:val="0"/>
        <w:snapToGrid w:val="0"/>
        <w:spacing w:before="172" w:line="227" w:lineRule="auto"/>
        <w:jc w:val="center"/>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8"/>
          <w:sz w:val="24"/>
          <w:szCs w:val="24"/>
          <w:highlight w:val="none"/>
        </w:rPr>
        <w:t>备注：本表后应附合格有效的企业法人营业执照、企业资质</w:t>
      </w:r>
      <w:r>
        <w:rPr>
          <w:rFonts w:hint="eastAsia" w:ascii="仿宋" w:hAnsi="仿宋" w:eastAsia="仿宋" w:cs="仿宋"/>
          <w:b/>
          <w:bCs/>
          <w:color w:val="auto"/>
          <w:spacing w:val="7"/>
          <w:sz w:val="24"/>
          <w:szCs w:val="24"/>
          <w:highlight w:val="none"/>
        </w:rPr>
        <w:t>证书、安全生产许可证等材料的复印件。</w:t>
      </w:r>
    </w:p>
    <w:p w14:paraId="153E2353">
      <w:pPr>
        <w:keepNext w:val="0"/>
        <w:keepLines w:val="0"/>
        <w:pageBreakBefore w:val="0"/>
        <w:widowControl/>
        <w:shd w:val="clear"/>
        <w:kinsoku w:val="0"/>
        <w:wordWrap/>
        <w:overflowPunct/>
        <w:topLinePunct w:val="0"/>
        <w:autoSpaceDE w:val="0"/>
        <w:autoSpaceDN w:val="0"/>
        <w:bidi w:val="0"/>
        <w:adjustRightInd w:val="0"/>
        <w:snapToGrid w:val="0"/>
        <w:spacing w:line="297" w:lineRule="auto"/>
        <w:textAlignment w:val="baseline"/>
        <w:outlineLvl w:val="9"/>
        <w:rPr>
          <w:rFonts w:hint="eastAsia" w:ascii="仿宋" w:hAnsi="仿宋" w:eastAsia="仿宋" w:cs="仿宋"/>
          <w:color w:val="auto"/>
          <w:sz w:val="24"/>
          <w:szCs w:val="24"/>
          <w:highlight w:val="none"/>
        </w:rPr>
      </w:pPr>
    </w:p>
    <w:p w14:paraId="44374366">
      <w:pPr>
        <w:keepNext w:val="0"/>
        <w:keepLines w:val="0"/>
        <w:pageBreakBefore w:val="0"/>
        <w:widowControl/>
        <w:shd w:val="clear"/>
        <w:kinsoku w:val="0"/>
        <w:wordWrap/>
        <w:overflowPunct/>
        <w:topLinePunct w:val="0"/>
        <w:autoSpaceDE w:val="0"/>
        <w:autoSpaceDN w:val="0"/>
        <w:bidi w:val="0"/>
        <w:adjustRightInd w:val="0"/>
        <w:snapToGrid w:val="0"/>
        <w:spacing w:line="297" w:lineRule="auto"/>
        <w:textAlignment w:val="baseline"/>
        <w:outlineLvl w:val="9"/>
        <w:rPr>
          <w:rFonts w:hint="eastAsia" w:ascii="仿宋" w:hAnsi="仿宋" w:eastAsia="仿宋" w:cs="仿宋"/>
          <w:color w:val="auto"/>
          <w:sz w:val="24"/>
          <w:szCs w:val="24"/>
          <w:highlight w:val="none"/>
        </w:rPr>
      </w:pPr>
    </w:p>
    <w:p w14:paraId="68971DB3">
      <w:pPr>
        <w:keepNext w:val="0"/>
        <w:keepLines w:val="0"/>
        <w:pageBreakBefore w:val="0"/>
        <w:widowControl/>
        <w:shd w:val="clear"/>
        <w:kinsoku w:val="0"/>
        <w:wordWrap/>
        <w:overflowPunct/>
        <w:topLinePunct w:val="0"/>
        <w:autoSpaceDE w:val="0"/>
        <w:autoSpaceDN w:val="0"/>
        <w:bidi w:val="0"/>
        <w:adjustRightInd w:val="0"/>
        <w:snapToGrid w:val="0"/>
        <w:spacing w:line="298" w:lineRule="auto"/>
        <w:textAlignment w:val="baseline"/>
        <w:outlineLvl w:val="9"/>
        <w:rPr>
          <w:rFonts w:hint="eastAsia" w:ascii="仿宋" w:hAnsi="仿宋" w:eastAsia="仿宋" w:cs="仿宋"/>
          <w:color w:val="auto"/>
          <w:sz w:val="24"/>
          <w:szCs w:val="24"/>
          <w:highlight w:val="none"/>
        </w:rPr>
      </w:pPr>
    </w:p>
    <w:p w14:paraId="5119F339">
      <w:pPr>
        <w:pStyle w:val="2"/>
        <w:keepNext w:val="0"/>
        <w:keepLines w:val="0"/>
        <w:pageBreakBefore w:val="0"/>
        <w:widowControl/>
        <w:numPr>
          <w:ilvl w:val="0"/>
          <w:numId w:val="7"/>
        </w:numPr>
        <w:shd w:val="clear"/>
        <w:kinsoku w:val="0"/>
        <w:wordWrap/>
        <w:overflowPunct/>
        <w:topLinePunct w:val="0"/>
        <w:autoSpaceDE w:val="0"/>
        <w:autoSpaceDN w:val="0"/>
        <w:bidi w:val="0"/>
        <w:adjustRightInd w:val="0"/>
        <w:snapToGrid w:val="0"/>
        <w:spacing w:before="65" w:line="228" w:lineRule="auto"/>
        <w:ind w:left="7"/>
        <w:textAlignment w:val="baseline"/>
        <w:outlineLvl w:val="9"/>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近年财务状况表</w:t>
      </w:r>
    </w:p>
    <w:p w14:paraId="1FA4E9E0">
      <w:pPr>
        <w:pStyle w:val="2"/>
        <w:keepNext w:val="0"/>
        <w:keepLines w:val="0"/>
        <w:pageBreakBefore w:val="0"/>
        <w:widowControl/>
        <w:shd w:val="clear"/>
        <w:kinsoku w:val="0"/>
        <w:wordWrap/>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良好的商业信誉和健全的财务会计制度证明材料（会计事务所出具的 2023 年或2024年的年度财务审计报告书；注册成立未满一年新公司可提供近三个月内任意一个月的银行资信证明）；</w:t>
      </w:r>
    </w:p>
    <w:p w14:paraId="00D27F34">
      <w:pPr>
        <w:keepNext w:val="0"/>
        <w:keepLines w:val="0"/>
        <w:pageBreakBefore w:val="0"/>
        <w:widowControl/>
        <w:shd w:val="clear"/>
        <w:kinsoku w:val="0"/>
        <w:wordWrap/>
        <w:overflowPunct/>
        <w:topLinePunct w:val="0"/>
        <w:autoSpaceDE w:val="0"/>
        <w:autoSpaceDN w:val="0"/>
        <w:bidi w:val="0"/>
        <w:adjustRightInd w:val="0"/>
        <w:snapToGrid w:val="0"/>
        <w:spacing w:line="260" w:lineRule="auto"/>
        <w:ind w:firstLine="512" w:firstLineChars="200"/>
        <w:textAlignment w:val="baseline"/>
        <w:outlineLvl w:val="9"/>
        <w:rPr>
          <w:rFonts w:hint="eastAsia" w:ascii="仿宋" w:hAnsi="仿宋" w:eastAsia="仿宋" w:cs="仿宋"/>
          <w:snapToGrid w:val="0"/>
          <w:color w:val="auto"/>
          <w:spacing w:val="8"/>
          <w:kern w:val="0"/>
          <w:sz w:val="24"/>
          <w:szCs w:val="24"/>
          <w:highlight w:val="green"/>
          <w:lang w:val="en-US" w:eastAsia="en-US" w:bidi="ar-SA"/>
        </w:rPr>
      </w:pPr>
    </w:p>
    <w:p w14:paraId="1E22ED57">
      <w:pPr>
        <w:keepNext w:val="0"/>
        <w:keepLines w:val="0"/>
        <w:pageBreakBefore w:val="0"/>
        <w:widowControl/>
        <w:shd w:val="clear"/>
        <w:kinsoku w:val="0"/>
        <w:wordWrap/>
        <w:overflowPunct/>
        <w:topLinePunct w:val="0"/>
        <w:autoSpaceDE w:val="0"/>
        <w:autoSpaceDN w:val="0"/>
        <w:bidi w:val="0"/>
        <w:adjustRightInd w:val="0"/>
        <w:snapToGrid w:val="0"/>
        <w:spacing w:line="260" w:lineRule="auto"/>
        <w:textAlignment w:val="baseline"/>
        <w:outlineLvl w:val="9"/>
        <w:rPr>
          <w:rFonts w:hint="eastAsia" w:ascii="仿宋" w:hAnsi="仿宋" w:eastAsia="仿宋" w:cs="仿宋"/>
          <w:color w:val="auto"/>
          <w:sz w:val="24"/>
          <w:szCs w:val="24"/>
          <w:highlight w:val="none"/>
        </w:rPr>
      </w:pPr>
    </w:p>
    <w:p w14:paraId="18E29E02">
      <w:pPr>
        <w:pStyle w:val="2"/>
        <w:keepNext w:val="0"/>
        <w:keepLines w:val="0"/>
        <w:pageBreakBefore w:val="0"/>
        <w:widowControl/>
        <w:shd w:val="clear"/>
        <w:kinsoku w:val="0"/>
        <w:wordWrap/>
        <w:overflowPunct/>
        <w:topLinePunct w:val="0"/>
        <w:autoSpaceDE w:val="0"/>
        <w:autoSpaceDN w:val="0"/>
        <w:bidi w:val="0"/>
        <w:adjustRightInd w:val="0"/>
        <w:snapToGrid w:val="0"/>
        <w:spacing w:before="65" w:line="228" w:lineRule="auto"/>
        <w:ind w:left="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（三）近3年完成的类似项目情况表</w:t>
      </w:r>
    </w:p>
    <w:p w14:paraId="15C26D7A">
      <w:pPr>
        <w:keepNext w:val="0"/>
        <w:keepLines w:val="0"/>
        <w:pageBreakBefore w:val="0"/>
        <w:widowControl/>
        <w:shd w:val="clear"/>
        <w:kinsoku w:val="0"/>
        <w:wordWrap/>
        <w:overflowPunct/>
        <w:topLinePunct w:val="0"/>
        <w:autoSpaceDE w:val="0"/>
        <w:autoSpaceDN w:val="0"/>
        <w:bidi w:val="0"/>
        <w:adjustRightInd w:val="0"/>
        <w:snapToGrid w:val="0"/>
        <w:spacing w:line="243" w:lineRule="auto"/>
        <w:textAlignment w:val="baseline"/>
        <w:outlineLvl w:val="9"/>
        <w:rPr>
          <w:rFonts w:hint="eastAsia" w:ascii="仿宋" w:hAnsi="仿宋" w:eastAsia="仿宋" w:cs="仿宋"/>
          <w:color w:val="auto"/>
          <w:sz w:val="24"/>
          <w:szCs w:val="24"/>
          <w:highlight w:val="none"/>
        </w:rPr>
      </w:pPr>
    </w:p>
    <w:p w14:paraId="5F3B2E4D">
      <w:pPr>
        <w:keepNext w:val="0"/>
        <w:keepLines w:val="0"/>
        <w:pageBreakBefore w:val="0"/>
        <w:widowControl/>
        <w:shd w:val="clear"/>
        <w:kinsoku w:val="0"/>
        <w:wordWrap/>
        <w:overflowPunct/>
        <w:topLinePunct w:val="0"/>
        <w:autoSpaceDE w:val="0"/>
        <w:autoSpaceDN w:val="0"/>
        <w:bidi w:val="0"/>
        <w:adjustRightInd w:val="0"/>
        <w:snapToGrid w:val="0"/>
        <w:spacing w:line="243" w:lineRule="auto"/>
        <w:textAlignment w:val="baseline"/>
        <w:outlineLvl w:val="9"/>
        <w:rPr>
          <w:rFonts w:hint="eastAsia" w:ascii="仿宋" w:hAnsi="仿宋" w:eastAsia="仿宋" w:cs="仿宋"/>
          <w:color w:val="auto"/>
          <w:sz w:val="24"/>
          <w:szCs w:val="24"/>
          <w:highlight w:val="none"/>
        </w:rPr>
      </w:pPr>
    </w:p>
    <w:p w14:paraId="03E66EEE">
      <w:pPr>
        <w:pStyle w:val="2"/>
        <w:keepNext w:val="0"/>
        <w:keepLines w:val="0"/>
        <w:pageBreakBefore w:val="0"/>
        <w:widowControl/>
        <w:shd w:val="clear"/>
        <w:kinsoku w:val="0"/>
        <w:wordWrap/>
        <w:overflowPunct/>
        <w:topLinePunct w:val="0"/>
        <w:autoSpaceDE w:val="0"/>
        <w:autoSpaceDN w:val="0"/>
        <w:bidi w:val="0"/>
        <w:adjustRightInd w:val="0"/>
        <w:snapToGrid w:val="0"/>
        <w:spacing w:before="65" w:line="228" w:lineRule="auto"/>
        <w:ind w:left="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（四）正在施工的和新承建的项目情况表</w:t>
      </w:r>
    </w:p>
    <w:p w14:paraId="3E9A3BE7">
      <w:pPr>
        <w:keepNext w:val="0"/>
        <w:keepLines w:val="0"/>
        <w:pageBreakBefore w:val="0"/>
        <w:widowControl/>
        <w:shd w:val="clear"/>
        <w:kinsoku w:val="0"/>
        <w:wordWrap/>
        <w:overflowPunct/>
        <w:topLinePunct w:val="0"/>
        <w:autoSpaceDE w:val="0"/>
        <w:autoSpaceDN w:val="0"/>
        <w:bidi w:val="0"/>
        <w:adjustRightInd w:val="0"/>
        <w:snapToGrid w:val="0"/>
        <w:spacing w:line="242" w:lineRule="auto"/>
        <w:textAlignment w:val="baseline"/>
        <w:outlineLvl w:val="9"/>
        <w:rPr>
          <w:rFonts w:hint="eastAsia" w:ascii="仿宋" w:hAnsi="仿宋" w:eastAsia="仿宋" w:cs="仿宋"/>
          <w:color w:val="auto"/>
          <w:sz w:val="24"/>
          <w:szCs w:val="24"/>
          <w:highlight w:val="none"/>
        </w:rPr>
      </w:pPr>
    </w:p>
    <w:p w14:paraId="27305AD4">
      <w:pPr>
        <w:keepNext w:val="0"/>
        <w:keepLines w:val="0"/>
        <w:pageBreakBefore w:val="0"/>
        <w:widowControl/>
        <w:shd w:val="clear"/>
        <w:kinsoku w:val="0"/>
        <w:wordWrap/>
        <w:overflowPunct/>
        <w:topLinePunct w:val="0"/>
        <w:autoSpaceDE w:val="0"/>
        <w:autoSpaceDN w:val="0"/>
        <w:bidi w:val="0"/>
        <w:adjustRightInd w:val="0"/>
        <w:snapToGrid w:val="0"/>
        <w:spacing w:line="242" w:lineRule="auto"/>
        <w:textAlignment w:val="baseline"/>
        <w:outlineLvl w:val="9"/>
        <w:rPr>
          <w:rFonts w:hint="eastAsia" w:ascii="仿宋" w:hAnsi="仿宋" w:eastAsia="仿宋" w:cs="仿宋"/>
          <w:color w:val="auto"/>
          <w:sz w:val="24"/>
          <w:szCs w:val="24"/>
          <w:highlight w:val="none"/>
        </w:rPr>
      </w:pPr>
    </w:p>
    <w:p w14:paraId="3B315977">
      <w:pPr>
        <w:pStyle w:val="2"/>
        <w:keepNext w:val="0"/>
        <w:keepLines w:val="0"/>
        <w:pageBreakBefore w:val="0"/>
        <w:widowControl/>
        <w:shd w:val="clear"/>
        <w:kinsoku w:val="0"/>
        <w:wordWrap/>
        <w:overflowPunct/>
        <w:topLinePunct w:val="0"/>
        <w:autoSpaceDE w:val="0"/>
        <w:autoSpaceDN w:val="0"/>
        <w:bidi w:val="0"/>
        <w:adjustRightInd w:val="0"/>
        <w:snapToGrid w:val="0"/>
        <w:spacing w:before="65" w:line="228" w:lineRule="auto"/>
        <w:ind w:left="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（五）近3年发生的诉讼及仲裁情况</w:t>
      </w:r>
    </w:p>
    <w:p w14:paraId="57BDFD97">
      <w:pPr>
        <w:pStyle w:val="2"/>
        <w:keepNext w:val="0"/>
        <w:keepLines w:val="0"/>
        <w:pageBreakBefore w:val="0"/>
        <w:widowControl/>
        <w:shd w:val="clear"/>
        <w:kinsoku w:val="0"/>
        <w:wordWrap/>
        <w:overflowPunct/>
        <w:topLinePunct w:val="0"/>
        <w:autoSpaceDE w:val="0"/>
        <w:autoSpaceDN w:val="0"/>
        <w:bidi w:val="0"/>
        <w:adjustRightInd w:val="0"/>
        <w:snapToGrid w:val="0"/>
        <w:spacing w:before="185" w:line="439" w:lineRule="exact"/>
        <w:ind w:left="2"/>
        <w:textAlignment w:val="baseline"/>
        <w:outlineLvl w:val="9"/>
        <w:rPr>
          <w:rFonts w:hint="eastAsia" w:ascii="仿宋" w:hAnsi="仿宋" w:eastAsia="仿宋" w:cs="仿宋"/>
          <w:color w:val="auto"/>
          <w:spacing w:val="10"/>
          <w:position w:val="17"/>
          <w:sz w:val="24"/>
          <w:szCs w:val="24"/>
          <w:highlight w:val="none"/>
        </w:rPr>
      </w:pPr>
      <w:r>
        <w:rPr>
          <w:rFonts w:hint="eastAsia" w:ascii="仿宋" w:hAnsi="仿宋" w:eastAsia="仿宋" w:cs="仿宋"/>
          <w:color w:val="auto"/>
          <w:spacing w:val="10"/>
          <w:position w:val="17"/>
          <w:sz w:val="24"/>
          <w:szCs w:val="24"/>
          <w:highlight w:val="none"/>
        </w:rPr>
        <w:t>说明：近年发生的诉讼和仲裁情况仅限于投标人败诉的，且与履行施工承包合同有关的案件，不包括调解结案以及未裁决的仲裁或未终审判决的诉讼。</w:t>
      </w:r>
    </w:p>
    <w:p w14:paraId="133381E1">
      <w:pPr>
        <w:keepNext w:val="0"/>
        <w:keepLines w:val="0"/>
        <w:pageBreakBefore w:val="0"/>
        <w:widowControl/>
        <w:shd w:val="clear"/>
        <w:kinsoku w:val="0"/>
        <w:wordWrap/>
        <w:overflowPunct/>
        <w:topLinePunct w:val="0"/>
        <w:autoSpaceDE w:val="0"/>
        <w:autoSpaceDN w:val="0"/>
        <w:bidi w:val="0"/>
        <w:adjustRightInd w:val="0"/>
        <w:snapToGrid w:val="0"/>
        <w:spacing w:line="290" w:lineRule="auto"/>
        <w:textAlignment w:val="baseline"/>
        <w:outlineLvl w:val="9"/>
        <w:rPr>
          <w:rFonts w:hint="eastAsia" w:ascii="仿宋" w:hAnsi="仿宋" w:eastAsia="仿宋" w:cs="仿宋"/>
          <w:color w:val="auto"/>
          <w:sz w:val="24"/>
          <w:szCs w:val="24"/>
          <w:highlight w:val="none"/>
        </w:rPr>
      </w:pPr>
    </w:p>
    <w:p w14:paraId="1600CEA9">
      <w:pPr>
        <w:pStyle w:val="2"/>
        <w:keepNext w:val="0"/>
        <w:keepLines w:val="0"/>
        <w:pageBreakBefore w:val="0"/>
        <w:widowControl/>
        <w:shd w:val="clear"/>
        <w:kinsoku w:val="0"/>
        <w:wordWrap/>
        <w:overflowPunct/>
        <w:topLinePunct w:val="0"/>
        <w:autoSpaceDE w:val="0"/>
        <w:autoSpaceDN w:val="0"/>
        <w:bidi w:val="0"/>
        <w:adjustRightInd w:val="0"/>
        <w:snapToGrid w:val="0"/>
        <w:spacing w:before="65" w:line="227" w:lineRule="auto"/>
        <w:ind w:left="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（六）企业其他信誉情况表</w:t>
      </w:r>
    </w:p>
    <w:p w14:paraId="28899AFB">
      <w:pPr>
        <w:keepNext w:val="0"/>
        <w:keepLines w:val="0"/>
        <w:pageBreakBefore w:val="0"/>
        <w:widowControl/>
        <w:shd w:val="clear"/>
        <w:kinsoku w:val="0"/>
        <w:wordWrap/>
        <w:overflowPunct/>
        <w:topLinePunct w:val="0"/>
        <w:autoSpaceDE w:val="0"/>
        <w:autoSpaceDN w:val="0"/>
        <w:bidi w:val="0"/>
        <w:adjustRightInd w:val="0"/>
        <w:snapToGrid w:val="0"/>
        <w:spacing w:line="284" w:lineRule="auto"/>
        <w:textAlignment w:val="baseline"/>
        <w:outlineLvl w:val="9"/>
        <w:rPr>
          <w:rFonts w:hint="eastAsia" w:ascii="仿宋" w:hAnsi="仿宋" w:eastAsia="仿宋" w:cs="仿宋"/>
          <w:color w:val="auto"/>
          <w:sz w:val="24"/>
          <w:szCs w:val="24"/>
          <w:highlight w:val="none"/>
        </w:rPr>
      </w:pPr>
    </w:p>
    <w:p w14:paraId="06091CB7">
      <w:pPr>
        <w:pStyle w:val="2"/>
        <w:keepNext w:val="0"/>
        <w:keepLines w:val="0"/>
        <w:pageBreakBefore w:val="0"/>
        <w:widowControl/>
        <w:shd w:val="clear"/>
        <w:kinsoku w:val="0"/>
        <w:wordWrap/>
        <w:overflowPunct/>
        <w:topLinePunct w:val="0"/>
        <w:autoSpaceDE w:val="0"/>
        <w:autoSpaceDN w:val="0"/>
        <w:bidi w:val="0"/>
        <w:adjustRightInd w:val="0"/>
        <w:snapToGrid w:val="0"/>
        <w:spacing w:before="65" w:line="228" w:lineRule="auto"/>
        <w:ind w:left="2942"/>
        <w:textAlignment w:val="baseline"/>
        <w:outlineLvl w:val="9"/>
        <w:rPr>
          <w:rFonts w:hint="eastAsia" w:ascii="仿宋" w:hAnsi="仿宋" w:eastAsia="仿宋" w:cs="仿宋"/>
          <w:color w:val="auto"/>
          <w:sz w:val="24"/>
          <w:szCs w:val="24"/>
          <w:highlight w:val="none"/>
        </w:rPr>
      </w:pPr>
      <w:bookmarkStart w:id="382" w:name="_Toc5882"/>
      <w:r>
        <w:rPr>
          <w:rFonts w:hint="eastAsia" w:ascii="仿宋" w:hAnsi="仿宋" w:eastAsia="仿宋" w:cs="仿宋"/>
          <w:b/>
          <w:bCs/>
          <w:color w:val="auto"/>
          <w:spacing w:val="6"/>
          <w:sz w:val="24"/>
          <w:szCs w:val="24"/>
          <w:highlight w:val="none"/>
        </w:rPr>
        <w:t>（年份要求同诉讼及仲裁情况年份要求）</w:t>
      </w:r>
      <w:bookmarkEnd w:id="382"/>
    </w:p>
    <w:p w14:paraId="1236EF97">
      <w:pPr>
        <w:keepNext w:val="0"/>
        <w:keepLines w:val="0"/>
        <w:pageBreakBefore w:val="0"/>
        <w:widowControl/>
        <w:shd w:val="clear"/>
        <w:kinsoku w:val="0"/>
        <w:wordWrap/>
        <w:overflowPunct/>
        <w:topLinePunct w:val="0"/>
        <w:autoSpaceDE w:val="0"/>
        <w:autoSpaceDN w:val="0"/>
        <w:bidi w:val="0"/>
        <w:adjustRightInd w:val="0"/>
        <w:snapToGrid w:val="0"/>
        <w:spacing w:line="291" w:lineRule="auto"/>
        <w:textAlignment w:val="baseline"/>
        <w:outlineLvl w:val="9"/>
        <w:rPr>
          <w:rFonts w:hint="eastAsia" w:ascii="仿宋" w:hAnsi="仿宋" w:eastAsia="仿宋" w:cs="仿宋"/>
          <w:color w:val="auto"/>
          <w:sz w:val="24"/>
          <w:szCs w:val="24"/>
          <w:highlight w:val="none"/>
        </w:rPr>
      </w:pPr>
    </w:p>
    <w:p w14:paraId="089133B7">
      <w:pPr>
        <w:pStyle w:val="2"/>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近年企业不良行为记录情况</w:t>
      </w:r>
    </w:p>
    <w:p w14:paraId="05197D16">
      <w:pPr>
        <w:keepNext w:val="0"/>
        <w:keepLines w:val="0"/>
        <w:pageBreakBefore w:val="0"/>
        <w:widowControl/>
        <w:shd w:val="clear"/>
        <w:kinsoku w:val="0"/>
        <w:wordWrap/>
        <w:overflowPunct/>
        <w:topLinePunct w:val="0"/>
        <w:autoSpaceDE w:val="0"/>
        <w:autoSpaceDN w:val="0"/>
        <w:bidi w:val="0"/>
        <w:adjustRightInd w:val="0"/>
        <w:snapToGrid w:val="0"/>
        <w:spacing w:line="251" w:lineRule="auto"/>
        <w:textAlignment w:val="baseline"/>
        <w:outlineLvl w:val="9"/>
        <w:rPr>
          <w:rFonts w:hint="eastAsia" w:ascii="仿宋" w:hAnsi="仿宋" w:eastAsia="仿宋" w:cs="仿宋"/>
          <w:color w:val="auto"/>
          <w:sz w:val="24"/>
          <w:szCs w:val="24"/>
          <w:highlight w:val="none"/>
        </w:rPr>
      </w:pPr>
    </w:p>
    <w:p w14:paraId="7EEF5FB3">
      <w:pPr>
        <w:pStyle w:val="2"/>
        <w:keepNext w:val="0"/>
        <w:keepLines w:val="0"/>
        <w:pageBreakBefore w:val="0"/>
        <w:widowControl/>
        <w:shd w:val="clear"/>
        <w:kinsoku w:val="0"/>
        <w:wordWrap/>
        <w:overflowPunct/>
        <w:topLinePunct w:val="0"/>
        <w:autoSpaceDE w:val="0"/>
        <w:autoSpaceDN w:val="0"/>
        <w:bidi w:val="0"/>
        <w:adjustRightInd w:val="0"/>
        <w:snapToGrid w:val="0"/>
        <w:spacing w:before="66" w:line="228" w:lineRule="auto"/>
        <w:ind w:left="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2）  在施工程以及近年已竣工工程合同履行情况</w:t>
      </w:r>
    </w:p>
    <w:p w14:paraId="3414F1C1">
      <w:pPr>
        <w:keepNext w:val="0"/>
        <w:keepLines w:val="0"/>
        <w:pageBreakBefore w:val="0"/>
        <w:widowControl/>
        <w:shd w:val="clear"/>
        <w:kinsoku w:val="0"/>
        <w:wordWrap/>
        <w:overflowPunct/>
        <w:topLinePunct w:val="0"/>
        <w:autoSpaceDE w:val="0"/>
        <w:autoSpaceDN w:val="0"/>
        <w:bidi w:val="0"/>
        <w:adjustRightInd w:val="0"/>
        <w:snapToGrid w:val="0"/>
        <w:spacing w:line="251" w:lineRule="auto"/>
        <w:textAlignment w:val="baseline"/>
        <w:outlineLvl w:val="9"/>
        <w:rPr>
          <w:rFonts w:hint="eastAsia" w:ascii="仿宋" w:hAnsi="仿宋" w:eastAsia="仿宋" w:cs="仿宋"/>
          <w:color w:val="auto"/>
          <w:sz w:val="24"/>
          <w:szCs w:val="24"/>
          <w:highlight w:val="none"/>
        </w:rPr>
      </w:pPr>
    </w:p>
    <w:p w14:paraId="1D9F2F78">
      <w:pPr>
        <w:pStyle w:val="2"/>
        <w:keepNext w:val="0"/>
        <w:keepLines w:val="0"/>
        <w:pageBreakBefore w:val="0"/>
        <w:widowControl/>
        <w:shd w:val="clear"/>
        <w:kinsoku w:val="0"/>
        <w:wordWrap/>
        <w:overflowPunct/>
        <w:topLinePunct w:val="0"/>
        <w:autoSpaceDE w:val="0"/>
        <w:autoSpaceDN w:val="0"/>
        <w:bidi w:val="0"/>
        <w:adjustRightInd w:val="0"/>
        <w:snapToGrid w:val="0"/>
        <w:spacing w:before="66" w:line="228" w:lineRule="auto"/>
        <w:ind w:left="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2"/>
          <w:sz w:val="24"/>
          <w:szCs w:val="24"/>
          <w:highlight w:val="none"/>
        </w:rPr>
        <w:t>其</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2"/>
          <w:sz w:val="24"/>
          <w:szCs w:val="24"/>
          <w:highlight w:val="none"/>
        </w:rPr>
        <w:t>他</w:t>
      </w:r>
    </w:p>
    <w:p w14:paraId="72CE6DE3">
      <w:pPr>
        <w:keepNext w:val="0"/>
        <w:keepLines w:val="0"/>
        <w:pageBreakBefore w:val="0"/>
        <w:widowControl/>
        <w:shd w:val="clear"/>
        <w:kinsoku w:val="0"/>
        <w:wordWrap/>
        <w:overflowPunct/>
        <w:topLinePunct w:val="0"/>
        <w:autoSpaceDE w:val="0"/>
        <w:autoSpaceDN w:val="0"/>
        <w:bidi w:val="0"/>
        <w:adjustRightInd w:val="0"/>
        <w:snapToGrid w:val="0"/>
        <w:spacing w:line="250" w:lineRule="auto"/>
        <w:textAlignment w:val="baseline"/>
        <w:outlineLvl w:val="9"/>
        <w:rPr>
          <w:rFonts w:hint="eastAsia" w:ascii="仿宋" w:hAnsi="仿宋" w:eastAsia="仿宋" w:cs="仿宋"/>
          <w:color w:val="auto"/>
          <w:sz w:val="24"/>
          <w:szCs w:val="24"/>
          <w:highlight w:val="none"/>
        </w:rPr>
      </w:pPr>
    </w:p>
    <w:p w14:paraId="5CB520AA">
      <w:pPr>
        <w:pStyle w:val="2"/>
        <w:keepNext w:val="0"/>
        <w:keepLines w:val="0"/>
        <w:pageBreakBefore w:val="0"/>
        <w:widowControl/>
        <w:shd w:val="clear"/>
        <w:kinsoku w:val="0"/>
        <w:wordWrap/>
        <w:overflowPunct/>
        <w:topLinePunct w:val="0"/>
        <w:autoSpaceDE w:val="0"/>
        <w:autoSpaceDN w:val="0"/>
        <w:bidi w:val="0"/>
        <w:adjustRightInd w:val="0"/>
        <w:snapToGrid w:val="0"/>
        <w:spacing w:before="185" w:line="439" w:lineRule="exact"/>
        <w:ind w:left="2"/>
        <w:textAlignment w:val="baseline"/>
        <w:outlineLvl w:val="9"/>
        <w:rPr>
          <w:rFonts w:hint="eastAsia" w:ascii="仿宋" w:hAnsi="仿宋" w:eastAsia="仿宋" w:cs="仿宋"/>
          <w:color w:val="auto"/>
          <w:spacing w:val="10"/>
          <w:position w:val="17"/>
          <w:sz w:val="24"/>
          <w:szCs w:val="24"/>
          <w:highlight w:val="none"/>
        </w:rPr>
      </w:pPr>
      <w:r>
        <w:rPr>
          <w:rFonts w:hint="eastAsia" w:ascii="仿宋" w:hAnsi="仿宋" w:eastAsia="仿宋" w:cs="仿宋"/>
          <w:color w:val="auto"/>
          <w:spacing w:val="10"/>
          <w:position w:val="17"/>
          <w:sz w:val="24"/>
          <w:szCs w:val="24"/>
          <w:highlight w:val="none"/>
        </w:rPr>
        <w:t>备注：1、投标人自行对信誉良好，没有处于被责令停业、投标资格被取消、财产被接管、冻结、破产状态， 最近三年内没有骗取中标和严重违约的记录，未因不良记录被建设行政主管部门或财政部门暂停或取消资格进行说明或承诺，格式不限。</w:t>
      </w:r>
    </w:p>
    <w:p w14:paraId="4DEE0E9D">
      <w:pPr>
        <w:pStyle w:val="2"/>
        <w:keepNext w:val="0"/>
        <w:keepLines w:val="0"/>
        <w:pageBreakBefore w:val="0"/>
        <w:widowControl/>
        <w:shd w:val="clear"/>
        <w:kinsoku w:val="0"/>
        <w:wordWrap/>
        <w:overflowPunct/>
        <w:topLinePunct w:val="0"/>
        <w:autoSpaceDE w:val="0"/>
        <w:autoSpaceDN w:val="0"/>
        <w:bidi w:val="0"/>
        <w:adjustRightInd w:val="0"/>
        <w:snapToGrid w:val="0"/>
        <w:spacing w:before="185" w:line="439" w:lineRule="exact"/>
        <w:ind w:left="2"/>
        <w:textAlignment w:val="baseline"/>
        <w:outlineLvl w:val="9"/>
        <w:rPr>
          <w:rFonts w:hint="eastAsia" w:ascii="仿宋" w:hAnsi="仿宋" w:eastAsia="仿宋" w:cs="仿宋"/>
          <w:color w:val="auto"/>
          <w:spacing w:val="10"/>
          <w:position w:val="17"/>
          <w:sz w:val="24"/>
          <w:szCs w:val="24"/>
          <w:highlight w:val="none"/>
          <w:lang w:eastAsia="zh-CN"/>
        </w:rPr>
      </w:pPr>
      <w:r>
        <w:rPr>
          <w:rFonts w:hint="eastAsia" w:ascii="仿宋" w:hAnsi="仿宋" w:eastAsia="仿宋" w:cs="仿宋"/>
          <w:color w:val="auto"/>
          <w:spacing w:val="10"/>
          <w:position w:val="17"/>
          <w:sz w:val="24"/>
          <w:szCs w:val="24"/>
          <w:highlight w:val="none"/>
        </w:rPr>
        <w:t>2、投标人在“信用中国 ”网站未被列入失信被执行人、重大税收违法案件当事人名单，在中国政府采网  未被列入政府采购严重违法失信行为记录名单的。提供上述网页截图打印（打印日期需在公告发布之日起至投标截止时间止）并加盖公章</w:t>
      </w:r>
      <w:r>
        <w:rPr>
          <w:rFonts w:hint="eastAsia" w:ascii="仿宋" w:hAnsi="仿宋" w:eastAsia="仿宋" w:cs="仿宋"/>
          <w:color w:val="auto"/>
          <w:spacing w:val="10"/>
          <w:position w:val="17"/>
          <w:sz w:val="24"/>
          <w:szCs w:val="24"/>
          <w:highlight w:val="none"/>
          <w:lang w:eastAsia="zh-CN"/>
        </w:rPr>
        <w:t>。</w:t>
      </w:r>
      <w:bookmarkStart w:id="383" w:name="_Toc10002"/>
      <w:bookmarkStart w:id="384" w:name="_Toc12468"/>
    </w:p>
    <w:p w14:paraId="52F382DC">
      <w:pPr>
        <w:pStyle w:val="2"/>
        <w:keepNext w:val="0"/>
        <w:keepLines w:val="0"/>
        <w:pageBreakBefore w:val="0"/>
        <w:widowControl/>
        <w:shd w:val="clear"/>
        <w:kinsoku w:val="0"/>
        <w:wordWrap/>
        <w:overflowPunct/>
        <w:topLinePunct w:val="0"/>
        <w:autoSpaceDE w:val="0"/>
        <w:autoSpaceDN w:val="0"/>
        <w:bidi w:val="0"/>
        <w:adjustRightInd w:val="0"/>
        <w:snapToGrid w:val="0"/>
        <w:spacing w:before="185" w:line="439" w:lineRule="exact"/>
        <w:ind w:left="2" w:firstLine="1606" w:firstLineChars="500"/>
        <w:textAlignment w:val="baseline"/>
        <w:outlineLvl w:val="9"/>
        <w:rPr>
          <w:rFonts w:hint="eastAsia" w:ascii="仿宋" w:hAnsi="仿宋" w:eastAsia="仿宋" w:cs="仿宋"/>
          <w:b/>
          <w:color w:val="auto"/>
          <w:kern w:val="0"/>
          <w:sz w:val="32"/>
          <w:szCs w:val="32"/>
          <w:highlight w:val="none"/>
          <w:u w:val="none"/>
          <w:lang w:val="en-US" w:eastAsia="zh-CN" w:bidi="ar-SA"/>
        </w:rPr>
      </w:pPr>
      <w:r>
        <w:rPr>
          <w:rFonts w:hint="eastAsia" w:ascii="仿宋" w:hAnsi="仿宋" w:eastAsia="仿宋" w:cs="仿宋"/>
          <w:b/>
          <w:color w:val="auto"/>
          <w:kern w:val="0"/>
          <w:sz w:val="32"/>
          <w:szCs w:val="32"/>
          <w:highlight w:val="none"/>
          <w:u w:val="none"/>
          <w:lang w:val="en-US" w:eastAsia="zh-CN" w:bidi="ar-SA"/>
        </w:rPr>
        <w:t>7 已标价的工程量清单</w:t>
      </w:r>
      <w:bookmarkEnd w:id="383"/>
      <w:bookmarkEnd w:id="384"/>
    </w:p>
    <w:p w14:paraId="7CE97CA1">
      <w:pPr>
        <w:rPr>
          <w:rFonts w:hint="eastAsia"/>
        </w:rPr>
      </w:pPr>
    </w:p>
    <w:p w14:paraId="1B8F0849">
      <w:pPr>
        <w:pStyle w:val="7"/>
        <w:numPr>
          <w:ilvl w:val="0"/>
          <w:numId w:val="0"/>
        </w:numPr>
        <w:spacing w:line="360" w:lineRule="auto"/>
        <w:jc w:val="center"/>
        <w:rPr>
          <w:rFonts w:hint="eastAsia" w:ascii="仿宋" w:hAnsi="仿宋" w:eastAsia="仿宋" w:cs="仿宋"/>
          <w:b/>
          <w:bCs/>
          <w:sz w:val="28"/>
          <w:szCs w:val="28"/>
          <w:lang w:val="en-US" w:eastAsia="zh-CN"/>
        </w:rPr>
      </w:pPr>
      <w:bookmarkStart w:id="385" w:name="_Toc518923123"/>
      <w:bookmarkStart w:id="386" w:name="_Toc17066"/>
      <w:r>
        <w:rPr>
          <w:rFonts w:hint="eastAsia" w:ascii="仿宋" w:hAnsi="仿宋" w:eastAsia="仿宋" w:cs="仿宋"/>
          <w:b/>
          <w:color w:val="auto"/>
          <w:kern w:val="0"/>
          <w:sz w:val="28"/>
          <w:szCs w:val="28"/>
          <w:highlight w:val="none"/>
          <w:u w:val="none"/>
          <w:lang w:val="en-US" w:eastAsia="zh-CN" w:bidi="ar-SA"/>
        </w:rPr>
        <w:t xml:space="preserve">8 </w:t>
      </w:r>
      <w:r>
        <w:rPr>
          <w:rFonts w:hint="eastAsia" w:ascii="仿宋" w:hAnsi="仿宋" w:eastAsia="仿宋" w:cs="仿宋"/>
          <w:b/>
          <w:bCs/>
          <w:sz w:val="28"/>
          <w:szCs w:val="28"/>
        </w:rPr>
        <w:t>投标文件还应包括</w:t>
      </w:r>
      <w:r>
        <w:rPr>
          <w:rFonts w:hint="eastAsia" w:ascii="仿宋" w:hAnsi="仿宋" w:eastAsia="仿宋" w:cs="仿宋"/>
          <w:b/>
          <w:bCs/>
          <w:sz w:val="28"/>
          <w:szCs w:val="28"/>
          <w:lang w:val="en-US" w:eastAsia="zh-CN"/>
        </w:rPr>
        <w:t>项目需求中其他</w:t>
      </w:r>
      <w:r>
        <w:rPr>
          <w:rFonts w:hint="eastAsia" w:ascii="仿宋" w:hAnsi="仿宋" w:eastAsia="仿宋" w:cs="仿宋"/>
          <w:b/>
          <w:bCs/>
          <w:sz w:val="28"/>
          <w:szCs w:val="28"/>
        </w:rPr>
        <w:t>所有响应</w:t>
      </w:r>
      <w:bookmarkEnd w:id="385"/>
      <w:bookmarkEnd w:id="386"/>
      <w:r>
        <w:rPr>
          <w:rFonts w:hint="eastAsia" w:ascii="仿宋" w:hAnsi="仿宋" w:eastAsia="仿宋" w:cs="仿宋"/>
          <w:b/>
          <w:bCs/>
          <w:sz w:val="28"/>
          <w:szCs w:val="28"/>
          <w:lang w:val="en-US" w:eastAsia="zh-CN"/>
        </w:rPr>
        <w:t>内容</w:t>
      </w:r>
    </w:p>
    <w:p w14:paraId="0C471A95">
      <w:pPr>
        <w:rPr>
          <w:rFonts w:hint="eastAsia" w:ascii="仿宋" w:hAnsi="仿宋" w:eastAsia="仿宋" w:cs="仿宋"/>
          <w:sz w:val="24"/>
          <w:szCs w:val="24"/>
          <w:lang w:val="en-US" w:eastAsia="zh-CN"/>
        </w:rPr>
      </w:pPr>
    </w:p>
    <w:p w14:paraId="226A2E52">
      <w:pPr>
        <w:numPr>
          <w:ilvl w:val="0"/>
          <w:numId w:val="0"/>
        </w:numPr>
        <w:ind w:firstLine="1124" w:firstLineChars="400"/>
        <w:rPr>
          <w:rFonts w:hint="eastAsia" w:ascii="仿宋" w:hAnsi="仿宋" w:eastAsia="仿宋" w:cs="仿宋"/>
          <w:b/>
          <w:bCs/>
          <w:sz w:val="28"/>
          <w:szCs w:val="28"/>
          <w:lang w:val="en-US" w:eastAsia="zh-CN"/>
        </w:rPr>
      </w:pPr>
      <w:r>
        <w:rPr>
          <w:rFonts w:hint="eastAsia" w:ascii="仿宋" w:hAnsi="仿宋" w:eastAsia="仿宋" w:cs="仿宋"/>
          <w:b/>
          <w:bCs/>
          <w:kern w:val="0"/>
          <w:sz w:val="28"/>
          <w:szCs w:val="28"/>
          <w:lang w:val="en-US" w:eastAsia="zh-CN"/>
        </w:rPr>
        <w:t>注：包括综合评分法评分标准其他响应内容</w:t>
      </w:r>
    </w:p>
    <w:p w14:paraId="397EE89B">
      <w:pPr>
        <w:keepNext w:val="0"/>
        <w:keepLines w:val="0"/>
        <w:pageBreakBefore w:val="0"/>
        <w:widowControl w:val="0"/>
        <w:kinsoku/>
        <w:wordWrap/>
        <w:overflowPunct/>
        <w:topLinePunct w:val="0"/>
        <w:autoSpaceDE/>
        <w:autoSpaceDN/>
        <w:bidi w:val="0"/>
        <w:adjustRightInd/>
        <w:snapToGrid/>
        <w:spacing w:line="252" w:lineRule="auto"/>
        <w:jc w:val="center"/>
        <w:textAlignment w:val="auto"/>
        <w:outlineLvl w:val="9"/>
        <w:rPr>
          <w:rFonts w:hint="eastAsia" w:ascii="仿宋" w:hAnsi="仿宋" w:eastAsia="仿宋" w:cs="仿宋"/>
          <w:b/>
          <w:bCs/>
          <w:color w:val="auto"/>
          <w:spacing w:val="-4"/>
          <w:sz w:val="24"/>
          <w:szCs w:val="24"/>
          <w:highlight w:val="none"/>
          <w:lang w:eastAsia="zh-CN"/>
        </w:rPr>
      </w:pPr>
    </w:p>
    <w:p w14:paraId="3A875E8A">
      <w:pPr>
        <w:keepNext w:val="0"/>
        <w:keepLines w:val="0"/>
        <w:pageBreakBefore w:val="0"/>
        <w:widowControl w:val="0"/>
        <w:kinsoku/>
        <w:wordWrap/>
        <w:overflowPunct/>
        <w:topLinePunct w:val="0"/>
        <w:autoSpaceDE/>
        <w:autoSpaceDN/>
        <w:bidi w:val="0"/>
        <w:adjustRightInd/>
        <w:snapToGrid/>
        <w:spacing w:line="252" w:lineRule="auto"/>
        <w:jc w:val="center"/>
        <w:textAlignment w:val="auto"/>
        <w:outlineLvl w:val="9"/>
        <w:rPr>
          <w:rFonts w:hint="eastAsia" w:ascii="仿宋" w:hAnsi="仿宋" w:eastAsia="仿宋" w:cs="仿宋"/>
          <w:b/>
          <w:bCs/>
          <w:color w:val="auto"/>
          <w:spacing w:val="-4"/>
          <w:sz w:val="24"/>
          <w:szCs w:val="24"/>
          <w:highlight w:val="none"/>
          <w:lang w:eastAsia="zh-CN"/>
        </w:rPr>
      </w:pPr>
    </w:p>
    <w:p w14:paraId="554072BD">
      <w:pPr>
        <w:keepNext w:val="0"/>
        <w:keepLines w:val="0"/>
        <w:pageBreakBefore w:val="0"/>
        <w:widowControl w:val="0"/>
        <w:kinsoku/>
        <w:wordWrap/>
        <w:overflowPunct/>
        <w:topLinePunct w:val="0"/>
        <w:autoSpaceDE/>
        <w:autoSpaceDN/>
        <w:bidi w:val="0"/>
        <w:adjustRightInd/>
        <w:snapToGrid/>
        <w:spacing w:line="252" w:lineRule="auto"/>
        <w:jc w:val="center"/>
        <w:textAlignment w:val="auto"/>
        <w:outlineLvl w:val="9"/>
        <w:rPr>
          <w:rFonts w:hint="eastAsia" w:ascii="方正小标宋_GBK" w:hAnsi="方正小标宋_GBK" w:eastAsia="方正小标宋_GBK" w:cs="方正小标宋_GBK"/>
          <w:b/>
          <w:bCs/>
          <w:color w:val="auto"/>
          <w:spacing w:val="-4"/>
          <w:sz w:val="44"/>
          <w:szCs w:val="44"/>
          <w:highlight w:val="none"/>
          <w:lang w:eastAsia="zh-CN"/>
        </w:rPr>
      </w:pPr>
      <w:r>
        <w:rPr>
          <w:rFonts w:hint="eastAsia" w:ascii="方正小标宋_GBK" w:hAnsi="方正小标宋_GBK" w:eastAsia="方正小标宋_GBK" w:cs="方正小标宋_GBK"/>
          <w:b/>
          <w:bCs/>
          <w:color w:val="auto"/>
          <w:spacing w:val="-4"/>
          <w:sz w:val="44"/>
          <w:szCs w:val="44"/>
          <w:highlight w:val="none"/>
          <w:lang w:eastAsia="zh-CN"/>
        </w:rPr>
        <w:t>伽师县巴仁镇第四小学提升改造项目一标段</w:t>
      </w:r>
    </w:p>
    <w:p w14:paraId="46BE8D30">
      <w:pPr>
        <w:keepNext w:val="0"/>
        <w:keepLines w:val="0"/>
        <w:pageBreakBefore w:val="0"/>
        <w:widowControl w:val="0"/>
        <w:kinsoku/>
        <w:wordWrap/>
        <w:overflowPunct/>
        <w:topLinePunct w:val="0"/>
        <w:autoSpaceDE/>
        <w:autoSpaceDN/>
        <w:bidi w:val="0"/>
        <w:adjustRightInd/>
        <w:snapToGrid/>
        <w:spacing w:line="252" w:lineRule="auto"/>
        <w:jc w:val="center"/>
        <w:textAlignment w:val="auto"/>
        <w:outlineLvl w:val="9"/>
        <w:rPr>
          <w:rFonts w:hint="eastAsia" w:ascii="仿宋" w:hAnsi="仿宋" w:eastAsia="仿宋" w:cs="仿宋"/>
          <w:b/>
          <w:bCs/>
          <w:color w:val="auto"/>
          <w:spacing w:val="-4"/>
          <w:sz w:val="44"/>
          <w:szCs w:val="44"/>
          <w:highlight w:val="none"/>
          <w:lang w:eastAsia="zh-CN"/>
        </w:rPr>
      </w:pPr>
    </w:p>
    <w:p w14:paraId="6F9A389F">
      <w:pPr>
        <w:keepNext w:val="0"/>
        <w:keepLines w:val="0"/>
        <w:pageBreakBefore w:val="0"/>
        <w:widowControl w:val="0"/>
        <w:kinsoku/>
        <w:wordWrap/>
        <w:overflowPunct/>
        <w:topLinePunct w:val="0"/>
        <w:autoSpaceDE/>
        <w:autoSpaceDN/>
        <w:bidi w:val="0"/>
        <w:adjustRightInd/>
        <w:snapToGrid/>
        <w:spacing w:line="252" w:lineRule="auto"/>
        <w:jc w:val="both"/>
        <w:textAlignment w:val="auto"/>
        <w:outlineLvl w:val="9"/>
        <w:rPr>
          <w:rFonts w:hint="eastAsia" w:ascii="仿宋" w:hAnsi="仿宋" w:eastAsia="仿宋" w:cs="仿宋"/>
          <w:b/>
          <w:bCs/>
          <w:color w:val="auto"/>
          <w:spacing w:val="-4"/>
          <w:sz w:val="24"/>
          <w:szCs w:val="24"/>
          <w:highlight w:val="none"/>
          <w:lang w:eastAsia="zh-CN"/>
        </w:rPr>
      </w:pPr>
    </w:p>
    <w:p w14:paraId="6D5434AE">
      <w:pPr>
        <w:pStyle w:val="2"/>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方正仿宋_GBK" w:hAnsi="方正仿宋_GBK" w:eastAsia="方正仿宋_GBK" w:cs="方正仿宋_GBK"/>
          <w:b/>
          <w:bCs/>
          <w:snapToGrid w:val="0"/>
          <w:color w:val="auto"/>
          <w:spacing w:val="-4"/>
          <w:kern w:val="0"/>
          <w:sz w:val="36"/>
          <w:szCs w:val="36"/>
          <w:highlight w:val="none"/>
          <w:lang w:val="en-US" w:eastAsia="zh-CN" w:bidi="ar-SA"/>
        </w:rPr>
      </w:pPr>
      <w:r>
        <w:rPr>
          <w:rFonts w:hint="eastAsia" w:ascii="方正仿宋_GBK" w:hAnsi="方正仿宋_GBK" w:eastAsia="方正仿宋_GBK" w:cs="方正仿宋_GBK"/>
          <w:b/>
          <w:bCs/>
          <w:snapToGrid w:val="0"/>
          <w:color w:val="auto"/>
          <w:spacing w:val="-4"/>
          <w:kern w:val="0"/>
          <w:sz w:val="36"/>
          <w:szCs w:val="36"/>
          <w:highlight w:val="none"/>
          <w:lang w:val="en-US" w:eastAsia="zh-CN" w:bidi="ar-SA"/>
        </w:rPr>
        <w:t>竞争性磋商文件</w:t>
      </w:r>
    </w:p>
    <w:p w14:paraId="11FB4715">
      <w:pPr>
        <w:keepNext w:val="0"/>
        <w:keepLines w:val="0"/>
        <w:pageBreakBefore w:val="0"/>
        <w:widowControl/>
        <w:shd w:val="clear"/>
        <w:kinsoku w:val="0"/>
        <w:wordWrap/>
        <w:overflowPunct/>
        <w:topLinePunct w:val="0"/>
        <w:autoSpaceDE w:val="0"/>
        <w:autoSpaceDN w:val="0"/>
        <w:bidi w:val="0"/>
        <w:adjustRightInd w:val="0"/>
        <w:snapToGrid w:val="0"/>
        <w:spacing w:line="241" w:lineRule="auto"/>
        <w:textAlignment w:val="baseline"/>
        <w:outlineLvl w:val="9"/>
        <w:rPr>
          <w:rFonts w:hint="eastAsia" w:ascii="方正仿宋_GBK" w:hAnsi="方正仿宋_GBK" w:eastAsia="方正仿宋_GBK" w:cs="方正仿宋_GBK"/>
          <w:color w:val="auto"/>
          <w:sz w:val="36"/>
          <w:szCs w:val="36"/>
          <w:highlight w:val="none"/>
        </w:rPr>
      </w:pPr>
    </w:p>
    <w:p w14:paraId="182DBEB6">
      <w:pPr>
        <w:keepNext w:val="0"/>
        <w:keepLines w:val="0"/>
        <w:pageBreakBefore w:val="0"/>
        <w:widowControl/>
        <w:shd w:val="clear"/>
        <w:kinsoku w:val="0"/>
        <w:wordWrap/>
        <w:overflowPunct/>
        <w:topLinePunct w:val="0"/>
        <w:autoSpaceDE w:val="0"/>
        <w:autoSpaceDN w:val="0"/>
        <w:bidi w:val="0"/>
        <w:adjustRightInd w:val="0"/>
        <w:snapToGrid w:val="0"/>
        <w:spacing w:line="241" w:lineRule="auto"/>
        <w:textAlignment w:val="baseline"/>
        <w:outlineLvl w:val="9"/>
        <w:rPr>
          <w:rFonts w:hint="eastAsia" w:ascii="方正仿宋_GBK" w:hAnsi="方正仿宋_GBK" w:eastAsia="方正仿宋_GBK" w:cs="方正仿宋_GBK"/>
          <w:color w:val="auto"/>
          <w:sz w:val="24"/>
          <w:szCs w:val="24"/>
          <w:highlight w:val="none"/>
        </w:rPr>
      </w:pPr>
    </w:p>
    <w:p w14:paraId="76063F77">
      <w:pPr>
        <w:keepNext w:val="0"/>
        <w:keepLines w:val="0"/>
        <w:pageBreakBefore w:val="0"/>
        <w:widowControl/>
        <w:shd w:val="clear"/>
        <w:kinsoku w:val="0"/>
        <w:wordWrap/>
        <w:overflowPunct/>
        <w:topLinePunct w:val="0"/>
        <w:autoSpaceDE w:val="0"/>
        <w:autoSpaceDN w:val="0"/>
        <w:bidi w:val="0"/>
        <w:adjustRightInd w:val="0"/>
        <w:snapToGrid w:val="0"/>
        <w:spacing w:line="241" w:lineRule="auto"/>
        <w:textAlignment w:val="baseline"/>
        <w:outlineLvl w:val="9"/>
        <w:rPr>
          <w:rFonts w:hint="eastAsia" w:ascii="方正仿宋_GBK" w:hAnsi="方正仿宋_GBK" w:eastAsia="方正仿宋_GBK" w:cs="方正仿宋_GBK"/>
          <w:color w:val="auto"/>
          <w:sz w:val="24"/>
          <w:szCs w:val="24"/>
          <w:highlight w:val="none"/>
        </w:rPr>
      </w:pPr>
    </w:p>
    <w:p w14:paraId="03413E06">
      <w:pPr>
        <w:pStyle w:val="2"/>
        <w:keepNext w:val="0"/>
        <w:keepLines w:val="0"/>
        <w:pageBreakBefore w:val="0"/>
        <w:widowControl/>
        <w:shd w:val="clear"/>
        <w:kinsoku w:val="0"/>
        <w:wordWrap/>
        <w:overflowPunct/>
        <w:topLinePunct w:val="0"/>
        <w:autoSpaceDE w:val="0"/>
        <w:autoSpaceDN w:val="0"/>
        <w:bidi w:val="0"/>
        <w:adjustRightInd w:val="0"/>
        <w:snapToGrid w:val="0"/>
        <w:spacing w:before="100" w:line="223" w:lineRule="auto"/>
        <w:ind w:left="2025"/>
        <w:textAlignment w:val="baseline"/>
        <w:outlineLvl w:val="9"/>
        <w:rPr>
          <w:rFonts w:hint="eastAsia" w:ascii="方正仿宋_GBK" w:hAnsi="方正仿宋_GBK" w:eastAsia="方正仿宋_GBK" w:cs="方正仿宋_GBK"/>
          <w:color w:val="auto"/>
          <w:spacing w:val="6"/>
          <w:sz w:val="32"/>
          <w:szCs w:val="32"/>
          <w:highlight w:val="none"/>
        </w:rPr>
      </w:pPr>
      <w:bookmarkStart w:id="387" w:name="_Toc2195"/>
      <w:bookmarkStart w:id="388" w:name="_Toc12767"/>
      <w:bookmarkStart w:id="389" w:name="_Toc3575"/>
      <w:bookmarkStart w:id="390" w:name="_Toc12717"/>
      <w:r>
        <w:rPr>
          <w:rFonts w:hint="eastAsia" w:ascii="方正仿宋_GBK" w:hAnsi="方正仿宋_GBK" w:eastAsia="方正仿宋_GBK" w:cs="方正仿宋_GBK"/>
          <w:color w:val="auto"/>
          <w:spacing w:val="6"/>
          <w:sz w:val="32"/>
          <w:szCs w:val="32"/>
          <w:highlight w:val="none"/>
        </w:rPr>
        <w:t>（项目编号：</w:t>
      </w:r>
      <w:r>
        <w:rPr>
          <w:rFonts w:hint="default" w:ascii="方正仿宋_GBK" w:hAnsi="方正仿宋_GBK" w:eastAsia="方正仿宋_GBK" w:cs="方正仿宋_GBK"/>
          <w:color w:val="auto"/>
          <w:spacing w:val="6"/>
          <w:sz w:val="32"/>
          <w:szCs w:val="32"/>
          <w:highlight w:val="none"/>
          <w:lang w:val="en-US" w:eastAsia="zh-CN"/>
        </w:rPr>
        <w:t>KSJSX(CS)2025-</w:t>
      </w:r>
      <w:r>
        <w:rPr>
          <w:rFonts w:hint="eastAsia" w:ascii="方正仿宋_GBK" w:hAnsi="方正仿宋_GBK" w:eastAsia="方正仿宋_GBK" w:cs="方正仿宋_GBK"/>
          <w:color w:val="auto"/>
          <w:spacing w:val="6"/>
          <w:sz w:val="32"/>
          <w:szCs w:val="32"/>
          <w:highlight w:val="none"/>
          <w:lang w:val="en-US" w:eastAsia="zh-CN"/>
        </w:rPr>
        <w:t>21</w:t>
      </w:r>
      <w:r>
        <w:rPr>
          <w:rFonts w:hint="eastAsia" w:ascii="方正仿宋_GBK" w:hAnsi="方正仿宋_GBK" w:eastAsia="方正仿宋_GBK" w:cs="方正仿宋_GBK"/>
          <w:color w:val="auto"/>
          <w:spacing w:val="6"/>
          <w:sz w:val="32"/>
          <w:szCs w:val="32"/>
          <w:highlight w:val="none"/>
        </w:rPr>
        <w:t>）</w:t>
      </w:r>
      <w:bookmarkEnd w:id="387"/>
      <w:bookmarkEnd w:id="388"/>
      <w:bookmarkEnd w:id="389"/>
      <w:bookmarkEnd w:id="390"/>
    </w:p>
    <w:p w14:paraId="291FC55C">
      <w:pPr>
        <w:keepNext w:val="0"/>
        <w:keepLines w:val="0"/>
        <w:pageBreakBefore w:val="0"/>
        <w:widowControl/>
        <w:shd w:val="clear"/>
        <w:kinsoku w:val="0"/>
        <w:wordWrap/>
        <w:overflowPunct/>
        <w:topLinePunct w:val="0"/>
        <w:autoSpaceDE w:val="0"/>
        <w:autoSpaceDN w:val="0"/>
        <w:bidi w:val="0"/>
        <w:adjustRightInd w:val="0"/>
        <w:snapToGrid w:val="0"/>
        <w:spacing w:line="274" w:lineRule="auto"/>
        <w:textAlignment w:val="baseline"/>
        <w:outlineLvl w:val="9"/>
        <w:rPr>
          <w:rFonts w:hint="eastAsia" w:ascii="仿宋" w:hAnsi="仿宋" w:eastAsia="仿宋" w:cs="仿宋"/>
          <w:color w:val="auto"/>
          <w:sz w:val="24"/>
          <w:szCs w:val="24"/>
          <w:highlight w:val="none"/>
        </w:rPr>
      </w:pPr>
    </w:p>
    <w:p w14:paraId="58571D83">
      <w:pPr>
        <w:keepNext w:val="0"/>
        <w:keepLines w:val="0"/>
        <w:pageBreakBefore w:val="0"/>
        <w:widowControl/>
        <w:shd w:val="clear"/>
        <w:kinsoku w:val="0"/>
        <w:wordWrap/>
        <w:overflowPunct/>
        <w:topLinePunct w:val="0"/>
        <w:autoSpaceDE w:val="0"/>
        <w:autoSpaceDN w:val="0"/>
        <w:bidi w:val="0"/>
        <w:adjustRightInd w:val="0"/>
        <w:snapToGrid w:val="0"/>
        <w:spacing w:line="274" w:lineRule="auto"/>
        <w:textAlignment w:val="baseline"/>
        <w:outlineLvl w:val="9"/>
        <w:rPr>
          <w:rFonts w:hint="eastAsia" w:ascii="仿宋" w:hAnsi="仿宋" w:eastAsia="仿宋" w:cs="仿宋"/>
          <w:color w:val="auto"/>
          <w:sz w:val="24"/>
          <w:szCs w:val="24"/>
          <w:highlight w:val="none"/>
        </w:rPr>
      </w:pPr>
    </w:p>
    <w:p w14:paraId="1CD34609">
      <w:pPr>
        <w:keepNext w:val="0"/>
        <w:keepLines w:val="0"/>
        <w:pageBreakBefore w:val="0"/>
        <w:widowControl/>
        <w:shd w:val="clear"/>
        <w:kinsoku w:val="0"/>
        <w:wordWrap/>
        <w:overflowPunct/>
        <w:topLinePunct w:val="0"/>
        <w:autoSpaceDE w:val="0"/>
        <w:autoSpaceDN w:val="0"/>
        <w:bidi w:val="0"/>
        <w:adjustRightInd w:val="0"/>
        <w:snapToGrid w:val="0"/>
        <w:spacing w:line="274" w:lineRule="auto"/>
        <w:textAlignment w:val="baseline"/>
        <w:outlineLvl w:val="9"/>
        <w:rPr>
          <w:rFonts w:hint="eastAsia" w:ascii="仿宋" w:hAnsi="仿宋" w:eastAsia="仿宋" w:cs="仿宋"/>
          <w:color w:val="auto"/>
          <w:sz w:val="24"/>
          <w:szCs w:val="24"/>
          <w:highlight w:val="none"/>
        </w:rPr>
      </w:pPr>
    </w:p>
    <w:p w14:paraId="1895A2E7">
      <w:pPr>
        <w:keepNext w:val="0"/>
        <w:keepLines w:val="0"/>
        <w:pageBreakBefore w:val="0"/>
        <w:widowControl/>
        <w:shd w:val="clear"/>
        <w:kinsoku w:val="0"/>
        <w:wordWrap/>
        <w:overflowPunct/>
        <w:topLinePunct w:val="0"/>
        <w:autoSpaceDE w:val="0"/>
        <w:autoSpaceDN w:val="0"/>
        <w:bidi w:val="0"/>
        <w:adjustRightInd w:val="0"/>
        <w:snapToGrid w:val="0"/>
        <w:spacing w:line="274" w:lineRule="auto"/>
        <w:textAlignment w:val="baseline"/>
        <w:outlineLvl w:val="9"/>
        <w:rPr>
          <w:rFonts w:hint="eastAsia" w:ascii="仿宋" w:hAnsi="仿宋" w:eastAsia="仿宋" w:cs="仿宋"/>
          <w:color w:val="auto"/>
          <w:sz w:val="24"/>
          <w:szCs w:val="24"/>
          <w:highlight w:val="none"/>
        </w:rPr>
      </w:pPr>
    </w:p>
    <w:p w14:paraId="0E965094">
      <w:pPr>
        <w:pStyle w:val="2"/>
        <w:keepNext w:val="0"/>
        <w:keepLines w:val="0"/>
        <w:pageBreakBefore w:val="0"/>
        <w:widowControl/>
        <w:shd w:val="clear"/>
        <w:kinsoku w:val="0"/>
        <w:wordWrap/>
        <w:overflowPunct/>
        <w:topLinePunct w:val="0"/>
        <w:autoSpaceDE w:val="0"/>
        <w:autoSpaceDN w:val="0"/>
        <w:bidi w:val="0"/>
        <w:adjustRightInd w:val="0"/>
        <w:snapToGrid w:val="0"/>
        <w:spacing w:before="153" w:line="223" w:lineRule="auto"/>
        <w:ind w:left="3967"/>
        <w:textAlignment w:val="baseline"/>
        <w:outlineLvl w:val="9"/>
        <w:rPr>
          <w:rFonts w:hint="eastAsia" w:ascii="仿宋" w:hAnsi="仿宋" w:eastAsia="仿宋" w:cs="仿宋"/>
          <w:color w:val="auto"/>
          <w:sz w:val="40"/>
          <w:szCs w:val="40"/>
          <w:highlight w:val="none"/>
        </w:rPr>
        <w:sectPr>
          <w:footerReference r:id="rId20" w:type="default"/>
          <w:pgSz w:w="11906" w:h="16839"/>
          <w:pgMar w:top="1431" w:right="1530" w:bottom="1166" w:left="1551" w:header="0" w:footer="987" w:gutter="0"/>
          <w:pgNumType w:fmt="decimal"/>
          <w:cols w:space="720" w:num="1"/>
        </w:sectPr>
      </w:pPr>
      <w:r>
        <w:rPr>
          <w:rFonts w:hint="eastAsia" w:ascii="仿宋" w:hAnsi="仿宋" w:eastAsia="仿宋" w:cs="仿宋"/>
          <w:b/>
          <w:bCs/>
          <w:color w:val="auto"/>
          <w:spacing w:val="-1"/>
          <w:sz w:val="40"/>
          <w:szCs w:val="40"/>
          <w:highlight w:val="none"/>
        </w:rPr>
        <w:t>第二册</w:t>
      </w:r>
    </w:p>
    <w:p w14:paraId="1971930D">
      <w:pPr>
        <w:pStyle w:val="2"/>
        <w:shd w:val="clear"/>
        <w:spacing w:before="101" w:line="224" w:lineRule="auto"/>
        <w:ind w:left="3514"/>
        <w:outlineLvl w:val="0"/>
        <w:rPr>
          <w:rFonts w:hint="eastAsia" w:ascii="仿宋" w:hAnsi="仿宋" w:eastAsia="仿宋" w:cs="仿宋"/>
          <w:b/>
          <w:snapToGrid w:val="0"/>
          <w:color w:val="000000"/>
          <w:kern w:val="44"/>
          <w:sz w:val="32"/>
          <w:szCs w:val="32"/>
          <w:lang w:val="en-US" w:eastAsia="zh-CN" w:bidi="ar-SA"/>
        </w:rPr>
      </w:pPr>
      <w:bookmarkStart w:id="391" w:name="_Toc2173"/>
      <w:bookmarkStart w:id="392" w:name="_Toc30835"/>
      <w:bookmarkStart w:id="393" w:name="_Toc21112"/>
      <w:r>
        <w:rPr>
          <w:rFonts w:hint="eastAsia" w:ascii="仿宋" w:hAnsi="仿宋" w:eastAsia="仿宋" w:cs="仿宋"/>
          <w:b/>
          <w:snapToGrid w:val="0"/>
          <w:color w:val="000000"/>
          <w:kern w:val="44"/>
          <w:sz w:val="32"/>
          <w:szCs w:val="32"/>
          <w:lang w:val="en-US" w:eastAsia="zh-CN" w:bidi="ar-SA"/>
        </w:rPr>
        <w:t>第三章 投标邀请</w:t>
      </w:r>
      <w:bookmarkEnd w:id="391"/>
      <w:bookmarkEnd w:id="392"/>
      <w:bookmarkEnd w:id="393"/>
    </w:p>
    <w:p w14:paraId="5FD276BE">
      <w:pPr>
        <w:pStyle w:val="2"/>
        <w:keepNext w:val="0"/>
        <w:keepLines w:val="0"/>
        <w:pageBreakBefore w:val="0"/>
        <w:widowControl/>
        <w:shd w:val="clear"/>
        <w:overflowPunct/>
        <w:topLinePunct w:val="0"/>
        <w:autoSpaceDE w:val="0"/>
        <w:autoSpaceDN w:val="0"/>
        <w:bidi w:val="0"/>
        <w:adjustRightInd w:val="0"/>
        <w:snapToGrid w:val="0"/>
        <w:spacing w:line="240" w:lineRule="auto"/>
        <w:ind w:left="0"/>
        <w:jc w:val="center"/>
        <w:textAlignment w:val="baseline"/>
        <w:outlineLvl w:val="9"/>
        <w:rPr>
          <w:rFonts w:hint="eastAsia" w:ascii="仿宋" w:hAnsi="仿宋" w:eastAsia="仿宋" w:cs="仿宋"/>
          <w:color w:val="auto"/>
          <w:sz w:val="28"/>
          <w:szCs w:val="28"/>
          <w:highlight w:val="none"/>
        </w:rPr>
      </w:pPr>
      <w:r>
        <w:rPr>
          <w:rFonts w:hint="eastAsia" w:ascii="仿宋" w:hAnsi="仿宋" w:eastAsia="仿宋" w:cs="仿宋"/>
          <w:b/>
          <w:bCs/>
          <w:color w:val="auto"/>
          <w:spacing w:val="-4"/>
          <w:sz w:val="28"/>
          <w:szCs w:val="28"/>
          <w:highlight w:val="none"/>
          <w:lang w:eastAsia="zh-CN"/>
        </w:rPr>
        <w:t>伽师县巴仁镇第四小学提升改造项目一标段</w:t>
      </w:r>
      <w:r>
        <w:rPr>
          <w:rFonts w:hint="eastAsia" w:ascii="仿宋" w:hAnsi="仿宋" w:eastAsia="仿宋" w:cs="仿宋"/>
          <w:b/>
          <w:bCs/>
          <w:color w:val="auto"/>
          <w:spacing w:val="-4"/>
          <w:sz w:val="28"/>
          <w:szCs w:val="28"/>
          <w:highlight w:val="none"/>
        </w:rPr>
        <w:t>竞争性磋商公告</w:t>
      </w:r>
    </w:p>
    <w:tbl>
      <w:tblPr>
        <w:tblStyle w:val="26"/>
        <w:tblW w:w="924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5"/>
      </w:tblGrid>
      <w:tr w14:paraId="6B810D6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569" w:hRule="atLeast"/>
        </w:trPr>
        <w:tc>
          <w:tcPr>
            <w:tcW w:w="9245" w:type="dxa"/>
            <w:vAlign w:val="top"/>
          </w:tcPr>
          <w:p w14:paraId="5E13D41C">
            <w:pPr>
              <w:pStyle w:val="28"/>
              <w:keepNext w:val="0"/>
              <w:keepLines w:val="0"/>
              <w:pageBreakBefore w:val="0"/>
              <w:widowControl/>
              <w:shd w:val="clear"/>
              <w:overflowPunct/>
              <w:topLinePunct w:val="0"/>
              <w:autoSpaceDE w:val="0"/>
              <w:autoSpaceDN w:val="0"/>
              <w:bidi w:val="0"/>
              <w:adjustRightInd w:val="0"/>
              <w:snapToGrid w:val="0"/>
              <w:spacing w:before="124" w:line="219" w:lineRule="auto"/>
              <w:ind w:left="9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项目概况</w:t>
            </w:r>
          </w:p>
          <w:p w14:paraId="778CF448">
            <w:pPr>
              <w:pStyle w:val="2"/>
              <w:keepNext w:val="0"/>
              <w:keepLines w:val="0"/>
              <w:pageBreakBefore w:val="0"/>
              <w:widowControl w:val="0"/>
              <w:tabs>
                <w:tab w:val="left" w:pos="567"/>
              </w:tabs>
              <w:kinsoku/>
              <w:wordWrap/>
              <w:overflowPunct/>
              <w:topLinePunct w:val="0"/>
              <w:autoSpaceDE/>
              <w:autoSpaceDN/>
              <w:bidi w:val="0"/>
              <w:adjustRightInd/>
              <w:snapToGrid/>
              <w:spacing w:line="240" w:lineRule="auto"/>
              <w:ind w:left="0" w:firstLine="484"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snapToGrid w:val="0"/>
                <w:color w:val="auto"/>
                <w:spacing w:val="1"/>
                <w:kern w:val="0"/>
                <w:sz w:val="24"/>
                <w:szCs w:val="24"/>
                <w:highlight w:val="none"/>
                <w:lang w:val="en-US" w:eastAsia="zh-CN" w:bidi="ar-SA"/>
              </w:rPr>
              <w:t>伽师县巴仁镇第四小学提升改造项目</w:t>
            </w:r>
            <w:r>
              <w:rPr>
                <w:rFonts w:hint="eastAsia" w:ascii="仿宋" w:hAnsi="仿宋" w:eastAsia="仿宋" w:cs="仿宋"/>
                <w:color w:val="auto"/>
                <w:spacing w:val="1"/>
                <w:sz w:val="24"/>
                <w:szCs w:val="24"/>
                <w:highlight w:val="none"/>
                <w:lang w:eastAsia="zh-CN"/>
              </w:rPr>
              <w:t>一标段</w:t>
            </w:r>
            <w:r>
              <w:rPr>
                <w:rFonts w:hint="eastAsia" w:ascii="仿宋" w:hAnsi="仿宋" w:eastAsia="仿宋" w:cs="仿宋"/>
                <w:color w:val="auto"/>
                <w:spacing w:val="1"/>
                <w:sz w:val="24"/>
                <w:szCs w:val="24"/>
                <w:highlight w:val="none"/>
              </w:rPr>
              <w:t>的潜在</w:t>
            </w:r>
            <w:r>
              <w:rPr>
                <w:rFonts w:hint="eastAsia" w:ascii="仿宋" w:hAnsi="仿宋" w:eastAsia="仿宋" w:cs="仿宋"/>
                <w:color w:val="auto"/>
                <w:sz w:val="24"/>
                <w:szCs w:val="24"/>
                <w:highlight w:val="none"/>
              </w:rPr>
              <w:t>供</w:t>
            </w:r>
            <w:r>
              <w:rPr>
                <w:rFonts w:hint="eastAsia" w:ascii="仿宋" w:hAnsi="仿宋" w:eastAsia="仿宋" w:cs="仿宋"/>
                <w:color w:val="auto"/>
                <w:spacing w:val="1"/>
                <w:sz w:val="24"/>
                <w:szCs w:val="24"/>
                <w:highlight w:val="none"/>
              </w:rPr>
              <w:t>应商应在政采云平台（</w:t>
            </w:r>
            <w:r>
              <w:rPr>
                <w:rFonts w:hint="eastAsia" w:ascii="仿宋" w:hAnsi="仿宋" w:eastAsia="仿宋" w:cs="仿宋"/>
                <w:color w:val="auto"/>
                <w:sz w:val="24"/>
                <w:szCs w:val="24"/>
                <w:highlight w:val="none"/>
              </w:rPr>
              <w:t>www</w:t>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rPr>
              <w:t>zcygov</w:t>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rPr>
              <w:t>cn</w:t>
            </w:r>
            <w:r>
              <w:rPr>
                <w:rFonts w:hint="eastAsia" w:ascii="仿宋" w:hAnsi="仿宋" w:eastAsia="仿宋" w:cs="仿宋"/>
                <w:color w:val="auto"/>
                <w:spacing w:val="1"/>
                <w:sz w:val="24"/>
                <w:szCs w:val="24"/>
                <w:highlight w:val="none"/>
              </w:rPr>
              <w:t>）线上获取获取采购文件，并于</w:t>
            </w:r>
            <w:r>
              <w:rPr>
                <w:rFonts w:hint="eastAsia" w:ascii="仿宋" w:hAnsi="仿宋" w:eastAsia="仿宋" w:cs="仿宋"/>
                <w:color w:val="auto"/>
                <w:spacing w:val="1"/>
                <w:sz w:val="24"/>
                <w:szCs w:val="24"/>
                <w:highlight w:val="yellow"/>
                <w:u w:val="single" w:color="auto"/>
                <w:lang w:eastAsia="zh-CN"/>
              </w:rPr>
              <w:t>202</w:t>
            </w:r>
            <w:r>
              <w:rPr>
                <w:rFonts w:hint="eastAsia" w:ascii="仿宋" w:hAnsi="仿宋" w:eastAsia="仿宋" w:cs="仿宋"/>
                <w:color w:val="auto"/>
                <w:spacing w:val="1"/>
                <w:sz w:val="24"/>
                <w:szCs w:val="24"/>
                <w:highlight w:val="yellow"/>
                <w:u w:val="single" w:color="auto"/>
                <w:lang w:val="en-US" w:eastAsia="zh-CN"/>
              </w:rPr>
              <w:t>5</w:t>
            </w:r>
            <w:r>
              <w:rPr>
                <w:rFonts w:hint="eastAsia" w:ascii="仿宋" w:hAnsi="仿宋" w:eastAsia="仿宋" w:cs="仿宋"/>
                <w:color w:val="auto"/>
                <w:spacing w:val="1"/>
                <w:sz w:val="24"/>
                <w:szCs w:val="24"/>
                <w:highlight w:val="yellow"/>
                <w:u w:val="single" w:color="auto"/>
                <w:lang w:eastAsia="zh-CN"/>
              </w:rPr>
              <w:t>年</w:t>
            </w:r>
            <w:r>
              <w:rPr>
                <w:rFonts w:hint="eastAsia" w:ascii="仿宋" w:hAnsi="仿宋" w:eastAsia="仿宋" w:cs="仿宋"/>
                <w:color w:val="auto"/>
                <w:spacing w:val="1"/>
                <w:sz w:val="24"/>
                <w:szCs w:val="24"/>
                <w:highlight w:val="yellow"/>
                <w:u w:val="single" w:color="auto"/>
                <w:lang w:val="en-US" w:eastAsia="zh-CN"/>
              </w:rPr>
              <w:t>07</w:t>
            </w:r>
            <w:r>
              <w:rPr>
                <w:rFonts w:hint="eastAsia" w:ascii="仿宋" w:hAnsi="仿宋" w:eastAsia="仿宋" w:cs="仿宋"/>
                <w:color w:val="auto"/>
                <w:spacing w:val="1"/>
                <w:sz w:val="24"/>
                <w:szCs w:val="24"/>
                <w:highlight w:val="yellow"/>
                <w:u w:val="single" w:color="auto"/>
                <w:lang w:eastAsia="zh-CN"/>
              </w:rPr>
              <w:t>月</w:t>
            </w:r>
            <w:r>
              <w:rPr>
                <w:rFonts w:hint="eastAsia" w:ascii="仿宋" w:hAnsi="仿宋" w:eastAsia="仿宋" w:cs="仿宋"/>
                <w:color w:val="auto"/>
                <w:spacing w:val="1"/>
                <w:sz w:val="24"/>
                <w:szCs w:val="24"/>
                <w:highlight w:val="yellow"/>
                <w:u w:val="single" w:color="auto"/>
                <w:lang w:val="en-US" w:eastAsia="zh-CN"/>
              </w:rPr>
              <w:t>01</w:t>
            </w:r>
            <w:r>
              <w:rPr>
                <w:rFonts w:hint="eastAsia" w:ascii="仿宋" w:hAnsi="仿宋" w:eastAsia="仿宋" w:cs="仿宋"/>
                <w:color w:val="auto"/>
                <w:spacing w:val="1"/>
                <w:sz w:val="24"/>
                <w:szCs w:val="24"/>
                <w:highlight w:val="yellow"/>
                <w:u w:val="single" w:color="auto"/>
                <w:lang w:eastAsia="zh-CN"/>
              </w:rPr>
              <w:t>日1</w:t>
            </w:r>
            <w:r>
              <w:rPr>
                <w:rFonts w:hint="eastAsia" w:ascii="仿宋" w:hAnsi="仿宋" w:eastAsia="仿宋" w:cs="仿宋"/>
                <w:color w:val="auto"/>
                <w:spacing w:val="1"/>
                <w:sz w:val="24"/>
                <w:szCs w:val="24"/>
                <w:highlight w:val="yellow"/>
                <w:u w:val="single" w:color="auto"/>
                <w:lang w:val="en-US" w:eastAsia="zh-CN"/>
              </w:rPr>
              <w:t>1</w:t>
            </w:r>
            <w:r>
              <w:rPr>
                <w:rFonts w:hint="eastAsia" w:ascii="仿宋" w:hAnsi="仿宋" w:eastAsia="仿宋" w:cs="仿宋"/>
                <w:color w:val="auto"/>
                <w:spacing w:val="1"/>
                <w:sz w:val="24"/>
                <w:szCs w:val="24"/>
                <w:highlight w:val="yellow"/>
                <w:u w:val="single" w:color="auto"/>
                <w:lang w:eastAsia="zh-CN"/>
              </w:rPr>
              <w:t>时00分</w:t>
            </w:r>
            <w:r>
              <w:rPr>
                <w:rFonts w:hint="eastAsia" w:ascii="仿宋" w:hAnsi="仿宋" w:eastAsia="仿宋" w:cs="仿宋"/>
                <w:color w:val="auto"/>
                <w:spacing w:val="-4"/>
                <w:sz w:val="24"/>
                <w:szCs w:val="24"/>
                <w:highlight w:val="yellow"/>
                <w:u w:val="single" w:color="auto"/>
              </w:rPr>
              <w:t>前</w:t>
            </w:r>
            <w:r>
              <w:rPr>
                <w:rFonts w:hint="eastAsia" w:ascii="仿宋" w:hAnsi="仿宋" w:eastAsia="仿宋" w:cs="仿宋"/>
                <w:color w:val="auto"/>
                <w:spacing w:val="-4"/>
                <w:sz w:val="24"/>
                <w:szCs w:val="24"/>
                <w:highlight w:val="none"/>
                <w:u w:val="single" w:color="auto"/>
              </w:rPr>
              <w:t>提交响应文件。</w:t>
            </w:r>
          </w:p>
        </w:tc>
      </w:tr>
    </w:tbl>
    <w:p w14:paraId="4D754749">
      <w:pPr>
        <w:pStyle w:val="2"/>
        <w:keepNext w:val="0"/>
        <w:keepLines w:val="0"/>
        <w:pageBreakBefore w:val="0"/>
        <w:widowControl/>
        <w:shd w:val="clear"/>
        <w:overflowPunct/>
        <w:topLinePunct w:val="0"/>
        <w:autoSpaceDE w:val="0"/>
        <w:autoSpaceDN w:val="0"/>
        <w:bidi w:val="0"/>
        <w:adjustRightInd w:val="0"/>
        <w:snapToGrid w:val="0"/>
        <w:spacing w:before="99" w:line="219" w:lineRule="auto"/>
        <w:ind w:left="102"/>
        <w:textAlignment w:val="baseline"/>
        <w:outlineLvl w:val="9"/>
        <w:rPr>
          <w:rFonts w:hint="eastAsia" w:ascii="仿宋" w:hAnsi="仿宋" w:eastAsia="仿宋" w:cs="仿宋"/>
          <w:color w:val="auto"/>
          <w:sz w:val="24"/>
          <w:szCs w:val="24"/>
          <w:highlight w:val="none"/>
        </w:rPr>
      </w:pPr>
      <w:bookmarkStart w:id="394" w:name="_Toc13237"/>
      <w:r>
        <w:rPr>
          <w:rFonts w:hint="eastAsia" w:ascii="仿宋" w:hAnsi="仿宋" w:eastAsia="仿宋" w:cs="仿宋"/>
          <w:color w:val="auto"/>
          <w:spacing w:val="-2"/>
          <w:sz w:val="24"/>
          <w:szCs w:val="24"/>
          <w:highlight w:val="none"/>
        </w:rPr>
        <w:t>一、项目基本情况</w:t>
      </w:r>
      <w:bookmarkEnd w:id="394"/>
    </w:p>
    <w:p w14:paraId="2CCAB437">
      <w:pPr>
        <w:pStyle w:val="2"/>
        <w:keepNext w:val="0"/>
        <w:keepLines w:val="0"/>
        <w:pageBreakBefore w:val="0"/>
        <w:widowControl/>
        <w:shd w:val="clear"/>
        <w:overflowPunct/>
        <w:topLinePunct w:val="0"/>
        <w:autoSpaceDE w:val="0"/>
        <w:autoSpaceDN w:val="0"/>
        <w:bidi w:val="0"/>
        <w:adjustRightInd w:val="0"/>
        <w:snapToGrid w:val="0"/>
        <w:spacing w:before="94" w:line="379" w:lineRule="exact"/>
        <w:jc w:val="both"/>
        <w:textAlignment w:val="baseline"/>
        <w:outlineLvl w:val="9"/>
        <w:rPr>
          <w:rFonts w:hint="default" w:ascii="仿宋" w:hAnsi="仿宋" w:eastAsia="仿宋" w:cs="仿宋"/>
          <w:color w:val="auto"/>
          <w:spacing w:val="-3"/>
          <w:position w:val="10"/>
          <w:sz w:val="24"/>
          <w:szCs w:val="24"/>
          <w:highlight w:val="none"/>
          <w:lang w:val="en-US" w:eastAsia="zh-CN"/>
        </w:rPr>
      </w:pPr>
      <w:r>
        <w:rPr>
          <w:rFonts w:hint="eastAsia" w:ascii="仿宋" w:hAnsi="仿宋" w:eastAsia="仿宋" w:cs="仿宋"/>
          <w:color w:val="auto"/>
          <w:spacing w:val="-3"/>
          <w:position w:val="10"/>
          <w:sz w:val="24"/>
          <w:szCs w:val="24"/>
          <w:highlight w:val="none"/>
          <w:lang w:val="en-US" w:eastAsia="zh-CN"/>
        </w:rPr>
        <w:t xml:space="preserve">  项目编号：</w:t>
      </w:r>
      <w:r>
        <w:rPr>
          <w:rFonts w:hint="default" w:ascii="仿宋" w:hAnsi="仿宋" w:eastAsia="仿宋" w:cs="仿宋"/>
          <w:color w:val="auto"/>
          <w:spacing w:val="-3"/>
          <w:position w:val="10"/>
          <w:sz w:val="24"/>
          <w:szCs w:val="24"/>
          <w:highlight w:val="none"/>
          <w:lang w:val="en-US" w:eastAsia="zh-CN"/>
        </w:rPr>
        <w:t>KSJSX(CS)2025-</w:t>
      </w:r>
      <w:r>
        <w:rPr>
          <w:rFonts w:hint="eastAsia" w:ascii="仿宋" w:hAnsi="仿宋" w:eastAsia="仿宋" w:cs="仿宋"/>
          <w:color w:val="auto"/>
          <w:spacing w:val="-3"/>
          <w:position w:val="10"/>
          <w:sz w:val="24"/>
          <w:szCs w:val="24"/>
          <w:highlight w:val="none"/>
          <w:lang w:val="en-US" w:eastAsia="zh-CN"/>
        </w:rPr>
        <w:t>21</w:t>
      </w:r>
    </w:p>
    <w:p w14:paraId="1D543855">
      <w:pPr>
        <w:pStyle w:val="2"/>
        <w:keepNext w:val="0"/>
        <w:keepLines w:val="0"/>
        <w:pageBreakBefore w:val="0"/>
        <w:widowControl/>
        <w:shd w:val="clear"/>
        <w:overflowPunct/>
        <w:topLinePunct w:val="0"/>
        <w:autoSpaceDE w:val="0"/>
        <w:autoSpaceDN w:val="0"/>
        <w:bidi w:val="0"/>
        <w:adjustRightInd w:val="0"/>
        <w:snapToGrid w:val="0"/>
        <w:spacing w:before="94" w:line="379" w:lineRule="exact"/>
        <w:jc w:val="both"/>
        <w:textAlignment w:val="baseline"/>
        <w:outlineLvl w:val="9"/>
        <w:rPr>
          <w:rFonts w:hint="eastAsia" w:ascii="仿宋" w:hAnsi="仿宋" w:eastAsia="仿宋" w:cs="仿宋"/>
          <w:color w:val="auto"/>
          <w:spacing w:val="-3"/>
          <w:position w:val="10"/>
          <w:sz w:val="24"/>
          <w:szCs w:val="24"/>
          <w:highlight w:val="none"/>
          <w:lang w:val="en-US" w:eastAsia="zh-CN"/>
        </w:rPr>
      </w:pPr>
      <w:r>
        <w:rPr>
          <w:rFonts w:hint="eastAsia" w:ascii="仿宋" w:hAnsi="仿宋" w:eastAsia="仿宋" w:cs="仿宋"/>
          <w:color w:val="auto"/>
          <w:spacing w:val="-3"/>
          <w:position w:val="10"/>
          <w:sz w:val="24"/>
          <w:szCs w:val="24"/>
          <w:highlight w:val="none"/>
          <w:lang w:val="en-US" w:eastAsia="zh-CN"/>
        </w:rPr>
        <w:t xml:space="preserve">  项目名称：伽师县巴仁镇第四小学提升改造项目一标段</w:t>
      </w:r>
    </w:p>
    <w:p w14:paraId="5E1F0427">
      <w:pPr>
        <w:pStyle w:val="2"/>
        <w:keepNext w:val="0"/>
        <w:keepLines w:val="0"/>
        <w:pageBreakBefore w:val="0"/>
        <w:widowControl/>
        <w:shd w:val="clear"/>
        <w:overflowPunct/>
        <w:topLinePunct w:val="0"/>
        <w:autoSpaceDE w:val="0"/>
        <w:autoSpaceDN w:val="0"/>
        <w:bidi w:val="0"/>
        <w:adjustRightInd w:val="0"/>
        <w:snapToGrid w:val="0"/>
        <w:spacing w:before="94" w:line="379" w:lineRule="exact"/>
        <w:jc w:val="both"/>
        <w:textAlignment w:val="baseline"/>
        <w:outlineLvl w:val="9"/>
        <w:rPr>
          <w:rFonts w:hint="eastAsia" w:ascii="仿宋" w:hAnsi="仿宋" w:eastAsia="仿宋" w:cs="仿宋"/>
          <w:color w:val="auto"/>
          <w:spacing w:val="-3"/>
          <w:position w:val="10"/>
          <w:sz w:val="24"/>
          <w:szCs w:val="24"/>
          <w:highlight w:val="none"/>
          <w:lang w:val="en-US" w:eastAsia="zh-CN"/>
        </w:rPr>
      </w:pPr>
      <w:r>
        <w:rPr>
          <w:rFonts w:hint="eastAsia" w:ascii="仿宋" w:hAnsi="仿宋" w:eastAsia="仿宋" w:cs="仿宋"/>
          <w:color w:val="auto"/>
          <w:spacing w:val="-3"/>
          <w:position w:val="10"/>
          <w:sz w:val="24"/>
          <w:szCs w:val="24"/>
          <w:highlight w:val="none"/>
          <w:lang w:val="en-US" w:eastAsia="zh-CN"/>
        </w:rPr>
        <w:t xml:space="preserve">  采购方式：竞争性磋商</w:t>
      </w:r>
    </w:p>
    <w:p w14:paraId="5F610E24">
      <w:pPr>
        <w:pStyle w:val="2"/>
        <w:keepNext w:val="0"/>
        <w:keepLines w:val="0"/>
        <w:pageBreakBefore w:val="0"/>
        <w:widowControl/>
        <w:shd w:val="clear"/>
        <w:overflowPunct/>
        <w:topLinePunct w:val="0"/>
        <w:autoSpaceDE w:val="0"/>
        <w:autoSpaceDN w:val="0"/>
        <w:bidi w:val="0"/>
        <w:adjustRightInd w:val="0"/>
        <w:snapToGrid w:val="0"/>
        <w:spacing w:before="94" w:line="379" w:lineRule="exact"/>
        <w:ind w:firstLine="234" w:firstLineChars="100"/>
        <w:jc w:val="both"/>
        <w:textAlignment w:val="baseline"/>
        <w:outlineLvl w:val="9"/>
        <w:rPr>
          <w:rFonts w:hint="eastAsia" w:ascii="仿宋" w:hAnsi="仿宋" w:eastAsia="仿宋" w:cs="仿宋"/>
          <w:color w:val="auto"/>
          <w:spacing w:val="-3"/>
          <w:position w:val="10"/>
          <w:sz w:val="24"/>
          <w:szCs w:val="24"/>
          <w:highlight w:val="none"/>
          <w:lang w:val="en-US" w:eastAsia="zh-CN"/>
        </w:rPr>
      </w:pPr>
      <w:r>
        <w:rPr>
          <w:rFonts w:hint="eastAsia" w:ascii="仿宋" w:hAnsi="仿宋" w:eastAsia="仿宋" w:cs="仿宋"/>
          <w:color w:val="auto"/>
          <w:spacing w:val="-3"/>
          <w:position w:val="10"/>
          <w:sz w:val="24"/>
          <w:szCs w:val="24"/>
          <w:highlight w:val="none"/>
          <w:lang w:val="en-US" w:eastAsia="zh-CN"/>
        </w:rPr>
        <w:t>资金来源：中储粮资金</w:t>
      </w:r>
    </w:p>
    <w:p w14:paraId="743813FD">
      <w:pPr>
        <w:pStyle w:val="2"/>
        <w:keepNext w:val="0"/>
        <w:keepLines w:val="0"/>
        <w:pageBreakBefore w:val="0"/>
        <w:widowControl/>
        <w:shd w:val="clear"/>
        <w:overflowPunct/>
        <w:topLinePunct w:val="0"/>
        <w:autoSpaceDE w:val="0"/>
        <w:autoSpaceDN w:val="0"/>
        <w:bidi w:val="0"/>
        <w:adjustRightInd w:val="0"/>
        <w:snapToGrid w:val="0"/>
        <w:spacing w:before="94" w:line="379" w:lineRule="exact"/>
        <w:jc w:val="both"/>
        <w:textAlignment w:val="baseline"/>
        <w:outlineLvl w:val="9"/>
        <w:rPr>
          <w:rFonts w:hint="eastAsia" w:ascii="仿宋" w:hAnsi="仿宋" w:eastAsia="仿宋" w:cs="仿宋"/>
          <w:color w:val="auto"/>
          <w:spacing w:val="-3"/>
          <w:position w:val="10"/>
          <w:sz w:val="24"/>
          <w:szCs w:val="24"/>
          <w:highlight w:val="none"/>
          <w:lang w:val="en-US" w:eastAsia="zh-CN"/>
        </w:rPr>
      </w:pPr>
      <w:r>
        <w:rPr>
          <w:rFonts w:hint="eastAsia" w:ascii="仿宋" w:hAnsi="仿宋" w:eastAsia="仿宋" w:cs="仿宋"/>
          <w:color w:val="auto"/>
          <w:spacing w:val="-3"/>
          <w:position w:val="10"/>
          <w:sz w:val="24"/>
          <w:szCs w:val="24"/>
          <w:highlight w:val="none"/>
          <w:lang w:val="en-US" w:eastAsia="zh-CN"/>
        </w:rPr>
        <w:t xml:space="preserve">  预算金额（元）：1440925.54</w:t>
      </w:r>
    </w:p>
    <w:p w14:paraId="7087413A">
      <w:pPr>
        <w:pStyle w:val="2"/>
        <w:keepNext w:val="0"/>
        <w:keepLines w:val="0"/>
        <w:pageBreakBefore w:val="0"/>
        <w:widowControl/>
        <w:shd w:val="clear"/>
        <w:overflowPunct/>
        <w:topLinePunct w:val="0"/>
        <w:autoSpaceDE w:val="0"/>
        <w:autoSpaceDN w:val="0"/>
        <w:bidi w:val="0"/>
        <w:adjustRightInd w:val="0"/>
        <w:snapToGrid w:val="0"/>
        <w:spacing w:before="94" w:line="379" w:lineRule="exact"/>
        <w:jc w:val="both"/>
        <w:textAlignment w:val="baseline"/>
        <w:outlineLvl w:val="9"/>
        <w:rPr>
          <w:rFonts w:hint="eastAsia" w:ascii="仿宋" w:hAnsi="仿宋" w:eastAsia="仿宋" w:cs="仿宋"/>
          <w:color w:val="auto"/>
          <w:spacing w:val="-3"/>
          <w:position w:val="10"/>
          <w:sz w:val="24"/>
          <w:szCs w:val="24"/>
          <w:highlight w:val="none"/>
          <w:lang w:val="en-US" w:eastAsia="zh-CN"/>
        </w:rPr>
      </w:pPr>
      <w:r>
        <w:rPr>
          <w:rFonts w:hint="eastAsia" w:ascii="仿宋" w:hAnsi="仿宋" w:eastAsia="仿宋" w:cs="仿宋"/>
          <w:color w:val="auto"/>
          <w:spacing w:val="-3"/>
          <w:position w:val="10"/>
          <w:sz w:val="24"/>
          <w:szCs w:val="24"/>
          <w:highlight w:val="none"/>
          <w:lang w:val="en-US" w:eastAsia="zh-CN"/>
        </w:rPr>
        <w:t xml:space="preserve">  最高限价（元）：1440925.54 </w:t>
      </w:r>
    </w:p>
    <w:p w14:paraId="5B54F9AD">
      <w:pPr>
        <w:pStyle w:val="2"/>
        <w:keepNext w:val="0"/>
        <w:keepLines w:val="0"/>
        <w:pageBreakBefore w:val="0"/>
        <w:widowControl/>
        <w:shd w:val="clear"/>
        <w:overflowPunct/>
        <w:topLinePunct w:val="0"/>
        <w:autoSpaceDE w:val="0"/>
        <w:autoSpaceDN w:val="0"/>
        <w:bidi w:val="0"/>
        <w:adjustRightInd w:val="0"/>
        <w:snapToGrid w:val="0"/>
        <w:spacing w:before="94" w:line="379" w:lineRule="exact"/>
        <w:jc w:val="both"/>
        <w:textAlignment w:val="baseline"/>
        <w:outlineLvl w:val="9"/>
        <w:rPr>
          <w:rFonts w:hint="eastAsia" w:ascii="仿宋" w:hAnsi="仿宋" w:eastAsia="仿宋" w:cs="仿宋"/>
          <w:color w:val="auto"/>
          <w:spacing w:val="-3"/>
          <w:position w:val="10"/>
          <w:sz w:val="24"/>
          <w:szCs w:val="24"/>
          <w:highlight w:val="none"/>
          <w:lang w:val="en-US" w:eastAsia="zh-CN"/>
        </w:rPr>
      </w:pPr>
      <w:r>
        <w:rPr>
          <w:rFonts w:hint="eastAsia" w:ascii="仿宋" w:hAnsi="仿宋" w:eastAsia="仿宋" w:cs="仿宋"/>
          <w:color w:val="auto"/>
          <w:spacing w:val="-3"/>
          <w:position w:val="10"/>
          <w:sz w:val="24"/>
          <w:szCs w:val="24"/>
          <w:highlight w:val="none"/>
          <w:lang w:val="en-US" w:eastAsia="zh-CN"/>
        </w:rPr>
        <w:t xml:space="preserve">   采购需求：墙面粉刷11286.4平方米，改造72间教学用房空气能设备148台(套)（具体内容详见磋商文件工程量清单工程量清单）</w:t>
      </w:r>
    </w:p>
    <w:p w14:paraId="537C3B7D">
      <w:pPr>
        <w:pStyle w:val="2"/>
        <w:keepNext w:val="0"/>
        <w:keepLines w:val="0"/>
        <w:pageBreakBefore w:val="0"/>
        <w:widowControl/>
        <w:shd w:val="clear"/>
        <w:overflowPunct/>
        <w:topLinePunct w:val="0"/>
        <w:autoSpaceDE w:val="0"/>
        <w:autoSpaceDN w:val="0"/>
        <w:bidi w:val="0"/>
        <w:adjustRightInd w:val="0"/>
        <w:snapToGrid w:val="0"/>
        <w:spacing w:before="94" w:line="379" w:lineRule="exact"/>
        <w:ind w:firstLine="468" w:firstLineChars="200"/>
        <w:jc w:val="both"/>
        <w:textAlignment w:val="baseline"/>
        <w:outlineLvl w:val="9"/>
        <w:rPr>
          <w:rFonts w:hint="eastAsia" w:ascii="仿宋" w:hAnsi="仿宋" w:eastAsia="仿宋" w:cs="仿宋"/>
          <w:color w:val="auto"/>
          <w:spacing w:val="-3"/>
          <w:position w:val="10"/>
          <w:sz w:val="24"/>
          <w:szCs w:val="24"/>
          <w:highlight w:val="none"/>
          <w:lang w:val="en-US" w:eastAsia="zh-CN"/>
        </w:rPr>
      </w:pPr>
      <w:r>
        <w:rPr>
          <w:rFonts w:hint="eastAsia" w:ascii="仿宋" w:hAnsi="仿宋" w:eastAsia="仿宋" w:cs="仿宋"/>
          <w:color w:val="auto"/>
          <w:spacing w:val="-3"/>
          <w:position w:val="10"/>
          <w:sz w:val="24"/>
          <w:szCs w:val="24"/>
          <w:highlight w:val="none"/>
          <w:lang w:val="en-US" w:eastAsia="zh-CN"/>
        </w:rPr>
        <w:t>简要规格描述或项目基本概况介绍、用途（具体详见磋商文件）</w:t>
      </w:r>
    </w:p>
    <w:p w14:paraId="0E5C830D">
      <w:pPr>
        <w:pStyle w:val="2"/>
        <w:keepNext w:val="0"/>
        <w:keepLines w:val="0"/>
        <w:pageBreakBefore w:val="0"/>
        <w:widowControl/>
        <w:shd w:val="clear"/>
        <w:overflowPunct/>
        <w:topLinePunct w:val="0"/>
        <w:autoSpaceDE w:val="0"/>
        <w:autoSpaceDN w:val="0"/>
        <w:bidi w:val="0"/>
        <w:adjustRightInd w:val="0"/>
        <w:snapToGrid w:val="0"/>
        <w:spacing w:before="94" w:line="379" w:lineRule="exact"/>
        <w:ind w:firstLine="476" w:firstLineChars="2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position w:val="10"/>
          <w:sz w:val="24"/>
          <w:szCs w:val="24"/>
          <w:highlight w:val="none"/>
        </w:rPr>
        <w:t>合同履行期限：详见磋商文件</w:t>
      </w:r>
    </w:p>
    <w:p w14:paraId="78B73962">
      <w:pPr>
        <w:pStyle w:val="2"/>
        <w:keepNext w:val="0"/>
        <w:keepLines w:val="0"/>
        <w:pageBreakBefore w:val="0"/>
        <w:widowControl/>
        <w:shd w:val="clear"/>
        <w:overflowPunct/>
        <w:topLinePunct w:val="0"/>
        <w:autoSpaceDE w:val="0"/>
        <w:autoSpaceDN w:val="0"/>
        <w:bidi w:val="0"/>
        <w:adjustRightInd w:val="0"/>
        <w:snapToGrid w:val="0"/>
        <w:spacing w:before="1" w:line="218" w:lineRule="auto"/>
        <w:ind w:firstLine="476" w:firstLineChars="2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本项目不接受联合体投标。</w:t>
      </w:r>
    </w:p>
    <w:p w14:paraId="0A61A89D">
      <w:pPr>
        <w:pStyle w:val="2"/>
        <w:keepNext w:val="0"/>
        <w:keepLines w:val="0"/>
        <w:pageBreakBefore w:val="0"/>
        <w:widowControl/>
        <w:shd w:val="clear"/>
        <w:overflowPunct/>
        <w:topLinePunct w:val="0"/>
        <w:autoSpaceDE w:val="0"/>
        <w:autoSpaceDN w:val="0"/>
        <w:bidi w:val="0"/>
        <w:adjustRightInd w:val="0"/>
        <w:snapToGrid w:val="0"/>
        <w:spacing w:before="96" w:line="219" w:lineRule="auto"/>
        <w:ind w:left="102"/>
        <w:textAlignment w:val="baseline"/>
        <w:outlineLvl w:val="9"/>
        <w:rPr>
          <w:rFonts w:hint="eastAsia" w:ascii="仿宋" w:hAnsi="仿宋" w:eastAsia="仿宋" w:cs="仿宋"/>
          <w:color w:val="auto"/>
          <w:sz w:val="24"/>
          <w:szCs w:val="24"/>
          <w:highlight w:val="none"/>
        </w:rPr>
      </w:pPr>
      <w:bookmarkStart w:id="395" w:name="_Toc23641"/>
      <w:r>
        <w:rPr>
          <w:rFonts w:hint="eastAsia" w:ascii="仿宋" w:hAnsi="仿宋" w:eastAsia="仿宋" w:cs="仿宋"/>
          <w:color w:val="auto"/>
          <w:spacing w:val="-2"/>
          <w:sz w:val="24"/>
          <w:szCs w:val="24"/>
          <w:highlight w:val="none"/>
        </w:rPr>
        <w:t>二、申请人的资格要求：</w:t>
      </w:r>
      <w:bookmarkEnd w:id="395"/>
    </w:p>
    <w:p w14:paraId="32DF59CA">
      <w:pPr>
        <w:pStyle w:val="2"/>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bookmarkStart w:id="396" w:name="_Toc28216"/>
      <w:r>
        <w:rPr>
          <w:rFonts w:hint="eastAsia" w:ascii="仿宋" w:hAnsi="仿宋" w:eastAsia="仿宋" w:cs="仿宋"/>
          <w:snapToGrid w:val="0"/>
          <w:color w:val="auto"/>
          <w:spacing w:val="-3"/>
          <w:kern w:val="0"/>
          <w:position w:val="10"/>
          <w:sz w:val="24"/>
          <w:szCs w:val="24"/>
          <w:highlight w:val="none"/>
          <w:lang w:val="en-US" w:eastAsia="zh-CN" w:bidi="ar-SA"/>
        </w:rPr>
        <w:t>（1）具有有效的营业执照；</w:t>
      </w:r>
    </w:p>
    <w:p w14:paraId="69708ECD">
      <w:pPr>
        <w:pStyle w:val="2"/>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（2）法定代表人证明或法定代表人授权委托书签字（章）并加盖公章；</w:t>
      </w:r>
    </w:p>
    <w:p w14:paraId="1F14DAE6">
      <w:pPr>
        <w:pStyle w:val="2"/>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（3）良好的商业信誉和健全的财务会计制度证明材料（会计事务所出具的2023年或2024年的年度财务审计报告书；注册成立未满一年新公司可提供近三个月内任意一个月的银行资信证明）；</w:t>
      </w:r>
    </w:p>
    <w:p w14:paraId="641716AA">
      <w:pPr>
        <w:pStyle w:val="2"/>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（4）供应商须具备【建筑工程施工总承包叁级】(含)以上资质或【建筑装修装饰工程专业承包贰级】（含）以上资质等级，并具备有效的安全生产许可证；</w:t>
      </w:r>
    </w:p>
    <w:p w14:paraId="56DF87F2">
      <w:pPr>
        <w:pStyle w:val="2"/>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（5）项目负责人：须具备【建筑工程专业】二级或以上注册建造师执业资格，具备有效的安全生产考核合格证书，且未担任其他在建建设工程项目的项目负责人；</w:t>
      </w:r>
    </w:p>
    <w:p w14:paraId="6E395BBC">
      <w:pPr>
        <w:pStyle w:val="2"/>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（6）</w:t>
      </w:r>
      <w:r>
        <w:rPr>
          <w:rFonts w:hint="eastAsia" w:ascii="仿宋" w:hAnsi="仿宋" w:eastAsia="仿宋" w:cs="仿宋"/>
          <w:snapToGrid w:val="0"/>
          <w:color w:val="auto"/>
          <w:spacing w:val="-3"/>
          <w:kern w:val="0"/>
          <w:position w:val="10"/>
          <w:sz w:val="24"/>
          <w:szCs w:val="24"/>
          <w:highlight w:val="none"/>
          <w:lang w:val="en-US" w:eastAsia="en-US" w:bidi="ar-SA"/>
        </w:rPr>
        <w:t>提供投标单位缴纳近三个月内（任意一个月）的社保证明</w:t>
      </w:r>
      <w:r>
        <w:rPr>
          <w:rFonts w:hint="eastAsia" w:ascii="仿宋" w:hAnsi="仿宋" w:eastAsia="仿宋" w:cs="仿宋"/>
          <w:snapToGrid w:val="0"/>
          <w:color w:val="auto"/>
          <w:spacing w:val="-3"/>
          <w:kern w:val="0"/>
          <w:position w:val="10"/>
          <w:sz w:val="24"/>
          <w:szCs w:val="24"/>
          <w:highlight w:val="none"/>
          <w:lang w:val="en-US" w:eastAsia="zh-CN" w:bidi="ar-SA"/>
        </w:rPr>
        <w:t>；</w:t>
      </w:r>
    </w:p>
    <w:p w14:paraId="11A13054">
      <w:pPr>
        <w:pStyle w:val="2"/>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（7）投标企业提供税务部门出具的近3个月内其中任意1个月的完税证明（零申报需加盖税务机关鲜章），非社会保险类；</w:t>
      </w:r>
    </w:p>
    <w:p w14:paraId="7AF98174">
      <w:pPr>
        <w:pStyle w:val="2"/>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（8） 根据《财政部关于在政府采购活动中查询及使用信用记录有关问题的通知》（财库﹝2016﹞125号）的要求，凡拟参加本次采购项目的供应商，如在“信用中国”网站（ www.creditchina.gov.cn） 被列入失信被执行人、重大税收违法案件当事人名单(信用服务-重点领域严重失信主体名单查询-搜索栏输入单位全称)、中国政府采购网（http://www.ccgp.gov.cn/search/cr/）严重违法失信行为记录名单的（尚在处罚期内的），将拒绝其参加本次采购活动（以采购代理机构或采购人查询为准）</w:t>
      </w:r>
    </w:p>
    <w:p w14:paraId="47B66F84">
      <w:pPr>
        <w:pStyle w:val="2"/>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（9）参加政府采购活动前三年内在经营活动中没有重大违法记录的书面声明；</w:t>
      </w:r>
    </w:p>
    <w:p w14:paraId="3B6A9474">
      <w:pPr>
        <w:pStyle w:val="2"/>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（10）</w:t>
      </w:r>
      <w:r>
        <w:rPr>
          <w:rFonts w:hint="eastAsia" w:ascii="仿宋" w:hAnsi="仿宋" w:eastAsia="仿宋" w:cs="仿宋"/>
          <w:snapToGrid w:val="0"/>
          <w:color w:val="auto"/>
          <w:spacing w:val="-3"/>
          <w:kern w:val="0"/>
          <w:position w:val="10"/>
          <w:sz w:val="24"/>
          <w:szCs w:val="24"/>
          <w:highlight w:val="none"/>
          <w:lang w:val="en-US" w:eastAsia="en-US" w:bidi="ar-SA"/>
        </w:rPr>
        <w:t>提供投标单位按磋商文件要求缴纳磋商保证金的</w:t>
      </w:r>
      <w:r>
        <w:rPr>
          <w:rFonts w:hint="eastAsia" w:ascii="仿宋" w:hAnsi="仿宋" w:eastAsia="仿宋" w:cs="仿宋"/>
          <w:snapToGrid w:val="0"/>
          <w:color w:val="auto"/>
          <w:spacing w:val="-3"/>
          <w:kern w:val="0"/>
          <w:position w:val="10"/>
          <w:sz w:val="24"/>
          <w:szCs w:val="24"/>
          <w:highlight w:val="none"/>
          <w:lang w:val="en-US" w:eastAsia="zh-CN" w:bidi="ar-SA"/>
        </w:rPr>
        <w:t>的缴款凭证或金融机构、担保机构出具的保函。</w:t>
      </w:r>
    </w:p>
    <w:p w14:paraId="0136556C">
      <w:pPr>
        <w:pStyle w:val="2"/>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注：“提供依法缴纳近三个月任意1个月的税收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供应商注意！</w:t>
      </w:r>
    </w:p>
    <w:p w14:paraId="19C97560">
      <w:pPr>
        <w:pStyle w:val="2"/>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三、获取采购文件</w:t>
      </w:r>
      <w:bookmarkEnd w:id="396"/>
    </w:p>
    <w:p w14:paraId="3F0D7ACE">
      <w:pPr>
        <w:pStyle w:val="2"/>
        <w:keepNext w:val="0"/>
        <w:keepLines w:val="0"/>
        <w:pageBreakBefore w:val="0"/>
        <w:widowControl/>
        <w:shd w:val="clear"/>
        <w:overflowPunct/>
        <w:topLinePunct w:val="0"/>
        <w:autoSpaceDE w:val="0"/>
        <w:autoSpaceDN w:val="0"/>
        <w:bidi w:val="0"/>
        <w:adjustRightInd w:val="0"/>
        <w:snapToGrid w:val="0"/>
        <w:spacing w:before="25" w:line="219" w:lineRule="auto"/>
        <w:ind w:left="11" w:firstLine="472" w:firstLineChars="200"/>
        <w:jc w:val="both"/>
        <w:textAlignment w:val="baseline"/>
        <w:outlineLvl w:val="9"/>
        <w:rPr>
          <w:rFonts w:hint="eastAsia" w:ascii="仿宋" w:hAnsi="仿宋" w:eastAsia="仿宋" w:cs="仿宋"/>
          <w:color w:val="auto"/>
          <w:spacing w:val="-2"/>
          <w:sz w:val="24"/>
          <w:szCs w:val="24"/>
          <w:highlight w:val="none"/>
        </w:rPr>
      </w:pPr>
      <w:bookmarkStart w:id="397" w:name="_Toc21734"/>
      <w:r>
        <w:rPr>
          <w:rFonts w:hint="eastAsia" w:ascii="仿宋" w:hAnsi="仿宋" w:eastAsia="仿宋" w:cs="仿宋"/>
          <w:color w:val="auto"/>
          <w:spacing w:val="-2"/>
          <w:sz w:val="24"/>
          <w:szCs w:val="24"/>
          <w:highlight w:val="yellow"/>
        </w:rPr>
        <w:t>时间：</w:t>
      </w:r>
      <w:r>
        <w:rPr>
          <w:rFonts w:hint="eastAsia" w:ascii="仿宋" w:hAnsi="仿宋" w:eastAsia="仿宋" w:cs="仿宋"/>
          <w:color w:val="auto"/>
          <w:spacing w:val="-2"/>
          <w:sz w:val="24"/>
          <w:szCs w:val="24"/>
          <w:highlight w:val="yellow"/>
          <w:lang w:val="en-US" w:eastAsia="zh-CN"/>
        </w:rPr>
        <w:t>2025年6月20日至2025年6月27日</w:t>
      </w:r>
      <w:r>
        <w:rPr>
          <w:rFonts w:hint="eastAsia" w:ascii="仿宋" w:hAnsi="仿宋" w:eastAsia="仿宋" w:cs="仿宋"/>
          <w:color w:val="auto"/>
          <w:spacing w:val="-2"/>
          <w:sz w:val="24"/>
          <w:szCs w:val="24"/>
          <w:highlight w:val="none"/>
          <w:lang w:val="en-US" w:eastAsia="zh-CN"/>
        </w:rPr>
        <w:t>，每天上午00:00至14:00，下午14:00至23:59（北京时间，法定节假日除外）</w:t>
      </w:r>
      <w:r>
        <w:rPr>
          <w:rFonts w:hint="eastAsia" w:ascii="仿宋" w:hAnsi="仿宋" w:eastAsia="仿宋" w:cs="仿宋"/>
          <w:color w:val="auto"/>
          <w:spacing w:val="-2"/>
          <w:sz w:val="24"/>
          <w:szCs w:val="24"/>
          <w:highlight w:val="none"/>
        </w:rPr>
        <w:t>。</w:t>
      </w:r>
      <w:bookmarkEnd w:id="397"/>
    </w:p>
    <w:p w14:paraId="3384F7CF">
      <w:pPr>
        <w:pStyle w:val="2"/>
        <w:keepNext w:val="0"/>
        <w:keepLines w:val="0"/>
        <w:pageBreakBefore w:val="0"/>
        <w:widowControl/>
        <w:shd w:val="clear"/>
        <w:overflowPunct/>
        <w:topLinePunct w:val="0"/>
        <w:autoSpaceDE w:val="0"/>
        <w:autoSpaceDN w:val="0"/>
        <w:bidi w:val="0"/>
        <w:adjustRightInd w:val="0"/>
        <w:snapToGrid w:val="0"/>
        <w:spacing w:before="25" w:line="219" w:lineRule="auto"/>
        <w:ind w:left="11" w:firstLine="472" w:firstLineChars="200"/>
        <w:jc w:val="both"/>
        <w:textAlignment w:val="baseline"/>
        <w:outlineLvl w:val="9"/>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地点：政采云平台（www.zcygov.cn）线上获取</w:t>
      </w:r>
    </w:p>
    <w:p w14:paraId="49FAE7EE">
      <w:pPr>
        <w:pStyle w:val="2"/>
        <w:keepNext w:val="0"/>
        <w:keepLines w:val="0"/>
        <w:pageBreakBefore w:val="0"/>
        <w:widowControl/>
        <w:shd w:val="clear"/>
        <w:overflowPunct/>
        <w:topLinePunct w:val="0"/>
        <w:autoSpaceDE w:val="0"/>
        <w:autoSpaceDN w:val="0"/>
        <w:bidi w:val="0"/>
        <w:adjustRightInd w:val="0"/>
        <w:snapToGrid w:val="0"/>
        <w:spacing w:before="25" w:line="219" w:lineRule="auto"/>
        <w:ind w:left="11" w:firstLine="472" w:firstLineChars="200"/>
        <w:jc w:val="both"/>
        <w:textAlignment w:val="baseline"/>
        <w:outlineLvl w:val="9"/>
        <w:rPr>
          <w:rFonts w:hint="eastAsia" w:ascii="仿宋" w:hAnsi="仿宋" w:eastAsia="仿宋" w:cs="仿宋"/>
          <w:color w:val="auto"/>
          <w:spacing w:val="-2"/>
          <w:sz w:val="24"/>
          <w:szCs w:val="24"/>
          <w:highlight w:val="none"/>
        </w:rPr>
      </w:pPr>
      <w:bookmarkStart w:id="398" w:name="_Toc19690"/>
      <w:r>
        <w:rPr>
          <w:rFonts w:hint="eastAsia" w:ascii="仿宋" w:hAnsi="仿宋" w:eastAsia="仿宋" w:cs="仿宋"/>
          <w:color w:val="auto"/>
          <w:spacing w:val="-2"/>
          <w:sz w:val="24"/>
          <w:szCs w:val="24"/>
          <w:highlight w:val="none"/>
        </w:rPr>
        <w:t>方式：线上下载（供应商登陆政采云平台→ 项目采购 → 获取磋商文件，通过后可下载磋商文件）</w:t>
      </w:r>
      <w:bookmarkEnd w:id="398"/>
    </w:p>
    <w:p w14:paraId="11420DA0">
      <w:pPr>
        <w:pStyle w:val="2"/>
        <w:keepNext w:val="0"/>
        <w:keepLines w:val="0"/>
        <w:pageBreakBefore w:val="0"/>
        <w:widowControl/>
        <w:shd w:val="clear"/>
        <w:overflowPunct/>
        <w:topLinePunct w:val="0"/>
        <w:autoSpaceDE w:val="0"/>
        <w:autoSpaceDN w:val="0"/>
        <w:bidi w:val="0"/>
        <w:adjustRightInd w:val="0"/>
        <w:snapToGrid w:val="0"/>
        <w:spacing w:before="25" w:line="219" w:lineRule="auto"/>
        <w:ind w:left="11" w:firstLine="472" w:firstLineChars="200"/>
        <w:jc w:val="both"/>
        <w:textAlignment w:val="baseline"/>
        <w:outlineLvl w:val="9"/>
        <w:rPr>
          <w:rFonts w:hint="eastAsia" w:ascii="仿宋" w:hAnsi="仿宋" w:eastAsia="仿宋" w:cs="仿宋"/>
          <w:color w:val="auto"/>
          <w:spacing w:val="-2"/>
          <w:sz w:val="24"/>
          <w:szCs w:val="24"/>
          <w:highlight w:val="none"/>
        </w:rPr>
      </w:pPr>
      <w:bookmarkStart w:id="399" w:name="_Toc7652"/>
      <w:r>
        <w:rPr>
          <w:rFonts w:hint="eastAsia" w:ascii="仿宋" w:hAnsi="仿宋" w:eastAsia="仿宋" w:cs="仿宋"/>
          <w:color w:val="auto"/>
          <w:spacing w:val="-2"/>
          <w:sz w:val="24"/>
          <w:szCs w:val="24"/>
          <w:highlight w:val="none"/>
        </w:rPr>
        <w:t>售价：0.00 元</w:t>
      </w:r>
      <w:bookmarkEnd w:id="399"/>
    </w:p>
    <w:p w14:paraId="073B28B9">
      <w:pPr>
        <w:pStyle w:val="2"/>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color w:val="auto"/>
          <w:spacing w:val="-2"/>
          <w:sz w:val="24"/>
          <w:szCs w:val="24"/>
          <w:highlight w:val="none"/>
        </w:rPr>
      </w:pPr>
      <w:bookmarkStart w:id="400" w:name="_Toc2129"/>
      <w:r>
        <w:rPr>
          <w:rFonts w:hint="eastAsia" w:ascii="仿宋" w:hAnsi="仿宋" w:eastAsia="仿宋" w:cs="仿宋"/>
          <w:color w:val="auto"/>
          <w:spacing w:val="-2"/>
          <w:sz w:val="24"/>
          <w:szCs w:val="24"/>
          <w:highlight w:val="none"/>
        </w:rPr>
        <w:t>四、响应文件提交</w:t>
      </w:r>
      <w:bookmarkEnd w:id="400"/>
    </w:p>
    <w:p w14:paraId="797DBF64">
      <w:pPr>
        <w:pStyle w:val="2"/>
        <w:keepNext w:val="0"/>
        <w:keepLines w:val="0"/>
        <w:pageBreakBefore w:val="0"/>
        <w:widowControl/>
        <w:shd w:val="clear"/>
        <w:overflowPunct/>
        <w:topLinePunct w:val="0"/>
        <w:autoSpaceDE w:val="0"/>
        <w:autoSpaceDN w:val="0"/>
        <w:bidi w:val="0"/>
        <w:adjustRightInd w:val="0"/>
        <w:snapToGrid w:val="0"/>
        <w:spacing w:before="25" w:line="219" w:lineRule="auto"/>
        <w:ind w:left="11" w:firstLine="472" w:firstLineChars="200"/>
        <w:jc w:val="both"/>
        <w:textAlignment w:val="baseline"/>
        <w:outlineLvl w:val="9"/>
        <w:rPr>
          <w:rFonts w:hint="eastAsia" w:ascii="仿宋" w:hAnsi="仿宋" w:eastAsia="仿宋" w:cs="仿宋"/>
          <w:color w:val="auto"/>
          <w:spacing w:val="-2"/>
          <w:sz w:val="24"/>
          <w:szCs w:val="24"/>
          <w:highlight w:val="yellow"/>
        </w:rPr>
      </w:pPr>
      <w:r>
        <w:rPr>
          <w:rFonts w:hint="eastAsia" w:ascii="仿宋" w:hAnsi="仿宋" w:eastAsia="仿宋" w:cs="仿宋"/>
          <w:color w:val="auto"/>
          <w:spacing w:val="-2"/>
          <w:sz w:val="24"/>
          <w:szCs w:val="24"/>
          <w:highlight w:val="none"/>
        </w:rPr>
        <w:t>截止时间</w:t>
      </w:r>
      <w:r>
        <w:rPr>
          <w:rFonts w:hint="eastAsia" w:ascii="仿宋" w:hAnsi="仿宋" w:eastAsia="仿宋" w:cs="仿宋"/>
          <w:color w:val="auto"/>
          <w:spacing w:val="-2"/>
          <w:sz w:val="24"/>
          <w:szCs w:val="24"/>
          <w:highlight w:val="none"/>
          <w:lang w:val="en-US" w:eastAsia="zh-CN"/>
        </w:rPr>
        <w:t>：</w:t>
      </w:r>
      <w:r>
        <w:rPr>
          <w:rFonts w:hint="eastAsia" w:ascii="仿宋" w:hAnsi="仿宋" w:eastAsia="仿宋" w:cs="仿宋"/>
          <w:color w:val="auto"/>
          <w:spacing w:val="-2"/>
          <w:sz w:val="24"/>
          <w:szCs w:val="24"/>
          <w:highlight w:val="yellow"/>
          <w:lang w:val="en-US" w:eastAsia="zh-CN"/>
        </w:rPr>
        <w:t>2025年7月01日11：00（北京时间）</w:t>
      </w:r>
    </w:p>
    <w:p w14:paraId="6C2B133D">
      <w:pPr>
        <w:pStyle w:val="2"/>
        <w:keepNext w:val="0"/>
        <w:keepLines w:val="0"/>
        <w:pageBreakBefore w:val="0"/>
        <w:widowControl/>
        <w:shd w:val="clear"/>
        <w:overflowPunct/>
        <w:topLinePunct w:val="0"/>
        <w:autoSpaceDE w:val="0"/>
        <w:autoSpaceDN w:val="0"/>
        <w:bidi w:val="0"/>
        <w:adjustRightInd w:val="0"/>
        <w:snapToGrid w:val="0"/>
        <w:spacing w:before="25" w:line="219" w:lineRule="auto"/>
        <w:ind w:left="11" w:firstLine="472" w:firstLineChars="200"/>
        <w:jc w:val="both"/>
        <w:textAlignment w:val="baseline"/>
        <w:outlineLvl w:val="9"/>
        <w:rPr>
          <w:rFonts w:hint="eastAsia" w:ascii="仿宋" w:hAnsi="仿宋" w:eastAsia="仿宋" w:cs="仿宋"/>
          <w:color w:val="auto"/>
          <w:spacing w:val="-2"/>
          <w:sz w:val="24"/>
          <w:szCs w:val="24"/>
          <w:highlight w:val="none"/>
        </w:rPr>
      </w:pPr>
      <w:bookmarkStart w:id="401" w:name="_Toc22446"/>
      <w:r>
        <w:rPr>
          <w:rFonts w:hint="eastAsia" w:ascii="仿宋" w:hAnsi="仿宋" w:eastAsia="仿宋" w:cs="仿宋"/>
          <w:color w:val="auto"/>
          <w:spacing w:val="-2"/>
          <w:sz w:val="24"/>
          <w:szCs w:val="24"/>
          <w:highlight w:val="none"/>
        </w:rPr>
        <w:t>地点：供应商登录政采云平台 https://www.zcygov.cn/在线提交</w:t>
      </w:r>
      <w:bookmarkEnd w:id="401"/>
    </w:p>
    <w:p w14:paraId="5069A29C">
      <w:pPr>
        <w:pStyle w:val="2"/>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color w:val="auto"/>
          <w:spacing w:val="-2"/>
          <w:sz w:val="24"/>
          <w:szCs w:val="24"/>
          <w:highlight w:val="none"/>
        </w:rPr>
      </w:pPr>
      <w:bookmarkStart w:id="402" w:name="_Toc2464"/>
      <w:r>
        <w:rPr>
          <w:rFonts w:hint="eastAsia" w:ascii="仿宋" w:hAnsi="仿宋" w:eastAsia="仿宋" w:cs="仿宋"/>
          <w:color w:val="auto"/>
          <w:spacing w:val="-2"/>
          <w:sz w:val="24"/>
          <w:szCs w:val="24"/>
          <w:highlight w:val="none"/>
        </w:rPr>
        <w:t>五、响应文件开启</w:t>
      </w:r>
      <w:bookmarkEnd w:id="402"/>
    </w:p>
    <w:p w14:paraId="2BA5F6D4">
      <w:pPr>
        <w:pStyle w:val="2"/>
        <w:keepNext w:val="0"/>
        <w:keepLines w:val="0"/>
        <w:pageBreakBefore w:val="0"/>
        <w:widowControl/>
        <w:shd w:val="clear"/>
        <w:overflowPunct/>
        <w:topLinePunct w:val="0"/>
        <w:autoSpaceDE w:val="0"/>
        <w:autoSpaceDN w:val="0"/>
        <w:bidi w:val="0"/>
        <w:adjustRightInd w:val="0"/>
        <w:snapToGrid w:val="0"/>
        <w:spacing w:before="25" w:line="219" w:lineRule="auto"/>
        <w:ind w:left="11" w:firstLine="472" w:firstLineChars="200"/>
        <w:jc w:val="both"/>
        <w:textAlignment w:val="baseline"/>
        <w:outlineLvl w:val="9"/>
        <w:rPr>
          <w:rFonts w:hint="eastAsia" w:ascii="仿宋" w:hAnsi="仿宋" w:eastAsia="仿宋" w:cs="仿宋"/>
          <w:color w:val="auto"/>
          <w:spacing w:val="-2"/>
          <w:sz w:val="24"/>
          <w:szCs w:val="24"/>
          <w:highlight w:val="yellow"/>
        </w:rPr>
      </w:pPr>
      <w:r>
        <w:rPr>
          <w:rFonts w:hint="eastAsia" w:ascii="仿宋" w:hAnsi="仿宋" w:eastAsia="仿宋" w:cs="仿宋"/>
          <w:color w:val="auto"/>
          <w:spacing w:val="-2"/>
          <w:sz w:val="24"/>
          <w:szCs w:val="24"/>
          <w:highlight w:val="none"/>
        </w:rPr>
        <w:t>截止时间</w:t>
      </w:r>
      <w:r>
        <w:rPr>
          <w:rFonts w:hint="eastAsia" w:ascii="仿宋" w:hAnsi="仿宋" w:eastAsia="仿宋" w:cs="仿宋"/>
          <w:color w:val="auto"/>
          <w:spacing w:val="-2"/>
          <w:sz w:val="24"/>
          <w:szCs w:val="24"/>
          <w:highlight w:val="none"/>
          <w:lang w:val="en-US" w:eastAsia="zh-CN"/>
        </w:rPr>
        <w:t>：</w:t>
      </w:r>
      <w:r>
        <w:rPr>
          <w:rFonts w:hint="eastAsia" w:ascii="仿宋" w:hAnsi="仿宋" w:eastAsia="仿宋" w:cs="仿宋"/>
          <w:color w:val="auto"/>
          <w:spacing w:val="-2"/>
          <w:sz w:val="24"/>
          <w:szCs w:val="24"/>
          <w:highlight w:val="yellow"/>
          <w:lang w:val="en-US" w:eastAsia="zh-CN"/>
        </w:rPr>
        <w:t>2025年7月01日11：00（北京时间）</w:t>
      </w:r>
    </w:p>
    <w:p w14:paraId="703EA494">
      <w:pPr>
        <w:pStyle w:val="2"/>
        <w:keepNext w:val="0"/>
        <w:keepLines w:val="0"/>
        <w:pageBreakBefore w:val="0"/>
        <w:widowControl/>
        <w:shd w:val="clear"/>
        <w:overflowPunct/>
        <w:topLinePunct w:val="0"/>
        <w:autoSpaceDE w:val="0"/>
        <w:autoSpaceDN w:val="0"/>
        <w:bidi w:val="0"/>
        <w:adjustRightInd w:val="0"/>
        <w:snapToGrid w:val="0"/>
        <w:spacing w:before="25" w:line="219" w:lineRule="auto"/>
        <w:ind w:left="11" w:firstLine="472" w:firstLineChars="200"/>
        <w:jc w:val="both"/>
        <w:textAlignment w:val="baseline"/>
        <w:outlineLvl w:val="9"/>
        <w:rPr>
          <w:rFonts w:hint="eastAsia" w:ascii="仿宋" w:hAnsi="仿宋" w:eastAsia="仿宋" w:cs="仿宋"/>
          <w:color w:val="auto"/>
          <w:spacing w:val="-2"/>
          <w:sz w:val="24"/>
          <w:szCs w:val="24"/>
          <w:highlight w:val="none"/>
        </w:rPr>
      </w:pPr>
      <w:bookmarkStart w:id="403" w:name="_Toc28637"/>
      <w:r>
        <w:rPr>
          <w:rFonts w:hint="eastAsia" w:ascii="仿宋" w:hAnsi="仿宋" w:eastAsia="仿宋" w:cs="仿宋"/>
          <w:color w:val="auto"/>
          <w:spacing w:val="-2"/>
          <w:sz w:val="24"/>
          <w:szCs w:val="24"/>
          <w:highlight w:val="none"/>
        </w:rPr>
        <w:t>地点：政采云平台https://www.zcygov.cn 不见面开标</w:t>
      </w:r>
      <w:bookmarkEnd w:id="403"/>
    </w:p>
    <w:p w14:paraId="219B28D5">
      <w:pPr>
        <w:pStyle w:val="2"/>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color w:val="auto"/>
          <w:spacing w:val="-2"/>
          <w:sz w:val="24"/>
          <w:szCs w:val="24"/>
          <w:highlight w:val="none"/>
        </w:rPr>
      </w:pPr>
      <w:bookmarkStart w:id="404" w:name="_Toc29786"/>
      <w:r>
        <w:rPr>
          <w:rFonts w:hint="eastAsia" w:ascii="仿宋" w:hAnsi="仿宋" w:eastAsia="仿宋" w:cs="仿宋"/>
          <w:color w:val="auto"/>
          <w:spacing w:val="-2"/>
          <w:sz w:val="24"/>
          <w:szCs w:val="24"/>
          <w:highlight w:val="none"/>
        </w:rPr>
        <w:t>六、公告期限</w:t>
      </w:r>
      <w:bookmarkEnd w:id="404"/>
    </w:p>
    <w:p w14:paraId="2124B010">
      <w:pPr>
        <w:pStyle w:val="2"/>
        <w:keepNext w:val="0"/>
        <w:keepLines w:val="0"/>
        <w:pageBreakBefore w:val="0"/>
        <w:widowControl/>
        <w:shd w:val="clear"/>
        <w:overflowPunct/>
        <w:topLinePunct w:val="0"/>
        <w:autoSpaceDE w:val="0"/>
        <w:autoSpaceDN w:val="0"/>
        <w:bidi w:val="0"/>
        <w:adjustRightInd w:val="0"/>
        <w:snapToGrid w:val="0"/>
        <w:spacing w:before="96" w:line="218" w:lineRule="auto"/>
        <w:ind w:left="771"/>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自本公告发布之日起</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5"/>
          <w:sz w:val="24"/>
          <w:szCs w:val="24"/>
          <w:highlight w:val="none"/>
        </w:rPr>
        <w:t>5</w:t>
      </w:r>
      <w:r>
        <w:rPr>
          <w:rFonts w:hint="eastAsia" w:ascii="仿宋" w:hAnsi="仿宋" w:eastAsia="仿宋" w:cs="仿宋"/>
          <w:color w:val="auto"/>
          <w:spacing w:val="-50"/>
          <w:sz w:val="24"/>
          <w:szCs w:val="24"/>
          <w:highlight w:val="none"/>
        </w:rPr>
        <w:t xml:space="preserve"> </w:t>
      </w:r>
      <w:r>
        <w:rPr>
          <w:rFonts w:hint="eastAsia" w:ascii="仿宋" w:hAnsi="仿宋" w:eastAsia="仿宋" w:cs="仿宋"/>
          <w:color w:val="auto"/>
          <w:spacing w:val="-5"/>
          <w:sz w:val="24"/>
          <w:szCs w:val="24"/>
          <w:highlight w:val="none"/>
        </w:rPr>
        <w:t>个工作日。</w:t>
      </w:r>
    </w:p>
    <w:p w14:paraId="4B799790">
      <w:pPr>
        <w:pStyle w:val="2"/>
        <w:keepNext w:val="0"/>
        <w:keepLines w:val="0"/>
        <w:pageBreakBefore w:val="0"/>
        <w:widowControl/>
        <w:shd w:val="clear"/>
        <w:overflowPunct/>
        <w:topLinePunct w:val="0"/>
        <w:autoSpaceDE w:val="0"/>
        <w:autoSpaceDN w:val="0"/>
        <w:bidi w:val="0"/>
        <w:adjustRightInd w:val="0"/>
        <w:snapToGrid w:val="0"/>
        <w:spacing w:before="98" w:line="220" w:lineRule="auto"/>
        <w:ind w:left="10"/>
        <w:textAlignment w:val="baseline"/>
        <w:outlineLvl w:val="9"/>
        <w:rPr>
          <w:rFonts w:hint="eastAsia" w:ascii="仿宋" w:hAnsi="仿宋" w:eastAsia="仿宋" w:cs="仿宋"/>
          <w:color w:val="auto"/>
          <w:sz w:val="24"/>
          <w:szCs w:val="24"/>
          <w:highlight w:val="none"/>
        </w:rPr>
      </w:pPr>
      <w:bookmarkStart w:id="405" w:name="_Toc32505"/>
      <w:r>
        <w:rPr>
          <w:rFonts w:hint="eastAsia" w:ascii="仿宋" w:hAnsi="仿宋" w:eastAsia="仿宋" w:cs="仿宋"/>
          <w:color w:val="auto"/>
          <w:spacing w:val="-2"/>
          <w:sz w:val="24"/>
          <w:szCs w:val="24"/>
          <w:highlight w:val="none"/>
        </w:rPr>
        <w:t>七、其他补充事宜</w:t>
      </w:r>
      <w:bookmarkEnd w:id="405"/>
    </w:p>
    <w:p w14:paraId="5B8BF066">
      <w:pPr>
        <w:pStyle w:val="2"/>
        <w:keepNext w:val="0"/>
        <w:keepLines w:val="0"/>
        <w:pageBreakBefore w:val="0"/>
        <w:widowControl/>
        <w:shd w:val="clear"/>
        <w:kinsoku/>
        <w:wordWrap w:val="0"/>
        <w:overflowPunct/>
        <w:topLinePunct w:val="0"/>
        <w:autoSpaceDE w:val="0"/>
        <w:autoSpaceDN w:val="0"/>
        <w:bidi w:val="0"/>
        <w:adjustRightInd w:val="0"/>
        <w:snapToGrid w:val="0"/>
        <w:spacing w:before="94" w:line="255" w:lineRule="auto"/>
        <w:ind w:left="39" w:right="61" w:hanging="1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1.本项目实行网上投标，采用电子投标文件(供应商须使用</w:t>
      </w:r>
      <w:r>
        <w:rPr>
          <w:rFonts w:hint="eastAsia" w:ascii="仿宋" w:hAnsi="仿宋" w:eastAsia="仿宋" w:cs="仿宋"/>
          <w:color w:val="auto"/>
          <w:spacing w:val="-3"/>
          <w:sz w:val="24"/>
          <w:szCs w:val="24"/>
          <w:highlight w:val="none"/>
        </w:rPr>
        <w:t>CA加密设备通过新疆政采云电子投标客户端制作投标文件)。若供应商参与投标，自行承担投标一切费用。</w:t>
      </w:r>
    </w:p>
    <w:p w14:paraId="278816F7">
      <w:pPr>
        <w:pStyle w:val="2"/>
        <w:keepNext w:val="0"/>
        <w:keepLines w:val="0"/>
        <w:pageBreakBefore w:val="0"/>
        <w:widowControl/>
        <w:shd w:val="clear"/>
        <w:kinsoku/>
        <w:wordWrap w:val="0"/>
        <w:overflowPunct/>
        <w:topLinePunct w:val="0"/>
        <w:autoSpaceDE w:val="0"/>
        <w:autoSpaceDN w:val="0"/>
        <w:bidi w:val="0"/>
        <w:adjustRightInd w:val="0"/>
        <w:snapToGrid w:val="0"/>
        <w:spacing w:before="98" w:line="267" w:lineRule="auto"/>
        <w:ind w:left="12" w:right="133" w:firstLine="1"/>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2.各供应商应在开标前应确保成为新疆政府采购网正式注册入库供应商，并完成CA数字证书申领。因未注册入库、未办理CA数字证书等原因造成无法投标或投标失败等后</w:t>
      </w:r>
      <w:r>
        <w:rPr>
          <w:rFonts w:hint="eastAsia" w:ascii="仿宋" w:hAnsi="仿宋" w:eastAsia="仿宋" w:cs="仿宋"/>
          <w:color w:val="auto"/>
          <w:spacing w:val="-2"/>
          <w:sz w:val="24"/>
          <w:szCs w:val="24"/>
          <w:highlight w:val="none"/>
        </w:rPr>
        <w:t>果由供应商自行承担。</w:t>
      </w:r>
    </w:p>
    <w:p w14:paraId="4EEC0836">
      <w:pPr>
        <w:pStyle w:val="2"/>
        <w:keepNext w:val="0"/>
        <w:keepLines w:val="0"/>
        <w:pageBreakBefore w:val="0"/>
        <w:widowControl/>
        <w:shd w:val="clear"/>
        <w:kinsoku/>
        <w:wordWrap w:val="0"/>
        <w:overflowPunct/>
        <w:topLinePunct w:val="0"/>
        <w:autoSpaceDE w:val="0"/>
        <w:autoSpaceDN w:val="0"/>
        <w:bidi w:val="0"/>
        <w:adjustRightInd w:val="0"/>
        <w:snapToGrid w:val="0"/>
        <w:spacing w:before="97" w:line="268" w:lineRule="auto"/>
        <w:ind w:left="12" w:right="61" w:firstLine="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3.供应商将政采云电子交易客户端下载、安装完成后，可通过账号密码或CA登录客户</w:t>
      </w:r>
      <w:r>
        <w:rPr>
          <w:rFonts w:hint="eastAsia" w:ascii="仿宋" w:hAnsi="仿宋" w:eastAsia="仿宋" w:cs="仿宋"/>
          <w:color w:val="auto"/>
          <w:spacing w:val="-2"/>
          <w:sz w:val="24"/>
          <w:szCs w:val="24"/>
          <w:highlight w:val="none"/>
        </w:rPr>
        <w:t>端进行投标文件制作。在使用新疆政采云投标客户端时，建议使用WIN7+64位及以上操</w:t>
      </w:r>
      <w:r>
        <w:rPr>
          <w:rFonts w:hint="eastAsia" w:ascii="仿宋" w:hAnsi="仿宋" w:eastAsia="仿宋" w:cs="仿宋"/>
          <w:color w:val="auto"/>
          <w:spacing w:val="-3"/>
          <w:sz w:val="24"/>
          <w:szCs w:val="24"/>
          <w:highlight w:val="none"/>
        </w:rPr>
        <w:t>作系统。</w:t>
      </w:r>
    </w:p>
    <w:p w14:paraId="4CE7AA07">
      <w:pPr>
        <w:pStyle w:val="2"/>
        <w:keepNext w:val="0"/>
        <w:keepLines w:val="0"/>
        <w:pageBreakBefore w:val="0"/>
        <w:widowControl/>
        <w:shd w:val="clear"/>
        <w:kinsoku/>
        <w:wordWrap w:val="0"/>
        <w:overflowPunct/>
        <w:topLinePunct w:val="0"/>
        <w:autoSpaceDE w:val="0"/>
        <w:autoSpaceDN w:val="0"/>
        <w:bidi w:val="0"/>
        <w:adjustRightInd w:val="0"/>
        <w:snapToGrid w:val="0"/>
        <w:spacing w:before="96" w:line="255" w:lineRule="auto"/>
        <w:ind w:left="9" w:right="13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4.供应商在开标时须使用制作加密电子投标文件所使用的CA锁及电脑，电脑须提前配</w:t>
      </w:r>
      <w:r>
        <w:rPr>
          <w:rFonts w:hint="eastAsia" w:ascii="仿宋" w:hAnsi="仿宋" w:eastAsia="仿宋" w:cs="仿宋"/>
          <w:color w:val="auto"/>
          <w:spacing w:val="-2"/>
          <w:sz w:val="24"/>
          <w:szCs w:val="24"/>
          <w:highlight w:val="none"/>
        </w:rPr>
        <w:t>置好浏览器（建议使用360浏览器兼容版或谷歌浏览器</w:t>
      </w:r>
      <w:r>
        <w:rPr>
          <w:rFonts w:hint="eastAsia" w:ascii="仿宋" w:hAnsi="仿宋" w:eastAsia="仿宋" w:cs="仿宋"/>
          <w:color w:val="auto"/>
          <w:spacing w:val="18"/>
          <w:sz w:val="24"/>
          <w:szCs w:val="24"/>
          <w:highlight w:val="none"/>
        </w:rPr>
        <w:t>），</w:t>
      </w:r>
      <w:r>
        <w:rPr>
          <w:rFonts w:hint="eastAsia" w:ascii="仿宋" w:hAnsi="仿宋" w:eastAsia="仿宋" w:cs="仿宋"/>
          <w:color w:val="auto"/>
          <w:spacing w:val="-2"/>
          <w:sz w:val="24"/>
          <w:szCs w:val="24"/>
          <w:highlight w:val="none"/>
        </w:rPr>
        <w:t>以便</w:t>
      </w:r>
      <w:r>
        <w:rPr>
          <w:rFonts w:hint="eastAsia" w:ascii="仿宋" w:hAnsi="仿宋" w:eastAsia="仿宋" w:cs="仿宋"/>
          <w:color w:val="auto"/>
          <w:spacing w:val="-3"/>
          <w:sz w:val="24"/>
          <w:szCs w:val="24"/>
          <w:highlight w:val="none"/>
        </w:rPr>
        <w:t>开标时解锁。</w:t>
      </w:r>
    </w:p>
    <w:p w14:paraId="65EE25BB">
      <w:pPr>
        <w:pStyle w:val="2"/>
        <w:keepNext w:val="0"/>
        <w:keepLines w:val="0"/>
        <w:pageBreakBefore w:val="0"/>
        <w:widowControl/>
        <w:shd w:val="clear"/>
        <w:kinsoku/>
        <w:wordWrap w:val="0"/>
        <w:overflowPunct/>
        <w:topLinePunct w:val="0"/>
        <w:autoSpaceDE w:val="0"/>
        <w:autoSpaceDN w:val="0"/>
        <w:bidi w:val="0"/>
        <w:adjustRightInd w:val="0"/>
        <w:snapToGrid w:val="0"/>
        <w:spacing w:before="95" w:line="219" w:lineRule="auto"/>
        <w:ind w:left="16"/>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5.供应商对不见面开评标系统的技术操作咨询，可通过</w:t>
      </w:r>
    </w:p>
    <w:p w14:paraId="4C49F31C">
      <w:pPr>
        <w:pStyle w:val="2"/>
        <w:keepNext w:val="0"/>
        <w:keepLines w:val="0"/>
        <w:pageBreakBefore w:val="0"/>
        <w:widowControl/>
        <w:shd w:val="clear"/>
        <w:kinsoku/>
        <w:wordWrap w:val="0"/>
        <w:overflowPunct/>
        <w:topLinePunct w:val="0"/>
        <w:autoSpaceDE w:val="0"/>
        <w:autoSpaceDN w:val="0"/>
        <w:bidi w:val="0"/>
        <w:adjustRightInd w:val="0"/>
        <w:snapToGrid w:val="0"/>
        <w:spacing w:before="96" w:line="282" w:lineRule="auto"/>
        <w:ind w:firstLine="8"/>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HYPERLINK"https://edu.zcygov.cn/luban/xinjiang-e-biding"</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1"/>
          <w:sz w:val="24"/>
          <w:szCs w:val="24"/>
          <w:highlight w:val="none"/>
        </w:rPr>
        <w:t>https://edu.zcygov.cn/luban/xinjiang-e-biding</w:t>
      </w:r>
      <w:r>
        <w:rPr>
          <w:rFonts w:hint="eastAsia" w:ascii="仿宋" w:hAnsi="仿宋" w:eastAsia="仿宋" w:cs="仿宋"/>
          <w:color w:val="auto"/>
          <w:spacing w:val="-1"/>
          <w:sz w:val="24"/>
          <w:szCs w:val="24"/>
          <w:highlight w:val="none"/>
        </w:rPr>
        <w:fldChar w:fldCharType="end"/>
      </w:r>
      <w:r>
        <w:rPr>
          <w:rFonts w:hint="eastAsia" w:ascii="仿宋" w:hAnsi="仿宋" w:eastAsia="仿宋" w:cs="仿宋"/>
          <w:color w:val="auto"/>
          <w:spacing w:val="-1"/>
          <w:sz w:val="24"/>
          <w:szCs w:val="24"/>
          <w:highlight w:val="none"/>
        </w:rPr>
        <w:t>自助查询，也可在</w:t>
      </w:r>
      <w:r>
        <w:rPr>
          <w:rFonts w:hint="eastAsia" w:ascii="仿宋" w:hAnsi="仿宋" w:eastAsia="仿宋" w:cs="仿宋"/>
          <w:color w:val="auto"/>
          <w:spacing w:val="-2"/>
          <w:sz w:val="24"/>
          <w:szCs w:val="24"/>
          <w:highlight w:val="none"/>
        </w:rPr>
        <w:t>政采云帮助中心</w:t>
      </w:r>
      <w:r>
        <w:rPr>
          <w:rFonts w:hint="eastAsia" w:ascii="仿宋" w:hAnsi="仿宋" w:eastAsia="仿宋" w:cs="仿宋"/>
          <w:color w:val="auto"/>
          <w:spacing w:val="-4"/>
          <w:sz w:val="24"/>
          <w:szCs w:val="24"/>
          <w:highlight w:val="none"/>
        </w:rPr>
        <w:t>常见问题解答和操作流程讲解视频中自助查询，网址为：https://s</w:t>
      </w:r>
      <w:r>
        <w:rPr>
          <w:rFonts w:hint="eastAsia" w:ascii="仿宋" w:hAnsi="仿宋" w:eastAsia="仿宋" w:cs="仿宋"/>
          <w:color w:val="auto"/>
          <w:spacing w:val="-5"/>
          <w:sz w:val="24"/>
          <w:szCs w:val="24"/>
          <w:highlight w:val="none"/>
        </w:rPr>
        <w:t>ervice.zcygov.cn/，</w:t>
      </w:r>
      <w:r>
        <w:rPr>
          <w:rFonts w:hint="eastAsia" w:ascii="仿宋" w:hAnsi="仿宋" w:eastAsia="仿宋" w:cs="仿宋"/>
          <w:color w:val="auto"/>
          <w:spacing w:val="-3"/>
          <w:sz w:val="24"/>
          <w:szCs w:val="24"/>
          <w:highlight w:val="none"/>
        </w:rPr>
        <w:t>“项目采购”—“操作流程-电子招投标”—“政府采购项目电子交易管理操作指南-供</w:t>
      </w:r>
      <w:r>
        <w:rPr>
          <w:rFonts w:hint="eastAsia" w:ascii="仿宋" w:hAnsi="仿宋" w:eastAsia="仿宋" w:cs="仿宋"/>
          <w:color w:val="auto"/>
          <w:spacing w:val="-2"/>
          <w:sz w:val="24"/>
          <w:szCs w:val="24"/>
          <w:highlight w:val="none"/>
        </w:rPr>
        <w:t>应商”版面获取操作指南，同时对自助查询无法解决的问题可通过钉钉群及政采</w:t>
      </w:r>
      <w:r>
        <w:rPr>
          <w:rFonts w:hint="eastAsia" w:ascii="仿宋" w:hAnsi="仿宋" w:eastAsia="仿宋" w:cs="仿宋"/>
          <w:color w:val="auto"/>
          <w:spacing w:val="-3"/>
          <w:sz w:val="24"/>
          <w:szCs w:val="24"/>
          <w:highlight w:val="none"/>
        </w:rPr>
        <w:t>云在线</w:t>
      </w:r>
      <w:r>
        <w:rPr>
          <w:rFonts w:hint="eastAsia" w:ascii="仿宋" w:hAnsi="仿宋" w:eastAsia="仿宋" w:cs="仿宋"/>
          <w:color w:val="auto"/>
          <w:spacing w:val="-5"/>
          <w:sz w:val="24"/>
          <w:szCs w:val="24"/>
          <w:highlight w:val="none"/>
        </w:rPr>
        <w:t>客服获取服务支持。供应商钉钉群号：政采云新疆供应商服务十群：33</w:t>
      </w:r>
      <w:r>
        <w:rPr>
          <w:rFonts w:hint="eastAsia" w:ascii="仿宋" w:hAnsi="仿宋" w:eastAsia="仿宋" w:cs="仿宋"/>
          <w:color w:val="auto"/>
          <w:spacing w:val="-6"/>
          <w:sz w:val="24"/>
          <w:szCs w:val="24"/>
          <w:highlight w:val="none"/>
        </w:rPr>
        <w:t>132402、十一群：</w:t>
      </w:r>
      <w:r>
        <w:rPr>
          <w:rFonts w:hint="eastAsia" w:ascii="仿宋" w:hAnsi="仿宋" w:eastAsia="仿宋" w:cs="仿宋"/>
          <w:color w:val="auto"/>
          <w:spacing w:val="-2"/>
          <w:sz w:val="24"/>
          <w:szCs w:val="24"/>
          <w:highlight w:val="none"/>
        </w:rPr>
        <w:t>30213207（如已加入1-9群，无需重复加入，十一个群联动直播</w:t>
      </w:r>
      <w:r>
        <w:rPr>
          <w:rFonts w:hint="eastAsia" w:ascii="仿宋" w:hAnsi="仿宋" w:eastAsia="仿宋" w:cs="仿宋"/>
          <w:color w:val="auto"/>
          <w:spacing w:val="-1"/>
          <w:sz w:val="24"/>
          <w:szCs w:val="24"/>
          <w:highlight w:val="none"/>
        </w:rPr>
        <w:t>），</w:t>
      </w:r>
      <w:r>
        <w:rPr>
          <w:rFonts w:hint="eastAsia" w:ascii="仿宋" w:hAnsi="仿宋" w:eastAsia="仿宋" w:cs="仿宋"/>
          <w:color w:val="auto"/>
          <w:spacing w:val="-2"/>
          <w:sz w:val="24"/>
          <w:szCs w:val="24"/>
          <w:highlight w:val="none"/>
        </w:rPr>
        <w:t>钉钉工具软件具有</w:t>
      </w:r>
      <w:r>
        <w:rPr>
          <w:rFonts w:hint="eastAsia" w:ascii="仿宋" w:hAnsi="仿宋" w:eastAsia="仿宋" w:cs="仿宋"/>
          <w:color w:val="auto"/>
          <w:sz w:val="24"/>
          <w:szCs w:val="24"/>
          <w:highlight w:val="none"/>
        </w:rPr>
        <w:t>回放功能，直播培训结束后可在钉钉群中回放观看学习。</w:t>
      </w:r>
    </w:p>
    <w:p w14:paraId="7609A012">
      <w:pPr>
        <w:pStyle w:val="2"/>
        <w:keepNext w:val="0"/>
        <w:keepLines w:val="0"/>
        <w:pageBreakBefore w:val="0"/>
        <w:widowControl/>
        <w:shd w:val="clear"/>
        <w:kinsoku/>
        <w:wordWrap w:val="0"/>
        <w:overflowPunct/>
        <w:topLinePunct w:val="0"/>
        <w:autoSpaceDE w:val="0"/>
        <w:autoSpaceDN w:val="0"/>
        <w:bidi w:val="0"/>
        <w:adjustRightInd w:val="0"/>
        <w:snapToGrid w:val="0"/>
        <w:spacing w:before="95" w:line="219" w:lineRule="auto"/>
        <w:ind w:left="5"/>
        <w:jc w:val="both"/>
        <w:textAlignment w:val="baseline"/>
        <w:outlineLvl w:val="9"/>
        <w:rPr>
          <w:rFonts w:hint="eastAsia" w:ascii="仿宋" w:hAnsi="仿宋" w:eastAsia="仿宋" w:cs="仿宋"/>
          <w:color w:val="auto"/>
          <w:sz w:val="24"/>
          <w:szCs w:val="24"/>
          <w:highlight w:val="none"/>
        </w:rPr>
      </w:pPr>
      <w:bookmarkStart w:id="406" w:name="_Toc7629"/>
      <w:r>
        <w:rPr>
          <w:rFonts w:hint="eastAsia" w:ascii="仿宋" w:hAnsi="仿宋" w:eastAsia="仿宋" w:cs="仿宋"/>
          <w:color w:val="auto"/>
          <w:spacing w:val="-1"/>
          <w:sz w:val="24"/>
          <w:szCs w:val="24"/>
          <w:highlight w:val="none"/>
        </w:rPr>
        <w:t>八、对本次招标提出询问，请按以下方式联系。</w:t>
      </w:r>
      <w:bookmarkEnd w:id="406"/>
    </w:p>
    <w:p w14:paraId="3C897714">
      <w:pPr>
        <w:pStyle w:val="2"/>
        <w:keepNext w:val="0"/>
        <w:keepLines w:val="0"/>
        <w:pageBreakBefore w:val="0"/>
        <w:widowControl/>
        <w:shd w:val="clear"/>
        <w:overflowPunct/>
        <w:topLinePunct w:val="0"/>
        <w:autoSpaceDE w:val="0"/>
        <w:autoSpaceDN w:val="0"/>
        <w:bidi w:val="0"/>
        <w:adjustRightInd w:val="0"/>
        <w:snapToGrid w:val="0"/>
        <w:spacing w:before="95" w:line="219" w:lineRule="auto"/>
        <w:ind w:left="19"/>
        <w:textAlignment w:val="baseline"/>
        <w:outlineLvl w:val="9"/>
        <w:rPr>
          <w:rFonts w:hint="eastAsia" w:ascii="仿宋" w:hAnsi="仿宋" w:eastAsia="仿宋" w:cs="仿宋"/>
          <w:color w:val="auto"/>
          <w:sz w:val="24"/>
          <w:szCs w:val="24"/>
          <w:highlight w:val="none"/>
        </w:rPr>
      </w:pPr>
      <w:bookmarkStart w:id="407" w:name="_Toc22490"/>
      <w:bookmarkStart w:id="408" w:name="_Toc24031"/>
      <w:r>
        <w:rPr>
          <w:rFonts w:hint="eastAsia" w:ascii="仿宋" w:hAnsi="仿宋" w:eastAsia="仿宋" w:cs="仿宋"/>
          <w:color w:val="auto"/>
          <w:spacing w:val="-4"/>
          <w:sz w:val="24"/>
          <w:szCs w:val="24"/>
          <w:highlight w:val="none"/>
        </w:rPr>
        <w:t>1.采购人信息</w:t>
      </w:r>
    </w:p>
    <w:p w14:paraId="444155ED">
      <w:pPr>
        <w:pStyle w:val="2"/>
        <w:keepNext w:val="0"/>
        <w:keepLines w:val="0"/>
        <w:pageBreakBefore w:val="0"/>
        <w:widowControl/>
        <w:shd w:val="clear"/>
        <w:overflowPunct/>
        <w:topLinePunct w:val="0"/>
        <w:autoSpaceDE w:val="0"/>
        <w:autoSpaceDN w:val="0"/>
        <w:bidi w:val="0"/>
        <w:adjustRightInd w:val="0"/>
        <w:snapToGrid w:val="0"/>
        <w:spacing w:before="97" w:line="380" w:lineRule="exact"/>
        <w:ind w:left="4"/>
        <w:textAlignment w:val="baseline"/>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pacing w:val="-1"/>
          <w:position w:val="10"/>
          <w:sz w:val="24"/>
          <w:szCs w:val="24"/>
          <w:highlight w:val="none"/>
        </w:rPr>
        <w:t>名 称</w:t>
      </w:r>
      <w:r>
        <w:rPr>
          <w:rFonts w:hint="eastAsia" w:ascii="仿宋" w:hAnsi="仿宋" w:eastAsia="仿宋" w:cs="仿宋"/>
          <w:color w:val="auto"/>
          <w:spacing w:val="-1"/>
          <w:position w:val="10"/>
          <w:sz w:val="24"/>
          <w:szCs w:val="24"/>
          <w:highlight w:val="none"/>
          <w:lang w:eastAsia="zh-CN"/>
        </w:rPr>
        <w:t>：</w:t>
      </w:r>
      <w:r>
        <w:rPr>
          <w:rFonts w:hint="eastAsia" w:ascii="仿宋" w:hAnsi="仿宋" w:eastAsia="仿宋" w:cs="仿宋"/>
          <w:color w:val="auto"/>
          <w:spacing w:val="-1"/>
          <w:position w:val="10"/>
          <w:sz w:val="24"/>
          <w:szCs w:val="24"/>
          <w:highlight w:val="none"/>
          <w:lang w:val="en-US" w:eastAsia="zh-CN"/>
        </w:rPr>
        <w:t>伽师县教育局</w:t>
      </w:r>
    </w:p>
    <w:p w14:paraId="4574E3F5">
      <w:pPr>
        <w:pStyle w:val="2"/>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color w:val="auto"/>
          <w:spacing w:val="-1"/>
          <w:position w:val="10"/>
          <w:sz w:val="24"/>
          <w:szCs w:val="24"/>
          <w:highlight w:val="none"/>
          <w:lang w:val="en-US" w:eastAsia="zh-CN"/>
        </w:rPr>
      </w:pPr>
      <w:r>
        <w:rPr>
          <w:rFonts w:hint="eastAsia" w:ascii="仿宋" w:hAnsi="仿宋" w:eastAsia="仿宋" w:cs="仿宋"/>
          <w:color w:val="auto"/>
          <w:spacing w:val="-1"/>
          <w:position w:val="10"/>
          <w:sz w:val="24"/>
          <w:szCs w:val="24"/>
          <w:highlight w:val="none"/>
        </w:rPr>
        <w:t xml:space="preserve">地 </w:t>
      </w:r>
      <w:r>
        <w:rPr>
          <w:rFonts w:hint="eastAsia" w:ascii="仿宋" w:hAnsi="仿宋" w:eastAsia="仿宋" w:cs="仿宋"/>
          <w:color w:val="auto"/>
          <w:spacing w:val="-1"/>
          <w:position w:val="10"/>
          <w:sz w:val="24"/>
          <w:szCs w:val="24"/>
          <w:highlight w:val="none"/>
          <w:lang w:val="en-US" w:eastAsia="zh-CN"/>
        </w:rPr>
        <w:t>址：伽师县古宰尔路（第四中学旁）</w:t>
      </w:r>
    </w:p>
    <w:p w14:paraId="4D7D3C96">
      <w:pPr>
        <w:pStyle w:val="2"/>
        <w:keepNext w:val="0"/>
        <w:keepLines w:val="0"/>
        <w:pageBreakBefore w:val="0"/>
        <w:widowControl/>
        <w:shd w:val="clear"/>
        <w:overflowPunct/>
        <w:topLinePunct w:val="0"/>
        <w:autoSpaceDE w:val="0"/>
        <w:autoSpaceDN w:val="0"/>
        <w:bidi w:val="0"/>
        <w:adjustRightInd w:val="0"/>
        <w:snapToGrid w:val="0"/>
        <w:spacing w:before="97" w:line="380" w:lineRule="exact"/>
        <w:ind w:left="4"/>
        <w:textAlignment w:val="baseline"/>
        <w:outlineLvl w:val="9"/>
        <w:rPr>
          <w:rFonts w:hint="eastAsia" w:ascii="仿宋" w:hAnsi="仿宋" w:eastAsia="仿宋" w:cs="仿宋"/>
          <w:color w:val="auto"/>
          <w:spacing w:val="-1"/>
          <w:position w:val="10"/>
          <w:sz w:val="24"/>
          <w:szCs w:val="24"/>
          <w:highlight w:val="none"/>
          <w:lang w:val="en-US" w:eastAsia="zh-CN"/>
        </w:rPr>
      </w:pPr>
      <w:r>
        <w:rPr>
          <w:rFonts w:hint="eastAsia" w:ascii="仿宋" w:hAnsi="仿宋" w:eastAsia="仿宋" w:cs="仿宋"/>
          <w:color w:val="auto"/>
          <w:spacing w:val="-1"/>
          <w:position w:val="10"/>
          <w:sz w:val="24"/>
          <w:szCs w:val="24"/>
          <w:highlight w:val="none"/>
        </w:rPr>
        <w:t>联系人：</w:t>
      </w:r>
      <w:r>
        <w:rPr>
          <w:rFonts w:hint="eastAsia" w:ascii="仿宋" w:hAnsi="仿宋" w:eastAsia="仿宋" w:cs="仿宋"/>
          <w:color w:val="auto"/>
          <w:spacing w:val="-1"/>
          <w:position w:val="10"/>
          <w:sz w:val="24"/>
          <w:szCs w:val="24"/>
          <w:highlight w:val="none"/>
          <w:lang w:val="en-US" w:eastAsia="zh-CN"/>
        </w:rPr>
        <w:t>蔡秀伟</w:t>
      </w:r>
    </w:p>
    <w:p w14:paraId="1EF7DC90">
      <w:pPr>
        <w:pStyle w:val="2"/>
        <w:keepNext w:val="0"/>
        <w:keepLines w:val="0"/>
        <w:pageBreakBefore w:val="0"/>
        <w:widowControl/>
        <w:shd w:val="clear"/>
        <w:overflowPunct/>
        <w:topLinePunct w:val="0"/>
        <w:autoSpaceDE w:val="0"/>
        <w:autoSpaceDN w:val="0"/>
        <w:bidi w:val="0"/>
        <w:adjustRightInd w:val="0"/>
        <w:snapToGrid w:val="0"/>
        <w:spacing w:before="97" w:line="380" w:lineRule="exact"/>
        <w:ind w:left="4"/>
        <w:textAlignment w:val="baseline"/>
        <w:outlineLvl w:val="9"/>
        <w:rPr>
          <w:rFonts w:hint="default" w:ascii="仿宋" w:hAnsi="仿宋" w:eastAsia="仿宋" w:cs="仿宋"/>
          <w:color w:val="auto"/>
          <w:spacing w:val="-1"/>
          <w:position w:val="10"/>
          <w:sz w:val="24"/>
          <w:szCs w:val="24"/>
          <w:highlight w:val="none"/>
          <w:lang w:val="en-US" w:eastAsia="zh-CN"/>
        </w:rPr>
      </w:pPr>
      <w:r>
        <w:rPr>
          <w:rFonts w:hint="eastAsia" w:ascii="仿宋" w:hAnsi="仿宋" w:eastAsia="仿宋" w:cs="仿宋"/>
          <w:color w:val="auto"/>
          <w:spacing w:val="-1"/>
          <w:position w:val="10"/>
          <w:sz w:val="24"/>
          <w:szCs w:val="24"/>
          <w:highlight w:val="none"/>
        </w:rPr>
        <w:t>联系电话：</w:t>
      </w:r>
      <w:r>
        <w:rPr>
          <w:rFonts w:hint="eastAsia" w:ascii="仿宋" w:hAnsi="仿宋" w:eastAsia="仿宋" w:cs="仿宋"/>
          <w:color w:val="auto"/>
          <w:spacing w:val="-1"/>
          <w:position w:val="10"/>
          <w:sz w:val="24"/>
          <w:szCs w:val="24"/>
          <w:highlight w:val="none"/>
          <w:lang w:val="en-US" w:eastAsia="zh-CN"/>
        </w:rPr>
        <w:t>15999320380</w:t>
      </w:r>
    </w:p>
    <w:p w14:paraId="3922840B">
      <w:pPr>
        <w:pStyle w:val="2"/>
        <w:keepNext w:val="0"/>
        <w:keepLines w:val="0"/>
        <w:pageBreakBefore w:val="0"/>
        <w:widowControl/>
        <w:shd w:val="clear"/>
        <w:overflowPunct/>
        <w:topLinePunct w:val="0"/>
        <w:autoSpaceDE w:val="0"/>
        <w:autoSpaceDN w:val="0"/>
        <w:bidi w:val="0"/>
        <w:adjustRightInd w:val="0"/>
        <w:snapToGrid w:val="0"/>
        <w:spacing w:before="97" w:line="380" w:lineRule="exact"/>
        <w:ind w:left="4"/>
        <w:textAlignment w:val="baseline"/>
        <w:outlineLvl w:val="9"/>
        <w:rPr>
          <w:rFonts w:hint="eastAsia" w:ascii="仿宋" w:hAnsi="仿宋" w:eastAsia="仿宋" w:cs="仿宋"/>
          <w:color w:val="auto"/>
          <w:spacing w:val="-1"/>
          <w:position w:val="10"/>
          <w:sz w:val="24"/>
          <w:szCs w:val="24"/>
          <w:highlight w:val="none"/>
        </w:rPr>
      </w:pPr>
      <w:r>
        <w:rPr>
          <w:rFonts w:hint="eastAsia" w:ascii="仿宋" w:hAnsi="仿宋" w:eastAsia="仿宋" w:cs="仿宋"/>
          <w:color w:val="auto"/>
          <w:spacing w:val="-1"/>
          <w:position w:val="10"/>
          <w:sz w:val="24"/>
          <w:szCs w:val="24"/>
          <w:highlight w:val="none"/>
        </w:rPr>
        <w:t>2.采购代理机构信息</w:t>
      </w:r>
    </w:p>
    <w:p w14:paraId="50200E97">
      <w:pPr>
        <w:pStyle w:val="2"/>
        <w:keepNext w:val="0"/>
        <w:keepLines w:val="0"/>
        <w:pageBreakBefore w:val="0"/>
        <w:widowControl/>
        <w:shd w:val="clear"/>
        <w:overflowPunct/>
        <w:topLinePunct w:val="0"/>
        <w:autoSpaceDE w:val="0"/>
        <w:autoSpaceDN w:val="0"/>
        <w:bidi w:val="0"/>
        <w:adjustRightInd w:val="0"/>
        <w:snapToGrid w:val="0"/>
        <w:spacing w:before="97" w:line="380" w:lineRule="exact"/>
        <w:ind w:left="4"/>
        <w:textAlignment w:val="baseline"/>
        <w:outlineLvl w:val="9"/>
        <w:rPr>
          <w:rFonts w:hint="eastAsia" w:ascii="仿宋" w:hAnsi="仿宋" w:eastAsia="仿宋" w:cs="仿宋"/>
          <w:color w:val="auto"/>
          <w:spacing w:val="-1"/>
          <w:position w:val="10"/>
          <w:sz w:val="24"/>
          <w:szCs w:val="24"/>
          <w:highlight w:val="none"/>
          <w:lang w:eastAsia="zh-CN"/>
        </w:rPr>
      </w:pPr>
      <w:bookmarkStart w:id="409" w:name="_Toc16727"/>
      <w:bookmarkStart w:id="410" w:name="_Toc12397"/>
      <w:bookmarkStart w:id="411" w:name="_Toc1274"/>
      <w:bookmarkStart w:id="412" w:name="_Toc26203"/>
      <w:r>
        <w:rPr>
          <w:rFonts w:hint="eastAsia" w:ascii="仿宋" w:hAnsi="仿宋" w:eastAsia="仿宋" w:cs="仿宋"/>
          <w:color w:val="auto"/>
          <w:spacing w:val="-1"/>
          <w:position w:val="10"/>
          <w:sz w:val="24"/>
          <w:szCs w:val="24"/>
          <w:highlight w:val="none"/>
        </w:rPr>
        <w:t>名 称：</w:t>
      </w:r>
      <w:bookmarkEnd w:id="409"/>
      <w:bookmarkEnd w:id="410"/>
      <w:bookmarkEnd w:id="411"/>
      <w:bookmarkEnd w:id="412"/>
      <w:r>
        <w:rPr>
          <w:rFonts w:hint="eastAsia" w:ascii="仿宋" w:hAnsi="仿宋" w:eastAsia="仿宋" w:cs="仿宋"/>
          <w:color w:val="auto"/>
          <w:spacing w:val="-1"/>
          <w:position w:val="10"/>
          <w:sz w:val="24"/>
          <w:szCs w:val="24"/>
          <w:highlight w:val="none"/>
          <w:lang w:val="en-US" w:eastAsia="zh-CN"/>
        </w:rPr>
        <w:t>伽师县政府采购中心</w:t>
      </w:r>
    </w:p>
    <w:p w14:paraId="5A122D43">
      <w:pPr>
        <w:pStyle w:val="2"/>
        <w:keepNext w:val="0"/>
        <w:keepLines w:val="0"/>
        <w:pageBreakBefore w:val="0"/>
        <w:widowControl/>
        <w:shd w:val="clear"/>
        <w:overflowPunct/>
        <w:topLinePunct w:val="0"/>
        <w:autoSpaceDE w:val="0"/>
        <w:autoSpaceDN w:val="0"/>
        <w:bidi w:val="0"/>
        <w:adjustRightInd w:val="0"/>
        <w:snapToGrid w:val="0"/>
        <w:spacing w:before="97" w:line="380" w:lineRule="exact"/>
        <w:ind w:left="4"/>
        <w:textAlignment w:val="baseline"/>
        <w:outlineLvl w:val="9"/>
        <w:rPr>
          <w:rFonts w:hint="eastAsia" w:ascii="仿宋" w:hAnsi="仿宋" w:eastAsia="仿宋" w:cs="仿宋"/>
          <w:color w:val="auto"/>
          <w:spacing w:val="-1"/>
          <w:position w:val="10"/>
          <w:sz w:val="24"/>
          <w:szCs w:val="24"/>
          <w:highlight w:val="none"/>
          <w:lang w:eastAsia="zh-CN"/>
        </w:rPr>
      </w:pPr>
      <w:r>
        <w:rPr>
          <w:rFonts w:hint="eastAsia" w:ascii="仿宋" w:hAnsi="仿宋" w:eastAsia="仿宋" w:cs="仿宋"/>
          <w:color w:val="auto"/>
          <w:spacing w:val="-1"/>
          <w:position w:val="10"/>
          <w:sz w:val="24"/>
          <w:szCs w:val="24"/>
          <w:highlight w:val="none"/>
        </w:rPr>
        <w:t>地  址：</w:t>
      </w:r>
      <w:r>
        <w:rPr>
          <w:rFonts w:hint="eastAsia" w:ascii="仿宋" w:hAnsi="仿宋" w:eastAsia="仿宋" w:cs="仿宋"/>
          <w:color w:val="auto"/>
          <w:spacing w:val="-1"/>
          <w:position w:val="10"/>
          <w:sz w:val="24"/>
          <w:szCs w:val="24"/>
          <w:highlight w:val="none"/>
          <w:lang w:val="en-US" w:eastAsia="zh-CN"/>
        </w:rPr>
        <w:t>伽师县行政服务大厅四楼采购中心</w:t>
      </w:r>
    </w:p>
    <w:p w14:paraId="1F05A328">
      <w:pPr>
        <w:pStyle w:val="2"/>
        <w:keepNext w:val="0"/>
        <w:keepLines w:val="0"/>
        <w:pageBreakBefore w:val="0"/>
        <w:widowControl/>
        <w:shd w:val="clear"/>
        <w:overflowPunct/>
        <w:topLinePunct w:val="0"/>
        <w:autoSpaceDE w:val="0"/>
        <w:autoSpaceDN w:val="0"/>
        <w:bidi w:val="0"/>
        <w:adjustRightInd w:val="0"/>
        <w:snapToGrid w:val="0"/>
        <w:spacing w:before="97" w:line="380" w:lineRule="exact"/>
        <w:ind w:left="4"/>
        <w:textAlignment w:val="baseline"/>
        <w:outlineLvl w:val="9"/>
        <w:rPr>
          <w:rFonts w:hint="eastAsia" w:ascii="仿宋" w:hAnsi="仿宋" w:eastAsia="仿宋" w:cs="仿宋"/>
          <w:color w:val="auto"/>
          <w:spacing w:val="-1"/>
          <w:position w:val="10"/>
          <w:sz w:val="24"/>
          <w:szCs w:val="24"/>
          <w:highlight w:val="none"/>
          <w:lang w:eastAsia="zh-CN"/>
        </w:rPr>
      </w:pPr>
      <w:r>
        <w:rPr>
          <w:rFonts w:hint="eastAsia" w:ascii="仿宋" w:hAnsi="仿宋" w:eastAsia="仿宋" w:cs="仿宋"/>
          <w:color w:val="auto"/>
          <w:spacing w:val="-1"/>
          <w:position w:val="10"/>
          <w:sz w:val="24"/>
          <w:szCs w:val="24"/>
          <w:highlight w:val="none"/>
        </w:rPr>
        <w:t>联系方式：</w:t>
      </w:r>
      <w:r>
        <w:rPr>
          <w:rFonts w:hint="eastAsia" w:ascii="仿宋" w:hAnsi="仿宋" w:eastAsia="仿宋" w:cs="仿宋"/>
          <w:color w:val="auto"/>
          <w:spacing w:val="-1"/>
          <w:position w:val="10"/>
          <w:sz w:val="24"/>
          <w:szCs w:val="24"/>
          <w:highlight w:val="none"/>
          <w:lang w:val="en-US" w:eastAsia="zh-CN"/>
        </w:rPr>
        <w:t xml:space="preserve">0998-5713206 </w:t>
      </w:r>
    </w:p>
    <w:p w14:paraId="4025A4A4">
      <w:pPr>
        <w:pStyle w:val="2"/>
        <w:keepNext w:val="0"/>
        <w:keepLines w:val="0"/>
        <w:pageBreakBefore w:val="0"/>
        <w:widowControl/>
        <w:shd w:val="clear"/>
        <w:overflowPunct/>
        <w:topLinePunct w:val="0"/>
        <w:autoSpaceDE w:val="0"/>
        <w:autoSpaceDN w:val="0"/>
        <w:bidi w:val="0"/>
        <w:adjustRightInd w:val="0"/>
        <w:snapToGrid w:val="0"/>
        <w:spacing w:before="97" w:line="380" w:lineRule="exact"/>
        <w:ind w:left="4"/>
        <w:textAlignment w:val="baseline"/>
        <w:outlineLvl w:val="9"/>
        <w:rPr>
          <w:rFonts w:hint="eastAsia" w:ascii="仿宋" w:hAnsi="仿宋" w:eastAsia="仿宋" w:cs="仿宋"/>
          <w:color w:val="auto"/>
          <w:spacing w:val="-1"/>
          <w:position w:val="10"/>
          <w:sz w:val="24"/>
          <w:szCs w:val="24"/>
          <w:highlight w:val="none"/>
        </w:rPr>
        <w:sectPr>
          <w:footerReference r:id="rId21" w:type="default"/>
          <w:pgSz w:w="11906" w:h="16839"/>
          <w:pgMar w:top="1431" w:right="1418" w:bottom="1166" w:left="1423" w:header="0" w:footer="987" w:gutter="0"/>
          <w:pgNumType w:fmt="decimal"/>
          <w:cols w:space="720" w:num="1"/>
        </w:sectPr>
      </w:pPr>
      <w:r>
        <w:rPr>
          <w:rFonts w:hint="eastAsia" w:ascii="仿宋" w:hAnsi="仿宋" w:eastAsia="仿宋" w:cs="仿宋"/>
          <w:color w:val="auto"/>
          <w:spacing w:val="-1"/>
          <w:position w:val="10"/>
          <w:sz w:val="24"/>
          <w:szCs w:val="24"/>
          <w:highlight w:val="none"/>
        </w:rPr>
        <w:t>联系人：</w:t>
      </w:r>
      <w:r>
        <w:rPr>
          <w:rFonts w:hint="eastAsia" w:ascii="仿宋" w:hAnsi="仿宋" w:eastAsia="仿宋" w:cs="仿宋"/>
          <w:color w:val="auto"/>
          <w:spacing w:val="-1"/>
          <w:position w:val="10"/>
          <w:sz w:val="24"/>
          <w:szCs w:val="24"/>
          <w:highlight w:val="none"/>
          <w:lang w:val="en-US" w:eastAsia="zh-CN"/>
        </w:rPr>
        <w:t>陈雪、依明江</w:t>
      </w:r>
    </w:p>
    <w:p w14:paraId="07C64ED1">
      <w:pPr>
        <w:pStyle w:val="2"/>
        <w:shd w:val="clear"/>
        <w:spacing w:before="63" w:line="224" w:lineRule="auto"/>
        <w:ind w:left="3112"/>
        <w:outlineLvl w:val="0"/>
        <w:rPr>
          <w:rFonts w:hint="eastAsia" w:ascii="仿宋" w:hAnsi="仿宋" w:eastAsia="仿宋" w:cs="仿宋"/>
          <w:color w:val="auto"/>
          <w:sz w:val="24"/>
          <w:szCs w:val="24"/>
          <w:highlight w:val="none"/>
        </w:rPr>
      </w:pPr>
      <w:bookmarkStart w:id="413" w:name="_Toc20187"/>
      <w:r>
        <w:rPr>
          <w:rFonts w:hint="eastAsia" w:ascii="仿宋" w:hAnsi="仿宋" w:eastAsia="仿宋" w:cs="仿宋"/>
          <w:b/>
          <w:snapToGrid w:val="0"/>
          <w:color w:val="000000"/>
          <w:kern w:val="44"/>
          <w:sz w:val="36"/>
          <w:szCs w:val="36"/>
          <w:lang w:val="en-US" w:eastAsia="zh-CN" w:bidi="ar-SA"/>
        </w:rPr>
        <w:t>第四章 投标人须知资料表</w:t>
      </w:r>
      <w:bookmarkEnd w:id="407"/>
      <w:bookmarkEnd w:id="408"/>
      <w:bookmarkEnd w:id="413"/>
    </w:p>
    <w:p w14:paraId="65AE7F6D">
      <w:pPr>
        <w:pStyle w:val="2"/>
        <w:keepNext w:val="0"/>
        <w:keepLines w:val="0"/>
        <w:pageBreakBefore w:val="0"/>
        <w:widowControl/>
        <w:shd w:val="clear"/>
        <w:overflowPunct/>
        <w:topLinePunct w:val="0"/>
        <w:autoSpaceDE w:val="0"/>
        <w:autoSpaceDN w:val="0"/>
        <w:bidi w:val="0"/>
        <w:adjustRightInd w:val="0"/>
        <w:snapToGrid w:val="0"/>
        <w:spacing w:before="97" w:line="380" w:lineRule="exact"/>
        <w:ind w:left="4" w:firstLine="480" w:firstLineChars="200"/>
        <w:textAlignment w:val="baseline"/>
        <w:outlineLvl w:val="9"/>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本表是本招标项目的具体资料，是对投标人须知的具体补充和修改，如有矛盾，</w:t>
      </w:r>
      <w:r>
        <w:rPr>
          <w:rFonts w:hint="eastAsia" w:ascii="仿宋" w:hAnsi="仿宋" w:eastAsia="仿宋" w:cs="仿宋"/>
          <w:b/>
          <w:bCs/>
          <w:snapToGrid w:val="0"/>
          <w:color w:val="000000"/>
          <w:kern w:val="0"/>
          <w:sz w:val="24"/>
          <w:szCs w:val="24"/>
          <w:lang w:val="en-US" w:eastAsia="zh-CN" w:bidi="ar-SA"/>
        </w:rPr>
        <w:t>应以本资料表为准</w:t>
      </w:r>
      <w:r>
        <w:rPr>
          <w:rFonts w:hint="eastAsia" w:ascii="仿宋" w:hAnsi="仿宋" w:eastAsia="仿宋" w:cs="仿宋"/>
          <w:snapToGrid w:val="0"/>
          <w:color w:val="000000"/>
          <w:kern w:val="0"/>
          <w:sz w:val="24"/>
          <w:szCs w:val="24"/>
          <w:lang w:val="en-US" w:eastAsia="zh-CN" w:bidi="ar-SA"/>
        </w:rPr>
        <w:t>。</w:t>
      </w:r>
    </w:p>
    <w:tbl>
      <w:tblPr>
        <w:tblStyle w:val="26"/>
        <w:tblW w:w="970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5"/>
        <w:gridCol w:w="8614"/>
      </w:tblGrid>
      <w:tr w14:paraId="43803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095" w:type="dxa"/>
            <w:tcBorders>
              <w:top w:val="single" w:color="000000" w:sz="10" w:space="0"/>
              <w:left w:val="single" w:color="000000" w:sz="10" w:space="0"/>
            </w:tcBorders>
            <w:vAlign w:val="top"/>
          </w:tcPr>
          <w:p w14:paraId="3305AF4F">
            <w:pPr>
              <w:pStyle w:val="28"/>
              <w:keepNext w:val="0"/>
              <w:keepLines w:val="0"/>
              <w:pageBreakBefore w:val="0"/>
              <w:shd w:val="clear"/>
              <w:wordWrap/>
              <w:overflowPunct/>
              <w:topLinePunct w:val="0"/>
              <w:autoSpaceDE w:val="0"/>
              <w:autoSpaceDN w:val="0"/>
              <w:bidi w:val="0"/>
              <w:adjustRightInd w:val="0"/>
              <w:snapToGrid w:val="0"/>
              <w:spacing w:before="118" w:line="219" w:lineRule="auto"/>
              <w:ind w:left="304"/>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条款号</w:t>
            </w:r>
          </w:p>
        </w:tc>
        <w:tc>
          <w:tcPr>
            <w:tcW w:w="8614" w:type="dxa"/>
            <w:tcBorders>
              <w:top w:val="single" w:color="000000" w:sz="10" w:space="0"/>
              <w:right w:val="single" w:color="000000" w:sz="10" w:space="0"/>
            </w:tcBorders>
            <w:vAlign w:val="top"/>
          </w:tcPr>
          <w:p w14:paraId="7B4070AC">
            <w:pPr>
              <w:pStyle w:val="28"/>
              <w:keepNext w:val="0"/>
              <w:keepLines w:val="0"/>
              <w:pageBreakBefore w:val="0"/>
              <w:shd w:val="clear"/>
              <w:wordWrap/>
              <w:overflowPunct/>
              <w:topLinePunct w:val="0"/>
              <w:autoSpaceDE w:val="0"/>
              <w:autoSpaceDN w:val="0"/>
              <w:bidi w:val="0"/>
              <w:adjustRightInd w:val="0"/>
              <w:snapToGrid w:val="0"/>
              <w:spacing w:before="118" w:line="219" w:lineRule="auto"/>
              <w:ind w:left="3610"/>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22"/>
                <w:sz w:val="24"/>
                <w:szCs w:val="24"/>
                <w:highlight w:val="none"/>
              </w:rPr>
              <w:t>内</w:t>
            </w:r>
            <w:r>
              <w:rPr>
                <w:rFonts w:hint="eastAsia" w:ascii="仿宋" w:hAnsi="仿宋" w:eastAsia="仿宋" w:cs="仿宋"/>
                <w:color w:val="auto"/>
                <w:spacing w:val="2"/>
                <w:sz w:val="24"/>
                <w:szCs w:val="24"/>
                <w:highlight w:val="none"/>
              </w:rPr>
              <w:t xml:space="preserve">      </w:t>
            </w:r>
            <w:r>
              <w:rPr>
                <w:rFonts w:hint="eastAsia" w:ascii="仿宋" w:hAnsi="仿宋" w:eastAsia="仿宋" w:cs="仿宋"/>
                <w:b/>
                <w:bCs/>
                <w:color w:val="auto"/>
                <w:spacing w:val="-22"/>
                <w:sz w:val="24"/>
                <w:szCs w:val="24"/>
                <w:highlight w:val="none"/>
              </w:rPr>
              <w:t>容</w:t>
            </w:r>
          </w:p>
        </w:tc>
      </w:tr>
      <w:tr w14:paraId="45C16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95" w:type="dxa"/>
            <w:tcBorders>
              <w:left w:val="single" w:color="000000" w:sz="10" w:space="0"/>
            </w:tcBorders>
            <w:vAlign w:val="top"/>
          </w:tcPr>
          <w:p w14:paraId="65DF8558">
            <w:pPr>
              <w:keepNext w:val="0"/>
              <w:keepLines w:val="0"/>
              <w:pageBreakBefore w:val="0"/>
              <w:shd w:val="clear"/>
              <w:wordWrap/>
              <w:overflowPunct/>
              <w:topLinePunct w:val="0"/>
              <w:autoSpaceDE w:val="0"/>
              <w:autoSpaceDN w:val="0"/>
              <w:bidi w:val="0"/>
              <w:adjustRightInd w:val="0"/>
              <w:snapToGrid w:val="0"/>
              <w:spacing w:line="262" w:lineRule="auto"/>
              <w:jc w:val="both"/>
              <w:outlineLvl w:val="9"/>
              <w:rPr>
                <w:rFonts w:hint="eastAsia" w:ascii="仿宋" w:hAnsi="仿宋" w:eastAsia="仿宋" w:cs="仿宋"/>
                <w:color w:val="auto"/>
                <w:sz w:val="24"/>
                <w:szCs w:val="24"/>
                <w:highlight w:val="none"/>
              </w:rPr>
            </w:pPr>
          </w:p>
          <w:p w14:paraId="010A543A">
            <w:pPr>
              <w:keepNext w:val="0"/>
              <w:keepLines w:val="0"/>
              <w:pageBreakBefore w:val="0"/>
              <w:shd w:val="clear"/>
              <w:wordWrap/>
              <w:overflowPunct/>
              <w:topLinePunct w:val="0"/>
              <w:autoSpaceDE w:val="0"/>
              <w:autoSpaceDN w:val="0"/>
              <w:bidi w:val="0"/>
              <w:adjustRightInd w:val="0"/>
              <w:snapToGrid w:val="0"/>
              <w:spacing w:line="263" w:lineRule="auto"/>
              <w:jc w:val="both"/>
              <w:outlineLvl w:val="9"/>
              <w:rPr>
                <w:rFonts w:hint="eastAsia" w:ascii="仿宋" w:hAnsi="仿宋" w:eastAsia="仿宋" w:cs="仿宋"/>
                <w:color w:val="auto"/>
                <w:sz w:val="24"/>
                <w:szCs w:val="24"/>
                <w:highlight w:val="none"/>
              </w:rPr>
            </w:pPr>
          </w:p>
          <w:p w14:paraId="774F4D18">
            <w:pPr>
              <w:pStyle w:val="28"/>
              <w:keepNext w:val="0"/>
              <w:keepLines w:val="0"/>
              <w:pageBreakBefore w:val="0"/>
              <w:shd w:val="clear"/>
              <w:wordWrap/>
              <w:overflowPunct/>
              <w:topLinePunct w:val="0"/>
              <w:autoSpaceDE w:val="0"/>
              <w:autoSpaceDN w:val="0"/>
              <w:bidi w:val="0"/>
              <w:adjustRightInd w:val="0"/>
              <w:snapToGrid w:val="0"/>
              <w:spacing w:before="78" w:line="184" w:lineRule="auto"/>
              <w:ind w:left="5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1.1</w:t>
            </w:r>
          </w:p>
        </w:tc>
        <w:tc>
          <w:tcPr>
            <w:tcW w:w="8614" w:type="dxa"/>
            <w:tcBorders>
              <w:right w:val="single" w:color="000000" w:sz="10" w:space="0"/>
            </w:tcBorders>
            <w:vAlign w:val="center"/>
          </w:tcPr>
          <w:p w14:paraId="051C822F">
            <w:pPr>
              <w:pStyle w:val="2"/>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en-US" w:bidi="ar-SA"/>
              </w:rPr>
              <w:t>名 称</w:t>
            </w:r>
            <w:r>
              <w:rPr>
                <w:rFonts w:hint="eastAsia" w:ascii="仿宋" w:hAnsi="仿宋" w:eastAsia="仿宋" w:cs="仿宋"/>
                <w:snapToGrid w:val="0"/>
                <w:color w:val="auto"/>
                <w:spacing w:val="-1"/>
                <w:kern w:val="0"/>
                <w:sz w:val="24"/>
                <w:szCs w:val="24"/>
                <w:highlight w:val="none"/>
                <w:lang w:val="en-US" w:eastAsia="zh-CN" w:bidi="ar-SA"/>
              </w:rPr>
              <w:t>：伽师县教育局</w:t>
            </w:r>
          </w:p>
          <w:p w14:paraId="62ACBFC2">
            <w:pPr>
              <w:pStyle w:val="2"/>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en-US" w:bidi="ar-SA"/>
              </w:rPr>
              <w:t>地 址：</w:t>
            </w:r>
            <w:r>
              <w:rPr>
                <w:rFonts w:hint="eastAsia" w:ascii="仿宋" w:hAnsi="仿宋" w:eastAsia="仿宋" w:cs="仿宋"/>
                <w:color w:val="auto"/>
                <w:spacing w:val="-1"/>
                <w:position w:val="10"/>
                <w:sz w:val="24"/>
                <w:szCs w:val="24"/>
                <w:highlight w:val="none"/>
                <w:lang w:val="en-US" w:eastAsia="zh-CN"/>
              </w:rPr>
              <w:t>伽师县古宰尔路（第四中学旁）</w:t>
            </w:r>
          </w:p>
          <w:p w14:paraId="278415D1">
            <w:pPr>
              <w:pStyle w:val="2"/>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default" w:ascii="仿宋" w:hAnsi="仿宋" w:eastAsia="仿宋" w:cs="仿宋"/>
                <w:color w:val="auto"/>
                <w:sz w:val="24"/>
                <w:szCs w:val="24"/>
                <w:highlight w:val="none"/>
                <w:lang w:val="en-US" w:eastAsia="zh-CN"/>
              </w:rPr>
            </w:pPr>
            <w:r>
              <w:rPr>
                <w:rFonts w:hint="eastAsia" w:ascii="仿宋" w:hAnsi="仿宋" w:eastAsia="仿宋" w:cs="仿宋"/>
                <w:snapToGrid w:val="0"/>
                <w:color w:val="auto"/>
                <w:spacing w:val="-1"/>
                <w:kern w:val="0"/>
                <w:sz w:val="24"/>
                <w:szCs w:val="24"/>
                <w:highlight w:val="none"/>
                <w:lang w:val="en-US" w:eastAsia="en-US" w:bidi="ar-SA"/>
              </w:rPr>
              <w:t>联系人：</w:t>
            </w:r>
            <w:r>
              <w:rPr>
                <w:rFonts w:hint="eastAsia" w:ascii="仿宋" w:hAnsi="仿宋" w:eastAsia="仿宋" w:cs="仿宋"/>
                <w:snapToGrid w:val="0"/>
                <w:color w:val="auto"/>
                <w:spacing w:val="-1"/>
                <w:kern w:val="0"/>
                <w:sz w:val="24"/>
                <w:szCs w:val="24"/>
                <w:highlight w:val="none"/>
                <w:lang w:val="en-US" w:eastAsia="zh-CN" w:bidi="ar-SA"/>
              </w:rPr>
              <w:t xml:space="preserve">蔡秀伟               </w:t>
            </w:r>
            <w:r>
              <w:rPr>
                <w:rFonts w:hint="eastAsia" w:ascii="仿宋" w:hAnsi="仿宋" w:eastAsia="仿宋" w:cs="仿宋"/>
                <w:snapToGrid w:val="0"/>
                <w:color w:val="auto"/>
                <w:spacing w:val="-1"/>
                <w:kern w:val="0"/>
                <w:sz w:val="24"/>
                <w:szCs w:val="24"/>
                <w:highlight w:val="none"/>
                <w:lang w:val="en-US" w:eastAsia="en-US" w:bidi="ar-SA"/>
              </w:rPr>
              <w:t>联系电话：</w:t>
            </w:r>
            <w:r>
              <w:rPr>
                <w:rFonts w:hint="eastAsia" w:ascii="仿宋" w:hAnsi="仿宋" w:eastAsia="仿宋" w:cs="仿宋"/>
                <w:snapToGrid w:val="0"/>
                <w:color w:val="auto"/>
                <w:spacing w:val="-1"/>
                <w:kern w:val="0"/>
                <w:sz w:val="24"/>
                <w:szCs w:val="24"/>
                <w:highlight w:val="none"/>
                <w:lang w:val="en-US" w:eastAsia="zh-CN" w:bidi="ar-SA"/>
              </w:rPr>
              <w:t>15999320380</w:t>
            </w:r>
          </w:p>
        </w:tc>
      </w:tr>
      <w:tr w14:paraId="24C54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095" w:type="dxa"/>
            <w:tcBorders>
              <w:left w:val="single" w:color="000000" w:sz="10" w:space="0"/>
            </w:tcBorders>
            <w:vAlign w:val="top"/>
          </w:tcPr>
          <w:p w14:paraId="620BCC20">
            <w:pPr>
              <w:keepNext w:val="0"/>
              <w:keepLines w:val="0"/>
              <w:pageBreakBefore w:val="0"/>
              <w:shd w:val="clear"/>
              <w:wordWrap/>
              <w:overflowPunct/>
              <w:topLinePunct w:val="0"/>
              <w:autoSpaceDE w:val="0"/>
              <w:autoSpaceDN w:val="0"/>
              <w:bidi w:val="0"/>
              <w:adjustRightInd w:val="0"/>
              <w:snapToGrid w:val="0"/>
              <w:spacing w:line="303" w:lineRule="auto"/>
              <w:jc w:val="both"/>
              <w:outlineLvl w:val="9"/>
              <w:rPr>
                <w:rFonts w:hint="eastAsia" w:ascii="仿宋" w:hAnsi="仿宋" w:eastAsia="仿宋" w:cs="仿宋"/>
                <w:color w:val="auto"/>
                <w:sz w:val="24"/>
                <w:szCs w:val="24"/>
                <w:highlight w:val="none"/>
              </w:rPr>
            </w:pPr>
          </w:p>
          <w:p w14:paraId="546EAB9A">
            <w:pPr>
              <w:pStyle w:val="28"/>
              <w:keepNext w:val="0"/>
              <w:keepLines w:val="0"/>
              <w:pageBreakBefore w:val="0"/>
              <w:shd w:val="clear"/>
              <w:wordWrap/>
              <w:overflowPunct/>
              <w:topLinePunct w:val="0"/>
              <w:autoSpaceDE w:val="0"/>
              <w:autoSpaceDN w:val="0"/>
              <w:bidi w:val="0"/>
              <w:adjustRightInd w:val="0"/>
              <w:snapToGrid w:val="0"/>
              <w:spacing w:before="78" w:line="184" w:lineRule="auto"/>
              <w:ind w:left="5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1.2</w:t>
            </w:r>
          </w:p>
        </w:tc>
        <w:tc>
          <w:tcPr>
            <w:tcW w:w="8614" w:type="dxa"/>
            <w:tcBorders>
              <w:right w:val="single" w:color="000000" w:sz="10" w:space="0"/>
            </w:tcBorders>
            <w:vAlign w:val="center"/>
          </w:tcPr>
          <w:p w14:paraId="490FD1AA">
            <w:pPr>
              <w:spacing w:line="240" w:lineRule="atLeast"/>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z w:val="24"/>
                <w:szCs w:val="24"/>
              </w:rPr>
              <w:t>采购</w:t>
            </w:r>
            <w:r>
              <w:rPr>
                <w:rFonts w:hint="eastAsia" w:ascii="仿宋" w:hAnsi="仿宋" w:eastAsia="仿宋" w:cs="仿宋"/>
                <w:snapToGrid w:val="0"/>
                <w:color w:val="auto"/>
                <w:spacing w:val="-1"/>
                <w:kern w:val="0"/>
                <w:sz w:val="24"/>
                <w:szCs w:val="24"/>
                <w:highlight w:val="none"/>
                <w:lang w:val="en-US" w:eastAsia="zh-CN" w:bidi="ar-SA"/>
              </w:rPr>
              <w:t>代理机构：伽师县政府采购中心</w:t>
            </w:r>
          </w:p>
          <w:p w14:paraId="7065815F">
            <w:pPr>
              <w:spacing w:line="240" w:lineRule="atLeast"/>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地址：伽师县行政审批局四楼（伽师县花园路3号）</w:t>
            </w:r>
          </w:p>
          <w:p w14:paraId="53DDF37F">
            <w:pPr>
              <w:pStyle w:val="28"/>
              <w:keepNext w:val="0"/>
              <w:keepLines w:val="0"/>
              <w:pageBreakBefore w:val="0"/>
              <w:shd w:val="clear"/>
              <w:wordWrap/>
              <w:overflowPunct/>
              <w:topLinePunct w:val="0"/>
              <w:autoSpaceDE w:val="0"/>
              <w:autoSpaceDN w:val="0"/>
              <w:bidi w:val="0"/>
              <w:adjustRightInd w:val="0"/>
              <w:snapToGrid w:val="0"/>
              <w:spacing w:before="24" w:line="206" w:lineRule="auto"/>
              <w:ind w:left="25"/>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snapToGrid w:val="0"/>
                <w:color w:val="auto"/>
                <w:spacing w:val="-1"/>
                <w:kern w:val="0"/>
                <w:sz w:val="24"/>
                <w:szCs w:val="24"/>
                <w:highlight w:val="none"/>
                <w:lang w:val="en-US" w:eastAsia="zh-CN" w:bidi="ar-SA"/>
              </w:rPr>
              <w:t>联系人：陈雪、依明江        联系电话：0998-5713206</w:t>
            </w:r>
          </w:p>
        </w:tc>
      </w:tr>
      <w:tr w14:paraId="3BFF7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95" w:type="dxa"/>
            <w:tcBorders>
              <w:left w:val="single" w:color="000000" w:sz="10" w:space="0"/>
              <w:bottom w:val="single" w:color="000000" w:sz="10" w:space="0"/>
            </w:tcBorders>
            <w:vAlign w:val="top"/>
          </w:tcPr>
          <w:p w14:paraId="4A1B6582">
            <w:pPr>
              <w:keepNext w:val="0"/>
              <w:keepLines w:val="0"/>
              <w:pageBreakBefore w:val="0"/>
              <w:shd w:val="clear"/>
              <w:wordWrap/>
              <w:overflowPunct/>
              <w:topLinePunct w:val="0"/>
              <w:autoSpaceDE w:val="0"/>
              <w:autoSpaceDN w:val="0"/>
              <w:bidi w:val="0"/>
              <w:adjustRightInd w:val="0"/>
              <w:snapToGrid w:val="0"/>
              <w:spacing w:line="243"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6DF8F271">
            <w:pPr>
              <w:keepNext w:val="0"/>
              <w:keepLines w:val="0"/>
              <w:pageBreakBefore w:val="0"/>
              <w:shd w:val="clear"/>
              <w:wordWrap/>
              <w:overflowPunct/>
              <w:topLinePunct w:val="0"/>
              <w:autoSpaceDE w:val="0"/>
              <w:autoSpaceDN w:val="0"/>
              <w:bidi w:val="0"/>
              <w:adjustRightInd w:val="0"/>
              <w:snapToGrid w:val="0"/>
              <w:spacing w:line="243"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4061759C">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2E4180FE">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09A7A5AF">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2836B33A">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59405EE6">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3B1007F4">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30C866BA">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45E12447">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7A4BD7EE">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19027CAD">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43C73403">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64AA4A63">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4A2BB80A">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4C40B86F">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760F3B63">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734C9705">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4907A7A5">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2DCF16DE">
            <w:pPr>
              <w:pStyle w:val="28"/>
              <w:keepNext w:val="0"/>
              <w:keepLines w:val="0"/>
              <w:pageBreakBefore w:val="0"/>
              <w:shd w:val="clear"/>
              <w:wordWrap/>
              <w:overflowPunct/>
              <w:topLinePunct w:val="0"/>
              <w:autoSpaceDE w:val="0"/>
              <w:autoSpaceDN w:val="0"/>
              <w:bidi w:val="0"/>
              <w:adjustRightInd w:val="0"/>
              <w:snapToGrid w:val="0"/>
              <w:spacing w:before="78" w:line="184" w:lineRule="auto"/>
              <w:ind w:left="380"/>
              <w:jc w:val="both"/>
              <w:outlineLvl w:val="9"/>
              <w:rPr>
                <w:rFonts w:hint="eastAsia" w:ascii="仿宋" w:hAnsi="仿宋" w:eastAsia="仿宋" w:cs="仿宋"/>
                <w:snapToGrid w:val="0"/>
                <w:color w:val="auto"/>
                <w:spacing w:val="-1"/>
                <w:kern w:val="0"/>
                <w:sz w:val="24"/>
                <w:szCs w:val="24"/>
                <w:highlight w:val="none"/>
                <w:lang w:val="en-US" w:eastAsia="en-US" w:bidi="ar-SA"/>
              </w:rPr>
            </w:pPr>
            <w:r>
              <w:rPr>
                <w:rFonts w:hint="eastAsia" w:ascii="仿宋" w:hAnsi="仿宋" w:eastAsia="仿宋" w:cs="仿宋"/>
                <w:snapToGrid w:val="0"/>
                <w:color w:val="auto"/>
                <w:spacing w:val="-1"/>
                <w:kern w:val="0"/>
                <w:sz w:val="24"/>
                <w:szCs w:val="24"/>
                <w:highlight w:val="none"/>
                <w:lang w:val="en-US" w:eastAsia="en-US" w:bidi="ar-SA"/>
              </w:rPr>
              <w:t>1.3.4</w:t>
            </w:r>
          </w:p>
        </w:tc>
        <w:tc>
          <w:tcPr>
            <w:tcW w:w="8614" w:type="dxa"/>
            <w:tcBorders>
              <w:bottom w:val="single" w:color="000000" w:sz="10" w:space="0"/>
              <w:right w:val="single" w:color="000000" w:sz="10" w:space="0"/>
            </w:tcBorders>
            <w:vAlign w:val="center"/>
          </w:tcPr>
          <w:p w14:paraId="53D000A1">
            <w:pPr>
              <w:pStyle w:val="28"/>
              <w:keepNext w:val="0"/>
              <w:keepLines w:val="0"/>
              <w:pageBreakBefore w:val="0"/>
              <w:shd w:val="clear"/>
              <w:wordWrap/>
              <w:overflowPunct/>
              <w:topLinePunct w:val="0"/>
              <w:autoSpaceDE w:val="0"/>
              <w:autoSpaceDN w:val="0"/>
              <w:bidi w:val="0"/>
              <w:adjustRightInd w:val="0"/>
              <w:snapToGrid w:val="0"/>
              <w:spacing w:before="88" w:line="219" w:lineRule="auto"/>
              <w:jc w:val="left"/>
              <w:outlineLvl w:val="9"/>
              <w:rPr>
                <w:rFonts w:hint="eastAsia" w:ascii="仿宋" w:hAnsi="仿宋" w:eastAsia="仿宋" w:cs="仿宋"/>
                <w:snapToGrid w:val="0"/>
                <w:color w:val="auto"/>
                <w:spacing w:val="-1"/>
                <w:kern w:val="0"/>
                <w:sz w:val="24"/>
                <w:szCs w:val="24"/>
                <w:highlight w:val="none"/>
                <w:lang w:val="en-US" w:eastAsia="en-US" w:bidi="ar-SA"/>
              </w:rPr>
            </w:pPr>
            <w:r>
              <w:rPr>
                <w:rFonts w:hint="eastAsia" w:ascii="仿宋" w:hAnsi="仿宋" w:eastAsia="仿宋" w:cs="仿宋"/>
                <w:snapToGrid w:val="0"/>
                <w:color w:val="auto"/>
                <w:spacing w:val="-1"/>
                <w:kern w:val="0"/>
                <w:sz w:val="24"/>
                <w:szCs w:val="24"/>
                <w:highlight w:val="none"/>
                <w:lang w:val="en-US" w:eastAsia="en-US" w:bidi="ar-SA"/>
              </w:rPr>
              <w:t>合格投标人的其他资格要求：</w:t>
            </w:r>
          </w:p>
          <w:p w14:paraId="2ECE4D60">
            <w:pPr>
              <w:pStyle w:val="2"/>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（1）具有有效的营业执照；</w:t>
            </w:r>
          </w:p>
          <w:p w14:paraId="36F2B62A">
            <w:pPr>
              <w:pStyle w:val="2"/>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（2）法定代表人证明或法定代表人授权委托书签字（章）并加盖公章；；</w:t>
            </w:r>
          </w:p>
          <w:p w14:paraId="680DC420">
            <w:pPr>
              <w:pStyle w:val="2"/>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（3）良好的商业信誉和健全的财务会计制度证明材料（会计事务所出具的2023年或2024年的年度财务审计报告书；注册成立未满一年新公司可提供近三个月内任意一个月的银行资信证明）；</w:t>
            </w:r>
          </w:p>
          <w:p w14:paraId="7D99B084">
            <w:pPr>
              <w:pStyle w:val="2"/>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（4）供应商须具备【建筑工程施工总承包叁级】(含)以上资质或【建筑装修装饰工程专业承包贰级】（含）以上资质等级，并具备有效的安全生产许可证；</w:t>
            </w:r>
          </w:p>
          <w:p w14:paraId="2A61FF57">
            <w:pPr>
              <w:pStyle w:val="2"/>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（5）项目负责人：须具备【建筑工程专业】二级或以上注册建造师执业资格，具备有效的安全生产考核合格证书，且未担任其他在建建设工程项目的项目负责人；</w:t>
            </w:r>
          </w:p>
          <w:p w14:paraId="6DD16A7B">
            <w:pPr>
              <w:pStyle w:val="2"/>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（6）</w:t>
            </w:r>
            <w:r>
              <w:rPr>
                <w:rFonts w:hint="eastAsia" w:ascii="仿宋" w:hAnsi="仿宋" w:eastAsia="仿宋" w:cs="仿宋"/>
                <w:snapToGrid w:val="0"/>
                <w:color w:val="auto"/>
                <w:spacing w:val="-1"/>
                <w:kern w:val="0"/>
                <w:sz w:val="24"/>
                <w:szCs w:val="24"/>
                <w:highlight w:val="none"/>
                <w:lang w:val="en-US" w:eastAsia="en-US" w:bidi="ar-SA"/>
              </w:rPr>
              <w:t>提供投标单位缴纳近三个月内（任意一个月）的社保证明</w:t>
            </w:r>
            <w:r>
              <w:rPr>
                <w:rFonts w:hint="eastAsia" w:ascii="仿宋" w:hAnsi="仿宋" w:eastAsia="仿宋" w:cs="仿宋"/>
                <w:snapToGrid w:val="0"/>
                <w:color w:val="auto"/>
                <w:spacing w:val="-1"/>
                <w:kern w:val="0"/>
                <w:sz w:val="24"/>
                <w:szCs w:val="24"/>
                <w:highlight w:val="none"/>
                <w:lang w:val="en-US" w:eastAsia="zh-CN" w:bidi="ar-SA"/>
              </w:rPr>
              <w:t>；</w:t>
            </w:r>
          </w:p>
          <w:p w14:paraId="542FFE42">
            <w:pPr>
              <w:pStyle w:val="2"/>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（7）投标企业提供税务部门出具的近3个月内其中任意1个月的完税证明（零申报需加盖税务机关鲜章），非社会保险类；</w:t>
            </w:r>
          </w:p>
          <w:p w14:paraId="111A14A5">
            <w:pPr>
              <w:pStyle w:val="2"/>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（8）参加政府采购活动前三年内在经营活动中没有重大违法记录的书面声明及</w:t>
            </w:r>
            <w:r>
              <w:rPr>
                <w:rFonts w:hint="eastAsia" w:ascii="仿宋" w:hAnsi="仿宋" w:eastAsia="仿宋" w:cs="仿宋"/>
                <w:color w:val="auto"/>
                <w:spacing w:val="-1"/>
                <w:sz w:val="24"/>
                <w:szCs w:val="24"/>
                <w:highlight w:val="none"/>
              </w:rPr>
              <w:t>《反商业贿赂承诺书》</w:t>
            </w:r>
            <w:r>
              <w:rPr>
                <w:rFonts w:hint="eastAsia" w:ascii="仿宋" w:hAnsi="仿宋" w:eastAsia="仿宋" w:cs="仿宋"/>
                <w:snapToGrid w:val="0"/>
                <w:color w:val="auto"/>
                <w:spacing w:val="-1"/>
                <w:kern w:val="0"/>
                <w:sz w:val="24"/>
                <w:szCs w:val="24"/>
                <w:highlight w:val="none"/>
                <w:lang w:val="en-US" w:eastAsia="zh-CN" w:bidi="ar-SA"/>
              </w:rPr>
              <w:t>；</w:t>
            </w:r>
          </w:p>
          <w:p w14:paraId="30CE1826">
            <w:pPr>
              <w:pStyle w:val="2"/>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（9）</w:t>
            </w:r>
            <w:r>
              <w:rPr>
                <w:rFonts w:hint="eastAsia" w:ascii="仿宋" w:hAnsi="仿宋" w:eastAsia="仿宋" w:cs="仿宋"/>
                <w:snapToGrid w:val="0"/>
                <w:color w:val="auto"/>
                <w:spacing w:val="-1"/>
                <w:kern w:val="0"/>
                <w:sz w:val="24"/>
                <w:szCs w:val="24"/>
                <w:highlight w:val="none"/>
                <w:lang w:val="en-US" w:eastAsia="en-US" w:bidi="ar-SA"/>
              </w:rPr>
              <w:t>提供投标单位按磋商文件要求缴纳磋商保证金的</w:t>
            </w:r>
            <w:r>
              <w:rPr>
                <w:rFonts w:hint="eastAsia" w:ascii="仿宋" w:hAnsi="仿宋" w:eastAsia="仿宋" w:cs="仿宋"/>
                <w:snapToGrid w:val="0"/>
                <w:color w:val="auto"/>
                <w:spacing w:val="-1"/>
                <w:kern w:val="0"/>
                <w:sz w:val="24"/>
                <w:szCs w:val="24"/>
                <w:highlight w:val="none"/>
                <w:lang w:val="en-US" w:eastAsia="zh-CN" w:bidi="ar-SA"/>
              </w:rPr>
              <w:t>的缴款凭证或金融机构、担保机构出具的保函。</w:t>
            </w:r>
          </w:p>
          <w:p w14:paraId="3FE6328C">
            <w:pPr>
              <w:pStyle w:val="2"/>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（10）供应商为中小企业。</w:t>
            </w:r>
          </w:p>
          <w:p w14:paraId="0C1523A5">
            <w:pPr>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（11）本项目不接受联合体投标。</w:t>
            </w:r>
          </w:p>
          <w:p w14:paraId="2EA10D8B">
            <w:pPr>
              <w:pStyle w:val="2"/>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sz w:val="24"/>
                <w:szCs w:val="24"/>
                <w:lang w:val="en-US" w:eastAsia="zh-CN"/>
              </w:rPr>
            </w:pPr>
            <w:r>
              <w:rPr>
                <w:rFonts w:hint="eastAsia" w:ascii="仿宋" w:hAnsi="仿宋" w:eastAsia="仿宋" w:cs="仿宋"/>
                <w:snapToGrid w:val="0"/>
                <w:color w:val="auto"/>
                <w:spacing w:val="-1"/>
                <w:kern w:val="0"/>
                <w:sz w:val="24"/>
                <w:szCs w:val="24"/>
                <w:highlight w:val="none"/>
                <w:lang w:val="en-US" w:eastAsia="zh-CN" w:bidi="ar-SA"/>
              </w:rPr>
              <w:t>（12）根据《财政部关于在政府采购活动中查询及使用信用记录有关问题的通知》（财库﹝2016﹞125号）的要求，凡拟参加本次招标项目的供应商，如在“信用中国”网站（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14:paraId="16B0B344">
            <w:pPr>
              <w:pStyle w:val="2"/>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b/>
                <w:bCs/>
                <w:sz w:val="24"/>
                <w:szCs w:val="24"/>
              </w:rPr>
              <w:t>注：1、“提供税务部门出具的完税证明”：①若供应商某月税收为零申报，须提供当月加盖税务局公章的无欠税证明或“国家税务总局电子税务局12366.chinatax.gov.cn/bsfw/onlinetaxation/main）”的申报结果查询截图 ②完税证明中“税种”非养老保险、医疗保险、失业保险、工伤保险和生育保险。请各供应商注意！</w:t>
            </w:r>
          </w:p>
        </w:tc>
      </w:tr>
    </w:tbl>
    <w:p w14:paraId="01E5D0E5">
      <w:pPr>
        <w:keepNext w:val="0"/>
        <w:keepLines w:val="0"/>
        <w:pageBreakBefore w:val="0"/>
        <w:shd w:val="clear"/>
        <w:wordWrap/>
        <w:overflowPunct/>
        <w:topLinePunct w:val="0"/>
        <w:autoSpaceDE w:val="0"/>
        <w:autoSpaceDN w:val="0"/>
        <w:bidi w:val="0"/>
        <w:adjustRightInd w:val="0"/>
        <w:snapToGrid w:val="0"/>
        <w:outlineLvl w:val="9"/>
        <w:rPr>
          <w:rFonts w:hint="eastAsia" w:ascii="仿宋" w:hAnsi="仿宋" w:eastAsia="仿宋" w:cs="仿宋"/>
          <w:color w:val="auto"/>
          <w:sz w:val="24"/>
          <w:szCs w:val="24"/>
          <w:highlight w:val="none"/>
        </w:rPr>
        <w:sectPr>
          <w:footerReference r:id="rId22" w:type="default"/>
          <w:pgSz w:w="11906" w:h="16839"/>
          <w:pgMar w:top="1424" w:right="1085" w:bottom="1166" w:left="1085" w:header="0" w:footer="987" w:gutter="0"/>
          <w:pgNumType w:fmt="decimal"/>
          <w:cols w:space="720" w:num="1"/>
        </w:sectPr>
      </w:pPr>
    </w:p>
    <w:tbl>
      <w:tblPr>
        <w:tblStyle w:val="26"/>
        <w:tblW w:w="10418" w:type="dxa"/>
        <w:tblInd w:w="-6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8"/>
        <w:gridCol w:w="9350"/>
      </w:tblGrid>
      <w:tr w14:paraId="2004D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068" w:type="dxa"/>
            <w:tcBorders>
              <w:left w:val="single" w:color="000000" w:sz="10" w:space="0"/>
            </w:tcBorders>
            <w:vAlign w:val="top"/>
          </w:tcPr>
          <w:p w14:paraId="643A351B">
            <w:pPr>
              <w:pStyle w:val="28"/>
              <w:keepNext w:val="0"/>
              <w:keepLines w:val="0"/>
              <w:pageBreakBefore w:val="0"/>
              <w:shd w:val="clear"/>
              <w:wordWrap/>
              <w:overflowPunct/>
              <w:topLinePunct w:val="0"/>
              <w:autoSpaceDE w:val="0"/>
              <w:autoSpaceDN w:val="0"/>
              <w:bidi w:val="0"/>
              <w:adjustRightInd w:val="0"/>
              <w:snapToGrid w:val="0"/>
              <w:spacing w:before="135" w:line="184" w:lineRule="auto"/>
              <w:ind w:left="380"/>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1.3.6</w:t>
            </w:r>
          </w:p>
        </w:tc>
        <w:tc>
          <w:tcPr>
            <w:tcW w:w="9350" w:type="dxa"/>
            <w:tcBorders>
              <w:right w:val="single" w:color="000000" w:sz="10" w:space="0"/>
            </w:tcBorders>
            <w:vAlign w:val="center"/>
          </w:tcPr>
          <w:p w14:paraId="1F5AD69A">
            <w:pPr>
              <w:keepNext w:val="0"/>
              <w:keepLines w:val="0"/>
              <w:pageBreakBefore w:val="0"/>
              <w:wordWrap/>
              <w:overflowPunct/>
              <w:topLinePunct w:val="0"/>
              <w:autoSpaceDE w:val="0"/>
              <w:autoSpaceDN w:val="0"/>
              <w:bidi w:val="0"/>
              <w:adjustRightInd w:val="0"/>
              <w:snapToGrid w:val="0"/>
              <w:spacing w:line="240" w:lineRule="atLeast"/>
              <w:outlineLvl w:val="9"/>
              <w:rPr>
                <w:rFonts w:hint="eastAsia" w:ascii="仿宋" w:hAnsi="仿宋" w:eastAsia="仿宋" w:cs="仿宋"/>
                <w:b/>
                <w:bCs/>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是否为专门面向中小企业采购：</w:t>
            </w:r>
            <w:r>
              <w:rPr>
                <w:rFonts w:hint="eastAsia" w:ascii="仿宋" w:hAnsi="仿宋" w:eastAsia="仿宋" w:cs="仿宋"/>
                <w:b/>
                <w:bCs/>
                <w:snapToGrid w:val="0"/>
                <w:color w:val="auto"/>
                <w:spacing w:val="-1"/>
                <w:kern w:val="0"/>
                <w:sz w:val="24"/>
                <w:szCs w:val="24"/>
                <w:highlight w:val="none"/>
                <w:u w:val="single"/>
                <w:lang w:val="en-US" w:eastAsia="zh-CN" w:bidi="ar-SA"/>
              </w:rPr>
              <w:t>是</w:t>
            </w:r>
            <w:r>
              <w:rPr>
                <w:rFonts w:hint="eastAsia" w:ascii="仿宋" w:hAnsi="仿宋" w:eastAsia="仿宋" w:cs="仿宋"/>
                <w:b/>
                <w:bCs/>
                <w:snapToGrid w:val="0"/>
                <w:color w:val="auto"/>
                <w:spacing w:val="-1"/>
                <w:kern w:val="0"/>
                <w:sz w:val="24"/>
                <w:szCs w:val="24"/>
                <w:highlight w:val="none"/>
                <w:lang w:val="en-US" w:eastAsia="zh-CN" w:bidi="ar-SA"/>
              </w:rPr>
              <w:t>（是、否）</w:t>
            </w:r>
          </w:p>
          <w:p w14:paraId="27964BDB">
            <w:pPr>
              <w:pStyle w:val="17"/>
              <w:keepNext w:val="0"/>
              <w:keepLines w:val="0"/>
              <w:pageBreakBefore w:val="0"/>
              <w:wordWrap/>
              <w:overflowPunct/>
              <w:topLinePunct w:val="0"/>
              <w:autoSpaceDE w:val="0"/>
              <w:autoSpaceDN w:val="0"/>
              <w:bidi w:val="0"/>
              <w:adjustRightInd w:val="0"/>
              <w:snapToGrid w:val="0"/>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根据《政府采购促进中小企业发展管理办法》（财库[2020]46号）、《财政部 司法部关于政府采购支持监狱企业发展有关问题的通知》（财库〔2014〕68号）和《财政部、民政部、中国残疾人联合会关于促进残疾人就业政府采购政策的通知》（财库〔2017〕141号）、《关于落实好政府采购支持中小企业发展的通知》（新财购 〔2022〕22号）的规定，对满足价格扣除条件且在响应文件中提交了《中小企业声明函》、《残疾人福利性单位声明函》或省级以上监狱管理局、戒毒管理局（含新疆生产建设兵团）出具的属于监狱企业、本地生产企业证明文件的供应商，其投标报价扣除 10 %后参与评审。对于同时属于小微企业、监狱企业残疾人福利性单位的，不重复进行投标报价扣除。</w:t>
            </w:r>
          </w:p>
          <w:p w14:paraId="1C4C2500">
            <w:pPr>
              <w:pStyle w:val="28"/>
              <w:keepNext w:val="0"/>
              <w:keepLines w:val="0"/>
              <w:pageBreakBefore w:val="0"/>
              <w:shd w:val="clear"/>
              <w:wordWrap/>
              <w:overflowPunct/>
              <w:topLinePunct w:val="0"/>
              <w:autoSpaceDE w:val="0"/>
              <w:autoSpaceDN w:val="0"/>
              <w:bidi w:val="0"/>
              <w:adjustRightInd w:val="0"/>
              <w:snapToGrid w:val="0"/>
              <w:spacing w:before="98" w:line="219" w:lineRule="auto"/>
              <w:ind w:left="28"/>
              <w:jc w:val="left"/>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潜在投标企业属于中小微企业的，请在响应文件中提供“中小企业声明函”，如果未提供或提供虛假的“中小企业声明函”，投标企业将承担由此造成的一切不利后果。</w:t>
            </w:r>
          </w:p>
        </w:tc>
      </w:tr>
      <w:tr w14:paraId="6D644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068" w:type="dxa"/>
            <w:tcBorders>
              <w:left w:val="single" w:color="000000" w:sz="10" w:space="0"/>
            </w:tcBorders>
            <w:vAlign w:val="top"/>
          </w:tcPr>
          <w:p w14:paraId="2EF66051">
            <w:pPr>
              <w:pStyle w:val="28"/>
              <w:keepNext w:val="0"/>
              <w:keepLines w:val="0"/>
              <w:pageBreakBefore w:val="0"/>
              <w:shd w:val="clear"/>
              <w:wordWrap/>
              <w:overflowPunct/>
              <w:topLinePunct w:val="0"/>
              <w:autoSpaceDE w:val="0"/>
              <w:autoSpaceDN w:val="0"/>
              <w:bidi w:val="0"/>
              <w:adjustRightInd w:val="0"/>
              <w:snapToGrid w:val="0"/>
              <w:spacing w:before="137" w:line="184" w:lineRule="auto"/>
              <w:ind w:left="500"/>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1.4</w:t>
            </w:r>
          </w:p>
        </w:tc>
        <w:tc>
          <w:tcPr>
            <w:tcW w:w="9350" w:type="dxa"/>
            <w:tcBorders>
              <w:right w:val="single" w:color="000000" w:sz="10" w:space="0"/>
            </w:tcBorders>
            <w:vAlign w:val="center"/>
          </w:tcPr>
          <w:p w14:paraId="242944EE">
            <w:pPr>
              <w:pStyle w:val="28"/>
              <w:keepNext w:val="0"/>
              <w:keepLines w:val="0"/>
              <w:pageBreakBefore w:val="0"/>
              <w:shd w:val="clear"/>
              <w:wordWrap/>
              <w:overflowPunct/>
              <w:topLinePunct w:val="0"/>
              <w:autoSpaceDE w:val="0"/>
              <w:autoSpaceDN w:val="0"/>
              <w:bidi w:val="0"/>
              <w:adjustRightInd w:val="0"/>
              <w:snapToGrid w:val="0"/>
              <w:spacing w:before="100" w:line="219" w:lineRule="auto"/>
              <w:ind w:left="28"/>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是否允许联合体投标：</w:t>
            </w:r>
            <w:r>
              <w:rPr>
                <w:rFonts w:hint="eastAsia" w:ascii="仿宋" w:hAnsi="仿宋" w:eastAsia="仿宋" w:cs="仿宋"/>
                <w:color w:val="auto"/>
                <w:spacing w:val="-1"/>
                <w:sz w:val="24"/>
                <w:szCs w:val="24"/>
                <w:highlight w:val="none"/>
                <w:u w:val="single"/>
              </w:rPr>
              <w:t>否</w:t>
            </w:r>
            <w:r>
              <w:rPr>
                <w:rFonts w:hint="eastAsia" w:ascii="仿宋" w:hAnsi="仿宋" w:eastAsia="仿宋" w:cs="仿宋"/>
                <w:color w:val="auto"/>
                <w:spacing w:val="-1"/>
                <w:sz w:val="24"/>
                <w:szCs w:val="24"/>
                <w:highlight w:val="none"/>
              </w:rPr>
              <w:t>（是、否）</w:t>
            </w:r>
          </w:p>
        </w:tc>
      </w:tr>
      <w:tr w14:paraId="3AAAB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068" w:type="dxa"/>
            <w:tcBorders>
              <w:left w:val="single" w:color="000000" w:sz="10" w:space="0"/>
            </w:tcBorders>
            <w:vAlign w:val="top"/>
          </w:tcPr>
          <w:p w14:paraId="30AC4842">
            <w:pPr>
              <w:pStyle w:val="28"/>
              <w:keepNext w:val="0"/>
              <w:keepLines w:val="0"/>
              <w:pageBreakBefore w:val="0"/>
              <w:shd w:val="clear"/>
              <w:wordWrap/>
              <w:overflowPunct/>
              <w:topLinePunct w:val="0"/>
              <w:autoSpaceDE w:val="0"/>
              <w:autoSpaceDN w:val="0"/>
              <w:bidi w:val="0"/>
              <w:adjustRightInd w:val="0"/>
              <w:snapToGrid w:val="0"/>
              <w:spacing w:before="148" w:line="184" w:lineRule="auto"/>
              <w:ind w:left="380"/>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1.4.8</w:t>
            </w:r>
          </w:p>
        </w:tc>
        <w:tc>
          <w:tcPr>
            <w:tcW w:w="9350" w:type="dxa"/>
            <w:tcBorders>
              <w:right w:val="single" w:color="000000" w:sz="10" w:space="0"/>
            </w:tcBorders>
            <w:vAlign w:val="center"/>
          </w:tcPr>
          <w:p w14:paraId="3A325A98">
            <w:pPr>
              <w:pStyle w:val="28"/>
              <w:keepNext w:val="0"/>
              <w:keepLines w:val="0"/>
              <w:pageBreakBefore w:val="0"/>
              <w:shd w:val="clear"/>
              <w:wordWrap/>
              <w:overflowPunct/>
              <w:topLinePunct w:val="0"/>
              <w:autoSpaceDE w:val="0"/>
              <w:autoSpaceDN w:val="0"/>
              <w:bidi w:val="0"/>
              <w:adjustRightInd w:val="0"/>
              <w:snapToGrid w:val="0"/>
              <w:spacing w:before="112" w:line="219" w:lineRule="auto"/>
              <w:ind w:left="25"/>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联合体的其他资格要求：</w:t>
            </w:r>
            <w:r>
              <w:rPr>
                <w:rFonts w:hint="eastAsia" w:ascii="仿宋" w:hAnsi="仿宋" w:eastAsia="仿宋" w:cs="仿宋"/>
                <w:color w:val="auto"/>
                <w:sz w:val="24"/>
                <w:szCs w:val="24"/>
                <w:highlight w:val="none"/>
                <w:u w:val="single"/>
              </w:rPr>
              <w:t>无</w:t>
            </w:r>
          </w:p>
        </w:tc>
      </w:tr>
      <w:tr w14:paraId="589EB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1068" w:type="dxa"/>
            <w:tcBorders>
              <w:left w:val="single" w:color="000000" w:sz="10" w:space="0"/>
            </w:tcBorders>
            <w:vAlign w:val="top"/>
          </w:tcPr>
          <w:p w14:paraId="3478107E">
            <w:pPr>
              <w:pStyle w:val="28"/>
              <w:keepNext w:val="0"/>
              <w:keepLines w:val="0"/>
              <w:pageBreakBefore w:val="0"/>
              <w:shd w:val="clear"/>
              <w:wordWrap/>
              <w:overflowPunct/>
              <w:topLinePunct w:val="0"/>
              <w:autoSpaceDE w:val="0"/>
              <w:autoSpaceDN w:val="0"/>
              <w:bidi w:val="0"/>
              <w:adjustRightInd w:val="0"/>
              <w:snapToGrid w:val="0"/>
              <w:spacing w:before="77" w:line="175" w:lineRule="auto"/>
              <w:ind w:left="485"/>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2.2</w:t>
            </w:r>
          </w:p>
        </w:tc>
        <w:tc>
          <w:tcPr>
            <w:tcW w:w="9350" w:type="dxa"/>
            <w:tcBorders>
              <w:right w:val="single" w:color="000000" w:sz="10" w:space="0"/>
            </w:tcBorders>
            <w:vAlign w:val="center"/>
          </w:tcPr>
          <w:p w14:paraId="11B22B0F">
            <w:pPr>
              <w:pStyle w:val="2"/>
              <w:keepNext w:val="0"/>
              <w:keepLines w:val="0"/>
              <w:pageBreakBefore w:val="0"/>
              <w:widowControl/>
              <w:shd w:val="clear"/>
              <w:overflowPunct/>
              <w:topLinePunct w:val="0"/>
              <w:autoSpaceDE w:val="0"/>
              <w:autoSpaceDN w:val="0"/>
              <w:bidi w:val="0"/>
              <w:adjustRightInd w:val="0"/>
              <w:snapToGrid w:val="0"/>
              <w:spacing w:before="94" w:line="379" w:lineRule="exact"/>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snapToGrid w:val="0"/>
                <w:color w:val="auto"/>
                <w:spacing w:val="-3"/>
                <w:kern w:val="0"/>
                <w:sz w:val="24"/>
                <w:szCs w:val="24"/>
                <w:highlight w:val="none"/>
                <w:lang w:val="en-US" w:eastAsia="zh-CN" w:bidi="ar-SA"/>
              </w:rPr>
              <w:t>预算金额（元）：1440925.54   最高限价（元）：1440925.54</w:t>
            </w:r>
          </w:p>
        </w:tc>
      </w:tr>
      <w:tr w14:paraId="08E9D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068" w:type="dxa"/>
            <w:tcBorders>
              <w:left w:val="single" w:color="000000" w:sz="10" w:space="0"/>
            </w:tcBorders>
            <w:vAlign w:val="top"/>
          </w:tcPr>
          <w:p w14:paraId="0C403B9C">
            <w:pPr>
              <w:pStyle w:val="28"/>
              <w:keepNext w:val="0"/>
              <w:keepLines w:val="0"/>
              <w:pageBreakBefore w:val="0"/>
              <w:shd w:val="clear"/>
              <w:wordWrap/>
              <w:overflowPunct/>
              <w:topLinePunct w:val="0"/>
              <w:autoSpaceDE w:val="0"/>
              <w:autoSpaceDN w:val="0"/>
              <w:bidi w:val="0"/>
              <w:adjustRightInd w:val="0"/>
              <w:snapToGrid w:val="0"/>
              <w:spacing w:before="77" w:line="175" w:lineRule="auto"/>
              <w:ind w:left="485"/>
              <w:outlineLvl w:val="9"/>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8.1</w:t>
            </w:r>
          </w:p>
        </w:tc>
        <w:tc>
          <w:tcPr>
            <w:tcW w:w="9350" w:type="dxa"/>
            <w:tcBorders>
              <w:right w:val="single" w:color="000000" w:sz="10" w:space="0"/>
            </w:tcBorders>
            <w:vAlign w:val="center"/>
          </w:tcPr>
          <w:p w14:paraId="14F33877">
            <w:pPr>
              <w:pStyle w:val="28"/>
              <w:keepNext w:val="0"/>
              <w:keepLines w:val="0"/>
              <w:pageBreakBefore w:val="0"/>
              <w:shd w:val="clear"/>
              <w:wordWrap/>
              <w:overflowPunct/>
              <w:topLinePunct w:val="0"/>
              <w:autoSpaceDE w:val="0"/>
              <w:autoSpaceDN w:val="0"/>
              <w:bidi w:val="0"/>
              <w:adjustRightInd w:val="0"/>
              <w:snapToGrid w:val="0"/>
              <w:spacing w:before="77" w:line="175" w:lineRule="auto"/>
              <w:outlineLvl w:val="9"/>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注：本项目不分标段</w:t>
            </w:r>
          </w:p>
        </w:tc>
      </w:tr>
      <w:tr w14:paraId="513F8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4" w:hRule="atLeast"/>
        </w:trPr>
        <w:tc>
          <w:tcPr>
            <w:tcW w:w="1068" w:type="dxa"/>
            <w:tcBorders>
              <w:left w:val="single" w:color="000000" w:sz="10" w:space="0"/>
            </w:tcBorders>
            <w:vAlign w:val="center"/>
          </w:tcPr>
          <w:p w14:paraId="131A1EC4">
            <w:pPr>
              <w:pStyle w:val="28"/>
              <w:keepNext w:val="0"/>
              <w:keepLines w:val="0"/>
              <w:pageBreakBefore w:val="0"/>
              <w:shd w:val="clear"/>
              <w:wordWrap/>
              <w:overflowPunct/>
              <w:topLinePunct w:val="0"/>
              <w:autoSpaceDE w:val="0"/>
              <w:autoSpaceDN w:val="0"/>
              <w:bidi w:val="0"/>
              <w:adjustRightInd w:val="0"/>
              <w:snapToGrid w:val="0"/>
              <w:spacing w:before="71" w:line="189" w:lineRule="auto"/>
              <w:ind w:left="16" w:firstLine="762" w:firstLineChars="300"/>
              <w:jc w:val="left"/>
              <w:outlineLvl w:val="9"/>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12</w:t>
            </w:r>
          </w:p>
        </w:tc>
        <w:tc>
          <w:tcPr>
            <w:tcW w:w="9350" w:type="dxa"/>
            <w:tcBorders>
              <w:right w:val="single" w:color="000000" w:sz="10" w:space="0"/>
            </w:tcBorders>
            <w:vAlign w:val="center"/>
          </w:tcPr>
          <w:p w14:paraId="79BF93E0">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仿宋" w:hAnsi="仿宋" w:eastAsia="仿宋" w:cs="仿宋"/>
                <w:color w:val="auto"/>
                <w:spacing w:val="-3"/>
                <w:sz w:val="24"/>
                <w:szCs w:val="24"/>
                <w:highlight w:val="none"/>
              </w:rPr>
            </w:pPr>
            <w:r>
              <w:rPr>
                <w:rFonts w:hint="eastAsia" w:ascii="仿宋" w:hAnsi="仿宋" w:eastAsia="仿宋" w:cs="仿宋"/>
                <w:color w:val="auto"/>
                <w:spacing w:val="7"/>
                <w:sz w:val="24"/>
                <w:szCs w:val="24"/>
                <w:highlight w:val="none"/>
                <w:lang w:eastAsia="zh-CN"/>
              </w:rPr>
              <w:t>磋</w:t>
            </w:r>
            <w:r>
              <w:rPr>
                <w:rFonts w:hint="eastAsia" w:ascii="仿宋" w:hAnsi="仿宋" w:eastAsia="仿宋" w:cs="仿宋"/>
                <w:color w:val="auto"/>
                <w:spacing w:val="-3"/>
                <w:sz w:val="24"/>
                <w:szCs w:val="24"/>
                <w:highlight w:val="none"/>
                <w:lang w:eastAsia="zh-CN"/>
              </w:rPr>
              <w:t>商</w:t>
            </w:r>
            <w:r>
              <w:rPr>
                <w:rFonts w:hint="eastAsia" w:ascii="仿宋" w:hAnsi="仿宋" w:eastAsia="仿宋" w:cs="仿宋"/>
                <w:color w:val="auto"/>
                <w:spacing w:val="-3"/>
                <w:sz w:val="24"/>
                <w:szCs w:val="24"/>
                <w:highlight w:val="none"/>
                <w:lang w:val="zh-CN"/>
              </w:rPr>
              <w:t>保证金形式：</w:t>
            </w:r>
            <w:r>
              <w:rPr>
                <w:rFonts w:hint="eastAsia" w:ascii="仿宋" w:hAnsi="仿宋" w:eastAsia="仿宋" w:cs="仿宋"/>
                <w:color w:val="auto"/>
                <w:spacing w:val="-3"/>
                <w:sz w:val="24"/>
                <w:szCs w:val="24"/>
                <w:highlight w:val="none"/>
              </w:rPr>
              <w:t>☑电汇</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支票</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本票</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保函☑等非现金形式提交</w:t>
            </w:r>
          </w:p>
          <w:p w14:paraId="3B1865C7">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仿宋" w:hAnsi="仿宋" w:eastAsia="仿宋" w:cs="仿宋"/>
                <w:color w:val="auto"/>
                <w:spacing w:val="-3"/>
                <w:sz w:val="24"/>
                <w:szCs w:val="24"/>
                <w:highlight w:val="none"/>
                <w:lang w:val="en-US" w:eastAsia="zh-CN"/>
              </w:rPr>
            </w:pPr>
            <w:r>
              <w:rPr>
                <w:rFonts w:hint="eastAsia" w:ascii="仿宋" w:hAnsi="仿宋" w:eastAsia="仿宋" w:cs="仿宋"/>
                <w:color w:val="auto"/>
                <w:spacing w:val="-3"/>
                <w:sz w:val="24"/>
                <w:szCs w:val="24"/>
                <w:highlight w:val="none"/>
                <w:lang w:val="zh-CN"/>
              </w:rPr>
              <w:t>投标保证金数额:</w:t>
            </w:r>
            <w:r>
              <w:rPr>
                <w:rFonts w:hint="eastAsia" w:ascii="仿宋" w:hAnsi="仿宋" w:eastAsia="仿宋" w:cs="仿宋"/>
                <w:b w:val="0"/>
                <w:bCs w:val="0"/>
                <w:color w:val="auto"/>
                <w:sz w:val="24"/>
                <w:lang w:val="en-US" w:eastAsia="zh-CN"/>
              </w:rPr>
              <w:t>28000元（贰万捌仟元整）</w:t>
            </w:r>
          </w:p>
          <w:p w14:paraId="4CB295E2">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仿宋" w:hAnsi="仿宋" w:eastAsia="仿宋" w:cs="仿宋"/>
                <w:snapToGrid w:val="0"/>
                <w:color w:val="auto"/>
                <w:spacing w:val="-3"/>
                <w:kern w:val="0"/>
                <w:sz w:val="24"/>
                <w:szCs w:val="24"/>
                <w:highlight w:val="none"/>
                <w:lang w:val="zh-CN" w:eastAsia="en-US" w:bidi="ar-SA"/>
              </w:rPr>
            </w:pPr>
            <w:r>
              <w:rPr>
                <w:rFonts w:hint="eastAsia" w:ascii="仿宋" w:hAnsi="仿宋" w:eastAsia="仿宋" w:cs="仿宋"/>
                <w:snapToGrid w:val="0"/>
                <w:color w:val="auto"/>
                <w:spacing w:val="-3"/>
                <w:kern w:val="0"/>
                <w:sz w:val="24"/>
                <w:szCs w:val="24"/>
                <w:highlight w:val="none"/>
                <w:lang w:val="zh-CN" w:eastAsia="en-US" w:bidi="ar-SA"/>
              </w:rPr>
              <w:t>投标保证金缴纳账户：伽师县教育局</w:t>
            </w:r>
          </w:p>
          <w:p w14:paraId="024E2F61">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仿宋" w:hAnsi="仿宋" w:eastAsia="仿宋" w:cs="仿宋"/>
                <w:snapToGrid w:val="0"/>
                <w:color w:val="auto"/>
                <w:spacing w:val="-3"/>
                <w:kern w:val="0"/>
                <w:sz w:val="24"/>
                <w:szCs w:val="24"/>
                <w:highlight w:val="none"/>
                <w:lang w:val="zh-CN" w:eastAsia="en-US" w:bidi="ar-SA"/>
              </w:rPr>
            </w:pPr>
            <w:r>
              <w:rPr>
                <w:rFonts w:hint="eastAsia" w:ascii="仿宋" w:hAnsi="仿宋" w:eastAsia="仿宋" w:cs="仿宋"/>
                <w:snapToGrid w:val="0"/>
                <w:color w:val="auto"/>
                <w:spacing w:val="-3"/>
                <w:kern w:val="0"/>
                <w:sz w:val="24"/>
                <w:szCs w:val="24"/>
                <w:highlight w:val="none"/>
                <w:lang w:val="zh-CN" w:eastAsia="en-US" w:bidi="ar-SA"/>
              </w:rPr>
              <w:t>银行账号：3012000209100095893　</w:t>
            </w:r>
          </w:p>
          <w:p w14:paraId="2E11A214">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仿宋" w:hAnsi="仿宋" w:eastAsia="仿宋" w:cs="仿宋"/>
                <w:snapToGrid w:val="0"/>
                <w:color w:val="auto"/>
                <w:spacing w:val="-3"/>
                <w:kern w:val="0"/>
                <w:sz w:val="24"/>
                <w:szCs w:val="24"/>
                <w:highlight w:val="none"/>
                <w:lang w:val="zh-CN" w:eastAsia="en-US" w:bidi="ar-SA"/>
              </w:rPr>
            </w:pPr>
            <w:r>
              <w:rPr>
                <w:rFonts w:hint="eastAsia" w:ascii="仿宋" w:hAnsi="仿宋" w:eastAsia="仿宋" w:cs="仿宋"/>
                <w:snapToGrid w:val="0"/>
                <w:color w:val="auto"/>
                <w:spacing w:val="-3"/>
                <w:kern w:val="0"/>
                <w:sz w:val="24"/>
                <w:szCs w:val="24"/>
                <w:highlight w:val="none"/>
                <w:lang w:val="zh-CN" w:eastAsia="en-US" w:bidi="ar-SA"/>
              </w:rPr>
              <w:t>开 户 行：中国工商银行股份有限公司伽师县支行</w:t>
            </w:r>
          </w:p>
          <w:p w14:paraId="0B38B915">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zh-CN" w:eastAsia="en-US" w:bidi="ar-SA"/>
              </w:rPr>
              <w:t>联系人：</w:t>
            </w:r>
            <w:r>
              <w:rPr>
                <w:rFonts w:hint="eastAsia" w:ascii="仿宋" w:hAnsi="仿宋" w:eastAsia="仿宋" w:cs="仿宋"/>
                <w:snapToGrid w:val="0"/>
                <w:color w:val="auto"/>
                <w:spacing w:val="-3"/>
                <w:kern w:val="0"/>
                <w:sz w:val="24"/>
                <w:szCs w:val="24"/>
                <w:highlight w:val="none"/>
                <w:lang w:val="en-US" w:eastAsia="zh-CN" w:bidi="ar-SA"/>
              </w:rPr>
              <w:t>许</w:t>
            </w:r>
            <w:r>
              <w:rPr>
                <w:rFonts w:hint="eastAsia" w:ascii="仿宋" w:hAnsi="仿宋" w:eastAsia="仿宋" w:cs="仿宋"/>
                <w:snapToGrid w:val="0"/>
                <w:color w:val="auto"/>
                <w:spacing w:val="-3"/>
                <w:kern w:val="0"/>
                <w:sz w:val="24"/>
                <w:szCs w:val="24"/>
                <w:highlight w:val="none"/>
                <w:lang w:val="zh-CN" w:eastAsia="en-US" w:bidi="ar-SA"/>
              </w:rPr>
              <w:t xml:space="preserve">老师  </w:t>
            </w:r>
            <w:r>
              <w:rPr>
                <w:rFonts w:hint="eastAsia" w:ascii="仿宋" w:hAnsi="仿宋" w:eastAsia="仿宋" w:cs="仿宋"/>
                <w:snapToGrid w:val="0"/>
                <w:color w:val="auto"/>
                <w:spacing w:val="-3"/>
                <w:kern w:val="0"/>
                <w:sz w:val="24"/>
                <w:szCs w:val="24"/>
                <w:highlight w:val="none"/>
                <w:lang w:val="en-US" w:eastAsia="zh-CN" w:bidi="ar-SA"/>
              </w:rPr>
              <w:t>13477473820</w:t>
            </w:r>
          </w:p>
          <w:p w14:paraId="75583FEE">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default" w:ascii="仿宋" w:hAnsi="仿宋" w:eastAsia="仿宋" w:cs="仿宋"/>
                <w:b/>
                <w:bCs/>
                <w:snapToGrid w:val="0"/>
                <w:color w:val="auto"/>
                <w:spacing w:val="-3"/>
                <w:kern w:val="0"/>
                <w:sz w:val="24"/>
                <w:szCs w:val="24"/>
                <w:highlight w:val="none"/>
                <w:lang w:val="en-US" w:eastAsia="zh-CN" w:bidi="ar-SA"/>
              </w:rPr>
            </w:pPr>
            <w:r>
              <w:rPr>
                <w:rFonts w:hint="eastAsia" w:ascii="仿宋" w:hAnsi="仿宋" w:eastAsia="仿宋" w:cs="仿宋"/>
                <w:b/>
                <w:bCs/>
                <w:snapToGrid w:val="0"/>
                <w:color w:val="auto"/>
                <w:spacing w:val="-3"/>
                <w:kern w:val="0"/>
                <w:sz w:val="24"/>
                <w:szCs w:val="24"/>
                <w:highlight w:val="none"/>
                <w:lang w:val="en-US" w:eastAsia="zh-CN" w:bidi="ar-SA"/>
              </w:rPr>
              <w:t>注：退还投标保证金时需提供开户信息及开户行行号，请主动联系提供相关资料。</w:t>
            </w:r>
          </w:p>
          <w:p w14:paraId="4A5A7E2A">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一、</w:t>
            </w:r>
            <w:r>
              <w:rPr>
                <w:rFonts w:hint="eastAsia" w:ascii="仿宋" w:hAnsi="仿宋" w:eastAsia="仿宋" w:cs="仿宋"/>
                <w:color w:val="auto"/>
                <w:spacing w:val="-3"/>
                <w:sz w:val="24"/>
                <w:szCs w:val="24"/>
                <w:highlight w:val="none"/>
                <w:lang w:eastAsia="zh-CN"/>
              </w:rPr>
              <w:t>投标</w:t>
            </w:r>
            <w:r>
              <w:rPr>
                <w:rFonts w:hint="eastAsia" w:ascii="仿宋" w:hAnsi="仿宋" w:eastAsia="仿宋" w:cs="仿宋"/>
                <w:color w:val="auto"/>
                <w:spacing w:val="-3"/>
                <w:sz w:val="24"/>
                <w:szCs w:val="24"/>
                <w:highlight w:val="none"/>
              </w:rPr>
              <w:t>保证金的缴纳</w:t>
            </w:r>
          </w:p>
          <w:p w14:paraId="3A74375B">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仿宋" w:hAnsi="仿宋" w:eastAsia="仿宋" w:cs="仿宋"/>
                <w:color w:val="auto"/>
                <w:spacing w:val="-3"/>
                <w:sz w:val="24"/>
                <w:szCs w:val="24"/>
                <w:highlight w:val="none"/>
                <w:lang w:val="en-US" w:eastAsia="zh-CN"/>
              </w:rPr>
            </w:pPr>
            <w:r>
              <w:rPr>
                <w:rFonts w:hint="eastAsia" w:ascii="仿宋" w:hAnsi="仿宋" w:eastAsia="仿宋" w:cs="仿宋"/>
                <w:color w:val="auto"/>
                <w:spacing w:val="-3"/>
                <w:sz w:val="24"/>
                <w:szCs w:val="24"/>
                <w:highlight w:val="none"/>
              </w:rPr>
              <w:t>1.到账截止时间 ：投标截止时间前（以到账时间为准）</w:t>
            </w:r>
            <w:r>
              <w:rPr>
                <w:rFonts w:hint="eastAsia" w:ascii="仿宋" w:hAnsi="仿宋" w:eastAsia="仿宋" w:cs="仿宋"/>
                <w:color w:val="auto"/>
                <w:spacing w:val="-3"/>
                <w:sz w:val="24"/>
                <w:szCs w:val="24"/>
                <w:highlight w:val="none"/>
                <w:lang w:val="en-US" w:eastAsia="zh-CN"/>
              </w:rPr>
              <w:t>；投标人须自行评估因异地、跨行、公休日等因素造成的投标保证金到账延迟风险，并承担相应责任。</w:t>
            </w:r>
          </w:p>
          <w:p w14:paraId="08F2BB7D">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仿宋" w:hAnsi="仿宋" w:eastAsia="仿宋" w:cs="仿宋"/>
                <w:color w:val="auto"/>
                <w:spacing w:val="-3"/>
                <w:sz w:val="24"/>
                <w:szCs w:val="24"/>
                <w:highlight w:val="none"/>
                <w:lang w:val="en-US" w:eastAsia="zh-CN"/>
              </w:rPr>
            </w:pPr>
            <w:r>
              <w:rPr>
                <w:rFonts w:hint="eastAsia" w:ascii="仿宋" w:hAnsi="仿宋" w:eastAsia="仿宋" w:cs="仿宋"/>
                <w:color w:val="auto"/>
                <w:spacing w:val="-3"/>
                <w:sz w:val="24"/>
                <w:szCs w:val="24"/>
                <w:highlight w:val="none"/>
              </w:rPr>
              <w:t>2.打款时必须注明投标保证金项目名称或项目编号</w:t>
            </w:r>
            <w:r>
              <w:rPr>
                <w:rFonts w:hint="eastAsia" w:ascii="仿宋" w:hAnsi="仿宋" w:eastAsia="仿宋" w:cs="仿宋"/>
                <w:color w:val="auto"/>
                <w:spacing w:val="-3"/>
                <w:sz w:val="24"/>
                <w:szCs w:val="24"/>
                <w:highlight w:val="none"/>
                <w:lang w:eastAsia="zh-CN"/>
              </w:rPr>
              <w:t>。</w:t>
            </w:r>
          </w:p>
          <w:p w14:paraId="4B5734C2">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lang w:val="en-US" w:eastAsia="zh-CN"/>
              </w:rPr>
              <w:t>3.</w:t>
            </w:r>
            <w:r>
              <w:rPr>
                <w:rFonts w:hint="eastAsia" w:ascii="仿宋" w:hAnsi="仿宋" w:eastAsia="仿宋" w:cs="仿宋"/>
                <w:color w:val="auto"/>
                <w:spacing w:val="-3"/>
                <w:sz w:val="24"/>
                <w:szCs w:val="24"/>
                <w:highlight w:val="none"/>
              </w:rPr>
              <w:t>因投标人自身原因打款不成功的 ，</w:t>
            </w:r>
            <w:r>
              <w:rPr>
                <w:rFonts w:hint="eastAsia" w:ascii="仿宋" w:hAnsi="仿宋" w:eastAsia="仿宋" w:cs="仿宋"/>
                <w:color w:val="auto"/>
                <w:spacing w:val="-3"/>
                <w:sz w:val="24"/>
                <w:szCs w:val="24"/>
                <w:highlight w:val="none"/>
                <w:lang w:val="en-US" w:eastAsia="zh-CN"/>
              </w:rPr>
              <w:t>投标人自行承担</w:t>
            </w:r>
            <w:r>
              <w:rPr>
                <w:rFonts w:hint="eastAsia" w:ascii="仿宋" w:hAnsi="仿宋" w:eastAsia="仿宋" w:cs="仿宋"/>
                <w:color w:val="auto"/>
                <w:spacing w:val="-3"/>
                <w:sz w:val="24"/>
                <w:szCs w:val="24"/>
                <w:highlight w:val="none"/>
              </w:rPr>
              <w:t>责任。</w:t>
            </w:r>
          </w:p>
          <w:p w14:paraId="1FA72DE7">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lang w:val="en-US" w:eastAsia="zh-CN"/>
              </w:rPr>
              <w:t>4.</w:t>
            </w:r>
            <w:r>
              <w:rPr>
                <w:rFonts w:hint="eastAsia" w:ascii="仿宋" w:hAnsi="仿宋" w:eastAsia="仿宋" w:cs="仿宋"/>
                <w:color w:val="auto"/>
                <w:spacing w:val="-3"/>
                <w:sz w:val="24"/>
                <w:szCs w:val="24"/>
                <w:highlight w:val="none"/>
              </w:rPr>
              <w:t>保函中必须明确 ：保函有效期满足投标有效期、保函承兑时效必须等于或大于投标有效期</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否则视为无效保函。</w:t>
            </w:r>
          </w:p>
          <w:p w14:paraId="541BD1AA">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rPr>
              <w:t>二、投标保证金的退还：根据《中华人民共和国政府采购法实施条例》（中华人民共和国国务院令第658号）第三十三条、《政府采购竞争性磋商采购方式管理暂行办法》第三十一条规定</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因供应商自身原因耽搁领取，超过退还时限，不承担延后退还责任。）</w:t>
            </w:r>
          </w:p>
          <w:p w14:paraId="6F462424">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仿宋" w:hAnsi="仿宋" w:eastAsia="仿宋" w:cs="仿宋"/>
                <w:color w:val="auto"/>
                <w:spacing w:val="-3"/>
                <w:sz w:val="24"/>
                <w:szCs w:val="24"/>
                <w:highlight w:val="none"/>
                <w:lang w:val="en-US" w:eastAsia="en-US"/>
              </w:rPr>
            </w:pPr>
            <w:r>
              <w:rPr>
                <w:rFonts w:hint="eastAsia" w:ascii="仿宋" w:hAnsi="仿宋" w:eastAsia="仿宋" w:cs="仿宋"/>
                <w:color w:val="auto"/>
                <w:spacing w:val="-3"/>
                <w:sz w:val="24"/>
                <w:szCs w:val="24"/>
                <w:highlight w:val="none"/>
                <w:lang w:val="en-US" w:eastAsia="en-US"/>
              </w:rPr>
              <w:t>三、 中标人应在与采购人签订合同之日起</w:t>
            </w:r>
            <w:r>
              <w:rPr>
                <w:rFonts w:hint="eastAsia" w:ascii="仿宋" w:hAnsi="仿宋" w:eastAsia="仿宋" w:cs="仿宋"/>
                <w:color w:val="auto"/>
                <w:spacing w:val="-3"/>
                <w:sz w:val="24"/>
                <w:szCs w:val="24"/>
                <w:highlight w:val="none"/>
                <w:lang w:val="en-US" w:eastAsia="zh-CN"/>
              </w:rPr>
              <w:t>5</w:t>
            </w:r>
            <w:r>
              <w:rPr>
                <w:rFonts w:hint="eastAsia" w:ascii="仿宋" w:hAnsi="仿宋" w:eastAsia="仿宋" w:cs="仿宋"/>
                <w:color w:val="auto"/>
                <w:spacing w:val="-3"/>
                <w:sz w:val="24"/>
                <w:szCs w:val="24"/>
                <w:highlight w:val="none"/>
                <w:lang w:val="en-US" w:eastAsia="en-US"/>
              </w:rPr>
              <w:t>个工作日内 ，保证金收受机构根据中标人提供的打款凭证及时办理投标保证金无息退还手续。未中标投标人的投标保证金将在中标通知书发出之日暨中标结果公告公布之日起 5 个工作日内无息退还，保证金收受机构根据未中标人提供的打款凭证及时办理退还投标保证金手续。</w:t>
            </w:r>
          </w:p>
          <w:p w14:paraId="5F07211E">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仿宋" w:hAnsi="仿宋" w:eastAsia="仿宋" w:cs="仿宋"/>
                <w:color w:val="auto"/>
                <w:spacing w:val="7"/>
                <w:sz w:val="24"/>
                <w:szCs w:val="24"/>
                <w:highlight w:val="none"/>
              </w:rPr>
            </w:pPr>
            <w:r>
              <w:rPr>
                <w:rFonts w:hint="eastAsia" w:ascii="仿宋" w:hAnsi="仿宋" w:eastAsia="仿宋" w:cs="仿宋"/>
                <w:color w:val="auto"/>
                <w:spacing w:val="-3"/>
                <w:sz w:val="24"/>
                <w:szCs w:val="24"/>
                <w:highlight w:val="none"/>
                <w:lang w:val="en-US" w:eastAsia="zh-CN"/>
              </w:rPr>
              <w:t>四、</w:t>
            </w:r>
            <w:r>
              <w:rPr>
                <w:rFonts w:hint="eastAsia" w:ascii="仿宋" w:hAnsi="仿宋" w:eastAsia="仿宋" w:cs="仿宋"/>
                <w:color w:val="auto"/>
                <w:spacing w:val="-3"/>
                <w:sz w:val="24"/>
                <w:szCs w:val="24"/>
                <w:highlight w:val="none"/>
              </w:rPr>
              <w:t>投标人未按招标文件规定缴纳投标保证金的,投标文件将被拒绝评审。</w:t>
            </w:r>
          </w:p>
        </w:tc>
      </w:tr>
      <w:tr w14:paraId="08963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068" w:type="dxa"/>
            <w:tcBorders>
              <w:left w:val="single" w:color="000000" w:sz="10" w:space="0"/>
            </w:tcBorders>
            <w:vAlign w:val="top"/>
          </w:tcPr>
          <w:p w14:paraId="5390582B">
            <w:pPr>
              <w:pStyle w:val="28"/>
              <w:keepNext w:val="0"/>
              <w:keepLines w:val="0"/>
              <w:pageBreakBefore w:val="0"/>
              <w:shd w:val="clear"/>
              <w:wordWrap/>
              <w:overflowPunct/>
              <w:topLinePunct w:val="0"/>
              <w:autoSpaceDE w:val="0"/>
              <w:autoSpaceDN w:val="0"/>
              <w:bidi w:val="0"/>
              <w:adjustRightInd w:val="0"/>
              <w:snapToGrid w:val="0"/>
              <w:spacing w:before="125" w:line="184" w:lineRule="auto"/>
              <w:ind w:left="440"/>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13.1</w:t>
            </w:r>
          </w:p>
        </w:tc>
        <w:tc>
          <w:tcPr>
            <w:tcW w:w="9350" w:type="dxa"/>
            <w:tcBorders>
              <w:right w:val="single" w:color="000000" w:sz="10" w:space="0"/>
            </w:tcBorders>
            <w:vAlign w:val="center"/>
          </w:tcPr>
          <w:p w14:paraId="53B2C8EC">
            <w:pPr>
              <w:pStyle w:val="28"/>
              <w:keepNext w:val="0"/>
              <w:keepLines w:val="0"/>
              <w:pageBreakBefore w:val="0"/>
              <w:shd w:val="clear"/>
              <w:wordWrap/>
              <w:overflowPunct/>
              <w:topLinePunct w:val="0"/>
              <w:autoSpaceDE w:val="0"/>
              <w:autoSpaceDN w:val="0"/>
              <w:bidi w:val="0"/>
              <w:adjustRightInd w:val="0"/>
              <w:snapToGrid w:val="0"/>
              <w:spacing w:before="88" w:line="220" w:lineRule="auto"/>
              <w:ind w:left="27"/>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投标有效期：</w:t>
            </w:r>
            <w:r>
              <w:rPr>
                <w:rFonts w:hint="eastAsia" w:ascii="仿宋" w:hAnsi="仿宋" w:eastAsia="仿宋" w:cs="仿宋"/>
                <w:color w:val="auto"/>
                <w:spacing w:val="-6"/>
                <w:sz w:val="24"/>
                <w:szCs w:val="24"/>
                <w:highlight w:val="none"/>
                <w:u w:val="single"/>
                <w:lang w:val="en-US" w:eastAsia="zh-CN"/>
              </w:rPr>
              <w:t>90</w:t>
            </w:r>
            <w:r>
              <w:rPr>
                <w:rFonts w:hint="eastAsia" w:ascii="仿宋" w:hAnsi="仿宋" w:eastAsia="仿宋" w:cs="仿宋"/>
                <w:color w:val="auto"/>
                <w:spacing w:val="-6"/>
                <w:sz w:val="24"/>
                <w:szCs w:val="24"/>
                <w:highlight w:val="none"/>
              </w:rPr>
              <w:t xml:space="preserve"> 日历日</w:t>
            </w:r>
          </w:p>
        </w:tc>
      </w:tr>
      <w:tr w14:paraId="3B2C0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0" w:hRule="atLeast"/>
        </w:trPr>
        <w:tc>
          <w:tcPr>
            <w:tcW w:w="1068" w:type="dxa"/>
            <w:tcBorders>
              <w:left w:val="single" w:color="000000" w:sz="10" w:space="0"/>
            </w:tcBorders>
            <w:vAlign w:val="top"/>
          </w:tcPr>
          <w:p w14:paraId="715BC419">
            <w:pPr>
              <w:keepNext w:val="0"/>
              <w:keepLines w:val="0"/>
              <w:pageBreakBefore w:val="0"/>
              <w:shd w:val="clear"/>
              <w:wordWrap/>
              <w:overflowPunct/>
              <w:topLinePunct w:val="0"/>
              <w:autoSpaceDE w:val="0"/>
              <w:autoSpaceDN w:val="0"/>
              <w:bidi w:val="0"/>
              <w:adjustRightInd w:val="0"/>
              <w:snapToGrid w:val="0"/>
              <w:spacing w:line="311" w:lineRule="auto"/>
              <w:outlineLvl w:val="9"/>
              <w:rPr>
                <w:rFonts w:hint="eastAsia" w:ascii="仿宋" w:hAnsi="仿宋" w:eastAsia="仿宋" w:cs="仿宋"/>
                <w:color w:val="auto"/>
                <w:sz w:val="24"/>
                <w:szCs w:val="24"/>
                <w:highlight w:val="none"/>
              </w:rPr>
            </w:pPr>
          </w:p>
          <w:p w14:paraId="39DD98C7">
            <w:pPr>
              <w:keepNext w:val="0"/>
              <w:keepLines w:val="0"/>
              <w:pageBreakBefore w:val="0"/>
              <w:shd w:val="clear"/>
              <w:wordWrap/>
              <w:overflowPunct/>
              <w:topLinePunct w:val="0"/>
              <w:autoSpaceDE w:val="0"/>
              <w:autoSpaceDN w:val="0"/>
              <w:bidi w:val="0"/>
              <w:adjustRightInd w:val="0"/>
              <w:snapToGrid w:val="0"/>
              <w:spacing w:line="311" w:lineRule="auto"/>
              <w:outlineLvl w:val="9"/>
              <w:rPr>
                <w:rFonts w:hint="eastAsia" w:ascii="仿宋" w:hAnsi="仿宋" w:eastAsia="仿宋" w:cs="仿宋"/>
                <w:color w:val="auto"/>
                <w:sz w:val="24"/>
                <w:szCs w:val="24"/>
                <w:highlight w:val="none"/>
              </w:rPr>
            </w:pPr>
          </w:p>
          <w:p w14:paraId="4BA4E716">
            <w:pPr>
              <w:keepNext w:val="0"/>
              <w:keepLines w:val="0"/>
              <w:pageBreakBefore w:val="0"/>
              <w:shd w:val="clear"/>
              <w:wordWrap/>
              <w:overflowPunct/>
              <w:topLinePunct w:val="0"/>
              <w:autoSpaceDE w:val="0"/>
              <w:autoSpaceDN w:val="0"/>
              <w:bidi w:val="0"/>
              <w:adjustRightInd w:val="0"/>
              <w:snapToGrid w:val="0"/>
              <w:spacing w:line="312" w:lineRule="auto"/>
              <w:outlineLvl w:val="9"/>
              <w:rPr>
                <w:rFonts w:hint="eastAsia" w:ascii="仿宋" w:hAnsi="仿宋" w:eastAsia="仿宋" w:cs="仿宋"/>
                <w:color w:val="auto"/>
                <w:sz w:val="24"/>
                <w:szCs w:val="24"/>
                <w:highlight w:val="none"/>
              </w:rPr>
            </w:pPr>
          </w:p>
          <w:p w14:paraId="63A448B4">
            <w:pPr>
              <w:pStyle w:val="28"/>
              <w:keepNext w:val="0"/>
              <w:keepLines w:val="0"/>
              <w:pageBreakBefore w:val="0"/>
              <w:shd w:val="clear"/>
              <w:wordWrap/>
              <w:overflowPunct/>
              <w:topLinePunct w:val="0"/>
              <w:autoSpaceDE w:val="0"/>
              <w:autoSpaceDN w:val="0"/>
              <w:bidi w:val="0"/>
              <w:adjustRightInd w:val="0"/>
              <w:snapToGrid w:val="0"/>
              <w:spacing w:before="78" w:line="184" w:lineRule="auto"/>
              <w:ind w:left="440"/>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14.1</w:t>
            </w:r>
          </w:p>
        </w:tc>
        <w:tc>
          <w:tcPr>
            <w:tcW w:w="9350" w:type="dxa"/>
            <w:tcBorders>
              <w:right w:val="single" w:color="000000" w:sz="10" w:space="0"/>
            </w:tcBorders>
            <w:vAlign w:val="center"/>
          </w:tcPr>
          <w:p w14:paraId="5CC5D7C4">
            <w:pPr>
              <w:keepNext w:val="0"/>
              <w:keepLines w:val="0"/>
              <w:pageBreakBefore w:val="0"/>
              <w:widowControl/>
              <w:suppressLineNumbers w:val="0"/>
              <w:wordWrap/>
              <w:overflowPunct/>
              <w:topLinePunct w:val="0"/>
              <w:autoSpaceDE w:val="0"/>
              <w:autoSpaceDN w:val="0"/>
              <w:bidi w:val="0"/>
              <w:adjustRightInd w:val="0"/>
              <w:snapToGrid w:val="0"/>
              <w:jc w:val="left"/>
              <w:outlineLvl w:val="9"/>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 xml:space="preserve">1.本项目为电子招投标，供应商需要使用 CA 加密设备，凡参加本项目必须可自主通过新疆 CA 申领渠道“新疆政务通”申请政采云平台可使用的 CA 设备，如原有兵团或公共资源使用的 CA，可与新疆 CA 联系，申请增加电子证书即可，无需重复申领。 </w:t>
            </w:r>
          </w:p>
          <w:p w14:paraId="2203E377">
            <w:pPr>
              <w:keepNext w:val="0"/>
              <w:keepLines w:val="0"/>
              <w:pageBreakBefore w:val="0"/>
              <w:widowControl/>
              <w:suppressLineNumbers w:val="0"/>
              <w:wordWrap/>
              <w:overflowPunct/>
              <w:topLinePunct w:val="0"/>
              <w:autoSpaceDE w:val="0"/>
              <w:autoSpaceDN w:val="0"/>
              <w:bidi w:val="0"/>
              <w:adjustRightInd w:val="0"/>
              <w:snapToGrid w:val="0"/>
              <w:jc w:val="left"/>
              <w:outlineLvl w:val="9"/>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 xml:space="preserve">2.本项目实行网上投标，采用电子投标文件(供应商须使用 CA 加密设备通过政采云电子投标客户端制作投标文件)。若供应商参与投标，自行承担投标一切费用。 </w:t>
            </w:r>
          </w:p>
          <w:p w14:paraId="34388412">
            <w:pPr>
              <w:keepNext w:val="0"/>
              <w:keepLines w:val="0"/>
              <w:pageBreakBefore w:val="0"/>
              <w:widowControl/>
              <w:suppressLineNumbers w:val="0"/>
              <w:wordWrap/>
              <w:overflowPunct/>
              <w:topLinePunct w:val="0"/>
              <w:autoSpaceDE w:val="0"/>
              <w:autoSpaceDN w:val="0"/>
              <w:bidi w:val="0"/>
              <w:adjustRightInd w:val="0"/>
              <w:snapToGrid w:val="0"/>
              <w:jc w:val="left"/>
              <w:outlineLvl w:val="9"/>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 xml:space="preserve">3.各供应商应在开标前应确保成为新疆政府采购网正式注册入库供应商，并完成 CA 数字证书申领。因未注册入库、未办理 CA 数字证书等原因造成无法投标或投标失败等后果由供应商自行承担。 </w:t>
            </w:r>
          </w:p>
          <w:p w14:paraId="2411624D">
            <w:pPr>
              <w:keepNext w:val="0"/>
              <w:keepLines w:val="0"/>
              <w:pageBreakBefore w:val="0"/>
              <w:widowControl/>
              <w:suppressLineNumbers w:val="0"/>
              <w:wordWrap/>
              <w:overflowPunct/>
              <w:topLinePunct w:val="0"/>
              <w:autoSpaceDE w:val="0"/>
              <w:autoSpaceDN w:val="0"/>
              <w:bidi w:val="0"/>
              <w:adjustRightInd w:val="0"/>
              <w:snapToGrid w:val="0"/>
              <w:jc w:val="left"/>
              <w:outlineLvl w:val="9"/>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 xml:space="preserve">4.供应商将政采云电子交易客户端下载、安装完成后，可通过账号密码或 CA 登录客户端进行投标文件制作。在使用政采云投标客户端时，建议使用WIN7及以上操作系统。 客户 端请至新疆政府采购网（http://www.ccgp-xinjiang.gov.cn/）下载专区查看，如有问题可拨打政采云客户服务热线95763进行咨询。 </w:t>
            </w:r>
          </w:p>
          <w:p w14:paraId="160EEE92">
            <w:pPr>
              <w:keepNext w:val="0"/>
              <w:keepLines w:val="0"/>
              <w:pageBreakBefore w:val="0"/>
              <w:widowControl/>
              <w:suppressLineNumbers w:val="0"/>
              <w:wordWrap/>
              <w:overflowPunct/>
              <w:topLinePunct w:val="0"/>
              <w:autoSpaceDE w:val="0"/>
              <w:autoSpaceDN w:val="0"/>
              <w:bidi w:val="0"/>
              <w:adjustRightInd w:val="0"/>
              <w:snapToGrid w:val="0"/>
              <w:jc w:val="left"/>
              <w:outlineLvl w:val="9"/>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5.供应商在开标时须使用制作加密电子投标文件所使用的 CA 锁及电脑，电脑须提前配置好浏览器（建议使用谷歌浏览器），以便开标时解锁。为了保证开评标顺利进行，政采云线上开标功能完全实现，供应商开标所使用的电脑设备须具有视频及语音功能。</w:t>
            </w:r>
          </w:p>
          <w:p w14:paraId="7EB5A543">
            <w:pPr>
              <w:keepNext w:val="0"/>
              <w:keepLines w:val="0"/>
              <w:pageBreakBefore w:val="0"/>
              <w:widowControl/>
              <w:suppressLineNumbers w:val="0"/>
              <w:wordWrap/>
              <w:overflowPunct/>
              <w:topLinePunct w:val="0"/>
              <w:autoSpaceDE w:val="0"/>
              <w:autoSpaceDN w:val="0"/>
              <w:bidi w:val="0"/>
              <w:adjustRightInd w:val="0"/>
              <w:snapToGrid w:val="0"/>
              <w:jc w:val="left"/>
              <w:outlineLvl w:val="9"/>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 xml:space="preserve">6.投标保证金缴纳及确认时间：凡拟参加本次招标项目的供应商，必须在开标前将投标保证金汇入指定账户。投标保证金汇款凭证上用途栏应注明:招标项目名称+标项号+投标保证金。否则，届时其投标将被拒绝。 </w:t>
            </w:r>
          </w:p>
          <w:p w14:paraId="3F10343F">
            <w:pPr>
              <w:keepNext w:val="0"/>
              <w:keepLines w:val="0"/>
              <w:pageBreakBefore w:val="0"/>
              <w:widowControl/>
              <w:suppressLineNumbers w:val="0"/>
              <w:wordWrap/>
              <w:overflowPunct/>
              <w:topLinePunct w:val="0"/>
              <w:autoSpaceDE w:val="0"/>
              <w:autoSpaceDN w:val="0"/>
              <w:bidi w:val="0"/>
              <w:adjustRightInd w:val="0"/>
              <w:snapToGrid w:val="0"/>
              <w:jc w:val="left"/>
              <w:outlineLvl w:val="9"/>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 xml:space="preserve">7. 供应商对不见面开评标系统的技术操作咨询，可通过https://edu.zcygov.cn/luban/xinjiang-e-biding 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 </w:t>
            </w:r>
          </w:p>
          <w:p w14:paraId="7405C13C">
            <w:pPr>
              <w:keepNext w:val="0"/>
              <w:keepLines w:val="0"/>
              <w:pageBreakBefore w:val="0"/>
              <w:widowControl/>
              <w:suppressLineNumbers w:val="0"/>
              <w:wordWrap/>
              <w:overflowPunct/>
              <w:topLinePunct w:val="0"/>
              <w:autoSpaceDE w:val="0"/>
              <w:autoSpaceDN w:val="0"/>
              <w:bidi w:val="0"/>
              <w:adjustRightInd w:val="0"/>
              <w:snapToGrid w:val="0"/>
              <w:jc w:val="left"/>
              <w:outlineLvl w:val="9"/>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 xml:space="preserve">8.各供应商在投标截止时间前将“投标文件”上传至政采云平台。投标文件包括“开标一览表及资格证明文件”与“商务及技术文件”两部分合并成一册。投标文件应按照招标文件规定的格式填写、签署和盖章，并以PDF格式上传至政采云开评标平台（投标文件为正本扫描件）。 </w:t>
            </w:r>
          </w:p>
          <w:p w14:paraId="509F9F67">
            <w:pPr>
              <w:keepNext w:val="0"/>
              <w:keepLines w:val="0"/>
              <w:pageBreakBefore w:val="0"/>
              <w:widowControl/>
              <w:suppressLineNumbers w:val="0"/>
              <w:wordWrap/>
              <w:overflowPunct/>
              <w:topLinePunct w:val="0"/>
              <w:autoSpaceDE w:val="0"/>
              <w:autoSpaceDN w:val="0"/>
              <w:bidi w:val="0"/>
              <w:adjustRightInd w:val="0"/>
              <w:snapToGrid w:val="0"/>
              <w:jc w:val="left"/>
              <w:outlineLvl w:val="9"/>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 xml:space="preserve">供应商的电子投标文件是经过 CA 证书加密后上传提交的，任何单位或个人均无法在投标截止时间(即开标时间)之前查看或篡改，不存在泄密风险。（严格按照政采云电子投标流程制作并上传电子投标文件） </w:t>
            </w:r>
          </w:p>
          <w:p w14:paraId="46F27743">
            <w:pPr>
              <w:pStyle w:val="28"/>
              <w:keepNext w:val="0"/>
              <w:keepLines w:val="0"/>
              <w:pageBreakBefore w:val="0"/>
              <w:shd w:val="clear"/>
              <w:wordWrap/>
              <w:overflowPunct/>
              <w:topLinePunct w:val="0"/>
              <w:autoSpaceDE w:val="0"/>
              <w:autoSpaceDN w:val="0"/>
              <w:bidi w:val="0"/>
              <w:adjustRightInd w:val="0"/>
              <w:snapToGrid w:val="0"/>
              <w:spacing w:before="26" w:line="225" w:lineRule="auto"/>
              <w:ind w:left="23" w:right="16" w:firstLine="1"/>
              <w:jc w:val="left"/>
              <w:outlineLvl w:val="9"/>
              <w:rPr>
                <w:rFonts w:hint="eastAsia" w:ascii="仿宋" w:hAnsi="仿宋" w:eastAsia="仿宋" w:cs="仿宋"/>
                <w:color w:val="auto"/>
                <w:sz w:val="24"/>
                <w:szCs w:val="24"/>
                <w:highlight w:val="none"/>
              </w:rPr>
            </w:pPr>
            <w:r>
              <w:rPr>
                <w:rFonts w:hint="eastAsia" w:ascii="仿宋" w:hAnsi="仿宋" w:eastAsia="仿宋" w:cs="仿宋"/>
                <w:snapToGrid w:val="0"/>
                <w:color w:val="auto"/>
                <w:spacing w:val="-3"/>
                <w:kern w:val="0"/>
                <w:sz w:val="24"/>
                <w:szCs w:val="24"/>
                <w:highlight w:val="none"/>
                <w:lang w:val="en-US" w:eastAsia="zh-CN" w:bidi="ar-SA"/>
              </w:rPr>
              <w:t>9.解密时长为 30 分钟。</w:t>
            </w:r>
          </w:p>
        </w:tc>
      </w:tr>
      <w:tr w14:paraId="6C3A1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68" w:type="dxa"/>
            <w:tcBorders>
              <w:left w:val="single" w:color="000000" w:sz="10" w:space="0"/>
            </w:tcBorders>
            <w:vAlign w:val="top"/>
          </w:tcPr>
          <w:p w14:paraId="1A14F1DE">
            <w:pPr>
              <w:pStyle w:val="28"/>
              <w:keepNext w:val="0"/>
              <w:keepLines w:val="0"/>
              <w:pageBreakBefore w:val="0"/>
              <w:shd w:val="clear"/>
              <w:wordWrap/>
              <w:overflowPunct/>
              <w:topLinePunct w:val="0"/>
              <w:autoSpaceDE w:val="0"/>
              <w:autoSpaceDN w:val="0"/>
              <w:bidi w:val="0"/>
              <w:adjustRightInd w:val="0"/>
              <w:snapToGrid w:val="0"/>
              <w:spacing w:before="89" w:line="166" w:lineRule="auto"/>
              <w:ind w:left="3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w:t>
            </w:r>
          </w:p>
        </w:tc>
        <w:tc>
          <w:tcPr>
            <w:tcW w:w="9350" w:type="dxa"/>
            <w:tcBorders>
              <w:right w:val="single" w:color="000000" w:sz="10" w:space="0"/>
            </w:tcBorders>
            <w:vAlign w:val="center"/>
          </w:tcPr>
          <w:p w14:paraId="3A501343">
            <w:pPr>
              <w:pStyle w:val="28"/>
              <w:keepNext w:val="0"/>
              <w:keepLines w:val="0"/>
              <w:pageBreakBefore w:val="0"/>
              <w:shd w:val="clear"/>
              <w:wordWrap/>
              <w:overflowPunct/>
              <w:topLinePunct w:val="0"/>
              <w:autoSpaceDE w:val="0"/>
              <w:autoSpaceDN w:val="0"/>
              <w:bidi w:val="0"/>
              <w:adjustRightInd w:val="0"/>
              <w:snapToGrid w:val="0"/>
              <w:spacing w:before="51" w:line="195" w:lineRule="auto"/>
              <w:ind w:left="27"/>
              <w:jc w:val="left"/>
              <w:outlineLvl w:val="9"/>
              <w:rPr>
                <w:rFonts w:hint="eastAsia" w:ascii="仿宋" w:hAnsi="仿宋" w:eastAsia="仿宋" w:cs="仿宋"/>
                <w:color w:val="auto"/>
                <w:sz w:val="24"/>
                <w:szCs w:val="24"/>
                <w:highlight w:val="none"/>
              </w:rPr>
            </w:pPr>
            <w:r>
              <w:rPr>
                <w:rFonts w:hint="eastAsia" w:ascii="仿宋" w:hAnsi="仿宋" w:eastAsia="仿宋" w:cs="仿宋"/>
                <w:color w:val="0000FF"/>
                <w:spacing w:val="-5"/>
                <w:sz w:val="24"/>
                <w:szCs w:val="24"/>
                <w:highlight w:val="none"/>
              </w:rPr>
              <w:t>投标截止时间：</w:t>
            </w:r>
            <w:r>
              <w:rPr>
                <w:rFonts w:hint="eastAsia" w:ascii="仿宋" w:hAnsi="仿宋" w:eastAsia="仿宋" w:cs="仿宋"/>
                <w:color w:val="0000FF"/>
                <w:spacing w:val="-5"/>
                <w:sz w:val="24"/>
                <w:szCs w:val="24"/>
                <w:highlight w:val="yellow"/>
                <w:lang w:eastAsia="zh-CN"/>
              </w:rPr>
              <w:t>202</w:t>
            </w:r>
            <w:r>
              <w:rPr>
                <w:rFonts w:hint="eastAsia" w:ascii="仿宋" w:hAnsi="仿宋" w:eastAsia="仿宋" w:cs="仿宋"/>
                <w:color w:val="0000FF"/>
                <w:spacing w:val="-5"/>
                <w:sz w:val="24"/>
                <w:szCs w:val="24"/>
                <w:highlight w:val="yellow"/>
                <w:lang w:val="en-US" w:eastAsia="zh-CN"/>
              </w:rPr>
              <w:t>5</w:t>
            </w:r>
            <w:r>
              <w:rPr>
                <w:rFonts w:hint="eastAsia" w:ascii="仿宋" w:hAnsi="仿宋" w:eastAsia="仿宋" w:cs="仿宋"/>
                <w:color w:val="0000FF"/>
                <w:spacing w:val="-5"/>
                <w:sz w:val="24"/>
                <w:szCs w:val="24"/>
                <w:highlight w:val="yellow"/>
                <w:lang w:eastAsia="zh-CN"/>
              </w:rPr>
              <w:t>年</w:t>
            </w:r>
            <w:r>
              <w:rPr>
                <w:rFonts w:hint="eastAsia" w:ascii="仿宋" w:hAnsi="仿宋" w:eastAsia="仿宋" w:cs="仿宋"/>
                <w:color w:val="0000FF"/>
                <w:spacing w:val="-5"/>
                <w:sz w:val="24"/>
                <w:szCs w:val="24"/>
                <w:highlight w:val="yellow"/>
                <w:lang w:val="en-US" w:eastAsia="zh-CN"/>
              </w:rPr>
              <w:t>7</w:t>
            </w:r>
            <w:r>
              <w:rPr>
                <w:rFonts w:hint="eastAsia" w:ascii="仿宋" w:hAnsi="仿宋" w:eastAsia="仿宋" w:cs="仿宋"/>
                <w:color w:val="0000FF"/>
                <w:spacing w:val="-5"/>
                <w:sz w:val="24"/>
                <w:szCs w:val="24"/>
                <w:highlight w:val="yellow"/>
                <w:lang w:eastAsia="zh-CN"/>
              </w:rPr>
              <w:t>月</w:t>
            </w:r>
            <w:r>
              <w:rPr>
                <w:rFonts w:hint="eastAsia" w:ascii="仿宋" w:hAnsi="仿宋" w:eastAsia="仿宋" w:cs="仿宋"/>
                <w:color w:val="0000FF"/>
                <w:spacing w:val="-5"/>
                <w:sz w:val="24"/>
                <w:szCs w:val="24"/>
                <w:highlight w:val="yellow"/>
                <w:lang w:val="en-US" w:eastAsia="zh-CN"/>
              </w:rPr>
              <w:t>01</w:t>
            </w:r>
            <w:r>
              <w:rPr>
                <w:rFonts w:hint="eastAsia" w:ascii="仿宋" w:hAnsi="仿宋" w:eastAsia="仿宋" w:cs="仿宋"/>
                <w:color w:val="0000FF"/>
                <w:spacing w:val="-5"/>
                <w:sz w:val="24"/>
                <w:szCs w:val="24"/>
                <w:highlight w:val="yellow"/>
                <w:lang w:eastAsia="zh-CN"/>
              </w:rPr>
              <w:t>日</w:t>
            </w:r>
            <w:r>
              <w:rPr>
                <w:rFonts w:hint="eastAsia" w:ascii="仿宋" w:hAnsi="仿宋" w:eastAsia="仿宋" w:cs="仿宋"/>
                <w:color w:val="0000FF"/>
                <w:spacing w:val="-5"/>
                <w:sz w:val="24"/>
                <w:szCs w:val="24"/>
                <w:highlight w:val="yellow"/>
                <w:lang w:val="en-US" w:eastAsia="zh-CN"/>
              </w:rPr>
              <w:t xml:space="preserve"> 11：00</w:t>
            </w:r>
            <w:r>
              <w:rPr>
                <w:rFonts w:hint="eastAsia" w:ascii="仿宋" w:hAnsi="仿宋" w:eastAsia="仿宋" w:cs="仿宋"/>
                <w:color w:val="0000FF"/>
                <w:spacing w:val="-5"/>
                <w:sz w:val="24"/>
                <w:szCs w:val="24"/>
                <w:highlight w:val="yellow"/>
                <w:lang w:eastAsia="zh-CN"/>
              </w:rPr>
              <w:t>（北京时间）</w:t>
            </w:r>
          </w:p>
        </w:tc>
      </w:tr>
      <w:tr w14:paraId="09FA0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068" w:type="dxa"/>
            <w:tcBorders>
              <w:left w:val="single" w:color="000000" w:sz="10" w:space="0"/>
            </w:tcBorders>
            <w:vAlign w:val="top"/>
          </w:tcPr>
          <w:p w14:paraId="0132A8AF">
            <w:pPr>
              <w:pStyle w:val="28"/>
              <w:keepNext w:val="0"/>
              <w:keepLines w:val="0"/>
              <w:pageBreakBefore w:val="0"/>
              <w:shd w:val="clear"/>
              <w:wordWrap/>
              <w:overflowPunct/>
              <w:topLinePunct w:val="0"/>
              <w:autoSpaceDE w:val="0"/>
              <w:autoSpaceDN w:val="0"/>
              <w:bidi w:val="0"/>
              <w:adjustRightInd w:val="0"/>
              <w:snapToGrid w:val="0"/>
              <w:spacing w:before="245" w:line="184" w:lineRule="auto"/>
              <w:ind w:left="440"/>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18.1</w:t>
            </w:r>
          </w:p>
        </w:tc>
        <w:tc>
          <w:tcPr>
            <w:tcW w:w="9350" w:type="dxa"/>
            <w:tcBorders>
              <w:right w:val="single" w:color="000000" w:sz="10" w:space="0"/>
            </w:tcBorders>
            <w:vAlign w:val="center"/>
          </w:tcPr>
          <w:p w14:paraId="0BDC2A76">
            <w:pPr>
              <w:pStyle w:val="28"/>
              <w:keepNext w:val="0"/>
              <w:keepLines w:val="0"/>
              <w:pageBreakBefore w:val="0"/>
              <w:shd w:val="clear"/>
              <w:wordWrap/>
              <w:overflowPunct/>
              <w:topLinePunct w:val="0"/>
              <w:autoSpaceDE w:val="0"/>
              <w:autoSpaceDN w:val="0"/>
              <w:bidi w:val="0"/>
              <w:adjustRightInd w:val="0"/>
              <w:snapToGrid w:val="0"/>
              <w:spacing w:before="53" w:line="220" w:lineRule="auto"/>
              <w:ind w:left="25"/>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开标时间：同投标截止时间</w:t>
            </w:r>
          </w:p>
          <w:p w14:paraId="007159E2">
            <w:pPr>
              <w:pStyle w:val="28"/>
              <w:keepNext w:val="0"/>
              <w:keepLines w:val="0"/>
              <w:pageBreakBefore w:val="0"/>
              <w:shd w:val="clear"/>
              <w:wordWrap/>
              <w:overflowPunct/>
              <w:topLinePunct w:val="0"/>
              <w:autoSpaceDE w:val="0"/>
              <w:autoSpaceDN w:val="0"/>
              <w:bidi w:val="0"/>
              <w:adjustRightInd w:val="0"/>
              <w:snapToGrid w:val="0"/>
              <w:spacing w:before="26" w:line="193" w:lineRule="auto"/>
              <w:ind w:left="25"/>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开标地点：政采云平台</w:t>
            </w:r>
            <w:r>
              <w:rPr>
                <w:rFonts w:hint="eastAsia" w:ascii="仿宋" w:hAnsi="仿宋" w:eastAsia="仿宋" w:cs="仿宋"/>
                <w:color w:val="auto"/>
                <w:spacing w:val="-41"/>
                <w:sz w:val="24"/>
                <w:szCs w:val="24"/>
                <w:highlight w:val="none"/>
              </w:rPr>
              <w:t xml:space="preserve"> </w:t>
            </w:r>
            <w:r>
              <w:rPr>
                <w:rFonts w:hint="eastAsia" w:ascii="仿宋" w:hAnsi="仿宋" w:eastAsia="仿宋" w:cs="仿宋"/>
                <w:color w:val="auto"/>
                <w:spacing w:val="-1"/>
                <w:sz w:val="24"/>
                <w:szCs w:val="24"/>
                <w:highlight w:val="none"/>
              </w:rPr>
              <w:t>https://www.zcygov.cn</w:t>
            </w:r>
          </w:p>
        </w:tc>
      </w:tr>
      <w:tr w14:paraId="61A75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trPr>
        <w:tc>
          <w:tcPr>
            <w:tcW w:w="1068" w:type="dxa"/>
            <w:tcBorders>
              <w:left w:val="single" w:color="000000" w:sz="10" w:space="0"/>
            </w:tcBorders>
            <w:vAlign w:val="top"/>
          </w:tcPr>
          <w:p w14:paraId="207BF63C">
            <w:pPr>
              <w:pStyle w:val="28"/>
              <w:keepNext w:val="0"/>
              <w:keepLines w:val="0"/>
              <w:pageBreakBefore w:val="0"/>
              <w:shd w:val="clear"/>
              <w:wordWrap/>
              <w:overflowPunct/>
              <w:topLinePunct w:val="0"/>
              <w:autoSpaceDE w:val="0"/>
              <w:autoSpaceDN w:val="0"/>
              <w:bidi w:val="0"/>
              <w:adjustRightInd w:val="0"/>
              <w:snapToGrid w:val="0"/>
              <w:spacing w:before="78" w:line="183" w:lineRule="auto"/>
              <w:ind w:firstLine="464"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23.2</w:t>
            </w:r>
          </w:p>
        </w:tc>
        <w:tc>
          <w:tcPr>
            <w:tcW w:w="9350" w:type="dxa"/>
            <w:tcBorders>
              <w:right w:val="single" w:color="000000" w:sz="10" w:space="0"/>
            </w:tcBorders>
            <w:vAlign w:val="center"/>
          </w:tcPr>
          <w:p w14:paraId="71B6C630">
            <w:pPr>
              <w:pStyle w:val="28"/>
              <w:keepNext w:val="0"/>
              <w:keepLines w:val="0"/>
              <w:pageBreakBefore w:val="0"/>
              <w:shd w:val="clear"/>
              <w:wordWrap/>
              <w:overflowPunct/>
              <w:topLinePunct w:val="0"/>
              <w:autoSpaceDE w:val="0"/>
              <w:autoSpaceDN w:val="0"/>
              <w:bidi w:val="0"/>
              <w:adjustRightInd w:val="0"/>
              <w:snapToGrid w:val="0"/>
              <w:spacing w:before="56" w:line="234" w:lineRule="auto"/>
              <w:ind w:left="23" w:right="16"/>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评标方法：</w:t>
            </w:r>
            <w:r>
              <w:rPr>
                <w:rFonts w:hint="eastAsia" w:ascii="仿宋" w:hAnsi="仿宋" w:eastAsia="仿宋" w:cs="仿宋"/>
                <w:b/>
                <w:bCs/>
                <w:color w:val="auto"/>
                <w:spacing w:val="-3"/>
                <w:sz w:val="24"/>
                <w:szCs w:val="24"/>
                <w:highlight w:val="none"/>
              </w:rPr>
              <w:t>竞争性磋商：综合评分法</w:t>
            </w:r>
          </w:p>
          <w:p w14:paraId="342D300D">
            <w:pPr>
              <w:pStyle w:val="28"/>
              <w:keepNext w:val="0"/>
              <w:keepLines w:val="0"/>
              <w:pageBreakBefore w:val="0"/>
              <w:shd w:val="clear"/>
              <w:wordWrap/>
              <w:overflowPunct/>
              <w:topLinePunct w:val="0"/>
              <w:autoSpaceDE w:val="0"/>
              <w:autoSpaceDN w:val="0"/>
              <w:bidi w:val="0"/>
              <w:adjustRightInd w:val="0"/>
              <w:snapToGrid w:val="0"/>
              <w:spacing w:before="27" w:line="228" w:lineRule="auto"/>
              <w:ind w:left="23" w:right="16" w:firstLine="3"/>
              <w:jc w:val="left"/>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备注：二次报价时需要供应商提前准备好二轮已标价的工程</w:t>
            </w:r>
            <w:r>
              <w:rPr>
                <w:rFonts w:hint="eastAsia" w:ascii="仿宋" w:hAnsi="仿宋" w:eastAsia="仿宋" w:cs="仿宋"/>
                <w:b/>
                <w:bCs/>
                <w:color w:val="auto"/>
                <w:spacing w:val="-6"/>
                <w:sz w:val="24"/>
                <w:szCs w:val="24"/>
                <w:highlight w:val="none"/>
              </w:rPr>
              <w:t>量清单，将会作为附</w:t>
            </w:r>
            <w:r>
              <w:rPr>
                <w:rFonts w:hint="eastAsia" w:ascii="仿宋" w:hAnsi="仿宋" w:eastAsia="仿宋" w:cs="仿宋"/>
                <w:b/>
                <w:bCs/>
                <w:color w:val="auto"/>
                <w:spacing w:val="-5"/>
                <w:sz w:val="24"/>
                <w:szCs w:val="24"/>
                <w:highlight w:val="none"/>
              </w:rPr>
              <w:t>件进行上传，作为报价评审依据，成为其响应文件的组成部分。</w:t>
            </w:r>
            <w:r>
              <w:rPr>
                <w:rFonts w:hint="eastAsia" w:ascii="仿宋" w:hAnsi="仿宋" w:eastAsia="仿宋" w:cs="仿宋"/>
                <w:b/>
                <w:bCs/>
                <w:color w:val="auto"/>
                <w:spacing w:val="-6"/>
                <w:sz w:val="24"/>
                <w:szCs w:val="24"/>
                <w:highlight w:val="none"/>
              </w:rPr>
              <w:t>未按要求上传视</w:t>
            </w:r>
            <w:r>
              <w:rPr>
                <w:rFonts w:hint="eastAsia" w:ascii="仿宋" w:hAnsi="仿宋" w:eastAsia="仿宋" w:cs="仿宋"/>
                <w:b/>
                <w:bCs/>
                <w:color w:val="auto"/>
                <w:spacing w:val="-5"/>
                <w:sz w:val="24"/>
                <w:szCs w:val="24"/>
                <w:highlight w:val="none"/>
              </w:rPr>
              <w:t>为无效。</w:t>
            </w:r>
          </w:p>
        </w:tc>
      </w:tr>
    </w:tbl>
    <w:p w14:paraId="1B782A89">
      <w:pPr>
        <w:keepNext w:val="0"/>
        <w:keepLines w:val="0"/>
        <w:pageBreakBefore w:val="0"/>
        <w:shd w:val="clear"/>
        <w:wordWrap/>
        <w:overflowPunct/>
        <w:topLinePunct w:val="0"/>
        <w:autoSpaceDE w:val="0"/>
        <w:autoSpaceDN w:val="0"/>
        <w:bidi w:val="0"/>
        <w:adjustRightInd w:val="0"/>
        <w:snapToGrid w:val="0"/>
        <w:spacing w:line="91" w:lineRule="auto"/>
        <w:outlineLvl w:val="9"/>
        <w:rPr>
          <w:rFonts w:hint="eastAsia" w:ascii="仿宋" w:hAnsi="仿宋" w:eastAsia="仿宋" w:cs="仿宋"/>
          <w:color w:val="auto"/>
          <w:sz w:val="24"/>
          <w:szCs w:val="24"/>
          <w:highlight w:val="none"/>
        </w:rPr>
      </w:pPr>
    </w:p>
    <w:tbl>
      <w:tblPr>
        <w:tblStyle w:val="26"/>
        <w:tblW w:w="10478" w:type="dxa"/>
        <w:tblInd w:w="-7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6"/>
        <w:gridCol w:w="9362"/>
      </w:tblGrid>
      <w:tr w14:paraId="2FC48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116" w:type="dxa"/>
            <w:tcBorders>
              <w:top w:val="single" w:color="000000" w:sz="10" w:space="0"/>
              <w:left w:val="single" w:color="000000" w:sz="10" w:space="0"/>
            </w:tcBorders>
            <w:vAlign w:val="top"/>
          </w:tcPr>
          <w:p w14:paraId="02B407CF">
            <w:pPr>
              <w:pStyle w:val="28"/>
              <w:keepNext w:val="0"/>
              <w:keepLines w:val="0"/>
              <w:pageBreakBefore w:val="0"/>
              <w:shd w:val="clear"/>
              <w:wordWrap/>
              <w:overflowPunct/>
              <w:topLinePunct w:val="0"/>
              <w:autoSpaceDE w:val="0"/>
              <w:autoSpaceDN w:val="0"/>
              <w:bidi w:val="0"/>
              <w:adjustRightInd w:val="0"/>
              <w:snapToGrid w:val="0"/>
              <w:spacing w:before="79" w:line="180" w:lineRule="auto"/>
              <w:ind w:left="545"/>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27</w:t>
            </w:r>
          </w:p>
        </w:tc>
        <w:tc>
          <w:tcPr>
            <w:tcW w:w="9362" w:type="dxa"/>
            <w:tcBorders>
              <w:top w:val="single" w:color="000000" w:sz="10" w:space="0"/>
              <w:right w:val="single" w:color="000000" w:sz="10" w:space="0"/>
            </w:tcBorders>
            <w:vAlign w:val="center"/>
          </w:tcPr>
          <w:p w14:paraId="2B6C65B4">
            <w:pPr>
              <w:pStyle w:val="28"/>
              <w:keepNext w:val="0"/>
              <w:keepLines w:val="0"/>
              <w:pageBreakBefore w:val="0"/>
              <w:shd w:val="clear"/>
              <w:wordWrap/>
              <w:overflowPunct/>
              <w:topLinePunct w:val="0"/>
              <w:autoSpaceDE w:val="0"/>
              <w:autoSpaceDN w:val="0"/>
              <w:bidi w:val="0"/>
              <w:adjustRightInd w:val="0"/>
              <w:snapToGrid w:val="0"/>
              <w:spacing w:before="41" w:line="209" w:lineRule="auto"/>
              <w:ind w:left="24"/>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推荐中标候选供应商的数量：3</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1"/>
                <w:sz w:val="24"/>
                <w:szCs w:val="24"/>
                <w:highlight w:val="none"/>
              </w:rPr>
              <w:t>名</w:t>
            </w:r>
          </w:p>
        </w:tc>
      </w:tr>
      <w:tr w14:paraId="6D27E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116" w:type="dxa"/>
            <w:tcBorders>
              <w:left w:val="single" w:color="000000" w:sz="10" w:space="0"/>
            </w:tcBorders>
            <w:vAlign w:val="center"/>
          </w:tcPr>
          <w:p w14:paraId="0EF14210">
            <w:pPr>
              <w:pStyle w:val="28"/>
              <w:keepNext w:val="0"/>
              <w:keepLines w:val="0"/>
              <w:pageBreakBefore w:val="0"/>
              <w:shd w:val="clear"/>
              <w:wordWrap/>
              <w:overflowPunct/>
              <w:topLinePunct w:val="0"/>
              <w:autoSpaceDE w:val="0"/>
              <w:autoSpaceDN w:val="0"/>
              <w:bidi w:val="0"/>
              <w:adjustRightInd w:val="0"/>
              <w:snapToGrid w:val="0"/>
              <w:spacing w:before="71" w:line="18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lang w:val="en-US" w:eastAsia="zh-CN"/>
              </w:rPr>
              <w:t xml:space="preserve"> </w:t>
            </w:r>
            <w:r>
              <w:rPr>
                <w:rFonts w:hint="eastAsia" w:ascii="仿宋" w:hAnsi="仿宋" w:eastAsia="仿宋" w:cs="仿宋"/>
                <w:color w:val="auto"/>
                <w:spacing w:val="-7"/>
                <w:sz w:val="24"/>
                <w:szCs w:val="24"/>
                <w:highlight w:val="none"/>
              </w:rPr>
              <w:t>27</w:t>
            </w:r>
          </w:p>
        </w:tc>
        <w:tc>
          <w:tcPr>
            <w:tcW w:w="9362" w:type="dxa"/>
            <w:tcBorders>
              <w:right w:val="single" w:color="000000" w:sz="10" w:space="0"/>
            </w:tcBorders>
            <w:vAlign w:val="center"/>
          </w:tcPr>
          <w:p w14:paraId="5FE55F3B">
            <w:pPr>
              <w:pStyle w:val="28"/>
              <w:keepNext w:val="0"/>
              <w:keepLines w:val="0"/>
              <w:pageBreakBefore w:val="0"/>
              <w:shd w:val="clear"/>
              <w:wordWrap/>
              <w:overflowPunct/>
              <w:topLinePunct w:val="0"/>
              <w:autoSpaceDE w:val="0"/>
              <w:autoSpaceDN w:val="0"/>
              <w:bidi w:val="0"/>
              <w:adjustRightInd w:val="0"/>
              <w:snapToGrid w:val="0"/>
              <w:spacing w:before="34" w:line="209" w:lineRule="auto"/>
              <w:ind w:left="23"/>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采购人是否委托磋商小组直接确定中标人：否 （是、否）</w:t>
            </w:r>
          </w:p>
        </w:tc>
      </w:tr>
      <w:tr w14:paraId="39063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1116" w:type="dxa"/>
            <w:tcBorders>
              <w:left w:val="single" w:color="000000" w:sz="10" w:space="0"/>
            </w:tcBorders>
            <w:vAlign w:val="top"/>
          </w:tcPr>
          <w:p w14:paraId="0D1A6522">
            <w:pPr>
              <w:keepNext w:val="0"/>
              <w:keepLines w:val="0"/>
              <w:pageBreakBefore w:val="0"/>
              <w:shd w:val="clear"/>
              <w:wordWrap/>
              <w:overflowPunct/>
              <w:topLinePunct w:val="0"/>
              <w:autoSpaceDE w:val="0"/>
              <w:autoSpaceDN w:val="0"/>
              <w:bidi w:val="0"/>
              <w:adjustRightInd w:val="0"/>
              <w:snapToGrid w:val="0"/>
              <w:spacing w:line="301" w:lineRule="auto"/>
              <w:outlineLvl w:val="9"/>
              <w:rPr>
                <w:rFonts w:hint="eastAsia" w:ascii="仿宋" w:hAnsi="仿宋" w:eastAsia="仿宋" w:cs="仿宋"/>
                <w:color w:val="auto"/>
                <w:sz w:val="24"/>
                <w:szCs w:val="24"/>
                <w:highlight w:val="none"/>
              </w:rPr>
            </w:pPr>
          </w:p>
          <w:p w14:paraId="2B361CA0">
            <w:pPr>
              <w:pStyle w:val="28"/>
              <w:keepNext w:val="0"/>
              <w:keepLines w:val="0"/>
              <w:pageBreakBefore w:val="0"/>
              <w:shd w:val="clear"/>
              <w:wordWrap/>
              <w:overflowPunct/>
              <w:topLinePunct w:val="0"/>
              <w:autoSpaceDE w:val="0"/>
              <w:autoSpaceDN w:val="0"/>
              <w:bidi w:val="0"/>
              <w:adjustRightInd w:val="0"/>
              <w:snapToGrid w:val="0"/>
              <w:spacing w:before="78" w:line="184" w:lineRule="auto"/>
              <w:ind w:left="427"/>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31.1</w:t>
            </w:r>
          </w:p>
        </w:tc>
        <w:tc>
          <w:tcPr>
            <w:tcW w:w="9362" w:type="dxa"/>
            <w:tcBorders>
              <w:right w:val="single" w:color="000000" w:sz="10" w:space="0"/>
            </w:tcBorders>
            <w:vAlign w:val="center"/>
          </w:tcPr>
          <w:p w14:paraId="2C8CE876">
            <w:pPr>
              <w:pStyle w:val="28"/>
              <w:keepNext w:val="0"/>
              <w:keepLines w:val="0"/>
              <w:pageBreakBefore w:val="0"/>
              <w:shd w:val="clear"/>
              <w:wordWrap/>
              <w:overflowPunct/>
              <w:topLinePunct w:val="0"/>
              <w:autoSpaceDE w:val="0"/>
              <w:autoSpaceDN w:val="0"/>
              <w:bidi w:val="0"/>
              <w:adjustRightInd w:val="0"/>
              <w:snapToGrid w:val="0"/>
              <w:spacing w:before="34" w:line="218" w:lineRule="auto"/>
              <w:ind w:left="28"/>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履约保证金金额：合同总价的</w:t>
            </w:r>
            <w:r>
              <w:rPr>
                <w:rFonts w:hint="eastAsia" w:ascii="仿宋" w:hAnsi="仿宋" w:eastAsia="仿宋" w:cs="仿宋"/>
                <w:color w:val="auto"/>
                <w:spacing w:val="-36"/>
                <w:sz w:val="24"/>
                <w:szCs w:val="24"/>
                <w:highlight w:val="none"/>
                <w:lang w:val="en-US" w:eastAsia="zh-CN"/>
              </w:rPr>
              <w:t xml:space="preserve">10 </w:t>
            </w:r>
            <w:r>
              <w:rPr>
                <w:rFonts w:hint="eastAsia" w:ascii="仿宋" w:hAnsi="仿宋" w:eastAsia="仿宋" w:cs="仿宋"/>
                <w:color w:val="auto"/>
                <w:spacing w:val="-2"/>
                <w:sz w:val="24"/>
                <w:szCs w:val="24"/>
                <w:highlight w:val="none"/>
                <w:u w:val="single" w:color="auto"/>
              </w:rPr>
              <w:t>%</w:t>
            </w:r>
            <w:r>
              <w:rPr>
                <w:rFonts w:hint="eastAsia" w:ascii="仿宋" w:hAnsi="仿宋" w:eastAsia="仿宋" w:cs="仿宋"/>
                <w:color w:val="auto"/>
                <w:spacing w:val="-2"/>
                <w:sz w:val="24"/>
                <w:szCs w:val="24"/>
                <w:highlight w:val="none"/>
              </w:rPr>
              <w:t>（不得超过政府采购合同金额的</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2"/>
                <w:sz w:val="24"/>
                <w:szCs w:val="24"/>
                <w:highlight w:val="none"/>
              </w:rPr>
              <w:t>10%）</w:t>
            </w:r>
          </w:p>
          <w:p w14:paraId="49EE74FA">
            <w:pPr>
              <w:pStyle w:val="28"/>
              <w:keepNext w:val="0"/>
              <w:keepLines w:val="0"/>
              <w:pageBreakBefore w:val="0"/>
              <w:shd w:val="clear"/>
              <w:wordWrap/>
              <w:overflowPunct/>
              <w:topLinePunct w:val="0"/>
              <w:autoSpaceDE w:val="0"/>
              <w:autoSpaceDN w:val="0"/>
              <w:bidi w:val="0"/>
              <w:adjustRightInd w:val="0"/>
              <w:snapToGrid w:val="0"/>
              <w:spacing w:before="25" w:line="219" w:lineRule="auto"/>
              <w:ind w:left="28"/>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履约保证金形式：转账或电汇（基本账户转出或出具）</w:t>
            </w:r>
          </w:p>
          <w:p w14:paraId="5FB72F22">
            <w:pPr>
              <w:pStyle w:val="28"/>
              <w:keepNext w:val="0"/>
              <w:keepLines w:val="0"/>
              <w:pageBreakBefore w:val="0"/>
              <w:shd w:val="clear"/>
              <w:wordWrap/>
              <w:overflowPunct/>
              <w:topLinePunct w:val="0"/>
              <w:autoSpaceDE w:val="0"/>
              <w:autoSpaceDN w:val="0"/>
              <w:bidi w:val="0"/>
              <w:adjustRightInd w:val="0"/>
              <w:snapToGrid w:val="0"/>
              <w:spacing w:before="27" w:line="188" w:lineRule="auto"/>
              <w:ind w:left="25"/>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提交履约保证金的时间：</w:t>
            </w:r>
            <w:r>
              <w:rPr>
                <w:rFonts w:hint="eastAsia" w:ascii="仿宋" w:hAnsi="仿宋" w:eastAsia="仿宋" w:cs="仿宋"/>
                <w:color w:val="auto"/>
                <w:spacing w:val="-1"/>
                <w:sz w:val="24"/>
                <w:szCs w:val="24"/>
                <w:highlight w:val="none"/>
              </w:rPr>
              <w:t xml:space="preserve">中标通知书后5天内 </w:t>
            </w:r>
          </w:p>
        </w:tc>
      </w:tr>
      <w:tr w14:paraId="77F67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116" w:type="dxa"/>
            <w:tcBorders>
              <w:left w:val="single" w:color="000000" w:sz="10" w:space="0"/>
            </w:tcBorders>
            <w:vAlign w:val="top"/>
          </w:tcPr>
          <w:p w14:paraId="34396E73">
            <w:pPr>
              <w:pStyle w:val="28"/>
              <w:keepNext w:val="0"/>
              <w:keepLines w:val="0"/>
              <w:pageBreakBefore w:val="0"/>
              <w:shd w:val="clear"/>
              <w:wordWrap/>
              <w:overflowPunct/>
              <w:topLinePunct w:val="0"/>
              <w:autoSpaceDE w:val="0"/>
              <w:autoSpaceDN w:val="0"/>
              <w:bidi w:val="0"/>
              <w:adjustRightInd w:val="0"/>
              <w:snapToGrid w:val="0"/>
              <w:spacing w:before="78" w:line="183"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32</w:t>
            </w:r>
          </w:p>
        </w:tc>
        <w:tc>
          <w:tcPr>
            <w:tcW w:w="9362" w:type="dxa"/>
            <w:tcBorders>
              <w:right w:val="single" w:color="000000" w:sz="10" w:space="0"/>
            </w:tcBorders>
            <w:vAlign w:val="center"/>
          </w:tcPr>
          <w:p w14:paraId="317D58C2">
            <w:pPr>
              <w:pStyle w:val="28"/>
              <w:keepNext w:val="0"/>
              <w:keepLines w:val="0"/>
              <w:pageBreakBefore w:val="0"/>
              <w:shd w:val="clear"/>
              <w:wordWrap/>
              <w:overflowPunct/>
              <w:topLinePunct w:val="0"/>
              <w:autoSpaceDE w:val="0"/>
              <w:autoSpaceDN w:val="0"/>
              <w:bidi w:val="0"/>
              <w:adjustRightInd w:val="0"/>
              <w:snapToGrid w:val="0"/>
              <w:spacing w:before="26" w:line="206" w:lineRule="auto"/>
              <w:ind w:left="25"/>
              <w:jc w:val="left"/>
              <w:outlineLvl w:val="9"/>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4"/>
                <w:sz w:val="24"/>
                <w:szCs w:val="24"/>
                <w:highlight w:val="none"/>
              </w:rPr>
              <w:t>中标服务费：本项目不收取中标服务费</w:t>
            </w:r>
          </w:p>
        </w:tc>
      </w:tr>
      <w:tr w14:paraId="52215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116" w:type="dxa"/>
            <w:tcBorders>
              <w:left w:val="single" w:color="000000" w:sz="10" w:space="0"/>
            </w:tcBorders>
            <w:vAlign w:val="center"/>
          </w:tcPr>
          <w:p w14:paraId="58E14D7F">
            <w:pPr>
              <w:pStyle w:val="28"/>
              <w:keepNext w:val="0"/>
              <w:keepLines w:val="0"/>
              <w:pageBreakBefore w:val="0"/>
              <w:shd w:val="clear"/>
              <w:wordWrap/>
              <w:overflowPunct/>
              <w:topLinePunct w:val="0"/>
              <w:autoSpaceDE w:val="0"/>
              <w:autoSpaceDN w:val="0"/>
              <w:bidi w:val="0"/>
              <w:adjustRightInd w:val="0"/>
              <w:snapToGrid w:val="0"/>
              <w:spacing w:before="75" w:line="158"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33.1</w:t>
            </w:r>
          </w:p>
        </w:tc>
        <w:tc>
          <w:tcPr>
            <w:tcW w:w="9362" w:type="dxa"/>
            <w:tcBorders>
              <w:right w:val="single" w:color="000000" w:sz="10" w:space="0"/>
            </w:tcBorders>
            <w:vAlign w:val="center"/>
          </w:tcPr>
          <w:p w14:paraId="737DD4A3">
            <w:pPr>
              <w:pStyle w:val="28"/>
              <w:keepNext w:val="0"/>
              <w:keepLines w:val="0"/>
              <w:pageBreakBefore w:val="0"/>
              <w:shd w:val="clear"/>
              <w:wordWrap/>
              <w:overflowPunct/>
              <w:topLinePunct w:val="0"/>
              <w:autoSpaceDE w:val="0"/>
              <w:autoSpaceDN w:val="0"/>
              <w:bidi w:val="0"/>
              <w:adjustRightInd w:val="0"/>
              <w:snapToGrid w:val="0"/>
              <w:spacing w:before="39" w:line="186" w:lineRule="auto"/>
              <w:ind w:left="25"/>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本项目是否属于信用担保试点范围：否（是、否）</w:t>
            </w:r>
          </w:p>
        </w:tc>
      </w:tr>
      <w:tr w14:paraId="72170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116" w:type="dxa"/>
            <w:tcBorders>
              <w:left w:val="single" w:color="000000" w:sz="10" w:space="0"/>
            </w:tcBorders>
            <w:vAlign w:val="center"/>
          </w:tcPr>
          <w:p w14:paraId="18A1E4CB">
            <w:pPr>
              <w:pStyle w:val="28"/>
              <w:keepNext w:val="0"/>
              <w:keepLines w:val="0"/>
              <w:pageBreakBefore w:val="0"/>
              <w:shd w:val="clear"/>
              <w:wordWrap/>
              <w:overflowPunct/>
              <w:topLinePunct w:val="0"/>
              <w:autoSpaceDE w:val="0"/>
              <w:autoSpaceDN w:val="0"/>
              <w:bidi w:val="0"/>
              <w:adjustRightInd w:val="0"/>
              <w:snapToGrid w:val="0"/>
              <w:spacing w:before="102" w:line="175"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33.2</w:t>
            </w:r>
          </w:p>
        </w:tc>
        <w:tc>
          <w:tcPr>
            <w:tcW w:w="9362" w:type="dxa"/>
            <w:tcBorders>
              <w:right w:val="single" w:color="000000" w:sz="10" w:space="0"/>
            </w:tcBorders>
            <w:vAlign w:val="center"/>
          </w:tcPr>
          <w:p w14:paraId="64B2443B">
            <w:pPr>
              <w:pStyle w:val="28"/>
              <w:keepNext w:val="0"/>
              <w:keepLines w:val="0"/>
              <w:pageBreakBefore w:val="0"/>
              <w:shd w:val="clear"/>
              <w:wordWrap/>
              <w:overflowPunct/>
              <w:topLinePunct w:val="0"/>
              <w:autoSpaceDE w:val="0"/>
              <w:autoSpaceDN w:val="0"/>
              <w:bidi w:val="0"/>
              <w:adjustRightInd w:val="0"/>
              <w:snapToGrid w:val="0"/>
              <w:spacing w:before="64" w:line="204" w:lineRule="auto"/>
              <w:ind w:left="25"/>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反腐倡廉监督电话/邮箱：</w:t>
            </w:r>
            <w:r>
              <w:rPr>
                <w:rFonts w:hint="eastAsia" w:ascii="仿宋" w:hAnsi="仿宋" w:eastAsia="仿宋" w:cs="仿宋"/>
                <w:color w:val="auto"/>
                <w:spacing w:val="-1"/>
                <w:sz w:val="24"/>
                <w:szCs w:val="24"/>
                <w:highlight w:val="none"/>
                <w:u w:val="single" w:color="auto"/>
              </w:rPr>
              <w:t>0998-2866667</w:t>
            </w:r>
          </w:p>
        </w:tc>
      </w:tr>
      <w:tr w14:paraId="49155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8" w:hRule="atLeast"/>
        </w:trPr>
        <w:tc>
          <w:tcPr>
            <w:tcW w:w="1116" w:type="dxa"/>
            <w:tcBorders>
              <w:left w:val="single" w:color="000000" w:sz="10" w:space="0"/>
            </w:tcBorders>
            <w:vAlign w:val="center"/>
          </w:tcPr>
          <w:p w14:paraId="5BE2EF87">
            <w:pPr>
              <w:pStyle w:val="28"/>
              <w:keepNext w:val="0"/>
              <w:keepLines w:val="0"/>
              <w:pageBreakBefore w:val="0"/>
              <w:shd w:val="clear"/>
              <w:wordWrap/>
              <w:overflowPunct/>
              <w:topLinePunct w:val="0"/>
              <w:autoSpaceDE w:val="0"/>
              <w:autoSpaceDN w:val="0"/>
              <w:bidi w:val="0"/>
              <w:adjustRightInd w:val="0"/>
              <w:snapToGrid w:val="0"/>
              <w:spacing w:before="78" w:line="183"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35</w:t>
            </w:r>
          </w:p>
        </w:tc>
        <w:tc>
          <w:tcPr>
            <w:tcW w:w="9362" w:type="dxa"/>
            <w:tcBorders>
              <w:right w:val="single" w:color="000000" w:sz="10" w:space="0"/>
            </w:tcBorders>
            <w:vAlign w:val="center"/>
          </w:tcPr>
          <w:p w14:paraId="4256B554">
            <w:pPr>
              <w:pStyle w:val="28"/>
              <w:keepNext w:val="0"/>
              <w:keepLines w:val="0"/>
              <w:pageBreakBefore w:val="0"/>
              <w:shd w:val="clear"/>
              <w:wordWrap/>
              <w:overflowPunct/>
              <w:topLinePunct w:val="0"/>
              <w:autoSpaceDE w:val="0"/>
              <w:autoSpaceDN w:val="0"/>
              <w:bidi w:val="0"/>
              <w:adjustRightInd w:val="0"/>
              <w:snapToGrid w:val="0"/>
              <w:spacing w:before="42" w:line="236" w:lineRule="auto"/>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本次招标需要落实的政府采购政策</w:t>
            </w:r>
            <w:r>
              <w:rPr>
                <w:rFonts w:hint="eastAsia" w:ascii="仿宋" w:hAnsi="仿宋" w:eastAsia="仿宋" w:cs="仿宋"/>
                <w:color w:val="auto"/>
                <w:spacing w:val="-18"/>
                <w:sz w:val="24"/>
                <w:szCs w:val="24"/>
                <w:highlight w:val="none"/>
              </w:rPr>
              <w:t>：（</w:t>
            </w:r>
            <w:r>
              <w:rPr>
                <w:rFonts w:hint="eastAsia" w:ascii="仿宋" w:hAnsi="仿宋" w:eastAsia="仿宋" w:cs="仿宋"/>
                <w:color w:val="auto"/>
                <w:spacing w:val="-1"/>
                <w:sz w:val="24"/>
                <w:szCs w:val="24"/>
                <w:highlight w:val="none"/>
              </w:rPr>
              <w:t>1）鼓励节能政策:财政部</w:t>
            </w:r>
            <w:r>
              <w:rPr>
                <w:rFonts w:hint="eastAsia" w:ascii="仿宋" w:hAnsi="仿宋" w:eastAsia="仿宋" w:cs="仿宋"/>
                <w:color w:val="auto"/>
                <w:spacing w:val="-2"/>
                <w:sz w:val="24"/>
                <w:szCs w:val="24"/>
                <w:highlight w:val="none"/>
              </w:rPr>
              <w:t>、发展改革委、</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生态环境部、市场监管总局《关于调整优化节能产</w:t>
            </w:r>
            <w:r>
              <w:rPr>
                <w:rFonts w:hint="eastAsia" w:ascii="仿宋" w:hAnsi="仿宋" w:eastAsia="仿宋" w:cs="仿宋"/>
                <w:color w:val="auto"/>
                <w:spacing w:val="-4"/>
                <w:sz w:val="24"/>
                <w:szCs w:val="24"/>
                <w:highlight w:val="none"/>
              </w:rPr>
              <w:t>品、环境标志产品政府采购执</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行机制的通知》（财库【2019】9</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2"/>
                <w:sz w:val="24"/>
                <w:szCs w:val="24"/>
                <w:highlight w:val="none"/>
              </w:rPr>
              <w:t>号）、财政部、发展改革委《关于印发节能产</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品政府采购品目清单的通知》（财库【2019】19</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1"/>
                <w:sz w:val="24"/>
                <w:szCs w:val="24"/>
                <w:highlight w:val="none"/>
              </w:rPr>
              <w:t>号）、《市场监管总局关于发</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布参与实施政府采购节能、环境标志产品认证机</w:t>
            </w:r>
            <w:r>
              <w:rPr>
                <w:rFonts w:hint="eastAsia" w:ascii="仿宋" w:hAnsi="仿宋" w:eastAsia="仿宋" w:cs="仿宋"/>
                <w:color w:val="auto"/>
                <w:spacing w:val="-3"/>
                <w:sz w:val="24"/>
                <w:szCs w:val="24"/>
                <w:highlight w:val="none"/>
              </w:rPr>
              <w:t>构名录的公告》（2019</w:t>
            </w:r>
            <w:r>
              <w:rPr>
                <w:rFonts w:hint="eastAsia" w:ascii="仿宋" w:hAnsi="仿宋" w:eastAsia="仿宋" w:cs="仿宋"/>
                <w:color w:val="auto"/>
                <w:spacing w:val="-50"/>
                <w:sz w:val="24"/>
                <w:szCs w:val="24"/>
                <w:highlight w:val="none"/>
              </w:rPr>
              <w:t xml:space="preserve"> </w:t>
            </w:r>
            <w:r>
              <w:rPr>
                <w:rFonts w:hint="eastAsia" w:ascii="仿宋" w:hAnsi="仿宋" w:eastAsia="仿宋" w:cs="仿宋"/>
                <w:color w:val="auto"/>
                <w:spacing w:val="-3"/>
                <w:sz w:val="24"/>
                <w:szCs w:val="24"/>
                <w:highlight w:val="none"/>
              </w:rPr>
              <w:t>年第</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3"/>
                <w:sz w:val="24"/>
                <w:szCs w:val="24"/>
                <w:highlight w:val="none"/>
              </w:rPr>
              <w:t xml:space="preserve">16 </w:t>
            </w:r>
            <w:r>
              <w:rPr>
                <w:rFonts w:hint="eastAsia" w:ascii="仿宋" w:hAnsi="仿宋" w:eastAsia="仿宋" w:cs="仿宋"/>
                <w:color w:val="auto"/>
                <w:spacing w:val="-11"/>
                <w:sz w:val="24"/>
                <w:szCs w:val="24"/>
                <w:highlight w:val="none"/>
              </w:rPr>
              <w:t>号</w:t>
            </w:r>
            <w:r>
              <w:rPr>
                <w:rFonts w:hint="eastAsia" w:ascii="仿宋" w:hAnsi="仿宋" w:eastAsia="仿宋" w:cs="仿宋"/>
                <w:color w:val="auto"/>
                <w:spacing w:val="-1"/>
                <w:sz w:val="24"/>
                <w:szCs w:val="24"/>
                <w:highlight w:val="none"/>
              </w:rPr>
              <w:t>）；</w:t>
            </w:r>
          </w:p>
          <w:p w14:paraId="44342455">
            <w:pPr>
              <w:pStyle w:val="28"/>
              <w:keepNext w:val="0"/>
              <w:keepLines w:val="0"/>
              <w:pageBreakBefore w:val="0"/>
              <w:shd w:val="clear"/>
              <w:wordWrap/>
              <w:overflowPunct/>
              <w:topLinePunct w:val="0"/>
              <w:autoSpaceDE w:val="0"/>
              <w:autoSpaceDN w:val="0"/>
              <w:bidi w:val="0"/>
              <w:adjustRightInd w:val="0"/>
              <w:snapToGrid w:val="0"/>
              <w:spacing w:before="23" w:line="235" w:lineRule="auto"/>
              <w:ind w:left="17" w:firstLine="17"/>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（2）鼓励环保政策:财政部、发展改革委、生态环境部、市场监管总局《关</w:t>
            </w:r>
            <w:r>
              <w:rPr>
                <w:rFonts w:hint="eastAsia" w:ascii="仿宋" w:hAnsi="仿宋" w:eastAsia="仿宋" w:cs="仿宋"/>
                <w:color w:val="auto"/>
                <w:spacing w:val="-6"/>
                <w:sz w:val="24"/>
                <w:szCs w:val="24"/>
                <w:highlight w:val="none"/>
              </w:rPr>
              <w:t xml:space="preserve">于调 </w:t>
            </w:r>
            <w:r>
              <w:rPr>
                <w:rFonts w:hint="eastAsia" w:ascii="仿宋" w:hAnsi="仿宋" w:eastAsia="仿宋" w:cs="仿宋"/>
                <w:color w:val="auto"/>
                <w:spacing w:val="-13"/>
                <w:sz w:val="24"/>
                <w:szCs w:val="24"/>
                <w:highlight w:val="none"/>
              </w:rPr>
              <w:t>整优化节能产品、环境标志产品政府采购执行机制的通知》（财库【2019】9</w:t>
            </w:r>
            <w:r>
              <w:rPr>
                <w:rFonts w:hint="eastAsia" w:ascii="仿宋" w:hAnsi="仿宋" w:eastAsia="仿宋" w:cs="仿宋"/>
                <w:color w:val="auto"/>
                <w:spacing w:val="-43"/>
                <w:sz w:val="24"/>
                <w:szCs w:val="24"/>
                <w:highlight w:val="none"/>
              </w:rPr>
              <w:t xml:space="preserve"> </w:t>
            </w:r>
            <w:r>
              <w:rPr>
                <w:rFonts w:hint="eastAsia" w:ascii="仿宋" w:hAnsi="仿宋" w:eastAsia="仿宋" w:cs="仿宋"/>
                <w:color w:val="auto"/>
                <w:spacing w:val="-13"/>
                <w:sz w:val="24"/>
                <w:szCs w:val="24"/>
                <w:highlight w:val="none"/>
              </w:rPr>
              <w:t>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财政部、生态环境部《关于印发环境标志产品政府采购品目清单</w:t>
            </w:r>
            <w:r>
              <w:rPr>
                <w:rFonts w:hint="eastAsia" w:ascii="仿宋" w:hAnsi="仿宋" w:eastAsia="仿宋" w:cs="仿宋"/>
                <w:color w:val="auto"/>
                <w:spacing w:val="-5"/>
                <w:sz w:val="24"/>
                <w:szCs w:val="24"/>
                <w:highlight w:val="none"/>
              </w:rPr>
              <w:t>的通知》（财库</w:t>
            </w:r>
            <w:r>
              <w:rPr>
                <w:rFonts w:hint="eastAsia" w:ascii="仿宋" w:hAnsi="仿宋" w:eastAsia="仿宋" w:cs="仿宋"/>
                <w:color w:val="auto"/>
                <w:sz w:val="24"/>
                <w:szCs w:val="24"/>
                <w:highlight w:val="none"/>
              </w:rPr>
              <w:t xml:space="preserve"> 【2019】18</w:t>
            </w:r>
            <w:r>
              <w:rPr>
                <w:rFonts w:hint="eastAsia" w:ascii="仿宋" w:hAnsi="仿宋" w:eastAsia="仿宋" w:cs="仿宋"/>
                <w:color w:val="auto"/>
                <w:spacing w:val="-27"/>
                <w:sz w:val="24"/>
                <w:szCs w:val="24"/>
                <w:highlight w:val="none"/>
              </w:rPr>
              <w:t xml:space="preserve"> </w:t>
            </w:r>
            <w:r>
              <w:rPr>
                <w:rFonts w:hint="eastAsia" w:ascii="仿宋" w:hAnsi="仿宋" w:eastAsia="仿宋" w:cs="仿宋"/>
                <w:color w:val="auto"/>
                <w:sz w:val="24"/>
                <w:szCs w:val="24"/>
                <w:highlight w:val="none"/>
              </w:rPr>
              <w:t xml:space="preserve">号）、《市场监管总局关于发布参与实施政府采购节能、环境标志 </w:t>
            </w:r>
            <w:r>
              <w:rPr>
                <w:rFonts w:hint="eastAsia" w:ascii="仿宋" w:hAnsi="仿宋" w:eastAsia="仿宋" w:cs="仿宋"/>
                <w:color w:val="auto"/>
                <w:spacing w:val="-4"/>
                <w:sz w:val="24"/>
                <w:szCs w:val="24"/>
                <w:highlight w:val="none"/>
              </w:rPr>
              <w:t>产品认证机构名录的公告》（2019</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4"/>
                <w:sz w:val="24"/>
                <w:szCs w:val="24"/>
                <w:highlight w:val="none"/>
              </w:rPr>
              <w:t>年第</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4"/>
                <w:sz w:val="24"/>
                <w:szCs w:val="24"/>
                <w:highlight w:val="none"/>
              </w:rPr>
              <w:t>1</w:t>
            </w:r>
            <w:r>
              <w:rPr>
                <w:rFonts w:hint="eastAsia" w:ascii="仿宋" w:hAnsi="仿宋" w:eastAsia="仿宋" w:cs="仿宋"/>
                <w:color w:val="auto"/>
                <w:spacing w:val="-5"/>
                <w:sz w:val="24"/>
                <w:szCs w:val="24"/>
                <w:highlight w:val="none"/>
              </w:rPr>
              <w:t>6</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5"/>
                <w:sz w:val="24"/>
                <w:szCs w:val="24"/>
                <w:highlight w:val="none"/>
              </w:rPr>
              <w:t>号</w:t>
            </w:r>
            <w:r>
              <w:rPr>
                <w:rFonts w:hint="eastAsia" w:ascii="仿宋" w:hAnsi="仿宋" w:eastAsia="仿宋" w:cs="仿宋"/>
                <w:color w:val="auto"/>
                <w:spacing w:val="-1"/>
                <w:sz w:val="24"/>
                <w:szCs w:val="24"/>
                <w:highlight w:val="none"/>
              </w:rPr>
              <w:t>）；</w:t>
            </w:r>
          </w:p>
          <w:p w14:paraId="27E1A1CF">
            <w:pPr>
              <w:pStyle w:val="28"/>
              <w:keepNext w:val="0"/>
              <w:keepLines w:val="0"/>
              <w:pageBreakBefore w:val="0"/>
              <w:shd w:val="clear"/>
              <w:wordWrap/>
              <w:overflowPunct/>
              <w:topLinePunct w:val="0"/>
              <w:autoSpaceDE w:val="0"/>
              <w:autoSpaceDN w:val="0"/>
              <w:bidi w:val="0"/>
              <w:adjustRightInd w:val="0"/>
              <w:snapToGrid w:val="0"/>
              <w:spacing w:before="26" w:line="233" w:lineRule="auto"/>
              <w:ind w:left="24" w:right="16" w:firstLine="11"/>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（3）财政部、工业和信息化部文件关于印发《政府采购促进中小企业发展管理</w:t>
            </w:r>
            <w:r>
              <w:rPr>
                <w:rFonts w:hint="eastAsia" w:ascii="仿宋" w:hAnsi="仿宋" w:eastAsia="仿宋" w:cs="仿宋"/>
                <w:color w:val="auto"/>
                <w:spacing w:val="2"/>
                <w:sz w:val="24"/>
                <w:szCs w:val="24"/>
                <w:highlight w:val="none"/>
              </w:rPr>
              <w:t>办法》（财库[2020]46</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2"/>
                <w:sz w:val="24"/>
                <w:szCs w:val="24"/>
                <w:highlight w:val="none"/>
              </w:rPr>
              <w:t>号文）、关于进一步加大政府采购</w:t>
            </w:r>
            <w:r>
              <w:rPr>
                <w:rFonts w:hint="eastAsia" w:ascii="仿宋" w:hAnsi="仿宋" w:eastAsia="仿宋" w:cs="仿宋"/>
                <w:color w:val="auto"/>
                <w:spacing w:val="1"/>
                <w:sz w:val="24"/>
                <w:szCs w:val="24"/>
                <w:highlight w:val="none"/>
              </w:rPr>
              <w:t>支持中小企业力度的</w:t>
            </w:r>
            <w:r>
              <w:rPr>
                <w:rFonts w:hint="eastAsia" w:ascii="仿宋" w:hAnsi="仿宋" w:eastAsia="仿宋" w:cs="仿宋"/>
                <w:color w:val="auto"/>
                <w:spacing w:val="-2"/>
                <w:sz w:val="24"/>
                <w:szCs w:val="24"/>
                <w:highlight w:val="none"/>
              </w:rPr>
              <w:t>通知（财库〔2022〕19</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2"/>
                <w:sz w:val="24"/>
                <w:szCs w:val="24"/>
                <w:highlight w:val="none"/>
              </w:rPr>
              <w:t>号</w:t>
            </w:r>
            <w:r>
              <w:rPr>
                <w:rFonts w:hint="eastAsia" w:ascii="仿宋" w:hAnsi="仿宋" w:eastAsia="仿宋" w:cs="仿宋"/>
                <w:color w:val="auto"/>
                <w:spacing w:val="1"/>
                <w:sz w:val="24"/>
                <w:szCs w:val="24"/>
                <w:highlight w:val="none"/>
              </w:rPr>
              <w:t>）；</w:t>
            </w:r>
          </w:p>
          <w:p w14:paraId="01380588">
            <w:pPr>
              <w:pStyle w:val="28"/>
              <w:keepNext w:val="0"/>
              <w:keepLines w:val="0"/>
              <w:pageBreakBefore w:val="0"/>
              <w:shd w:val="clear"/>
              <w:wordWrap/>
              <w:overflowPunct/>
              <w:topLinePunct w:val="0"/>
              <w:autoSpaceDE w:val="0"/>
              <w:autoSpaceDN w:val="0"/>
              <w:bidi w:val="0"/>
              <w:adjustRightInd w:val="0"/>
              <w:snapToGrid w:val="0"/>
              <w:spacing w:before="26" w:line="230" w:lineRule="auto"/>
              <w:ind w:left="25" w:right="18" w:firstLine="1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（4）财政部、司法部《关于政府采购支持监狱企业发展有关问题的通知》（财</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3"/>
                <w:sz w:val="24"/>
                <w:szCs w:val="24"/>
                <w:highlight w:val="none"/>
              </w:rPr>
              <w:t>库〔2014〕68</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3"/>
                <w:sz w:val="24"/>
                <w:szCs w:val="24"/>
                <w:highlight w:val="none"/>
              </w:rPr>
              <w:t>号</w:t>
            </w:r>
            <w:r>
              <w:rPr>
                <w:rFonts w:hint="eastAsia" w:ascii="仿宋" w:hAnsi="仿宋" w:eastAsia="仿宋" w:cs="仿宋"/>
                <w:color w:val="auto"/>
                <w:spacing w:val="1"/>
                <w:sz w:val="24"/>
                <w:szCs w:val="24"/>
                <w:highlight w:val="none"/>
              </w:rPr>
              <w:t>）；</w:t>
            </w:r>
          </w:p>
          <w:p w14:paraId="2DAF3F08">
            <w:pPr>
              <w:pStyle w:val="28"/>
              <w:keepNext w:val="0"/>
              <w:keepLines w:val="0"/>
              <w:pageBreakBefore w:val="0"/>
              <w:shd w:val="clear"/>
              <w:wordWrap/>
              <w:overflowPunct/>
              <w:topLinePunct w:val="0"/>
              <w:autoSpaceDE w:val="0"/>
              <w:autoSpaceDN w:val="0"/>
              <w:bidi w:val="0"/>
              <w:adjustRightInd w:val="0"/>
              <w:snapToGrid w:val="0"/>
              <w:spacing w:before="26" w:line="225" w:lineRule="auto"/>
              <w:ind w:left="23" w:right="18" w:firstLine="12"/>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（5）财政部、民政部、中国残疾人联合会文件《关于促进残疾人就业政府采购</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2"/>
                <w:sz w:val="24"/>
                <w:szCs w:val="24"/>
                <w:highlight w:val="none"/>
              </w:rPr>
              <w:t>政策的通知》（财库[2017]141</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2"/>
                <w:sz w:val="24"/>
                <w:szCs w:val="24"/>
                <w:highlight w:val="none"/>
              </w:rPr>
              <w:t>号</w:t>
            </w:r>
            <w:r>
              <w:rPr>
                <w:rFonts w:hint="eastAsia" w:ascii="仿宋" w:hAnsi="仿宋" w:eastAsia="仿宋" w:cs="仿宋"/>
                <w:color w:val="auto"/>
                <w:spacing w:val="12"/>
                <w:sz w:val="24"/>
                <w:szCs w:val="24"/>
                <w:highlight w:val="none"/>
              </w:rPr>
              <w:t>）；</w:t>
            </w:r>
            <w:r>
              <w:rPr>
                <w:rFonts w:hint="eastAsia" w:ascii="仿宋" w:hAnsi="仿宋" w:eastAsia="仿宋" w:cs="仿宋"/>
                <w:color w:val="auto"/>
                <w:spacing w:val="-2"/>
                <w:sz w:val="24"/>
                <w:szCs w:val="24"/>
                <w:highlight w:val="none"/>
              </w:rPr>
              <w:t>监狱企业、残疾人福利性单位视同小型、</w:t>
            </w:r>
            <w:r>
              <w:rPr>
                <w:rFonts w:hint="eastAsia" w:ascii="仿宋" w:hAnsi="仿宋" w:eastAsia="仿宋" w:cs="仿宋"/>
                <w:color w:val="auto"/>
                <w:sz w:val="24"/>
                <w:szCs w:val="24"/>
                <w:highlight w:val="none"/>
              </w:rPr>
              <w:t xml:space="preserve"> 微型企业,享受小型、微型企业评审中价格</w:t>
            </w:r>
            <w:r>
              <w:rPr>
                <w:rFonts w:hint="eastAsia" w:ascii="仿宋" w:hAnsi="仿宋" w:eastAsia="仿宋" w:cs="仿宋"/>
                <w:color w:val="auto"/>
                <w:spacing w:val="-1"/>
                <w:sz w:val="24"/>
                <w:szCs w:val="24"/>
                <w:highlight w:val="none"/>
              </w:rPr>
              <w:t>扣除的政府采购政策。</w:t>
            </w:r>
          </w:p>
        </w:tc>
      </w:tr>
      <w:tr w14:paraId="19272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5" w:hRule="atLeast"/>
        </w:trPr>
        <w:tc>
          <w:tcPr>
            <w:tcW w:w="1116" w:type="dxa"/>
            <w:tcBorders>
              <w:left w:val="single" w:color="000000" w:sz="10" w:space="0"/>
            </w:tcBorders>
            <w:vAlign w:val="top"/>
          </w:tcPr>
          <w:p w14:paraId="0D8A5126">
            <w:pPr>
              <w:keepNext w:val="0"/>
              <w:keepLines w:val="0"/>
              <w:pageBreakBefore w:val="0"/>
              <w:shd w:val="clear"/>
              <w:wordWrap/>
              <w:overflowPunct/>
              <w:topLinePunct w:val="0"/>
              <w:autoSpaceDE w:val="0"/>
              <w:autoSpaceDN w:val="0"/>
              <w:bidi w:val="0"/>
              <w:adjustRightInd w:val="0"/>
              <w:snapToGrid w:val="0"/>
              <w:spacing w:line="248" w:lineRule="auto"/>
              <w:outlineLvl w:val="9"/>
              <w:rPr>
                <w:rFonts w:hint="eastAsia" w:ascii="仿宋" w:hAnsi="仿宋" w:eastAsia="仿宋" w:cs="仿宋"/>
                <w:color w:val="auto"/>
                <w:sz w:val="24"/>
                <w:szCs w:val="24"/>
                <w:highlight w:val="none"/>
              </w:rPr>
            </w:pPr>
          </w:p>
          <w:p w14:paraId="28067999">
            <w:pPr>
              <w:keepNext w:val="0"/>
              <w:keepLines w:val="0"/>
              <w:pageBreakBefore w:val="0"/>
              <w:shd w:val="clear"/>
              <w:wordWrap/>
              <w:overflowPunct/>
              <w:topLinePunct w:val="0"/>
              <w:autoSpaceDE w:val="0"/>
              <w:autoSpaceDN w:val="0"/>
              <w:bidi w:val="0"/>
              <w:adjustRightInd w:val="0"/>
              <w:snapToGrid w:val="0"/>
              <w:spacing w:line="248" w:lineRule="auto"/>
              <w:outlineLvl w:val="9"/>
              <w:rPr>
                <w:rFonts w:hint="eastAsia" w:ascii="仿宋" w:hAnsi="仿宋" w:eastAsia="仿宋" w:cs="仿宋"/>
                <w:color w:val="auto"/>
                <w:sz w:val="24"/>
                <w:szCs w:val="24"/>
                <w:highlight w:val="none"/>
              </w:rPr>
            </w:pPr>
          </w:p>
          <w:p w14:paraId="0E913176">
            <w:pPr>
              <w:keepNext w:val="0"/>
              <w:keepLines w:val="0"/>
              <w:pageBreakBefore w:val="0"/>
              <w:shd w:val="clear"/>
              <w:wordWrap/>
              <w:overflowPunct/>
              <w:topLinePunct w:val="0"/>
              <w:autoSpaceDE w:val="0"/>
              <w:autoSpaceDN w:val="0"/>
              <w:bidi w:val="0"/>
              <w:adjustRightInd w:val="0"/>
              <w:snapToGrid w:val="0"/>
              <w:spacing w:line="248" w:lineRule="auto"/>
              <w:outlineLvl w:val="9"/>
              <w:rPr>
                <w:rFonts w:hint="eastAsia" w:ascii="仿宋" w:hAnsi="仿宋" w:eastAsia="仿宋" w:cs="仿宋"/>
                <w:color w:val="auto"/>
                <w:sz w:val="24"/>
                <w:szCs w:val="24"/>
                <w:highlight w:val="none"/>
              </w:rPr>
            </w:pPr>
          </w:p>
          <w:p w14:paraId="5CFDAEA6">
            <w:pPr>
              <w:keepNext w:val="0"/>
              <w:keepLines w:val="0"/>
              <w:pageBreakBefore w:val="0"/>
              <w:shd w:val="clear"/>
              <w:wordWrap/>
              <w:overflowPunct/>
              <w:topLinePunct w:val="0"/>
              <w:autoSpaceDE w:val="0"/>
              <w:autoSpaceDN w:val="0"/>
              <w:bidi w:val="0"/>
              <w:adjustRightInd w:val="0"/>
              <w:snapToGrid w:val="0"/>
              <w:spacing w:line="248" w:lineRule="auto"/>
              <w:outlineLvl w:val="9"/>
              <w:rPr>
                <w:rFonts w:hint="eastAsia" w:ascii="仿宋" w:hAnsi="仿宋" w:eastAsia="仿宋" w:cs="仿宋"/>
                <w:color w:val="auto"/>
                <w:sz w:val="24"/>
                <w:szCs w:val="24"/>
                <w:highlight w:val="none"/>
              </w:rPr>
            </w:pPr>
          </w:p>
          <w:p w14:paraId="13E820DC">
            <w:pPr>
              <w:keepNext w:val="0"/>
              <w:keepLines w:val="0"/>
              <w:pageBreakBefore w:val="0"/>
              <w:shd w:val="clear"/>
              <w:wordWrap/>
              <w:overflowPunct/>
              <w:topLinePunct w:val="0"/>
              <w:autoSpaceDE w:val="0"/>
              <w:autoSpaceDN w:val="0"/>
              <w:bidi w:val="0"/>
              <w:adjustRightInd w:val="0"/>
              <w:snapToGrid w:val="0"/>
              <w:spacing w:line="248" w:lineRule="auto"/>
              <w:outlineLvl w:val="9"/>
              <w:rPr>
                <w:rFonts w:hint="eastAsia" w:ascii="仿宋" w:hAnsi="仿宋" w:eastAsia="仿宋" w:cs="仿宋"/>
                <w:color w:val="auto"/>
                <w:sz w:val="24"/>
                <w:szCs w:val="24"/>
                <w:highlight w:val="none"/>
              </w:rPr>
            </w:pPr>
          </w:p>
          <w:p w14:paraId="21BFE550">
            <w:pPr>
              <w:keepNext w:val="0"/>
              <w:keepLines w:val="0"/>
              <w:pageBreakBefore w:val="0"/>
              <w:shd w:val="clear"/>
              <w:wordWrap/>
              <w:overflowPunct/>
              <w:topLinePunct w:val="0"/>
              <w:autoSpaceDE w:val="0"/>
              <w:autoSpaceDN w:val="0"/>
              <w:bidi w:val="0"/>
              <w:adjustRightInd w:val="0"/>
              <w:snapToGrid w:val="0"/>
              <w:spacing w:line="248" w:lineRule="auto"/>
              <w:outlineLvl w:val="9"/>
              <w:rPr>
                <w:rFonts w:hint="eastAsia" w:ascii="仿宋" w:hAnsi="仿宋" w:eastAsia="仿宋" w:cs="仿宋"/>
                <w:color w:val="auto"/>
                <w:sz w:val="24"/>
                <w:szCs w:val="24"/>
                <w:highlight w:val="none"/>
              </w:rPr>
            </w:pPr>
          </w:p>
          <w:p w14:paraId="70707910">
            <w:pPr>
              <w:keepNext w:val="0"/>
              <w:keepLines w:val="0"/>
              <w:pageBreakBefore w:val="0"/>
              <w:shd w:val="clear"/>
              <w:wordWrap/>
              <w:overflowPunct/>
              <w:topLinePunct w:val="0"/>
              <w:autoSpaceDE w:val="0"/>
              <w:autoSpaceDN w:val="0"/>
              <w:bidi w:val="0"/>
              <w:adjustRightInd w:val="0"/>
              <w:snapToGrid w:val="0"/>
              <w:spacing w:line="248" w:lineRule="auto"/>
              <w:outlineLvl w:val="9"/>
              <w:rPr>
                <w:rFonts w:hint="eastAsia" w:ascii="仿宋" w:hAnsi="仿宋" w:eastAsia="仿宋" w:cs="仿宋"/>
                <w:color w:val="auto"/>
                <w:sz w:val="24"/>
                <w:szCs w:val="24"/>
                <w:highlight w:val="none"/>
              </w:rPr>
            </w:pPr>
          </w:p>
          <w:p w14:paraId="395C93D4">
            <w:pPr>
              <w:keepNext w:val="0"/>
              <w:keepLines w:val="0"/>
              <w:pageBreakBefore w:val="0"/>
              <w:shd w:val="clear"/>
              <w:wordWrap/>
              <w:overflowPunct/>
              <w:topLinePunct w:val="0"/>
              <w:autoSpaceDE w:val="0"/>
              <w:autoSpaceDN w:val="0"/>
              <w:bidi w:val="0"/>
              <w:adjustRightInd w:val="0"/>
              <w:snapToGrid w:val="0"/>
              <w:spacing w:line="248" w:lineRule="auto"/>
              <w:outlineLvl w:val="9"/>
              <w:rPr>
                <w:rFonts w:hint="eastAsia" w:ascii="仿宋" w:hAnsi="仿宋" w:eastAsia="仿宋" w:cs="仿宋"/>
                <w:color w:val="auto"/>
                <w:sz w:val="24"/>
                <w:szCs w:val="24"/>
                <w:highlight w:val="none"/>
              </w:rPr>
            </w:pPr>
          </w:p>
          <w:p w14:paraId="323CCA1D">
            <w:pPr>
              <w:pStyle w:val="28"/>
              <w:keepNext w:val="0"/>
              <w:keepLines w:val="0"/>
              <w:pageBreakBefore w:val="0"/>
              <w:shd w:val="clear"/>
              <w:wordWrap/>
              <w:overflowPunct/>
              <w:topLinePunct w:val="0"/>
              <w:autoSpaceDE w:val="0"/>
              <w:autoSpaceDN w:val="0"/>
              <w:bidi w:val="0"/>
              <w:adjustRightInd w:val="0"/>
              <w:snapToGrid w:val="0"/>
              <w:spacing w:before="78" w:line="219" w:lineRule="auto"/>
              <w:ind w:left="183"/>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其他内容</w:t>
            </w:r>
          </w:p>
        </w:tc>
        <w:tc>
          <w:tcPr>
            <w:tcW w:w="9362" w:type="dxa"/>
            <w:tcBorders>
              <w:right w:val="single" w:color="000000" w:sz="10" w:space="0"/>
            </w:tcBorders>
            <w:vAlign w:val="top"/>
          </w:tcPr>
          <w:p w14:paraId="1A9809FB">
            <w:pPr>
              <w:pStyle w:val="28"/>
              <w:keepNext w:val="0"/>
              <w:keepLines w:val="0"/>
              <w:pageBreakBefore w:val="0"/>
              <w:shd w:val="clear"/>
              <w:wordWrap/>
              <w:overflowPunct/>
              <w:topLinePunct w:val="0"/>
              <w:autoSpaceDE w:val="0"/>
              <w:autoSpaceDN w:val="0"/>
              <w:bidi w:val="0"/>
              <w:adjustRightInd w:val="0"/>
              <w:snapToGrid w:val="0"/>
              <w:spacing w:before="25" w:line="234" w:lineRule="auto"/>
              <w:ind w:left="24" w:right="16" w:firstLine="17"/>
              <w:outlineLvl w:val="9"/>
              <w:rPr>
                <w:rFonts w:hint="eastAsia" w:ascii="仿宋" w:hAnsi="仿宋" w:eastAsia="仿宋" w:cs="仿宋"/>
                <w:color w:val="auto"/>
                <w:spacing w:val="-1"/>
                <w:sz w:val="24"/>
                <w:szCs w:val="24"/>
                <w:highlight w:val="none"/>
                <w:lang w:val="en-US" w:eastAsia="zh-CN"/>
              </w:rPr>
            </w:pPr>
            <w:r>
              <w:rPr>
                <w:rFonts w:hint="eastAsia" w:ascii="仿宋" w:hAnsi="仿宋" w:eastAsia="仿宋" w:cs="仿宋"/>
                <w:b/>
                <w:bCs/>
                <w:color w:val="auto"/>
                <w:spacing w:val="-2"/>
                <w:sz w:val="24"/>
                <w:szCs w:val="24"/>
                <w:highlight w:val="none"/>
                <w:lang w:val="en-US" w:eastAsia="zh-CN"/>
              </w:rPr>
              <w:t>本项目的付款方式为：中标公示期满须向采购人缴纳履约保证金（合同总价的10 %）。签订施工合同后，进场支付30%工程预付款，后期根据工程进度支付工程款，项目竣工验收审计后支付至合同价100%。（最终以签到合同为准）。</w:t>
            </w:r>
          </w:p>
          <w:p w14:paraId="7E17705B">
            <w:pPr>
              <w:pStyle w:val="28"/>
              <w:keepNext w:val="0"/>
              <w:keepLines w:val="0"/>
              <w:pageBreakBefore w:val="0"/>
              <w:shd w:val="clear"/>
              <w:wordWrap/>
              <w:overflowPunct/>
              <w:topLinePunct w:val="0"/>
              <w:autoSpaceDE w:val="0"/>
              <w:autoSpaceDN w:val="0"/>
              <w:bidi w:val="0"/>
              <w:adjustRightInd w:val="0"/>
              <w:snapToGrid w:val="0"/>
              <w:spacing w:before="25" w:line="234" w:lineRule="auto"/>
              <w:ind w:left="24" w:right="16" w:firstLine="17"/>
              <w:outlineLvl w:val="9"/>
              <w:rPr>
                <w:rFonts w:hint="eastAsia" w:ascii="仿宋" w:hAnsi="仿宋" w:eastAsia="仿宋" w:cs="仿宋"/>
                <w:b/>
                <w:bCs/>
                <w:color w:val="auto"/>
                <w:spacing w:val="-2"/>
                <w:sz w:val="24"/>
                <w:szCs w:val="24"/>
                <w:highlight w:val="none"/>
                <w:lang w:val="en-US" w:eastAsia="zh-CN"/>
              </w:rPr>
            </w:pPr>
            <w:r>
              <w:rPr>
                <w:rFonts w:hint="eastAsia" w:ascii="仿宋" w:hAnsi="仿宋" w:eastAsia="仿宋" w:cs="仿宋"/>
                <w:color w:val="auto"/>
                <w:spacing w:val="-1"/>
                <w:sz w:val="24"/>
                <w:szCs w:val="24"/>
                <w:highlight w:val="none"/>
                <w:lang w:val="en-US" w:eastAsia="zh-CN"/>
              </w:rPr>
              <w:t>项目工期：</w:t>
            </w:r>
            <w:r>
              <w:rPr>
                <w:rFonts w:hint="eastAsia" w:ascii="仿宋" w:hAnsi="仿宋" w:eastAsia="仿宋" w:cs="仿宋"/>
                <w:b/>
                <w:bCs/>
                <w:color w:val="auto"/>
                <w:spacing w:val="-2"/>
                <w:sz w:val="24"/>
                <w:szCs w:val="24"/>
                <w:highlight w:val="none"/>
                <w:lang w:val="en-US" w:eastAsia="zh-CN"/>
              </w:rPr>
              <w:t>中标公示期满后5天内与采购人签订合同，合同签订后60天（日历日）完成全部工作。</w:t>
            </w:r>
          </w:p>
          <w:p w14:paraId="4F3BDA03">
            <w:pPr>
              <w:pStyle w:val="28"/>
              <w:keepNext w:val="0"/>
              <w:keepLines w:val="0"/>
              <w:pageBreakBefore w:val="0"/>
              <w:shd w:val="clear"/>
              <w:wordWrap/>
              <w:overflowPunct/>
              <w:topLinePunct w:val="0"/>
              <w:autoSpaceDE w:val="0"/>
              <w:autoSpaceDN w:val="0"/>
              <w:bidi w:val="0"/>
              <w:adjustRightInd w:val="0"/>
              <w:snapToGrid w:val="0"/>
              <w:spacing w:before="25" w:line="234" w:lineRule="auto"/>
              <w:ind w:left="24" w:right="16" w:firstLine="17"/>
              <w:outlineLvl w:val="9"/>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项目质量标准：合格。</w:t>
            </w:r>
          </w:p>
          <w:p w14:paraId="3580EE81">
            <w:pPr>
              <w:pStyle w:val="28"/>
              <w:keepNext w:val="0"/>
              <w:keepLines w:val="0"/>
              <w:pageBreakBefore w:val="0"/>
              <w:shd w:val="clear"/>
              <w:wordWrap/>
              <w:overflowPunct/>
              <w:topLinePunct w:val="0"/>
              <w:autoSpaceDE w:val="0"/>
              <w:autoSpaceDN w:val="0"/>
              <w:bidi w:val="0"/>
              <w:adjustRightInd w:val="0"/>
              <w:snapToGrid w:val="0"/>
              <w:spacing w:before="25" w:line="234" w:lineRule="auto"/>
              <w:ind w:left="24" w:right="16" w:firstLine="17"/>
              <w:outlineLvl w:val="9"/>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1、除不可抗力外，如果乙方没有按照约定的期限、地点和方式完成采购内容， 那么甲方可要求乙方支付违约金，违约金按 2000 元/天 计算，最高限额为本合 同总价的 10 %；迟延的违约金计算数额达到前述最高限额之日起，甲方有权在要求乙方支付违约金的同时，书面通知乙方解除本合同；</w:t>
            </w:r>
          </w:p>
          <w:p w14:paraId="37A20D33">
            <w:pPr>
              <w:pStyle w:val="28"/>
              <w:keepNext w:val="0"/>
              <w:keepLines w:val="0"/>
              <w:pageBreakBefore w:val="0"/>
              <w:shd w:val="clear"/>
              <w:wordWrap/>
              <w:overflowPunct/>
              <w:topLinePunct w:val="0"/>
              <w:autoSpaceDE w:val="0"/>
              <w:autoSpaceDN w:val="0"/>
              <w:bidi w:val="0"/>
              <w:adjustRightInd w:val="0"/>
              <w:snapToGrid w:val="0"/>
              <w:spacing w:before="25" w:line="234" w:lineRule="auto"/>
              <w:ind w:left="24" w:right="16" w:firstLine="17"/>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lang w:val="en-US" w:eastAsia="zh-CN"/>
              </w:rPr>
              <w:t>2</w:t>
            </w:r>
            <w:r>
              <w:rPr>
                <w:rFonts w:hint="eastAsia" w:ascii="仿宋" w:hAnsi="仿宋" w:eastAsia="仿宋" w:cs="仿宋"/>
                <w:color w:val="auto"/>
                <w:spacing w:val="-1"/>
                <w:sz w:val="24"/>
                <w:szCs w:val="24"/>
                <w:highlight w:val="none"/>
              </w:rPr>
              <w:t>、投标单位拟投入本项目的项目管理机构人员必须与响应文件中一致，如若中标后因特殊原因确需更换的，需经发包人同意，未经发包人同意，</w:t>
            </w:r>
            <w:r>
              <w:rPr>
                <w:rFonts w:hint="eastAsia" w:ascii="仿宋" w:hAnsi="仿宋" w:eastAsia="仿宋" w:cs="仿宋"/>
                <w:color w:val="auto"/>
                <w:spacing w:val="-3"/>
                <w:sz w:val="24"/>
                <w:szCs w:val="24"/>
                <w:highlight w:val="none"/>
              </w:rPr>
              <w:t>在本合同施工工期内擅自更换建造师、技术负责人的，发包人视承包人自动放弃履行合同，有</w:t>
            </w:r>
            <w:r>
              <w:rPr>
                <w:rFonts w:hint="eastAsia" w:ascii="仿宋" w:hAnsi="仿宋" w:eastAsia="仿宋" w:cs="仿宋"/>
                <w:color w:val="auto"/>
                <w:spacing w:val="-5"/>
                <w:sz w:val="24"/>
                <w:szCs w:val="24"/>
                <w:highlight w:val="none"/>
              </w:rPr>
              <w:t>权解除承包合同。投标单位需将</w:t>
            </w:r>
            <w:r>
              <w:rPr>
                <w:rFonts w:hint="eastAsia" w:ascii="仿宋" w:hAnsi="仿宋" w:eastAsia="仿宋" w:cs="仿宋"/>
                <w:b/>
                <w:bCs/>
                <w:color w:val="auto"/>
                <w:spacing w:val="-5"/>
                <w:sz w:val="24"/>
                <w:szCs w:val="24"/>
                <w:highlight w:val="none"/>
              </w:rPr>
              <w:t>不随意更换“项目管理机构人员</w:t>
            </w:r>
            <w:r>
              <w:rPr>
                <w:rFonts w:hint="eastAsia" w:ascii="仿宋" w:hAnsi="仿宋" w:eastAsia="仿宋" w:cs="仿宋"/>
                <w:color w:val="auto"/>
                <w:spacing w:val="-88"/>
                <w:sz w:val="24"/>
                <w:szCs w:val="24"/>
                <w:highlight w:val="none"/>
              </w:rPr>
              <w:t xml:space="preserve"> </w:t>
            </w:r>
            <w:r>
              <w:rPr>
                <w:rFonts w:hint="eastAsia" w:ascii="仿宋" w:hAnsi="仿宋" w:eastAsia="仿宋" w:cs="仿宋"/>
                <w:b/>
                <w:bCs/>
                <w:color w:val="auto"/>
                <w:spacing w:val="-5"/>
                <w:sz w:val="24"/>
                <w:szCs w:val="24"/>
                <w:highlight w:val="none"/>
              </w:rPr>
              <w:t>”的承</w:t>
            </w:r>
            <w:r>
              <w:rPr>
                <w:rFonts w:hint="eastAsia" w:ascii="仿宋" w:hAnsi="仿宋" w:eastAsia="仿宋" w:cs="仿宋"/>
                <w:b/>
                <w:bCs/>
                <w:color w:val="auto"/>
                <w:spacing w:val="-6"/>
                <w:sz w:val="24"/>
                <w:szCs w:val="24"/>
                <w:highlight w:val="none"/>
              </w:rPr>
              <w:t>诺做入响</w:t>
            </w:r>
            <w:r>
              <w:rPr>
                <w:rFonts w:hint="eastAsia" w:ascii="仿宋" w:hAnsi="仿宋" w:eastAsia="仿宋" w:cs="仿宋"/>
                <w:b/>
                <w:bCs/>
                <w:color w:val="auto"/>
                <w:spacing w:val="-3"/>
                <w:sz w:val="24"/>
                <w:szCs w:val="24"/>
                <w:highlight w:val="none"/>
              </w:rPr>
              <w:t>应文件中（格式自拟）。</w:t>
            </w:r>
          </w:p>
          <w:p w14:paraId="2A861224">
            <w:pPr>
              <w:pStyle w:val="28"/>
              <w:keepNext w:val="0"/>
              <w:keepLines w:val="0"/>
              <w:pageBreakBefore w:val="0"/>
              <w:shd w:val="clear"/>
              <w:wordWrap/>
              <w:overflowPunct/>
              <w:topLinePunct w:val="0"/>
              <w:autoSpaceDE w:val="0"/>
              <w:autoSpaceDN w:val="0"/>
              <w:bidi w:val="0"/>
              <w:adjustRightInd w:val="0"/>
              <w:snapToGrid w:val="0"/>
              <w:spacing w:before="27" w:line="223" w:lineRule="auto"/>
              <w:ind w:left="26" w:right="16"/>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lang w:val="en-US" w:eastAsia="zh-CN"/>
              </w:rPr>
              <w:t>3</w:t>
            </w:r>
            <w:r>
              <w:rPr>
                <w:rFonts w:hint="eastAsia" w:ascii="仿宋" w:hAnsi="仿宋" w:eastAsia="仿宋" w:cs="仿宋"/>
                <w:color w:val="auto"/>
                <w:spacing w:val="-8"/>
                <w:sz w:val="24"/>
                <w:szCs w:val="24"/>
                <w:highlight w:val="none"/>
              </w:rPr>
              <w:t>、</w:t>
            </w:r>
            <w:r>
              <w:rPr>
                <w:rFonts w:hint="eastAsia" w:ascii="仿宋" w:hAnsi="仿宋" w:eastAsia="仿宋" w:cs="仿宋"/>
                <w:b/>
                <w:bCs/>
                <w:color w:val="auto"/>
                <w:spacing w:val="-8"/>
                <w:sz w:val="24"/>
                <w:szCs w:val="24"/>
                <w:highlight w:val="none"/>
              </w:rPr>
              <w:t>磋商文件澄清或修改发出的形式：在原公告发布媒体上发布澄清或修改公告，</w:t>
            </w:r>
            <w:r>
              <w:rPr>
                <w:rFonts w:hint="eastAsia" w:ascii="仿宋" w:hAnsi="仿宋" w:eastAsia="仿宋" w:cs="仿宋"/>
                <w:color w:val="auto"/>
                <w:spacing w:val="1"/>
                <w:sz w:val="24"/>
                <w:szCs w:val="24"/>
                <w:highlight w:val="none"/>
              </w:rPr>
              <w:t xml:space="preserve"> </w:t>
            </w:r>
            <w:r>
              <w:rPr>
                <w:rFonts w:hint="eastAsia" w:ascii="仿宋" w:hAnsi="仿宋" w:eastAsia="仿宋" w:cs="仿宋"/>
                <w:b/>
                <w:bCs/>
                <w:color w:val="auto"/>
                <w:spacing w:val="-3"/>
                <w:sz w:val="24"/>
                <w:szCs w:val="24"/>
                <w:highlight w:val="none"/>
              </w:rPr>
              <w:t>供应商在提交响应文件截止时间前须自行查看在原公告发布媒体上</w:t>
            </w:r>
            <w:r>
              <w:rPr>
                <w:rFonts w:hint="eastAsia" w:ascii="仿宋" w:hAnsi="仿宋" w:eastAsia="仿宋" w:cs="仿宋"/>
                <w:b/>
                <w:bCs/>
                <w:color w:val="auto"/>
                <w:spacing w:val="-4"/>
                <w:sz w:val="24"/>
                <w:szCs w:val="24"/>
                <w:highlight w:val="none"/>
              </w:rPr>
              <w:t>发布的澄清或修改公告，因供应商未及时查看而造成的后果自负。</w:t>
            </w:r>
          </w:p>
        </w:tc>
      </w:tr>
      <w:tr w14:paraId="638DE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116" w:type="dxa"/>
            <w:tcBorders>
              <w:left w:val="single" w:color="000000" w:sz="10" w:space="0"/>
            </w:tcBorders>
            <w:vAlign w:val="center"/>
          </w:tcPr>
          <w:p w14:paraId="503021B4">
            <w:pPr>
              <w:keepNext w:val="0"/>
              <w:keepLines w:val="0"/>
              <w:pageBreakBefore w:val="0"/>
              <w:shd w:val="clear"/>
              <w:wordWrap/>
              <w:overflowPunct/>
              <w:topLinePunct w:val="0"/>
              <w:autoSpaceDE w:val="0"/>
              <w:autoSpaceDN w:val="0"/>
              <w:bidi w:val="0"/>
              <w:adjustRightInd w:val="0"/>
              <w:snapToGrid w:val="0"/>
              <w:jc w:val="center"/>
              <w:outlineLvl w:val="9"/>
              <w:rPr>
                <w:rFonts w:hint="eastAsia" w:ascii="仿宋" w:hAnsi="仿宋" w:eastAsia="仿宋" w:cs="仿宋"/>
                <w:color w:val="auto"/>
                <w:spacing w:val="-3"/>
                <w:sz w:val="24"/>
                <w:szCs w:val="24"/>
                <w:highlight w:val="none"/>
                <w:lang w:val="en-US" w:eastAsia="zh-CN"/>
              </w:rPr>
            </w:pPr>
          </w:p>
        </w:tc>
        <w:tc>
          <w:tcPr>
            <w:tcW w:w="9362" w:type="dxa"/>
            <w:tcBorders>
              <w:right w:val="single" w:color="000000" w:sz="10" w:space="0"/>
            </w:tcBorders>
            <w:vAlign w:val="top"/>
          </w:tcPr>
          <w:p w14:paraId="3BFB690E">
            <w:pPr>
              <w:pStyle w:val="28"/>
              <w:keepNext w:val="0"/>
              <w:keepLines w:val="0"/>
              <w:pageBreakBefore w:val="0"/>
              <w:shd w:val="clear"/>
              <w:wordWrap/>
              <w:overflowPunct/>
              <w:topLinePunct w:val="0"/>
              <w:autoSpaceDE w:val="0"/>
              <w:autoSpaceDN w:val="0"/>
              <w:bidi w:val="0"/>
              <w:adjustRightInd w:val="0"/>
              <w:snapToGrid w:val="0"/>
              <w:spacing w:before="29" w:line="235" w:lineRule="auto"/>
              <w:ind w:left="23" w:leftChars="0" w:right="16" w:rightChars="0"/>
              <w:outlineLvl w:val="9"/>
              <w:rPr>
                <w:rFonts w:hint="eastAsia" w:ascii="仿宋" w:hAnsi="仿宋" w:eastAsia="仿宋" w:cs="仿宋"/>
                <w:b/>
                <w:bCs/>
                <w:color w:val="auto"/>
                <w:spacing w:val="-4"/>
                <w:sz w:val="24"/>
                <w:szCs w:val="24"/>
                <w:highlight w:val="none"/>
                <w:lang w:val="en-US" w:eastAsia="zh-CN"/>
              </w:rPr>
            </w:pPr>
            <w:r>
              <w:rPr>
                <w:rFonts w:hint="eastAsia" w:ascii="仿宋" w:hAnsi="仿宋" w:eastAsia="仿宋" w:cs="仿宋"/>
                <w:b/>
                <w:bCs/>
                <w:color w:val="auto"/>
                <w:spacing w:val="-5"/>
                <w:sz w:val="24"/>
                <w:szCs w:val="24"/>
                <w:highlight w:val="none"/>
                <w:lang w:val="en-US" w:eastAsia="zh-CN"/>
              </w:rPr>
              <w:t>1、</w:t>
            </w:r>
            <w:r>
              <w:rPr>
                <w:rFonts w:hint="eastAsia" w:ascii="仿宋" w:hAnsi="仿宋" w:eastAsia="仿宋" w:cs="仿宋"/>
                <w:b/>
                <w:bCs/>
                <w:color w:val="auto"/>
                <w:spacing w:val="-5"/>
                <w:sz w:val="24"/>
                <w:szCs w:val="24"/>
                <w:highlight w:val="none"/>
              </w:rPr>
              <w:t>本磋商文件的解释权属于采购人。项目执行过程中，所运用</w:t>
            </w:r>
            <w:r>
              <w:rPr>
                <w:rFonts w:hint="eastAsia" w:ascii="仿宋" w:hAnsi="仿宋" w:eastAsia="仿宋" w:cs="仿宋"/>
                <w:b/>
                <w:bCs/>
                <w:color w:val="auto"/>
                <w:spacing w:val="-6"/>
                <w:sz w:val="24"/>
                <w:szCs w:val="24"/>
                <w:highlight w:val="none"/>
              </w:rPr>
              <w:t>到的规范性文件均以</w:t>
            </w:r>
            <w:r>
              <w:rPr>
                <w:rFonts w:hint="eastAsia" w:ascii="仿宋" w:hAnsi="仿宋" w:eastAsia="仿宋" w:cs="仿宋"/>
                <w:b/>
                <w:bCs/>
                <w:color w:val="auto"/>
                <w:spacing w:val="-4"/>
                <w:sz w:val="24"/>
                <w:szCs w:val="24"/>
                <w:highlight w:val="none"/>
              </w:rPr>
              <w:t>国家或自治区颁布的最新文件为准。</w:t>
            </w:r>
          </w:p>
        </w:tc>
      </w:tr>
      <w:tr w14:paraId="15357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116" w:type="dxa"/>
            <w:tcBorders>
              <w:left w:val="single" w:color="000000" w:sz="10" w:space="0"/>
              <w:bottom w:val="single" w:color="000000" w:sz="10" w:space="0"/>
            </w:tcBorders>
            <w:vAlign w:val="center"/>
          </w:tcPr>
          <w:p w14:paraId="64EFB012">
            <w:pPr>
              <w:keepNext w:val="0"/>
              <w:keepLines w:val="0"/>
              <w:pageBreakBefore w:val="0"/>
              <w:shd w:val="clear"/>
              <w:wordWrap/>
              <w:overflowPunct/>
              <w:topLinePunct w:val="0"/>
              <w:autoSpaceDE w:val="0"/>
              <w:autoSpaceDN w:val="0"/>
              <w:bidi w:val="0"/>
              <w:adjustRightInd w:val="0"/>
              <w:snapToGrid w:val="0"/>
              <w:jc w:val="center"/>
              <w:outlineLvl w:val="9"/>
              <w:rPr>
                <w:rFonts w:hint="eastAsia" w:ascii="仿宋" w:hAnsi="仿宋" w:eastAsia="仿宋" w:cs="仿宋"/>
                <w:color w:val="auto"/>
                <w:spacing w:val="-3"/>
                <w:sz w:val="24"/>
                <w:szCs w:val="24"/>
                <w:highlight w:val="none"/>
                <w:lang w:val="en-US" w:eastAsia="zh-CN"/>
              </w:rPr>
            </w:pPr>
          </w:p>
        </w:tc>
        <w:tc>
          <w:tcPr>
            <w:tcW w:w="9362" w:type="dxa"/>
            <w:tcBorders>
              <w:bottom w:val="single" w:color="000000" w:sz="10" w:space="0"/>
              <w:right w:val="single" w:color="000000" w:sz="10" w:space="0"/>
            </w:tcBorders>
            <w:vAlign w:val="top"/>
          </w:tcPr>
          <w:p w14:paraId="14CD258D">
            <w:pPr>
              <w:pStyle w:val="28"/>
              <w:keepNext w:val="0"/>
              <w:keepLines w:val="0"/>
              <w:pageBreakBefore w:val="0"/>
              <w:shd w:val="clear"/>
              <w:wordWrap/>
              <w:overflowPunct/>
              <w:topLinePunct w:val="0"/>
              <w:autoSpaceDE w:val="0"/>
              <w:autoSpaceDN w:val="0"/>
              <w:bidi w:val="0"/>
              <w:adjustRightInd w:val="0"/>
              <w:snapToGrid w:val="0"/>
              <w:spacing w:before="29" w:line="235" w:lineRule="auto"/>
              <w:ind w:left="23" w:leftChars="0" w:right="16" w:rightChars="0"/>
              <w:outlineLvl w:val="9"/>
              <w:rPr>
                <w:rFonts w:hint="eastAsia" w:ascii="仿宋" w:hAnsi="仿宋" w:eastAsia="仿宋" w:cs="仿宋"/>
                <w:b/>
                <w:bCs/>
                <w:color w:val="auto"/>
                <w:spacing w:val="0"/>
                <w:w w:val="100"/>
                <w:position w:val="0"/>
                <w:sz w:val="24"/>
                <w:szCs w:val="24"/>
                <w:highlight w:val="none"/>
                <w:lang w:val="en-US" w:eastAsia="zh-CN"/>
              </w:rPr>
            </w:pPr>
            <w:r>
              <w:rPr>
                <w:rFonts w:hint="eastAsia" w:ascii="仿宋" w:hAnsi="仿宋" w:eastAsia="仿宋" w:cs="仿宋"/>
                <w:b/>
                <w:bCs/>
                <w:color w:val="auto"/>
                <w:spacing w:val="0"/>
                <w:w w:val="100"/>
                <w:position w:val="0"/>
                <w:sz w:val="24"/>
                <w:szCs w:val="24"/>
                <w:highlight w:val="none"/>
                <w:lang w:val="en-US" w:eastAsia="zh-CN"/>
              </w:rPr>
              <w:t>特别提示: 根据《中华人民共和国招标投标法》第三十三条 供应商不得以低于成本的报价竞标:第四十一条成交人的投标应当符合下列条件之一: (二) 能够满足招标文件的实质性要求，并且经评审的投标价格最低:但是投标价格低于成本的除外的相关规定:本工程为工程量清单报价，清单分项报价不允许出现不均衡报价。</w:t>
            </w:r>
          </w:p>
          <w:p w14:paraId="7FDE7A5B">
            <w:pPr>
              <w:keepNext w:val="0"/>
              <w:keepLines w:val="0"/>
              <w:pageBreakBefore w:val="0"/>
              <w:kinsoku/>
              <w:wordWrap/>
              <w:overflowPunct/>
              <w:topLinePunct w:val="0"/>
              <w:autoSpaceDE w:val="0"/>
              <w:autoSpaceDN w:val="0"/>
              <w:bidi w:val="0"/>
              <w:adjustRightInd w:val="0"/>
              <w:snapToGrid w:val="0"/>
              <w:textAlignment w:val="auto"/>
              <w:outlineLvl w:val="9"/>
              <w:rPr>
                <w:rFonts w:hint="eastAsia" w:ascii="仿宋" w:hAnsi="仿宋" w:eastAsia="仿宋" w:cs="仿宋"/>
                <w:b/>
                <w:bCs/>
                <w:color w:val="auto"/>
                <w:spacing w:val="0"/>
                <w:w w:val="100"/>
                <w:position w:val="0"/>
                <w:sz w:val="24"/>
                <w:szCs w:val="24"/>
                <w:highlight w:val="none"/>
                <w:lang w:val="en-US" w:eastAsia="zh-CN"/>
              </w:rPr>
            </w:pPr>
            <w:r>
              <w:rPr>
                <w:rFonts w:hint="eastAsia" w:ascii="仿宋" w:hAnsi="仿宋" w:eastAsia="仿宋" w:cs="仿宋"/>
                <w:b/>
                <w:bCs/>
                <w:color w:val="auto"/>
                <w:spacing w:val="0"/>
                <w:w w:val="100"/>
                <w:position w:val="0"/>
                <w:sz w:val="24"/>
                <w:szCs w:val="24"/>
                <w:highlight w:val="none"/>
                <w:lang w:val="en-US" w:eastAsia="zh-CN"/>
              </w:rPr>
              <w:t>工程量清单中分部分项工程投标报价不得为零，若报价为零作无效投标处理。</w:t>
            </w:r>
          </w:p>
          <w:p w14:paraId="554CE88B">
            <w:pPr>
              <w:keepNext w:val="0"/>
              <w:keepLines w:val="0"/>
              <w:pageBreakBefore w:val="0"/>
              <w:kinsoku/>
              <w:wordWrap/>
              <w:overflowPunct/>
              <w:topLinePunct w:val="0"/>
              <w:autoSpaceDE w:val="0"/>
              <w:autoSpaceDN w:val="0"/>
              <w:bidi w:val="0"/>
              <w:adjustRightInd w:val="0"/>
              <w:snapToGrid w:val="0"/>
              <w:textAlignment w:val="auto"/>
              <w:outlineLvl w:val="9"/>
              <w:rPr>
                <w:rFonts w:hint="eastAsia" w:ascii="仿宋" w:hAnsi="仿宋" w:eastAsia="仿宋" w:cs="仿宋"/>
                <w:b/>
                <w:bCs/>
                <w:color w:val="auto"/>
                <w:spacing w:val="0"/>
                <w:w w:val="100"/>
                <w:position w:val="0"/>
                <w:sz w:val="24"/>
                <w:szCs w:val="24"/>
                <w:highlight w:val="none"/>
                <w:lang w:val="en-US" w:eastAsia="zh-CN"/>
              </w:rPr>
            </w:pPr>
            <w:r>
              <w:rPr>
                <w:rFonts w:hint="eastAsia" w:ascii="仿宋" w:hAnsi="仿宋" w:eastAsia="仿宋" w:cs="仿宋"/>
                <w:b/>
                <w:bCs/>
                <w:color w:val="auto"/>
                <w:spacing w:val="0"/>
                <w:w w:val="100"/>
                <w:position w:val="0"/>
                <w:sz w:val="24"/>
                <w:szCs w:val="24"/>
                <w:highlight w:val="none"/>
                <w:lang w:val="en-US" w:eastAsia="zh-CN"/>
              </w:rPr>
              <w:t>如出现不同投标人的投标文件异常一致或者投标报价呈规律性差异的，将视为投标人串通投标，其投标无效。</w:t>
            </w:r>
          </w:p>
          <w:p w14:paraId="5B1475F7">
            <w:pPr>
              <w:pStyle w:val="28"/>
              <w:keepNext w:val="0"/>
              <w:keepLines w:val="0"/>
              <w:pageBreakBefore w:val="0"/>
              <w:shd w:val="clear"/>
              <w:wordWrap/>
              <w:overflowPunct/>
              <w:topLinePunct w:val="0"/>
              <w:autoSpaceDE w:val="0"/>
              <w:autoSpaceDN w:val="0"/>
              <w:bidi w:val="0"/>
              <w:adjustRightInd w:val="0"/>
              <w:snapToGrid w:val="0"/>
              <w:spacing w:before="29" w:line="235" w:lineRule="auto"/>
              <w:ind w:left="23" w:leftChars="0" w:right="16" w:rightChars="0"/>
              <w:outlineLvl w:val="9"/>
              <w:rPr>
                <w:rFonts w:hint="eastAsia" w:ascii="仿宋" w:hAnsi="仿宋" w:eastAsia="仿宋" w:cs="仿宋"/>
                <w:b/>
                <w:bCs/>
                <w:color w:val="auto"/>
                <w:spacing w:val="0"/>
                <w:w w:val="100"/>
                <w:position w:val="0"/>
                <w:sz w:val="24"/>
                <w:szCs w:val="24"/>
                <w:highlight w:val="none"/>
                <w:lang w:val="en-US" w:eastAsia="zh-CN"/>
              </w:rPr>
            </w:pPr>
            <w:r>
              <w:rPr>
                <w:rFonts w:hint="eastAsia" w:ascii="仿宋" w:hAnsi="仿宋" w:eastAsia="仿宋" w:cs="仿宋"/>
                <w:b/>
                <w:bCs/>
                <w:color w:val="auto"/>
                <w:spacing w:val="0"/>
                <w:w w:val="100"/>
                <w:position w:val="0"/>
                <w:sz w:val="24"/>
                <w:szCs w:val="24"/>
                <w:highlight w:val="none"/>
                <w:lang w:val="en-US" w:eastAsia="zh-CN"/>
              </w:rPr>
              <w:t>※供应商在线上传最终报价时，须同时上传最终报价单和“已标价的工程量清单”中的相应明细报价(按本磋商文件提供的格式)，经法定代表人或授权委托人签署并加盖供应商公章的PDF扫描件。</w:t>
            </w:r>
          </w:p>
        </w:tc>
      </w:tr>
    </w:tbl>
    <w:p w14:paraId="5275EA8C">
      <w:pPr>
        <w:rPr>
          <w:rFonts w:hint="eastAsia"/>
          <w:lang w:val="en-US" w:eastAsia="zh-CN"/>
        </w:rPr>
      </w:pPr>
      <w:bookmarkStart w:id="414" w:name="_Toc4441"/>
      <w:bookmarkStart w:id="415" w:name="_Toc24311"/>
    </w:p>
    <w:p w14:paraId="001CE3E6">
      <w:pPr>
        <w:pStyle w:val="4"/>
        <w:rPr>
          <w:rFonts w:hint="eastAsia"/>
          <w:lang w:val="en-US" w:eastAsia="zh-CN"/>
        </w:rPr>
      </w:pPr>
    </w:p>
    <w:p w14:paraId="6D4D6B28">
      <w:pPr>
        <w:rPr>
          <w:rFonts w:hint="eastAsia"/>
          <w:lang w:val="en-US" w:eastAsia="zh-CN"/>
        </w:rPr>
      </w:pPr>
    </w:p>
    <w:p w14:paraId="500EB7DD">
      <w:pPr>
        <w:pStyle w:val="4"/>
        <w:rPr>
          <w:rFonts w:hint="eastAsia"/>
          <w:lang w:val="en-US" w:eastAsia="zh-CN"/>
        </w:rPr>
      </w:pPr>
    </w:p>
    <w:p w14:paraId="412D8C14">
      <w:pPr>
        <w:rPr>
          <w:rFonts w:hint="eastAsia"/>
          <w:lang w:val="en-US" w:eastAsia="zh-CN"/>
        </w:rPr>
      </w:pPr>
    </w:p>
    <w:p w14:paraId="399AF041">
      <w:pPr>
        <w:pStyle w:val="4"/>
        <w:rPr>
          <w:rFonts w:hint="eastAsia"/>
          <w:lang w:val="en-US" w:eastAsia="zh-CN"/>
        </w:rPr>
      </w:pPr>
    </w:p>
    <w:p w14:paraId="6152ACE8">
      <w:pPr>
        <w:rPr>
          <w:rFonts w:hint="eastAsia"/>
          <w:lang w:val="en-US" w:eastAsia="zh-CN"/>
        </w:rPr>
      </w:pPr>
    </w:p>
    <w:p w14:paraId="46A98FAB">
      <w:pPr>
        <w:pStyle w:val="4"/>
        <w:rPr>
          <w:rFonts w:hint="eastAsia"/>
          <w:lang w:val="en-US" w:eastAsia="zh-CN"/>
        </w:rPr>
      </w:pPr>
    </w:p>
    <w:p w14:paraId="050AF924">
      <w:pPr>
        <w:rPr>
          <w:rFonts w:hint="eastAsia"/>
          <w:lang w:val="en-US" w:eastAsia="zh-CN"/>
        </w:rPr>
      </w:pPr>
    </w:p>
    <w:p w14:paraId="3C37D059">
      <w:pPr>
        <w:pStyle w:val="4"/>
        <w:rPr>
          <w:rFonts w:hint="eastAsia"/>
          <w:lang w:val="en-US" w:eastAsia="zh-CN"/>
        </w:rPr>
      </w:pPr>
    </w:p>
    <w:p w14:paraId="4EC505BE">
      <w:pPr>
        <w:rPr>
          <w:rFonts w:hint="eastAsia"/>
          <w:lang w:val="en-US" w:eastAsia="zh-CN"/>
        </w:rPr>
      </w:pPr>
    </w:p>
    <w:p w14:paraId="15DF4566">
      <w:pPr>
        <w:pStyle w:val="4"/>
        <w:rPr>
          <w:rFonts w:hint="eastAsia"/>
          <w:lang w:val="en-US" w:eastAsia="zh-CN"/>
        </w:rPr>
      </w:pPr>
    </w:p>
    <w:p w14:paraId="0CD85780">
      <w:pPr>
        <w:rPr>
          <w:rFonts w:hint="eastAsia"/>
          <w:lang w:val="en-US" w:eastAsia="zh-CN"/>
        </w:rPr>
      </w:pPr>
    </w:p>
    <w:p w14:paraId="11EF04C0">
      <w:pPr>
        <w:pStyle w:val="4"/>
        <w:rPr>
          <w:rFonts w:hint="eastAsia"/>
          <w:lang w:val="en-US" w:eastAsia="zh-CN"/>
        </w:rPr>
      </w:pPr>
    </w:p>
    <w:p w14:paraId="02775EAC">
      <w:pPr>
        <w:rPr>
          <w:rFonts w:hint="eastAsia"/>
          <w:lang w:val="en-US" w:eastAsia="zh-CN"/>
        </w:rPr>
      </w:pPr>
    </w:p>
    <w:p w14:paraId="1E95A011">
      <w:pPr>
        <w:pStyle w:val="4"/>
        <w:rPr>
          <w:rFonts w:hint="eastAsia"/>
          <w:lang w:val="en-US" w:eastAsia="zh-CN"/>
        </w:rPr>
      </w:pPr>
    </w:p>
    <w:p w14:paraId="39D5EA0C">
      <w:pPr>
        <w:rPr>
          <w:rFonts w:hint="eastAsia"/>
          <w:lang w:val="en-US" w:eastAsia="zh-CN"/>
        </w:rPr>
      </w:pPr>
    </w:p>
    <w:p w14:paraId="69B6D24F">
      <w:pPr>
        <w:pStyle w:val="4"/>
        <w:rPr>
          <w:rFonts w:hint="eastAsia"/>
          <w:lang w:val="en-US" w:eastAsia="zh-CN"/>
        </w:rPr>
      </w:pPr>
    </w:p>
    <w:p w14:paraId="78288E9C">
      <w:pPr>
        <w:rPr>
          <w:rFonts w:hint="eastAsia"/>
          <w:lang w:val="en-US" w:eastAsia="zh-CN"/>
        </w:rPr>
      </w:pPr>
    </w:p>
    <w:p w14:paraId="1EE424AD">
      <w:pPr>
        <w:pStyle w:val="4"/>
        <w:rPr>
          <w:rFonts w:hint="eastAsia"/>
          <w:lang w:val="en-US" w:eastAsia="zh-CN"/>
        </w:rPr>
      </w:pPr>
    </w:p>
    <w:p w14:paraId="280FE167">
      <w:pPr>
        <w:rPr>
          <w:rFonts w:hint="eastAsia"/>
          <w:lang w:val="en-US" w:eastAsia="zh-CN"/>
        </w:rPr>
      </w:pPr>
    </w:p>
    <w:p w14:paraId="2644E79A">
      <w:pPr>
        <w:pStyle w:val="4"/>
        <w:rPr>
          <w:rFonts w:hint="eastAsia"/>
          <w:lang w:val="en-US" w:eastAsia="zh-CN"/>
        </w:rPr>
      </w:pPr>
    </w:p>
    <w:p w14:paraId="264BD80F">
      <w:pPr>
        <w:rPr>
          <w:rFonts w:hint="eastAsia"/>
          <w:lang w:val="en-US" w:eastAsia="zh-CN"/>
        </w:rPr>
      </w:pPr>
    </w:p>
    <w:p w14:paraId="4C8C5703">
      <w:pPr>
        <w:pStyle w:val="4"/>
        <w:rPr>
          <w:rFonts w:hint="eastAsia"/>
          <w:lang w:val="en-US" w:eastAsia="zh-CN"/>
        </w:rPr>
      </w:pPr>
    </w:p>
    <w:p w14:paraId="6A4BA4F7">
      <w:pPr>
        <w:rPr>
          <w:rFonts w:hint="eastAsia"/>
          <w:lang w:val="en-US" w:eastAsia="zh-CN"/>
        </w:rPr>
      </w:pPr>
    </w:p>
    <w:p w14:paraId="1B573FFA">
      <w:pPr>
        <w:pStyle w:val="4"/>
        <w:rPr>
          <w:rFonts w:hint="eastAsia"/>
          <w:lang w:val="en-US" w:eastAsia="zh-CN"/>
        </w:rPr>
      </w:pPr>
    </w:p>
    <w:p w14:paraId="1F6727B1">
      <w:pPr>
        <w:rPr>
          <w:rFonts w:hint="eastAsia"/>
          <w:lang w:val="en-US" w:eastAsia="zh-CN"/>
        </w:rPr>
      </w:pPr>
    </w:p>
    <w:p w14:paraId="01158809">
      <w:pPr>
        <w:pStyle w:val="4"/>
        <w:rPr>
          <w:rFonts w:hint="eastAsia"/>
          <w:lang w:val="en-US" w:eastAsia="zh-CN"/>
        </w:rPr>
      </w:pPr>
    </w:p>
    <w:p w14:paraId="17CB0F1C">
      <w:pPr>
        <w:rPr>
          <w:rFonts w:hint="eastAsia"/>
          <w:lang w:val="en-US" w:eastAsia="zh-CN"/>
        </w:rPr>
      </w:pPr>
    </w:p>
    <w:p w14:paraId="5426D50F">
      <w:pPr>
        <w:pStyle w:val="4"/>
        <w:rPr>
          <w:rFonts w:hint="eastAsia"/>
          <w:lang w:val="en-US" w:eastAsia="zh-CN"/>
        </w:rPr>
      </w:pPr>
    </w:p>
    <w:p w14:paraId="0188BB52">
      <w:pPr>
        <w:pStyle w:val="2"/>
        <w:numPr>
          <w:ilvl w:val="0"/>
          <w:numId w:val="8"/>
        </w:numPr>
        <w:shd w:val="clear"/>
        <w:spacing w:before="191" w:line="219" w:lineRule="auto"/>
        <w:ind w:firstLine="1807" w:firstLineChars="500"/>
        <w:jc w:val="both"/>
        <w:outlineLvl w:val="0"/>
        <w:rPr>
          <w:rFonts w:hint="eastAsia" w:ascii="仿宋" w:hAnsi="仿宋" w:eastAsia="仿宋" w:cs="仿宋"/>
          <w:b/>
          <w:snapToGrid w:val="0"/>
          <w:color w:val="000000"/>
          <w:kern w:val="0"/>
          <w:sz w:val="36"/>
          <w:szCs w:val="36"/>
          <w:lang w:val="en-US" w:eastAsia="zh-CN" w:bidi="ar"/>
        </w:rPr>
      </w:pPr>
      <w:bookmarkStart w:id="416" w:name="_Toc7312"/>
      <w:r>
        <w:rPr>
          <w:rFonts w:hint="eastAsia" w:ascii="仿宋" w:hAnsi="仿宋" w:eastAsia="仿宋" w:cs="仿宋"/>
          <w:b/>
          <w:snapToGrid w:val="0"/>
          <w:color w:val="000000"/>
          <w:kern w:val="44"/>
          <w:sz w:val="36"/>
          <w:szCs w:val="36"/>
          <w:lang w:val="en-US" w:eastAsia="zh-CN" w:bidi="ar-SA"/>
        </w:rPr>
        <w:t>工程量清单详见附件</w:t>
      </w:r>
      <w:bookmarkEnd w:id="414"/>
      <w:bookmarkEnd w:id="415"/>
      <w:bookmarkEnd w:id="416"/>
    </w:p>
    <w:p w14:paraId="68822425">
      <w:pPr>
        <w:numPr>
          <w:ilvl w:val="0"/>
          <w:numId w:val="0"/>
        </w:numPr>
        <w:kinsoku w:val="0"/>
        <w:autoSpaceDE w:val="0"/>
        <w:autoSpaceDN w:val="0"/>
        <w:adjustRightInd w:val="0"/>
        <w:snapToGrid w:val="0"/>
        <w:spacing w:line="240" w:lineRule="auto"/>
        <w:jc w:val="left"/>
        <w:textAlignment w:val="baseline"/>
        <w:rPr>
          <w:rFonts w:hint="eastAsia" w:ascii="仿宋" w:hAnsi="仿宋" w:eastAsia="仿宋" w:cs="仿宋"/>
          <w:sz w:val="24"/>
          <w:szCs w:val="24"/>
          <w:lang w:val="en-US" w:eastAsia="zh-CN"/>
        </w:rPr>
      </w:pPr>
    </w:p>
    <w:p w14:paraId="2CFCF225">
      <w:pPr>
        <w:keepNext w:val="0"/>
        <w:keepLines w:val="0"/>
        <w:pageBreakBefore w:val="0"/>
        <w:widowControl w:val="0"/>
        <w:kinsoku/>
        <w:wordWrap/>
        <w:overflowPunct/>
        <w:topLinePunct w:val="0"/>
        <w:bidi w:val="0"/>
        <w:spacing w:line="240" w:lineRule="atLeast"/>
        <w:outlineLvl w:val="9"/>
        <w:rPr>
          <w:rFonts w:hint="eastAsia" w:ascii="仿宋" w:hAnsi="仿宋" w:eastAsia="仿宋" w:cs="仿宋"/>
          <w:sz w:val="28"/>
          <w:szCs w:val="28"/>
          <w:lang w:val="en-US" w:eastAsia="zh-CN"/>
        </w:rPr>
      </w:pPr>
      <w:r>
        <w:rPr>
          <w:rFonts w:hint="eastAsia" w:ascii="仿宋" w:hAnsi="仿宋" w:eastAsia="仿宋" w:cs="仿宋"/>
          <w:b/>
          <w:bCs/>
          <w:color w:val="auto"/>
          <w:sz w:val="28"/>
          <w:szCs w:val="28"/>
          <w:highlight w:val="none"/>
          <w:lang w:val="en-US" w:eastAsia="zh-CN"/>
        </w:rPr>
        <w:t>说明：</w:t>
      </w:r>
      <w:r>
        <w:rPr>
          <w:rFonts w:hint="eastAsia" w:ascii="仿宋" w:hAnsi="仿宋" w:eastAsia="仿宋" w:cs="仿宋"/>
          <w:b/>
          <w:bCs/>
          <w:color w:val="000000"/>
          <w:sz w:val="28"/>
          <w:szCs w:val="28"/>
          <w:highlight w:val="none"/>
        </w:rPr>
        <w:t>采购人应对招标</w:t>
      </w:r>
      <w:r>
        <w:rPr>
          <w:rFonts w:hint="eastAsia" w:ascii="仿宋" w:hAnsi="仿宋" w:eastAsia="仿宋" w:cs="仿宋"/>
          <w:b/>
          <w:bCs/>
          <w:color w:val="000000"/>
          <w:sz w:val="28"/>
          <w:szCs w:val="28"/>
          <w:highlight w:val="none"/>
          <w:lang w:val="en-US" w:eastAsia="zh-CN"/>
        </w:rPr>
        <w:t>项目</w:t>
      </w:r>
      <w:r>
        <w:rPr>
          <w:rFonts w:hint="eastAsia" w:ascii="仿宋" w:hAnsi="仿宋" w:eastAsia="仿宋" w:cs="仿宋"/>
          <w:b/>
          <w:bCs/>
          <w:color w:val="000000"/>
          <w:sz w:val="28"/>
          <w:szCs w:val="28"/>
          <w:highlight w:val="none"/>
        </w:rPr>
        <w:t>提出详细的技术规格及相关要求（详见清单）。</w:t>
      </w:r>
    </w:p>
    <w:p w14:paraId="1669707A">
      <w:pPr>
        <w:pStyle w:val="21"/>
        <w:keepNext w:val="0"/>
        <w:keepLines w:val="0"/>
        <w:pageBreakBefore w:val="0"/>
        <w:widowControl/>
        <w:kinsoku/>
        <w:wordWrap/>
        <w:overflowPunct/>
        <w:topLinePunct w:val="0"/>
        <w:bidi w:val="0"/>
        <w:adjustRightInd/>
        <w:snapToGrid/>
        <w:spacing w:before="0" w:beforeAutospacing="0" w:after="0" w:afterAutospacing="0"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工程量清单编制说明</w:t>
      </w:r>
    </w:p>
    <w:p w14:paraId="6F8144AF">
      <w:pPr>
        <w:keepNext w:val="0"/>
        <w:keepLines w:val="0"/>
        <w:pageBreakBefore w:val="0"/>
        <w:kinsoku/>
        <w:wordWrap/>
        <w:overflowPunct/>
        <w:topLinePunct w:val="0"/>
        <w:autoSpaceDE w:val="0"/>
        <w:autoSpaceDN w:val="0"/>
        <w:bidi w:val="0"/>
        <w:adjustRightInd/>
        <w:snapToGrid/>
        <w:spacing w:line="560" w:lineRule="exact"/>
        <w:textAlignment w:val="auto"/>
        <w:rPr>
          <w:rFonts w:hint="eastAsia" w:ascii="仿宋" w:hAnsi="仿宋" w:eastAsia="仿宋" w:cs="仿宋"/>
          <w:b/>
          <w:bCs/>
          <w:snapToGrid w:val="0"/>
          <w:color w:val="auto"/>
          <w:spacing w:val="-1"/>
          <w:kern w:val="0"/>
          <w:sz w:val="24"/>
          <w:szCs w:val="24"/>
          <w:highlight w:val="none"/>
          <w:lang w:val="en-US" w:eastAsia="en-US" w:bidi="ar-SA"/>
        </w:rPr>
      </w:pPr>
      <w:bookmarkStart w:id="417" w:name="_Toc4019"/>
      <w:r>
        <w:rPr>
          <w:rFonts w:hint="eastAsia" w:ascii="仿宋" w:hAnsi="仿宋" w:eastAsia="仿宋" w:cs="仿宋"/>
          <w:b/>
          <w:bCs/>
          <w:snapToGrid w:val="0"/>
          <w:color w:val="auto"/>
          <w:spacing w:val="-1"/>
          <w:kern w:val="0"/>
          <w:sz w:val="24"/>
          <w:szCs w:val="24"/>
          <w:highlight w:val="none"/>
          <w:lang w:val="en-US" w:eastAsia="en-US" w:bidi="ar-SA"/>
        </w:rPr>
        <w:t>一、工程概况：</w:t>
      </w:r>
    </w:p>
    <w:p w14:paraId="6ADBC976">
      <w:pPr>
        <w:keepNext w:val="0"/>
        <w:keepLines w:val="0"/>
        <w:pageBreakBefore w:val="0"/>
        <w:kinsoku/>
        <w:wordWrap/>
        <w:overflowPunct/>
        <w:topLinePunct w:val="0"/>
        <w:autoSpaceDE w:val="0"/>
        <w:autoSpaceDN w:val="0"/>
        <w:bidi w:val="0"/>
        <w:adjustRightInd/>
        <w:snapToGrid/>
        <w:spacing w:line="560" w:lineRule="exact"/>
        <w:textAlignment w:val="auto"/>
        <w:rPr>
          <w:rFonts w:hint="eastAsia" w:ascii="仿宋" w:hAnsi="仿宋" w:eastAsia="仿宋" w:cs="仿宋"/>
          <w:b/>
          <w:bCs/>
          <w:snapToGrid w:val="0"/>
          <w:color w:val="auto"/>
          <w:spacing w:val="-1"/>
          <w:kern w:val="0"/>
          <w:sz w:val="24"/>
          <w:szCs w:val="24"/>
          <w:highlight w:val="none"/>
          <w:lang w:val="en-US" w:eastAsia="en-US" w:bidi="ar-SA"/>
        </w:rPr>
      </w:pPr>
      <w:r>
        <w:rPr>
          <w:rFonts w:hint="eastAsia" w:ascii="仿宋" w:hAnsi="仿宋" w:eastAsia="仿宋" w:cs="仿宋"/>
          <w:b/>
          <w:bCs/>
          <w:snapToGrid w:val="0"/>
          <w:color w:val="auto"/>
          <w:spacing w:val="-1"/>
          <w:kern w:val="0"/>
          <w:sz w:val="24"/>
          <w:szCs w:val="24"/>
          <w:highlight w:val="none"/>
          <w:lang w:val="en-US" w:eastAsia="en-US" w:bidi="ar-SA"/>
        </w:rPr>
        <w:t>工程名称:</w:t>
      </w:r>
      <w:r>
        <w:rPr>
          <w:rFonts w:hint="eastAsia" w:ascii="仿宋" w:hAnsi="仿宋" w:eastAsia="仿宋" w:cs="仿宋"/>
          <w:b/>
          <w:bCs/>
          <w:snapToGrid w:val="0"/>
          <w:color w:val="auto"/>
          <w:spacing w:val="-1"/>
          <w:kern w:val="0"/>
          <w:sz w:val="24"/>
          <w:szCs w:val="24"/>
          <w:highlight w:val="none"/>
          <w:lang w:val="en-US" w:eastAsia="zh-CN" w:bidi="ar-SA"/>
        </w:rPr>
        <w:t>伽师县巴仁镇第四小学一标段</w:t>
      </w:r>
      <w:r>
        <w:rPr>
          <w:rFonts w:hint="eastAsia" w:ascii="仿宋" w:hAnsi="仿宋" w:eastAsia="仿宋" w:cs="仿宋"/>
          <w:b/>
          <w:bCs/>
          <w:snapToGrid w:val="0"/>
          <w:color w:val="auto"/>
          <w:spacing w:val="-1"/>
          <w:kern w:val="0"/>
          <w:sz w:val="24"/>
          <w:szCs w:val="24"/>
          <w:highlight w:val="none"/>
          <w:lang w:val="en-US" w:eastAsia="en-US" w:bidi="ar-SA"/>
        </w:rPr>
        <w:t>。</w:t>
      </w:r>
    </w:p>
    <w:p w14:paraId="46C9BD7D">
      <w:pPr>
        <w:keepNext w:val="0"/>
        <w:keepLines w:val="0"/>
        <w:pageBreakBefore w:val="0"/>
        <w:kinsoku/>
        <w:wordWrap/>
        <w:overflowPunct/>
        <w:topLinePunct w:val="0"/>
        <w:autoSpaceDE w:val="0"/>
        <w:autoSpaceDN w:val="0"/>
        <w:bidi w:val="0"/>
        <w:adjustRightInd/>
        <w:snapToGrid/>
        <w:spacing w:line="560" w:lineRule="exact"/>
        <w:textAlignment w:val="auto"/>
        <w:rPr>
          <w:rFonts w:hint="eastAsia" w:ascii="仿宋" w:hAnsi="仿宋" w:eastAsia="仿宋" w:cs="仿宋"/>
          <w:b/>
          <w:bCs/>
          <w:snapToGrid w:val="0"/>
          <w:color w:val="auto"/>
          <w:spacing w:val="-1"/>
          <w:kern w:val="0"/>
          <w:sz w:val="24"/>
          <w:szCs w:val="24"/>
          <w:highlight w:val="none"/>
          <w:lang w:val="en-US" w:eastAsia="en-US" w:bidi="ar-SA"/>
        </w:rPr>
      </w:pPr>
      <w:r>
        <w:rPr>
          <w:rFonts w:hint="eastAsia" w:ascii="仿宋" w:hAnsi="仿宋" w:eastAsia="仿宋" w:cs="仿宋"/>
          <w:b/>
          <w:bCs/>
          <w:snapToGrid w:val="0"/>
          <w:color w:val="auto"/>
          <w:spacing w:val="-1"/>
          <w:kern w:val="0"/>
          <w:sz w:val="24"/>
          <w:szCs w:val="24"/>
          <w:highlight w:val="none"/>
          <w:lang w:val="en-US" w:eastAsia="en-US" w:bidi="ar-SA"/>
        </w:rPr>
        <w:t>地点:</w:t>
      </w:r>
      <w:r>
        <w:rPr>
          <w:rFonts w:hint="eastAsia" w:ascii="仿宋" w:hAnsi="仿宋" w:eastAsia="仿宋" w:cs="仿宋"/>
          <w:b/>
          <w:bCs/>
          <w:iCs/>
          <w:color w:val="000000"/>
          <w:sz w:val="24"/>
          <w:highlight w:val="none"/>
          <w:u w:val="single"/>
          <w:lang w:val="en-US" w:eastAsia="zh-CN"/>
        </w:rPr>
        <w:t>伽师县巴仁镇第四小学</w:t>
      </w:r>
      <w:r>
        <w:rPr>
          <w:rFonts w:hint="eastAsia" w:ascii="仿宋" w:hAnsi="仿宋" w:eastAsia="仿宋" w:cs="仿宋"/>
          <w:b/>
          <w:bCs/>
          <w:snapToGrid w:val="0"/>
          <w:color w:val="auto"/>
          <w:spacing w:val="-1"/>
          <w:kern w:val="0"/>
          <w:sz w:val="24"/>
          <w:szCs w:val="24"/>
          <w:highlight w:val="none"/>
          <w:lang w:val="en-US" w:eastAsia="en-US" w:bidi="ar-SA"/>
        </w:rPr>
        <w:t>。</w:t>
      </w:r>
    </w:p>
    <w:p w14:paraId="23C39F1C">
      <w:pPr>
        <w:pStyle w:val="2"/>
        <w:keepNext w:val="0"/>
        <w:keepLines w:val="0"/>
        <w:pageBreakBefore w:val="0"/>
        <w:widowControl/>
        <w:shd w:val="clear"/>
        <w:overflowPunct/>
        <w:topLinePunct w:val="0"/>
        <w:autoSpaceDE w:val="0"/>
        <w:autoSpaceDN w:val="0"/>
        <w:bidi w:val="0"/>
        <w:adjustRightInd w:val="0"/>
        <w:snapToGrid w:val="0"/>
        <w:spacing w:before="94" w:line="379" w:lineRule="exact"/>
        <w:jc w:val="both"/>
        <w:textAlignment w:val="baseline"/>
        <w:outlineLvl w:val="9"/>
        <w:rPr>
          <w:rFonts w:hint="eastAsia" w:ascii="仿宋" w:hAnsi="仿宋" w:eastAsia="仿宋" w:cs="仿宋"/>
          <w:b/>
          <w:bCs/>
          <w:snapToGrid w:val="0"/>
          <w:color w:val="auto"/>
          <w:spacing w:val="-1"/>
          <w:kern w:val="0"/>
          <w:sz w:val="24"/>
          <w:szCs w:val="24"/>
          <w:highlight w:val="none"/>
          <w:lang w:val="en-US" w:eastAsia="en-US" w:bidi="ar-SA"/>
        </w:rPr>
      </w:pPr>
      <w:r>
        <w:rPr>
          <w:rFonts w:hint="eastAsia" w:ascii="仿宋" w:hAnsi="仿宋" w:eastAsia="仿宋" w:cs="仿宋"/>
          <w:b/>
          <w:bCs/>
          <w:snapToGrid w:val="0"/>
          <w:color w:val="auto"/>
          <w:spacing w:val="-1"/>
          <w:kern w:val="0"/>
          <w:sz w:val="24"/>
          <w:szCs w:val="24"/>
          <w:highlight w:val="none"/>
          <w:lang w:val="en-US" w:eastAsia="en-US" w:bidi="ar-SA"/>
        </w:rPr>
        <w:t>项目规模:</w:t>
      </w:r>
      <w:r>
        <w:rPr>
          <w:rFonts w:hint="eastAsia" w:ascii="仿宋" w:hAnsi="仿宋" w:eastAsia="仿宋" w:cs="仿宋"/>
          <w:b/>
          <w:bCs/>
          <w:snapToGrid w:val="0"/>
          <w:color w:val="auto"/>
          <w:spacing w:val="-1"/>
          <w:kern w:val="0"/>
          <w:sz w:val="24"/>
          <w:szCs w:val="24"/>
          <w:highlight w:val="none"/>
          <w:lang w:val="en-US" w:eastAsia="zh-CN" w:bidi="ar-SA"/>
        </w:rPr>
        <w:t>墙面粉刷11286.4平方米，改造72间教学用房空气能设备148台(套)（具体内容详见磋商文件工程量清单工程量清单）</w:t>
      </w:r>
    </w:p>
    <w:p w14:paraId="6E42AB76">
      <w:pPr>
        <w:keepNext w:val="0"/>
        <w:keepLines w:val="0"/>
        <w:pageBreakBefore w:val="0"/>
        <w:kinsoku/>
        <w:wordWrap/>
        <w:overflowPunct/>
        <w:topLinePunct w:val="0"/>
        <w:autoSpaceDE w:val="0"/>
        <w:autoSpaceDN w:val="0"/>
        <w:bidi w:val="0"/>
        <w:adjustRightInd/>
        <w:snapToGrid/>
        <w:spacing w:line="560" w:lineRule="exact"/>
        <w:textAlignment w:val="auto"/>
        <w:rPr>
          <w:rFonts w:hint="eastAsia" w:ascii="仿宋" w:hAnsi="仿宋" w:eastAsia="仿宋" w:cs="仿宋"/>
          <w:b/>
          <w:bCs/>
          <w:snapToGrid w:val="0"/>
          <w:color w:val="auto"/>
          <w:spacing w:val="-1"/>
          <w:kern w:val="0"/>
          <w:sz w:val="24"/>
          <w:szCs w:val="24"/>
          <w:highlight w:val="none"/>
          <w:lang w:val="en-US" w:eastAsia="en-US" w:bidi="ar-SA"/>
        </w:rPr>
      </w:pPr>
      <w:r>
        <w:rPr>
          <w:rFonts w:hint="eastAsia" w:ascii="仿宋" w:hAnsi="仿宋" w:eastAsia="仿宋" w:cs="仿宋"/>
          <w:b/>
          <w:bCs/>
          <w:snapToGrid w:val="0"/>
          <w:color w:val="auto"/>
          <w:spacing w:val="-1"/>
          <w:kern w:val="0"/>
          <w:sz w:val="24"/>
          <w:szCs w:val="24"/>
          <w:highlight w:val="none"/>
          <w:lang w:val="en-US" w:eastAsia="en-US" w:bidi="ar-SA"/>
        </w:rPr>
        <w:t>二、编制依据：</w:t>
      </w:r>
    </w:p>
    <w:p w14:paraId="0E7A6318">
      <w:pPr>
        <w:keepNext w:val="0"/>
        <w:keepLines w:val="0"/>
        <w:pageBreakBefore w:val="0"/>
        <w:kinsoku/>
        <w:wordWrap/>
        <w:overflowPunct/>
        <w:topLinePunct w:val="0"/>
        <w:autoSpaceDE w:val="0"/>
        <w:autoSpaceDN w:val="0"/>
        <w:bidi w:val="0"/>
        <w:adjustRightInd/>
        <w:snapToGrid/>
        <w:spacing w:line="560" w:lineRule="exact"/>
        <w:textAlignment w:val="auto"/>
        <w:rPr>
          <w:rFonts w:hint="eastAsia" w:ascii="仿宋" w:hAnsi="仿宋" w:eastAsia="仿宋" w:cs="仿宋"/>
          <w:b/>
          <w:bCs/>
          <w:snapToGrid w:val="0"/>
          <w:color w:val="auto"/>
          <w:spacing w:val="-1"/>
          <w:kern w:val="0"/>
          <w:sz w:val="24"/>
          <w:szCs w:val="24"/>
          <w:highlight w:val="none"/>
          <w:lang w:val="en-US" w:eastAsia="en-US" w:bidi="ar-SA"/>
        </w:rPr>
      </w:pPr>
      <w:r>
        <w:rPr>
          <w:rFonts w:hint="eastAsia" w:ascii="仿宋" w:hAnsi="仿宋" w:eastAsia="仿宋" w:cs="仿宋"/>
          <w:b/>
          <w:bCs/>
          <w:snapToGrid w:val="0"/>
          <w:color w:val="auto"/>
          <w:spacing w:val="-1"/>
          <w:kern w:val="0"/>
          <w:sz w:val="24"/>
          <w:szCs w:val="24"/>
          <w:highlight w:val="none"/>
          <w:lang w:val="en-US" w:eastAsia="en-US" w:bidi="ar-SA"/>
        </w:rPr>
        <w:t>1.本工程依据国家建设部2012年12月25日颁布的《建设工程工程量清单计价规范》（GB50500-2013）中工程量计价方法，根据建设单位提供的工程量计算。</w:t>
      </w:r>
    </w:p>
    <w:p w14:paraId="145F6D1D">
      <w:pPr>
        <w:keepNext w:val="0"/>
        <w:keepLines w:val="0"/>
        <w:pageBreakBefore w:val="0"/>
        <w:kinsoku/>
        <w:wordWrap/>
        <w:overflowPunct/>
        <w:topLinePunct w:val="0"/>
        <w:autoSpaceDE w:val="0"/>
        <w:autoSpaceDN w:val="0"/>
        <w:bidi w:val="0"/>
        <w:adjustRightInd/>
        <w:snapToGrid/>
        <w:spacing w:line="560" w:lineRule="exact"/>
        <w:textAlignment w:val="auto"/>
        <w:rPr>
          <w:rFonts w:hint="eastAsia" w:ascii="仿宋" w:hAnsi="仿宋" w:eastAsia="仿宋" w:cs="仿宋"/>
          <w:b/>
          <w:bCs/>
          <w:snapToGrid w:val="0"/>
          <w:color w:val="auto"/>
          <w:spacing w:val="-1"/>
          <w:kern w:val="0"/>
          <w:sz w:val="24"/>
          <w:szCs w:val="24"/>
          <w:highlight w:val="none"/>
          <w:lang w:val="en-US" w:eastAsia="en-US" w:bidi="ar-SA"/>
        </w:rPr>
      </w:pPr>
      <w:r>
        <w:rPr>
          <w:rFonts w:hint="eastAsia" w:ascii="仿宋" w:hAnsi="仿宋" w:eastAsia="仿宋" w:cs="仿宋"/>
          <w:b/>
          <w:bCs/>
          <w:snapToGrid w:val="0"/>
          <w:color w:val="auto"/>
          <w:spacing w:val="-1"/>
          <w:kern w:val="0"/>
          <w:sz w:val="24"/>
          <w:szCs w:val="24"/>
          <w:highlight w:val="none"/>
          <w:lang w:val="en-US" w:eastAsia="zh-CN" w:bidi="ar-SA"/>
        </w:rPr>
        <w:t>2</w:t>
      </w:r>
      <w:r>
        <w:rPr>
          <w:rFonts w:hint="eastAsia" w:ascii="仿宋" w:hAnsi="仿宋" w:eastAsia="仿宋" w:cs="仿宋"/>
          <w:b/>
          <w:bCs/>
          <w:snapToGrid w:val="0"/>
          <w:color w:val="auto"/>
          <w:spacing w:val="-1"/>
          <w:kern w:val="0"/>
          <w:sz w:val="24"/>
          <w:szCs w:val="24"/>
          <w:highlight w:val="none"/>
          <w:lang w:val="en-US" w:eastAsia="en-US" w:bidi="ar-SA"/>
        </w:rPr>
        <w:t>、投标人报价时，可以根据本企业的实际情况、工程项目特点、施工组织等因素增加或减少措施项目内容报价。</w:t>
      </w:r>
    </w:p>
    <w:p w14:paraId="490EAB97">
      <w:pPr>
        <w:keepNext w:val="0"/>
        <w:keepLines w:val="0"/>
        <w:pageBreakBefore w:val="0"/>
        <w:kinsoku/>
        <w:wordWrap/>
        <w:overflowPunct/>
        <w:topLinePunct w:val="0"/>
        <w:autoSpaceDE w:val="0"/>
        <w:autoSpaceDN w:val="0"/>
        <w:bidi w:val="0"/>
        <w:adjustRightInd/>
        <w:snapToGrid/>
        <w:spacing w:line="560" w:lineRule="exact"/>
        <w:textAlignment w:val="auto"/>
        <w:rPr>
          <w:rFonts w:hint="eastAsia" w:ascii="仿宋" w:hAnsi="仿宋" w:eastAsia="仿宋" w:cs="仿宋"/>
          <w:b/>
          <w:bCs/>
          <w:snapToGrid w:val="0"/>
          <w:color w:val="auto"/>
          <w:spacing w:val="-1"/>
          <w:kern w:val="0"/>
          <w:sz w:val="24"/>
          <w:szCs w:val="24"/>
          <w:highlight w:val="none"/>
          <w:lang w:val="en-US" w:eastAsia="en-US" w:bidi="ar-SA"/>
        </w:rPr>
      </w:pPr>
      <w:r>
        <w:rPr>
          <w:rFonts w:hint="eastAsia" w:ascii="仿宋" w:hAnsi="仿宋" w:eastAsia="仿宋" w:cs="仿宋"/>
          <w:b/>
          <w:bCs/>
          <w:snapToGrid w:val="0"/>
          <w:color w:val="auto"/>
          <w:spacing w:val="-1"/>
          <w:kern w:val="0"/>
          <w:sz w:val="24"/>
          <w:szCs w:val="24"/>
          <w:highlight w:val="none"/>
          <w:lang w:val="en-US" w:eastAsia="zh-CN" w:bidi="ar-SA"/>
        </w:rPr>
        <w:t>3</w:t>
      </w:r>
      <w:r>
        <w:rPr>
          <w:rFonts w:hint="eastAsia" w:ascii="仿宋" w:hAnsi="仿宋" w:eastAsia="仿宋" w:cs="仿宋"/>
          <w:b/>
          <w:bCs/>
          <w:snapToGrid w:val="0"/>
          <w:color w:val="auto"/>
          <w:spacing w:val="-1"/>
          <w:kern w:val="0"/>
          <w:sz w:val="24"/>
          <w:szCs w:val="24"/>
          <w:highlight w:val="none"/>
          <w:lang w:val="en-US" w:eastAsia="en-US" w:bidi="ar-SA"/>
        </w:rPr>
        <w:t>、规费和税金必须按国家有关规定报价。</w:t>
      </w:r>
    </w:p>
    <w:p w14:paraId="7C07825F">
      <w:pPr>
        <w:keepNext w:val="0"/>
        <w:keepLines w:val="0"/>
        <w:pageBreakBefore w:val="0"/>
        <w:kinsoku/>
        <w:wordWrap/>
        <w:overflowPunct/>
        <w:topLinePunct w:val="0"/>
        <w:autoSpaceDE w:val="0"/>
        <w:autoSpaceDN w:val="0"/>
        <w:bidi w:val="0"/>
        <w:adjustRightInd/>
        <w:snapToGrid/>
        <w:spacing w:line="560" w:lineRule="exact"/>
        <w:textAlignment w:val="auto"/>
        <w:rPr>
          <w:rFonts w:hint="eastAsia" w:ascii="仿宋" w:hAnsi="仿宋" w:eastAsia="仿宋" w:cs="仿宋"/>
          <w:b/>
          <w:bCs/>
          <w:snapToGrid w:val="0"/>
          <w:color w:val="auto"/>
          <w:spacing w:val="-1"/>
          <w:kern w:val="0"/>
          <w:sz w:val="24"/>
          <w:szCs w:val="24"/>
          <w:highlight w:val="none"/>
          <w:lang w:val="en-US" w:eastAsia="en-US" w:bidi="ar-SA"/>
        </w:rPr>
      </w:pPr>
      <w:r>
        <w:rPr>
          <w:rFonts w:hint="eastAsia" w:ascii="仿宋" w:hAnsi="仿宋" w:eastAsia="仿宋" w:cs="仿宋"/>
          <w:b/>
          <w:bCs/>
          <w:snapToGrid w:val="0"/>
          <w:color w:val="auto"/>
          <w:spacing w:val="-1"/>
          <w:kern w:val="0"/>
          <w:sz w:val="24"/>
          <w:szCs w:val="24"/>
          <w:highlight w:val="none"/>
          <w:lang w:val="en-US" w:eastAsia="zh-CN" w:bidi="ar-SA"/>
        </w:rPr>
        <w:t>4</w:t>
      </w:r>
      <w:r>
        <w:rPr>
          <w:rFonts w:hint="eastAsia" w:ascii="仿宋" w:hAnsi="仿宋" w:eastAsia="仿宋" w:cs="仿宋"/>
          <w:b/>
          <w:bCs/>
          <w:snapToGrid w:val="0"/>
          <w:color w:val="auto"/>
          <w:spacing w:val="-1"/>
          <w:kern w:val="0"/>
          <w:sz w:val="24"/>
          <w:szCs w:val="24"/>
          <w:highlight w:val="none"/>
          <w:lang w:val="en-US" w:eastAsia="en-US" w:bidi="ar-SA"/>
        </w:rPr>
        <w:t>、其他项目清单中的零星项目内容及数量，各投标人可根据本企业及工程情况自行报价，竣工结算时，应按发包人、承包人、监理单位三方确认的实际完成项目内容及数量以投标报价中相应项目的综合单价进行结算。</w:t>
      </w:r>
    </w:p>
    <w:p w14:paraId="67729854">
      <w:pPr>
        <w:keepNext w:val="0"/>
        <w:keepLines w:val="0"/>
        <w:pageBreakBefore w:val="0"/>
        <w:kinsoku/>
        <w:wordWrap/>
        <w:overflowPunct/>
        <w:topLinePunct w:val="0"/>
        <w:autoSpaceDE w:val="0"/>
        <w:autoSpaceDN w:val="0"/>
        <w:bidi w:val="0"/>
        <w:adjustRightInd/>
        <w:snapToGrid/>
        <w:spacing w:line="560" w:lineRule="exact"/>
        <w:textAlignment w:val="auto"/>
        <w:rPr>
          <w:rFonts w:hint="eastAsia" w:ascii="仿宋" w:hAnsi="仿宋" w:eastAsia="仿宋" w:cs="仿宋"/>
          <w:b/>
          <w:bCs/>
          <w:snapToGrid w:val="0"/>
          <w:color w:val="auto"/>
          <w:spacing w:val="-1"/>
          <w:kern w:val="0"/>
          <w:sz w:val="24"/>
          <w:szCs w:val="24"/>
          <w:highlight w:val="none"/>
          <w:lang w:val="en-US" w:eastAsia="en-US" w:bidi="ar-SA"/>
        </w:rPr>
      </w:pPr>
      <w:r>
        <w:rPr>
          <w:rFonts w:hint="eastAsia" w:ascii="仿宋" w:hAnsi="仿宋" w:eastAsia="仿宋" w:cs="仿宋"/>
          <w:b/>
          <w:bCs/>
          <w:snapToGrid w:val="0"/>
          <w:color w:val="auto"/>
          <w:spacing w:val="-1"/>
          <w:kern w:val="0"/>
          <w:sz w:val="24"/>
          <w:szCs w:val="24"/>
          <w:highlight w:val="none"/>
          <w:lang w:val="en-US" w:eastAsia="zh-CN" w:bidi="ar-SA"/>
        </w:rPr>
        <w:t>5</w:t>
      </w:r>
      <w:r>
        <w:rPr>
          <w:rFonts w:hint="eastAsia" w:ascii="仿宋" w:hAnsi="仿宋" w:eastAsia="仿宋" w:cs="仿宋"/>
          <w:b/>
          <w:bCs/>
          <w:snapToGrid w:val="0"/>
          <w:color w:val="auto"/>
          <w:spacing w:val="-1"/>
          <w:kern w:val="0"/>
          <w:sz w:val="24"/>
          <w:szCs w:val="24"/>
          <w:highlight w:val="none"/>
          <w:lang w:val="en-US" w:eastAsia="en-US" w:bidi="ar-SA"/>
        </w:rPr>
        <w:t>、由于变更引起工程量增减，其增加或扣减部分的工程量的综合单价如投标预算中没有的，由承包人提出，经发包人确认后作为结算的依据。</w:t>
      </w:r>
    </w:p>
    <w:p w14:paraId="446D088A">
      <w:pPr>
        <w:keepNext w:val="0"/>
        <w:keepLines w:val="0"/>
        <w:pageBreakBefore w:val="0"/>
        <w:kinsoku/>
        <w:wordWrap/>
        <w:overflowPunct/>
        <w:topLinePunct w:val="0"/>
        <w:autoSpaceDE w:val="0"/>
        <w:autoSpaceDN w:val="0"/>
        <w:bidi w:val="0"/>
        <w:adjustRightInd/>
        <w:snapToGrid/>
        <w:spacing w:line="560" w:lineRule="exact"/>
        <w:textAlignment w:val="auto"/>
        <w:rPr>
          <w:rFonts w:hint="eastAsia" w:ascii="仿宋" w:hAnsi="仿宋" w:eastAsia="仿宋" w:cs="仿宋"/>
          <w:b/>
          <w:bCs/>
          <w:snapToGrid w:val="0"/>
          <w:color w:val="auto"/>
          <w:spacing w:val="-1"/>
          <w:kern w:val="0"/>
          <w:sz w:val="24"/>
          <w:szCs w:val="24"/>
          <w:highlight w:val="none"/>
          <w:lang w:val="en-US" w:eastAsia="en-US" w:bidi="ar-SA"/>
        </w:rPr>
      </w:pPr>
      <w:r>
        <w:rPr>
          <w:rFonts w:hint="eastAsia" w:ascii="仿宋" w:hAnsi="仿宋" w:eastAsia="仿宋" w:cs="仿宋"/>
          <w:b/>
          <w:bCs/>
          <w:snapToGrid w:val="0"/>
          <w:color w:val="auto"/>
          <w:spacing w:val="-1"/>
          <w:kern w:val="0"/>
          <w:sz w:val="24"/>
          <w:szCs w:val="24"/>
          <w:highlight w:val="none"/>
          <w:lang w:val="en-US" w:eastAsia="zh-CN" w:bidi="ar-SA"/>
        </w:rPr>
        <w:t>6</w:t>
      </w:r>
      <w:r>
        <w:rPr>
          <w:rFonts w:hint="eastAsia" w:ascii="仿宋" w:hAnsi="仿宋" w:eastAsia="仿宋" w:cs="仿宋"/>
          <w:b/>
          <w:bCs/>
          <w:snapToGrid w:val="0"/>
          <w:color w:val="auto"/>
          <w:spacing w:val="-1"/>
          <w:kern w:val="0"/>
          <w:sz w:val="24"/>
          <w:szCs w:val="24"/>
          <w:highlight w:val="none"/>
          <w:lang w:val="en-US" w:eastAsia="en-US" w:bidi="ar-SA"/>
        </w:rPr>
        <w:t>、未说明的事项按清单计价规范（GB50500-2013）执行。</w:t>
      </w:r>
    </w:p>
    <w:p w14:paraId="5D7521A1">
      <w:pPr>
        <w:keepNext w:val="0"/>
        <w:keepLines w:val="0"/>
        <w:pageBreakBefore w:val="0"/>
        <w:kinsoku/>
        <w:wordWrap/>
        <w:overflowPunct/>
        <w:topLinePunct w:val="0"/>
        <w:autoSpaceDE w:val="0"/>
        <w:autoSpaceDN w:val="0"/>
        <w:bidi w:val="0"/>
        <w:adjustRightInd/>
        <w:snapToGrid/>
        <w:spacing w:line="560" w:lineRule="exact"/>
        <w:textAlignment w:val="auto"/>
        <w:rPr>
          <w:rFonts w:hint="eastAsia" w:ascii="仿宋" w:hAnsi="仿宋" w:eastAsia="仿宋" w:cs="仿宋"/>
          <w:b/>
          <w:bCs/>
          <w:snapToGrid w:val="0"/>
          <w:color w:val="auto"/>
          <w:spacing w:val="-1"/>
          <w:kern w:val="0"/>
          <w:sz w:val="24"/>
          <w:szCs w:val="24"/>
          <w:highlight w:val="none"/>
          <w:lang w:val="en-US" w:eastAsia="en-US" w:bidi="ar-SA"/>
        </w:rPr>
      </w:pPr>
      <w:r>
        <w:rPr>
          <w:rFonts w:hint="eastAsia" w:ascii="仿宋" w:hAnsi="仿宋" w:eastAsia="仿宋" w:cs="仿宋"/>
          <w:b/>
          <w:bCs/>
          <w:snapToGrid w:val="0"/>
          <w:color w:val="auto"/>
          <w:spacing w:val="-1"/>
          <w:kern w:val="0"/>
          <w:sz w:val="24"/>
          <w:szCs w:val="24"/>
          <w:highlight w:val="none"/>
          <w:lang w:val="en-US" w:eastAsia="zh-CN" w:bidi="ar-SA"/>
        </w:rPr>
        <w:t>7</w:t>
      </w:r>
      <w:r>
        <w:rPr>
          <w:rFonts w:hint="eastAsia" w:ascii="仿宋" w:hAnsi="仿宋" w:eastAsia="仿宋" w:cs="仿宋"/>
          <w:b/>
          <w:bCs/>
          <w:snapToGrid w:val="0"/>
          <w:color w:val="auto"/>
          <w:spacing w:val="-1"/>
          <w:kern w:val="0"/>
          <w:sz w:val="24"/>
          <w:szCs w:val="24"/>
          <w:highlight w:val="none"/>
          <w:lang w:val="en-US" w:eastAsia="en-US" w:bidi="ar-SA"/>
        </w:rPr>
        <w:t>、工程量清单叙述不到位的，由投标人根据施工组织及规范考虑在报价中。</w:t>
      </w:r>
    </w:p>
    <w:p w14:paraId="00981F9C">
      <w:pPr>
        <w:keepNext w:val="0"/>
        <w:keepLines w:val="0"/>
        <w:pageBreakBefore w:val="0"/>
        <w:kinsoku/>
        <w:wordWrap/>
        <w:overflowPunct/>
        <w:topLinePunct w:val="0"/>
        <w:autoSpaceDE w:val="0"/>
        <w:autoSpaceDN w:val="0"/>
        <w:bidi w:val="0"/>
        <w:adjustRightInd/>
        <w:snapToGrid/>
        <w:spacing w:line="560" w:lineRule="exact"/>
        <w:textAlignment w:val="auto"/>
        <w:rPr>
          <w:rFonts w:hint="eastAsia" w:ascii="仿宋" w:hAnsi="仿宋" w:eastAsia="仿宋" w:cs="仿宋"/>
          <w:b/>
          <w:bCs/>
          <w:snapToGrid w:val="0"/>
          <w:color w:val="auto"/>
          <w:spacing w:val="-1"/>
          <w:kern w:val="0"/>
          <w:sz w:val="24"/>
          <w:szCs w:val="24"/>
          <w:highlight w:val="none"/>
          <w:lang w:val="en-US" w:eastAsia="en-US" w:bidi="ar-SA"/>
        </w:rPr>
      </w:pPr>
      <w:r>
        <w:rPr>
          <w:rFonts w:hint="eastAsia" w:ascii="仿宋" w:hAnsi="仿宋" w:eastAsia="仿宋" w:cs="仿宋"/>
          <w:b/>
          <w:bCs/>
          <w:snapToGrid w:val="0"/>
          <w:color w:val="auto"/>
          <w:spacing w:val="-1"/>
          <w:kern w:val="0"/>
          <w:sz w:val="24"/>
          <w:szCs w:val="24"/>
          <w:highlight w:val="none"/>
          <w:lang w:val="en-US" w:eastAsia="zh-CN" w:bidi="ar-SA"/>
        </w:rPr>
        <w:t>8</w:t>
      </w:r>
      <w:r>
        <w:rPr>
          <w:rFonts w:hint="eastAsia" w:ascii="仿宋" w:hAnsi="仿宋" w:eastAsia="仿宋" w:cs="仿宋"/>
          <w:b/>
          <w:bCs/>
          <w:snapToGrid w:val="0"/>
          <w:color w:val="auto"/>
          <w:spacing w:val="-1"/>
          <w:kern w:val="0"/>
          <w:sz w:val="24"/>
          <w:szCs w:val="24"/>
          <w:highlight w:val="none"/>
          <w:lang w:val="en-US" w:eastAsia="en-US" w:bidi="ar-SA"/>
        </w:rPr>
        <w:t>、本工程量清单仅作为投标报价的依据，若工程发生变更、实际工程量与清单工程量不符时，以实际发生和现场签证确认的工程量作为结算依据。</w:t>
      </w:r>
    </w:p>
    <w:p w14:paraId="28F4218D">
      <w:pPr>
        <w:keepNext w:val="0"/>
        <w:keepLines w:val="0"/>
        <w:pageBreakBefore w:val="0"/>
        <w:kinsoku/>
        <w:wordWrap/>
        <w:overflowPunct/>
        <w:topLinePunct w:val="0"/>
        <w:autoSpaceDE w:val="0"/>
        <w:autoSpaceDN w:val="0"/>
        <w:bidi w:val="0"/>
        <w:adjustRightInd/>
        <w:snapToGrid/>
        <w:spacing w:line="560" w:lineRule="exact"/>
        <w:textAlignment w:val="auto"/>
        <w:rPr>
          <w:rFonts w:hint="eastAsia" w:ascii="仿宋" w:hAnsi="仿宋" w:eastAsia="仿宋" w:cs="仿宋"/>
          <w:b/>
          <w:bCs/>
          <w:snapToGrid w:val="0"/>
          <w:color w:val="auto"/>
          <w:spacing w:val="-1"/>
          <w:kern w:val="0"/>
          <w:sz w:val="24"/>
          <w:szCs w:val="24"/>
          <w:highlight w:val="none"/>
          <w:lang w:val="en-US" w:eastAsia="en-US" w:bidi="ar-SA"/>
        </w:rPr>
      </w:pPr>
      <w:r>
        <w:rPr>
          <w:rFonts w:hint="eastAsia" w:ascii="仿宋" w:hAnsi="仿宋" w:eastAsia="仿宋" w:cs="仿宋"/>
          <w:b/>
          <w:bCs/>
          <w:snapToGrid w:val="0"/>
          <w:color w:val="auto"/>
          <w:spacing w:val="-1"/>
          <w:kern w:val="0"/>
          <w:sz w:val="24"/>
          <w:szCs w:val="24"/>
          <w:highlight w:val="none"/>
          <w:lang w:val="en-US" w:eastAsia="zh-CN" w:bidi="ar-SA"/>
        </w:rPr>
        <w:t>8</w:t>
      </w:r>
      <w:r>
        <w:rPr>
          <w:rFonts w:hint="eastAsia" w:ascii="仿宋" w:hAnsi="仿宋" w:eastAsia="仿宋" w:cs="仿宋"/>
          <w:b/>
          <w:bCs/>
          <w:snapToGrid w:val="0"/>
          <w:color w:val="auto"/>
          <w:spacing w:val="-1"/>
          <w:kern w:val="0"/>
          <w:sz w:val="24"/>
          <w:szCs w:val="24"/>
          <w:highlight w:val="none"/>
          <w:lang w:val="en-US" w:eastAsia="en-US" w:bidi="ar-SA"/>
        </w:rPr>
        <w:t>、投标人必须依据相关规范认真核对清单项目和工程量。如有疑问应及时提出，并与清单编制单位核对。若未提出疑问或不与清单编制单位核对，视为接受，结算时一律不予调整。</w:t>
      </w:r>
    </w:p>
    <w:p w14:paraId="79FD4A0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snapToGrid w:val="0"/>
          <w:color w:val="000000"/>
          <w:kern w:val="44"/>
          <w:sz w:val="24"/>
          <w:szCs w:val="24"/>
          <w:lang w:val="en-US" w:eastAsia="zh-CN" w:bidi="ar-SA"/>
        </w:rPr>
      </w:pPr>
      <w:r>
        <w:rPr>
          <w:rFonts w:hint="eastAsia" w:ascii="仿宋" w:hAnsi="仿宋" w:eastAsia="仿宋" w:cs="仿宋"/>
          <w:b/>
          <w:bCs/>
          <w:snapToGrid w:val="0"/>
          <w:color w:val="auto"/>
          <w:spacing w:val="-1"/>
          <w:kern w:val="0"/>
          <w:sz w:val="24"/>
          <w:szCs w:val="24"/>
          <w:highlight w:val="none"/>
          <w:lang w:val="en-US" w:eastAsia="zh-CN" w:bidi="ar-SA"/>
        </w:rPr>
        <w:t>三、</w:t>
      </w:r>
      <w:r>
        <w:rPr>
          <w:rFonts w:hint="eastAsia" w:ascii="仿宋" w:hAnsi="仿宋" w:eastAsia="仿宋" w:cs="仿宋"/>
          <w:b/>
          <w:bCs/>
          <w:snapToGrid w:val="0"/>
          <w:color w:val="auto"/>
          <w:spacing w:val="-1"/>
          <w:kern w:val="0"/>
          <w:sz w:val="24"/>
          <w:szCs w:val="24"/>
          <w:highlight w:val="none"/>
          <w:lang w:val="en-US" w:eastAsia="en-US" w:bidi="ar-SA"/>
        </w:rPr>
        <w:t>其他说明</w:t>
      </w:r>
      <w:r>
        <w:rPr>
          <w:rFonts w:hint="eastAsia" w:ascii="仿宋" w:hAnsi="仿宋" w:eastAsia="仿宋" w:cs="仿宋"/>
          <w:b/>
          <w:bCs/>
          <w:snapToGrid w:val="0"/>
          <w:color w:val="auto"/>
          <w:spacing w:val="-1"/>
          <w:kern w:val="0"/>
          <w:sz w:val="24"/>
          <w:szCs w:val="24"/>
          <w:highlight w:val="none"/>
          <w:lang w:val="en-US" w:eastAsia="zh-CN" w:bidi="ar-SA"/>
        </w:rPr>
        <w:t>：</w:t>
      </w:r>
      <w:r>
        <w:rPr>
          <w:rFonts w:hint="eastAsia" w:ascii="仿宋_GB2312" w:hAnsi="Times New Roman" w:eastAsia="仿宋_GB2312" w:cs="Times New Roman"/>
          <w:color w:val="auto"/>
          <w:sz w:val="24"/>
          <w:highlight w:val="none"/>
          <w:lang w:val="en-US" w:eastAsia="zh-CN"/>
        </w:rPr>
        <w:t>无；</w:t>
      </w:r>
    </w:p>
    <w:p w14:paraId="1D908BC7">
      <w:pPr>
        <w:rPr>
          <w:rFonts w:hint="eastAsia"/>
          <w:lang w:val="en-US" w:eastAsia="zh-CN"/>
        </w:rPr>
      </w:pPr>
    </w:p>
    <w:p w14:paraId="3526FAA9">
      <w:pPr>
        <w:keepNext w:val="0"/>
        <w:keepLines w:val="0"/>
        <w:pageBreakBefore w:val="0"/>
        <w:kinsoku/>
        <w:wordWrap/>
        <w:overflowPunct/>
        <w:topLinePunct w:val="0"/>
        <w:bidi w:val="0"/>
        <w:adjustRightInd/>
        <w:snapToGrid/>
        <w:spacing w:line="560" w:lineRule="exact"/>
        <w:ind w:firstLine="2530" w:firstLineChars="700"/>
        <w:textAlignment w:val="auto"/>
        <w:outlineLvl w:val="0"/>
        <w:rPr>
          <w:rFonts w:hint="eastAsia" w:ascii="仿宋" w:hAnsi="仿宋" w:eastAsia="仿宋" w:cs="仿宋"/>
          <w:b/>
          <w:snapToGrid w:val="0"/>
          <w:color w:val="000000"/>
          <w:kern w:val="44"/>
          <w:sz w:val="36"/>
          <w:szCs w:val="36"/>
          <w:lang w:val="en-US" w:eastAsia="zh-CN" w:bidi="ar-SA"/>
        </w:rPr>
      </w:pPr>
      <w:r>
        <w:rPr>
          <w:rFonts w:hint="eastAsia" w:ascii="仿宋" w:hAnsi="仿宋" w:eastAsia="仿宋" w:cs="仿宋"/>
          <w:b/>
          <w:snapToGrid w:val="0"/>
          <w:color w:val="000000"/>
          <w:kern w:val="44"/>
          <w:sz w:val="36"/>
          <w:szCs w:val="36"/>
          <w:lang w:val="en-US" w:eastAsia="zh-CN" w:bidi="ar-SA"/>
        </w:rPr>
        <w:t>第六章  评标方法和标准</w:t>
      </w:r>
      <w:bookmarkEnd w:id="417"/>
    </w:p>
    <w:p w14:paraId="15CC45DD">
      <w:pPr>
        <w:spacing w:line="368" w:lineRule="auto"/>
        <w:rPr>
          <w:rFonts w:hint="eastAsia" w:ascii="仿宋" w:hAnsi="仿宋" w:eastAsia="仿宋" w:cs="仿宋"/>
          <w:color w:val="auto"/>
          <w:sz w:val="24"/>
          <w:szCs w:val="24"/>
          <w:highlight w:val="none"/>
        </w:rPr>
      </w:pPr>
    </w:p>
    <w:p w14:paraId="0D3D78AA">
      <w:pPr>
        <w:pStyle w:val="2"/>
        <w:keepNext w:val="0"/>
        <w:keepLines w:val="0"/>
        <w:pageBreakBefore w:val="0"/>
        <w:widowControl/>
        <w:kinsoku w:val="0"/>
        <w:wordWrap/>
        <w:overflowPunct/>
        <w:topLinePunct w:val="0"/>
        <w:autoSpaceDE w:val="0"/>
        <w:autoSpaceDN w:val="0"/>
        <w:bidi w:val="0"/>
        <w:adjustRightInd w:val="0"/>
        <w:snapToGrid w:val="0"/>
        <w:spacing w:before="101" w:line="225" w:lineRule="auto"/>
        <w:ind w:left="32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一、评标方法</w:t>
      </w:r>
    </w:p>
    <w:p w14:paraId="32C02AC6">
      <w:pPr>
        <w:pStyle w:val="2"/>
        <w:keepNext w:val="0"/>
        <w:keepLines w:val="0"/>
        <w:pageBreakBefore w:val="0"/>
        <w:widowControl/>
        <w:kinsoku w:val="0"/>
        <w:wordWrap/>
        <w:overflowPunct/>
        <w:topLinePunct w:val="0"/>
        <w:autoSpaceDE w:val="0"/>
        <w:autoSpaceDN w:val="0"/>
        <w:bidi w:val="0"/>
        <w:adjustRightInd w:val="0"/>
        <w:snapToGrid w:val="0"/>
        <w:spacing w:before="126"/>
        <w:ind w:left="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（一）总则</w:t>
      </w:r>
    </w:p>
    <w:p w14:paraId="1E8F8C4F">
      <w:pPr>
        <w:pStyle w:val="2"/>
        <w:keepNext w:val="0"/>
        <w:keepLines w:val="0"/>
        <w:pageBreakBefore w:val="0"/>
        <w:widowControl/>
        <w:kinsoku w:val="0"/>
        <w:wordWrap/>
        <w:overflowPunct/>
        <w:topLinePunct w:val="0"/>
        <w:autoSpaceDE w:val="0"/>
        <w:autoSpaceDN w:val="0"/>
        <w:bidi w:val="0"/>
        <w:adjustRightInd w:val="0"/>
        <w:snapToGrid w:val="0"/>
        <w:spacing w:line="220" w:lineRule="auto"/>
        <w:ind w:left="4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1.磋商小组</w:t>
      </w:r>
    </w:p>
    <w:p w14:paraId="146500D6">
      <w:pPr>
        <w:pStyle w:val="2"/>
        <w:keepNext w:val="0"/>
        <w:keepLines w:val="0"/>
        <w:pageBreakBefore w:val="0"/>
        <w:widowControl/>
        <w:kinsoku w:val="0"/>
        <w:wordWrap/>
        <w:overflowPunct/>
        <w:topLinePunct w:val="0"/>
        <w:autoSpaceDE w:val="0"/>
        <w:autoSpaceDN w:val="0"/>
        <w:bidi w:val="0"/>
        <w:adjustRightInd w:val="0"/>
        <w:snapToGrid w:val="0"/>
        <w:spacing w:before="23"/>
        <w:ind w:left="5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1.1</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2"/>
          <w:sz w:val="24"/>
          <w:szCs w:val="24"/>
          <w:highlight w:val="none"/>
        </w:rPr>
        <w:t>评标由依法组建的磋商小组成员负责。</w:t>
      </w:r>
    </w:p>
    <w:p w14:paraId="3EA8D236">
      <w:pPr>
        <w:pStyle w:val="2"/>
        <w:keepNext w:val="0"/>
        <w:keepLines w:val="0"/>
        <w:pageBreakBefore w:val="0"/>
        <w:widowControl/>
        <w:kinsoku w:val="0"/>
        <w:wordWrap/>
        <w:overflowPunct/>
        <w:topLinePunct w:val="0"/>
        <w:autoSpaceDE w:val="0"/>
        <w:autoSpaceDN w:val="0"/>
        <w:bidi w:val="0"/>
        <w:adjustRightInd w:val="0"/>
        <w:snapToGrid w:val="0"/>
        <w:spacing w:line="220" w:lineRule="auto"/>
        <w:ind w:left="5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磋商小组构成：</w:t>
      </w:r>
      <w:r>
        <w:rPr>
          <w:rFonts w:hint="eastAsia" w:ascii="仿宋" w:hAnsi="仿宋" w:eastAsia="仿宋" w:cs="仿宋"/>
          <w:color w:val="auto"/>
          <w:spacing w:val="-2"/>
          <w:sz w:val="24"/>
          <w:szCs w:val="24"/>
          <w:highlight w:val="none"/>
          <w:lang w:val="en-US" w:eastAsia="zh-CN"/>
        </w:rPr>
        <w:t>采购人代表1人，评审专家4人，共5人组成。</w:t>
      </w:r>
    </w:p>
    <w:p w14:paraId="0E964A37">
      <w:pPr>
        <w:pStyle w:val="2"/>
        <w:keepNext w:val="0"/>
        <w:keepLines w:val="0"/>
        <w:pageBreakBefore w:val="0"/>
        <w:widowControl/>
        <w:kinsoku w:val="0"/>
        <w:wordWrap/>
        <w:overflowPunct/>
        <w:topLinePunct w:val="0"/>
        <w:autoSpaceDE w:val="0"/>
        <w:autoSpaceDN w:val="0"/>
        <w:bidi w:val="0"/>
        <w:adjustRightInd w:val="0"/>
        <w:snapToGrid w:val="0"/>
        <w:spacing w:before="25" w:line="219" w:lineRule="auto"/>
        <w:ind w:left="5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评标专家确定方式：政采云专家库随机抽取。</w:t>
      </w:r>
    </w:p>
    <w:p w14:paraId="75CCCD65">
      <w:pPr>
        <w:pStyle w:val="2"/>
        <w:keepNext w:val="0"/>
        <w:keepLines w:val="0"/>
        <w:pageBreakBefore w:val="0"/>
        <w:widowControl/>
        <w:kinsoku w:val="0"/>
        <w:wordWrap/>
        <w:overflowPunct/>
        <w:topLinePunct w:val="0"/>
        <w:autoSpaceDE w:val="0"/>
        <w:autoSpaceDN w:val="0"/>
        <w:bidi w:val="0"/>
        <w:adjustRightInd w:val="0"/>
        <w:snapToGrid w:val="0"/>
        <w:spacing w:before="25" w:line="220"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2.评标方法</w:t>
      </w:r>
    </w:p>
    <w:p w14:paraId="6AB0A1B2">
      <w:pPr>
        <w:pStyle w:val="2"/>
        <w:keepNext w:val="0"/>
        <w:keepLines w:val="0"/>
        <w:pageBreakBefore w:val="0"/>
        <w:widowControl/>
        <w:kinsoku w:val="0"/>
        <w:wordWrap/>
        <w:overflowPunct/>
        <w:topLinePunct w:val="0"/>
        <w:autoSpaceDE w:val="0"/>
        <w:autoSpaceDN w:val="0"/>
        <w:bidi w:val="0"/>
        <w:adjustRightInd w:val="0"/>
        <w:snapToGrid w:val="0"/>
        <w:spacing w:before="26" w:line="219" w:lineRule="auto"/>
        <w:ind w:left="50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rPr>
        <w:t>2.1</w:t>
      </w:r>
      <w:r>
        <w:rPr>
          <w:rFonts w:hint="eastAsia" w:ascii="仿宋" w:hAnsi="仿宋" w:eastAsia="仿宋" w:cs="仿宋"/>
          <w:color w:val="auto"/>
          <w:spacing w:val="-43"/>
          <w:sz w:val="24"/>
          <w:szCs w:val="24"/>
          <w:highlight w:val="none"/>
        </w:rPr>
        <w:t xml:space="preserve"> </w:t>
      </w:r>
      <w:r>
        <w:rPr>
          <w:rFonts w:hint="eastAsia" w:ascii="仿宋" w:hAnsi="仿宋" w:eastAsia="仿宋" w:cs="仿宋"/>
          <w:b/>
          <w:bCs/>
          <w:color w:val="auto"/>
          <w:spacing w:val="-3"/>
          <w:sz w:val="24"/>
          <w:szCs w:val="24"/>
          <w:highlight w:val="none"/>
        </w:rPr>
        <w:t>本项目评标方法为：竞争性磋商（综合评分法）。</w:t>
      </w:r>
    </w:p>
    <w:p w14:paraId="5D30FAA8">
      <w:pPr>
        <w:pStyle w:val="2"/>
        <w:keepNext w:val="0"/>
        <w:keepLines w:val="0"/>
        <w:pageBreakBefore w:val="0"/>
        <w:widowControl/>
        <w:kinsoku w:val="0"/>
        <w:wordWrap/>
        <w:overflowPunct/>
        <w:topLinePunct w:val="0"/>
        <w:autoSpaceDE w:val="0"/>
        <w:autoSpaceDN w:val="0"/>
        <w:bidi w:val="0"/>
        <w:adjustRightInd w:val="0"/>
        <w:snapToGrid w:val="0"/>
        <w:spacing w:before="30" w:line="234" w:lineRule="auto"/>
        <w:ind w:left="24" w:right="18" w:firstLine="48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2.1.1</w:t>
      </w:r>
      <w:r>
        <w:rPr>
          <w:rFonts w:hint="eastAsia" w:ascii="仿宋" w:hAnsi="仿宋" w:eastAsia="仿宋" w:cs="仿宋"/>
          <w:color w:val="auto"/>
          <w:spacing w:val="-48"/>
          <w:sz w:val="24"/>
          <w:szCs w:val="24"/>
          <w:highlight w:val="none"/>
        </w:rPr>
        <w:t xml:space="preserve"> </w:t>
      </w:r>
      <w:r>
        <w:rPr>
          <w:rFonts w:hint="eastAsia" w:ascii="仿宋" w:hAnsi="仿宋" w:eastAsia="仿宋" w:cs="仿宋"/>
          <w:color w:val="auto"/>
          <w:spacing w:val="-3"/>
          <w:sz w:val="24"/>
          <w:szCs w:val="24"/>
          <w:highlight w:val="none"/>
        </w:rPr>
        <w:t>综合评分法（</w:t>
      </w:r>
      <w:r>
        <w:rPr>
          <w:rFonts w:hint="eastAsia" w:ascii="仿宋" w:hAnsi="仿宋" w:eastAsia="仿宋" w:cs="仿宋"/>
          <w:color w:val="auto"/>
          <w:spacing w:val="-4"/>
          <w:sz w:val="24"/>
          <w:szCs w:val="24"/>
          <w:highlight w:val="none"/>
        </w:rPr>
        <w:t xml:space="preserve">磋商小组对所有满足实质性要求且提交最后报价的投标人的响应文件按评审因素评审得分，最终汇总得分由高到低排序推荐第一、第  </w:t>
      </w:r>
      <w:r>
        <w:rPr>
          <w:rFonts w:hint="eastAsia" w:ascii="仿宋" w:hAnsi="仿宋" w:eastAsia="仿宋" w:cs="仿宋"/>
          <w:color w:val="auto"/>
          <w:spacing w:val="-1"/>
          <w:sz w:val="24"/>
          <w:szCs w:val="24"/>
          <w:highlight w:val="none"/>
        </w:rPr>
        <w:t>二、第三中标候选人）。</w:t>
      </w:r>
    </w:p>
    <w:p w14:paraId="31D90301">
      <w:pPr>
        <w:pStyle w:val="2"/>
        <w:keepNext w:val="0"/>
        <w:keepLines w:val="0"/>
        <w:pageBreakBefore w:val="0"/>
        <w:widowControl/>
        <w:kinsoku w:val="0"/>
        <w:wordWrap/>
        <w:overflowPunct/>
        <w:topLinePunct w:val="0"/>
        <w:autoSpaceDE w:val="0"/>
        <w:autoSpaceDN w:val="0"/>
        <w:bidi w:val="0"/>
        <w:adjustRightInd w:val="0"/>
        <w:snapToGrid w:val="0"/>
        <w:spacing w:before="23" w:line="233" w:lineRule="auto"/>
        <w:ind w:left="22" w:right="200" w:firstLine="48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评标因素的设定包括投标报价、技术水平等有关内容。资格条件</w:t>
      </w:r>
      <w:r>
        <w:rPr>
          <w:rFonts w:hint="eastAsia" w:ascii="仿宋" w:hAnsi="仿宋" w:eastAsia="仿宋" w:cs="仿宋"/>
          <w:color w:val="auto"/>
          <w:spacing w:val="-4"/>
          <w:sz w:val="24"/>
          <w:szCs w:val="24"/>
          <w:highlight w:val="none"/>
        </w:rPr>
        <w:t>不得作为评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标因素。最低投标报价不是确定中标候选人的唯一标准，磋商小组根据投标人企</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1"/>
          <w:sz w:val="24"/>
          <w:szCs w:val="24"/>
          <w:highlight w:val="none"/>
        </w:rPr>
        <w:t>业实力、实施方案、投标报价等综合因素标准确定中标候选人。</w:t>
      </w:r>
    </w:p>
    <w:p w14:paraId="6E19085E">
      <w:pPr>
        <w:pStyle w:val="2"/>
        <w:keepNext w:val="0"/>
        <w:keepLines w:val="0"/>
        <w:pageBreakBefore w:val="0"/>
        <w:widowControl/>
        <w:kinsoku w:val="0"/>
        <w:wordWrap/>
        <w:overflowPunct/>
        <w:topLinePunct w:val="0"/>
        <w:autoSpaceDE w:val="0"/>
        <w:autoSpaceDN w:val="0"/>
        <w:bidi w:val="0"/>
        <w:adjustRightInd w:val="0"/>
        <w:snapToGrid w:val="0"/>
        <w:spacing w:before="28" w:line="229" w:lineRule="auto"/>
        <w:ind w:left="29" w:right="18" w:firstLine="47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2.1.2</w:t>
      </w:r>
      <w:r>
        <w:rPr>
          <w:rFonts w:hint="eastAsia" w:ascii="仿宋" w:hAnsi="仿宋" w:eastAsia="仿宋" w:cs="仿宋"/>
          <w:color w:val="auto"/>
          <w:spacing w:val="-52"/>
          <w:sz w:val="24"/>
          <w:szCs w:val="24"/>
          <w:highlight w:val="none"/>
        </w:rPr>
        <w:t xml:space="preserve"> </w:t>
      </w:r>
      <w:r>
        <w:rPr>
          <w:rFonts w:hint="eastAsia" w:ascii="仿宋" w:hAnsi="仿宋" w:eastAsia="仿宋" w:cs="仿宋"/>
          <w:color w:val="auto"/>
          <w:spacing w:val="-3"/>
          <w:sz w:val="24"/>
          <w:szCs w:val="24"/>
          <w:highlight w:val="none"/>
        </w:rPr>
        <w:t>评标时，磋商小组各成员应当独立对每个投标人的响应文</w:t>
      </w:r>
      <w:r>
        <w:rPr>
          <w:rFonts w:hint="eastAsia" w:ascii="仿宋" w:hAnsi="仿宋" w:eastAsia="仿宋" w:cs="仿宋"/>
          <w:color w:val="auto"/>
          <w:spacing w:val="-4"/>
          <w:sz w:val="24"/>
          <w:szCs w:val="24"/>
          <w:highlight w:val="none"/>
        </w:rPr>
        <w:t>件进行评价，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并汇总每个投标人的得分。</w:t>
      </w:r>
    </w:p>
    <w:p w14:paraId="3F43CABA">
      <w:pPr>
        <w:pStyle w:val="2"/>
        <w:keepNext w:val="0"/>
        <w:keepLines w:val="0"/>
        <w:pageBreakBefore w:val="0"/>
        <w:widowControl/>
        <w:kinsoku w:val="0"/>
        <w:wordWrap/>
        <w:overflowPunct/>
        <w:topLinePunct w:val="0"/>
        <w:autoSpaceDE w:val="0"/>
        <w:autoSpaceDN w:val="0"/>
        <w:bidi w:val="0"/>
        <w:adjustRightInd w:val="0"/>
        <w:snapToGrid w:val="0"/>
        <w:spacing w:before="26" w:line="218" w:lineRule="auto"/>
        <w:ind w:left="50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2.1.3</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1"/>
          <w:sz w:val="24"/>
          <w:szCs w:val="24"/>
          <w:highlight w:val="none"/>
        </w:rPr>
        <w:t>评标过程中，不得去掉报价中的最高报价和最低报价。</w:t>
      </w:r>
    </w:p>
    <w:p w14:paraId="6C6BFF80">
      <w:pPr>
        <w:pStyle w:val="2"/>
        <w:keepNext w:val="0"/>
        <w:keepLines w:val="0"/>
        <w:pageBreakBefore w:val="0"/>
        <w:widowControl/>
        <w:kinsoku w:val="0"/>
        <w:wordWrap/>
        <w:overflowPunct/>
        <w:topLinePunct w:val="0"/>
        <w:autoSpaceDE w:val="0"/>
        <w:autoSpaceDN w:val="0"/>
        <w:bidi w:val="0"/>
        <w:adjustRightInd w:val="0"/>
        <w:snapToGrid w:val="0"/>
        <w:spacing w:before="28" w:line="229" w:lineRule="auto"/>
        <w:ind w:left="29" w:right="200" w:firstLine="47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2.1.4</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2"/>
          <w:sz w:val="24"/>
          <w:szCs w:val="24"/>
          <w:highlight w:val="none"/>
        </w:rPr>
        <w:t>因落实政府采购政策进行价格或投标报价得分调整的，按</w:t>
      </w:r>
      <w:r>
        <w:rPr>
          <w:rFonts w:hint="eastAsia" w:ascii="仿宋" w:hAnsi="仿宋" w:eastAsia="仿宋" w:cs="仿宋"/>
          <w:color w:val="auto"/>
          <w:spacing w:val="-3"/>
          <w:sz w:val="24"/>
          <w:szCs w:val="24"/>
          <w:highlight w:val="none"/>
        </w:rPr>
        <w:t>法律法规规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定内容进行调整。</w:t>
      </w:r>
    </w:p>
    <w:p w14:paraId="02C0C7EE">
      <w:pPr>
        <w:pStyle w:val="2"/>
        <w:keepNext w:val="0"/>
        <w:keepLines w:val="0"/>
        <w:pageBreakBefore w:val="0"/>
        <w:widowControl/>
        <w:kinsoku w:val="0"/>
        <w:wordWrap/>
        <w:overflowPunct/>
        <w:topLinePunct w:val="0"/>
        <w:autoSpaceDE w:val="0"/>
        <w:autoSpaceDN w:val="0"/>
        <w:bidi w:val="0"/>
        <w:adjustRightInd w:val="0"/>
        <w:snapToGrid w:val="0"/>
        <w:spacing w:before="28" w:line="235" w:lineRule="auto"/>
        <w:ind w:left="22" w:right="200" w:firstLine="48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2.2</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2"/>
          <w:sz w:val="24"/>
          <w:szCs w:val="24"/>
          <w:highlight w:val="none"/>
        </w:rPr>
        <w:t>评标结果按评标后得分由高到低顺序排列，得分相同的，按投标报价由</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低到高顺序排列。得分且投标报价相同的并列。响应文件满足磋商文件全部实质</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3"/>
          <w:sz w:val="24"/>
          <w:szCs w:val="24"/>
          <w:highlight w:val="none"/>
        </w:rPr>
        <w:t>性要求，且按照评标因素的量化指标评标得分最高的投标人为排名第一的中标候</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3"/>
          <w:sz w:val="24"/>
          <w:szCs w:val="24"/>
          <w:highlight w:val="none"/>
        </w:rPr>
        <w:t>选人。</w:t>
      </w:r>
    </w:p>
    <w:p w14:paraId="31A933A2">
      <w:pPr>
        <w:pStyle w:val="2"/>
        <w:keepNext w:val="0"/>
        <w:keepLines w:val="0"/>
        <w:pageBreakBefore w:val="0"/>
        <w:widowControl/>
        <w:kinsoku w:val="0"/>
        <w:wordWrap/>
        <w:overflowPunct/>
        <w:topLinePunct w:val="0"/>
        <w:autoSpaceDE w:val="0"/>
        <w:autoSpaceDN w:val="0"/>
        <w:bidi w:val="0"/>
        <w:adjustRightInd w:val="0"/>
        <w:snapToGrid w:val="0"/>
        <w:spacing w:before="23" w:line="219" w:lineRule="auto"/>
        <w:ind w:left="2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3.评标原则和评标纪律</w:t>
      </w:r>
    </w:p>
    <w:p w14:paraId="048ED8F8">
      <w:pPr>
        <w:pStyle w:val="2"/>
        <w:keepNext w:val="0"/>
        <w:keepLines w:val="0"/>
        <w:pageBreakBefore w:val="0"/>
        <w:widowControl/>
        <w:kinsoku w:val="0"/>
        <w:wordWrap/>
        <w:overflowPunct/>
        <w:topLinePunct w:val="0"/>
        <w:autoSpaceDE w:val="0"/>
        <w:autoSpaceDN w:val="0"/>
        <w:bidi w:val="0"/>
        <w:adjustRightInd w:val="0"/>
        <w:snapToGrid w:val="0"/>
        <w:spacing w:before="27" w:line="235" w:lineRule="auto"/>
        <w:ind w:left="21" w:right="200" w:firstLine="486"/>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3.1</w:t>
      </w:r>
      <w:r>
        <w:rPr>
          <w:rFonts w:hint="eastAsia" w:ascii="仿宋" w:hAnsi="仿宋" w:eastAsia="仿宋" w:cs="仿宋"/>
          <w:color w:val="auto"/>
          <w:spacing w:val="-41"/>
          <w:sz w:val="24"/>
          <w:szCs w:val="24"/>
          <w:highlight w:val="none"/>
        </w:rPr>
        <w:t xml:space="preserve"> </w:t>
      </w:r>
      <w:r>
        <w:rPr>
          <w:rFonts w:hint="eastAsia" w:ascii="仿宋" w:hAnsi="仿宋" w:eastAsia="仿宋" w:cs="仿宋"/>
          <w:color w:val="auto"/>
          <w:spacing w:val="-2"/>
          <w:sz w:val="24"/>
          <w:szCs w:val="24"/>
          <w:highlight w:val="none"/>
        </w:rPr>
        <w:t>磋商小组成员应当按照客观、公正、公平的原则，根据磋商文件规定的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评标程序、评标方法和评标标准进行独立评标。磋商小组成员发现磋商文件存在</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3"/>
          <w:sz w:val="24"/>
          <w:szCs w:val="24"/>
          <w:highlight w:val="none"/>
        </w:rPr>
        <w:t>歧义、重大缺陷导致评标工作无法进行，或者磋商文件内容违反国家有关强制性</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3"/>
          <w:sz w:val="24"/>
          <w:szCs w:val="24"/>
          <w:highlight w:val="none"/>
        </w:rPr>
        <w:t>规定的，应当停止评标工作，与采购人或者采购代理机构沟通并作书面记录。采</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z w:val="24"/>
          <w:szCs w:val="24"/>
          <w:highlight w:val="none"/>
        </w:rPr>
        <w:t>购人或者采购代理机构确认后，应当修改磋商文件，</w:t>
      </w:r>
      <w:r>
        <w:rPr>
          <w:rFonts w:hint="eastAsia" w:ascii="仿宋" w:hAnsi="仿宋" w:eastAsia="仿宋" w:cs="仿宋"/>
          <w:color w:val="auto"/>
          <w:spacing w:val="-1"/>
          <w:sz w:val="24"/>
          <w:szCs w:val="24"/>
          <w:highlight w:val="none"/>
        </w:rPr>
        <w:t>重新组织采购活动。</w:t>
      </w:r>
    </w:p>
    <w:p w14:paraId="06947959">
      <w:pPr>
        <w:pStyle w:val="2"/>
        <w:keepNext w:val="0"/>
        <w:keepLines w:val="0"/>
        <w:pageBreakBefore w:val="0"/>
        <w:widowControl/>
        <w:kinsoku w:val="0"/>
        <w:wordWrap/>
        <w:overflowPunct/>
        <w:topLinePunct w:val="0"/>
        <w:autoSpaceDE w:val="0"/>
        <w:autoSpaceDN w:val="0"/>
        <w:bidi w:val="0"/>
        <w:adjustRightInd w:val="0"/>
        <w:snapToGrid w:val="0"/>
        <w:spacing w:before="28" w:line="234" w:lineRule="auto"/>
        <w:ind w:left="22" w:right="200" w:firstLine="485"/>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3.2</w:t>
      </w:r>
      <w:r>
        <w:rPr>
          <w:rFonts w:hint="eastAsia" w:ascii="仿宋" w:hAnsi="仿宋" w:eastAsia="仿宋" w:cs="仿宋"/>
          <w:color w:val="auto"/>
          <w:spacing w:val="-41"/>
          <w:sz w:val="24"/>
          <w:szCs w:val="24"/>
          <w:highlight w:val="none"/>
        </w:rPr>
        <w:t xml:space="preserve"> </w:t>
      </w:r>
      <w:r>
        <w:rPr>
          <w:rFonts w:hint="eastAsia" w:ascii="仿宋" w:hAnsi="仿宋" w:eastAsia="仿宋" w:cs="仿宋"/>
          <w:color w:val="auto"/>
          <w:spacing w:val="-2"/>
          <w:sz w:val="24"/>
          <w:szCs w:val="24"/>
          <w:highlight w:val="none"/>
        </w:rPr>
        <w:t>评标委员会成员应当在评标报告上签字，对自己的评标意见承担法律责</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任。评标委员会成员对需要共同认定的事项存在争议的，应当按照少数服从多数</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3"/>
          <w:sz w:val="24"/>
          <w:szCs w:val="24"/>
          <w:highlight w:val="none"/>
        </w:rPr>
        <w:t>的原则作出结论。持不同意见的评标委员会成员应当在评标报告上签署不同意见</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1"/>
          <w:sz w:val="24"/>
          <w:szCs w:val="24"/>
          <w:highlight w:val="none"/>
        </w:rPr>
        <w:t>及理由，否则视为同意评标报告。</w:t>
      </w:r>
    </w:p>
    <w:p w14:paraId="3AF7CB78">
      <w:pPr>
        <w:pStyle w:val="2"/>
        <w:keepNext w:val="0"/>
        <w:keepLines w:val="0"/>
        <w:pageBreakBefore w:val="0"/>
        <w:widowControl/>
        <w:kinsoku w:val="0"/>
        <w:wordWrap/>
        <w:overflowPunct/>
        <w:topLinePunct w:val="0"/>
        <w:autoSpaceDE w:val="0"/>
        <w:autoSpaceDN w:val="0"/>
        <w:bidi w:val="0"/>
        <w:adjustRightInd w:val="0"/>
        <w:snapToGrid w:val="0"/>
        <w:spacing w:before="29" w:line="219" w:lineRule="auto"/>
        <w:ind w:left="5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3.3</w:t>
      </w:r>
      <w:r>
        <w:rPr>
          <w:rFonts w:hint="eastAsia" w:ascii="仿宋" w:hAnsi="仿宋" w:eastAsia="仿宋" w:cs="仿宋"/>
          <w:color w:val="auto"/>
          <w:spacing w:val="-48"/>
          <w:sz w:val="24"/>
          <w:szCs w:val="24"/>
          <w:highlight w:val="none"/>
        </w:rPr>
        <w:t xml:space="preserve"> </w:t>
      </w:r>
      <w:r>
        <w:rPr>
          <w:rFonts w:hint="eastAsia" w:ascii="仿宋" w:hAnsi="仿宋" w:eastAsia="仿宋" w:cs="仿宋"/>
          <w:color w:val="auto"/>
          <w:spacing w:val="-4"/>
          <w:sz w:val="24"/>
          <w:szCs w:val="24"/>
          <w:highlight w:val="none"/>
        </w:rPr>
        <w:t>评标纪律</w:t>
      </w:r>
    </w:p>
    <w:p w14:paraId="0EABB4DD">
      <w:pPr>
        <w:pStyle w:val="2"/>
        <w:keepNext w:val="0"/>
        <w:keepLines w:val="0"/>
        <w:pageBreakBefore w:val="0"/>
        <w:widowControl/>
        <w:kinsoku w:val="0"/>
        <w:wordWrap/>
        <w:overflowPunct/>
        <w:topLinePunct w:val="0"/>
        <w:autoSpaceDE w:val="0"/>
        <w:autoSpaceDN w:val="0"/>
        <w:bidi w:val="0"/>
        <w:adjustRightInd w:val="0"/>
        <w:snapToGrid w:val="0"/>
        <w:spacing w:before="26" w:line="236" w:lineRule="auto"/>
        <w:ind w:left="22" w:firstLine="48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3.3.1</w:t>
      </w:r>
      <w:r>
        <w:rPr>
          <w:rFonts w:hint="eastAsia" w:ascii="仿宋" w:hAnsi="仿宋" w:eastAsia="仿宋" w:cs="仿宋"/>
          <w:color w:val="auto"/>
          <w:spacing w:val="-41"/>
          <w:sz w:val="24"/>
          <w:szCs w:val="24"/>
          <w:highlight w:val="none"/>
        </w:rPr>
        <w:t xml:space="preserve"> </w:t>
      </w:r>
      <w:r>
        <w:rPr>
          <w:rFonts w:hint="eastAsia" w:ascii="仿宋" w:hAnsi="仿宋" w:eastAsia="仿宋" w:cs="仿宋"/>
          <w:color w:val="auto"/>
          <w:spacing w:val="-3"/>
          <w:sz w:val="24"/>
          <w:szCs w:val="24"/>
          <w:highlight w:val="none"/>
        </w:rPr>
        <w:t>采购人委派代表参加评标委员会的，应当向采购代理机构出具授权函。</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除授权代表外，采购人可以委派纪检监察等相关人员进入</w:t>
      </w:r>
      <w:r>
        <w:rPr>
          <w:rFonts w:hint="eastAsia" w:ascii="仿宋" w:hAnsi="仿宋" w:eastAsia="仿宋" w:cs="仿宋"/>
          <w:color w:val="auto"/>
          <w:spacing w:val="-4"/>
          <w:sz w:val="24"/>
          <w:szCs w:val="24"/>
          <w:highlight w:val="none"/>
        </w:rPr>
        <w:t>评标现场，对评标</w:t>
      </w:r>
      <w:r>
        <w:rPr>
          <w:rFonts w:hint="eastAsia" w:ascii="仿宋" w:hAnsi="仿宋" w:eastAsia="仿宋" w:cs="仿宋"/>
          <w:color w:val="auto"/>
          <w:spacing w:val="-4"/>
          <w:sz w:val="24"/>
          <w:szCs w:val="24"/>
          <w:highlight w:val="none"/>
          <w:lang w:eastAsia="zh-CN"/>
        </w:rPr>
        <w:t>工作</w:t>
      </w:r>
      <w:r>
        <w:rPr>
          <w:rFonts w:hint="eastAsia" w:ascii="仿宋" w:hAnsi="仿宋" w:eastAsia="仿宋" w:cs="仿宋"/>
          <w:color w:val="auto"/>
          <w:spacing w:val="4"/>
          <w:sz w:val="24"/>
          <w:szCs w:val="24"/>
          <w:highlight w:val="none"/>
        </w:rPr>
        <w:t>实施监督，但不得超过2人。采购人需要在评标前介绍项目背景和技术需求的，</w:t>
      </w:r>
      <w:r>
        <w:rPr>
          <w:rFonts w:hint="eastAsia" w:ascii="仿宋" w:hAnsi="仿宋" w:eastAsia="仿宋" w:cs="仿宋"/>
          <w:color w:val="auto"/>
          <w:spacing w:val="-3"/>
          <w:sz w:val="24"/>
          <w:szCs w:val="24"/>
          <w:highlight w:val="none"/>
        </w:rPr>
        <w:t>应当事先提交书面介绍材料，介绍内容不得存在歧视性、</w:t>
      </w:r>
      <w:r>
        <w:rPr>
          <w:rFonts w:hint="eastAsia" w:ascii="仿宋" w:hAnsi="仿宋" w:eastAsia="仿宋" w:cs="仿宋"/>
          <w:color w:val="auto"/>
          <w:spacing w:val="-4"/>
          <w:sz w:val="24"/>
          <w:szCs w:val="24"/>
          <w:highlight w:val="none"/>
        </w:rPr>
        <w:t>倾向性意见，不得超出</w:t>
      </w:r>
      <w:r>
        <w:rPr>
          <w:rFonts w:hint="eastAsia" w:ascii="仿宋" w:hAnsi="仿宋" w:eastAsia="仿宋" w:cs="仿宋"/>
          <w:color w:val="auto"/>
          <w:spacing w:val="-3"/>
          <w:sz w:val="24"/>
          <w:szCs w:val="24"/>
          <w:highlight w:val="none"/>
        </w:rPr>
        <w:t>采购文件所述范围，书面介绍材料作为采购项</w:t>
      </w:r>
      <w:r>
        <w:rPr>
          <w:rFonts w:hint="eastAsia" w:ascii="仿宋" w:hAnsi="仿宋" w:eastAsia="仿宋" w:cs="仿宋"/>
          <w:color w:val="auto"/>
          <w:spacing w:val="-4"/>
          <w:sz w:val="24"/>
          <w:szCs w:val="24"/>
          <w:highlight w:val="none"/>
        </w:rPr>
        <w:t>目文件随其他文件一并存档。</w:t>
      </w:r>
      <w:r>
        <w:rPr>
          <w:rFonts w:hint="eastAsia" w:ascii="仿宋" w:hAnsi="仿宋" w:eastAsia="仿宋" w:cs="仿宋"/>
          <w:b/>
          <w:bCs/>
          <w:color w:val="auto"/>
          <w:spacing w:val="-4"/>
          <w:sz w:val="24"/>
          <w:szCs w:val="24"/>
          <w:highlight w:val="none"/>
        </w:rPr>
        <w:t>评标</w:t>
      </w:r>
      <w:r>
        <w:rPr>
          <w:rFonts w:hint="eastAsia" w:ascii="仿宋" w:hAnsi="仿宋" w:eastAsia="仿宋" w:cs="仿宋"/>
          <w:b/>
          <w:bCs/>
          <w:color w:val="auto"/>
          <w:spacing w:val="-2"/>
          <w:sz w:val="24"/>
          <w:szCs w:val="24"/>
          <w:highlight w:val="none"/>
        </w:rPr>
        <w:t>委员会应当推选组长，但采购人代表不得担任组长</w:t>
      </w:r>
      <w:r>
        <w:rPr>
          <w:rFonts w:hint="eastAsia" w:ascii="仿宋" w:hAnsi="仿宋" w:eastAsia="仿宋" w:cs="仿宋"/>
          <w:color w:val="auto"/>
          <w:spacing w:val="-2"/>
          <w:sz w:val="24"/>
          <w:szCs w:val="24"/>
          <w:highlight w:val="none"/>
        </w:rPr>
        <w:t>。</w:t>
      </w:r>
    </w:p>
    <w:p w14:paraId="33B93105">
      <w:pPr>
        <w:keepNext w:val="0"/>
        <w:keepLines w:val="0"/>
        <w:pageBreakBefore w:val="0"/>
        <w:widowControl/>
        <w:kinsoku w:val="0"/>
        <w:wordWrap/>
        <w:overflowPunct/>
        <w:topLinePunct w:val="0"/>
        <w:autoSpaceDE w:val="0"/>
        <w:autoSpaceDN w:val="0"/>
        <w:bidi w:val="0"/>
        <w:adjustRightInd w:val="0"/>
        <w:snapToGrid w:val="0"/>
        <w:spacing w:line="236" w:lineRule="auto"/>
        <w:textAlignment w:val="baseline"/>
        <w:outlineLvl w:val="9"/>
        <w:rPr>
          <w:rFonts w:hint="eastAsia" w:ascii="仿宋" w:hAnsi="仿宋" w:eastAsia="仿宋" w:cs="仿宋"/>
          <w:color w:val="auto"/>
          <w:sz w:val="24"/>
          <w:szCs w:val="24"/>
          <w:highlight w:val="none"/>
        </w:rPr>
        <w:sectPr>
          <w:headerReference r:id="rId23" w:type="default"/>
          <w:footerReference r:id="rId24" w:type="default"/>
          <w:pgSz w:w="11906" w:h="16839"/>
          <w:pgMar w:top="1424" w:right="1599" w:bottom="1171" w:left="1785" w:header="0" w:footer="992" w:gutter="0"/>
          <w:pgNumType w:fmt="decimal"/>
          <w:cols w:space="720" w:num="1"/>
        </w:sectPr>
      </w:pPr>
    </w:p>
    <w:p w14:paraId="1158D49D">
      <w:pPr>
        <w:pStyle w:val="2"/>
        <w:keepNext w:val="0"/>
        <w:keepLines w:val="0"/>
        <w:pageBreakBefore w:val="0"/>
        <w:widowControl/>
        <w:kinsoku w:val="0"/>
        <w:wordWrap/>
        <w:overflowPunct/>
        <w:topLinePunct w:val="0"/>
        <w:autoSpaceDE w:val="0"/>
        <w:autoSpaceDN w:val="0"/>
        <w:bidi w:val="0"/>
        <w:adjustRightInd w:val="0"/>
        <w:snapToGrid w:val="0"/>
        <w:spacing w:before="48" w:line="234" w:lineRule="auto"/>
        <w:ind w:left="22" w:right="53" w:firstLine="48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3.3.2</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2"/>
          <w:sz w:val="24"/>
          <w:szCs w:val="24"/>
          <w:highlight w:val="none"/>
        </w:rPr>
        <w:t>评标委员会成员要严格遵守评标时间，主动出具身份证明，遵守评标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工作纪律和评标回避的相关规定。在评标工作开始前，将手机等通讯工具或相关</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3"/>
          <w:sz w:val="24"/>
          <w:szCs w:val="24"/>
          <w:highlight w:val="none"/>
        </w:rPr>
        <w:t>电子设备交由采购人或采购代理机构统一保管，拒不上交的，采购人或采购代理</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1"/>
          <w:sz w:val="24"/>
          <w:szCs w:val="24"/>
          <w:highlight w:val="none"/>
        </w:rPr>
        <w:t>机构可以拒绝其参加评标工作并向财政部门报告。</w:t>
      </w:r>
    </w:p>
    <w:p w14:paraId="031B88F9">
      <w:pPr>
        <w:pStyle w:val="2"/>
        <w:keepNext w:val="0"/>
        <w:keepLines w:val="0"/>
        <w:pageBreakBefore w:val="0"/>
        <w:widowControl/>
        <w:kinsoku w:val="0"/>
        <w:wordWrap/>
        <w:overflowPunct/>
        <w:topLinePunct w:val="0"/>
        <w:autoSpaceDE w:val="0"/>
        <w:autoSpaceDN w:val="0"/>
        <w:bidi w:val="0"/>
        <w:adjustRightInd w:val="0"/>
        <w:snapToGrid w:val="0"/>
        <w:spacing w:before="30" w:line="237" w:lineRule="auto"/>
        <w:ind w:left="22" w:right="53" w:firstLine="48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3.3.3</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5"/>
          <w:sz w:val="24"/>
          <w:szCs w:val="24"/>
          <w:highlight w:val="none"/>
        </w:rPr>
        <w:t>评标委员会成员和评标工作有关人员不得干预或者影响正常评标工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作，不得明示或者暗示其倾向性、引导性意见，不得修改或细化采购文件确定的</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3"/>
          <w:sz w:val="24"/>
          <w:szCs w:val="24"/>
          <w:highlight w:val="none"/>
        </w:rPr>
        <w:t>评标程序、评标方法、评标因素和评标标准，不得接受投标人主动提出的澄清和</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3"/>
          <w:sz w:val="24"/>
          <w:szCs w:val="24"/>
          <w:highlight w:val="none"/>
        </w:rPr>
        <w:t>解释，不得征询采购人代表的倾向性意见，不得协商评分，不得记录、复制或带</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3"/>
          <w:sz w:val="24"/>
          <w:szCs w:val="24"/>
          <w:highlight w:val="none"/>
        </w:rPr>
        <w:t>走任何评标资料。评标结果汇总完成后，采购人、采购代理机构和评标委员会均</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3"/>
          <w:sz w:val="24"/>
          <w:szCs w:val="24"/>
          <w:highlight w:val="none"/>
        </w:rPr>
        <w:t>不得修改评标结果或者要求重新评标，但资格性检查认定错误、分值汇总计算错</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3"/>
          <w:sz w:val="24"/>
          <w:szCs w:val="24"/>
          <w:highlight w:val="none"/>
        </w:rPr>
        <w:t>误、分项评分超出评分标准范围、客观分评分不一致、经评标委员会一致认定评</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3"/>
          <w:sz w:val="24"/>
          <w:szCs w:val="24"/>
          <w:highlight w:val="none"/>
        </w:rPr>
        <w:t>分畸高、畸低的情形除外。出现上述除外情形的，评标委员会应当现场修改评标</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1"/>
          <w:sz w:val="24"/>
          <w:szCs w:val="24"/>
          <w:highlight w:val="none"/>
        </w:rPr>
        <w:t>结果，并在评标报告中明确记载。</w:t>
      </w:r>
    </w:p>
    <w:p w14:paraId="5BBB3B94">
      <w:pPr>
        <w:pStyle w:val="2"/>
        <w:keepNext w:val="0"/>
        <w:keepLines w:val="0"/>
        <w:pageBreakBefore w:val="0"/>
        <w:widowControl/>
        <w:kinsoku w:val="0"/>
        <w:wordWrap/>
        <w:overflowPunct/>
        <w:topLinePunct w:val="0"/>
        <w:autoSpaceDE w:val="0"/>
        <w:autoSpaceDN w:val="0"/>
        <w:bidi w:val="0"/>
        <w:adjustRightInd w:val="0"/>
        <w:snapToGrid w:val="0"/>
        <w:spacing w:before="28" w:line="232" w:lineRule="auto"/>
        <w:ind w:left="22" w:right="53" w:firstLine="48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3.3.4</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2"/>
          <w:sz w:val="24"/>
          <w:szCs w:val="24"/>
          <w:highlight w:val="none"/>
        </w:rPr>
        <w:t>评标委员会成员不得私自泄露评标内容。评标过程应严格遵守保密制</w:t>
      </w:r>
      <w:r>
        <w:rPr>
          <w:rFonts w:hint="eastAsia" w:ascii="仿宋" w:hAnsi="仿宋" w:eastAsia="仿宋" w:cs="仿宋"/>
          <w:color w:val="auto"/>
          <w:sz w:val="24"/>
          <w:szCs w:val="24"/>
          <w:highlight w:val="none"/>
        </w:rPr>
        <w:t xml:space="preserve"> 度。开标后,直到授予中标人合同止，凡是属于审查、澄清、评价和比较的有关</w:t>
      </w:r>
      <w:r>
        <w:rPr>
          <w:rFonts w:hint="eastAsia" w:ascii="仿宋" w:hAnsi="仿宋" w:eastAsia="仿宋" w:cs="仿宋"/>
          <w:color w:val="auto"/>
          <w:spacing w:val="-1"/>
          <w:sz w:val="24"/>
          <w:szCs w:val="24"/>
          <w:highlight w:val="none"/>
        </w:rPr>
        <w:t>资料以及授标建议等均不得向投标人或其他无关的人员透露。</w:t>
      </w:r>
    </w:p>
    <w:p w14:paraId="4ADEF057">
      <w:pPr>
        <w:pStyle w:val="2"/>
        <w:keepNext w:val="0"/>
        <w:keepLines w:val="0"/>
        <w:pageBreakBefore w:val="0"/>
        <w:widowControl/>
        <w:kinsoku w:val="0"/>
        <w:wordWrap/>
        <w:overflowPunct/>
        <w:topLinePunct w:val="0"/>
        <w:autoSpaceDE w:val="0"/>
        <w:autoSpaceDN w:val="0"/>
        <w:bidi w:val="0"/>
        <w:adjustRightInd w:val="0"/>
        <w:snapToGrid w:val="0"/>
        <w:spacing w:before="26" w:line="233" w:lineRule="auto"/>
        <w:ind w:left="27" w:right="53" w:firstLine="48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3.3.5</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2"/>
          <w:sz w:val="24"/>
          <w:szCs w:val="24"/>
          <w:highlight w:val="none"/>
        </w:rPr>
        <w:t>采购人、采购代理机构要加强评标现场管理，与评标工作无关的人员</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不得进入评标现场。各级财政部门对评标活动相关各方违反评标工作纪律</w:t>
      </w:r>
      <w:r>
        <w:rPr>
          <w:rFonts w:hint="eastAsia" w:ascii="仿宋" w:hAnsi="仿宋" w:eastAsia="仿宋" w:cs="仿宋"/>
          <w:color w:val="auto"/>
          <w:spacing w:val="-4"/>
          <w:sz w:val="24"/>
          <w:szCs w:val="24"/>
          <w:highlight w:val="none"/>
        </w:rPr>
        <w:t>及要求</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的行为，将依法严肃处理。</w:t>
      </w:r>
    </w:p>
    <w:p w14:paraId="374866F5">
      <w:pPr>
        <w:pStyle w:val="2"/>
        <w:keepNext w:val="0"/>
        <w:keepLines w:val="0"/>
        <w:pageBreakBefore w:val="0"/>
        <w:widowControl/>
        <w:kinsoku w:val="0"/>
        <w:wordWrap/>
        <w:overflowPunct/>
        <w:topLinePunct w:val="0"/>
        <w:autoSpaceDE w:val="0"/>
        <w:autoSpaceDN w:val="0"/>
        <w:bidi w:val="0"/>
        <w:adjustRightInd w:val="0"/>
        <w:snapToGrid w:val="0"/>
        <w:spacing w:before="24" w:line="219" w:lineRule="auto"/>
        <w:ind w:left="5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3.4</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2"/>
          <w:sz w:val="24"/>
          <w:szCs w:val="24"/>
          <w:highlight w:val="none"/>
        </w:rPr>
        <w:t>评标委员会成员应当履行的义务</w:t>
      </w:r>
    </w:p>
    <w:p w14:paraId="34F45960">
      <w:pPr>
        <w:pStyle w:val="2"/>
        <w:keepNext w:val="0"/>
        <w:keepLines w:val="0"/>
        <w:pageBreakBefore w:val="0"/>
        <w:widowControl/>
        <w:kinsoku w:val="0"/>
        <w:wordWrap/>
        <w:overflowPunct/>
        <w:topLinePunct w:val="0"/>
        <w:autoSpaceDE w:val="0"/>
        <w:autoSpaceDN w:val="0"/>
        <w:bidi w:val="0"/>
        <w:adjustRightInd w:val="0"/>
        <w:snapToGrid w:val="0"/>
        <w:spacing w:before="26" w:line="230" w:lineRule="auto"/>
        <w:ind w:left="24" w:right="54" w:firstLine="48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3.4.1</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5"/>
          <w:sz w:val="24"/>
          <w:szCs w:val="24"/>
          <w:highlight w:val="none"/>
        </w:rPr>
        <w:t>评标委员会成员应根据政府采购法律法规和采购文件所载明的评标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方法、标准进行评标，遵纪守法，客观、公正、廉洁地履行职责。</w:t>
      </w:r>
    </w:p>
    <w:p w14:paraId="7CB9671A">
      <w:pPr>
        <w:pStyle w:val="2"/>
        <w:keepNext w:val="0"/>
        <w:keepLines w:val="0"/>
        <w:pageBreakBefore w:val="0"/>
        <w:widowControl/>
        <w:kinsoku w:val="0"/>
        <w:wordWrap/>
        <w:overflowPunct/>
        <w:topLinePunct w:val="0"/>
        <w:autoSpaceDE w:val="0"/>
        <w:autoSpaceDN w:val="0"/>
        <w:bidi w:val="0"/>
        <w:adjustRightInd w:val="0"/>
        <w:snapToGrid w:val="0"/>
        <w:spacing w:before="23" w:line="233" w:lineRule="auto"/>
        <w:ind w:left="24" w:right="53" w:firstLine="48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3.4.2</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2"/>
          <w:sz w:val="24"/>
          <w:szCs w:val="24"/>
          <w:highlight w:val="none"/>
        </w:rPr>
        <w:t>评标委员会成员应熟悉和理解采购文件，认真阅读所有投标人的响应</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文件，对所有响应文件逐一进行资格性、符合性检查，按采购文件规定的评标方</w:t>
      </w:r>
      <w:r>
        <w:rPr>
          <w:rFonts w:hint="eastAsia" w:ascii="仿宋" w:hAnsi="仿宋" w:eastAsia="仿宋" w:cs="仿宋"/>
          <w:color w:val="auto"/>
          <w:spacing w:val="-1"/>
          <w:sz w:val="24"/>
          <w:szCs w:val="24"/>
          <w:highlight w:val="none"/>
        </w:rPr>
        <w:t>法和标准，进行比较和评价；</w:t>
      </w:r>
    </w:p>
    <w:p w14:paraId="7974825A">
      <w:pPr>
        <w:pStyle w:val="2"/>
        <w:keepNext w:val="0"/>
        <w:keepLines w:val="0"/>
        <w:pageBreakBefore w:val="0"/>
        <w:widowControl/>
        <w:kinsoku w:val="0"/>
        <w:wordWrap/>
        <w:overflowPunct/>
        <w:topLinePunct w:val="0"/>
        <w:autoSpaceDE w:val="0"/>
        <w:autoSpaceDN w:val="0"/>
        <w:bidi w:val="0"/>
        <w:adjustRightInd w:val="0"/>
        <w:snapToGrid w:val="0"/>
        <w:spacing w:before="26" w:line="230" w:lineRule="auto"/>
        <w:ind w:left="22" w:right="53" w:firstLine="48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3.4.3</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2"/>
          <w:sz w:val="24"/>
          <w:szCs w:val="24"/>
          <w:highlight w:val="none"/>
        </w:rPr>
        <w:t>对投标人的价格分等客观评分项的评分应当一致，对其他需要借助专</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业知识评判的主观评分项，应当严格按照评分细则公正评分。</w:t>
      </w:r>
    </w:p>
    <w:p w14:paraId="092F1D3A">
      <w:pPr>
        <w:pStyle w:val="2"/>
        <w:keepNext w:val="0"/>
        <w:keepLines w:val="0"/>
        <w:pageBreakBefore w:val="0"/>
        <w:widowControl/>
        <w:kinsoku w:val="0"/>
        <w:wordWrap/>
        <w:overflowPunct/>
        <w:topLinePunct w:val="0"/>
        <w:autoSpaceDE w:val="0"/>
        <w:autoSpaceDN w:val="0"/>
        <w:bidi w:val="0"/>
        <w:adjustRightInd w:val="0"/>
        <w:snapToGrid w:val="0"/>
        <w:spacing w:before="27" w:line="237" w:lineRule="auto"/>
        <w:ind w:left="22" w:firstLine="48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在磋商过程中，磋商小组可以根据磋商文件和磋商情况实质性变动</w:t>
      </w:r>
      <w:r>
        <w:rPr>
          <w:rFonts w:hint="eastAsia" w:ascii="仿宋" w:hAnsi="仿宋" w:eastAsia="仿宋" w:cs="仿宋"/>
          <w:color w:val="auto"/>
          <w:spacing w:val="-4"/>
          <w:sz w:val="24"/>
          <w:szCs w:val="24"/>
          <w:highlight w:val="none"/>
        </w:rPr>
        <w:t>采购需求</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中的技术、服务要求以及合同草案条款，但不得变动磋商文件中的其他内容。实质性变动的内容，须经采购人代表确认。对磋商文件作出的实质性变动是磋商文</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3"/>
          <w:sz w:val="24"/>
          <w:szCs w:val="24"/>
          <w:highlight w:val="none"/>
        </w:rPr>
        <w:t>件的有效组成部分，磋商小组应当及时以书面形式同时通知所有参加磋商的供应</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1"/>
          <w:sz w:val="24"/>
          <w:szCs w:val="24"/>
          <w:highlight w:val="none"/>
        </w:rPr>
        <w:t>商。供应商应当按照磋商文件的变动情况和磋</w:t>
      </w:r>
      <w:r>
        <w:rPr>
          <w:rFonts w:hint="eastAsia" w:ascii="仿宋" w:hAnsi="仿宋" w:eastAsia="仿宋" w:cs="仿宋"/>
          <w:color w:val="auto"/>
          <w:spacing w:val="-2"/>
          <w:sz w:val="24"/>
          <w:szCs w:val="24"/>
          <w:highlight w:val="none"/>
        </w:rPr>
        <w:t>商小组的要求重新提交响应文件，</w:t>
      </w:r>
      <w:r>
        <w:rPr>
          <w:rFonts w:hint="eastAsia" w:ascii="仿宋" w:hAnsi="仿宋" w:eastAsia="仿宋" w:cs="仿宋"/>
          <w:color w:val="auto"/>
          <w:spacing w:val="-3"/>
          <w:sz w:val="24"/>
          <w:szCs w:val="24"/>
          <w:highlight w:val="none"/>
        </w:rPr>
        <w:t>并由其法定代表人或授权代表签字或者加盖公章。由授权代表签字的，应当附法定代表人授权书。供应商为自然人的，应当由本人签字并附身份证明。已提交响</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1"/>
          <w:sz w:val="24"/>
          <w:szCs w:val="24"/>
          <w:highlight w:val="none"/>
        </w:rPr>
        <w:t>应文件的供应商，在提交最后报价之前，可以</w:t>
      </w:r>
      <w:r>
        <w:rPr>
          <w:rFonts w:hint="eastAsia" w:ascii="仿宋" w:hAnsi="仿宋" w:eastAsia="仿宋" w:cs="仿宋"/>
          <w:color w:val="auto"/>
          <w:spacing w:val="-2"/>
          <w:sz w:val="24"/>
          <w:szCs w:val="24"/>
          <w:highlight w:val="none"/>
        </w:rPr>
        <w:t>根据磋商情况退出磋商。采购人、</w:t>
      </w:r>
      <w:r>
        <w:rPr>
          <w:rFonts w:hint="eastAsia" w:ascii="仿宋" w:hAnsi="仿宋" w:eastAsia="仿宋" w:cs="仿宋"/>
          <w:color w:val="auto"/>
          <w:spacing w:val="-1"/>
          <w:sz w:val="24"/>
          <w:szCs w:val="24"/>
          <w:highlight w:val="none"/>
        </w:rPr>
        <w:t>采购代理机构应当退还退出磋商的供应商的磋商保证金。</w:t>
      </w:r>
    </w:p>
    <w:p w14:paraId="38094C88">
      <w:pPr>
        <w:pStyle w:val="2"/>
        <w:keepNext w:val="0"/>
        <w:keepLines w:val="0"/>
        <w:pageBreakBefore w:val="0"/>
        <w:widowControl/>
        <w:kinsoku w:val="0"/>
        <w:wordWrap/>
        <w:overflowPunct/>
        <w:topLinePunct w:val="0"/>
        <w:autoSpaceDE w:val="0"/>
        <w:autoSpaceDN w:val="0"/>
        <w:bidi w:val="0"/>
        <w:adjustRightInd w:val="0"/>
        <w:snapToGrid w:val="0"/>
        <w:spacing w:before="29" w:line="232" w:lineRule="auto"/>
        <w:ind w:left="26" w:right="53" w:firstLine="48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3.4.4</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2"/>
          <w:sz w:val="24"/>
          <w:szCs w:val="24"/>
          <w:highlight w:val="none"/>
        </w:rPr>
        <w:t>评标委员会如需要投标人对响应文件有关事项作出澄清的，应当给予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投标人必要的反馈时间，但澄清事项不得超出响应文件的范围，不得实质性</w:t>
      </w:r>
      <w:r>
        <w:rPr>
          <w:rFonts w:hint="eastAsia" w:ascii="仿宋" w:hAnsi="仿宋" w:eastAsia="仿宋" w:cs="仿宋"/>
          <w:color w:val="auto"/>
          <w:spacing w:val="-4"/>
          <w:sz w:val="24"/>
          <w:szCs w:val="24"/>
          <w:highlight w:val="none"/>
        </w:rPr>
        <w:t>改变</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响应文件的内容，不得通过澄清等方式对投标人实行差别对待。</w:t>
      </w:r>
    </w:p>
    <w:p w14:paraId="305126A7">
      <w:pPr>
        <w:pStyle w:val="2"/>
        <w:keepNext w:val="0"/>
        <w:keepLines w:val="0"/>
        <w:pageBreakBefore w:val="0"/>
        <w:widowControl/>
        <w:kinsoku w:val="0"/>
        <w:wordWrap/>
        <w:overflowPunct/>
        <w:topLinePunct w:val="0"/>
        <w:autoSpaceDE w:val="0"/>
        <w:autoSpaceDN w:val="0"/>
        <w:bidi w:val="0"/>
        <w:adjustRightInd w:val="0"/>
        <w:snapToGrid w:val="0"/>
        <w:spacing w:before="27" w:line="234" w:lineRule="auto"/>
        <w:ind w:left="26" w:right="53" w:firstLine="48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3.4.5</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2"/>
          <w:sz w:val="24"/>
          <w:szCs w:val="24"/>
          <w:highlight w:val="none"/>
        </w:rPr>
        <w:t>评标委员会应对评分汇总情况进行复核，特别是对排名第一的、报价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最低的投标或相应文件被认定为无效的情形进行重点复核，并根据评标结果</w:t>
      </w:r>
      <w:r>
        <w:rPr>
          <w:rFonts w:hint="eastAsia" w:ascii="仿宋" w:hAnsi="仿宋" w:eastAsia="仿宋" w:cs="仿宋"/>
          <w:color w:val="auto"/>
          <w:spacing w:val="-4"/>
          <w:sz w:val="24"/>
          <w:szCs w:val="24"/>
          <w:highlight w:val="none"/>
        </w:rPr>
        <w:t>推荐</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中标候选人，或者根据采购人委托协议规定直接确定中标人，起草并签署评</w:t>
      </w:r>
      <w:r>
        <w:rPr>
          <w:rFonts w:hint="eastAsia" w:ascii="仿宋" w:hAnsi="仿宋" w:eastAsia="仿宋" w:cs="仿宋"/>
          <w:color w:val="auto"/>
          <w:spacing w:val="-4"/>
          <w:sz w:val="24"/>
          <w:szCs w:val="24"/>
          <w:highlight w:val="none"/>
        </w:rPr>
        <w:t>标报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告。</w:t>
      </w:r>
    </w:p>
    <w:p w14:paraId="32B77D00">
      <w:pPr>
        <w:pStyle w:val="2"/>
        <w:keepNext w:val="0"/>
        <w:keepLines w:val="0"/>
        <w:pageBreakBefore w:val="0"/>
        <w:widowControl/>
        <w:kinsoku w:val="0"/>
        <w:wordWrap/>
        <w:overflowPunct/>
        <w:topLinePunct w:val="0"/>
        <w:autoSpaceDE w:val="0"/>
        <w:autoSpaceDN w:val="0"/>
        <w:bidi w:val="0"/>
        <w:adjustRightInd w:val="0"/>
        <w:snapToGrid w:val="0"/>
        <w:spacing w:before="29" w:line="219" w:lineRule="auto"/>
        <w:ind w:left="5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3.4.6</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2"/>
          <w:sz w:val="24"/>
          <w:szCs w:val="24"/>
          <w:highlight w:val="none"/>
        </w:rPr>
        <w:t>评标委员会应在采购项目招标失败时，出具磋商文件是否存在不合理</w:t>
      </w:r>
    </w:p>
    <w:p w14:paraId="3CD41EE2">
      <w:pPr>
        <w:keepNext w:val="0"/>
        <w:keepLines w:val="0"/>
        <w:pageBreakBefore w:val="0"/>
        <w:widowControl/>
        <w:kinsoku w:val="0"/>
        <w:wordWrap/>
        <w:overflowPunct/>
        <w:topLinePunct w:val="0"/>
        <w:autoSpaceDE w:val="0"/>
        <w:autoSpaceDN w:val="0"/>
        <w:bidi w:val="0"/>
        <w:adjustRightInd w:val="0"/>
        <w:snapToGrid w:val="0"/>
        <w:spacing w:line="219" w:lineRule="auto"/>
        <w:textAlignment w:val="baseline"/>
        <w:outlineLvl w:val="9"/>
        <w:rPr>
          <w:rFonts w:hint="eastAsia" w:ascii="仿宋" w:hAnsi="仿宋" w:eastAsia="仿宋" w:cs="仿宋"/>
          <w:color w:val="auto"/>
          <w:sz w:val="24"/>
          <w:szCs w:val="24"/>
          <w:highlight w:val="none"/>
        </w:rPr>
        <w:sectPr>
          <w:footerReference r:id="rId25" w:type="default"/>
          <w:pgSz w:w="11906" w:h="16839"/>
          <w:pgMar w:top="1426" w:right="1745" w:bottom="1171" w:left="1785" w:header="0" w:footer="992" w:gutter="0"/>
          <w:pgNumType w:fmt="decimal"/>
          <w:cols w:space="720" w:num="1"/>
        </w:sectPr>
      </w:pPr>
    </w:p>
    <w:p w14:paraId="751F4DC7">
      <w:pPr>
        <w:pStyle w:val="2"/>
        <w:keepNext w:val="0"/>
        <w:keepLines w:val="0"/>
        <w:pageBreakBefore w:val="0"/>
        <w:widowControl/>
        <w:kinsoku w:val="0"/>
        <w:wordWrap/>
        <w:overflowPunct/>
        <w:topLinePunct w:val="0"/>
        <w:autoSpaceDE w:val="0"/>
        <w:autoSpaceDN w:val="0"/>
        <w:bidi w:val="0"/>
        <w:adjustRightInd w:val="0"/>
        <w:snapToGrid w:val="0"/>
        <w:spacing w:before="48" w:line="230" w:lineRule="auto"/>
        <w:ind w:left="23" w:right="13" w:firstLine="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条款的论证意见，并协助采购人、采购代理机构、财政部门答复质疑或处理投诉</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事项。</w:t>
      </w:r>
    </w:p>
    <w:p w14:paraId="45C0C7B3">
      <w:pPr>
        <w:pStyle w:val="2"/>
        <w:keepNext w:val="0"/>
        <w:keepLines w:val="0"/>
        <w:pageBreakBefore w:val="0"/>
        <w:widowControl/>
        <w:kinsoku w:val="0"/>
        <w:wordWrap/>
        <w:overflowPunct/>
        <w:topLinePunct w:val="0"/>
        <w:autoSpaceDE w:val="0"/>
        <w:autoSpaceDN w:val="0"/>
        <w:bidi w:val="0"/>
        <w:adjustRightInd w:val="0"/>
        <w:snapToGrid w:val="0"/>
        <w:spacing w:before="25" w:line="219" w:lineRule="auto"/>
        <w:ind w:left="5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3.4.7</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1"/>
          <w:sz w:val="24"/>
          <w:szCs w:val="24"/>
          <w:highlight w:val="none"/>
        </w:rPr>
        <w:t>评标委员会应对评标过程和结果以及投标人的商业秘密保密。</w:t>
      </w:r>
    </w:p>
    <w:p w14:paraId="60C0F588">
      <w:pPr>
        <w:pStyle w:val="2"/>
        <w:keepNext w:val="0"/>
        <w:keepLines w:val="0"/>
        <w:pageBreakBefore w:val="0"/>
        <w:widowControl/>
        <w:kinsoku w:val="0"/>
        <w:wordWrap/>
        <w:overflowPunct/>
        <w:topLinePunct w:val="0"/>
        <w:autoSpaceDE w:val="0"/>
        <w:autoSpaceDN w:val="0"/>
        <w:bidi w:val="0"/>
        <w:adjustRightInd w:val="0"/>
        <w:snapToGrid w:val="0"/>
        <w:spacing w:before="25" w:line="220" w:lineRule="auto"/>
        <w:ind w:left="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（二）评标程序</w:t>
      </w:r>
    </w:p>
    <w:p w14:paraId="546B0646">
      <w:pPr>
        <w:pStyle w:val="2"/>
        <w:keepNext w:val="0"/>
        <w:keepLines w:val="0"/>
        <w:pageBreakBefore w:val="0"/>
        <w:widowControl/>
        <w:kinsoku w:val="0"/>
        <w:wordWrap/>
        <w:overflowPunct/>
        <w:topLinePunct w:val="0"/>
        <w:autoSpaceDE w:val="0"/>
        <w:autoSpaceDN w:val="0"/>
        <w:bidi w:val="0"/>
        <w:adjustRightInd w:val="0"/>
        <w:snapToGrid w:val="0"/>
        <w:spacing w:before="26" w:line="219" w:lineRule="auto"/>
        <w:ind w:left="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rPr>
        <w:t>4．响应文件的初步评标</w:t>
      </w:r>
    </w:p>
    <w:p w14:paraId="4B1D34A3">
      <w:pPr>
        <w:pStyle w:val="2"/>
        <w:keepNext w:val="0"/>
        <w:keepLines w:val="0"/>
        <w:pageBreakBefore w:val="0"/>
        <w:widowControl/>
        <w:kinsoku w:val="0"/>
        <w:wordWrap/>
        <w:overflowPunct/>
        <w:topLinePunct w:val="0"/>
        <w:autoSpaceDE w:val="0"/>
        <w:autoSpaceDN w:val="0"/>
        <w:bidi w:val="0"/>
        <w:adjustRightInd w:val="0"/>
        <w:snapToGrid w:val="0"/>
        <w:spacing w:before="27" w:line="219" w:lineRule="auto"/>
        <w:ind w:left="5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4.1</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1"/>
          <w:sz w:val="24"/>
          <w:szCs w:val="24"/>
          <w:highlight w:val="none"/>
        </w:rPr>
        <w:t>初步评标分为资格性检查和符合性检查。</w:t>
      </w:r>
    </w:p>
    <w:p w14:paraId="0048918F">
      <w:pPr>
        <w:pStyle w:val="2"/>
        <w:keepNext w:val="0"/>
        <w:keepLines w:val="0"/>
        <w:pageBreakBefore w:val="0"/>
        <w:widowControl/>
        <w:kinsoku w:val="0"/>
        <w:wordWrap/>
        <w:overflowPunct/>
        <w:topLinePunct w:val="0"/>
        <w:autoSpaceDE w:val="0"/>
        <w:autoSpaceDN w:val="0"/>
        <w:bidi w:val="0"/>
        <w:adjustRightInd w:val="0"/>
        <w:snapToGrid w:val="0"/>
        <w:spacing w:before="24" w:line="219" w:lineRule="auto"/>
        <w:ind w:left="5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4.1.1</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3"/>
          <w:sz w:val="24"/>
          <w:szCs w:val="24"/>
          <w:highlight w:val="none"/>
        </w:rPr>
        <w:t>资格性检查</w:t>
      </w:r>
    </w:p>
    <w:p w14:paraId="0F2E1BFE">
      <w:pPr>
        <w:pStyle w:val="2"/>
        <w:keepNext w:val="0"/>
        <w:keepLines w:val="0"/>
        <w:pageBreakBefore w:val="0"/>
        <w:widowControl/>
        <w:kinsoku w:val="0"/>
        <w:wordWrap/>
        <w:overflowPunct/>
        <w:topLinePunct w:val="0"/>
        <w:autoSpaceDE w:val="0"/>
        <w:autoSpaceDN w:val="0"/>
        <w:bidi w:val="0"/>
        <w:adjustRightInd w:val="0"/>
        <w:snapToGrid w:val="0"/>
        <w:spacing w:before="26" w:line="230" w:lineRule="auto"/>
        <w:ind w:left="25" w:right="13" w:firstLine="47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根据法律法规和磋商文件的规定，对响应文件中的资格证明文件</w:t>
      </w:r>
      <w:r>
        <w:rPr>
          <w:rFonts w:hint="eastAsia" w:ascii="仿宋" w:hAnsi="仿宋" w:eastAsia="仿宋" w:cs="仿宋"/>
          <w:color w:val="auto"/>
          <w:spacing w:val="-4"/>
          <w:sz w:val="24"/>
          <w:szCs w:val="24"/>
          <w:highlight w:val="none"/>
        </w:rPr>
        <w:t>、磋商保证</w:t>
      </w:r>
      <w:r>
        <w:rPr>
          <w:rFonts w:hint="eastAsia" w:ascii="仿宋" w:hAnsi="仿宋" w:eastAsia="仿宋" w:cs="仿宋"/>
          <w:color w:val="auto"/>
          <w:spacing w:val="-1"/>
          <w:sz w:val="24"/>
          <w:szCs w:val="24"/>
          <w:highlight w:val="none"/>
        </w:rPr>
        <w:t>金等进行审查，以确定投标投标人是否具备投标资格。审查事项如下：</w:t>
      </w:r>
    </w:p>
    <w:p w14:paraId="606A6DE8">
      <w:pPr>
        <w:keepNext w:val="0"/>
        <w:keepLines w:val="0"/>
        <w:pageBreakBefore w:val="0"/>
        <w:widowControl/>
        <w:kinsoku w:val="0"/>
        <w:wordWrap/>
        <w:overflowPunct/>
        <w:topLinePunct w:val="0"/>
        <w:autoSpaceDE w:val="0"/>
        <w:autoSpaceDN w:val="0"/>
        <w:bidi w:val="0"/>
        <w:adjustRightInd w:val="0"/>
        <w:snapToGrid w:val="0"/>
        <w:spacing w:line="230" w:lineRule="auto"/>
        <w:textAlignment w:val="baseline"/>
        <w:outlineLvl w:val="9"/>
        <w:rPr>
          <w:rFonts w:hint="eastAsia" w:ascii="仿宋" w:hAnsi="仿宋" w:eastAsia="仿宋" w:cs="仿宋"/>
          <w:color w:val="auto"/>
          <w:sz w:val="24"/>
          <w:szCs w:val="24"/>
          <w:highlight w:val="none"/>
        </w:rPr>
      </w:pPr>
    </w:p>
    <w:p w14:paraId="77FAC443">
      <w:pPr>
        <w:pStyle w:val="2"/>
        <w:pageBreakBefore w:val="0"/>
        <w:wordWrap/>
        <w:overflowPunct/>
        <w:topLinePunct w:val="0"/>
        <w:bidi w:val="0"/>
        <w:spacing w:before="48" w:line="219" w:lineRule="auto"/>
        <w:ind w:left="4113"/>
        <w:outlineLvl w:val="9"/>
        <w:rPr>
          <w:rFonts w:hint="eastAsia" w:ascii="仿宋" w:hAnsi="仿宋" w:eastAsia="仿宋" w:cs="仿宋"/>
          <w:color w:val="auto"/>
          <w:sz w:val="32"/>
          <w:szCs w:val="32"/>
          <w:highlight w:val="none"/>
        </w:rPr>
      </w:pPr>
      <w:r>
        <w:rPr>
          <w:rFonts w:hint="eastAsia" w:ascii="仿宋" w:hAnsi="仿宋" w:eastAsia="仿宋" w:cs="仿宋"/>
          <w:b/>
          <w:bCs/>
          <w:color w:val="auto"/>
          <w:spacing w:val="-6"/>
          <w:sz w:val="32"/>
          <w:szCs w:val="32"/>
          <w:highlight w:val="none"/>
        </w:rPr>
        <w:t>资格审查表</w:t>
      </w:r>
    </w:p>
    <w:p w14:paraId="1852372F">
      <w:pPr>
        <w:pageBreakBefore w:val="0"/>
        <w:wordWrap/>
        <w:overflowPunct/>
        <w:topLinePunct w:val="0"/>
        <w:bidi w:val="0"/>
        <w:spacing w:line="147" w:lineRule="exact"/>
        <w:outlineLvl w:val="9"/>
        <w:rPr>
          <w:rFonts w:hint="eastAsia" w:ascii="仿宋" w:hAnsi="仿宋" w:eastAsia="仿宋" w:cs="仿宋"/>
          <w:color w:val="auto"/>
          <w:sz w:val="24"/>
          <w:szCs w:val="24"/>
          <w:highlight w:val="none"/>
        </w:rPr>
      </w:pPr>
    </w:p>
    <w:tbl>
      <w:tblPr>
        <w:tblStyle w:val="26"/>
        <w:tblW w:w="9713" w:type="dxa"/>
        <w:tblInd w:w="-3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5"/>
        <w:gridCol w:w="7637"/>
        <w:gridCol w:w="581"/>
        <w:gridCol w:w="790"/>
      </w:tblGrid>
      <w:tr w14:paraId="6A119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705" w:type="dxa"/>
            <w:vMerge w:val="restart"/>
            <w:tcBorders>
              <w:top w:val="single" w:color="000000" w:sz="10" w:space="0"/>
              <w:left w:val="single" w:color="000000" w:sz="10" w:space="0"/>
              <w:bottom w:val="nil"/>
            </w:tcBorders>
            <w:vAlign w:val="top"/>
          </w:tcPr>
          <w:p w14:paraId="0471B0A2">
            <w:pPr>
              <w:pageBreakBefore w:val="0"/>
              <w:wordWrap/>
              <w:overflowPunct/>
              <w:topLinePunct w:val="0"/>
              <w:bidi w:val="0"/>
              <w:spacing w:line="345" w:lineRule="auto"/>
              <w:jc w:val="both"/>
              <w:outlineLvl w:val="9"/>
              <w:rPr>
                <w:rFonts w:hint="eastAsia" w:ascii="仿宋" w:hAnsi="仿宋" w:eastAsia="仿宋" w:cs="仿宋"/>
                <w:color w:val="auto"/>
                <w:sz w:val="24"/>
                <w:szCs w:val="24"/>
                <w:highlight w:val="none"/>
              </w:rPr>
            </w:pPr>
          </w:p>
          <w:p w14:paraId="74E22CDA">
            <w:pPr>
              <w:pStyle w:val="28"/>
              <w:pageBreakBefore w:val="0"/>
              <w:wordWrap/>
              <w:overflowPunct/>
              <w:topLinePunct w:val="0"/>
              <w:bidi w:val="0"/>
              <w:spacing w:before="78" w:line="221" w:lineRule="auto"/>
              <w:ind w:left="110"/>
              <w:jc w:val="both"/>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序号</w:t>
            </w:r>
          </w:p>
        </w:tc>
        <w:tc>
          <w:tcPr>
            <w:tcW w:w="7637" w:type="dxa"/>
            <w:vMerge w:val="restart"/>
            <w:tcBorders>
              <w:top w:val="single" w:color="000000" w:sz="10" w:space="0"/>
              <w:bottom w:val="nil"/>
            </w:tcBorders>
            <w:vAlign w:val="top"/>
          </w:tcPr>
          <w:p w14:paraId="04A66A36">
            <w:pPr>
              <w:pageBreakBefore w:val="0"/>
              <w:wordWrap/>
              <w:overflowPunct/>
              <w:topLinePunct w:val="0"/>
              <w:bidi w:val="0"/>
              <w:spacing w:line="346" w:lineRule="auto"/>
              <w:outlineLvl w:val="9"/>
              <w:rPr>
                <w:rFonts w:hint="eastAsia" w:ascii="仿宋" w:hAnsi="仿宋" w:eastAsia="仿宋" w:cs="仿宋"/>
                <w:color w:val="auto"/>
                <w:sz w:val="24"/>
                <w:szCs w:val="24"/>
                <w:highlight w:val="none"/>
              </w:rPr>
            </w:pPr>
          </w:p>
          <w:p w14:paraId="3BE4B8E5">
            <w:pPr>
              <w:pStyle w:val="28"/>
              <w:pageBreakBefore w:val="0"/>
              <w:wordWrap/>
              <w:overflowPunct/>
              <w:topLinePunct w:val="0"/>
              <w:bidi w:val="0"/>
              <w:spacing w:before="78" w:line="219" w:lineRule="auto"/>
              <w:ind w:left="3159"/>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评审内容</w:t>
            </w:r>
          </w:p>
        </w:tc>
        <w:tc>
          <w:tcPr>
            <w:tcW w:w="1371" w:type="dxa"/>
            <w:gridSpan w:val="2"/>
            <w:tcBorders>
              <w:top w:val="single" w:color="000000" w:sz="10" w:space="0"/>
              <w:right w:val="single" w:color="000000" w:sz="10" w:space="0"/>
            </w:tcBorders>
            <w:vAlign w:val="top"/>
          </w:tcPr>
          <w:p w14:paraId="7E5E86E1">
            <w:pPr>
              <w:pStyle w:val="28"/>
              <w:pageBreakBefore w:val="0"/>
              <w:wordWrap/>
              <w:overflowPunct/>
              <w:topLinePunct w:val="0"/>
              <w:bidi w:val="0"/>
              <w:spacing w:before="85"/>
              <w:ind w:left="450"/>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评审</w:t>
            </w:r>
          </w:p>
          <w:p w14:paraId="72C5CCF6">
            <w:pPr>
              <w:pStyle w:val="28"/>
              <w:pageBreakBefore w:val="0"/>
              <w:wordWrap/>
              <w:overflowPunct/>
              <w:topLinePunct w:val="0"/>
              <w:bidi w:val="0"/>
              <w:spacing w:line="219" w:lineRule="auto"/>
              <w:ind w:left="457"/>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11"/>
                <w:sz w:val="24"/>
                <w:szCs w:val="24"/>
                <w:highlight w:val="none"/>
              </w:rPr>
              <w:t>意见</w:t>
            </w:r>
          </w:p>
        </w:tc>
      </w:tr>
      <w:tr w14:paraId="57751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05" w:type="dxa"/>
            <w:vMerge w:val="continue"/>
            <w:tcBorders>
              <w:top w:val="nil"/>
              <w:left w:val="single" w:color="000000" w:sz="10" w:space="0"/>
            </w:tcBorders>
            <w:vAlign w:val="top"/>
          </w:tcPr>
          <w:p w14:paraId="26E790B1">
            <w:pPr>
              <w:pageBreakBefore w:val="0"/>
              <w:wordWrap/>
              <w:overflowPunct/>
              <w:topLinePunct w:val="0"/>
              <w:bidi w:val="0"/>
              <w:jc w:val="both"/>
              <w:outlineLvl w:val="9"/>
              <w:rPr>
                <w:rFonts w:hint="eastAsia" w:ascii="仿宋" w:hAnsi="仿宋" w:eastAsia="仿宋" w:cs="仿宋"/>
                <w:color w:val="auto"/>
                <w:sz w:val="24"/>
                <w:szCs w:val="24"/>
                <w:highlight w:val="none"/>
              </w:rPr>
            </w:pPr>
          </w:p>
        </w:tc>
        <w:tc>
          <w:tcPr>
            <w:tcW w:w="7637" w:type="dxa"/>
            <w:vMerge w:val="continue"/>
            <w:tcBorders>
              <w:top w:val="nil"/>
            </w:tcBorders>
            <w:vAlign w:val="top"/>
          </w:tcPr>
          <w:p w14:paraId="6636737A">
            <w:pPr>
              <w:pageBreakBefore w:val="0"/>
              <w:wordWrap/>
              <w:overflowPunct/>
              <w:topLinePunct w:val="0"/>
              <w:bidi w:val="0"/>
              <w:outlineLvl w:val="9"/>
              <w:rPr>
                <w:rFonts w:hint="eastAsia" w:ascii="仿宋" w:hAnsi="仿宋" w:eastAsia="仿宋" w:cs="仿宋"/>
                <w:color w:val="auto"/>
                <w:sz w:val="24"/>
                <w:szCs w:val="24"/>
                <w:highlight w:val="none"/>
              </w:rPr>
            </w:pPr>
          </w:p>
        </w:tc>
        <w:tc>
          <w:tcPr>
            <w:tcW w:w="581" w:type="dxa"/>
            <w:vAlign w:val="top"/>
          </w:tcPr>
          <w:p w14:paraId="4C37C4AC">
            <w:pPr>
              <w:pStyle w:val="28"/>
              <w:pageBreakBefore w:val="0"/>
              <w:wordWrap/>
              <w:overflowPunct/>
              <w:topLinePunct w:val="0"/>
              <w:bidi w:val="0"/>
              <w:spacing w:before="55" w:line="223" w:lineRule="auto"/>
              <w:ind w:left="188"/>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rPr>
              <w:t>是</w:t>
            </w:r>
          </w:p>
        </w:tc>
        <w:tc>
          <w:tcPr>
            <w:tcW w:w="790" w:type="dxa"/>
            <w:tcBorders>
              <w:right w:val="single" w:color="000000" w:sz="10" w:space="0"/>
            </w:tcBorders>
            <w:vAlign w:val="top"/>
          </w:tcPr>
          <w:p w14:paraId="582231B7">
            <w:pPr>
              <w:pStyle w:val="28"/>
              <w:pageBreakBefore w:val="0"/>
              <w:wordWrap/>
              <w:overflowPunct/>
              <w:topLinePunct w:val="0"/>
              <w:bidi w:val="0"/>
              <w:spacing w:before="55" w:line="220" w:lineRule="auto"/>
              <w:ind w:left="290"/>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rPr>
              <w:t>否</w:t>
            </w:r>
          </w:p>
        </w:tc>
      </w:tr>
      <w:tr w14:paraId="2E2DB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05" w:type="dxa"/>
            <w:tcBorders>
              <w:left w:val="single" w:color="000000" w:sz="10" w:space="0"/>
            </w:tcBorders>
            <w:vAlign w:val="top"/>
          </w:tcPr>
          <w:p w14:paraId="51252802">
            <w:pPr>
              <w:pStyle w:val="28"/>
              <w:pageBreakBefore w:val="0"/>
              <w:wordWrap/>
              <w:overflowPunct/>
              <w:topLinePunct w:val="0"/>
              <w:bidi w:val="0"/>
              <w:spacing w:before="170" w:line="184" w:lineRule="auto"/>
              <w:ind w:left="311"/>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637" w:type="dxa"/>
            <w:vAlign w:val="top"/>
          </w:tcPr>
          <w:p w14:paraId="6D2FC420">
            <w:pPr>
              <w:pStyle w:val="28"/>
              <w:pageBreakBefore w:val="0"/>
              <w:wordWrap/>
              <w:overflowPunct/>
              <w:topLinePunct w:val="0"/>
              <w:bidi w:val="0"/>
              <w:spacing w:before="134" w:line="219" w:lineRule="auto"/>
              <w:ind w:left="108"/>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具有有效的营业执照；</w:t>
            </w:r>
          </w:p>
        </w:tc>
        <w:tc>
          <w:tcPr>
            <w:tcW w:w="581" w:type="dxa"/>
            <w:vAlign w:val="top"/>
          </w:tcPr>
          <w:p w14:paraId="5DD639D3">
            <w:pPr>
              <w:pageBreakBefore w:val="0"/>
              <w:wordWrap/>
              <w:overflowPunct/>
              <w:topLinePunct w:val="0"/>
              <w:bidi w:val="0"/>
              <w:outlineLvl w:val="9"/>
              <w:rPr>
                <w:rFonts w:hint="eastAsia" w:ascii="仿宋" w:hAnsi="仿宋" w:eastAsia="仿宋" w:cs="仿宋"/>
                <w:color w:val="auto"/>
                <w:sz w:val="24"/>
                <w:szCs w:val="24"/>
                <w:highlight w:val="none"/>
              </w:rPr>
            </w:pPr>
          </w:p>
        </w:tc>
        <w:tc>
          <w:tcPr>
            <w:tcW w:w="790" w:type="dxa"/>
            <w:tcBorders>
              <w:right w:val="single" w:color="000000" w:sz="10" w:space="0"/>
            </w:tcBorders>
            <w:vAlign w:val="top"/>
          </w:tcPr>
          <w:p w14:paraId="583F66B7">
            <w:pPr>
              <w:pageBreakBefore w:val="0"/>
              <w:wordWrap/>
              <w:overflowPunct/>
              <w:topLinePunct w:val="0"/>
              <w:bidi w:val="0"/>
              <w:outlineLvl w:val="9"/>
              <w:rPr>
                <w:rFonts w:hint="eastAsia" w:ascii="仿宋" w:hAnsi="仿宋" w:eastAsia="仿宋" w:cs="仿宋"/>
                <w:color w:val="auto"/>
                <w:sz w:val="24"/>
                <w:szCs w:val="24"/>
                <w:highlight w:val="none"/>
              </w:rPr>
            </w:pPr>
          </w:p>
        </w:tc>
      </w:tr>
      <w:tr w14:paraId="37405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705" w:type="dxa"/>
            <w:tcBorders>
              <w:left w:val="single" w:color="000000" w:sz="10" w:space="0"/>
            </w:tcBorders>
            <w:vAlign w:val="top"/>
          </w:tcPr>
          <w:p w14:paraId="4E9FA4C5">
            <w:pPr>
              <w:pStyle w:val="28"/>
              <w:pageBreakBefore w:val="0"/>
              <w:wordWrap/>
              <w:overflowPunct/>
              <w:topLinePunct w:val="0"/>
              <w:bidi w:val="0"/>
              <w:spacing w:before="299" w:line="183" w:lineRule="auto"/>
              <w:ind w:left="296"/>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637" w:type="dxa"/>
            <w:vAlign w:val="top"/>
          </w:tcPr>
          <w:p w14:paraId="48752D73">
            <w:pPr>
              <w:pStyle w:val="28"/>
              <w:pageBreakBefore w:val="0"/>
              <w:wordWrap/>
              <w:overflowPunct/>
              <w:topLinePunct w:val="0"/>
              <w:bidi w:val="0"/>
              <w:spacing w:before="100" w:line="251" w:lineRule="auto"/>
              <w:ind w:left="104" w:right="93"/>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法定代表人证明或法定代表人授权委托书签字</w:t>
            </w:r>
            <w:r>
              <w:rPr>
                <w:rFonts w:hint="eastAsia" w:ascii="仿宋" w:hAnsi="仿宋" w:eastAsia="仿宋" w:cs="仿宋"/>
                <w:color w:val="auto"/>
                <w:spacing w:val="-5"/>
                <w:sz w:val="24"/>
                <w:szCs w:val="24"/>
                <w:highlight w:val="none"/>
                <w:lang w:eastAsia="zh-CN"/>
              </w:rPr>
              <w:t>（章）</w:t>
            </w:r>
            <w:r>
              <w:rPr>
                <w:rFonts w:hint="eastAsia" w:ascii="仿宋" w:hAnsi="仿宋" w:eastAsia="仿宋" w:cs="仿宋"/>
                <w:color w:val="auto"/>
                <w:spacing w:val="-5"/>
                <w:sz w:val="24"/>
                <w:szCs w:val="24"/>
                <w:highlight w:val="none"/>
              </w:rPr>
              <w:t>并加盖公章；</w:t>
            </w:r>
          </w:p>
        </w:tc>
        <w:tc>
          <w:tcPr>
            <w:tcW w:w="581" w:type="dxa"/>
            <w:vAlign w:val="top"/>
          </w:tcPr>
          <w:p w14:paraId="3FFE639D">
            <w:pPr>
              <w:pageBreakBefore w:val="0"/>
              <w:wordWrap/>
              <w:overflowPunct/>
              <w:topLinePunct w:val="0"/>
              <w:bidi w:val="0"/>
              <w:outlineLvl w:val="9"/>
              <w:rPr>
                <w:rFonts w:hint="eastAsia" w:ascii="仿宋" w:hAnsi="仿宋" w:eastAsia="仿宋" w:cs="仿宋"/>
                <w:color w:val="auto"/>
                <w:sz w:val="24"/>
                <w:szCs w:val="24"/>
                <w:highlight w:val="none"/>
              </w:rPr>
            </w:pPr>
          </w:p>
        </w:tc>
        <w:tc>
          <w:tcPr>
            <w:tcW w:w="790" w:type="dxa"/>
            <w:tcBorders>
              <w:right w:val="single" w:color="000000" w:sz="10" w:space="0"/>
            </w:tcBorders>
            <w:vAlign w:val="top"/>
          </w:tcPr>
          <w:p w14:paraId="4D0647CA">
            <w:pPr>
              <w:pageBreakBefore w:val="0"/>
              <w:wordWrap/>
              <w:overflowPunct/>
              <w:topLinePunct w:val="0"/>
              <w:bidi w:val="0"/>
              <w:outlineLvl w:val="9"/>
              <w:rPr>
                <w:rFonts w:hint="eastAsia" w:ascii="仿宋" w:hAnsi="仿宋" w:eastAsia="仿宋" w:cs="仿宋"/>
                <w:color w:val="auto"/>
                <w:sz w:val="24"/>
                <w:szCs w:val="24"/>
                <w:highlight w:val="none"/>
              </w:rPr>
            </w:pPr>
          </w:p>
        </w:tc>
      </w:tr>
      <w:tr w14:paraId="2E089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705" w:type="dxa"/>
            <w:tcBorders>
              <w:left w:val="single" w:color="000000" w:sz="10" w:space="0"/>
            </w:tcBorders>
            <w:vAlign w:val="top"/>
          </w:tcPr>
          <w:p w14:paraId="162800D0">
            <w:pPr>
              <w:pStyle w:val="28"/>
              <w:pageBreakBefore w:val="0"/>
              <w:wordWrap/>
              <w:overflowPunct/>
              <w:topLinePunct w:val="0"/>
              <w:bidi w:val="0"/>
              <w:spacing w:before="78" w:line="183" w:lineRule="auto"/>
              <w:ind w:left="298"/>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7637" w:type="dxa"/>
            <w:vAlign w:val="top"/>
          </w:tcPr>
          <w:p w14:paraId="2794D2C0">
            <w:pPr>
              <w:pStyle w:val="28"/>
              <w:pageBreakBefore w:val="0"/>
              <w:wordWrap/>
              <w:overflowPunct/>
              <w:topLinePunct w:val="0"/>
              <w:bidi w:val="0"/>
              <w:spacing w:before="37" w:line="228" w:lineRule="auto"/>
              <w:ind w:left="102" w:right="93" w:firstLine="5"/>
              <w:jc w:val="both"/>
              <w:outlineLvl w:val="9"/>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提供投标</w:t>
            </w:r>
            <w:r>
              <w:rPr>
                <w:rFonts w:hint="eastAsia" w:ascii="仿宋" w:hAnsi="仿宋" w:eastAsia="仿宋" w:cs="仿宋"/>
                <w:color w:val="auto"/>
                <w:spacing w:val="-1"/>
                <w:sz w:val="24"/>
                <w:szCs w:val="24"/>
                <w:highlight w:val="none"/>
              </w:rPr>
              <w:t>单位缴纳近三个月内（任意一个月）的社保证明；</w:t>
            </w:r>
          </w:p>
        </w:tc>
        <w:tc>
          <w:tcPr>
            <w:tcW w:w="581" w:type="dxa"/>
            <w:vAlign w:val="top"/>
          </w:tcPr>
          <w:p w14:paraId="7ED2379B">
            <w:pPr>
              <w:pageBreakBefore w:val="0"/>
              <w:wordWrap/>
              <w:overflowPunct/>
              <w:topLinePunct w:val="0"/>
              <w:bidi w:val="0"/>
              <w:outlineLvl w:val="9"/>
              <w:rPr>
                <w:rFonts w:hint="eastAsia" w:ascii="仿宋" w:hAnsi="仿宋" w:eastAsia="仿宋" w:cs="仿宋"/>
                <w:color w:val="auto"/>
                <w:sz w:val="24"/>
                <w:szCs w:val="24"/>
                <w:highlight w:val="none"/>
              </w:rPr>
            </w:pPr>
          </w:p>
        </w:tc>
        <w:tc>
          <w:tcPr>
            <w:tcW w:w="790" w:type="dxa"/>
            <w:tcBorders>
              <w:right w:val="single" w:color="000000" w:sz="10" w:space="0"/>
            </w:tcBorders>
            <w:vAlign w:val="top"/>
          </w:tcPr>
          <w:p w14:paraId="16130C7C">
            <w:pPr>
              <w:pageBreakBefore w:val="0"/>
              <w:wordWrap/>
              <w:overflowPunct/>
              <w:topLinePunct w:val="0"/>
              <w:bidi w:val="0"/>
              <w:outlineLvl w:val="9"/>
              <w:rPr>
                <w:rFonts w:hint="eastAsia" w:ascii="仿宋" w:hAnsi="仿宋" w:eastAsia="仿宋" w:cs="仿宋"/>
                <w:color w:val="auto"/>
                <w:sz w:val="24"/>
                <w:szCs w:val="24"/>
                <w:highlight w:val="none"/>
              </w:rPr>
            </w:pPr>
          </w:p>
        </w:tc>
      </w:tr>
      <w:tr w14:paraId="32E3B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705" w:type="dxa"/>
            <w:tcBorders>
              <w:left w:val="single" w:color="000000" w:sz="10" w:space="0"/>
            </w:tcBorders>
            <w:vAlign w:val="top"/>
          </w:tcPr>
          <w:p w14:paraId="68FBABE1">
            <w:pPr>
              <w:pStyle w:val="28"/>
              <w:pageBreakBefore w:val="0"/>
              <w:wordWrap/>
              <w:overflowPunct/>
              <w:topLinePunct w:val="0"/>
              <w:bidi w:val="0"/>
              <w:spacing w:before="78" w:line="183" w:lineRule="auto"/>
              <w:ind w:left="298"/>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7637" w:type="dxa"/>
            <w:vAlign w:val="top"/>
          </w:tcPr>
          <w:p w14:paraId="49E2894A">
            <w:pPr>
              <w:pStyle w:val="28"/>
              <w:pageBreakBefore w:val="0"/>
              <w:wordWrap/>
              <w:overflowPunct/>
              <w:topLinePunct w:val="0"/>
              <w:bidi w:val="0"/>
              <w:spacing w:before="37" w:line="228" w:lineRule="auto"/>
              <w:ind w:left="102" w:right="93" w:firstLine="5"/>
              <w:jc w:val="both"/>
              <w:outlineLvl w:val="9"/>
              <w:rPr>
                <w:rFonts w:hint="eastAsia" w:ascii="仿宋" w:hAnsi="仿宋" w:eastAsia="仿宋" w:cs="仿宋"/>
                <w:color w:val="auto"/>
                <w:spacing w:val="-5"/>
                <w:sz w:val="24"/>
                <w:szCs w:val="24"/>
                <w:highlight w:val="none"/>
              </w:rPr>
            </w:pPr>
            <w:r>
              <w:rPr>
                <w:rFonts w:hint="eastAsia" w:ascii="仿宋" w:hAnsi="仿宋" w:eastAsia="仿宋" w:cs="仿宋"/>
                <w:color w:val="auto"/>
                <w:spacing w:val="-4"/>
                <w:sz w:val="24"/>
                <w:szCs w:val="24"/>
                <w:highlight w:val="none"/>
              </w:rPr>
              <w:t>投标企业提供税务部门出具的近3个月内其中任意1个月的完税证明（零申报需加盖税务机关鲜章），非社会保险类；</w:t>
            </w:r>
          </w:p>
        </w:tc>
        <w:tc>
          <w:tcPr>
            <w:tcW w:w="581" w:type="dxa"/>
            <w:vAlign w:val="top"/>
          </w:tcPr>
          <w:p w14:paraId="68DF936E">
            <w:pPr>
              <w:pageBreakBefore w:val="0"/>
              <w:wordWrap/>
              <w:overflowPunct/>
              <w:topLinePunct w:val="0"/>
              <w:bidi w:val="0"/>
              <w:outlineLvl w:val="9"/>
              <w:rPr>
                <w:rFonts w:hint="eastAsia" w:ascii="仿宋" w:hAnsi="仿宋" w:eastAsia="仿宋" w:cs="仿宋"/>
                <w:color w:val="auto"/>
                <w:sz w:val="24"/>
                <w:szCs w:val="24"/>
                <w:highlight w:val="none"/>
              </w:rPr>
            </w:pPr>
          </w:p>
        </w:tc>
        <w:tc>
          <w:tcPr>
            <w:tcW w:w="790" w:type="dxa"/>
            <w:tcBorders>
              <w:right w:val="single" w:color="000000" w:sz="10" w:space="0"/>
            </w:tcBorders>
            <w:vAlign w:val="top"/>
          </w:tcPr>
          <w:p w14:paraId="66C3F889">
            <w:pPr>
              <w:pageBreakBefore w:val="0"/>
              <w:wordWrap/>
              <w:overflowPunct/>
              <w:topLinePunct w:val="0"/>
              <w:bidi w:val="0"/>
              <w:outlineLvl w:val="9"/>
              <w:rPr>
                <w:rFonts w:hint="eastAsia" w:ascii="仿宋" w:hAnsi="仿宋" w:eastAsia="仿宋" w:cs="仿宋"/>
                <w:color w:val="auto"/>
                <w:sz w:val="24"/>
                <w:szCs w:val="24"/>
                <w:highlight w:val="none"/>
              </w:rPr>
            </w:pPr>
          </w:p>
        </w:tc>
      </w:tr>
      <w:tr w14:paraId="31C8F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705" w:type="dxa"/>
            <w:tcBorders>
              <w:left w:val="single" w:color="000000" w:sz="10" w:space="0"/>
            </w:tcBorders>
            <w:vAlign w:val="top"/>
          </w:tcPr>
          <w:p w14:paraId="1A3B6690">
            <w:pPr>
              <w:pageBreakBefore w:val="0"/>
              <w:wordWrap/>
              <w:overflowPunct/>
              <w:topLinePunct w:val="0"/>
              <w:bidi w:val="0"/>
              <w:spacing w:line="305" w:lineRule="auto"/>
              <w:jc w:val="both"/>
              <w:outlineLvl w:val="9"/>
              <w:rPr>
                <w:rFonts w:hint="eastAsia" w:ascii="仿宋" w:hAnsi="仿宋" w:eastAsia="仿宋" w:cs="仿宋"/>
                <w:color w:val="auto"/>
                <w:sz w:val="24"/>
                <w:szCs w:val="24"/>
                <w:highlight w:val="none"/>
              </w:rPr>
            </w:pPr>
          </w:p>
          <w:p w14:paraId="33D1E69D">
            <w:pPr>
              <w:pStyle w:val="28"/>
              <w:pageBreakBefore w:val="0"/>
              <w:wordWrap/>
              <w:overflowPunct/>
              <w:topLinePunct w:val="0"/>
              <w:bidi w:val="0"/>
              <w:spacing w:before="78" w:line="183" w:lineRule="auto"/>
              <w:ind w:left="298"/>
              <w:jc w:val="both"/>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7637" w:type="dxa"/>
            <w:vAlign w:val="top"/>
          </w:tcPr>
          <w:p w14:paraId="7FDEC08B">
            <w:pPr>
              <w:pStyle w:val="2"/>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供应商须具备【建筑工程施工总承包叁级】(含)以上资质或【建筑装修装饰工程专业承包贰级】（含）以上资质等级，并具备有效的安全生产许可证；</w:t>
            </w:r>
          </w:p>
          <w:p w14:paraId="464EA17F">
            <w:pPr>
              <w:pStyle w:val="2"/>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color w:val="auto"/>
                <w:sz w:val="24"/>
                <w:szCs w:val="24"/>
                <w:highlight w:val="none"/>
              </w:rPr>
            </w:pPr>
            <w:r>
              <w:rPr>
                <w:rFonts w:hint="eastAsia" w:ascii="仿宋" w:hAnsi="仿宋" w:eastAsia="仿宋" w:cs="仿宋"/>
                <w:snapToGrid w:val="0"/>
                <w:color w:val="auto"/>
                <w:spacing w:val="-1"/>
                <w:kern w:val="0"/>
                <w:sz w:val="24"/>
                <w:szCs w:val="24"/>
                <w:highlight w:val="none"/>
                <w:lang w:val="en-US" w:eastAsia="zh-CN" w:bidi="ar-SA"/>
              </w:rPr>
              <w:t>项目负责人：须具备【建筑工程专业】二级或以上注册建造师执业资格，具备有效的安全生产考核合格证书，且未担任其他在建建设工程项目的项目负责人；</w:t>
            </w:r>
          </w:p>
        </w:tc>
        <w:tc>
          <w:tcPr>
            <w:tcW w:w="581" w:type="dxa"/>
            <w:vAlign w:val="top"/>
          </w:tcPr>
          <w:p w14:paraId="3EA223CE">
            <w:pPr>
              <w:pageBreakBefore w:val="0"/>
              <w:wordWrap/>
              <w:overflowPunct/>
              <w:topLinePunct w:val="0"/>
              <w:bidi w:val="0"/>
              <w:outlineLvl w:val="9"/>
              <w:rPr>
                <w:rFonts w:hint="eastAsia" w:ascii="仿宋" w:hAnsi="仿宋" w:eastAsia="仿宋" w:cs="仿宋"/>
                <w:color w:val="auto"/>
                <w:sz w:val="24"/>
                <w:szCs w:val="24"/>
                <w:highlight w:val="none"/>
              </w:rPr>
            </w:pPr>
          </w:p>
        </w:tc>
        <w:tc>
          <w:tcPr>
            <w:tcW w:w="790" w:type="dxa"/>
            <w:tcBorders>
              <w:right w:val="single" w:color="000000" w:sz="10" w:space="0"/>
            </w:tcBorders>
            <w:vAlign w:val="top"/>
          </w:tcPr>
          <w:p w14:paraId="05F377A1">
            <w:pPr>
              <w:pageBreakBefore w:val="0"/>
              <w:wordWrap/>
              <w:overflowPunct/>
              <w:topLinePunct w:val="0"/>
              <w:bidi w:val="0"/>
              <w:outlineLvl w:val="9"/>
              <w:rPr>
                <w:rFonts w:hint="eastAsia" w:ascii="仿宋" w:hAnsi="仿宋" w:eastAsia="仿宋" w:cs="仿宋"/>
                <w:color w:val="auto"/>
                <w:sz w:val="24"/>
                <w:szCs w:val="24"/>
                <w:highlight w:val="none"/>
              </w:rPr>
            </w:pPr>
          </w:p>
        </w:tc>
      </w:tr>
      <w:tr w14:paraId="57F71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05" w:type="dxa"/>
            <w:tcBorders>
              <w:left w:val="single" w:color="000000" w:sz="10" w:space="0"/>
            </w:tcBorders>
            <w:vAlign w:val="top"/>
          </w:tcPr>
          <w:p w14:paraId="56A7E9E6">
            <w:pPr>
              <w:pStyle w:val="28"/>
              <w:pageBreakBefore w:val="0"/>
              <w:wordWrap/>
              <w:overflowPunct/>
              <w:topLinePunct w:val="0"/>
              <w:bidi w:val="0"/>
              <w:spacing w:before="151" w:line="182" w:lineRule="auto"/>
              <w:ind w:left="298"/>
              <w:jc w:val="both"/>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7637" w:type="dxa"/>
            <w:vAlign w:val="top"/>
          </w:tcPr>
          <w:p w14:paraId="270E342D">
            <w:pPr>
              <w:pStyle w:val="28"/>
              <w:pageBreakBefore w:val="0"/>
              <w:wordWrap/>
              <w:overflowPunct/>
              <w:topLinePunct w:val="0"/>
              <w:bidi w:val="0"/>
              <w:spacing w:before="111" w:line="219" w:lineRule="auto"/>
              <w:ind w:left="106"/>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投标人针对本次项目《反商业贿赂承诺书》；</w:t>
            </w:r>
          </w:p>
        </w:tc>
        <w:tc>
          <w:tcPr>
            <w:tcW w:w="581" w:type="dxa"/>
            <w:vAlign w:val="top"/>
          </w:tcPr>
          <w:p w14:paraId="1BDFFC44">
            <w:pPr>
              <w:pageBreakBefore w:val="0"/>
              <w:wordWrap/>
              <w:overflowPunct/>
              <w:topLinePunct w:val="0"/>
              <w:bidi w:val="0"/>
              <w:outlineLvl w:val="9"/>
              <w:rPr>
                <w:rFonts w:hint="eastAsia" w:ascii="仿宋" w:hAnsi="仿宋" w:eastAsia="仿宋" w:cs="仿宋"/>
                <w:color w:val="auto"/>
                <w:sz w:val="24"/>
                <w:szCs w:val="24"/>
                <w:highlight w:val="none"/>
              </w:rPr>
            </w:pPr>
          </w:p>
        </w:tc>
        <w:tc>
          <w:tcPr>
            <w:tcW w:w="790" w:type="dxa"/>
            <w:tcBorders>
              <w:right w:val="single" w:color="000000" w:sz="10" w:space="0"/>
            </w:tcBorders>
            <w:vAlign w:val="top"/>
          </w:tcPr>
          <w:p w14:paraId="08F460E6">
            <w:pPr>
              <w:pageBreakBefore w:val="0"/>
              <w:wordWrap/>
              <w:overflowPunct/>
              <w:topLinePunct w:val="0"/>
              <w:bidi w:val="0"/>
              <w:outlineLvl w:val="9"/>
              <w:rPr>
                <w:rFonts w:hint="eastAsia" w:ascii="仿宋" w:hAnsi="仿宋" w:eastAsia="仿宋" w:cs="仿宋"/>
                <w:color w:val="auto"/>
                <w:sz w:val="24"/>
                <w:szCs w:val="24"/>
                <w:highlight w:val="none"/>
              </w:rPr>
            </w:pPr>
          </w:p>
        </w:tc>
      </w:tr>
      <w:tr w14:paraId="0399B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05" w:type="dxa"/>
            <w:tcBorders>
              <w:left w:val="single" w:color="000000" w:sz="10" w:space="0"/>
            </w:tcBorders>
            <w:vAlign w:val="top"/>
          </w:tcPr>
          <w:p w14:paraId="59BFCB03">
            <w:pPr>
              <w:pStyle w:val="28"/>
              <w:pageBreakBefore w:val="0"/>
              <w:wordWrap/>
              <w:overflowPunct/>
              <w:topLinePunct w:val="0"/>
              <w:bidi w:val="0"/>
              <w:spacing w:before="235" w:line="183" w:lineRule="auto"/>
              <w:ind w:left="295"/>
              <w:jc w:val="both"/>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7637" w:type="dxa"/>
            <w:vAlign w:val="top"/>
          </w:tcPr>
          <w:p w14:paraId="2DD4961D">
            <w:pPr>
              <w:pStyle w:val="28"/>
              <w:pageBreakBefore w:val="0"/>
              <w:wordWrap/>
              <w:overflowPunct/>
              <w:topLinePunct w:val="0"/>
              <w:bidi w:val="0"/>
              <w:spacing w:before="43" w:line="220" w:lineRule="auto"/>
              <w:ind w:left="107" w:right="95" w:hanging="2"/>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参加政府采购活动前</w:t>
            </w:r>
            <w:r>
              <w:rPr>
                <w:rFonts w:hint="eastAsia" w:ascii="仿宋" w:hAnsi="仿宋" w:eastAsia="仿宋" w:cs="仿宋"/>
                <w:color w:val="auto"/>
                <w:spacing w:val="-28"/>
                <w:sz w:val="24"/>
                <w:szCs w:val="24"/>
                <w:highlight w:val="none"/>
              </w:rPr>
              <w:t xml:space="preserve"> </w:t>
            </w:r>
            <w:r>
              <w:rPr>
                <w:rFonts w:hint="eastAsia" w:ascii="仿宋" w:hAnsi="仿宋" w:eastAsia="仿宋" w:cs="仿宋"/>
                <w:color w:val="auto"/>
                <w:spacing w:val="2"/>
                <w:sz w:val="24"/>
                <w:szCs w:val="24"/>
                <w:highlight w:val="none"/>
              </w:rPr>
              <w:t>3</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2"/>
                <w:sz w:val="24"/>
                <w:szCs w:val="24"/>
                <w:highlight w:val="none"/>
              </w:rPr>
              <w:t>年内在经营活动中没有重大违法记录的书面</w:t>
            </w:r>
            <w:r>
              <w:rPr>
                <w:rFonts w:hint="eastAsia" w:ascii="仿宋" w:hAnsi="仿宋" w:eastAsia="仿宋" w:cs="仿宋"/>
                <w:color w:val="auto"/>
                <w:spacing w:val="-5"/>
                <w:sz w:val="24"/>
                <w:szCs w:val="24"/>
                <w:highlight w:val="none"/>
              </w:rPr>
              <w:t>声明；</w:t>
            </w:r>
          </w:p>
        </w:tc>
        <w:tc>
          <w:tcPr>
            <w:tcW w:w="581" w:type="dxa"/>
            <w:vAlign w:val="top"/>
          </w:tcPr>
          <w:p w14:paraId="70D331D5">
            <w:pPr>
              <w:pageBreakBefore w:val="0"/>
              <w:wordWrap/>
              <w:overflowPunct/>
              <w:topLinePunct w:val="0"/>
              <w:bidi w:val="0"/>
              <w:outlineLvl w:val="9"/>
              <w:rPr>
                <w:rFonts w:hint="eastAsia" w:ascii="仿宋" w:hAnsi="仿宋" w:eastAsia="仿宋" w:cs="仿宋"/>
                <w:color w:val="auto"/>
                <w:sz w:val="24"/>
                <w:szCs w:val="24"/>
                <w:highlight w:val="none"/>
              </w:rPr>
            </w:pPr>
          </w:p>
        </w:tc>
        <w:tc>
          <w:tcPr>
            <w:tcW w:w="790" w:type="dxa"/>
            <w:tcBorders>
              <w:right w:val="single" w:color="000000" w:sz="10" w:space="0"/>
            </w:tcBorders>
            <w:vAlign w:val="top"/>
          </w:tcPr>
          <w:p w14:paraId="2F61AF97">
            <w:pPr>
              <w:pageBreakBefore w:val="0"/>
              <w:wordWrap/>
              <w:overflowPunct/>
              <w:topLinePunct w:val="0"/>
              <w:bidi w:val="0"/>
              <w:outlineLvl w:val="9"/>
              <w:rPr>
                <w:rFonts w:hint="eastAsia" w:ascii="仿宋" w:hAnsi="仿宋" w:eastAsia="仿宋" w:cs="仿宋"/>
                <w:color w:val="auto"/>
                <w:sz w:val="24"/>
                <w:szCs w:val="24"/>
                <w:highlight w:val="none"/>
              </w:rPr>
            </w:pPr>
          </w:p>
        </w:tc>
      </w:tr>
      <w:tr w14:paraId="22E8E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705" w:type="dxa"/>
            <w:tcBorders>
              <w:left w:val="single" w:color="000000" w:sz="10" w:space="0"/>
            </w:tcBorders>
            <w:vAlign w:val="top"/>
          </w:tcPr>
          <w:p w14:paraId="11DA5175">
            <w:pPr>
              <w:pStyle w:val="28"/>
              <w:pageBreakBefore w:val="0"/>
              <w:wordWrap/>
              <w:overflowPunct/>
              <w:topLinePunct w:val="0"/>
              <w:bidi w:val="0"/>
              <w:spacing w:before="239" w:line="182" w:lineRule="auto"/>
              <w:ind w:left="299"/>
              <w:jc w:val="both"/>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7637" w:type="dxa"/>
            <w:vAlign w:val="top"/>
          </w:tcPr>
          <w:p w14:paraId="6D5B91C4">
            <w:pPr>
              <w:pStyle w:val="28"/>
              <w:pageBreakBefore w:val="0"/>
              <w:wordWrap/>
              <w:overflowPunct/>
              <w:topLinePunct w:val="0"/>
              <w:bidi w:val="0"/>
              <w:spacing w:before="94" w:line="268" w:lineRule="auto"/>
              <w:ind w:left="25" w:right="16" w:firstLine="10"/>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rPr>
              <w:t>良好的商业信誉和健全的财务会计制度证明材料（会计事务所出具的202</w:t>
            </w:r>
            <w:r>
              <w:rPr>
                <w:rFonts w:hint="eastAsia" w:ascii="仿宋" w:hAnsi="仿宋" w:eastAsia="仿宋" w:cs="仿宋"/>
                <w:color w:val="auto"/>
                <w:spacing w:val="2"/>
                <w:sz w:val="24"/>
                <w:szCs w:val="24"/>
                <w:highlight w:val="none"/>
                <w:lang w:val="en-US" w:eastAsia="zh-CN"/>
              </w:rPr>
              <w:t>3</w:t>
            </w:r>
            <w:r>
              <w:rPr>
                <w:rFonts w:hint="eastAsia" w:ascii="仿宋" w:hAnsi="仿宋" w:eastAsia="仿宋" w:cs="仿宋"/>
                <w:color w:val="auto"/>
                <w:spacing w:val="2"/>
                <w:sz w:val="24"/>
                <w:szCs w:val="24"/>
                <w:highlight w:val="none"/>
              </w:rPr>
              <w:t>年</w:t>
            </w:r>
            <w:r>
              <w:rPr>
                <w:rFonts w:hint="eastAsia" w:ascii="仿宋" w:hAnsi="仿宋" w:eastAsia="仿宋" w:cs="仿宋"/>
                <w:color w:val="auto"/>
                <w:spacing w:val="2"/>
                <w:sz w:val="24"/>
                <w:szCs w:val="24"/>
                <w:highlight w:val="none"/>
                <w:lang w:eastAsia="zh-CN"/>
              </w:rPr>
              <w:t>或</w:t>
            </w:r>
            <w:r>
              <w:rPr>
                <w:rFonts w:hint="eastAsia" w:ascii="仿宋" w:hAnsi="仿宋" w:eastAsia="仿宋" w:cs="仿宋"/>
                <w:color w:val="auto"/>
                <w:spacing w:val="2"/>
                <w:sz w:val="24"/>
                <w:szCs w:val="24"/>
                <w:highlight w:val="none"/>
                <w:lang w:val="en-US" w:eastAsia="zh-CN"/>
              </w:rPr>
              <w:t>2024年</w:t>
            </w:r>
            <w:r>
              <w:rPr>
                <w:rFonts w:hint="eastAsia" w:ascii="仿宋" w:hAnsi="仿宋" w:eastAsia="仿宋" w:cs="仿宋"/>
                <w:color w:val="auto"/>
                <w:spacing w:val="2"/>
                <w:sz w:val="24"/>
                <w:szCs w:val="24"/>
                <w:highlight w:val="none"/>
              </w:rPr>
              <w:t>的年度财务审计报告书；注册成立未满一年新公司</w:t>
            </w:r>
            <w:r>
              <w:rPr>
                <w:rFonts w:hint="eastAsia" w:ascii="仿宋" w:hAnsi="仿宋" w:eastAsia="仿宋" w:cs="仿宋"/>
                <w:color w:val="auto"/>
                <w:spacing w:val="2"/>
                <w:sz w:val="24"/>
                <w:szCs w:val="24"/>
                <w:highlight w:val="none"/>
                <w:lang w:val="en-US" w:eastAsia="zh-CN"/>
              </w:rPr>
              <w:t>需</w:t>
            </w:r>
            <w:r>
              <w:rPr>
                <w:rFonts w:hint="eastAsia" w:ascii="仿宋" w:hAnsi="仿宋" w:eastAsia="仿宋" w:cs="仿宋"/>
                <w:color w:val="auto"/>
                <w:spacing w:val="2"/>
                <w:sz w:val="24"/>
                <w:szCs w:val="24"/>
                <w:highlight w:val="none"/>
              </w:rPr>
              <w:t>提供银行资信证明）</w:t>
            </w:r>
            <w:r>
              <w:rPr>
                <w:rFonts w:hint="eastAsia" w:ascii="仿宋" w:hAnsi="仿宋" w:eastAsia="仿宋" w:cs="仿宋"/>
                <w:color w:val="auto"/>
                <w:spacing w:val="2"/>
                <w:sz w:val="24"/>
                <w:szCs w:val="24"/>
                <w:highlight w:val="none"/>
                <w:lang w:eastAsia="zh-CN"/>
              </w:rPr>
              <w:t>；</w:t>
            </w:r>
          </w:p>
        </w:tc>
        <w:tc>
          <w:tcPr>
            <w:tcW w:w="581" w:type="dxa"/>
            <w:vAlign w:val="top"/>
          </w:tcPr>
          <w:p w14:paraId="7C37805A">
            <w:pPr>
              <w:pageBreakBefore w:val="0"/>
              <w:wordWrap/>
              <w:overflowPunct/>
              <w:topLinePunct w:val="0"/>
              <w:bidi w:val="0"/>
              <w:outlineLvl w:val="9"/>
              <w:rPr>
                <w:rFonts w:hint="eastAsia" w:ascii="仿宋" w:hAnsi="仿宋" w:eastAsia="仿宋" w:cs="仿宋"/>
                <w:color w:val="auto"/>
                <w:sz w:val="24"/>
                <w:szCs w:val="24"/>
                <w:highlight w:val="none"/>
              </w:rPr>
            </w:pPr>
          </w:p>
        </w:tc>
        <w:tc>
          <w:tcPr>
            <w:tcW w:w="790" w:type="dxa"/>
            <w:tcBorders>
              <w:right w:val="single" w:color="000000" w:sz="10" w:space="0"/>
            </w:tcBorders>
            <w:vAlign w:val="top"/>
          </w:tcPr>
          <w:p w14:paraId="68457AAB">
            <w:pPr>
              <w:pageBreakBefore w:val="0"/>
              <w:wordWrap/>
              <w:overflowPunct/>
              <w:topLinePunct w:val="0"/>
              <w:bidi w:val="0"/>
              <w:outlineLvl w:val="9"/>
              <w:rPr>
                <w:rFonts w:hint="eastAsia" w:ascii="仿宋" w:hAnsi="仿宋" w:eastAsia="仿宋" w:cs="仿宋"/>
                <w:color w:val="auto"/>
                <w:sz w:val="24"/>
                <w:szCs w:val="24"/>
                <w:highlight w:val="none"/>
              </w:rPr>
            </w:pPr>
          </w:p>
        </w:tc>
      </w:tr>
      <w:tr w14:paraId="57084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9" w:hRule="atLeast"/>
        </w:trPr>
        <w:tc>
          <w:tcPr>
            <w:tcW w:w="705" w:type="dxa"/>
            <w:tcBorders>
              <w:left w:val="single" w:color="000000" w:sz="10" w:space="0"/>
            </w:tcBorders>
            <w:vAlign w:val="top"/>
          </w:tcPr>
          <w:p w14:paraId="28DB491E">
            <w:pPr>
              <w:pageBreakBefore w:val="0"/>
              <w:wordWrap/>
              <w:overflowPunct/>
              <w:topLinePunct w:val="0"/>
              <w:bidi w:val="0"/>
              <w:spacing w:line="293" w:lineRule="auto"/>
              <w:jc w:val="both"/>
              <w:outlineLvl w:val="9"/>
              <w:rPr>
                <w:rFonts w:hint="eastAsia" w:ascii="仿宋" w:hAnsi="仿宋" w:eastAsia="仿宋" w:cs="仿宋"/>
                <w:color w:val="auto"/>
                <w:sz w:val="24"/>
                <w:szCs w:val="24"/>
                <w:highlight w:val="none"/>
              </w:rPr>
            </w:pPr>
          </w:p>
          <w:p w14:paraId="597A4DCF">
            <w:pPr>
              <w:pageBreakBefore w:val="0"/>
              <w:wordWrap/>
              <w:overflowPunct/>
              <w:topLinePunct w:val="0"/>
              <w:bidi w:val="0"/>
              <w:spacing w:line="293" w:lineRule="auto"/>
              <w:jc w:val="both"/>
              <w:outlineLvl w:val="9"/>
              <w:rPr>
                <w:rFonts w:hint="eastAsia" w:ascii="仿宋" w:hAnsi="仿宋" w:eastAsia="仿宋" w:cs="仿宋"/>
                <w:color w:val="auto"/>
                <w:sz w:val="24"/>
                <w:szCs w:val="24"/>
                <w:highlight w:val="none"/>
              </w:rPr>
            </w:pPr>
          </w:p>
          <w:p w14:paraId="719FE92D">
            <w:pPr>
              <w:pageBreakBefore w:val="0"/>
              <w:wordWrap/>
              <w:overflowPunct/>
              <w:topLinePunct w:val="0"/>
              <w:bidi w:val="0"/>
              <w:spacing w:line="293" w:lineRule="auto"/>
              <w:jc w:val="both"/>
              <w:outlineLvl w:val="9"/>
              <w:rPr>
                <w:rFonts w:hint="eastAsia" w:ascii="仿宋" w:hAnsi="仿宋" w:eastAsia="仿宋" w:cs="仿宋"/>
                <w:color w:val="auto"/>
                <w:sz w:val="24"/>
                <w:szCs w:val="24"/>
                <w:highlight w:val="none"/>
              </w:rPr>
            </w:pPr>
          </w:p>
          <w:p w14:paraId="09D1F517">
            <w:pPr>
              <w:pageBreakBefore w:val="0"/>
              <w:wordWrap/>
              <w:overflowPunct/>
              <w:topLinePunct w:val="0"/>
              <w:bidi w:val="0"/>
              <w:spacing w:line="293" w:lineRule="auto"/>
              <w:jc w:val="both"/>
              <w:outlineLvl w:val="9"/>
              <w:rPr>
                <w:rFonts w:hint="eastAsia" w:ascii="仿宋" w:hAnsi="仿宋" w:eastAsia="仿宋" w:cs="仿宋"/>
                <w:color w:val="auto"/>
                <w:sz w:val="24"/>
                <w:szCs w:val="24"/>
                <w:highlight w:val="none"/>
              </w:rPr>
            </w:pPr>
          </w:p>
          <w:p w14:paraId="678977DB">
            <w:pPr>
              <w:pStyle w:val="28"/>
              <w:pageBreakBefore w:val="0"/>
              <w:wordWrap/>
              <w:overflowPunct/>
              <w:topLinePunct w:val="0"/>
              <w:bidi w:val="0"/>
              <w:spacing w:before="78" w:line="183" w:lineRule="auto"/>
              <w:ind w:left="294"/>
              <w:jc w:val="both"/>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7637" w:type="dxa"/>
            <w:vAlign w:val="top"/>
          </w:tcPr>
          <w:p w14:paraId="2973D24E">
            <w:pPr>
              <w:pStyle w:val="2"/>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color w:val="auto"/>
                <w:sz w:val="24"/>
                <w:szCs w:val="24"/>
                <w:highlight w:val="none"/>
              </w:rPr>
            </w:pPr>
            <w:r>
              <w:rPr>
                <w:rFonts w:hint="eastAsia" w:ascii="仿宋" w:hAnsi="仿宋" w:eastAsia="仿宋" w:cs="仿宋"/>
                <w:snapToGrid w:val="0"/>
                <w:color w:val="auto"/>
                <w:spacing w:val="2"/>
                <w:kern w:val="0"/>
                <w:sz w:val="24"/>
                <w:szCs w:val="24"/>
                <w:highlight w:val="none"/>
                <w:lang w:val="en-US" w:eastAsia="zh-CN" w:bidi="ar-SA"/>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tc>
        <w:tc>
          <w:tcPr>
            <w:tcW w:w="581" w:type="dxa"/>
            <w:vAlign w:val="top"/>
          </w:tcPr>
          <w:p w14:paraId="1C82EEBF">
            <w:pPr>
              <w:pageBreakBefore w:val="0"/>
              <w:wordWrap/>
              <w:overflowPunct/>
              <w:topLinePunct w:val="0"/>
              <w:bidi w:val="0"/>
              <w:outlineLvl w:val="9"/>
              <w:rPr>
                <w:rFonts w:hint="eastAsia" w:ascii="仿宋" w:hAnsi="仿宋" w:eastAsia="仿宋" w:cs="仿宋"/>
                <w:color w:val="auto"/>
                <w:sz w:val="24"/>
                <w:szCs w:val="24"/>
                <w:highlight w:val="none"/>
              </w:rPr>
            </w:pPr>
          </w:p>
        </w:tc>
        <w:tc>
          <w:tcPr>
            <w:tcW w:w="790" w:type="dxa"/>
            <w:tcBorders>
              <w:right w:val="single" w:color="000000" w:sz="10" w:space="0"/>
            </w:tcBorders>
            <w:vAlign w:val="top"/>
          </w:tcPr>
          <w:p w14:paraId="2D3E5C38">
            <w:pPr>
              <w:pageBreakBefore w:val="0"/>
              <w:wordWrap/>
              <w:overflowPunct/>
              <w:topLinePunct w:val="0"/>
              <w:bidi w:val="0"/>
              <w:outlineLvl w:val="9"/>
              <w:rPr>
                <w:rFonts w:hint="eastAsia" w:ascii="仿宋" w:hAnsi="仿宋" w:eastAsia="仿宋" w:cs="仿宋"/>
                <w:color w:val="auto"/>
                <w:sz w:val="24"/>
                <w:szCs w:val="24"/>
                <w:highlight w:val="none"/>
              </w:rPr>
            </w:pPr>
          </w:p>
        </w:tc>
      </w:tr>
      <w:tr w14:paraId="59A12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705" w:type="dxa"/>
            <w:tcBorders>
              <w:left w:val="single" w:color="000000" w:sz="10" w:space="0"/>
            </w:tcBorders>
            <w:vAlign w:val="top"/>
          </w:tcPr>
          <w:p w14:paraId="2BBEE827">
            <w:pPr>
              <w:pageBreakBefore w:val="0"/>
              <w:wordWrap/>
              <w:overflowPunct/>
              <w:topLinePunct w:val="0"/>
              <w:bidi w:val="0"/>
              <w:spacing w:line="295" w:lineRule="auto"/>
              <w:jc w:val="both"/>
              <w:outlineLvl w:val="9"/>
              <w:rPr>
                <w:rFonts w:hint="eastAsia" w:ascii="仿宋" w:hAnsi="仿宋" w:eastAsia="仿宋" w:cs="仿宋"/>
                <w:color w:val="auto"/>
                <w:sz w:val="24"/>
                <w:szCs w:val="24"/>
                <w:highlight w:val="none"/>
              </w:rPr>
            </w:pPr>
          </w:p>
          <w:p w14:paraId="7D40F4E9">
            <w:pPr>
              <w:pStyle w:val="28"/>
              <w:pageBreakBefore w:val="0"/>
              <w:wordWrap/>
              <w:overflowPunct/>
              <w:topLinePunct w:val="0"/>
              <w:bidi w:val="0"/>
              <w:spacing w:before="78" w:line="184" w:lineRule="auto"/>
              <w:ind w:left="251" w:leftChars="0"/>
              <w:jc w:val="both"/>
              <w:outlineLvl w:val="9"/>
              <w:rPr>
                <w:rFonts w:hint="eastAsia" w:ascii="仿宋" w:hAnsi="仿宋" w:eastAsia="仿宋" w:cs="仿宋"/>
                <w:sz w:val="24"/>
                <w:szCs w:val="24"/>
                <w:lang w:val="en-US" w:eastAsia="zh-CN"/>
              </w:rPr>
            </w:pPr>
            <w:r>
              <w:rPr>
                <w:rFonts w:hint="eastAsia" w:ascii="仿宋" w:hAnsi="仿宋" w:eastAsia="仿宋" w:cs="仿宋"/>
                <w:color w:val="auto"/>
                <w:spacing w:val="-14"/>
                <w:sz w:val="24"/>
                <w:szCs w:val="24"/>
                <w:highlight w:val="none"/>
              </w:rPr>
              <w:t>1</w:t>
            </w:r>
            <w:r>
              <w:rPr>
                <w:rFonts w:hint="eastAsia" w:ascii="仿宋" w:hAnsi="仿宋" w:eastAsia="仿宋" w:cs="仿宋"/>
                <w:color w:val="auto"/>
                <w:spacing w:val="-14"/>
                <w:sz w:val="24"/>
                <w:szCs w:val="24"/>
                <w:highlight w:val="none"/>
                <w:lang w:val="en-US" w:eastAsia="zh-CN"/>
              </w:rPr>
              <w:t>0</w:t>
            </w:r>
          </w:p>
        </w:tc>
        <w:tc>
          <w:tcPr>
            <w:tcW w:w="7637" w:type="dxa"/>
            <w:vAlign w:val="top"/>
          </w:tcPr>
          <w:p w14:paraId="71248BA6">
            <w:pPr>
              <w:keepNext w:val="0"/>
              <w:keepLines w:val="0"/>
              <w:pageBreakBefore w:val="0"/>
              <w:widowControl w:val="0"/>
              <w:kinsoku/>
              <w:wordWrap/>
              <w:overflowPunct/>
              <w:topLinePunct w:val="0"/>
              <w:autoSpaceDE/>
              <w:autoSpaceDN/>
              <w:bidi w:val="0"/>
              <w:adjustRightInd/>
              <w:spacing w:line="240" w:lineRule="atLeast"/>
              <w:textAlignment w:val="auto"/>
              <w:outlineLvl w:val="9"/>
              <w:rPr>
                <w:rFonts w:hint="eastAsia" w:ascii="仿宋" w:hAnsi="仿宋" w:eastAsia="仿宋" w:cs="仿宋"/>
                <w:snapToGrid w:val="0"/>
                <w:color w:val="auto"/>
                <w:spacing w:val="-5"/>
                <w:kern w:val="0"/>
                <w:sz w:val="24"/>
                <w:szCs w:val="24"/>
                <w:highlight w:val="none"/>
                <w:lang w:val="en-US" w:eastAsia="en-US" w:bidi="ar-SA"/>
              </w:rPr>
            </w:pPr>
            <w:r>
              <w:rPr>
                <w:rFonts w:hint="eastAsia" w:ascii="仿宋" w:hAnsi="仿宋" w:eastAsia="仿宋" w:cs="仿宋"/>
                <w:snapToGrid w:val="0"/>
                <w:color w:val="auto"/>
                <w:spacing w:val="-5"/>
                <w:kern w:val="0"/>
                <w:sz w:val="24"/>
                <w:szCs w:val="24"/>
                <w:highlight w:val="none"/>
                <w:lang w:val="en-US" w:eastAsia="en-US" w:bidi="ar-SA"/>
              </w:rPr>
              <w:t>投标单位按磋商文件要求提供缴纳磋商保证金的</w:t>
            </w:r>
            <w:r>
              <w:rPr>
                <w:rFonts w:hint="eastAsia" w:ascii="仿宋" w:hAnsi="仿宋" w:eastAsia="仿宋" w:cs="仿宋"/>
                <w:snapToGrid w:val="0"/>
                <w:color w:val="auto"/>
                <w:spacing w:val="-5"/>
                <w:kern w:val="0"/>
                <w:sz w:val="24"/>
                <w:szCs w:val="24"/>
                <w:highlight w:val="none"/>
                <w:lang w:val="en-US" w:eastAsia="zh-CN" w:bidi="ar-SA"/>
              </w:rPr>
              <w:t>缴款凭证或金融机构、担保机构出具的保函；</w:t>
            </w:r>
          </w:p>
        </w:tc>
        <w:tc>
          <w:tcPr>
            <w:tcW w:w="581" w:type="dxa"/>
            <w:tcBorders>
              <w:right w:val="single" w:color="000000" w:sz="2" w:space="0"/>
            </w:tcBorders>
            <w:vAlign w:val="top"/>
          </w:tcPr>
          <w:p w14:paraId="015BE32B">
            <w:pPr>
              <w:pageBreakBefore w:val="0"/>
              <w:wordWrap/>
              <w:overflowPunct/>
              <w:topLinePunct w:val="0"/>
              <w:bidi w:val="0"/>
              <w:outlineLvl w:val="9"/>
              <w:rPr>
                <w:rFonts w:hint="eastAsia" w:ascii="仿宋" w:hAnsi="仿宋" w:eastAsia="仿宋" w:cs="仿宋"/>
                <w:color w:val="auto"/>
                <w:sz w:val="24"/>
                <w:szCs w:val="24"/>
                <w:highlight w:val="none"/>
              </w:rPr>
            </w:pPr>
          </w:p>
        </w:tc>
        <w:tc>
          <w:tcPr>
            <w:tcW w:w="790" w:type="dxa"/>
            <w:tcBorders>
              <w:left w:val="single" w:color="000000" w:sz="2" w:space="0"/>
              <w:right w:val="single" w:color="000000" w:sz="10" w:space="0"/>
            </w:tcBorders>
            <w:vAlign w:val="top"/>
          </w:tcPr>
          <w:p w14:paraId="00368B9B">
            <w:pPr>
              <w:pageBreakBefore w:val="0"/>
              <w:wordWrap/>
              <w:overflowPunct/>
              <w:topLinePunct w:val="0"/>
              <w:bidi w:val="0"/>
              <w:outlineLvl w:val="9"/>
              <w:rPr>
                <w:rFonts w:hint="eastAsia" w:ascii="仿宋" w:hAnsi="仿宋" w:eastAsia="仿宋" w:cs="仿宋"/>
                <w:color w:val="auto"/>
                <w:sz w:val="24"/>
                <w:szCs w:val="24"/>
                <w:highlight w:val="none"/>
              </w:rPr>
            </w:pPr>
          </w:p>
        </w:tc>
      </w:tr>
      <w:tr w14:paraId="69407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705" w:type="dxa"/>
            <w:tcBorders>
              <w:left w:val="single" w:color="000000" w:sz="10" w:space="0"/>
            </w:tcBorders>
            <w:vAlign w:val="top"/>
          </w:tcPr>
          <w:p w14:paraId="02B73CA6">
            <w:pPr>
              <w:pStyle w:val="28"/>
              <w:pageBreakBefore w:val="0"/>
              <w:wordWrap/>
              <w:overflowPunct/>
              <w:topLinePunct w:val="0"/>
              <w:bidi w:val="0"/>
              <w:spacing w:before="168" w:line="220" w:lineRule="auto"/>
              <w:ind w:firstLine="240" w:firstLineChars="100"/>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7637" w:type="dxa"/>
            <w:tcBorders>
              <w:left w:val="single" w:color="000000" w:sz="10" w:space="0"/>
            </w:tcBorders>
            <w:vAlign w:val="top"/>
          </w:tcPr>
          <w:p w14:paraId="4CF87B27">
            <w:pPr>
              <w:pStyle w:val="28"/>
              <w:pageBreakBefore w:val="0"/>
              <w:wordWrap/>
              <w:overflowPunct/>
              <w:topLinePunct w:val="0"/>
              <w:bidi w:val="0"/>
              <w:spacing w:before="168" w:line="220" w:lineRule="auto"/>
              <w:ind w:left="112"/>
              <w:jc w:val="both"/>
              <w:outlineLvl w:val="9"/>
              <w:rPr>
                <w:rFonts w:hint="eastAsia" w:ascii="仿宋" w:hAnsi="仿宋" w:eastAsia="仿宋" w:cs="仿宋"/>
                <w:color w:val="auto"/>
                <w:sz w:val="24"/>
                <w:szCs w:val="24"/>
                <w:highlight w:val="none"/>
              </w:rPr>
            </w:pPr>
            <w:r>
              <w:rPr>
                <w:rFonts w:hint="eastAsia" w:ascii="仿宋" w:hAnsi="仿宋" w:eastAsia="仿宋" w:cs="仿宋"/>
                <w:snapToGrid w:val="0"/>
                <w:color w:val="auto"/>
                <w:spacing w:val="-5"/>
                <w:kern w:val="0"/>
                <w:sz w:val="24"/>
                <w:szCs w:val="24"/>
                <w:highlight w:val="none"/>
                <w:lang w:val="en-US" w:eastAsia="zh-CN" w:bidi="ar-SA"/>
              </w:rPr>
              <w:t>供应商为中小企业</w:t>
            </w:r>
          </w:p>
        </w:tc>
        <w:tc>
          <w:tcPr>
            <w:tcW w:w="581" w:type="dxa"/>
            <w:vAlign w:val="top"/>
          </w:tcPr>
          <w:p w14:paraId="636D4504">
            <w:pPr>
              <w:pageBreakBefore w:val="0"/>
              <w:wordWrap/>
              <w:overflowPunct/>
              <w:topLinePunct w:val="0"/>
              <w:bidi w:val="0"/>
              <w:outlineLvl w:val="9"/>
              <w:rPr>
                <w:rFonts w:hint="eastAsia" w:ascii="仿宋" w:hAnsi="仿宋" w:eastAsia="仿宋" w:cs="仿宋"/>
                <w:color w:val="auto"/>
                <w:sz w:val="24"/>
                <w:szCs w:val="24"/>
                <w:highlight w:val="none"/>
              </w:rPr>
            </w:pPr>
          </w:p>
        </w:tc>
        <w:tc>
          <w:tcPr>
            <w:tcW w:w="790" w:type="dxa"/>
            <w:tcBorders>
              <w:right w:val="single" w:color="000000" w:sz="10" w:space="0"/>
            </w:tcBorders>
            <w:vAlign w:val="top"/>
          </w:tcPr>
          <w:p w14:paraId="6B850B6B">
            <w:pPr>
              <w:pageBreakBefore w:val="0"/>
              <w:wordWrap/>
              <w:overflowPunct/>
              <w:topLinePunct w:val="0"/>
              <w:bidi w:val="0"/>
              <w:outlineLvl w:val="9"/>
              <w:rPr>
                <w:rFonts w:hint="eastAsia" w:ascii="仿宋" w:hAnsi="仿宋" w:eastAsia="仿宋" w:cs="仿宋"/>
                <w:color w:val="auto"/>
                <w:sz w:val="24"/>
                <w:szCs w:val="24"/>
                <w:highlight w:val="none"/>
              </w:rPr>
            </w:pPr>
          </w:p>
        </w:tc>
      </w:tr>
      <w:tr w14:paraId="3BFE3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05" w:type="dxa"/>
            <w:tcBorders>
              <w:left w:val="single" w:color="000000" w:sz="10" w:space="0"/>
            </w:tcBorders>
            <w:vAlign w:val="top"/>
          </w:tcPr>
          <w:p w14:paraId="538E9608">
            <w:pPr>
              <w:pStyle w:val="28"/>
              <w:pageBreakBefore w:val="0"/>
              <w:wordWrap/>
              <w:overflowPunct/>
              <w:topLinePunct w:val="0"/>
              <w:bidi w:val="0"/>
              <w:spacing w:before="168" w:line="220" w:lineRule="auto"/>
              <w:ind w:firstLine="240" w:firstLineChars="100"/>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7637" w:type="dxa"/>
            <w:tcBorders>
              <w:left w:val="single" w:color="000000" w:sz="10" w:space="0"/>
            </w:tcBorders>
            <w:vAlign w:val="top"/>
          </w:tcPr>
          <w:p w14:paraId="4598F215">
            <w:pPr>
              <w:pStyle w:val="28"/>
              <w:pageBreakBefore w:val="0"/>
              <w:wordWrap/>
              <w:overflowPunct/>
              <w:topLinePunct w:val="0"/>
              <w:bidi w:val="0"/>
              <w:spacing w:before="168" w:line="220" w:lineRule="auto"/>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本项目不接受联合体投标。</w:t>
            </w:r>
          </w:p>
        </w:tc>
        <w:tc>
          <w:tcPr>
            <w:tcW w:w="581" w:type="dxa"/>
            <w:vAlign w:val="top"/>
          </w:tcPr>
          <w:p w14:paraId="4EFA28F1">
            <w:pPr>
              <w:pStyle w:val="28"/>
              <w:pageBreakBefore w:val="0"/>
              <w:wordWrap/>
              <w:overflowPunct/>
              <w:topLinePunct w:val="0"/>
              <w:bidi w:val="0"/>
              <w:spacing w:before="168" w:line="220" w:lineRule="auto"/>
              <w:ind w:firstLine="240" w:firstLineChars="100"/>
              <w:jc w:val="both"/>
              <w:outlineLvl w:val="9"/>
              <w:rPr>
                <w:rFonts w:hint="eastAsia" w:ascii="仿宋" w:hAnsi="仿宋" w:eastAsia="仿宋" w:cs="仿宋"/>
                <w:color w:val="auto"/>
                <w:sz w:val="24"/>
                <w:szCs w:val="24"/>
                <w:highlight w:val="none"/>
                <w:lang w:val="en-US" w:eastAsia="zh-CN"/>
              </w:rPr>
            </w:pPr>
          </w:p>
        </w:tc>
        <w:tc>
          <w:tcPr>
            <w:tcW w:w="790" w:type="dxa"/>
            <w:tcBorders>
              <w:right w:val="single" w:color="000000" w:sz="10" w:space="0"/>
            </w:tcBorders>
            <w:vAlign w:val="top"/>
          </w:tcPr>
          <w:p w14:paraId="2B3F428E">
            <w:pPr>
              <w:pStyle w:val="28"/>
              <w:pageBreakBefore w:val="0"/>
              <w:wordWrap/>
              <w:overflowPunct/>
              <w:topLinePunct w:val="0"/>
              <w:bidi w:val="0"/>
              <w:spacing w:before="168" w:line="220" w:lineRule="auto"/>
              <w:ind w:firstLine="240" w:firstLineChars="100"/>
              <w:jc w:val="both"/>
              <w:outlineLvl w:val="9"/>
              <w:rPr>
                <w:rFonts w:hint="eastAsia" w:ascii="仿宋" w:hAnsi="仿宋" w:eastAsia="仿宋" w:cs="仿宋"/>
                <w:color w:val="auto"/>
                <w:sz w:val="24"/>
                <w:szCs w:val="24"/>
                <w:highlight w:val="none"/>
                <w:lang w:val="en-US" w:eastAsia="zh-CN"/>
              </w:rPr>
            </w:pPr>
          </w:p>
        </w:tc>
      </w:tr>
      <w:tr w14:paraId="1E5C8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342" w:type="dxa"/>
            <w:gridSpan w:val="2"/>
            <w:tcBorders>
              <w:left w:val="single" w:color="000000" w:sz="10" w:space="0"/>
              <w:bottom w:val="single" w:color="000000" w:sz="10" w:space="0"/>
            </w:tcBorders>
            <w:vAlign w:val="top"/>
          </w:tcPr>
          <w:p w14:paraId="1E0B886E">
            <w:pPr>
              <w:pStyle w:val="28"/>
              <w:pageBreakBefore w:val="0"/>
              <w:wordWrap/>
              <w:overflowPunct/>
              <w:topLinePunct w:val="0"/>
              <w:bidi w:val="0"/>
              <w:spacing w:before="168" w:line="220" w:lineRule="auto"/>
              <w:ind w:left="112" w:leftChars="0"/>
              <w:jc w:val="both"/>
              <w:outlineLvl w:val="9"/>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color w:val="auto"/>
                <w:spacing w:val="-2"/>
                <w:sz w:val="24"/>
                <w:szCs w:val="24"/>
                <w:highlight w:val="none"/>
              </w:rPr>
              <w:t>结论：是否通过评审</w:t>
            </w:r>
          </w:p>
        </w:tc>
        <w:tc>
          <w:tcPr>
            <w:tcW w:w="581" w:type="dxa"/>
            <w:tcBorders>
              <w:bottom w:val="single" w:color="000000" w:sz="10" w:space="0"/>
            </w:tcBorders>
            <w:vAlign w:val="top"/>
          </w:tcPr>
          <w:p w14:paraId="067AE951">
            <w:pPr>
              <w:pageBreakBefore w:val="0"/>
              <w:wordWrap/>
              <w:overflowPunct/>
              <w:topLinePunct w:val="0"/>
              <w:bidi w:val="0"/>
              <w:outlineLvl w:val="9"/>
              <w:rPr>
                <w:rFonts w:hint="eastAsia" w:ascii="仿宋" w:hAnsi="仿宋" w:eastAsia="仿宋" w:cs="仿宋"/>
                <w:snapToGrid w:val="0"/>
                <w:color w:val="auto"/>
                <w:kern w:val="0"/>
                <w:sz w:val="24"/>
                <w:szCs w:val="24"/>
                <w:highlight w:val="none"/>
                <w:lang w:val="en-US" w:eastAsia="en-US" w:bidi="ar-SA"/>
              </w:rPr>
            </w:pPr>
          </w:p>
        </w:tc>
        <w:tc>
          <w:tcPr>
            <w:tcW w:w="790" w:type="dxa"/>
            <w:tcBorders>
              <w:bottom w:val="single" w:color="000000" w:sz="10" w:space="0"/>
              <w:right w:val="single" w:color="000000" w:sz="10" w:space="0"/>
            </w:tcBorders>
            <w:vAlign w:val="top"/>
          </w:tcPr>
          <w:p w14:paraId="104B4409">
            <w:pPr>
              <w:pageBreakBefore w:val="0"/>
              <w:wordWrap/>
              <w:overflowPunct/>
              <w:topLinePunct w:val="0"/>
              <w:bidi w:val="0"/>
              <w:outlineLvl w:val="9"/>
              <w:rPr>
                <w:rFonts w:hint="eastAsia" w:ascii="仿宋" w:hAnsi="仿宋" w:eastAsia="仿宋" w:cs="仿宋"/>
                <w:snapToGrid w:val="0"/>
                <w:color w:val="auto"/>
                <w:kern w:val="0"/>
                <w:sz w:val="24"/>
                <w:szCs w:val="24"/>
                <w:highlight w:val="none"/>
                <w:lang w:val="en-US" w:eastAsia="en-US" w:bidi="ar-SA"/>
              </w:rPr>
            </w:pPr>
          </w:p>
        </w:tc>
      </w:tr>
    </w:tbl>
    <w:p w14:paraId="3E6AE4F4">
      <w:pPr>
        <w:pageBreakBefore w:val="0"/>
        <w:wordWrap/>
        <w:overflowPunct/>
        <w:topLinePunct w:val="0"/>
        <w:bidi w:val="0"/>
        <w:spacing w:line="266" w:lineRule="auto"/>
        <w:outlineLvl w:val="9"/>
        <w:rPr>
          <w:rFonts w:hint="eastAsia" w:ascii="仿宋" w:hAnsi="仿宋" w:eastAsia="仿宋" w:cs="仿宋"/>
          <w:color w:val="auto"/>
          <w:sz w:val="24"/>
          <w:szCs w:val="24"/>
          <w:highlight w:val="none"/>
        </w:rPr>
      </w:pPr>
    </w:p>
    <w:p w14:paraId="345A14BB">
      <w:pPr>
        <w:pStyle w:val="2"/>
        <w:pageBreakBefore w:val="0"/>
        <w:wordWrap/>
        <w:overflowPunct/>
        <w:topLinePunct w:val="0"/>
        <w:bidi w:val="0"/>
        <w:spacing w:line="360" w:lineRule="auto"/>
        <w:ind w:left="0"/>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4.1.2</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2"/>
          <w:sz w:val="24"/>
          <w:szCs w:val="24"/>
          <w:highlight w:val="none"/>
        </w:rPr>
        <w:t>符合性检查</w:t>
      </w:r>
    </w:p>
    <w:p w14:paraId="12AFB8AC">
      <w:pPr>
        <w:pStyle w:val="2"/>
        <w:pageBreakBefore w:val="0"/>
        <w:wordWrap/>
        <w:overflowPunct/>
        <w:topLinePunct w:val="0"/>
        <w:bidi w:val="0"/>
        <w:spacing w:line="360" w:lineRule="auto"/>
        <w:ind w:left="0" w:right="0" w:firstLine="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"4.1.2.1"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2"/>
          <w:sz w:val="24"/>
          <w:szCs w:val="24"/>
          <w:highlight w:val="none"/>
        </w:rPr>
        <w:t>4.1.2.1</w:t>
      </w:r>
      <w:r>
        <w:rPr>
          <w:rFonts w:hint="eastAsia" w:ascii="仿宋" w:hAnsi="仿宋" w:eastAsia="仿宋" w:cs="仿宋"/>
          <w:color w:val="auto"/>
          <w:spacing w:val="-2"/>
          <w:sz w:val="24"/>
          <w:szCs w:val="24"/>
          <w:highlight w:val="none"/>
        </w:rPr>
        <w:fldChar w:fldCharType="end"/>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2"/>
          <w:sz w:val="24"/>
          <w:szCs w:val="24"/>
          <w:highlight w:val="none"/>
        </w:rPr>
        <w:t>依据磋商文件的规定，从响应文件的响应程度进行审查，以确定是</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否对磋商文件的实质性要求作出响应。评标委员会评标响应文件</w:t>
      </w:r>
      <w:r>
        <w:rPr>
          <w:rFonts w:hint="eastAsia" w:ascii="仿宋" w:hAnsi="仿宋" w:eastAsia="仿宋" w:cs="仿宋"/>
          <w:color w:val="auto"/>
          <w:spacing w:val="-4"/>
          <w:sz w:val="24"/>
          <w:szCs w:val="24"/>
          <w:highlight w:val="none"/>
        </w:rPr>
        <w:t>的响应性只根据</w:t>
      </w:r>
    </w:p>
    <w:p w14:paraId="4F412C78">
      <w:pPr>
        <w:pStyle w:val="2"/>
        <w:pageBreakBefore w:val="0"/>
        <w:wordWrap/>
        <w:overflowPunct/>
        <w:topLinePunct w:val="0"/>
        <w:bidi w:val="0"/>
        <w:spacing w:line="360" w:lineRule="auto"/>
        <w:ind w:left="0" w:right="0" w:firstLine="0"/>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响应文件真实无误的内容，而不依据外部的证据，但</w:t>
      </w:r>
      <w:r>
        <w:rPr>
          <w:rFonts w:hint="eastAsia" w:ascii="仿宋" w:hAnsi="仿宋" w:eastAsia="仿宋" w:cs="仿宋"/>
          <w:color w:val="auto"/>
          <w:spacing w:val="-4"/>
          <w:sz w:val="24"/>
          <w:szCs w:val="24"/>
          <w:highlight w:val="none"/>
        </w:rPr>
        <w:t>响应文件有不真实、不正确</w:t>
      </w:r>
      <w:r>
        <w:rPr>
          <w:rFonts w:hint="eastAsia" w:ascii="仿宋" w:hAnsi="仿宋" w:eastAsia="仿宋" w:cs="仿宋"/>
          <w:color w:val="auto"/>
          <w:spacing w:val="-5"/>
          <w:sz w:val="24"/>
          <w:szCs w:val="24"/>
          <w:highlight w:val="none"/>
        </w:rPr>
        <w:t>的内容时除外。</w:t>
      </w:r>
    </w:p>
    <w:p w14:paraId="00C45122">
      <w:pPr>
        <w:pStyle w:val="2"/>
        <w:pageBreakBefore w:val="0"/>
        <w:wordWrap/>
        <w:overflowPunct/>
        <w:topLinePunct w:val="0"/>
        <w:bidi w:val="0"/>
        <w:spacing w:line="360" w:lineRule="auto"/>
        <w:ind w:left="0" w:right="0" w:firstLine="0"/>
        <w:outlineLvl w:val="9"/>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fldChar w:fldCharType="begin"/>
      </w:r>
      <w:r>
        <w:rPr>
          <w:rFonts w:hint="eastAsia" w:ascii="仿宋" w:hAnsi="仿宋" w:eastAsia="仿宋" w:cs="仿宋"/>
          <w:color w:val="auto"/>
          <w:spacing w:val="-3"/>
          <w:sz w:val="24"/>
          <w:szCs w:val="24"/>
          <w:highlight w:val="none"/>
        </w:rPr>
        <w:instrText xml:space="preserve"> HYPERLINK "4.1.2.2" </w:instrText>
      </w:r>
      <w:r>
        <w:rPr>
          <w:rFonts w:hint="eastAsia" w:ascii="仿宋" w:hAnsi="仿宋" w:eastAsia="仿宋" w:cs="仿宋"/>
          <w:color w:val="auto"/>
          <w:spacing w:val="-3"/>
          <w:sz w:val="24"/>
          <w:szCs w:val="24"/>
          <w:highlight w:val="none"/>
        </w:rPr>
        <w:fldChar w:fldCharType="separate"/>
      </w:r>
      <w:r>
        <w:rPr>
          <w:rFonts w:hint="eastAsia" w:ascii="仿宋" w:hAnsi="仿宋" w:eastAsia="仿宋" w:cs="仿宋"/>
          <w:color w:val="auto"/>
          <w:spacing w:val="-3"/>
          <w:sz w:val="24"/>
          <w:szCs w:val="24"/>
          <w:highlight w:val="none"/>
        </w:rPr>
        <w:t>4.1.2.2</w:t>
      </w:r>
      <w:r>
        <w:rPr>
          <w:rFonts w:hint="eastAsia" w:ascii="仿宋" w:hAnsi="仿宋" w:eastAsia="仿宋" w:cs="仿宋"/>
          <w:color w:val="auto"/>
          <w:spacing w:val="-3"/>
          <w:sz w:val="24"/>
          <w:szCs w:val="24"/>
          <w:highlight w:val="none"/>
        </w:rPr>
        <w:fldChar w:fldCharType="end"/>
      </w:r>
      <w:r>
        <w:rPr>
          <w:rFonts w:hint="eastAsia" w:ascii="仿宋" w:hAnsi="仿宋" w:eastAsia="仿宋" w:cs="仿宋"/>
          <w:color w:val="auto"/>
          <w:spacing w:val="-3"/>
          <w:sz w:val="24"/>
          <w:szCs w:val="24"/>
          <w:highlight w:val="none"/>
        </w:rPr>
        <w:t xml:space="preserve"> 投标人不得通过修正或撤销不符合要求的偏离从而使其投标成为实质上响应的投标。</w:t>
      </w:r>
    </w:p>
    <w:p w14:paraId="67A94756">
      <w:pPr>
        <w:pageBreakBefore w:val="0"/>
        <w:wordWrap/>
        <w:overflowPunct/>
        <w:topLinePunct w:val="0"/>
        <w:bidi w:val="0"/>
        <w:spacing w:line="261" w:lineRule="auto"/>
        <w:outlineLvl w:val="9"/>
        <w:rPr>
          <w:rFonts w:hint="eastAsia" w:ascii="仿宋" w:hAnsi="仿宋" w:eastAsia="仿宋" w:cs="仿宋"/>
          <w:color w:val="auto"/>
          <w:sz w:val="24"/>
          <w:szCs w:val="24"/>
          <w:highlight w:val="none"/>
        </w:rPr>
      </w:pPr>
    </w:p>
    <w:p w14:paraId="31EDF3EE">
      <w:pPr>
        <w:pStyle w:val="2"/>
        <w:pageBreakBefore w:val="0"/>
        <w:wordWrap/>
        <w:overflowPunct/>
        <w:topLinePunct w:val="0"/>
        <w:bidi w:val="0"/>
        <w:spacing w:before="78" w:line="219" w:lineRule="auto"/>
        <w:ind w:left="3563"/>
        <w:outlineLvl w:val="9"/>
        <w:rPr>
          <w:rFonts w:hint="eastAsia" w:ascii="仿宋" w:hAnsi="仿宋" w:eastAsia="仿宋" w:cs="仿宋"/>
          <w:color w:val="auto"/>
          <w:sz w:val="32"/>
          <w:szCs w:val="32"/>
          <w:highlight w:val="none"/>
        </w:rPr>
      </w:pPr>
      <w:r>
        <w:rPr>
          <w:rFonts w:hint="eastAsia" w:ascii="仿宋" w:hAnsi="仿宋" w:eastAsia="仿宋" w:cs="仿宋"/>
          <w:b/>
          <w:bCs/>
          <w:color w:val="auto"/>
          <w:spacing w:val="-4"/>
          <w:sz w:val="32"/>
          <w:szCs w:val="32"/>
          <w:highlight w:val="none"/>
        </w:rPr>
        <w:t>符合性检查表</w:t>
      </w:r>
    </w:p>
    <w:p w14:paraId="38E9629A">
      <w:pPr>
        <w:pageBreakBefore w:val="0"/>
        <w:wordWrap/>
        <w:overflowPunct/>
        <w:topLinePunct w:val="0"/>
        <w:bidi w:val="0"/>
        <w:spacing w:before="43"/>
        <w:outlineLvl w:val="9"/>
        <w:rPr>
          <w:rFonts w:hint="eastAsia" w:ascii="仿宋" w:hAnsi="仿宋" w:eastAsia="仿宋" w:cs="仿宋"/>
          <w:color w:val="auto"/>
          <w:sz w:val="24"/>
          <w:szCs w:val="24"/>
          <w:highlight w:val="none"/>
        </w:rPr>
      </w:pPr>
    </w:p>
    <w:tbl>
      <w:tblPr>
        <w:tblStyle w:val="26"/>
        <w:tblW w:w="852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803"/>
        <w:gridCol w:w="4738"/>
        <w:gridCol w:w="1015"/>
        <w:gridCol w:w="1146"/>
      </w:tblGrid>
      <w:tr w14:paraId="13DCC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821" w:type="dxa"/>
            <w:vMerge w:val="restart"/>
            <w:tcBorders>
              <w:top w:val="single" w:color="000000" w:sz="10" w:space="0"/>
              <w:left w:val="single" w:color="000000" w:sz="10" w:space="0"/>
              <w:bottom w:val="nil"/>
            </w:tcBorders>
            <w:vAlign w:val="top"/>
          </w:tcPr>
          <w:p w14:paraId="3C261997">
            <w:pPr>
              <w:pageBreakBefore w:val="0"/>
              <w:wordWrap/>
              <w:overflowPunct/>
              <w:topLinePunct w:val="0"/>
              <w:bidi w:val="0"/>
              <w:spacing w:line="277" w:lineRule="auto"/>
              <w:outlineLvl w:val="9"/>
              <w:rPr>
                <w:rFonts w:hint="eastAsia" w:ascii="仿宋" w:hAnsi="仿宋" w:eastAsia="仿宋" w:cs="仿宋"/>
                <w:color w:val="auto"/>
                <w:sz w:val="24"/>
                <w:szCs w:val="24"/>
                <w:highlight w:val="none"/>
              </w:rPr>
            </w:pPr>
          </w:p>
          <w:p w14:paraId="33F40CE4">
            <w:pPr>
              <w:pStyle w:val="28"/>
              <w:pageBreakBefore w:val="0"/>
              <w:wordWrap/>
              <w:overflowPunct/>
              <w:topLinePunct w:val="0"/>
              <w:bidi w:val="0"/>
              <w:spacing w:before="79" w:line="220" w:lineRule="auto"/>
              <w:ind w:left="165"/>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10"/>
                <w:sz w:val="24"/>
                <w:szCs w:val="24"/>
                <w:highlight w:val="none"/>
              </w:rPr>
              <w:t>项目</w:t>
            </w:r>
          </w:p>
        </w:tc>
        <w:tc>
          <w:tcPr>
            <w:tcW w:w="5541" w:type="dxa"/>
            <w:gridSpan w:val="2"/>
            <w:vMerge w:val="restart"/>
            <w:tcBorders>
              <w:top w:val="single" w:color="000000" w:sz="10" w:space="0"/>
              <w:bottom w:val="nil"/>
            </w:tcBorders>
            <w:vAlign w:val="top"/>
          </w:tcPr>
          <w:p w14:paraId="38870770">
            <w:pPr>
              <w:pageBreakBefore w:val="0"/>
              <w:wordWrap/>
              <w:overflowPunct/>
              <w:topLinePunct w:val="0"/>
              <w:bidi w:val="0"/>
              <w:spacing w:line="278" w:lineRule="auto"/>
              <w:outlineLvl w:val="9"/>
              <w:rPr>
                <w:rFonts w:hint="eastAsia" w:ascii="仿宋" w:hAnsi="仿宋" w:eastAsia="仿宋" w:cs="仿宋"/>
                <w:color w:val="auto"/>
                <w:sz w:val="24"/>
                <w:szCs w:val="24"/>
                <w:highlight w:val="none"/>
              </w:rPr>
            </w:pPr>
          </w:p>
          <w:p w14:paraId="7853D828">
            <w:pPr>
              <w:pStyle w:val="28"/>
              <w:pageBreakBefore w:val="0"/>
              <w:wordWrap/>
              <w:overflowPunct/>
              <w:topLinePunct w:val="0"/>
              <w:bidi w:val="0"/>
              <w:spacing w:before="78" w:line="219" w:lineRule="auto"/>
              <w:ind w:left="2289"/>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评审内容</w:t>
            </w:r>
          </w:p>
        </w:tc>
        <w:tc>
          <w:tcPr>
            <w:tcW w:w="2161" w:type="dxa"/>
            <w:gridSpan w:val="2"/>
            <w:tcBorders>
              <w:top w:val="single" w:color="000000" w:sz="10" w:space="0"/>
              <w:right w:val="single" w:color="000000" w:sz="10" w:space="0"/>
            </w:tcBorders>
            <w:vAlign w:val="top"/>
          </w:tcPr>
          <w:p w14:paraId="1D6DC761">
            <w:pPr>
              <w:pStyle w:val="28"/>
              <w:pageBreakBefore w:val="0"/>
              <w:wordWrap/>
              <w:overflowPunct/>
              <w:topLinePunct w:val="0"/>
              <w:bidi w:val="0"/>
              <w:spacing w:before="40"/>
              <w:ind w:left="845"/>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评审</w:t>
            </w:r>
          </w:p>
          <w:p w14:paraId="1A86B6CE">
            <w:pPr>
              <w:pStyle w:val="28"/>
              <w:pageBreakBefore w:val="0"/>
              <w:wordWrap/>
              <w:overflowPunct/>
              <w:topLinePunct w:val="0"/>
              <w:bidi w:val="0"/>
              <w:spacing w:before="1" w:line="207" w:lineRule="auto"/>
              <w:ind w:left="853"/>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11"/>
                <w:sz w:val="24"/>
                <w:szCs w:val="24"/>
                <w:highlight w:val="none"/>
              </w:rPr>
              <w:t>意见</w:t>
            </w:r>
          </w:p>
        </w:tc>
      </w:tr>
      <w:tr w14:paraId="132E9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821" w:type="dxa"/>
            <w:vMerge w:val="continue"/>
            <w:tcBorders>
              <w:top w:val="nil"/>
              <w:left w:val="single" w:color="000000" w:sz="10" w:space="0"/>
              <w:bottom w:val="single" w:color="000000" w:sz="2" w:space="0"/>
            </w:tcBorders>
            <w:vAlign w:val="top"/>
          </w:tcPr>
          <w:p w14:paraId="7505312F">
            <w:pPr>
              <w:pageBreakBefore w:val="0"/>
              <w:wordWrap/>
              <w:overflowPunct/>
              <w:topLinePunct w:val="0"/>
              <w:bidi w:val="0"/>
              <w:outlineLvl w:val="9"/>
              <w:rPr>
                <w:rFonts w:hint="eastAsia" w:ascii="仿宋" w:hAnsi="仿宋" w:eastAsia="仿宋" w:cs="仿宋"/>
                <w:color w:val="auto"/>
                <w:sz w:val="24"/>
                <w:szCs w:val="24"/>
                <w:highlight w:val="none"/>
              </w:rPr>
            </w:pPr>
          </w:p>
        </w:tc>
        <w:tc>
          <w:tcPr>
            <w:tcW w:w="5541" w:type="dxa"/>
            <w:gridSpan w:val="2"/>
            <w:vMerge w:val="continue"/>
            <w:tcBorders>
              <w:top w:val="nil"/>
            </w:tcBorders>
            <w:vAlign w:val="top"/>
          </w:tcPr>
          <w:p w14:paraId="0BA49385">
            <w:pPr>
              <w:pageBreakBefore w:val="0"/>
              <w:wordWrap/>
              <w:overflowPunct/>
              <w:topLinePunct w:val="0"/>
              <w:bidi w:val="0"/>
              <w:outlineLvl w:val="9"/>
              <w:rPr>
                <w:rFonts w:hint="eastAsia" w:ascii="仿宋" w:hAnsi="仿宋" w:eastAsia="仿宋" w:cs="仿宋"/>
                <w:color w:val="auto"/>
                <w:sz w:val="24"/>
                <w:szCs w:val="24"/>
                <w:highlight w:val="none"/>
              </w:rPr>
            </w:pPr>
          </w:p>
        </w:tc>
        <w:tc>
          <w:tcPr>
            <w:tcW w:w="1015" w:type="dxa"/>
            <w:vAlign w:val="top"/>
          </w:tcPr>
          <w:p w14:paraId="0269543E">
            <w:pPr>
              <w:pStyle w:val="28"/>
              <w:pageBreakBefore w:val="0"/>
              <w:wordWrap/>
              <w:overflowPunct/>
              <w:topLinePunct w:val="0"/>
              <w:bidi w:val="0"/>
              <w:spacing w:before="33" w:line="207" w:lineRule="auto"/>
              <w:ind w:left="404"/>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rPr>
              <w:t>是</w:t>
            </w:r>
          </w:p>
        </w:tc>
        <w:tc>
          <w:tcPr>
            <w:tcW w:w="1146" w:type="dxa"/>
            <w:tcBorders>
              <w:right w:val="single" w:color="000000" w:sz="10" w:space="0"/>
            </w:tcBorders>
            <w:vAlign w:val="top"/>
          </w:tcPr>
          <w:p w14:paraId="0A729C77">
            <w:pPr>
              <w:pStyle w:val="28"/>
              <w:pageBreakBefore w:val="0"/>
              <w:wordWrap/>
              <w:overflowPunct/>
              <w:topLinePunct w:val="0"/>
              <w:bidi w:val="0"/>
              <w:spacing w:before="33" w:line="207" w:lineRule="auto"/>
              <w:ind w:left="467"/>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rPr>
              <w:t>否</w:t>
            </w:r>
          </w:p>
        </w:tc>
      </w:tr>
      <w:tr w14:paraId="25D61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821" w:type="dxa"/>
            <w:vMerge w:val="restart"/>
            <w:tcBorders>
              <w:top w:val="single" w:color="000000" w:sz="2" w:space="0"/>
              <w:left w:val="single" w:color="000000" w:sz="10" w:space="0"/>
            </w:tcBorders>
            <w:textDirection w:val="tbRlV"/>
            <w:vAlign w:val="top"/>
          </w:tcPr>
          <w:p w14:paraId="41219C69">
            <w:pPr>
              <w:pStyle w:val="28"/>
              <w:pageBreakBefore w:val="0"/>
              <w:wordWrap/>
              <w:overflowPunct/>
              <w:topLinePunct w:val="0"/>
              <w:bidi w:val="0"/>
              <w:spacing w:before="290" w:line="208"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2"/>
                <w:sz w:val="24"/>
                <w:szCs w:val="24"/>
                <w:highlight w:val="none"/>
              </w:rPr>
              <w:t>审查标准</w:t>
            </w:r>
          </w:p>
        </w:tc>
        <w:tc>
          <w:tcPr>
            <w:tcW w:w="803" w:type="dxa"/>
            <w:tcBorders>
              <w:top w:val="single" w:color="000000" w:sz="2" w:space="0"/>
              <w:right w:val="single" w:color="000000" w:sz="2" w:space="0"/>
            </w:tcBorders>
            <w:vAlign w:val="center"/>
          </w:tcPr>
          <w:p w14:paraId="1F91B9E5">
            <w:pPr>
              <w:pStyle w:val="28"/>
              <w:pageBreakBefore w:val="0"/>
              <w:wordWrap/>
              <w:overflowPunct/>
              <w:topLinePunct w:val="0"/>
              <w:bidi w:val="0"/>
              <w:spacing w:before="112" w:line="184"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4738" w:type="dxa"/>
            <w:tcBorders>
              <w:left w:val="single" w:color="000000" w:sz="2" w:space="0"/>
              <w:right w:val="single" w:color="000000" w:sz="2" w:space="0"/>
            </w:tcBorders>
            <w:vAlign w:val="top"/>
          </w:tcPr>
          <w:p w14:paraId="3442DDC1">
            <w:pPr>
              <w:pageBreakBefore w:val="0"/>
              <w:widowControl/>
              <w:wordWrap/>
              <w:overflowPunct/>
              <w:topLinePunct w:val="0"/>
              <w:bidi w:val="0"/>
              <w:jc w:val="left"/>
              <w:textAlignment w:val="top"/>
              <w:outlineLvl w:val="9"/>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color w:val="auto"/>
                <w:sz w:val="24"/>
                <w:szCs w:val="24"/>
                <w:highlight w:val="none"/>
                <w:lang w:val="en-US" w:eastAsia="zh-CN"/>
              </w:rPr>
              <w:t>是否</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所提供的</w:t>
            </w:r>
            <w:r>
              <w:rPr>
                <w:rFonts w:hint="eastAsia" w:ascii="仿宋" w:hAnsi="仿宋" w:eastAsia="仿宋" w:cs="仿宋"/>
                <w:color w:val="auto"/>
                <w:sz w:val="24"/>
                <w:szCs w:val="24"/>
                <w:highlight w:val="none"/>
                <w:lang w:val="en-US" w:eastAsia="zh-CN"/>
              </w:rPr>
              <w:t>格式</w:t>
            </w:r>
            <w:r>
              <w:rPr>
                <w:rFonts w:hint="eastAsia" w:ascii="仿宋" w:hAnsi="仿宋" w:eastAsia="仿宋" w:cs="仿宋"/>
                <w:color w:val="auto"/>
                <w:sz w:val="24"/>
                <w:szCs w:val="24"/>
                <w:highlight w:val="none"/>
              </w:rPr>
              <w:t>填写《投标函》；</w:t>
            </w:r>
          </w:p>
        </w:tc>
        <w:tc>
          <w:tcPr>
            <w:tcW w:w="1015" w:type="dxa"/>
            <w:tcBorders>
              <w:left w:val="single" w:color="000000" w:sz="2" w:space="0"/>
              <w:right w:val="single" w:color="000000" w:sz="2" w:space="0"/>
            </w:tcBorders>
            <w:vAlign w:val="top"/>
          </w:tcPr>
          <w:p w14:paraId="21C934EF">
            <w:pPr>
              <w:pageBreakBefore w:val="0"/>
              <w:wordWrap/>
              <w:overflowPunct/>
              <w:topLinePunct w:val="0"/>
              <w:bidi w:val="0"/>
              <w:outlineLvl w:val="9"/>
              <w:rPr>
                <w:rFonts w:hint="eastAsia" w:ascii="仿宋" w:hAnsi="仿宋" w:eastAsia="仿宋" w:cs="仿宋"/>
                <w:color w:val="auto"/>
                <w:sz w:val="24"/>
                <w:szCs w:val="24"/>
                <w:highlight w:val="none"/>
              </w:rPr>
            </w:pPr>
          </w:p>
        </w:tc>
        <w:tc>
          <w:tcPr>
            <w:tcW w:w="1146" w:type="dxa"/>
            <w:tcBorders>
              <w:left w:val="single" w:color="000000" w:sz="2" w:space="0"/>
              <w:right w:val="single" w:color="000000" w:sz="10" w:space="0"/>
            </w:tcBorders>
            <w:vAlign w:val="top"/>
          </w:tcPr>
          <w:p w14:paraId="03FB8784">
            <w:pPr>
              <w:pageBreakBefore w:val="0"/>
              <w:wordWrap/>
              <w:overflowPunct/>
              <w:topLinePunct w:val="0"/>
              <w:bidi w:val="0"/>
              <w:outlineLvl w:val="9"/>
              <w:rPr>
                <w:rFonts w:hint="eastAsia" w:ascii="仿宋" w:hAnsi="仿宋" w:eastAsia="仿宋" w:cs="仿宋"/>
                <w:color w:val="auto"/>
                <w:sz w:val="24"/>
                <w:szCs w:val="24"/>
                <w:highlight w:val="none"/>
              </w:rPr>
            </w:pPr>
          </w:p>
        </w:tc>
      </w:tr>
      <w:tr w14:paraId="35460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821" w:type="dxa"/>
            <w:vMerge w:val="continue"/>
            <w:tcBorders>
              <w:left w:val="single" w:color="000000" w:sz="10" w:space="0"/>
            </w:tcBorders>
            <w:textDirection w:val="tbRlV"/>
            <w:vAlign w:val="top"/>
          </w:tcPr>
          <w:p w14:paraId="7BA89E2C">
            <w:pPr>
              <w:pStyle w:val="28"/>
              <w:pageBreakBefore w:val="0"/>
              <w:wordWrap/>
              <w:overflowPunct/>
              <w:topLinePunct w:val="0"/>
              <w:bidi w:val="0"/>
              <w:spacing w:before="290" w:line="208" w:lineRule="auto"/>
              <w:ind w:left="2828"/>
              <w:outlineLvl w:val="9"/>
              <w:rPr>
                <w:rFonts w:hint="eastAsia" w:ascii="仿宋" w:hAnsi="仿宋" w:eastAsia="仿宋" w:cs="仿宋"/>
                <w:color w:val="auto"/>
                <w:spacing w:val="52"/>
                <w:sz w:val="24"/>
                <w:szCs w:val="24"/>
                <w:highlight w:val="none"/>
              </w:rPr>
            </w:pPr>
          </w:p>
        </w:tc>
        <w:tc>
          <w:tcPr>
            <w:tcW w:w="803" w:type="dxa"/>
            <w:tcBorders>
              <w:top w:val="single" w:color="000000" w:sz="2" w:space="0"/>
              <w:right w:val="single" w:color="000000" w:sz="2" w:space="0"/>
            </w:tcBorders>
            <w:vAlign w:val="center"/>
          </w:tcPr>
          <w:p w14:paraId="004C5105">
            <w:pPr>
              <w:pStyle w:val="28"/>
              <w:pageBreakBefore w:val="0"/>
              <w:wordWrap/>
              <w:overflowPunct/>
              <w:topLinePunct w:val="0"/>
              <w:bidi w:val="0"/>
              <w:spacing w:before="112" w:line="184"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4738" w:type="dxa"/>
            <w:tcBorders>
              <w:left w:val="single" w:color="000000" w:sz="2" w:space="0"/>
              <w:right w:val="single" w:color="000000" w:sz="2" w:space="0"/>
            </w:tcBorders>
            <w:vAlign w:val="top"/>
          </w:tcPr>
          <w:p w14:paraId="5717FCAD">
            <w:pPr>
              <w:pageBreakBefore w:val="0"/>
              <w:widowControl/>
              <w:wordWrap/>
              <w:overflowPunct/>
              <w:topLinePunct w:val="0"/>
              <w:bidi w:val="0"/>
              <w:jc w:val="left"/>
              <w:textAlignment w:val="top"/>
              <w:outlineLvl w:val="9"/>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是否</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所提供的《政府采购投标及履约承诺函》</w:t>
            </w:r>
            <w:r>
              <w:rPr>
                <w:rFonts w:hint="eastAsia" w:ascii="仿宋" w:hAnsi="仿宋" w:eastAsia="仿宋" w:cs="仿宋"/>
                <w:color w:val="auto"/>
                <w:sz w:val="24"/>
                <w:szCs w:val="24"/>
                <w:highlight w:val="none"/>
                <w:lang w:val="en-US" w:eastAsia="zh-CN"/>
              </w:rPr>
              <w:t>格式及要求</w:t>
            </w:r>
            <w:r>
              <w:rPr>
                <w:rFonts w:hint="eastAsia" w:ascii="仿宋" w:hAnsi="仿宋" w:eastAsia="仿宋" w:cs="仿宋"/>
                <w:color w:val="auto"/>
                <w:sz w:val="24"/>
                <w:szCs w:val="24"/>
                <w:highlight w:val="none"/>
              </w:rPr>
              <w:t>进行承诺</w:t>
            </w:r>
            <w:r>
              <w:rPr>
                <w:rFonts w:hint="eastAsia" w:ascii="仿宋" w:hAnsi="仿宋" w:eastAsia="仿宋" w:cs="仿宋"/>
                <w:color w:val="auto"/>
                <w:sz w:val="24"/>
                <w:szCs w:val="24"/>
                <w:highlight w:val="none"/>
                <w:lang w:eastAsia="zh-CN"/>
              </w:rPr>
              <w:t>；</w:t>
            </w:r>
          </w:p>
        </w:tc>
        <w:tc>
          <w:tcPr>
            <w:tcW w:w="1015" w:type="dxa"/>
            <w:tcBorders>
              <w:left w:val="single" w:color="000000" w:sz="2" w:space="0"/>
              <w:right w:val="single" w:color="000000" w:sz="2" w:space="0"/>
            </w:tcBorders>
            <w:vAlign w:val="top"/>
          </w:tcPr>
          <w:p w14:paraId="0E226A2F">
            <w:pPr>
              <w:pageBreakBefore w:val="0"/>
              <w:wordWrap/>
              <w:overflowPunct/>
              <w:topLinePunct w:val="0"/>
              <w:bidi w:val="0"/>
              <w:outlineLvl w:val="9"/>
              <w:rPr>
                <w:rFonts w:hint="eastAsia" w:ascii="仿宋" w:hAnsi="仿宋" w:eastAsia="仿宋" w:cs="仿宋"/>
                <w:color w:val="auto"/>
                <w:sz w:val="24"/>
                <w:szCs w:val="24"/>
                <w:highlight w:val="none"/>
              </w:rPr>
            </w:pPr>
          </w:p>
        </w:tc>
        <w:tc>
          <w:tcPr>
            <w:tcW w:w="1146" w:type="dxa"/>
            <w:tcBorders>
              <w:left w:val="single" w:color="000000" w:sz="2" w:space="0"/>
              <w:right w:val="single" w:color="000000" w:sz="10" w:space="0"/>
            </w:tcBorders>
            <w:vAlign w:val="top"/>
          </w:tcPr>
          <w:p w14:paraId="2631929D">
            <w:pPr>
              <w:pageBreakBefore w:val="0"/>
              <w:wordWrap/>
              <w:overflowPunct/>
              <w:topLinePunct w:val="0"/>
              <w:bidi w:val="0"/>
              <w:outlineLvl w:val="9"/>
              <w:rPr>
                <w:rFonts w:hint="eastAsia" w:ascii="仿宋" w:hAnsi="仿宋" w:eastAsia="仿宋" w:cs="仿宋"/>
                <w:color w:val="auto"/>
                <w:sz w:val="24"/>
                <w:szCs w:val="24"/>
                <w:highlight w:val="none"/>
              </w:rPr>
            </w:pPr>
          </w:p>
        </w:tc>
      </w:tr>
      <w:tr w14:paraId="532BA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821" w:type="dxa"/>
            <w:vMerge w:val="continue"/>
            <w:tcBorders>
              <w:left w:val="single" w:color="000000" w:sz="10" w:space="0"/>
            </w:tcBorders>
            <w:textDirection w:val="tbRlV"/>
            <w:vAlign w:val="top"/>
          </w:tcPr>
          <w:p w14:paraId="1E6421E9">
            <w:pPr>
              <w:pStyle w:val="28"/>
              <w:pageBreakBefore w:val="0"/>
              <w:wordWrap/>
              <w:overflowPunct/>
              <w:topLinePunct w:val="0"/>
              <w:bidi w:val="0"/>
              <w:spacing w:before="290" w:line="208" w:lineRule="auto"/>
              <w:ind w:left="2828"/>
              <w:outlineLvl w:val="9"/>
              <w:rPr>
                <w:rFonts w:hint="eastAsia" w:ascii="仿宋" w:hAnsi="仿宋" w:eastAsia="仿宋" w:cs="仿宋"/>
                <w:color w:val="auto"/>
                <w:spacing w:val="52"/>
                <w:sz w:val="24"/>
                <w:szCs w:val="24"/>
                <w:highlight w:val="none"/>
              </w:rPr>
            </w:pPr>
          </w:p>
        </w:tc>
        <w:tc>
          <w:tcPr>
            <w:tcW w:w="803" w:type="dxa"/>
            <w:tcBorders>
              <w:top w:val="single" w:color="000000" w:sz="2" w:space="0"/>
              <w:right w:val="single" w:color="000000" w:sz="2" w:space="0"/>
            </w:tcBorders>
            <w:vAlign w:val="center"/>
          </w:tcPr>
          <w:p w14:paraId="42F5772F">
            <w:pPr>
              <w:pStyle w:val="28"/>
              <w:pageBreakBefore w:val="0"/>
              <w:wordWrap/>
              <w:overflowPunct/>
              <w:topLinePunct w:val="0"/>
              <w:bidi w:val="0"/>
              <w:spacing w:before="112" w:line="184"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4738" w:type="dxa"/>
            <w:tcBorders>
              <w:left w:val="single" w:color="000000" w:sz="2" w:space="0"/>
              <w:right w:val="single" w:color="000000" w:sz="2" w:space="0"/>
            </w:tcBorders>
            <w:vAlign w:val="top"/>
          </w:tcPr>
          <w:p w14:paraId="4D3D853F">
            <w:pPr>
              <w:pageBreakBefore w:val="0"/>
              <w:widowControl/>
              <w:wordWrap/>
              <w:overflowPunct/>
              <w:topLinePunct w:val="0"/>
              <w:bidi w:val="0"/>
              <w:jc w:val="left"/>
              <w:textAlignment w:val="top"/>
              <w:outlineLvl w:val="9"/>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是否</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所提供的</w:t>
            </w:r>
            <w:r>
              <w:rPr>
                <w:rFonts w:hint="eastAsia" w:ascii="仿宋" w:hAnsi="仿宋" w:eastAsia="仿宋" w:cs="仿宋"/>
                <w:color w:val="auto"/>
                <w:sz w:val="24"/>
                <w:szCs w:val="24"/>
                <w:highlight w:val="none"/>
                <w:lang w:eastAsia="zh-CN"/>
              </w:rPr>
              <w:t>《施工</w:t>
            </w:r>
            <w:r>
              <w:rPr>
                <w:rFonts w:hint="eastAsia" w:ascii="仿宋" w:hAnsi="仿宋" w:eastAsia="仿宋" w:cs="仿宋"/>
                <w:color w:val="auto"/>
                <w:sz w:val="24"/>
                <w:szCs w:val="24"/>
                <w:highlight w:val="none"/>
                <w:lang w:val="en-US" w:eastAsia="zh-CN"/>
              </w:rPr>
              <w:t>单位工程质量责任承诺书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格式及要求进行承诺；</w:t>
            </w:r>
          </w:p>
        </w:tc>
        <w:tc>
          <w:tcPr>
            <w:tcW w:w="1015" w:type="dxa"/>
            <w:tcBorders>
              <w:left w:val="single" w:color="000000" w:sz="2" w:space="0"/>
              <w:right w:val="single" w:color="000000" w:sz="2" w:space="0"/>
            </w:tcBorders>
            <w:vAlign w:val="top"/>
          </w:tcPr>
          <w:p w14:paraId="532B602A">
            <w:pPr>
              <w:pageBreakBefore w:val="0"/>
              <w:wordWrap/>
              <w:overflowPunct/>
              <w:topLinePunct w:val="0"/>
              <w:bidi w:val="0"/>
              <w:outlineLvl w:val="9"/>
              <w:rPr>
                <w:rFonts w:hint="eastAsia" w:ascii="仿宋" w:hAnsi="仿宋" w:eastAsia="仿宋" w:cs="仿宋"/>
                <w:color w:val="auto"/>
                <w:sz w:val="24"/>
                <w:szCs w:val="24"/>
                <w:highlight w:val="none"/>
              </w:rPr>
            </w:pPr>
          </w:p>
        </w:tc>
        <w:tc>
          <w:tcPr>
            <w:tcW w:w="1146" w:type="dxa"/>
            <w:tcBorders>
              <w:left w:val="single" w:color="000000" w:sz="2" w:space="0"/>
              <w:right w:val="single" w:color="000000" w:sz="10" w:space="0"/>
            </w:tcBorders>
            <w:vAlign w:val="top"/>
          </w:tcPr>
          <w:p w14:paraId="2EDB1F52">
            <w:pPr>
              <w:pageBreakBefore w:val="0"/>
              <w:wordWrap/>
              <w:overflowPunct/>
              <w:topLinePunct w:val="0"/>
              <w:bidi w:val="0"/>
              <w:outlineLvl w:val="9"/>
              <w:rPr>
                <w:rFonts w:hint="eastAsia" w:ascii="仿宋" w:hAnsi="仿宋" w:eastAsia="仿宋" w:cs="仿宋"/>
                <w:color w:val="auto"/>
                <w:sz w:val="24"/>
                <w:szCs w:val="24"/>
                <w:highlight w:val="none"/>
              </w:rPr>
            </w:pPr>
          </w:p>
        </w:tc>
      </w:tr>
      <w:tr w14:paraId="72A4A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821" w:type="dxa"/>
            <w:vMerge w:val="continue"/>
            <w:tcBorders>
              <w:left w:val="single" w:color="000000" w:sz="10" w:space="0"/>
            </w:tcBorders>
            <w:textDirection w:val="tbRlV"/>
            <w:vAlign w:val="top"/>
          </w:tcPr>
          <w:p w14:paraId="25078CD8">
            <w:pPr>
              <w:pStyle w:val="28"/>
              <w:pageBreakBefore w:val="0"/>
              <w:wordWrap/>
              <w:overflowPunct/>
              <w:topLinePunct w:val="0"/>
              <w:bidi w:val="0"/>
              <w:spacing w:before="290" w:line="208" w:lineRule="auto"/>
              <w:ind w:left="2828"/>
              <w:outlineLvl w:val="9"/>
              <w:rPr>
                <w:rFonts w:hint="eastAsia" w:ascii="仿宋" w:hAnsi="仿宋" w:eastAsia="仿宋" w:cs="仿宋"/>
                <w:color w:val="auto"/>
                <w:spacing w:val="52"/>
                <w:sz w:val="24"/>
                <w:szCs w:val="24"/>
                <w:highlight w:val="none"/>
              </w:rPr>
            </w:pPr>
          </w:p>
        </w:tc>
        <w:tc>
          <w:tcPr>
            <w:tcW w:w="803" w:type="dxa"/>
            <w:tcBorders>
              <w:top w:val="single" w:color="000000" w:sz="2" w:space="0"/>
              <w:right w:val="single" w:color="000000" w:sz="2" w:space="0"/>
            </w:tcBorders>
            <w:vAlign w:val="center"/>
          </w:tcPr>
          <w:p w14:paraId="559CA037">
            <w:pPr>
              <w:pStyle w:val="28"/>
              <w:pageBreakBefore w:val="0"/>
              <w:wordWrap/>
              <w:overflowPunct/>
              <w:topLinePunct w:val="0"/>
              <w:bidi w:val="0"/>
              <w:spacing w:before="112" w:line="184"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4738" w:type="dxa"/>
            <w:tcBorders>
              <w:left w:val="single" w:color="000000" w:sz="2" w:space="0"/>
              <w:right w:val="single" w:color="000000" w:sz="2" w:space="0"/>
            </w:tcBorders>
            <w:vAlign w:val="top"/>
          </w:tcPr>
          <w:p w14:paraId="3D6D9491">
            <w:pPr>
              <w:pageBreakBefore w:val="0"/>
              <w:widowControl/>
              <w:wordWrap/>
              <w:overflowPunct/>
              <w:topLinePunct w:val="0"/>
              <w:bidi w:val="0"/>
              <w:jc w:val="left"/>
              <w:textAlignment w:val="top"/>
              <w:outlineLvl w:val="9"/>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是否</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所提供的</w:t>
            </w:r>
            <w:r>
              <w:rPr>
                <w:rFonts w:hint="eastAsia" w:ascii="仿宋" w:hAnsi="仿宋" w:eastAsia="仿宋" w:cs="仿宋"/>
                <w:color w:val="auto"/>
                <w:sz w:val="24"/>
                <w:szCs w:val="24"/>
                <w:highlight w:val="none"/>
                <w:lang w:eastAsia="zh-CN"/>
              </w:rPr>
              <w:t>《施工</w:t>
            </w:r>
            <w:r>
              <w:rPr>
                <w:rFonts w:hint="eastAsia" w:ascii="仿宋" w:hAnsi="仿宋" w:eastAsia="仿宋" w:cs="仿宋"/>
                <w:color w:val="auto"/>
                <w:sz w:val="24"/>
                <w:szCs w:val="24"/>
                <w:highlight w:val="none"/>
                <w:lang w:val="en-US" w:eastAsia="zh-CN"/>
              </w:rPr>
              <w:t>单位工程安全生产承诺书（法定代表人）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样式及要求进行承诺；</w:t>
            </w:r>
          </w:p>
        </w:tc>
        <w:tc>
          <w:tcPr>
            <w:tcW w:w="1015" w:type="dxa"/>
            <w:tcBorders>
              <w:left w:val="single" w:color="000000" w:sz="2" w:space="0"/>
              <w:right w:val="single" w:color="000000" w:sz="2" w:space="0"/>
            </w:tcBorders>
            <w:vAlign w:val="top"/>
          </w:tcPr>
          <w:p w14:paraId="4EA103CE">
            <w:pPr>
              <w:pageBreakBefore w:val="0"/>
              <w:wordWrap/>
              <w:overflowPunct/>
              <w:topLinePunct w:val="0"/>
              <w:bidi w:val="0"/>
              <w:outlineLvl w:val="9"/>
              <w:rPr>
                <w:rFonts w:hint="eastAsia" w:ascii="仿宋" w:hAnsi="仿宋" w:eastAsia="仿宋" w:cs="仿宋"/>
                <w:color w:val="auto"/>
                <w:sz w:val="24"/>
                <w:szCs w:val="24"/>
                <w:highlight w:val="none"/>
              </w:rPr>
            </w:pPr>
          </w:p>
        </w:tc>
        <w:tc>
          <w:tcPr>
            <w:tcW w:w="1146" w:type="dxa"/>
            <w:tcBorders>
              <w:left w:val="single" w:color="000000" w:sz="2" w:space="0"/>
              <w:right w:val="single" w:color="000000" w:sz="10" w:space="0"/>
            </w:tcBorders>
            <w:vAlign w:val="top"/>
          </w:tcPr>
          <w:p w14:paraId="4DEEA649">
            <w:pPr>
              <w:pageBreakBefore w:val="0"/>
              <w:wordWrap/>
              <w:overflowPunct/>
              <w:topLinePunct w:val="0"/>
              <w:bidi w:val="0"/>
              <w:outlineLvl w:val="9"/>
              <w:rPr>
                <w:rFonts w:hint="eastAsia" w:ascii="仿宋" w:hAnsi="仿宋" w:eastAsia="仿宋" w:cs="仿宋"/>
                <w:color w:val="auto"/>
                <w:sz w:val="24"/>
                <w:szCs w:val="24"/>
                <w:highlight w:val="none"/>
              </w:rPr>
            </w:pPr>
          </w:p>
        </w:tc>
      </w:tr>
      <w:tr w14:paraId="5C20F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821" w:type="dxa"/>
            <w:vMerge w:val="continue"/>
            <w:tcBorders>
              <w:left w:val="single" w:color="000000" w:sz="10" w:space="0"/>
            </w:tcBorders>
            <w:textDirection w:val="tbRlV"/>
            <w:vAlign w:val="top"/>
          </w:tcPr>
          <w:p w14:paraId="41D39A8C">
            <w:pPr>
              <w:pStyle w:val="28"/>
              <w:pageBreakBefore w:val="0"/>
              <w:wordWrap/>
              <w:overflowPunct/>
              <w:topLinePunct w:val="0"/>
              <w:bidi w:val="0"/>
              <w:spacing w:before="290" w:line="208" w:lineRule="auto"/>
              <w:ind w:left="2828"/>
              <w:outlineLvl w:val="9"/>
              <w:rPr>
                <w:rFonts w:hint="eastAsia" w:ascii="仿宋" w:hAnsi="仿宋" w:eastAsia="仿宋" w:cs="仿宋"/>
                <w:color w:val="auto"/>
                <w:sz w:val="24"/>
                <w:szCs w:val="24"/>
                <w:highlight w:val="none"/>
              </w:rPr>
            </w:pPr>
          </w:p>
        </w:tc>
        <w:tc>
          <w:tcPr>
            <w:tcW w:w="803" w:type="dxa"/>
            <w:tcBorders>
              <w:top w:val="single" w:color="000000" w:sz="2" w:space="0"/>
              <w:right w:val="single" w:color="000000" w:sz="2" w:space="0"/>
            </w:tcBorders>
            <w:vAlign w:val="center"/>
          </w:tcPr>
          <w:p w14:paraId="63266C46">
            <w:pPr>
              <w:pStyle w:val="28"/>
              <w:pageBreakBefore w:val="0"/>
              <w:wordWrap/>
              <w:overflowPunct/>
              <w:topLinePunct w:val="0"/>
              <w:bidi w:val="0"/>
              <w:spacing w:before="112" w:line="184"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4738" w:type="dxa"/>
            <w:tcBorders>
              <w:left w:val="single" w:color="000000" w:sz="2" w:space="0"/>
              <w:right w:val="single" w:color="000000" w:sz="2" w:space="0"/>
            </w:tcBorders>
            <w:vAlign w:val="top"/>
          </w:tcPr>
          <w:p w14:paraId="1671A7F3">
            <w:pPr>
              <w:pStyle w:val="28"/>
              <w:pageBreakBefore w:val="0"/>
              <w:wordWrap/>
              <w:overflowPunct/>
              <w:topLinePunct w:val="0"/>
              <w:bidi w:val="0"/>
              <w:spacing w:before="37" w:line="218" w:lineRule="auto"/>
              <w:outlineLvl w:val="9"/>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投标报价高于预算金额；</w:t>
            </w:r>
          </w:p>
        </w:tc>
        <w:tc>
          <w:tcPr>
            <w:tcW w:w="1015" w:type="dxa"/>
            <w:tcBorders>
              <w:left w:val="single" w:color="000000" w:sz="2" w:space="0"/>
              <w:right w:val="single" w:color="000000" w:sz="2" w:space="0"/>
            </w:tcBorders>
            <w:vAlign w:val="top"/>
          </w:tcPr>
          <w:p w14:paraId="21CF0DA0">
            <w:pPr>
              <w:pageBreakBefore w:val="0"/>
              <w:wordWrap/>
              <w:overflowPunct/>
              <w:topLinePunct w:val="0"/>
              <w:bidi w:val="0"/>
              <w:outlineLvl w:val="9"/>
              <w:rPr>
                <w:rFonts w:hint="eastAsia" w:ascii="仿宋" w:hAnsi="仿宋" w:eastAsia="仿宋" w:cs="仿宋"/>
                <w:color w:val="auto"/>
                <w:sz w:val="24"/>
                <w:szCs w:val="24"/>
                <w:highlight w:val="none"/>
              </w:rPr>
            </w:pPr>
          </w:p>
        </w:tc>
        <w:tc>
          <w:tcPr>
            <w:tcW w:w="1146" w:type="dxa"/>
            <w:tcBorders>
              <w:left w:val="single" w:color="000000" w:sz="2" w:space="0"/>
              <w:right w:val="single" w:color="000000" w:sz="10" w:space="0"/>
            </w:tcBorders>
            <w:vAlign w:val="top"/>
          </w:tcPr>
          <w:p w14:paraId="05B8BA29">
            <w:pPr>
              <w:pageBreakBefore w:val="0"/>
              <w:wordWrap/>
              <w:overflowPunct/>
              <w:topLinePunct w:val="0"/>
              <w:bidi w:val="0"/>
              <w:outlineLvl w:val="9"/>
              <w:rPr>
                <w:rFonts w:hint="eastAsia" w:ascii="仿宋" w:hAnsi="仿宋" w:eastAsia="仿宋" w:cs="仿宋"/>
                <w:color w:val="auto"/>
                <w:sz w:val="24"/>
                <w:szCs w:val="24"/>
                <w:highlight w:val="none"/>
              </w:rPr>
            </w:pPr>
          </w:p>
        </w:tc>
      </w:tr>
      <w:tr w14:paraId="6A9C6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821" w:type="dxa"/>
            <w:vMerge w:val="continue"/>
            <w:tcBorders>
              <w:left w:val="single" w:color="000000" w:sz="10" w:space="0"/>
            </w:tcBorders>
            <w:textDirection w:val="tbRlV"/>
            <w:vAlign w:val="top"/>
          </w:tcPr>
          <w:p w14:paraId="12E60106">
            <w:pPr>
              <w:pageBreakBefore w:val="0"/>
              <w:wordWrap/>
              <w:overflowPunct/>
              <w:topLinePunct w:val="0"/>
              <w:bidi w:val="0"/>
              <w:outlineLvl w:val="9"/>
              <w:rPr>
                <w:rFonts w:hint="eastAsia" w:ascii="仿宋" w:hAnsi="仿宋" w:eastAsia="仿宋" w:cs="仿宋"/>
                <w:color w:val="auto"/>
                <w:sz w:val="24"/>
                <w:szCs w:val="24"/>
                <w:highlight w:val="none"/>
              </w:rPr>
            </w:pPr>
          </w:p>
        </w:tc>
        <w:tc>
          <w:tcPr>
            <w:tcW w:w="803" w:type="dxa"/>
            <w:tcBorders>
              <w:right w:val="single" w:color="000000" w:sz="2" w:space="0"/>
            </w:tcBorders>
            <w:vAlign w:val="center"/>
          </w:tcPr>
          <w:p w14:paraId="316AB13A">
            <w:pPr>
              <w:pStyle w:val="28"/>
              <w:pageBreakBefore w:val="0"/>
              <w:wordWrap/>
              <w:overflowPunct/>
              <w:topLinePunct w:val="0"/>
              <w:bidi w:val="0"/>
              <w:spacing w:before="310" w:line="183"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4738" w:type="dxa"/>
            <w:tcBorders>
              <w:left w:val="single" w:color="000000" w:sz="2" w:space="0"/>
              <w:right w:val="single" w:color="000000" w:sz="2" w:space="0"/>
            </w:tcBorders>
            <w:vAlign w:val="top"/>
          </w:tcPr>
          <w:p w14:paraId="60CBE245">
            <w:pPr>
              <w:pStyle w:val="28"/>
              <w:pageBreakBefore w:val="0"/>
              <w:wordWrap/>
              <w:overflowPunct/>
              <w:topLinePunct w:val="0"/>
              <w:bidi w:val="0"/>
              <w:spacing w:before="40" w:line="260" w:lineRule="auto"/>
              <w:ind w:right="314"/>
              <w:outlineLvl w:val="9"/>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投标人之间或者投标人与采购人串通投标的；</w:t>
            </w:r>
          </w:p>
        </w:tc>
        <w:tc>
          <w:tcPr>
            <w:tcW w:w="1015" w:type="dxa"/>
            <w:tcBorders>
              <w:left w:val="single" w:color="000000" w:sz="2" w:space="0"/>
              <w:right w:val="single" w:color="000000" w:sz="2" w:space="0"/>
            </w:tcBorders>
            <w:vAlign w:val="top"/>
          </w:tcPr>
          <w:p w14:paraId="73E2DC92">
            <w:pPr>
              <w:pageBreakBefore w:val="0"/>
              <w:wordWrap/>
              <w:overflowPunct/>
              <w:topLinePunct w:val="0"/>
              <w:bidi w:val="0"/>
              <w:outlineLvl w:val="9"/>
              <w:rPr>
                <w:rFonts w:hint="eastAsia" w:ascii="仿宋" w:hAnsi="仿宋" w:eastAsia="仿宋" w:cs="仿宋"/>
                <w:color w:val="auto"/>
                <w:sz w:val="24"/>
                <w:szCs w:val="24"/>
                <w:highlight w:val="none"/>
              </w:rPr>
            </w:pPr>
          </w:p>
        </w:tc>
        <w:tc>
          <w:tcPr>
            <w:tcW w:w="1146" w:type="dxa"/>
            <w:tcBorders>
              <w:left w:val="single" w:color="000000" w:sz="2" w:space="0"/>
              <w:right w:val="single" w:color="000000" w:sz="10" w:space="0"/>
            </w:tcBorders>
            <w:vAlign w:val="top"/>
          </w:tcPr>
          <w:p w14:paraId="49363876">
            <w:pPr>
              <w:pageBreakBefore w:val="0"/>
              <w:wordWrap/>
              <w:overflowPunct/>
              <w:topLinePunct w:val="0"/>
              <w:bidi w:val="0"/>
              <w:outlineLvl w:val="9"/>
              <w:rPr>
                <w:rFonts w:hint="eastAsia" w:ascii="仿宋" w:hAnsi="仿宋" w:eastAsia="仿宋" w:cs="仿宋"/>
                <w:color w:val="auto"/>
                <w:sz w:val="24"/>
                <w:szCs w:val="24"/>
                <w:highlight w:val="none"/>
              </w:rPr>
            </w:pPr>
          </w:p>
        </w:tc>
      </w:tr>
      <w:tr w14:paraId="400EB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821" w:type="dxa"/>
            <w:vMerge w:val="continue"/>
            <w:tcBorders>
              <w:left w:val="single" w:color="000000" w:sz="10" w:space="0"/>
            </w:tcBorders>
            <w:textDirection w:val="tbRlV"/>
            <w:vAlign w:val="top"/>
          </w:tcPr>
          <w:p w14:paraId="36E5912E">
            <w:pPr>
              <w:pageBreakBefore w:val="0"/>
              <w:wordWrap/>
              <w:overflowPunct/>
              <w:topLinePunct w:val="0"/>
              <w:bidi w:val="0"/>
              <w:outlineLvl w:val="9"/>
              <w:rPr>
                <w:rFonts w:hint="eastAsia" w:ascii="仿宋" w:hAnsi="仿宋" w:eastAsia="仿宋" w:cs="仿宋"/>
                <w:color w:val="auto"/>
                <w:sz w:val="24"/>
                <w:szCs w:val="24"/>
                <w:highlight w:val="none"/>
              </w:rPr>
            </w:pPr>
          </w:p>
        </w:tc>
        <w:tc>
          <w:tcPr>
            <w:tcW w:w="803" w:type="dxa"/>
            <w:vAlign w:val="center"/>
          </w:tcPr>
          <w:p w14:paraId="5372E080">
            <w:pPr>
              <w:pStyle w:val="28"/>
              <w:pageBreakBefore w:val="0"/>
              <w:wordWrap/>
              <w:overflowPunct/>
              <w:topLinePunct w:val="0"/>
              <w:bidi w:val="0"/>
              <w:spacing w:before="311" w:line="183"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4738" w:type="dxa"/>
            <w:vAlign w:val="top"/>
          </w:tcPr>
          <w:p w14:paraId="0411FBBA">
            <w:pPr>
              <w:pStyle w:val="28"/>
              <w:pageBreakBefore w:val="0"/>
              <w:wordWrap/>
              <w:overflowPunct/>
              <w:topLinePunct w:val="0"/>
              <w:bidi w:val="0"/>
              <w:spacing w:before="39" w:line="260" w:lineRule="auto"/>
              <w:ind w:right="311"/>
              <w:outlineLvl w:val="9"/>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以行贿手段谋取中标或者以其他弄虚作假方式投标的；</w:t>
            </w:r>
          </w:p>
        </w:tc>
        <w:tc>
          <w:tcPr>
            <w:tcW w:w="1015" w:type="dxa"/>
            <w:tcBorders>
              <w:right w:val="single" w:color="000000" w:sz="2" w:space="0"/>
            </w:tcBorders>
            <w:vAlign w:val="top"/>
          </w:tcPr>
          <w:p w14:paraId="1B81404E">
            <w:pPr>
              <w:pageBreakBefore w:val="0"/>
              <w:wordWrap/>
              <w:overflowPunct/>
              <w:topLinePunct w:val="0"/>
              <w:bidi w:val="0"/>
              <w:outlineLvl w:val="9"/>
              <w:rPr>
                <w:rFonts w:hint="eastAsia" w:ascii="仿宋" w:hAnsi="仿宋" w:eastAsia="仿宋" w:cs="仿宋"/>
                <w:color w:val="auto"/>
                <w:sz w:val="24"/>
                <w:szCs w:val="24"/>
                <w:highlight w:val="none"/>
              </w:rPr>
            </w:pPr>
          </w:p>
        </w:tc>
        <w:tc>
          <w:tcPr>
            <w:tcW w:w="1146" w:type="dxa"/>
            <w:tcBorders>
              <w:left w:val="single" w:color="000000" w:sz="2" w:space="0"/>
              <w:right w:val="single" w:color="000000" w:sz="10" w:space="0"/>
            </w:tcBorders>
            <w:vAlign w:val="top"/>
          </w:tcPr>
          <w:p w14:paraId="7BE2F2DE">
            <w:pPr>
              <w:pageBreakBefore w:val="0"/>
              <w:wordWrap/>
              <w:overflowPunct/>
              <w:topLinePunct w:val="0"/>
              <w:bidi w:val="0"/>
              <w:outlineLvl w:val="9"/>
              <w:rPr>
                <w:rFonts w:hint="eastAsia" w:ascii="仿宋" w:hAnsi="仿宋" w:eastAsia="仿宋" w:cs="仿宋"/>
                <w:color w:val="auto"/>
                <w:sz w:val="24"/>
                <w:szCs w:val="24"/>
                <w:highlight w:val="none"/>
              </w:rPr>
            </w:pPr>
          </w:p>
        </w:tc>
      </w:tr>
      <w:tr w14:paraId="5DB06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821" w:type="dxa"/>
            <w:vMerge w:val="continue"/>
            <w:tcBorders>
              <w:left w:val="single" w:color="000000" w:sz="10" w:space="0"/>
            </w:tcBorders>
            <w:textDirection w:val="tbRlV"/>
            <w:vAlign w:val="top"/>
          </w:tcPr>
          <w:p w14:paraId="0ABA32AE">
            <w:pPr>
              <w:pageBreakBefore w:val="0"/>
              <w:wordWrap/>
              <w:overflowPunct/>
              <w:topLinePunct w:val="0"/>
              <w:bidi w:val="0"/>
              <w:outlineLvl w:val="9"/>
              <w:rPr>
                <w:rFonts w:hint="eastAsia" w:ascii="仿宋" w:hAnsi="仿宋" w:eastAsia="仿宋" w:cs="仿宋"/>
                <w:color w:val="auto"/>
                <w:sz w:val="24"/>
                <w:szCs w:val="24"/>
                <w:highlight w:val="none"/>
              </w:rPr>
            </w:pPr>
          </w:p>
        </w:tc>
        <w:tc>
          <w:tcPr>
            <w:tcW w:w="803" w:type="dxa"/>
            <w:vAlign w:val="center"/>
          </w:tcPr>
          <w:p w14:paraId="502405FC">
            <w:pPr>
              <w:pStyle w:val="28"/>
              <w:pageBreakBefore w:val="0"/>
              <w:wordWrap/>
              <w:overflowPunct/>
              <w:topLinePunct w:val="0"/>
              <w:bidi w:val="0"/>
              <w:spacing w:before="315" w:line="183"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4738" w:type="dxa"/>
            <w:vAlign w:val="top"/>
          </w:tcPr>
          <w:p w14:paraId="2253A0E7">
            <w:pPr>
              <w:pStyle w:val="28"/>
              <w:pageBreakBefore w:val="0"/>
              <w:wordWrap/>
              <w:overflowPunct/>
              <w:topLinePunct w:val="0"/>
              <w:bidi w:val="0"/>
              <w:spacing w:before="45" w:line="259" w:lineRule="auto"/>
              <w:ind w:right="311"/>
              <w:outlineLvl w:val="9"/>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评标委员会共同确定有实质上不响应招标文件要求的；</w:t>
            </w:r>
          </w:p>
        </w:tc>
        <w:tc>
          <w:tcPr>
            <w:tcW w:w="1015" w:type="dxa"/>
            <w:vAlign w:val="top"/>
          </w:tcPr>
          <w:p w14:paraId="15553A52">
            <w:pPr>
              <w:pageBreakBefore w:val="0"/>
              <w:wordWrap/>
              <w:overflowPunct/>
              <w:topLinePunct w:val="0"/>
              <w:bidi w:val="0"/>
              <w:outlineLvl w:val="9"/>
              <w:rPr>
                <w:rFonts w:hint="eastAsia" w:ascii="仿宋" w:hAnsi="仿宋" w:eastAsia="仿宋" w:cs="仿宋"/>
                <w:color w:val="auto"/>
                <w:sz w:val="24"/>
                <w:szCs w:val="24"/>
                <w:highlight w:val="none"/>
              </w:rPr>
            </w:pPr>
          </w:p>
        </w:tc>
        <w:tc>
          <w:tcPr>
            <w:tcW w:w="1146" w:type="dxa"/>
            <w:tcBorders>
              <w:right w:val="single" w:color="000000" w:sz="10" w:space="0"/>
            </w:tcBorders>
            <w:vAlign w:val="top"/>
          </w:tcPr>
          <w:p w14:paraId="0AA5FEE4">
            <w:pPr>
              <w:pageBreakBefore w:val="0"/>
              <w:wordWrap/>
              <w:overflowPunct/>
              <w:topLinePunct w:val="0"/>
              <w:bidi w:val="0"/>
              <w:outlineLvl w:val="9"/>
              <w:rPr>
                <w:rFonts w:hint="eastAsia" w:ascii="仿宋" w:hAnsi="仿宋" w:eastAsia="仿宋" w:cs="仿宋"/>
                <w:color w:val="auto"/>
                <w:sz w:val="24"/>
                <w:szCs w:val="24"/>
                <w:highlight w:val="none"/>
              </w:rPr>
            </w:pPr>
          </w:p>
        </w:tc>
      </w:tr>
      <w:tr w14:paraId="26F78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821" w:type="dxa"/>
            <w:vMerge w:val="continue"/>
            <w:tcBorders>
              <w:left w:val="single" w:color="000000" w:sz="10" w:space="0"/>
            </w:tcBorders>
            <w:textDirection w:val="tbRlV"/>
            <w:vAlign w:val="top"/>
          </w:tcPr>
          <w:p w14:paraId="20F23B62">
            <w:pPr>
              <w:pageBreakBefore w:val="0"/>
              <w:wordWrap/>
              <w:overflowPunct/>
              <w:topLinePunct w:val="0"/>
              <w:bidi w:val="0"/>
              <w:outlineLvl w:val="9"/>
              <w:rPr>
                <w:rFonts w:hint="eastAsia" w:ascii="仿宋" w:hAnsi="仿宋" w:eastAsia="仿宋" w:cs="仿宋"/>
                <w:color w:val="auto"/>
                <w:sz w:val="24"/>
                <w:szCs w:val="24"/>
                <w:highlight w:val="none"/>
              </w:rPr>
            </w:pPr>
          </w:p>
        </w:tc>
        <w:tc>
          <w:tcPr>
            <w:tcW w:w="803" w:type="dxa"/>
            <w:vAlign w:val="center"/>
          </w:tcPr>
          <w:p w14:paraId="24416A36">
            <w:pPr>
              <w:pStyle w:val="28"/>
              <w:pageBreakBefore w:val="0"/>
              <w:wordWrap/>
              <w:overflowPunct/>
              <w:topLinePunct w:val="0"/>
              <w:bidi w:val="0"/>
              <w:spacing w:before="318" w:line="182"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4738" w:type="dxa"/>
            <w:vAlign w:val="top"/>
          </w:tcPr>
          <w:p w14:paraId="5BFAD110">
            <w:pPr>
              <w:pStyle w:val="28"/>
              <w:pageBreakBefore w:val="0"/>
              <w:wordWrap/>
              <w:overflowPunct/>
              <w:topLinePunct w:val="0"/>
              <w:bidi w:val="0"/>
              <w:spacing w:before="46" w:line="259" w:lineRule="auto"/>
              <w:ind w:right="311"/>
              <w:outlineLvl w:val="9"/>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投标的政府采购项目完成期限超过招标文件规定期限的；</w:t>
            </w:r>
          </w:p>
        </w:tc>
        <w:tc>
          <w:tcPr>
            <w:tcW w:w="1015" w:type="dxa"/>
            <w:vAlign w:val="top"/>
          </w:tcPr>
          <w:p w14:paraId="57E74E56">
            <w:pPr>
              <w:pageBreakBefore w:val="0"/>
              <w:wordWrap/>
              <w:overflowPunct/>
              <w:topLinePunct w:val="0"/>
              <w:bidi w:val="0"/>
              <w:outlineLvl w:val="9"/>
              <w:rPr>
                <w:rFonts w:hint="eastAsia" w:ascii="仿宋" w:hAnsi="仿宋" w:eastAsia="仿宋" w:cs="仿宋"/>
                <w:color w:val="auto"/>
                <w:sz w:val="24"/>
                <w:szCs w:val="24"/>
                <w:highlight w:val="none"/>
              </w:rPr>
            </w:pPr>
          </w:p>
        </w:tc>
        <w:tc>
          <w:tcPr>
            <w:tcW w:w="1146" w:type="dxa"/>
            <w:tcBorders>
              <w:right w:val="single" w:color="000000" w:sz="10" w:space="0"/>
            </w:tcBorders>
            <w:vAlign w:val="top"/>
          </w:tcPr>
          <w:p w14:paraId="50B5468C">
            <w:pPr>
              <w:pageBreakBefore w:val="0"/>
              <w:wordWrap/>
              <w:overflowPunct/>
              <w:topLinePunct w:val="0"/>
              <w:bidi w:val="0"/>
              <w:outlineLvl w:val="9"/>
              <w:rPr>
                <w:rFonts w:hint="eastAsia" w:ascii="仿宋" w:hAnsi="仿宋" w:eastAsia="仿宋" w:cs="仿宋"/>
                <w:color w:val="auto"/>
                <w:sz w:val="24"/>
                <w:szCs w:val="24"/>
                <w:highlight w:val="none"/>
              </w:rPr>
            </w:pPr>
          </w:p>
        </w:tc>
      </w:tr>
      <w:tr w14:paraId="4117E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821" w:type="dxa"/>
            <w:vMerge w:val="continue"/>
            <w:tcBorders>
              <w:left w:val="single" w:color="000000" w:sz="10" w:space="0"/>
            </w:tcBorders>
            <w:textDirection w:val="tbRlV"/>
            <w:vAlign w:val="top"/>
          </w:tcPr>
          <w:p w14:paraId="7B5E7ADF">
            <w:pPr>
              <w:pageBreakBefore w:val="0"/>
              <w:wordWrap/>
              <w:overflowPunct/>
              <w:topLinePunct w:val="0"/>
              <w:bidi w:val="0"/>
              <w:outlineLvl w:val="9"/>
              <w:rPr>
                <w:rFonts w:hint="eastAsia" w:ascii="仿宋" w:hAnsi="仿宋" w:eastAsia="仿宋" w:cs="仿宋"/>
                <w:color w:val="auto"/>
                <w:sz w:val="24"/>
                <w:szCs w:val="24"/>
                <w:highlight w:val="none"/>
              </w:rPr>
            </w:pPr>
          </w:p>
        </w:tc>
        <w:tc>
          <w:tcPr>
            <w:tcW w:w="803" w:type="dxa"/>
            <w:vAlign w:val="center"/>
          </w:tcPr>
          <w:p w14:paraId="77062F8F">
            <w:pPr>
              <w:pStyle w:val="28"/>
              <w:pageBreakBefore w:val="0"/>
              <w:wordWrap/>
              <w:overflowPunct/>
              <w:topLinePunct w:val="0"/>
              <w:bidi w:val="0"/>
              <w:spacing w:before="78" w:line="183"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4738" w:type="dxa"/>
            <w:vAlign w:val="top"/>
          </w:tcPr>
          <w:p w14:paraId="09A4437B">
            <w:pPr>
              <w:pStyle w:val="28"/>
              <w:pageBreakBefore w:val="0"/>
              <w:wordWrap/>
              <w:overflowPunct/>
              <w:topLinePunct w:val="0"/>
              <w:bidi w:val="0"/>
              <w:spacing w:before="51" w:line="259" w:lineRule="auto"/>
              <w:ind w:right="95"/>
              <w:outlineLvl w:val="9"/>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投标文件载明的技术规格、技术标准等，不符合招标文件要求的；</w:t>
            </w:r>
          </w:p>
        </w:tc>
        <w:tc>
          <w:tcPr>
            <w:tcW w:w="1015" w:type="dxa"/>
            <w:vAlign w:val="top"/>
          </w:tcPr>
          <w:p w14:paraId="345EDA44">
            <w:pPr>
              <w:pageBreakBefore w:val="0"/>
              <w:wordWrap/>
              <w:overflowPunct/>
              <w:topLinePunct w:val="0"/>
              <w:bidi w:val="0"/>
              <w:outlineLvl w:val="9"/>
              <w:rPr>
                <w:rFonts w:hint="eastAsia" w:ascii="仿宋" w:hAnsi="仿宋" w:eastAsia="仿宋" w:cs="仿宋"/>
                <w:color w:val="auto"/>
                <w:sz w:val="24"/>
                <w:szCs w:val="24"/>
                <w:highlight w:val="none"/>
              </w:rPr>
            </w:pPr>
          </w:p>
        </w:tc>
        <w:tc>
          <w:tcPr>
            <w:tcW w:w="1146" w:type="dxa"/>
            <w:tcBorders>
              <w:right w:val="single" w:color="000000" w:sz="10" w:space="0"/>
            </w:tcBorders>
            <w:vAlign w:val="top"/>
          </w:tcPr>
          <w:p w14:paraId="74FF2818">
            <w:pPr>
              <w:pageBreakBefore w:val="0"/>
              <w:wordWrap/>
              <w:overflowPunct/>
              <w:topLinePunct w:val="0"/>
              <w:bidi w:val="0"/>
              <w:outlineLvl w:val="9"/>
              <w:rPr>
                <w:rFonts w:hint="eastAsia" w:ascii="仿宋" w:hAnsi="仿宋" w:eastAsia="仿宋" w:cs="仿宋"/>
                <w:color w:val="auto"/>
                <w:sz w:val="24"/>
                <w:szCs w:val="24"/>
                <w:highlight w:val="none"/>
              </w:rPr>
            </w:pPr>
          </w:p>
        </w:tc>
      </w:tr>
      <w:tr w14:paraId="2AA00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821" w:type="dxa"/>
            <w:vMerge w:val="continue"/>
            <w:tcBorders>
              <w:left w:val="single" w:color="000000" w:sz="10" w:space="0"/>
            </w:tcBorders>
            <w:textDirection w:val="tbRlV"/>
            <w:vAlign w:val="top"/>
          </w:tcPr>
          <w:p w14:paraId="2911D047">
            <w:pPr>
              <w:pageBreakBefore w:val="0"/>
              <w:wordWrap/>
              <w:overflowPunct/>
              <w:topLinePunct w:val="0"/>
              <w:bidi w:val="0"/>
              <w:outlineLvl w:val="9"/>
              <w:rPr>
                <w:rFonts w:hint="eastAsia" w:ascii="仿宋" w:hAnsi="仿宋" w:eastAsia="仿宋" w:cs="仿宋"/>
                <w:color w:val="auto"/>
                <w:sz w:val="24"/>
                <w:szCs w:val="24"/>
                <w:highlight w:val="none"/>
              </w:rPr>
            </w:pPr>
          </w:p>
        </w:tc>
        <w:tc>
          <w:tcPr>
            <w:tcW w:w="803" w:type="dxa"/>
            <w:vAlign w:val="center"/>
          </w:tcPr>
          <w:p w14:paraId="6B181E43">
            <w:pPr>
              <w:pStyle w:val="28"/>
              <w:pageBreakBefore w:val="0"/>
              <w:wordWrap/>
              <w:overflowPunct/>
              <w:topLinePunct w:val="0"/>
              <w:bidi w:val="0"/>
              <w:spacing w:before="129" w:line="182"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4738" w:type="dxa"/>
            <w:vAlign w:val="top"/>
          </w:tcPr>
          <w:p w14:paraId="09094518">
            <w:pPr>
              <w:pStyle w:val="28"/>
              <w:pageBreakBefore w:val="0"/>
              <w:wordWrap/>
              <w:overflowPunct/>
              <w:topLinePunct w:val="0"/>
              <w:bidi w:val="0"/>
              <w:spacing w:before="51" w:line="219" w:lineRule="auto"/>
              <w:outlineLvl w:val="9"/>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投标文件附有采购人不能接受条件的；</w:t>
            </w:r>
          </w:p>
        </w:tc>
        <w:tc>
          <w:tcPr>
            <w:tcW w:w="1015" w:type="dxa"/>
            <w:vAlign w:val="top"/>
          </w:tcPr>
          <w:p w14:paraId="143038C2">
            <w:pPr>
              <w:pageBreakBefore w:val="0"/>
              <w:wordWrap/>
              <w:overflowPunct/>
              <w:topLinePunct w:val="0"/>
              <w:bidi w:val="0"/>
              <w:outlineLvl w:val="9"/>
              <w:rPr>
                <w:rFonts w:hint="eastAsia" w:ascii="仿宋" w:hAnsi="仿宋" w:eastAsia="仿宋" w:cs="仿宋"/>
                <w:color w:val="auto"/>
                <w:sz w:val="24"/>
                <w:szCs w:val="24"/>
                <w:highlight w:val="none"/>
              </w:rPr>
            </w:pPr>
          </w:p>
        </w:tc>
        <w:tc>
          <w:tcPr>
            <w:tcW w:w="1146" w:type="dxa"/>
            <w:tcBorders>
              <w:right w:val="single" w:color="000000" w:sz="10" w:space="0"/>
            </w:tcBorders>
            <w:vAlign w:val="top"/>
          </w:tcPr>
          <w:p w14:paraId="396E9CE2">
            <w:pPr>
              <w:pageBreakBefore w:val="0"/>
              <w:wordWrap/>
              <w:overflowPunct/>
              <w:topLinePunct w:val="0"/>
              <w:bidi w:val="0"/>
              <w:outlineLvl w:val="9"/>
              <w:rPr>
                <w:rFonts w:hint="eastAsia" w:ascii="仿宋" w:hAnsi="仿宋" w:eastAsia="仿宋" w:cs="仿宋"/>
                <w:color w:val="auto"/>
                <w:sz w:val="24"/>
                <w:szCs w:val="24"/>
                <w:highlight w:val="none"/>
              </w:rPr>
            </w:pPr>
          </w:p>
        </w:tc>
      </w:tr>
      <w:tr w14:paraId="360DC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821" w:type="dxa"/>
            <w:vMerge w:val="continue"/>
            <w:tcBorders>
              <w:left w:val="single" w:color="000000" w:sz="10" w:space="0"/>
            </w:tcBorders>
            <w:textDirection w:val="tbRlV"/>
            <w:vAlign w:val="top"/>
          </w:tcPr>
          <w:p w14:paraId="24D1719A">
            <w:pPr>
              <w:pageBreakBefore w:val="0"/>
              <w:wordWrap/>
              <w:overflowPunct/>
              <w:topLinePunct w:val="0"/>
              <w:bidi w:val="0"/>
              <w:outlineLvl w:val="9"/>
              <w:rPr>
                <w:rFonts w:hint="eastAsia" w:ascii="仿宋" w:hAnsi="仿宋" w:eastAsia="仿宋" w:cs="仿宋"/>
                <w:color w:val="auto"/>
                <w:sz w:val="24"/>
                <w:szCs w:val="24"/>
                <w:highlight w:val="none"/>
              </w:rPr>
            </w:pPr>
          </w:p>
        </w:tc>
        <w:tc>
          <w:tcPr>
            <w:tcW w:w="803" w:type="dxa"/>
            <w:vAlign w:val="center"/>
          </w:tcPr>
          <w:p w14:paraId="4615E117">
            <w:pPr>
              <w:pStyle w:val="28"/>
              <w:pageBreakBefore w:val="0"/>
              <w:wordWrap/>
              <w:overflowPunct/>
              <w:topLinePunct w:val="0"/>
              <w:bidi w:val="0"/>
              <w:spacing w:before="127" w:line="183"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4738" w:type="dxa"/>
            <w:vAlign w:val="top"/>
          </w:tcPr>
          <w:p w14:paraId="426F6F9F">
            <w:pPr>
              <w:pStyle w:val="28"/>
              <w:pageBreakBefore w:val="0"/>
              <w:wordWrap/>
              <w:overflowPunct/>
              <w:topLinePunct w:val="0"/>
              <w:bidi w:val="0"/>
              <w:spacing w:before="51" w:line="219" w:lineRule="auto"/>
              <w:outlineLvl w:val="9"/>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不满足招标文件实质性要求的其他情形；</w:t>
            </w:r>
          </w:p>
        </w:tc>
        <w:tc>
          <w:tcPr>
            <w:tcW w:w="1015" w:type="dxa"/>
            <w:vAlign w:val="top"/>
          </w:tcPr>
          <w:p w14:paraId="03BA991A">
            <w:pPr>
              <w:pageBreakBefore w:val="0"/>
              <w:wordWrap/>
              <w:overflowPunct/>
              <w:topLinePunct w:val="0"/>
              <w:bidi w:val="0"/>
              <w:outlineLvl w:val="9"/>
              <w:rPr>
                <w:rFonts w:hint="eastAsia" w:ascii="仿宋" w:hAnsi="仿宋" w:eastAsia="仿宋" w:cs="仿宋"/>
                <w:color w:val="auto"/>
                <w:sz w:val="24"/>
                <w:szCs w:val="24"/>
                <w:highlight w:val="none"/>
              </w:rPr>
            </w:pPr>
          </w:p>
        </w:tc>
        <w:tc>
          <w:tcPr>
            <w:tcW w:w="1146" w:type="dxa"/>
            <w:tcBorders>
              <w:right w:val="single" w:color="000000" w:sz="10" w:space="0"/>
            </w:tcBorders>
            <w:vAlign w:val="top"/>
          </w:tcPr>
          <w:p w14:paraId="16DA9C65">
            <w:pPr>
              <w:pageBreakBefore w:val="0"/>
              <w:wordWrap/>
              <w:overflowPunct/>
              <w:topLinePunct w:val="0"/>
              <w:bidi w:val="0"/>
              <w:outlineLvl w:val="9"/>
              <w:rPr>
                <w:rFonts w:hint="eastAsia" w:ascii="仿宋" w:hAnsi="仿宋" w:eastAsia="仿宋" w:cs="仿宋"/>
                <w:color w:val="auto"/>
                <w:sz w:val="24"/>
                <w:szCs w:val="24"/>
                <w:highlight w:val="none"/>
              </w:rPr>
            </w:pPr>
          </w:p>
        </w:tc>
      </w:tr>
      <w:tr w14:paraId="2F6A0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821" w:type="dxa"/>
            <w:vMerge w:val="continue"/>
            <w:tcBorders>
              <w:left w:val="single" w:color="000000" w:sz="10" w:space="0"/>
            </w:tcBorders>
            <w:textDirection w:val="tbRlV"/>
            <w:vAlign w:val="top"/>
          </w:tcPr>
          <w:p w14:paraId="152B5955">
            <w:pPr>
              <w:pageBreakBefore w:val="0"/>
              <w:wordWrap/>
              <w:overflowPunct/>
              <w:topLinePunct w:val="0"/>
              <w:bidi w:val="0"/>
              <w:outlineLvl w:val="9"/>
              <w:rPr>
                <w:rFonts w:hint="eastAsia" w:ascii="仿宋" w:hAnsi="仿宋" w:eastAsia="仿宋" w:cs="仿宋"/>
                <w:color w:val="auto"/>
                <w:sz w:val="24"/>
                <w:szCs w:val="24"/>
                <w:highlight w:val="none"/>
              </w:rPr>
            </w:pPr>
          </w:p>
        </w:tc>
        <w:tc>
          <w:tcPr>
            <w:tcW w:w="803" w:type="dxa"/>
            <w:vAlign w:val="center"/>
          </w:tcPr>
          <w:p w14:paraId="64EE7762">
            <w:pPr>
              <w:pStyle w:val="28"/>
              <w:pageBreakBefore w:val="0"/>
              <w:wordWrap/>
              <w:overflowPunct/>
              <w:topLinePunct w:val="0"/>
              <w:bidi w:val="0"/>
              <w:spacing w:before="129" w:line="183"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4738" w:type="dxa"/>
            <w:vAlign w:val="top"/>
          </w:tcPr>
          <w:p w14:paraId="377BE68F">
            <w:pPr>
              <w:pStyle w:val="28"/>
              <w:pageBreakBefore w:val="0"/>
              <w:wordWrap/>
              <w:overflowPunct/>
              <w:topLinePunct w:val="0"/>
              <w:bidi w:val="0"/>
              <w:spacing w:before="53" w:line="219" w:lineRule="auto"/>
              <w:outlineLvl w:val="9"/>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不符合法律法规的其他情形；</w:t>
            </w:r>
          </w:p>
        </w:tc>
        <w:tc>
          <w:tcPr>
            <w:tcW w:w="1015" w:type="dxa"/>
            <w:vAlign w:val="top"/>
          </w:tcPr>
          <w:p w14:paraId="42ED7D3F">
            <w:pPr>
              <w:pageBreakBefore w:val="0"/>
              <w:wordWrap/>
              <w:overflowPunct/>
              <w:topLinePunct w:val="0"/>
              <w:bidi w:val="0"/>
              <w:outlineLvl w:val="9"/>
              <w:rPr>
                <w:rFonts w:hint="eastAsia" w:ascii="仿宋" w:hAnsi="仿宋" w:eastAsia="仿宋" w:cs="仿宋"/>
                <w:color w:val="auto"/>
                <w:sz w:val="24"/>
                <w:szCs w:val="24"/>
                <w:highlight w:val="none"/>
              </w:rPr>
            </w:pPr>
          </w:p>
        </w:tc>
        <w:tc>
          <w:tcPr>
            <w:tcW w:w="1146" w:type="dxa"/>
            <w:tcBorders>
              <w:right w:val="single" w:color="000000" w:sz="10" w:space="0"/>
            </w:tcBorders>
            <w:vAlign w:val="top"/>
          </w:tcPr>
          <w:p w14:paraId="2E82F820">
            <w:pPr>
              <w:pageBreakBefore w:val="0"/>
              <w:wordWrap/>
              <w:overflowPunct/>
              <w:topLinePunct w:val="0"/>
              <w:bidi w:val="0"/>
              <w:outlineLvl w:val="9"/>
              <w:rPr>
                <w:rFonts w:hint="eastAsia" w:ascii="仿宋" w:hAnsi="仿宋" w:eastAsia="仿宋" w:cs="仿宋"/>
                <w:color w:val="auto"/>
                <w:sz w:val="24"/>
                <w:szCs w:val="24"/>
                <w:highlight w:val="none"/>
              </w:rPr>
            </w:pPr>
          </w:p>
        </w:tc>
      </w:tr>
      <w:tr w14:paraId="743BD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821" w:type="dxa"/>
            <w:vMerge w:val="continue"/>
            <w:tcBorders>
              <w:left w:val="single" w:color="000000" w:sz="10" w:space="0"/>
            </w:tcBorders>
            <w:textDirection w:val="tbRlV"/>
            <w:vAlign w:val="top"/>
          </w:tcPr>
          <w:p w14:paraId="1E7FE83B">
            <w:pPr>
              <w:pageBreakBefore w:val="0"/>
              <w:wordWrap/>
              <w:overflowPunct/>
              <w:topLinePunct w:val="0"/>
              <w:bidi w:val="0"/>
              <w:outlineLvl w:val="9"/>
              <w:rPr>
                <w:rFonts w:hint="eastAsia" w:ascii="仿宋" w:hAnsi="仿宋" w:eastAsia="仿宋" w:cs="仿宋"/>
                <w:color w:val="auto"/>
                <w:sz w:val="24"/>
                <w:szCs w:val="24"/>
                <w:highlight w:val="none"/>
              </w:rPr>
            </w:pPr>
          </w:p>
        </w:tc>
        <w:tc>
          <w:tcPr>
            <w:tcW w:w="803" w:type="dxa"/>
            <w:vAlign w:val="center"/>
          </w:tcPr>
          <w:p w14:paraId="3D833364">
            <w:pPr>
              <w:pStyle w:val="28"/>
              <w:pageBreakBefore w:val="0"/>
              <w:wordWrap/>
              <w:overflowPunct/>
              <w:topLinePunct w:val="0"/>
              <w:bidi w:val="0"/>
              <w:spacing w:before="78" w:line="184"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4738" w:type="dxa"/>
            <w:vAlign w:val="top"/>
          </w:tcPr>
          <w:p w14:paraId="37AB1D8F">
            <w:pPr>
              <w:pStyle w:val="28"/>
              <w:pageBreakBefore w:val="0"/>
              <w:wordWrap/>
              <w:overflowPunct/>
              <w:topLinePunct w:val="0"/>
              <w:bidi w:val="0"/>
              <w:spacing w:before="51" w:line="228" w:lineRule="auto"/>
              <w:ind w:right="95"/>
              <w:outlineLvl w:val="9"/>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将工程排污费、社会保障费、住房公积金、危险作业意外伤害保险等规费和营业税、城 市维护建设税、教育费附加等税金，以及安全文明施工费列入招标投标竞争性费用的；</w:t>
            </w:r>
          </w:p>
        </w:tc>
        <w:tc>
          <w:tcPr>
            <w:tcW w:w="1015" w:type="dxa"/>
            <w:vAlign w:val="top"/>
          </w:tcPr>
          <w:p w14:paraId="2989C1AE">
            <w:pPr>
              <w:pageBreakBefore w:val="0"/>
              <w:wordWrap/>
              <w:overflowPunct/>
              <w:topLinePunct w:val="0"/>
              <w:bidi w:val="0"/>
              <w:outlineLvl w:val="9"/>
              <w:rPr>
                <w:rFonts w:hint="eastAsia" w:ascii="仿宋" w:hAnsi="仿宋" w:eastAsia="仿宋" w:cs="仿宋"/>
                <w:color w:val="auto"/>
                <w:sz w:val="24"/>
                <w:szCs w:val="24"/>
                <w:highlight w:val="none"/>
              </w:rPr>
            </w:pPr>
          </w:p>
        </w:tc>
        <w:tc>
          <w:tcPr>
            <w:tcW w:w="1146" w:type="dxa"/>
            <w:tcBorders>
              <w:right w:val="single" w:color="000000" w:sz="10" w:space="0"/>
            </w:tcBorders>
            <w:vAlign w:val="top"/>
          </w:tcPr>
          <w:p w14:paraId="17FCC631">
            <w:pPr>
              <w:pageBreakBefore w:val="0"/>
              <w:wordWrap/>
              <w:overflowPunct/>
              <w:topLinePunct w:val="0"/>
              <w:bidi w:val="0"/>
              <w:outlineLvl w:val="9"/>
              <w:rPr>
                <w:rFonts w:hint="eastAsia" w:ascii="仿宋" w:hAnsi="仿宋" w:eastAsia="仿宋" w:cs="仿宋"/>
                <w:color w:val="auto"/>
                <w:sz w:val="24"/>
                <w:szCs w:val="24"/>
                <w:highlight w:val="none"/>
              </w:rPr>
            </w:pPr>
          </w:p>
        </w:tc>
      </w:tr>
      <w:tr w14:paraId="1834A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821" w:type="dxa"/>
            <w:tcBorders>
              <w:left w:val="single" w:color="000000" w:sz="10" w:space="0"/>
              <w:bottom w:val="single" w:color="000000" w:sz="10" w:space="0"/>
            </w:tcBorders>
            <w:vAlign w:val="top"/>
          </w:tcPr>
          <w:p w14:paraId="677E5DD3">
            <w:pPr>
              <w:pageBreakBefore w:val="0"/>
              <w:wordWrap/>
              <w:overflowPunct/>
              <w:topLinePunct w:val="0"/>
              <w:bidi w:val="0"/>
              <w:outlineLvl w:val="9"/>
              <w:rPr>
                <w:rFonts w:hint="eastAsia" w:ascii="仿宋" w:hAnsi="仿宋" w:eastAsia="仿宋" w:cs="仿宋"/>
                <w:color w:val="auto"/>
                <w:sz w:val="24"/>
                <w:szCs w:val="24"/>
                <w:highlight w:val="none"/>
              </w:rPr>
            </w:pPr>
          </w:p>
        </w:tc>
        <w:tc>
          <w:tcPr>
            <w:tcW w:w="5541" w:type="dxa"/>
            <w:gridSpan w:val="2"/>
            <w:tcBorders>
              <w:bottom w:val="single" w:color="000000" w:sz="10" w:space="0"/>
            </w:tcBorders>
            <w:vAlign w:val="top"/>
          </w:tcPr>
          <w:p w14:paraId="0CD5DAD9">
            <w:pPr>
              <w:pStyle w:val="28"/>
              <w:pageBreakBefore w:val="0"/>
              <w:wordWrap/>
              <w:overflowPunct/>
              <w:topLinePunct w:val="0"/>
              <w:bidi w:val="0"/>
              <w:spacing w:before="56" w:line="220" w:lineRule="auto"/>
              <w:ind w:left="107"/>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结论：是否通过评审</w:t>
            </w:r>
          </w:p>
        </w:tc>
        <w:tc>
          <w:tcPr>
            <w:tcW w:w="1015" w:type="dxa"/>
            <w:tcBorders>
              <w:bottom w:val="single" w:color="000000" w:sz="10" w:space="0"/>
            </w:tcBorders>
            <w:vAlign w:val="top"/>
          </w:tcPr>
          <w:p w14:paraId="07D8CFB1">
            <w:pPr>
              <w:pageBreakBefore w:val="0"/>
              <w:wordWrap/>
              <w:overflowPunct/>
              <w:topLinePunct w:val="0"/>
              <w:bidi w:val="0"/>
              <w:outlineLvl w:val="9"/>
              <w:rPr>
                <w:rFonts w:hint="eastAsia" w:ascii="仿宋" w:hAnsi="仿宋" w:eastAsia="仿宋" w:cs="仿宋"/>
                <w:color w:val="auto"/>
                <w:sz w:val="24"/>
                <w:szCs w:val="24"/>
                <w:highlight w:val="none"/>
              </w:rPr>
            </w:pPr>
          </w:p>
        </w:tc>
        <w:tc>
          <w:tcPr>
            <w:tcW w:w="1146" w:type="dxa"/>
            <w:tcBorders>
              <w:bottom w:val="single" w:color="000000" w:sz="10" w:space="0"/>
              <w:right w:val="single" w:color="000000" w:sz="10" w:space="0"/>
            </w:tcBorders>
            <w:vAlign w:val="top"/>
          </w:tcPr>
          <w:p w14:paraId="57D6AA9D">
            <w:pPr>
              <w:pageBreakBefore w:val="0"/>
              <w:wordWrap/>
              <w:overflowPunct/>
              <w:topLinePunct w:val="0"/>
              <w:bidi w:val="0"/>
              <w:outlineLvl w:val="9"/>
              <w:rPr>
                <w:rFonts w:hint="eastAsia" w:ascii="仿宋" w:hAnsi="仿宋" w:eastAsia="仿宋" w:cs="仿宋"/>
                <w:color w:val="auto"/>
                <w:sz w:val="24"/>
                <w:szCs w:val="24"/>
                <w:highlight w:val="none"/>
              </w:rPr>
            </w:pPr>
          </w:p>
        </w:tc>
      </w:tr>
    </w:tbl>
    <w:p w14:paraId="4D54D222">
      <w:pPr>
        <w:pStyle w:val="2"/>
        <w:pageBreakBefore w:val="0"/>
        <w:wordWrap/>
        <w:overflowPunct/>
        <w:topLinePunct w:val="0"/>
        <w:bidi w:val="0"/>
        <w:spacing w:before="78" w:line="216" w:lineRule="auto"/>
        <w:outlineLvl w:val="9"/>
        <w:rPr>
          <w:rFonts w:hint="eastAsia" w:ascii="仿宋" w:hAnsi="仿宋" w:eastAsia="仿宋" w:cs="仿宋"/>
          <w:color w:val="auto"/>
          <w:spacing w:val="-1"/>
          <w:sz w:val="24"/>
          <w:szCs w:val="24"/>
          <w:highlight w:val="none"/>
        </w:rPr>
      </w:pPr>
    </w:p>
    <w:p w14:paraId="66B1FC13">
      <w:pPr>
        <w:pStyle w:val="2"/>
        <w:pageBreakBefore w:val="0"/>
        <w:wordWrap/>
        <w:overflowPunct/>
        <w:topLinePunct w:val="0"/>
        <w:bidi w:val="0"/>
        <w:spacing w:before="78" w:line="216" w:lineRule="auto"/>
        <w:ind w:left="610"/>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4.2</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1"/>
          <w:sz w:val="24"/>
          <w:szCs w:val="24"/>
          <w:highlight w:val="none"/>
        </w:rPr>
        <w:t>有下列情形之一时,评标委员会应予废标,并将理由通知所有投标人：</w:t>
      </w:r>
    </w:p>
    <w:p w14:paraId="378292A6">
      <w:pPr>
        <w:pStyle w:val="2"/>
        <w:pageBreakBefore w:val="0"/>
        <w:wordWrap/>
        <w:overflowPunct/>
        <w:topLinePunct w:val="0"/>
        <w:bidi w:val="0"/>
        <w:spacing w:before="187" w:line="226" w:lineRule="auto"/>
        <w:ind w:left="151" w:right="122" w:firstLine="502"/>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(1)符合专业条件的投标人或者对磋商文件作实质性响应的投标人不足三家</w:t>
      </w:r>
      <w:r>
        <w:rPr>
          <w:rFonts w:hint="eastAsia" w:ascii="仿宋" w:hAnsi="仿宋" w:eastAsia="仿宋" w:cs="仿宋"/>
          <w:color w:val="auto"/>
          <w:spacing w:val="5"/>
          <w:sz w:val="24"/>
          <w:szCs w:val="24"/>
          <w:highlight w:val="none"/>
        </w:rPr>
        <w:t xml:space="preserve"> </w:t>
      </w:r>
      <w:r>
        <w:rPr>
          <w:rFonts w:hint="eastAsia" w:ascii="仿宋" w:hAnsi="仿宋" w:eastAsia="仿宋" w:cs="仿宋"/>
          <w:color w:val="auto"/>
          <w:spacing w:val="-15"/>
          <w:sz w:val="24"/>
          <w:szCs w:val="24"/>
          <w:highlight w:val="none"/>
        </w:rPr>
        <w:t>的；</w:t>
      </w:r>
    </w:p>
    <w:p w14:paraId="5C728120">
      <w:pPr>
        <w:pStyle w:val="2"/>
        <w:pageBreakBefore w:val="0"/>
        <w:wordWrap/>
        <w:overflowPunct/>
        <w:topLinePunct w:val="0"/>
        <w:bidi w:val="0"/>
        <w:spacing w:before="12" w:line="220" w:lineRule="auto"/>
        <w:ind w:left="654"/>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(2)出现影响磋商公正的违法、违规行为的；</w:t>
      </w:r>
    </w:p>
    <w:p w14:paraId="3625BA72">
      <w:pPr>
        <w:pStyle w:val="2"/>
        <w:pageBreakBefore w:val="0"/>
        <w:wordWrap/>
        <w:overflowPunct/>
        <w:topLinePunct w:val="0"/>
        <w:bidi w:val="0"/>
        <w:spacing w:before="15" w:line="216" w:lineRule="auto"/>
        <w:ind w:left="654"/>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(3)投标人的报价均超过了采购预算,采购人不能支付的；</w:t>
      </w:r>
    </w:p>
    <w:p w14:paraId="102BC3E2">
      <w:pPr>
        <w:pStyle w:val="2"/>
        <w:pageBreakBefore w:val="0"/>
        <w:wordWrap/>
        <w:overflowPunct/>
        <w:topLinePunct w:val="0"/>
        <w:bidi w:val="0"/>
        <w:spacing w:before="18" w:line="219" w:lineRule="auto"/>
        <w:ind w:left="654"/>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(4)因重大变故，采购任务取消的。</w:t>
      </w:r>
    </w:p>
    <w:p w14:paraId="65A763D0">
      <w:pPr>
        <w:pStyle w:val="2"/>
        <w:pageBreakBefore w:val="0"/>
        <w:wordWrap/>
        <w:overflowPunct/>
        <w:topLinePunct w:val="0"/>
        <w:bidi w:val="0"/>
        <w:spacing w:before="14" w:line="227" w:lineRule="auto"/>
        <w:ind w:left="25" w:right="200" w:firstLine="482"/>
        <w:jc w:val="both"/>
        <w:outlineLvl w:val="9"/>
        <w:rPr>
          <w:rFonts w:hint="eastAsia" w:ascii="仿宋" w:hAnsi="仿宋" w:eastAsia="仿宋" w:cs="仿宋"/>
          <w:color w:val="auto"/>
          <w:spacing w:val="-3"/>
          <w:sz w:val="24"/>
          <w:szCs w:val="24"/>
          <w:highlight w:val="none"/>
        </w:rPr>
      </w:pPr>
      <w:r>
        <w:rPr>
          <w:rFonts w:hint="eastAsia" w:ascii="仿宋" w:hAnsi="仿宋" w:eastAsia="仿宋" w:cs="仿宋"/>
          <w:color w:val="auto"/>
          <w:spacing w:val="-1"/>
          <w:sz w:val="24"/>
          <w:szCs w:val="24"/>
          <w:highlight w:val="none"/>
        </w:rPr>
        <w:t>（5）如发现有二份及以上响应文件的相互之间有相同或高度相似之处，</w:t>
      </w:r>
      <w:r>
        <w:rPr>
          <w:rFonts w:hint="eastAsia" w:ascii="仿宋" w:hAnsi="仿宋" w:eastAsia="仿宋" w:cs="仿宋"/>
          <w:color w:val="auto"/>
          <w:spacing w:val="-2"/>
          <w:sz w:val="24"/>
          <w:szCs w:val="24"/>
          <w:highlight w:val="none"/>
        </w:rPr>
        <w:t xml:space="preserve">且 </w:t>
      </w:r>
      <w:r>
        <w:rPr>
          <w:rFonts w:hint="eastAsia" w:ascii="仿宋" w:hAnsi="仿宋" w:eastAsia="仿宋" w:cs="仿宋"/>
          <w:color w:val="auto"/>
          <w:spacing w:val="-3"/>
          <w:sz w:val="24"/>
          <w:szCs w:val="24"/>
          <w:highlight w:val="none"/>
        </w:rPr>
        <w:t>无合理解释的，经评标委员会半数以上成员认定有串通投标嫌疑的，其响应文件</w:t>
      </w:r>
      <w:r>
        <w:rPr>
          <w:rFonts w:hint="eastAsia" w:ascii="仿宋" w:hAnsi="仿宋" w:eastAsia="仿宋" w:cs="仿宋"/>
          <w:color w:val="auto"/>
          <w:sz w:val="24"/>
          <w:szCs w:val="24"/>
          <w:highlight w:val="none"/>
        </w:rPr>
        <w:t xml:space="preserve"> 按无效标处理，予以废除，不再对其进行评审，</w:t>
      </w:r>
      <w:r>
        <w:rPr>
          <w:rFonts w:hint="eastAsia" w:ascii="仿宋" w:hAnsi="仿宋" w:eastAsia="仿宋" w:cs="仿宋"/>
          <w:color w:val="auto"/>
          <w:spacing w:val="-1"/>
          <w:sz w:val="24"/>
          <w:szCs w:val="24"/>
          <w:highlight w:val="none"/>
        </w:rPr>
        <w:t>也不影响磋商工作继续评标</w:t>
      </w:r>
      <w:r>
        <w:rPr>
          <w:rFonts w:hint="eastAsia" w:ascii="仿宋" w:hAnsi="仿宋" w:eastAsia="仿宋" w:cs="仿宋"/>
          <w:color w:val="auto"/>
          <w:spacing w:val="-3"/>
          <w:sz w:val="24"/>
          <w:szCs w:val="24"/>
          <w:highlight w:val="none"/>
        </w:rPr>
        <w:t>。</w:t>
      </w:r>
    </w:p>
    <w:p w14:paraId="2A91422B">
      <w:pPr>
        <w:pStyle w:val="2"/>
        <w:pageBreakBefore w:val="0"/>
        <w:wordWrap/>
        <w:overflowPunct/>
        <w:topLinePunct w:val="0"/>
        <w:bidi w:val="0"/>
        <w:spacing w:before="14" w:line="227" w:lineRule="auto"/>
        <w:ind w:left="25" w:right="200" w:firstLine="482"/>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4.3 废标后，除采购任务取消情形外，招标采购单位应当重新组织招标。需要采取其他采购方式的，应当在采购活动开始前获得设区的市、自治州以上人民 政府财政部门的批准</w:t>
      </w:r>
      <w:r>
        <w:rPr>
          <w:rFonts w:hint="eastAsia" w:ascii="仿宋" w:hAnsi="仿宋" w:eastAsia="仿宋" w:cs="仿宋"/>
          <w:color w:val="auto"/>
          <w:spacing w:val="-1"/>
          <w:sz w:val="24"/>
          <w:szCs w:val="24"/>
          <w:highlight w:val="none"/>
        </w:rPr>
        <w:t>。</w:t>
      </w:r>
    </w:p>
    <w:p w14:paraId="4EAF539B">
      <w:pPr>
        <w:pStyle w:val="2"/>
        <w:pageBreakBefore w:val="0"/>
        <w:wordWrap/>
        <w:overflowPunct/>
        <w:topLinePunct w:val="0"/>
        <w:bidi w:val="0"/>
        <w:spacing w:before="15" w:line="220" w:lineRule="auto"/>
        <w:ind w:left="28"/>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5．澄清有关问题</w:t>
      </w:r>
    </w:p>
    <w:p w14:paraId="270897F1">
      <w:pPr>
        <w:pStyle w:val="2"/>
        <w:pageBreakBefore w:val="0"/>
        <w:wordWrap/>
        <w:overflowPunct/>
        <w:topLinePunct w:val="0"/>
        <w:bidi w:val="0"/>
        <w:spacing w:before="14" w:line="227" w:lineRule="auto"/>
        <w:ind w:left="25" w:right="200" w:firstLine="482"/>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5.1</w:t>
      </w:r>
      <w:r>
        <w:rPr>
          <w:rFonts w:hint="eastAsia" w:ascii="仿宋" w:hAnsi="仿宋" w:eastAsia="仿宋" w:cs="仿宋"/>
          <w:color w:val="auto"/>
          <w:spacing w:val="-41"/>
          <w:sz w:val="24"/>
          <w:szCs w:val="24"/>
          <w:highlight w:val="none"/>
        </w:rPr>
        <w:t xml:space="preserve"> </w:t>
      </w:r>
      <w:r>
        <w:rPr>
          <w:rFonts w:hint="eastAsia" w:ascii="仿宋" w:hAnsi="仿宋" w:eastAsia="仿宋" w:cs="仿宋"/>
          <w:color w:val="auto"/>
          <w:spacing w:val="-2"/>
          <w:sz w:val="24"/>
          <w:szCs w:val="24"/>
          <w:highlight w:val="none"/>
        </w:rPr>
        <w:t>对于响应文件中含义不明确、同类问题表述不一致或者有明显文字和计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算错误的内容，评标委员会应当以书面形式要求投标人作出必要的澄清、说明或</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者补正。</w:t>
      </w:r>
    </w:p>
    <w:p w14:paraId="5E825E32">
      <w:pPr>
        <w:pStyle w:val="2"/>
        <w:pageBreakBefore w:val="0"/>
        <w:wordWrap/>
        <w:overflowPunct/>
        <w:topLinePunct w:val="0"/>
        <w:bidi w:val="0"/>
        <w:spacing w:before="13" w:line="227" w:lineRule="auto"/>
        <w:ind w:left="22" w:right="200" w:firstLine="483"/>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投标人的澄清、说明或者补正应当采用书面形式，并加盖</w:t>
      </w:r>
      <w:r>
        <w:rPr>
          <w:rFonts w:hint="eastAsia" w:ascii="仿宋" w:hAnsi="仿宋" w:eastAsia="仿宋" w:cs="仿宋"/>
          <w:color w:val="auto"/>
          <w:spacing w:val="-4"/>
          <w:sz w:val="24"/>
          <w:szCs w:val="24"/>
          <w:highlight w:val="none"/>
        </w:rPr>
        <w:t>公章，或者由法定</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代表人或其授权的代表签字。投标人的澄清、说明或者补正不得超出响应文件的</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1"/>
          <w:sz w:val="24"/>
          <w:szCs w:val="24"/>
          <w:highlight w:val="none"/>
        </w:rPr>
        <w:t>范围或者改变响应文件的实质性内容。</w:t>
      </w:r>
    </w:p>
    <w:p w14:paraId="1996D855">
      <w:pPr>
        <w:pStyle w:val="2"/>
        <w:pageBreakBefore w:val="0"/>
        <w:wordWrap/>
        <w:overflowPunct/>
        <w:topLinePunct w:val="0"/>
        <w:bidi w:val="0"/>
        <w:spacing w:before="15" w:line="219" w:lineRule="auto"/>
        <w:ind w:left="508"/>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5.2</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2"/>
          <w:sz w:val="24"/>
          <w:szCs w:val="24"/>
          <w:highlight w:val="none"/>
        </w:rPr>
        <w:t>投标人不得对下列内容进行澄清或补充：</w:t>
      </w:r>
    </w:p>
    <w:p w14:paraId="2C61ED8A">
      <w:pPr>
        <w:pStyle w:val="2"/>
        <w:pageBreakBefore w:val="0"/>
        <w:wordWrap/>
        <w:overflowPunct/>
        <w:topLinePunct w:val="0"/>
        <w:bidi w:val="0"/>
        <w:spacing w:before="15" w:line="218" w:lineRule="auto"/>
        <w:ind w:left="545"/>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(1)投标报价、质量标准、合同履行期限等实质性内容。</w:t>
      </w:r>
    </w:p>
    <w:p w14:paraId="5BB626B1">
      <w:pPr>
        <w:pStyle w:val="2"/>
        <w:pageBreakBefore w:val="0"/>
        <w:wordWrap/>
        <w:overflowPunct/>
        <w:topLinePunct w:val="0"/>
        <w:bidi w:val="0"/>
        <w:spacing w:before="17" w:line="219" w:lineRule="auto"/>
        <w:ind w:left="545"/>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(2)不满足投标人须知规定的实质性要求的响应文件内容。</w:t>
      </w:r>
    </w:p>
    <w:p w14:paraId="1A35AF67">
      <w:pPr>
        <w:pStyle w:val="2"/>
        <w:pageBreakBefore w:val="0"/>
        <w:wordWrap/>
        <w:overflowPunct/>
        <w:topLinePunct w:val="0"/>
        <w:bidi w:val="0"/>
        <w:spacing w:before="15" w:line="225" w:lineRule="auto"/>
        <w:ind w:left="29" w:right="200" w:firstLine="479"/>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5.3</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2"/>
          <w:sz w:val="24"/>
          <w:szCs w:val="24"/>
          <w:highlight w:val="none"/>
        </w:rPr>
        <w:t>响应文件报价出现前后不一致的，除磋商文件另有规定外，按照</w:t>
      </w:r>
      <w:r>
        <w:rPr>
          <w:rFonts w:hint="eastAsia" w:ascii="仿宋" w:hAnsi="仿宋" w:eastAsia="仿宋" w:cs="仿宋"/>
          <w:color w:val="auto"/>
          <w:spacing w:val="-3"/>
          <w:sz w:val="24"/>
          <w:szCs w:val="24"/>
          <w:highlight w:val="none"/>
        </w:rPr>
        <w:t>下列规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定修正：</w:t>
      </w:r>
    </w:p>
    <w:p w14:paraId="39800D9E">
      <w:pPr>
        <w:pStyle w:val="2"/>
        <w:pageBreakBefore w:val="0"/>
        <w:wordWrap/>
        <w:overflowPunct/>
        <w:topLinePunct w:val="0"/>
        <w:bidi w:val="0"/>
        <w:spacing w:before="16" w:line="224" w:lineRule="auto"/>
        <w:ind w:left="43" w:right="202" w:firstLine="47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（1）响应文件中开标一览表（报价表）内容与响应文件中相应内容不一致</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2"/>
          <w:sz w:val="24"/>
          <w:szCs w:val="24"/>
          <w:highlight w:val="none"/>
        </w:rPr>
        <w:t>的，以开标一览表（报价表）为准；</w:t>
      </w:r>
    </w:p>
    <w:p w14:paraId="5A738D7E">
      <w:pPr>
        <w:pStyle w:val="2"/>
        <w:pageBreakBefore w:val="0"/>
        <w:wordWrap/>
        <w:overflowPunct/>
        <w:topLinePunct w:val="0"/>
        <w:bidi w:val="0"/>
        <w:spacing w:before="17" w:line="219" w:lineRule="auto"/>
        <w:ind w:left="514"/>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（2）大写金额和小写金额不一致的，以大写金额为准；</w:t>
      </w:r>
    </w:p>
    <w:p w14:paraId="11BE195A">
      <w:pPr>
        <w:pStyle w:val="2"/>
        <w:pageBreakBefore w:val="0"/>
        <w:wordWrap/>
        <w:overflowPunct/>
        <w:topLinePunct w:val="0"/>
        <w:bidi w:val="0"/>
        <w:spacing w:before="16" w:line="224" w:lineRule="auto"/>
        <w:ind w:left="29" w:right="138" w:firstLine="485"/>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（3）单价金额小数点或者百分比有明显错位的，以开标一览表的总</w:t>
      </w:r>
      <w:r>
        <w:rPr>
          <w:rFonts w:hint="eastAsia" w:ascii="仿宋" w:hAnsi="仿宋" w:eastAsia="仿宋" w:cs="仿宋"/>
          <w:color w:val="auto"/>
          <w:spacing w:val="-6"/>
          <w:sz w:val="24"/>
          <w:szCs w:val="24"/>
          <w:highlight w:val="none"/>
        </w:rPr>
        <w:t>价为准，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并修改单价；</w:t>
      </w:r>
    </w:p>
    <w:p w14:paraId="61262723">
      <w:pPr>
        <w:pStyle w:val="2"/>
        <w:pageBreakBefore w:val="0"/>
        <w:wordWrap/>
        <w:overflowPunct/>
        <w:topLinePunct w:val="0"/>
        <w:bidi w:val="0"/>
        <w:spacing w:before="16" w:line="218" w:lineRule="auto"/>
        <w:ind w:left="514"/>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（4）总价金额与按单价汇总金额不一致的，以单价金额计算结果为准。</w:t>
      </w:r>
    </w:p>
    <w:p w14:paraId="5E39F84A">
      <w:pPr>
        <w:pStyle w:val="2"/>
        <w:pageBreakBefore w:val="0"/>
        <w:wordWrap/>
        <w:overflowPunct/>
        <w:topLinePunct w:val="0"/>
        <w:bidi w:val="0"/>
        <w:spacing w:before="18" w:line="227" w:lineRule="auto"/>
        <w:ind w:left="24" w:right="153" w:firstLine="502"/>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同时出现两种以上不一致的，按照前款规定的顺序修正。修正后的报价按照</w:t>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3"/>
          <w:sz w:val="24"/>
          <w:szCs w:val="24"/>
          <w:highlight w:val="none"/>
        </w:rPr>
        <w:t>本章</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3"/>
          <w:sz w:val="24"/>
          <w:szCs w:val="24"/>
          <w:highlight w:val="none"/>
        </w:rPr>
        <w:t>5.1</w:t>
      </w:r>
      <w:r>
        <w:rPr>
          <w:rFonts w:hint="eastAsia" w:ascii="仿宋" w:hAnsi="仿宋" w:eastAsia="仿宋" w:cs="仿宋"/>
          <w:color w:val="auto"/>
          <w:spacing w:val="-50"/>
          <w:sz w:val="24"/>
          <w:szCs w:val="24"/>
          <w:highlight w:val="none"/>
        </w:rPr>
        <w:t xml:space="preserve"> </w:t>
      </w:r>
      <w:r>
        <w:rPr>
          <w:rFonts w:hint="eastAsia" w:ascii="仿宋" w:hAnsi="仿宋" w:eastAsia="仿宋" w:cs="仿宋"/>
          <w:color w:val="auto"/>
          <w:spacing w:val="-3"/>
          <w:sz w:val="24"/>
          <w:szCs w:val="24"/>
          <w:highlight w:val="none"/>
        </w:rPr>
        <w:t>款的规定经投标人确认后产生约束力，▲投标人不确认或拒绝修正的，其投标无效。</w:t>
      </w:r>
    </w:p>
    <w:p w14:paraId="7A077728">
      <w:pPr>
        <w:pStyle w:val="2"/>
        <w:pageBreakBefore w:val="0"/>
        <w:wordWrap/>
        <w:overflowPunct/>
        <w:topLinePunct w:val="0"/>
        <w:bidi w:val="0"/>
        <w:spacing w:before="13" w:line="225" w:lineRule="auto"/>
        <w:ind w:left="26" w:right="200" w:firstLine="481"/>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5.4</w:t>
      </w:r>
      <w:r>
        <w:rPr>
          <w:rFonts w:hint="eastAsia" w:ascii="仿宋" w:hAnsi="仿宋" w:eastAsia="仿宋" w:cs="仿宋"/>
          <w:color w:val="auto"/>
          <w:spacing w:val="-41"/>
          <w:sz w:val="24"/>
          <w:szCs w:val="24"/>
          <w:highlight w:val="none"/>
        </w:rPr>
        <w:t xml:space="preserve"> </w:t>
      </w:r>
      <w:r>
        <w:rPr>
          <w:rFonts w:hint="eastAsia" w:ascii="仿宋" w:hAnsi="仿宋" w:eastAsia="仿宋" w:cs="仿宋"/>
          <w:color w:val="auto"/>
          <w:spacing w:val="-2"/>
          <w:sz w:val="24"/>
          <w:szCs w:val="24"/>
          <w:highlight w:val="none"/>
        </w:rPr>
        <w:t>投标人按照评标委员会要求提供的有效书面澄清材料，是响应文件的补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充材料，成为其响应文件的组成部分。</w:t>
      </w:r>
    </w:p>
    <w:p w14:paraId="08BC7B93">
      <w:pPr>
        <w:pStyle w:val="2"/>
        <w:pageBreakBefore w:val="0"/>
        <w:wordWrap/>
        <w:overflowPunct/>
        <w:topLinePunct w:val="0"/>
        <w:bidi w:val="0"/>
        <w:spacing w:before="14" w:line="228" w:lineRule="auto"/>
        <w:ind w:left="21" w:right="200" w:firstLine="486"/>
        <w:outlineLvl w:val="9"/>
        <w:rPr>
          <w:rFonts w:hint="eastAsia" w:ascii="仿宋" w:hAnsi="仿宋" w:eastAsia="仿宋" w:cs="仿宋"/>
          <w:color w:val="auto"/>
          <w:spacing w:val="-2"/>
          <w:sz w:val="24"/>
          <w:szCs w:val="24"/>
          <w:highlight w:val="none"/>
        </w:rPr>
      </w:pPr>
      <w:r>
        <w:rPr>
          <w:rFonts w:hint="eastAsia" w:ascii="仿宋" w:hAnsi="仿宋" w:eastAsia="仿宋" w:cs="仿宋"/>
          <w:color w:val="auto"/>
          <w:spacing w:val="3"/>
          <w:sz w:val="24"/>
          <w:szCs w:val="24"/>
          <w:highlight w:val="none"/>
        </w:rPr>
        <w:t>5.5</w:t>
      </w:r>
      <w:r>
        <w:rPr>
          <w:rFonts w:hint="eastAsia" w:ascii="仿宋" w:hAnsi="仿宋" w:eastAsia="仿宋" w:cs="仿宋"/>
          <w:color w:val="auto"/>
          <w:spacing w:val="-47"/>
          <w:sz w:val="24"/>
          <w:szCs w:val="24"/>
          <w:highlight w:val="none"/>
        </w:rPr>
        <w:t xml:space="preserve"> </w:t>
      </w:r>
      <w:r>
        <w:rPr>
          <w:rFonts w:hint="eastAsia" w:ascii="仿宋" w:hAnsi="仿宋" w:eastAsia="仿宋" w:cs="仿宋"/>
          <w:color w:val="auto"/>
          <w:spacing w:val="-2"/>
          <w:sz w:val="24"/>
          <w:szCs w:val="24"/>
          <w:highlight w:val="none"/>
        </w:rPr>
        <w:t>评标委员会认为投标人的报价明显低于其他通过符合性审查投标人的报价，有可能影响产品质量或者不能诚信履约的，应当要求其在评标现场合理 的时间内提供书面说明，必要时提交相关证明材料；▲投标人规定的时间内不能证明其报价合理性的，评标委员会应当将其作为无效投标处理。</w:t>
      </w:r>
    </w:p>
    <w:p w14:paraId="194BF950">
      <w:pPr>
        <w:pStyle w:val="2"/>
        <w:pageBreakBefore w:val="0"/>
        <w:wordWrap/>
        <w:overflowPunct/>
        <w:topLinePunct w:val="0"/>
        <w:bidi w:val="0"/>
        <w:spacing w:before="16" w:line="220" w:lineRule="auto"/>
        <w:ind w:left="25"/>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6．详细评标</w:t>
      </w:r>
    </w:p>
    <w:p w14:paraId="210DC182">
      <w:pPr>
        <w:pStyle w:val="2"/>
        <w:pageBreakBefore w:val="0"/>
        <w:wordWrap/>
        <w:overflowPunct/>
        <w:topLinePunct w:val="0"/>
        <w:bidi w:val="0"/>
        <w:spacing w:before="15" w:line="224" w:lineRule="auto"/>
        <w:ind w:left="23" w:right="146" w:firstLine="481"/>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6.1</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2"/>
          <w:sz w:val="24"/>
          <w:szCs w:val="24"/>
          <w:highlight w:val="none"/>
        </w:rPr>
        <w:t>评标委员会应按照磋商文件中规定的评标方法、标准和评标因素，对资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格性检查和符合性检查合格的响应文件进行</w:t>
      </w:r>
      <w:r>
        <w:rPr>
          <w:rFonts w:hint="eastAsia" w:ascii="仿宋" w:hAnsi="仿宋" w:eastAsia="仿宋" w:cs="仿宋"/>
          <w:color w:val="auto"/>
          <w:spacing w:val="-2"/>
          <w:sz w:val="24"/>
          <w:szCs w:val="24"/>
          <w:highlight w:val="none"/>
        </w:rPr>
        <w:t>商务和技术评估，综合比较与评价。</w:t>
      </w:r>
    </w:p>
    <w:p w14:paraId="20B1B63A">
      <w:pPr>
        <w:pStyle w:val="2"/>
        <w:pageBreakBefore w:val="0"/>
        <w:wordWrap/>
        <w:overflowPunct/>
        <w:topLinePunct w:val="0"/>
        <w:bidi w:val="0"/>
        <w:spacing w:before="17" w:line="225" w:lineRule="auto"/>
        <w:ind w:left="22" w:firstLine="482"/>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6.2</w:t>
      </w:r>
      <w:r>
        <w:rPr>
          <w:rFonts w:hint="eastAsia" w:ascii="仿宋" w:hAnsi="仿宋" w:eastAsia="仿宋" w:cs="仿宋"/>
          <w:color w:val="auto"/>
          <w:spacing w:val="-41"/>
          <w:sz w:val="24"/>
          <w:szCs w:val="24"/>
          <w:highlight w:val="none"/>
        </w:rPr>
        <w:t xml:space="preserve"> </w:t>
      </w:r>
      <w:r>
        <w:rPr>
          <w:rFonts w:hint="eastAsia" w:ascii="仿宋" w:hAnsi="仿宋" w:eastAsia="仿宋" w:cs="仿宋"/>
          <w:color w:val="auto"/>
          <w:spacing w:val="-3"/>
          <w:sz w:val="24"/>
          <w:szCs w:val="24"/>
          <w:highlight w:val="none"/>
        </w:rPr>
        <w:t>评标时，评标委员会各成员应当独立对每个投标人的响应文件进行评价、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评分，然后汇总每个投标人每项评分因素的得分。</w:t>
      </w:r>
    </w:p>
    <w:p w14:paraId="30CC3DA6">
      <w:pPr>
        <w:pStyle w:val="2"/>
        <w:pageBreakBefore w:val="0"/>
        <w:wordWrap/>
        <w:overflowPunct/>
        <w:topLinePunct w:val="0"/>
        <w:bidi w:val="0"/>
        <w:spacing w:before="15" w:line="225" w:lineRule="auto"/>
        <w:ind w:left="27" w:right="200" w:firstLine="478"/>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6.3</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2"/>
          <w:sz w:val="24"/>
          <w:szCs w:val="24"/>
          <w:highlight w:val="none"/>
        </w:rPr>
        <w:t>投标人在评标过程中，所进行的试图影响评标结果的不符合招标规则的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活动，可能导致其被取消中标资格。</w:t>
      </w:r>
    </w:p>
    <w:p w14:paraId="2B5A02B0">
      <w:pPr>
        <w:pStyle w:val="2"/>
        <w:pageBreakBefore w:val="0"/>
        <w:wordWrap/>
        <w:overflowPunct/>
        <w:topLinePunct w:val="0"/>
        <w:bidi w:val="0"/>
        <w:spacing w:before="15" w:line="219" w:lineRule="auto"/>
        <w:ind w:left="505"/>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6.4</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2"/>
          <w:sz w:val="24"/>
          <w:szCs w:val="24"/>
          <w:highlight w:val="none"/>
        </w:rPr>
        <w:t>评分标准：具体见评标标准</w:t>
      </w:r>
    </w:p>
    <w:p w14:paraId="56B73464">
      <w:pPr>
        <w:pStyle w:val="2"/>
        <w:pageBreakBefore w:val="0"/>
        <w:wordWrap/>
        <w:overflowPunct/>
        <w:topLinePunct w:val="0"/>
        <w:bidi w:val="0"/>
        <w:spacing w:before="15" w:line="219" w:lineRule="auto"/>
        <w:ind w:left="29"/>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7．推荐中标候选人名单</w:t>
      </w:r>
    </w:p>
    <w:p w14:paraId="3B18A870">
      <w:pPr>
        <w:pStyle w:val="2"/>
        <w:pageBreakBefore w:val="0"/>
        <w:wordWrap/>
        <w:overflowPunct/>
        <w:topLinePunct w:val="0"/>
        <w:bidi w:val="0"/>
        <w:spacing w:before="14" w:line="229" w:lineRule="auto"/>
        <w:ind w:left="22" w:right="200" w:firstLine="486"/>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7.1</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2"/>
          <w:sz w:val="24"/>
          <w:szCs w:val="24"/>
          <w:highlight w:val="none"/>
        </w:rPr>
        <w:t>评标结果按评标后得分由高到低顺序排列。得分相同的，按投标报价由</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低到高顺序排列。得分且投标报价相同的并列。响应文件满足磋商文件全部实质</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3"/>
          <w:sz w:val="24"/>
          <w:szCs w:val="24"/>
          <w:highlight w:val="none"/>
        </w:rPr>
        <w:t>性要求，且按照评标因素的量化指标评标得分最高的投标人为排名第一的中标候</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3"/>
          <w:sz w:val="24"/>
          <w:szCs w:val="24"/>
          <w:highlight w:val="none"/>
        </w:rPr>
        <w:t>选人。</w:t>
      </w:r>
    </w:p>
    <w:p w14:paraId="61FD9013">
      <w:pPr>
        <w:pStyle w:val="2"/>
        <w:pageBreakBefore w:val="0"/>
        <w:wordWrap/>
        <w:overflowPunct/>
        <w:topLinePunct w:val="0"/>
        <w:bidi w:val="0"/>
        <w:spacing w:before="11" w:line="219" w:lineRule="auto"/>
        <w:ind w:left="509"/>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7.2</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1"/>
          <w:sz w:val="24"/>
          <w:szCs w:val="24"/>
          <w:highlight w:val="none"/>
        </w:rPr>
        <w:t>评标结果汇总完成后，除下列情形外，任何人不得修改评标结果：</w:t>
      </w:r>
    </w:p>
    <w:p w14:paraId="3AB141C6">
      <w:pPr>
        <w:pStyle w:val="2"/>
        <w:pageBreakBefore w:val="0"/>
        <w:wordWrap/>
        <w:overflowPunct/>
        <w:topLinePunct w:val="0"/>
        <w:bidi w:val="0"/>
        <w:spacing w:before="15" w:line="219" w:lineRule="auto"/>
        <w:ind w:left="545"/>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(1)分值汇总计算错误的；</w:t>
      </w:r>
    </w:p>
    <w:p w14:paraId="5119BB21">
      <w:pPr>
        <w:pStyle w:val="2"/>
        <w:pageBreakBefore w:val="0"/>
        <w:wordWrap/>
        <w:overflowPunct/>
        <w:topLinePunct w:val="0"/>
        <w:bidi w:val="0"/>
        <w:spacing w:before="15" w:line="220" w:lineRule="auto"/>
        <w:ind w:left="545"/>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(2)分项评分超出评分标准范围的；</w:t>
      </w:r>
    </w:p>
    <w:p w14:paraId="51129C67">
      <w:pPr>
        <w:pStyle w:val="2"/>
        <w:pageBreakBefore w:val="0"/>
        <w:wordWrap/>
        <w:overflowPunct/>
        <w:topLinePunct w:val="0"/>
        <w:bidi w:val="0"/>
        <w:spacing w:before="47" w:line="219" w:lineRule="auto"/>
        <w:ind w:firstLine="472" w:firstLineChars="200"/>
        <w:outlineLvl w:val="9"/>
        <w:rPr>
          <w:rFonts w:hint="eastAsia" w:ascii="仿宋" w:hAnsi="仿宋" w:eastAsia="仿宋" w:cs="仿宋"/>
          <w:color w:val="auto"/>
          <w:spacing w:val="-3"/>
          <w:sz w:val="24"/>
          <w:szCs w:val="24"/>
          <w:highlight w:val="none"/>
        </w:rPr>
      </w:pPr>
      <w:r>
        <w:rPr>
          <w:rFonts w:hint="eastAsia" w:ascii="仿宋" w:hAnsi="仿宋" w:eastAsia="仿宋" w:cs="仿宋"/>
          <w:color w:val="auto"/>
          <w:spacing w:val="-2"/>
          <w:sz w:val="24"/>
          <w:szCs w:val="24"/>
          <w:highlight w:val="none"/>
        </w:rPr>
        <w:t>(3)评标委员会成员对客观评标因素评分</w:t>
      </w:r>
      <w:r>
        <w:rPr>
          <w:rFonts w:hint="eastAsia" w:ascii="仿宋" w:hAnsi="仿宋" w:eastAsia="仿宋" w:cs="仿宋"/>
          <w:color w:val="auto"/>
          <w:spacing w:val="-3"/>
          <w:sz w:val="24"/>
          <w:szCs w:val="24"/>
          <w:highlight w:val="none"/>
        </w:rPr>
        <w:t>不一致的；</w:t>
      </w:r>
    </w:p>
    <w:p w14:paraId="18F62B33">
      <w:pPr>
        <w:pStyle w:val="2"/>
        <w:pageBreakBefore w:val="0"/>
        <w:wordWrap/>
        <w:overflowPunct/>
        <w:topLinePunct w:val="0"/>
        <w:bidi w:val="0"/>
        <w:spacing w:before="47" w:line="219" w:lineRule="auto"/>
        <w:ind w:firstLine="468"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(4)经评标委员会认定评分畸高、畸低的。</w:t>
      </w:r>
    </w:p>
    <w:p w14:paraId="2FD2C025">
      <w:pPr>
        <w:pStyle w:val="2"/>
        <w:pageBreakBefore w:val="0"/>
        <w:wordWrap/>
        <w:overflowPunct/>
        <w:topLinePunct w:val="0"/>
        <w:bidi w:val="0"/>
        <w:spacing w:before="13" w:line="228" w:lineRule="auto"/>
        <w:ind w:left="22" w:right="80"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评标报告签署前，经复核发现存在以上情形之一的，评标委员会</w:t>
      </w:r>
      <w:r>
        <w:rPr>
          <w:rFonts w:hint="eastAsia" w:ascii="仿宋" w:hAnsi="仿宋" w:eastAsia="仿宋" w:cs="仿宋"/>
          <w:color w:val="auto"/>
          <w:spacing w:val="-4"/>
          <w:sz w:val="24"/>
          <w:szCs w:val="24"/>
          <w:highlight w:val="none"/>
        </w:rPr>
        <w:t>应当当场修</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改评标结果，并在评标报告中记载；评标报告签署后，采购人或者采购代理机构</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3"/>
          <w:sz w:val="24"/>
          <w:szCs w:val="24"/>
          <w:highlight w:val="none"/>
        </w:rPr>
        <w:t>发现存在以上情形之一的，应当组织原评标委员会进行重新评标，重新评标改变</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1"/>
          <w:sz w:val="24"/>
          <w:szCs w:val="24"/>
          <w:highlight w:val="none"/>
        </w:rPr>
        <w:t>评标结果的，书面报告本级财政部门。</w:t>
      </w:r>
    </w:p>
    <w:p w14:paraId="38017D26">
      <w:pPr>
        <w:pStyle w:val="2"/>
        <w:pageBreakBefore w:val="0"/>
        <w:wordWrap/>
        <w:overflowPunct/>
        <w:topLinePunct w:val="0"/>
        <w:bidi w:val="0"/>
        <w:spacing w:before="17" w:line="224" w:lineRule="auto"/>
        <w:ind w:left="24" w:firstLine="481"/>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投标人对上述(1)～(4)提出质疑的，采购</w:t>
      </w:r>
      <w:r>
        <w:rPr>
          <w:rFonts w:hint="eastAsia" w:ascii="仿宋" w:hAnsi="仿宋" w:eastAsia="仿宋" w:cs="仿宋"/>
          <w:color w:val="auto"/>
          <w:spacing w:val="-4"/>
          <w:sz w:val="24"/>
          <w:szCs w:val="24"/>
          <w:highlight w:val="none"/>
        </w:rPr>
        <w:t xml:space="preserve">人或者采购代理机构可以组织原评 </w:t>
      </w:r>
      <w:r>
        <w:rPr>
          <w:rFonts w:hint="eastAsia" w:ascii="仿宋" w:hAnsi="仿宋" w:eastAsia="仿宋" w:cs="仿宋"/>
          <w:color w:val="auto"/>
          <w:spacing w:val="-7"/>
          <w:sz w:val="24"/>
          <w:szCs w:val="24"/>
          <w:highlight w:val="none"/>
        </w:rPr>
        <w:t>标委员会进行重新评标，重新评标改变评标结果的，</w:t>
      </w:r>
      <w:r>
        <w:rPr>
          <w:rFonts w:hint="eastAsia" w:ascii="仿宋" w:hAnsi="仿宋" w:eastAsia="仿宋" w:cs="仿宋"/>
          <w:color w:val="auto"/>
          <w:spacing w:val="-8"/>
          <w:sz w:val="24"/>
          <w:szCs w:val="24"/>
          <w:highlight w:val="none"/>
        </w:rPr>
        <w:t>应当书面报告本级财政部门。</w:t>
      </w:r>
    </w:p>
    <w:p w14:paraId="7E7BF473">
      <w:pPr>
        <w:pStyle w:val="2"/>
        <w:pageBreakBefore w:val="0"/>
        <w:wordWrap/>
        <w:overflowPunct/>
        <w:topLinePunct w:val="0"/>
        <w:bidi w:val="0"/>
        <w:spacing w:before="17" w:line="224" w:lineRule="auto"/>
        <w:ind w:left="24" w:right="82" w:firstLine="484"/>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7.3</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5"/>
          <w:sz w:val="24"/>
          <w:szCs w:val="24"/>
          <w:highlight w:val="none"/>
        </w:rPr>
        <w:t>评标委员会根据全体评标成员签字的原始评标记录和评标结果编写评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标报告。评标报告应当包括以下内容：</w:t>
      </w:r>
    </w:p>
    <w:p w14:paraId="324BF23C">
      <w:pPr>
        <w:pStyle w:val="2"/>
        <w:pageBreakBefore w:val="0"/>
        <w:wordWrap/>
        <w:overflowPunct/>
        <w:topLinePunct w:val="0"/>
        <w:bidi w:val="0"/>
        <w:spacing w:before="16" w:line="219" w:lineRule="auto"/>
        <w:ind w:left="514"/>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（1）项目基本情况；</w:t>
      </w:r>
    </w:p>
    <w:p w14:paraId="20BA87D8">
      <w:pPr>
        <w:pStyle w:val="2"/>
        <w:pageBreakBefore w:val="0"/>
        <w:wordWrap/>
        <w:overflowPunct/>
        <w:topLinePunct w:val="0"/>
        <w:bidi w:val="0"/>
        <w:spacing w:before="15" w:line="219" w:lineRule="auto"/>
        <w:ind w:left="514"/>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（2）投标人名单和评标委员会成员名单；</w:t>
      </w:r>
    </w:p>
    <w:p w14:paraId="6CA08377">
      <w:pPr>
        <w:pStyle w:val="2"/>
        <w:pageBreakBefore w:val="0"/>
        <w:wordWrap/>
        <w:overflowPunct/>
        <w:topLinePunct w:val="0"/>
        <w:bidi w:val="0"/>
        <w:spacing w:before="16" w:line="220" w:lineRule="auto"/>
        <w:ind w:left="514"/>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（3）评标方法和标准；</w:t>
      </w:r>
    </w:p>
    <w:p w14:paraId="11D751BE">
      <w:pPr>
        <w:pStyle w:val="2"/>
        <w:pageBreakBefore w:val="0"/>
        <w:wordWrap/>
        <w:overflowPunct/>
        <w:topLinePunct w:val="0"/>
        <w:bidi w:val="0"/>
        <w:spacing w:before="14" w:line="219" w:lineRule="auto"/>
        <w:ind w:left="514"/>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（4）开标记录和评标情况及说明，包括无效投标人名单及原因；</w:t>
      </w:r>
    </w:p>
    <w:p w14:paraId="1B5551B9">
      <w:pPr>
        <w:pStyle w:val="2"/>
        <w:pageBreakBefore w:val="0"/>
        <w:wordWrap/>
        <w:overflowPunct/>
        <w:topLinePunct w:val="0"/>
        <w:bidi w:val="0"/>
        <w:spacing w:before="16" w:line="226" w:lineRule="auto"/>
        <w:ind w:left="25" w:right="82" w:firstLine="489"/>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（5）评标结果，确定的中标候选人名单或者经采购人委托直接确定的中标</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6"/>
          <w:sz w:val="24"/>
          <w:szCs w:val="24"/>
          <w:highlight w:val="none"/>
        </w:rPr>
        <w:t>人；</w:t>
      </w:r>
    </w:p>
    <w:p w14:paraId="1950D735">
      <w:pPr>
        <w:pStyle w:val="2"/>
        <w:pageBreakBefore w:val="0"/>
        <w:wordWrap/>
        <w:overflowPunct/>
        <w:topLinePunct w:val="0"/>
        <w:bidi w:val="0"/>
        <w:spacing w:before="11" w:line="225" w:lineRule="auto"/>
        <w:ind w:left="27" w:right="82" w:firstLine="487"/>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（6）其他需要说明的情况，包括评标过程中投标人根据评标委员会要求进</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1"/>
          <w:sz w:val="24"/>
          <w:szCs w:val="24"/>
          <w:highlight w:val="none"/>
        </w:rPr>
        <w:t>行的澄清、说明或者补正，评标委员会成员的更换等。</w:t>
      </w:r>
    </w:p>
    <w:p w14:paraId="7B9A229D">
      <w:pPr>
        <w:pStyle w:val="2"/>
        <w:pageBreakBefore w:val="0"/>
        <w:wordWrap/>
        <w:overflowPunct/>
        <w:topLinePunct w:val="0"/>
        <w:bidi w:val="0"/>
        <w:spacing w:before="17" w:line="228" w:lineRule="auto"/>
        <w:ind w:left="25" w:right="18" w:firstLine="477"/>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评审报告应当由磋商小组全体人员签字认可。磋商小组成员对评</w:t>
      </w:r>
      <w:r>
        <w:rPr>
          <w:rFonts w:hint="eastAsia" w:ascii="仿宋" w:hAnsi="仿宋" w:eastAsia="仿宋" w:cs="仿宋"/>
          <w:color w:val="auto"/>
          <w:spacing w:val="-4"/>
          <w:sz w:val="24"/>
          <w:szCs w:val="24"/>
          <w:highlight w:val="none"/>
        </w:rPr>
        <w:t>审报告有异</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议的，磋商小组按照少数服从多数的原则推荐成交候选供应商，采购程序继续进</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行。对评审报告有异议的磋商小组成员，应当在报告上签署不同意见并说明理由，</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3"/>
          <w:sz w:val="24"/>
          <w:szCs w:val="24"/>
          <w:highlight w:val="none"/>
        </w:rPr>
        <w:t>由磋商小组书面记录相关情况。磋商小组成员拒绝在报告上签字又不书面说明其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不同意见和理由的，视为同意评审报告。</w:t>
      </w:r>
    </w:p>
    <w:p w14:paraId="0E99F578">
      <w:pPr>
        <w:pStyle w:val="2"/>
        <w:pageBreakBefore w:val="0"/>
        <w:wordWrap/>
        <w:overflowPunct/>
        <w:topLinePunct w:val="0"/>
        <w:bidi w:val="0"/>
        <w:spacing w:before="16" w:line="219" w:lineRule="auto"/>
        <w:ind w:left="509"/>
        <w:outlineLvl w:val="9"/>
        <w:rPr>
          <w:rFonts w:hint="eastAsia" w:ascii="仿宋" w:hAnsi="仿宋" w:eastAsia="仿宋" w:cs="仿宋"/>
          <w:color w:val="auto"/>
          <w:sz w:val="24"/>
          <w:szCs w:val="24"/>
          <w:highlight w:val="none"/>
        </w:rPr>
        <w:sectPr>
          <w:footerReference r:id="rId26" w:type="default"/>
          <w:pgSz w:w="11906" w:h="16839"/>
          <w:pgMar w:top="1426" w:right="1719" w:bottom="1171" w:left="1785" w:header="0" w:footer="992" w:gutter="0"/>
          <w:pgNumType w:fmt="decimal"/>
          <w:cols w:space="720" w:num="1"/>
        </w:sectPr>
      </w:pPr>
      <w:r>
        <w:rPr>
          <w:rFonts w:hint="eastAsia" w:ascii="仿宋" w:hAnsi="仿宋" w:eastAsia="仿宋" w:cs="仿宋"/>
          <w:color w:val="auto"/>
          <w:spacing w:val="-1"/>
          <w:sz w:val="24"/>
          <w:szCs w:val="24"/>
          <w:highlight w:val="none"/>
        </w:rPr>
        <w:t>7.4</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1"/>
          <w:sz w:val="24"/>
          <w:szCs w:val="24"/>
          <w:highlight w:val="none"/>
        </w:rPr>
        <w:t>本次招标采购推荐的中标候选人数量见投标须知资料表。</w:t>
      </w:r>
    </w:p>
    <w:p w14:paraId="4AB0F808">
      <w:pPr>
        <w:pStyle w:val="2"/>
        <w:pageBreakBefore w:val="0"/>
        <w:wordWrap/>
        <w:overflowPunct/>
        <w:topLinePunct w:val="0"/>
        <w:bidi w:val="0"/>
        <w:spacing w:before="177" w:line="224" w:lineRule="auto"/>
        <w:ind w:left="1231"/>
        <w:outlineLvl w:val="9"/>
        <w:rPr>
          <w:rFonts w:hint="eastAsia" w:ascii="仿宋" w:hAnsi="仿宋" w:eastAsia="仿宋" w:cs="仿宋"/>
          <w:color w:val="auto"/>
          <w:sz w:val="28"/>
          <w:szCs w:val="28"/>
          <w:highlight w:val="none"/>
        </w:rPr>
      </w:pPr>
      <w:r>
        <w:rPr>
          <w:rFonts w:hint="eastAsia" w:ascii="仿宋" w:hAnsi="仿宋" w:eastAsia="仿宋" w:cs="仿宋"/>
          <w:b/>
          <w:bCs/>
          <w:color w:val="auto"/>
          <w:spacing w:val="6"/>
          <w:sz w:val="28"/>
          <w:szCs w:val="28"/>
          <w:highlight w:val="none"/>
        </w:rPr>
        <w:t>二、评标中的落实政府采购政策具体办法</w:t>
      </w:r>
    </w:p>
    <w:p w14:paraId="3DC95466">
      <w:pPr>
        <w:pageBreakBefore w:val="0"/>
        <w:wordWrap/>
        <w:overflowPunct/>
        <w:topLinePunct w:val="0"/>
        <w:bidi w:val="0"/>
        <w:spacing w:line="398" w:lineRule="auto"/>
        <w:outlineLvl w:val="9"/>
        <w:rPr>
          <w:rFonts w:hint="eastAsia" w:ascii="仿宋" w:hAnsi="仿宋" w:eastAsia="仿宋" w:cs="仿宋"/>
          <w:color w:val="auto"/>
          <w:sz w:val="24"/>
          <w:szCs w:val="24"/>
          <w:highlight w:val="none"/>
        </w:rPr>
      </w:pPr>
    </w:p>
    <w:p w14:paraId="38E57C49">
      <w:pPr>
        <w:pStyle w:val="2"/>
        <w:pageBreakBefore w:val="0"/>
        <w:wordWrap/>
        <w:overflowPunct/>
        <w:topLinePunct w:val="0"/>
        <w:bidi w:val="0"/>
        <w:spacing w:before="78" w:line="308" w:lineRule="auto"/>
        <w:ind w:left="22" w:firstLine="498"/>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1.根据《政府采购促进中小企业发展管理办法》（财库[2020]46</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6"/>
          <w:sz w:val="24"/>
          <w:szCs w:val="24"/>
          <w:highlight w:val="none"/>
        </w:rPr>
        <w:t xml:space="preserve">号）、《财 </w:t>
      </w:r>
      <w:r>
        <w:rPr>
          <w:rFonts w:hint="eastAsia" w:ascii="仿宋" w:hAnsi="仿宋" w:eastAsia="仿宋" w:cs="仿宋"/>
          <w:color w:val="auto"/>
          <w:spacing w:val="-3"/>
          <w:sz w:val="24"/>
          <w:szCs w:val="24"/>
          <w:highlight w:val="none"/>
        </w:rPr>
        <w:t>政部司法部关于政府采购支持监狱企业发展有关问题的通知》（财库〔2014〕68</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13"/>
          <w:sz w:val="24"/>
          <w:szCs w:val="24"/>
          <w:highlight w:val="none"/>
        </w:rPr>
        <w:t>号）和《三部门联合发布关于促进残疾人就业政府采购政策的通知》（财库〔2017〕</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141</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2"/>
          <w:sz w:val="24"/>
          <w:szCs w:val="24"/>
          <w:highlight w:val="none"/>
        </w:rPr>
        <w:t>号）的规定，对满足价格扣除条件且在响应文件中提交了《投标人企业类型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声明函》、《残疾人福利性单位声明函》或省级以上监狱管理局、戒毒管理局（含</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z w:val="24"/>
          <w:szCs w:val="24"/>
          <w:highlight w:val="none"/>
        </w:rPr>
        <w:t>新疆生产建设兵团）出具的属于监狱企业的投标人，其投标报价扣除</w:t>
      </w:r>
      <w:r>
        <w:rPr>
          <w:rFonts w:hint="eastAsia" w:ascii="仿宋" w:hAnsi="仿宋" w:eastAsia="仿宋" w:cs="仿宋"/>
          <w:color w:val="auto"/>
          <w:sz w:val="24"/>
          <w:szCs w:val="24"/>
          <w:highlight w:val="none"/>
          <w:u w:val="single" w:color="auto"/>
        </w:rPr>
        <w:t xml:space="preserve"> 10 </w:t>
      </w:r>
      <w:r>
        <w:rPr>
          <w:rFonts w:hint="eastAsia" w:ascii="仿宋" w:hAnsi="仿宋" w:eastAsia="仿宋" w:cs="仿宋"/>
          <w:color w:val="auto"/>
          <w:sz w:val="24"/>
          <w:szCs w:val="24"/>
          <w:highlight w:val="none"/>
        </w:rPr>
        <w:t>%后参</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3"/>
          <w:sz w:val="24"/>
          <w:szCs w:val="24"/>
          <w:highlight w:val="none"/>
        </w:rPr>
        <w:t>与评审。对于同时属于小微企业、监狱企业残疾人福利性单位的，不重复进行投</w:t>
      </w:r>
    </w:p>
    <w:p w14:paraId="7C05823D">
      <w:pPr>
        <w:pStyle w:val="2"/>
        <w:pageBreakBefore w:val="0"/>
        <w:wordWrap/>
        <w:overflowPunct/>
        <w:topLinePunct w:val="0"/>
        <w:bidi w:val="0"/>
        <w:spacing w:before="1" w:line="217" w:lineRule="auto"/>
        <w:ind w:left="24"/>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标报价扣除。</w:t>
      </w:r>
    </w:p>
    <w:p w14:paraId="7409F45F">
      <w:pPr>
        <w:pStyle w:val="2"/>
        <w:pageBreakBefore w:val="0"/>
        <w:wordWrap/>
        <w:overflowPunct/>
        <w:topLinePunct w:val="0"/>
        <w:bidi w:val="0"/>
        <w:spacing w:before="115" w:line="400" w:lineRule="exact"/>
        <w:ind w:left="506"/>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position w:val="11"/>
          <w:sz w:val="24"/>
          <w:szCs w:val="24"/>
          <w:highlight w:val="none"/>
        </w:rPr>
        <w:t>2.联合协议中约定，小型、微型企业和监狱企业的协议合同金额</w:t>
      </w:r>
      <w:r>
        <w:rPr>
          <w:rFonts w:hint="eastAsia" w:ascii="仿宋" w:hAnsi="仿宋" w:eastAsia="仿宋" w:cs="仿宋"/>
          <w:color w:val="auto"/>
          <w:spacing w:val="-4"/>
          <w:position w:val="11"/>
          <w:sz w:val="24"/>
          <w:szCs w:val="24"/>
          <w:highlight w:val="none"/>
        </w:rPr>
        <w:t>占到联合体</w:t>
      </w:r>
    </w:p>
    <w:p w14:paraId="568F2C56">
      <w:pPr>
        <w:pStyle w:val="2"/>
        <w:pageBreakBefore w:val="0"/>
        <w:wordWrap/>
        <w:overflowPunct/>
        <w:topLinePunct w:val="0"/>
        <w:bidi w:val="0"/>
        <w:spacing w:before="1" w:line="217" w:lineRule="auto"/>
        <w:ind w:left="24"/>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协议合同总金额</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1"/>
          <w:sz w:val="24"/>
          <w:szCs w:val="24"/>
          <w:highlight w:val="none"/>
        </w:rPr>
        <w:t>40%以上的，可给予联合体</w:t>
      </w:r>
      <w:r>
        <w:rPr>
          <w:rFonts w:hint="eastAsia" w:ascii="仿宋" w:hAnsi="仿宋" w:eastAsia="仿宋" w:cs="仿宋"/>
          <w:color w:val="auto"/>
          <w:spacing w:val="-1"/>
          <w:sz w:val="24"/>
          <w:szCs w:val="24"/>
          <w:highlight w:val="none"/>
          <w:u w:val="single" w:color="auto"/>
        </w:rPr>
        <w:t xml:space="preserve">  /  </w:t>
      </w:r>
      <w:r>
        <w:rPr>
          <w:rFonts w:hint="eastAsia" w:ascii="仿宋" w:hAnsi="仿宋" w:eastAsia="仿宋" w:cs="仿宋"/>
          <w:color w:val="auto"/>
          <w:spacing w:val="-1"/>
          <w:sz w:val="24"/>
          <w:szCs w:val="24"/>
          <w:highlight w:val="none"/>
        </w:rPr>
        <w:t>%的价格扣除。</w:t>
      </w:r>
    </w:p>
    <w:p w14:paraId="694820E1">
      <w:pPr>
        <w:pStyle w:val="2"/>
        <w:pageBreakBefore w:val="0"/>
        <w:wordWrap/>
        <w:overflowPunct/>
        <w:topLinePunct w:val="0"/>
        <w:bidi w:val="0"/>
        <w:spacing w:before="118" w:line="263" w:lineRule="auto"/>
        <w:ind w:left="22" w:right="75" w:firstLine="481"/>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联合体各方均为小型、微型企业和监狱企业的，联合体视同为</w:t>
      </w:r>
      <w:r>
        <w:rPr>
          <w:rFonts w:hint="eastAsia" w:ascii="仿宋" w:hAnsi="仿宋" w:eastAsia="仿宋" w:cs="仿宋"/>
          <w:color w:val="auto"/>
          <w:spacing w:val="-4"/>
          <w:sz w:val="24"/>
          <w:szCs w:val="24"/>
          <w:highlight w:val="none"/>
        </w:rPr>
        <w:t>小型、微型企</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业和监狱企业。</w:t>
      </w:r>
    </w:p>
    <w:p w14:paraId="2B9A0917">
      <w:pPr>
        <w:pStyle w:val="2"/>
        <w:pageBreakBefore w:val="0"/>
        <w:wordWrap/>
        <w:overflowPunct/>
        <w:topLinePunct w:val="0"/>
        <w:bidi w:val="0"/>
        <w:spacing w:before="114" w:line="278" w:lineRule="auto"/>
        <w:ind w:left="22" w:right="75" w:firstLine="485"/>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3.投标人所投产品如被列入财政部与国家主管部门颁发的节能产品目录或</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环境标志产品目录或无线局域网产品目录，应提供相关证明，在评标时予以优先</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1"/>
          <w:sz w:val="24"/>
          <w:szCs w:val="24"/>
          <w:highlight w:val="none"/>
        </w:rPr>
        <w:t>采购，具体优惠措施为</w:t>
      </w:r>
      <w:r>
        <w:rPr>
          <w:rFonts w:hint="eastAsia" w:ascii="仿宋" w:hAnsi="仿宋" w:eastAsia="仿宋" w:cs="仿宋"/>
          <w:color w:val="auto"/>
          <w:spacing w:val="-1"/>
          <w:sz w:val="24"/>
          <w:szCs w:val="24"/>
          <w:highlight w:val="none"/>
          <w:u w:val="single" w:color="auto"/>
        </w:rPr>
        <w:t>：   无</w:t>
      </w:r>
      <w:r>
        <w:rPr>
          <w:rFonts w:hint="eastAsia" w:ascii="仿宋" w:hAnsi="仿宋" w:eastAsia="仿宋" w:cs="仿宋"/>
          <w:color w:val="auto"/>
          <w:sz w:val="24"/>
          <w:szCs w:val="24"/>
          <w:highlight w:val="none"/>
          <w:u w:val="single" w:color="auto"/>
        </w:rPr>
        <w:t xml:space="preserve">        </w:t>
      </w:r>
    </w:p>
    <w:p w14:paraId="61B238D2">
      <w:pPr>
        <w:pStyle w:val="2"/>
        <w:pageBreakBefore w:val="0"/>
        <w:wordWrap/>
        <w:overflowPunct/>
        <w:topLinePunct w:val="0"/>
        <w:bidi w:val="0"/>
        <w:spacing w:before="118" w:line="278" w:lineRule="auto"/>
        <w:ind w:left="22" w:right="75"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4.如采购人所采购产品为政府强制采购的节能产品，投标人所投产品的品牌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及型号必须为清单中有效期内产品并提供证明文件，否则其投标将</w:t>
      </w:r>
      <w:r>
        <w:rPr>
          <w:rFonts w:hint="eastAsia" w:ascii="仿宋" w:hAnsi="仿宋" w:eastAsia="仿宋" w:cs="仿宋"/>
          <w:color w:val="auto"/>
          <w:spacing w:val="-4"/>
          <w:sz w:val="24"/>
          <w:szCs w:val="24"/>
          <w:highlight w:val="none"/>
        </w:rPr>
        <w:t>被认定为</w:t>
      </w:r>
      <w:r>
        <w:rPr>
          <w:rFonts w:hint="eastAsia" w:ascii="仿宋" w:hAnsi="仿宋" w:eastAsia="仿宋" w:cs="仿宋"/>
          <w:b/>
          <w:bCs/>
          <w:color w:val="auto"/>
          <w:spacing w:val="-4"/>
          <w:sz w:val="24"/>
          <w:szCs w:val="24"/>
          <w:highlight w:val="none"/>
        </w:rPr>
        <w:t>投标</w:t>
      </w: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pacing w:val="-5"/>
          <w:sz w:val="24"/>
          <w:szCs w:val="24"/>
          <w:highlight w:val="none"/>
        </w:rPr>
        <w:t>无效</w:t>
      </w:r>
      <w:r>
        <w:rPr>
          <w:rFonts w:hint="eastAsia" w:ascii="仿宋" w:hAnsi="仿宋" w:eastAsia="仿宋" w:cs="仿宋"/>
          <w:color w:val="auto"/>
          <w:spacing w:val="-5"/>
          <w:sz w:val="24"/>
          <w:szCs w:val="24"/>
          <w:highlight w:val="none"/>
        </w:rPr>
        <w:t>。</w:t>
      </w:r>
    </w:p>
    <w:p w14:paraId="3A4ABAAF">
      <w:pPr>
        <w:pStyle w:val="2"/>
        <w:pageBreakBefore w:val="0"/>
        <w:wordWrap/>
        <w:overflowPunct/>
        <w:topLinePunct w:val="0"/>
        <w:bidi w:val="0"/>
        <w:spacing w:before="115" w:line="219" w:lineRule="auto"/>
        <w:ind w:left="508"/>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5.对创新产品或创新性企业的优惠措施为</w:t>
      </w:r>
      <w:r>
        <w:rPr>
          <w:rFonts w:hint="eastAsia" w:ascii="仿宋" w:hAnsi="仿宋" w:eastAsia="仿宋" w:cs="仿宋"/>
          <w:color w:val="auto"/>
          <w:spacing w:val="-1"/>
          <w:sz w:val="24"/>
          <w:szCs w:val="24"/>
          <w:highlight w:val="none"/>
          <w:u w:val="single" w:color="auto"/>
        </w:rPr>
        <w:t>：          无</w:t>
      </w:r>
      <w:r>
        <w:rPr>
          <w:rFonts w:hint="eastAsia" w:ascii="仿宋" w:hAnsi="仿宋" w:eastAsia="仿宋" w:cs="仿宋"/>
          <w:color w:val="auto"/>
          <w:spacing w:val="1"/>
          <w:sz w:val="24"/>
          <w:szCs w:val="24"/>
          <w:highlight w:val="none"/>
          <w:u w:val="single" w:color="auto"/>
        </w:rPr>
        <w:t xml:space="preserve">             </w:t>
      </w:r>
    </w:p>
    <w:p w14:paraId="23FF6592">
      <w:pPr>
        <w:pStyle w:val="2"/>
        <w:pageBreakBefore w:val="0"/>
        <w:wordWrap/>
        <w:overflowPunct/>
        <w:topLinePunct w:val="0"/>
        <w:bidi w:val="0"/>
        <w:spacing w:before="116" w:line="219" w:lineRule="auto"/>
        <w:ind w:left="505"/>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6.中标候选人并列式时的处理方式：</w:t>
      </w:r>
    </w:p>
    <w:p w14:paraId="57B97714">
      <w:pPr>
        <w:pStyle w:val="2"/>
        <w:pageBreakBefore w:val="0"/>
        <w:wordWrap/>
        <w:overflowPunct/>
        <w:topLinePunct w:val="0"/>
        <w:bidi w:val="0"/>
        <w:spacing w:before="154" w:line="359" w:lineRule="auto"/>
        <w:ind w:left="23" w:right="75" w:firstLine="483"/>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如采用综合评标法，则： 评标结果按评审后得分由高到低顺序排列。得分</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3"/>
          <w:sz w:val="24"/>
          <w:szCs w:val="24"/>
          <w:highlight w:val="none"/>
        </w:rPr>
        <w:t>相同的，按磋商报价由低到高顺序排列。得分且磋商报价相同的并列。投标文件</w:t>
      </w:r>
    </w:p>
    <w:p w14:paraId="7D0DDC1B">
      <w:pPr>
        <w:pStyle w:val="2"/>
        <w:pageBreakBefore w:val="0"/>
        <w:wordWrap/>
        <w:overflowPunct/>
        <w:topLinePunct w:val="0"/>
        <w:bidi w:val="0"/>
        <w:spacing w:before="1" w:line="218" w:lineRule="auto"/>
        <w:ind w:left="23"/>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满足磋商文件全部实质性要求，且按照评审因素的量化指标评审得分最高的供应</w:t>
      </w:r>
    </w:p>
    <w:p w14:paraId="33EF678C">
      <w:pPr>
        <w:pStyle w:val="2"/>
        <w:pageBreakBefore w:val="0"/>
        <w:wordWrap/>
        <w:overflowPunct/>
        <w:topLinePunct w:val="0"/>
        <w:bidi w:val="0"/>
        <w:spacing w:before="184" w:line="219" w:lineRule="auto"/>
        <w:ind w:left="28"/>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商为排名第一的成交候选人。</w:t>
      </w:r>
    </w:p>
    <w:p w14:paraId="05D074EC">
      <w:pPr>
        <w:pageBreakBefore w:val="0"/>
        <w:wordWrap/>
        <w:overflowPunct/>
        <w:topLinePunct w:val="0"/>
        <w:bidi w:val="0"/>
        <w:spacing w:line="219" w:lineRule="auto"/>
        <w:outlineLvl w:val="9"/>
        <w:rPr>
          <w:rFonts w:hint="eastAsia" w:ascii="仿宋" w:hAnsi="仿宋" w:eastAsia="仿宋" w:cs="仿宋"/>
          <w:color w:val="auto"/>
          <w:sz w:val="24"/>
          <w:szCs w:val="24"/>
          <w:highlight w:val="none"/>
        </w:rPr>
        <w:sectPr>
          <w:footerReference r:id="rId27" w:type="default"/>
          <w:pgSz w:w="11906" w:h="16839"/>
          <w:pgMar w:top="1431" w:right="1723" w:bottom="1171" w:left="1785" w:header="0" w:footer="992" w:gutter="0"/>
          <w:pgNumType w:fmt="decimal"/>
          <w:cols w:space="720" w:num="1"/>
        </w:sectPr>
      </w:pPr>
    </w:p>
    <w:p w14:paraId="10591D99">
      <w:pPr>
        <w:pageBreakBefore w:val="0"/>
        <w:wordWrap/>
        <w:overflowPunct/>
        <w:topLinePunct w:val="0"/>
        <w:bidi w:val="0"/>
        <w:ind w:firstLine="3468" w:firstLineChars="1100"/>
        <w:outlineLvl w:val="9"/>
        <w:rPr>
          <w:rFonts w:hint="eastAsia" w:ascii="仿宋" w:hAnsi="仿宋" w:eastAsia="仿宋" w:cs="仿宋"/>
          <w:sz w:val="32"/>
          <w:szCs w:val="32"/>
        </w:rPr>
      </w:pPr>
      <w:r>
        <w:rPr>
          <w:rFonts w:hint="eastAsia" w:ascii="仿宋" w:hAnsi="仿宋" w:eastAsia="仿宋" w:cs="仿宋"/>
          <w:b/>
          <w:snapToGrid w:val="0"/>
          <w:color w:val="auto"/>
          <w:spacing w:val="-3"/>
          <w:kern w:val="0"/>
          <w:sz w:val="32"/>
          <w:szCs w:val="32"/>
          <w:highlight w:val="none"/>
          <w:lang w:val="en-US" w:eastAsia="zh-CN" w:bidi="ar-SA"/>
        </w:rPr>
        <w:t>综合评分表</w:t>
      </w:r>
    </w:p>
    <w:tbl>
      <w:tblPr>
        <w:tblStyle w:val="24"/>
        <w:tblpPr w:leftFromText="180" w:rightFromText="180" w:vertAnchor="text" w:horzAnchor="page" w:tblpX="1310" w:tblpY="316"/>
        <w:tblOverlap w:val="never"/>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791"/>
        <w:gridCol w:w="734"/>
        <w:gridCol w:w="6285"/>
        <w:gridCol w:w="780"/>
      </w:tblGrid>
      <w:tr w14:paraId="4AC8D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981" w:type="dxa"/>
            <w:noWrap w:val="0"/>
            <w:vAlign w:val="center"/>
          </w:tcPr>
          <w:p w14:paraId="1DB63D41">
            <w:pPr>
              <w:shd w:val="clear" w:color="auto" w:fill="auto"/>
              <w:spacing w:line="400" w:lineRule="exact"/>
              <w:ind w:firstLine="28"/>
              <w:jc w:val="center"/>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en-US" w:bidi="ar-SA"/>
              </w:rPr>
              <w:t>序号</w:t>
            </w:r>
          </w:p>
        </w:tc>
        <w:tc>
          <w:tcPr>
            <w:tcW w:w="791" w:type="dxa"/>
            <w:noWrap w:val="0"/>
            <w:vAlign w:val="center"/>
          </w:tcPr>
          <w:p w14:paraId="55CC9470">
            <w:pPr>
              <w:shd w:val="clear" w:color="auto" w:fill="auto"/>
              <w:spacing w:line="400" w:lineRule="exact"/>
              <w:ind w:firstLine="28"/>
              <w:jc w:val="center"/>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en-US" w:bidi="ar-SA"/>
              </w:rPr>
              <w:t>评分因素</w:t>
            </w:r>
          </w:p>
        </w:tc>
        <w:tc>
          <w:tcPr>
            <w:tcW w:w="734" w:type="dxa"/>
            <w:noWrap w:val="0"/>
            <w:vAlign w:val="center"/>
          </w:tcPr>
          <w:p w14:paraId="77B5BC89">
            <w:pPr>
              <w:shd w:val="clear" w:color="auto" w:fill="auto"/>
              <w:spacing w:line="400" w:lineRule="exact"/>
              <w:ind w:firstLine="28"/>
              <w:jc w:val="center"/>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en-US" w:bidi="ar-SA"/>
              </w:rPr>
              <w:t>分值</w:t>
            </w:r>
          </w:p>
        </w:tc>
        <w:tc>
          <w:tcPr>
            <w:tcW w:w="6285" w:type="dxa"/>
            <w:noWrap w:val="0"/>
            <w:vAlign w:val="center"/>
          </w:tcPr>
          <w:p w14:paraId="1AC643F6">
            <w:pPr>
              <w:shd w:val="clear" w:color="auto" w:fill="auto"/>
              <w:spacing w:line="400" w:lineRule="exact"/>
              <w:ind w:firstLine="28"/>
              <w:jc w:val="center"/>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en-US" w:bidi="ar-SA"/>
              </w:rPr>
              <w:t>评分标准</w:t>
            </w:r>
          </w:p>
          <w:p w14:paraId="4CF05E4B">
            <w:pPr>
              <w:shd w:val="clear" w:color="auto" w:fill="auto"/>
              <w:spacing w:line="400" w:lineRule="exact"/>
              <w:ind w:firstLine="28"/>
              <w:jc w:val="center"/>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价格：30分</w:t>
            </w:r>
            <w:r>
              <w:rPr>
                <w:rFonts w:hint="eastAsia" w:ascii="仿宋" w:hAnsi="仿宋" w:eastAsia="仿宋" w:cs="仿宋"/>
                <w:snapToGrid w:val="0"/>
                <w:color w:val="auto"/>
                <w:spacing w:val="-3"/>
                <w:kern w:val="0"/>
                <w:sz w:val="24"/>
                <w:szCs w:val="24"/>
                <w:highlight w:val="none"/>
                <w:lang w:val="en-US" w:eastAsia="en-US" w:bidi="ar-SA"/>
              </w:rPr>
              <w:t xml:space="preserve">   </w:t>
            </w:r>
            <w:r>
              <w:rPr>
                <w:rFonts w:hint="eastAsia" w:ascii="仿宋" w:hAnsi="仿宋" w:eastAsia="仿宋" w:cs="仿宋"/>
                <w:snapToGrid w:val="0"/>
                <w:color w:val="auto"/>
                <w:spacing w:val="-3"/>
                <w:kern w:val="0"/>
                <w:sz w:val="24"/>
                <w:szCs w:val="24"/>
                <w:highlight w:val="none"/>
                <w:lang w:val="en-US" w:eastAsia="zh-CN" w:bidi="ar-SA"/>
              </w:rPr>
              <w:t>技术：58分</w:t>
            </w:r>
            <w:r>
              <w:rPr>
                <w:rFonts w:hint="eastAsia" w:ascii="仿宋" w:hAnsi="仿宋" w:eastAsia="仿宋" w:cs="仿宋"/>
                <w:snapToGrid w:val="0"/>
                <w:color w:val="auto"/>
                <w:spacing w:val="-3"/>
                <w:kern w:val="0"/>
                <w:sz w:val="24"/>
                <w:szCs w:val="24"/>
                <w:highlight w:val="none"/>
                <w:lang w:val="en-US" w:eastAsia="en-US" w:bidi="ar-SA"/>
              </w:rPr>
              <w:t xml:space="preserve">   </w:t>
            </w:r>
            <w:r>
              <w:rPr>
                <w:rFonts w:hint="eastAsia" w:ascii="仿宋" w:hAnsi="仿宋" w:eastAsia="仿宋" w:cs="仿宋"/>
                <w:snapToGrid w:val="0"/>
                <w:color w:val="auto"/>
                <w:spacing w:val="-3"/>
                <w:kern w:val="0"/>
                <w:sz w:val="24"/>
                <w:szCs w:val="24"/>
                <w:highlight w:val="none"/>
                <w:lang w:val="en-US" w:eastAsia="zh-CN" w:bidi="ar-SA"/>
              </w:rPr>
              <w:t>商务：12分</w:t>
            </w:r>
            <w:r>
              <w:rPr>
                <w:rFonts w:hint="eastAsia" w:ascii="仿宋" w:hAnsi="仿宋" w:eastAsia="仿宋" w:cs="仿宋"/>
                <w:snapToGrid w:val="0"/>
                <w:color w:val="auto"/>
                <w:spacing w:val="-3"/>
                <w:kern w:val="0"/>
                <w:sz w:val="24"/>
                <w:szCs w:val="24"/>
                <w:highlight w:val="none"/>
                <w:lang w:val="en-US" w:eastAsia="en-US" w:bidi="ar-SA"/>
              </w:rPr>
              <w:t xml:space="preserve">               </w:t>
            </w:r>
          </w:p>
        </w:tc>
        <w:tc>
          <w:tcPr>
            <w:tcW w:w="780" w:type="dxa"/>
            <w:noWrap w:val="0"/>
            <w:vAlign w:val="center"/>
          </w:tcPr>
          <w:p w14:paraId="6D34C1C9">
            <w:pPr>
              <w:pStyle w:val="32"/>
              <w:shd w:val="clear" w:color="auto" w:fill="auto"/>
              <w:spacing w:before="0" w:after="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得分</w:t>
            </w:r>
          </w:p>
        </w:tc>
      </w:tr>
      <w:tr w14:paraId="5D35A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8" w:hRule="atLeast"/>
        </w:trPr>
        <w:tc>
          <w:tcPr>
            <w:tcW w:w="981" w:type="dxa"/>
            <w:noWrap w:val="0"/>
            <w:vAlign w:val="center"/>
          </w:tcPr>
          <w:p w14:paraId="699DD0BC">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价 格部 分（30分）</w:t>
            </w:r>
          </w:p>
        </w:tc>
        <w:tc>
          <w:tcPr>
            <w:tcW w:w="791" w:type="dxa"/>
            <w:noWrap w:val="0"/>
            <w:vAlign w:val="center"/>
          </w:tcPr>
          <w:p w14:paraId="76FA312C">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价格评分标准</w:t>
            </w:r>
          </w:p>
        </w:tc>
        <w:tc>
          <w:tcPr>
            <w:tcW w:w="734" w:type="dxa"/>
            <w:noWrap w:val="0"/>
            <w:vAlign w:val="center"/>
          </w:tcPr>
          <w:p w14:paraId="5DBEF31D">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30分</w:t>
            </w:r>
          </w:p>
        </w:tc>
        <w:tc>
          <w:tcPr>
            <w:tcW w:w="6285" w:type="dxa"/>
            <w:noWrap w:val="0"/>
            <w:vAlign w:val="center"/>
          </w:tcPr>
          <w:p w14:paraId="01616CB9">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完全满足招标文件参数的投标报价中的最低报价为评标基准价，按照下列公式计算每个投标人的投标价格得分。</w:t>
            </w:r>
          </w:p>
          <w:p w14:paraId="5A8FF676">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评分标准=（评标基准价/有效投标报价）*最大分值，其中：评标基准价=最低投标报价</w:t>
            </w:r>
          </w:p>
          <w:p w14:paraId="3B8D6523">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有效投标报价=投标报价（若存在价格评审优惠的场景，此处投标报价为进行相应价格评审优惠后的价格，最终以评标结果为准）</w:t>
            </w:r>
          </w:p>
          <w:p w14:paraId="2B0260BC">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投标报价超过采购预算价的按无效投标处理。</w:t>
            </w:r>
          </w:p>
        </w:tc>
        <w:tc>
          <w:tcPr>
            <w:tcW w:w="780" w:type="dxa"/>
            <w:noWrap w:val="0"/>
            <w:vAlign w:val="center"/>
          </w:tcPr>
          <w:p w14:paraId="288D840E">
            <w:pPr>
              <w:shd w:val="clear" w:color="auto" w:fill="auto"/>
              <w:spacing w:line="400" w:lineRule="exact"/>
              <w:rPr>
                <w:rFonts w:hint="eastAsia" w:ascii="仿宋" w:hAnsi="仿宋" w:eastAsia="仿宋" w:cs="仿宋"/>
                <w:color w:val="auto"/>
                <w:sz w:val="24"/>
                <w:szCs w:val="24"/>
                <w:highlight w:val="none"/>
              </w:rPr>
            </w:pPr>
          </w:p>
        </w:tc>
      </w:tr>
      <w:tr w14:paraId="318E4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81" w:type="dxa"/>
            <w:vMerge w:val="restart"/>
            <w:noWrap w:val="0"/>
            <w:vAlign w:val="center"/>
          </w:tcPr>
          <w:p w14:paraId="1B7EA29D">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技 术评 分标 准</w:t>
            </w:r>
          </w:p>
          <w:p w14:paraId="39C456FD">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（58分）</w:t>
            </w:r>
          </w:p>
        </w:tc>
        <w:tc>
          <w:tcPr>
            <w:tcW w:w="791" w:type="dxa"/>
            <w:noWrap w:val="0"/>
            <w:vAlign w:val="center"/>
          </w:tcPr>
          <w:p w14:paraId="43A17CD2">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项目实施方案</w:t>
            </w:r>
          </w:p>
        </w:tc>
        <w:tc>
          <w:tcPr>
            <w:tcW w:w="734" w:type="dxa"/>
            <w:noWrap w:val="0"/>
            <w:vAlign w:val="center"/>
          </w:tcPr>
          <w:p w14:paraId="64B10204">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14分</w:t>
            </w:r>
          </w:p>
        </w:tc>
        <w:tc>
          <w:tcPr>
            <w:tcW w:w="6285" w:type="dxa"/>
            <w:noWrap w:val="0"/>
            <w:vAlign w:val="center"/>
          </w:tcPr>
          <w:p w14:paraId="78E5A3D8">
            <w:pPr>
              <w:bidi w:val="0"/>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投标人根据本项目需求，编写施工方案、方法及整体保障方案等内容，方案内容包含：①整体项目概况；②编制依据和原则；③项目质量控制；④设施设备保障目标；⑤设施设备维护计划；⑥安装、调试方案；⑦项目质量验收；以上7项内容，每提供一项内容得2分，全部提供完整且完全满足项目要求得14分，每项内容中有一处内容缺陷得1分，不提供不得分。</w:t>
            </w:r>
          </w:p>
        </w:tc>
        <w:tc>
          <w:tcPr>
            <w:tcW w:w="780" w:type="dxa"/>
            <w:noWrap w:val="0"/>
            <w:vAlign w:val="center"/>
          </w:tcPr>
          <w:p w14:paraId="166DB54D">
            <w:pPr>
              <w:shd w:val="clear" w:color="auto" w:fill="auto"/>
              <w:spacing w:line="400" w:lineRule="exact"/>
              <w:rPr>
                <w:rFonts w:hint="eastAsia" w:ascii="仿宋" w:hAnsi="仿宋" w:eastAsia="仿宋" w:cs="仿宋"/>
                <w:color w:val="auto"/>
                <w:sz w:val="24"/>
                <w:szCs w:val="24"/>
                <w:highlight w:val="none"/>
              </w:rPr>
            </w:pPr>
          </w:p>
        </w:tc>
      </w:tr>
      <w:tr w14:paraId="0D1A3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81" w:type="dxa"/>
            <w:vMerge w:val="continue"/>
            <w:noWrap w:val="0"/>
            <w:vAlign w:val="center"/>
          </w:tcPr>
          <w:p w14:paraId="251ADB46">
            <w:pPr>
              <w:bidi w:val="0"/>
              <w:rPr>
                <w:rFonts w:hint="eastAsia" w:ascii="仿宋" w:hAnsi="仿宋" w:eastAsia="仿宋" w:cs="仿宋"/>
                <w:snapToGrid w:val="0"/>
                <w:color w:val="auto"/>
                <w:spacing w:val="-3"/>
                <w:kern w:val="0"/>
                <w:sz w:val="24"/>
                <w:szCs w:val="24"/>
                <w:highlight w:val="none"/>
                <w:lang w:val="en-US" w:eastAsia="zh-CN" w:bidi="ar-SA"/>
              </w:rPr>
            </w:pPr>
          </w:p>
        </w:tc>
        <w:tc>
          <w:tcPr>
            <w:tcW w:w="791" w:type="dxa"/>
            <w:noWrap w:val="0"/>
            <w:vAlign w:val="center"/>
          </w:tcPr>
          <w:p w14:paraId="07E7EB9B">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整体项目保证体系及保证措</w:t>
            </w:r>
          </w:p>
          <w:p w14:paraId="5185DF40">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施</w:t>
            </w:r>
          </w:p>
        </w:tc>
        <w:tc>
          <w:tcPr>
            <w:tcW w:w="734" w:type="dxa"/>
            <w:noWrap w:val="0"/>
            <w:vAlign w:val="center"/>
          </w:tcPr>
          <w:p w14:paraId="2867F12C">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6分</w:t>
            </w:r>
          </w:p>
        </w:tc>
        <w:tc>
          <w:tcPr>
            <w:tcW w:w="6285" w:type="dxa"/>
            <w:noWrap w:val="0"/>
            <w:vAlign w:val="top"/>
          </w:tcPr>
          <w:p w14:paraId="3F396DE9">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投标人根据本项目特点，编写整体项目保证体系及保证措施，内容包含：①项目进度安排保证措施：②人员调配投入计划；③施工进度计划；以上3项内容，每提供一项内容得2分，全部提供完整且完全满足项目要求得6分，每项内容中有一处内容缺陷得1分，不提供不得分。</w:t>
            </w:r>
          </w:p>
        </w:tc>
        <w:tc>
          <w:tcPr>
            <w:tcW w:w="780" w:type="dxa"/>
            <w:noWrap w:val="0"/>
            <w:vAlign w:val="center"/>
          </w:tcPr>
          <w:p w14:paraId="79A5713D">
            <w:pPr>
              <w:shd w:val="clear" w:color="auto" w:fill="auto"/>
              <w:spacing w:line="400" w:lineRule="exact"/>
              <w:rPr>
                <w:rFonts w:hint="eastAsia" w:ascii="仿宋" w:hAnsi="仿宋" w:eastAsia="仿宋" w:cs="仿宋"/>
                <w:color w:val="auto"/>
                <w:sz w:val="24"/>
                <w:szCs w:val="24"/>
                <w:highlight w:val="none"/>
              </w:rPr>
            </w:pPr>
          </w:p>
        </w:tc>
      </w:tr>
      <w:tr w14:paraId="3A7C4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trPr>
        <w:tc>
          <w:tcPr>
            <w:tcW w:w="981" w:type="dxa"/>
            <w:vMerge w:val="continue"/>
            <w:noWrap w:val="0"/>
            <w:vAlign w:val="center"/>
          </w:tcPr>
          <w:p w14:paraId="2B647DB1">
            <w:pPr>
              <w:widowControl/>
              <w:shd w:val="clear" w:color="auto" w:fill="auto"/>
              <w:spacing w:line="400" w:lineRule="exact"/>
              <w:jc w:val="center"/>
              <w:rPr>
                <w:rFonts w:hint="eastAsia" w:ascii="仿宋" w:hAnsi="仿宋" w:eastAsia="仿宋" w:cs="仿宋"/>
                <w:color w:val="auto"/>
                <w:sz w:val="24"/>
                <w:szCs w:val="24"/>
                <w:highlight w:val="none"/>
              </w:rPr>
            </w:pPr>
          </w:p>
        </w:tc>
        <w:tc>
          <w:tcPr>
            <w:tcW w:w="791" w:type="dxa"/>
            <w:noWrap w:val="0"/>
            <w:vAlign w:val="center"/>
          </w:tcPr>
          <w:p w14:paraId="0E9E7E34">
            <w:pPr>
              <w:bidi w:val="0"/>
              <w:rPr>
                <w:rFonts w:hint="eastAsia" w:ascii="仿宋" w:hAnsi="仿宋" w:eastAsia="仿宋" w:cs="仿宋"/>
                <w:snapToGrid w:val="0"/>
                <w:color w:val="auto"/>
                <w:spacing w:val="-3"/>
                <w:kern w:val="0"/>
                <w:sz w:val="24"/>
                <w:szCs w:val="24"/>
                <w:highlight w:val="none"/>
                <w:lang w:val="en-US" w:eastAsia="zh-CN" w:bidi="ar-SA"/>
              </w:rPr>
            </w:pPr>
            <w:bookmarkStart w:id="418" w:name="OLE_LINK20"/>
            <w:r>
              <w:rPr>
                <w:rFonts w:hint="eastAsia" w:ascii="仿宋" w:hAnsi="仿宋" w:eastAsia="仿宋" w:cs="仿宋"/>
                <w:snapToGrid w:val="0"/>
                <w:color w:val="auto"/>
                <w:spacing w:val="-3"/>
                <w:kern w:val="0"/>
                <w:sz w:val="24"/>
                <w:szCs w:val="24"/>
                <w:highlight w:val="none"/>
                <w:lang w:val="en-US" w:eastAsia="zh-CN" w:bidi="ar-SA"/>
              </w:rPr>
              <w:t>现场文明施工方案</w:t>
            </w:r>
            <w:bookmarkEnd w:id="418"/>
          </w:p>
        </w:tc>
        <w:tc>
          <w:tcPr>
            <w:tcW w:w="734" w:type="dxa"/>
            <w:noWrap w:val="0"/>
            <w:vAlign w:val="center"/>
          </w:tcPr>
          <w:p w14:paraId="5CFC4740">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8分</w:t>
            </w:r>
          </w:p>
        </w:tc>
        <w:tc>
          <w:tcPr>
            <w:tcW w:w="6285" w:type="dxa"/>
            <w:noWrap w:val="0"/>
            <w:vAlign w:val="center"/>
          </w:tcPr>
          <w:p w14:paraId="410924D7">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现场文明施工方案（8分)：</w:t>
            </w:r>
          </w:p>
          <w:p w14:paraId="6CDB858F">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文明施工方案措施应符合工程实际情况，切实可行，需包含：1.文明施工的组织管理2.现场布置3.安全措施（施工现场必须与教学区设置硬隔离、施工车辆进出学校的相关安全措施）、4.文明施工措施等（包含但不限于施工人员遵守学校管理规定等）以上每项内容完整准确且能完全满足项目需求的得8分。每项内容完整得2分，内容有缺陷得1分，缺项漏项不得分。</w:t>
            </w:r>
          </w:p>
        </w:tc>
        <w:tc>
          <w:tcPr>
            <w:tcW w:w="780" w:type="dxa"/>
            <w:noWrap w:val="0"/>
            <w:vAlign w:val="center"/>
          </w:tcPr>
          <w:p w14:paraId="51FD6583">
            <w:pPr>
              <w:shd w:val="clear" w:color="auto" w:fill="auto"/>
              <w:spacing w:line="400" w:lineRule="exact"/>
              <w:rPr>
                <w:rFonts w:hint="eastAsia" w:ascii="仿宋" w:hAnsi="仿宋" w:eastAsia="仿宋" w:cs="仿宋"/>
                <w:color w:val="auto"/>
                <w:sz w:val="24"/>
                <w:szCs w:val="24"/>
                <w:highlight w:val="none"/>
              </w:rPr>
            </w:pPr>
          </w:p>
        </w:tc>
      </w:tr>
      <w:tr w14:paraId="1D60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trPr>
        <w:tc>
          <w:tcPr>
            <w:tcW w:w="981" w:type="dxa"/>
            <w:vMerge w:val="continue"/>
            <w:noWrap w:val="0"/>
            <w:vAlign w:val="center"/>
          </w:tcPr>
          <w:p w14:paraId="3C60BE55">
            <w:pPr>
              <w:widowControl/>
              <w:shd w:val="clear" w:color="auto" w:fill="auto"/>
              <w:spacing w:line="400" w:lineRule="exact"/>
              <w:jc w:val="center"/>
              <w:rPr>
                <w:rFonts w:hint="eastAsia" w:ascii="仿宋" w:hAnsi="仿宋" w:eastAsia="仿宋" w:cs="仿宋"/>
                <w:color w:val="auto"/>
                <w:sz w:val="24"/>
                <w:szCs w:val="24"/>
                <w:highlight w:val="none"/>
              </w:rPr>
            </w:pPr>
          </w:p>
        </w:tc>
        <w:tc>
          <w:tcPr>
            <w:tcW w:w="791" w:type="dxa"/>
            <w:noWrap w:val="0"/>
            <w:vAlign w:val="center"/>
          </w:tcPr>
          <w:p w14:paraId="558A09D9">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工程质量管</w:t>
            </w:r>
          </w:p>
          <w:p w14:paraId="02492573">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理体系及保</w:t>
            </w:r>
          </w:p>
          <w:p w14:paraId="422CAC82">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证措施</w:t>
            </w:r>
          </w:p>
        </w:tc>
        <w:tc>
          <w:tcPr>
            <w:tcW w:w="734" w:type="dxa"/>
            <w:noWrap w:val="0"/>
            <w:vAlign w:val="center"/>
          </w:tcPr>
          <w:p w14:paraId="42A1302E">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10分</w:t>
            </w:r>
          </w:p>
        </w:tc>
        <w:tc>
          <w:tcPr>
            <w:tcW w:w="6285" w:type="dxa"/>
            <w:noWrap w:val="0"/>
            <w:vAlign w:val="center"/>
          </w:tcPr>
          <w:p w14:paraId="46F7B49C">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投标人根据本工程特点，编写质量管理体系及保证措施，内容包含：①质量目标；②质量责任制；③质量保证体系及监督体系；④管理措施；⑤技术措施；以上5项内容，每提供一项内容得2分，全部提供完整且完全满足项目要求得10分，每项内容中有一处内容缺陷得1分，不提供不得分。</w:t>
            </w:r>
          </w:p>
        </w:tc>
        <w:tc>
          <w:tcPr>
            <w:tcW w:w="780" w:type="dxa"/>
            <w:noWrap w:val="0"/>
            <w:vAlign w:val="center"/>
          </w:tcPr>
          <w:p w14:paraId="677A2AF0">
            <w:pPr>
              <w:shd w:val="clear" w:color="auto" w:fill="auto"/>
              <w:spacing w:line="400" w:lineRule="exact"/>
              <w:rPr>
                <w:rFonts w:hint="eastAsia" w:ascii="仿宋" w:hAnsi="仿宋" w:eastAsia="仿宋" w:cs="仿宋"/>
                <w:color w:val="auto"/>
                <w:sz w:val="24"/>
                <w:szCs w:val="24"/>
                <w:highlight w:val="none"/>
              </w:rPr>
            </w:pPr>
          </w:p>
        </w:tc>
      </w:tr>
      <w:tr w14:paraId="5722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trPr>
        <w:tc>
          <w:tcPr>
            <w:tcW w:w="981" w:type="dxa"/>
            <w:vMerge w:val="continue"/>
            <w:noWrap w:val="0"/>
            <w:vAlign w:val="center"/>
          </w:tcPr>
          <w:p w14:paraId="21E934C1">
            <w:pPr>
              <w:widowControl/>
              <w:shd w:val="clear" w:color="auto" w:fill="auto"/>
              <w:spacing w:line="400" w:lineRule="exact"/>
              <w:jc w:val="center"/>
              <w:rPr>
                <w:rFonts w:hint="eastAsia" w:ascii="仿宋" w:hAnsi="仿宋" w:eastAsia="仿宋" w:cs="仿宋"/>
                <w:color w:val="auto"/>
                <w:sz w:val="24"/>
                <w:szCs w:val="24"/>
                <w:highlight w:val="none"/>
              </w:rPr>
            </w:pPr>
          </w:p>
        </w:tc>
        <w:tc>
          <w:tcPr>
            <w:tcW w:w="791" w:type="dxa"/>
            <w:noWrap w:val="0"/>
            <w:vAlign w:val="center"/>
          </w:tcPr>
          <w:p w14:paraId="385EE678">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安全生产管理体系及保证措施</w:t>
            </w:r>
          </w:p>
        </w:tc>
        <w:tc>
          <w:tcPr>
            <w:tcW w:w="734" w:type="dxa"/>
            <w:noWrap w:val="0"/>
            <w:vAlign w:val="center"/>
          </w:tcPr>
          <w:p w14:paraId="4831AC8C">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10分</w:t>
            </w:r>
          </w:p>
        </w:tc>
        <w:tc>
          <w:tcPr>
            <w:tcW w:w="6285" w:type="dxa"/>
            <w:noWrap w:val="0"/>
            <w:vAlign w:val="center"/>
          </w:tcPr>
          <w:p w14:paraId="0E420B6A">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投标人对工程安全生产管理体系及保证措施编写方案，内容包含：①安全管理制度；②安全目标与计划；③安全技术措施；④安全教育培训措施；⑤安全检查与隐患排查措施；以上5项内容，每提供一项内容得2分，全部提供完整且完全满足项目要求得10分，每项内容中有一处内容缺陷得1分，不提供不得分。</w:t>
            </w:r>
          </w:p>
        </w:tc>
        <w:tc>
          <w:tcPr>
            <w:tcW w:w="780" w:type="dxa"/>
            <w:noWrap w:val="0"/>
            <w:vAlign w:val="center"/>
          </w:tcPr>
          <w:p w14:paraId="1CF48AB3">
            <w:pPr>
              <w:shd w:val="clear" w:color="auto" w:fill="auto"/>
              <w:spacing w:line="400" w:lineRule="exact"/>
              <w:rPr>
                <w:rFonts w:hint="eastAsia" w:ascii="仿宋" w:hAnsi="仿宋" w:eastAsia="仿宋" w:cs="仿宋"/>
                <w:color w:val="auto"/>
                <w:sz w:val="24"/>
                <w:szCs w:val="24"/>
                <w:highlight w:val="none"/>
              </w:rPr>
            </w:pPr>
          </w:p>
        </w:tc>
      </w:tr>
      <w:tr w14:paraId="0E0E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trPr>
        <w:tc>
          <w:tcPr>
            <w:tcW w:w="981" w:type="dxa"/>
            <w:vMerge w:val="continue"/>
            <w:noWrap w:val="0"/>
            <w:vAlign w:val="center"/>
          </w:tcPr>
          <w:p w14:paraId="3BF72E8A">
            <w:pPr>
              <w:widowControl/>
              <w:shd w:val="clear" w:color="auto" w:fill="auto"/>
              <w:spacing w:line="400" w:lineRule="exact"/>
              <w:jc w:val="center"/>
              <w:rPr>
                <w:rFonts w:hint="eastAsia" w:ascii="仿宋" w:hAnsi="仿宋" w:eastAsia="仿宋" w:cs="仿宋"/>
                <w:color w:val="auto"/>
                <w:sz w:val="24"/>
                <w:szCs w:val="24"/>
                <w:highlight w:val="none"/>
              </w:rPr>
            </w:pPr>
          </w:p>
        </w:tc>
        <w:tc>
          <w:tcPr>
            <w:tcW w:w="791" w:type="dxa"/>
            <w:noWrap w:val="0"/>
            <w:vAlign w:val="center"/>
          </w:tcPr>
          <w:p w14:paraId="4220C025">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项目风险预 测与防范事 故应急预案</w:t>
            </w:r>
          </w:p>
        </w:tc>
        <w:tc>
          <w:tcPr>
            <w:tcW w:w="734" w:type="dxa"/>
            <w:noWrap w:val="0"/>
            <w:vAlign w:val="center"/>
          </w:tcPr>
          <w:p w14:paraId="4F334D94">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10分</w:t>
            </w:r>
          </w:p>
        </w:tc>
        <w:tc>
          <w:tcPr>
            <w:tcW w:w="6285" w:type="dxa"/>
            <w:noWrap w:val="0"/>
            <w:vAlign w:val="center"/>
          </w:tcPr>
          <w:p w14:paraId="286E532C">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投标人对项目风险预测与防范事故编写应急预案，内容包含：①风险预测与分析；②预防措施；③应急组织机构与职责；④应急响应；⑤后期处置；以上5项内容，每提供一项内容得2分，全部提供完整且完全满足项目要求得10分，每项内容中有一处内容缺陷得1分，不提供不得分。</w:t>
            </w:r>
          </w:p>
        </w:tc>
        <w:tc>
          <w:tcPr>
            <w:tcW w:w="780" w:type="dxa"/>
            <w:noWrap w:val="0"/>
            <w:vAlign w:val="center"/>
          </w:tcPr>
          <w:p w14:paraId="679F1342">
            <w:pPr>
              <w:shd w:val="clear" w:color="auto" w:fill="auto"/>
              <w:spacing w:line="400" w:lineRule="exact"/>
              <w:rPr>
                <w:rFonts w:hint="eastAsia" w:ascii="仿宋" w:hAnsi="仿宋" w:eastAsia="仿宋" w:cs="仿宋"/>
                <w:color w:val="auto"/>
                <w:sz w:val="24"/>
                <w:szCs w:val="24"/>
                <w:highlight w:val="none"/>
              </w:rPr>
            </w:pPr>
          </w:p>
        </w:tc>
      </w:tr>
      <w:tr w14:paraId="4873C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trPr>
        <w:tc>
          <w:tcPr>
            <w:tcW w:w="981" w:type="dxa"/>
            <w:vMerge w:val="restart"/>
            <w:noWrap w:val="0"/>
            <w:vAlign w:val="center"/>
          </w:tcPr>
          <w:p w14:paraId="18416D0E">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商务评分标准</w:t>
            </w:r>
          </w:p>
          <w:p w14:paraId="74D17133">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（12分）</w:t>
            </w:r>
          </w:p>
        </w:tc>
        <w:tc>
          <w:tcPr>
            <w:tcW w:w="791" w:type="dxa"/>
            <w:noWrap w:val="0"/>
            <w:vAlign w:val="center"/>
          </w:tcPr>
          <w:p w14:paraId="7DDC0CEE">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企业业绩</w:t>
            </w:r>
          </w:p>
        </w:tc>
        <w:tc>
          <w:tcPr>
            <w:tcW w:w="734" w:type="dxa"/>
            <w:noWrap w:val="0"/>
            <w:vAlign w:val="center"/>
          </w:tcPr>
          <w:p w14:paraId="0F75547A">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3分</w:t>
            </w:r>
          </w:p>
        </w:tc>
        <w:tc>
          <w:tcPr>
            <w:tcW w:w="6285" w:type="dxa"/>
            <w:noWrap w:val="0"/>
            <w:vAlign w:val="center"/>
          </w:tcPr>
          <w:p w14:paraId="0D0BDB00">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自 2021年 1 月 1 日起有类似项目业绩的（需提供中标（成交）通知书 、合同协议、验收报告， 以签订日期为准），提供一套完整类似项目得1.5分，满分3分。</w:t>
            </w:r>
          </w:p>
        </w:tc>
        <w:tc>
          <w:tcPr>
            <w:tcW w:w="780" w:type="dxa"/>
            <w:noWrap w:val="0"/>
            <w:vAlign w:val="center"/>
          </w:tcPr>
          <w:p w14:paraId="33EDE290">
            <w:pPr>
              <w:shd w:val="clear" w:color="auto" w:fill="auto"/>
              <w:spacing w:line="400" w:lineRule="exact"/>
              <w:rPr>
                <w:rFonts w:hint="eastAsia" w:ascii="仿宋" w:hAnsi="仿宋" w:eastAsia="仿宋" w:cs="仿宋"/>
                <w:color w:val="auto"/>
                <w:sz w:val="24"/>
                <w:szCs w:val="24"/>
                <w:highlight w:val="none"/>
              </w:rPr>
            </w:pPr>
          </w:p>
        </w:tc>
      </w:tr>
      <w:tr w14:paraId="792FD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trPr>
        <w:tc>
          <w:tcPr>
            <w:tcW w:w="981" w:type="dxa"/>
            <w:vMerge w:val="continue"/>
            <w:noWrap w:val="0"/>
            <w:vAlign w:val="center"/>
          </w:tcPr>
          <w:p w14:paraId="325B3DB1">
            <w:pPr>
              <w:bidi w:val="0"/>
              <w:rPr>
                <w:rFonts w:hint="eastAsia" w:ascii="仿宋" w:hAnsi="仿宋" w:eastAsia="仿宋" w:cs="仿宋"/>
                <w:color w:val="auto"/>
                <w:sz w:val="24"/>
                <w:szCs w:val="24"/>
                <w:highlight w:val="none"/>
                <w:lang w:val="en-US" w:eastAsia="zh-CN"/>
              </w:rPr>
            </w:pPr>
          </w:p>
        </w:tc>
        <w:tc>
          <w:tcPr>
            <w:tcW w:w="791" w:type="dxa"/>
            <w:noWrap w:val="0"/>
            <w:vAlign w:val="center"/>
          </w:tcPr>
          <w:p w14:paraId="2869CC6E">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项目负责人</w:t>
            </w:r>
          </w:p>
        </w:tc>
        <w:tc>
          <w:tcPr>
            <w:tcW w:w="734" w:type="dxa"/>
            <w:noWrap w:val="0"/>
            <w:vAlign w:val="center"/>
          </w:tcPr>
          <w:p w14:paraId="68536C1C">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2分</w:t>
            </w:r>
          </w:p>
        </w:tc>
        <w:tc>
          <w:tcPr>
            <w:tcW w:w="6285" w:type="dxa"/>
            <w:noWrap w:val="0"/>
            <w:vAlign w:val="center"/>
          </w:tcPr>
          <w:p w14:paraId="4B532339">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项目负责人具有相关专业中级职称的得 2 分，其余不得分。 (提供相关证明材料扫描件）</w:t>
            </w:r>
          </w:p>
        </w:tc>
        <w:tc>
          <w:tcPr>
            <w:tcW w:w="780" w:type="dxa"/>
            <w:noWrap w:val="0"/>
            <w:vAlign w:val="center"/>
          </w:tcPr>
          <w:p w14:paraId="6770A454">
            <w:pPr>
              <w:shd w:val="clear" w:color="auto" w:fill="auto"/>
              <w:spacing w:line="400" w:lineRule="exact"/>
              <w:rPr>
                <w:rFonts w:hint="eastAsia" w:ascii="仿宋" w:hAnsi="仿宋" w:eastAsia="仿宋" w:cs="仿宋"/>
                <w:color w:val="auto"/>
                <w:sz w:val="24"/>
                <w:szCs w:val="24"/>
                <w:highlight w:val="none"/>
              </w:rPr>
            </w:pPr>
          </w:p>
        </w:tc>
      </w:tr>
      <w:tr w14:paraId="0616E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trPr>
        <w:tc>
          <w:tcPr>
            <w:tcW w:w="981" w:type="dxa"/>
            <w:vMerge w:val="continue"/>
            <w:noWrap w:val="0"/>
            <w:vAlign w:val="center"/>
          </w:tcPr>
          <w:p w14:paraId="5207977B">
            <w:pPr>
              <w:bidi w:val="0"/>
              <w:rPr>
                <w:rFonts w:hint="eastAsia" w:ascii="仿宋" w:hAnsi="仿宋" w:eastAsia="仿宋" w:cs="仿宋"/>
                <w:color w:val="auto"/>
                <w:sz w:val="24"/>
                <w:szCs w:val="24"/>
                <w:highlight w:val="none"/>
                <w:lang w:val="en-US" w:eastAsia="zh-CN"/>
              </w:rPr>
            </w:pPr>
          </w:p>
        </w:tc>
        <w:tc>
          <w:tcPr>
            <w:tcW w:w="791" w:type="dxa"/>
            <w:noWrap w:val="0"/>
            <w:vAlign w:val="center"/>
          </w:tcPr>
          <w:p w14:paraId="3EC5F8A3">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项目管理团队</w:t>
            </w:r>
          </w:p>
        </w:tc>
        <w:tc>
          <w:tcPr>
            <w:tcW w:w="734" w:type="dxa"/>
            <w:noWrap w:val="0"/>
            <w:vAlign w:val="center"/>
          </w:tcPr>
          <w:p w14:paraId="06596F4D">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7分</w:t>
            </w:r>
          </w:p>
        </w:tc>
        <w:tc>
          <w:tcPr>
            <w:tcW w:w="6285" w:type="dxa"/>
            <w:noWrap w:val="0"/>
            <w:vAlign w:val="top"/>
          </w:tcPr>
          <w:p w14:paraId="7724BFD9">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技术负责人、施工员、安全员、材料员、造价人员、资料员、 质量员等项目主要管理人员配置全面，岗位证件齐全得 7分，配置不全、岗位证件不全，每项1分，缺1项不得分。(提供相关证明材料扫描件及投标单位为其缴纳的近三个月任意一个月的社保）</w:t>
            </w:r>
          </w:p>
        </w:tc>
        <w:tc>
          <w:tcPr>
            <w:tcW w:w="780" w:type="dxa"/>
            <w:noWrap w:val="0"/>
            <w:vAlign w:val="center"/>
          </w:tcPr>
          <w:p w14:paraId="77C42688">
            <w:pPr>
              <w:shd w:val="clear" w:color="auto" w:fill="auto"/>
              <w:spacing w:line="400" w:lineRule="exact"/>
              <w:rPr>
                <w:rFonts w:hint="eastAsia" w:ascii="仿宋" w:hAnsi="仿宋" w:eastAsia="仿宋" w:cs="仿宋"/>
                <w:color w:val="auto"/>
                <w:sz w:val="24"/>
                <w:szCs w:val="24"/>
                <w:highlight w:val="none"/>
              </w:rPr>
            </w:pPr>
          </w:p>
        </w:tc>
      </w:tr>
    </w:tbl>
    <w:p w14:paraId="061B6384">
      <w:pPr>
        <w:rPr>
          <w:rFonts w:hint="eastAsia" w:ascii="仿宋" w:hAnsi="仿宋" w:eastAsia="仿宋" w:cs="仿宋"/>
          <w:sz w:val="24"/>
          <w:szCs w:val="24"/>
        </w:rPr>
        <w:sectPr>
          <w:footerReference r:id="rId28" w:type="default"/>
          <w:pgSz w:w="11906" w:h="16839"/>
          <w:pgMar w:top="1412" w:right="1785" w:bottom="1171" w:left="1785" w:header="0" w:footer="992" w:gutter="0"/>
          <w:pgNumType w:fmt="decimal"/>
          <w:cols w:space="720" w:num="1"/>
        </w:sectPr>
      </w:pPr>
      <w:bookmarkStart w:id="420" w:name="_GoBack"/>
      <w:bookmarkEnd w:id="420"/>
    </w:p>
    <w:p w14:paraId="0045703D">
      <w:pPr>
        <w:pStyle w:val="20"/>
        <w:rPr>
          <w:rFonts w:hint="eastAsia" w:ascii="仿宋" w:hAnsi="仿宋" w:eastAsia="仿宋" w:cs="仿宋"/>
          <w:sz w:val="24"/>
          <w:szCs w:val="24"/>
        </w:rPr>
      </w:pPr>
    </w:p>
    <w:p w14:paraId="1E6A97A3">
      <w:pPr>
        <w:spacing w:line="285" w:lineRule="auto"/>
        <w:jc w:val="center"/>
        <w:rPr>
          <w:rFonts w:hint="eastAsia" w:ascii="方正小标宋_GBK" w:hAnsi="方正小标宋_GBK" w:eastAsia="方正小标宋_GBK" w:cs="方正小标宋_GBK"/>
          <w:b/>
          <w:bCs/>
          <w:snapToGrid w:val="0"/>
          <w:color w:val="auto"/>
          <w:spacing w:val="-15"/>
          <w:kern w:val="0"/>
          <w:sz w:val="44"/>
          <w:szCs w:val="44"/>
          <w:highlight w:val="none"/>
          <w:lang w:val="en-US" w:eastAsia="zh-CN" w:bidi="ar-SA"/>
        </w:rPr>
      </w:pPr>
      <w:r>
        <w:rPr>
          <w:rFonts w:hint="eastAsia" w:ascii="方正小标宋_GBK" w:hAnsi="方正小标宋_GBK" w:eastAsia="方正小标宋_GBK" w:cs="方正小标宋_GBK"/>
          <w:b/>
          <w:bCs/>
          <w:snapToGrid w:val="0"/>
          <w:color w:val="auto"/>
          <w:spacing w:val="-15"/>
          <w:kern w:val="0"/>
          <w:sz w:val="44"/>
          <w:szCs w:val="44"/>
          <w:highlight w:val="none"/>
          <w:lang w:val="en-US" w:eastAsia="zh-CN" w:bidi="ar-SA"/>
        </w:rPr>
        <w:t>伽师县巴仁镇第四小学提升改造项目一标段</w:t>
      </w:r>
    </w:p>
    <w:p w14:paraId="37035E24">
      <w:pPr>
        <w:pStyle w:val="2"/>
        <w:pageBreakBefore w:val="0"/>
        <w:shd w:val="clear"/>
        <w:wordWrap/>
        <w:overflowPunct/>
        <w:topLinePunct w:val="0"/>
        <w:bidi w:val="0"/>
        <w:spacing w:line="240" w:lineRule="auto"/>
        <w:ind w:left="0" w:right="0" w:firstLine="0"/>
        <w:jc w:val="center"/>
        <w:outlineLvl w:val="9"/>
        <w:rPr>
          <w:rFonts w:hint="eastAsia" w:ascii="方正仿宋_GBK" w:hAnsi="方正仿宋_GBK" w:eastAsia="方正仿宋_GBK" w:cs="方正仿宋_GBK"/>
          <w:color w:val="auto"/>
          <w:sz w:val="40"/>
          <w:szCs w:val="40"/>
          <w:highlight w:val="none"/>
        </w:rPr>
      </w:pPr>
      <w:r>
        <w:rPr>
          <w:rFonts w:hint="eastAsia" w:ascii="方正仿宋_GBK" w:hAnsi="方正仿宋_GBK" w:eastAsia="方正仿宋_GBK" w:cs="方正仿宋_GBK"/>
          <w:color w:val="auto"/>
          <w:spacing w:val="-15"/>
          <w:sz w:val="40"/>
          <w:szCs w:val="40"/>
          <w:highlight w:val="none"/>
          <w:lang w:eastAsia="zh-CN"/>
        </w:rPr>
        <w:t>竞</w:t>
      </w:r>
      <w:r>
        <w:rPr>
          <w:rFonts w:hint="eastAsia" w:ascii="方正仿宋_GBK" w:hAnsi="方正仿宋_GBK" w:eastAsia="方正仿宋_GBK" w:cs="方正仿宋_GBK"/>
          <w:color w:val="auto"/>
          <w:spacing w:val="-15"/>
          <w:sz w:val="40"/>
          <w:szCs w:val="40"/>
          <w:highlight w:val="none"/>
        </w:rPr>
        <w:t>争性磋商文件</w:t>
      </w:r>
    </w:p>
    <w:p w14:paraId="11090756">
      <w:pPr>
        <w:pageBreakBefore w:val="0"/>
        <w:shd w:val="clear"/>
        <w:wordWrap/>
        <w:overflowPunct/>
        <w:topLinePunct w:val="0"/>
        <w:bidi w:val="0"/>
        <w:spacing w:line="254" w:lineRule="auto"/>
        <w:outlineLvl w:val="9"/>
        <w:rPr>
          <w:rFonts w:hint="eastAsia" w:ascii="方正仿宋_GBK" w:hAnsi="方正仿宋_GBK" w:eastAsia="方正仿宋_GBK" w:cs="方正仿宋_GBK"/>
          <w:color w:val="auto"/>
          <w:sz w:val="24"/>
          <w:szCs w:val="24"/>
          <w:highlight w:val="none"/>
        </w:rPr>
      </w:pPr>
    </w:p>
    <w:p w14:paraId="4691A13E">
      <w:pPr>
        <w:pageBreakBefore w:val="0"/>
        <w:shd w:val="clear"/>
        <w:wordWrap/>
        <w:overflowPunct/>
        <w:topLinePunct w:val="0"/>
        <w:bidi w:val="0"/>
        <w:spacing w:line="254" w:lineRule="auto"/>
        <w:outlineLvl w:val="9"/>
        <w:rPr>
          <w:rFonts w:hint="eastAsia" w:ascii="方正仿宋_GBK" w:hAnsi="方正仿宋_GBK" w:eastAsia="方正仿宋_GBK" w:cs="方正仿宋_GBK"/>
          <w:color w:val="auto"/>
          <w:sz w:val="24"/>
          <w:szCs w:val="24"/>
          <w:highlight w:val="none"/>
        </w:rPr>
      </w:pPr>
    </w:p>
    <w:p w14:paraId="61A20543">
      <w:pPr>
        <w:pageBreakBefore w:val="0"/>
        <w:shd w:val="clear"/>
        <w:wordWrap/>
        <w:overflowPunct/>
        <w:topLinePunct w:val="0"/>
        <w:bidi w:val="0"/>
        <w:spacing w:line="255" w:lineRule="auto"/>
        <w:outlineLvl w:val="9"/>
        <w:rPr>
          <w:rFonts w:hint="eastAsia" w:ascii="方正仿宋_GBK" w:hAnsi="方正仿宋_GBK" w:eastAsia="方正仿宋_GBK" w:cs="方正仿宋_GBK"/>
          <w:color w:val="auto"/>
          <w:sz w:val="24"/>
          <w:szCs w:val="24"/>
          <w:highlight w:val="none"/>
        </w:rPr>
      </w:pPr>
    </w:p>
    <w:p w14:paraId="7FA64C06">
      <w:pPr>
        <w:pageBreakBefore w:val="0"/>
        <w:shd w:val="clear"/>
        <w:wordWrap/>
        <w:overflowPunct/>
        <w:topLinePunct w:val="0"/>
        <w:bidi w:val="0"/>
        <w:spacing w:line="255" w:lineRule="auto"/>
        <w:outlineLvl w:val="9"/>
        <w:rPr>
          <w:rFonts w:hint="eastAsia" w:ascii="方正仿宋_GBK" w:hAnsi="方正仿宋_GBK" w:eastAsia="方正仿宋_GBK" w:cs="方正仿宋_GBK"/>
          <w:color w:val="auto"/>
          <w:sz w:val="24"/>
          <w:szCs w:val="24"/>
          <w:highlight w:val="none"/>
        </w:rPr>
      </w:pPr>
    </w:p>
    <w:p w14:paraId="65A0E13E">
      <w:pPr>
        <w:pageBreakBefore w:val="0"/>
        <w:shd w:val="clear"/>
        <w:wordWrap/>
        <w:overflowPunct/>
        <w:topLinePunct w:val="0"/>
        <w:bidi w:val="0"/>
        <w:spacing w:line="255" w:lineRule="auto"/>
        <w:outlineLvl w:val="9"/>
        <w:rPr>
          <w:rFonts w:hint="eastAsia" w:ascii="方正仿宋_GBK" w:hAnsi="方正仿宋_GBK" w:eastAsia="方正仿宋_GBK" w:cs="方正仿宋_GBK"/>
          <w:color w:val="auto"/>
          <w:sz w:val="24"/>
          <w:szCs w:val="24"/>
          <w:highlight w:val="none"/>
        </w:rPr>
      </w:pPr>
    </w:p>
    <w:p w14:paraId="718A4ED1">
      <w:pPr>
        <w:pageBreakBefore w:val="0"/>
        <w:shd w:val="clear"/>
        <w:wordWrap/>
        <w:overflowPunct/>
        <w:topLinePunct w:val="0"/>
        <w:bidi w:val="0"/>
        <w:spacing w:line="255" w:lineRule="auto"/>
        <w:outlineLvl w:val="9"/>
        <w:rPr>
          <w:rFonts w:hint="eastAsia" w:ascii="方正仿宋_GBK" w:hAnsi="方正仿宋_GBK" w:eastAsia="方正仿宋_GBK" w:cs="方正仿宋_GBK"/>
          <w:color w:val="auto"/>
          <w:sz w:val="24"/>
          <w:szCs w:val="24"/>
          <w:highlight w:val="none"/>
        </w:rPr>
      </w:pPr>
    </w:p>
    <w:p w14:paraId="3B779448">
      <w:pPr>
        <w:pageBreakBefore w:val="0"/>
        <w:shd w:val="clear"/>
        <w:wordWrap/>
        <w:overflowPunct/>
        <w:topLinePunct w:val="0"/>
        <w:bidi w:val="0"/>
        <w:spacing w:line="255" w:lineRule="auto"/>
        <w:outlineLvl w:val="9"/>
        <w:rPr>
          <w:rFonts w:hint="eastAsia" w:ascii="方正仿宋_GBK" w:hAnsi="方正仿宋_GBK" w:eastAsia="方正仿宋_GBK" w:cs="方正仿宋_GBK"/>
          <w:color w:val="auto"/>
          <w:sz w:val="24"/>
          <w:szCs w:val="24"/>
          <w:highlight w:val="none"/>
        </w:rPr>
      </w:pPr>
    </w:p>
    <w:p w14:paraId="63020140">
      <w:pPr>
        <w:pStyle w:val="2"/>
        <w:pageBreakBefore w:val="0"/>
        <w:shd w:val="clear"/>
        <w:wordWrap/>
        <w:overflowPunct/>
        <w:topLinePunct w:val="0"/>
        <w:bidi w:val="0"/>
        <w:spacing w:before="101" w:line="223" w:lineRule="auto"/>
        <w:ind w:left="1791"/>
        <w:outlineLvl w:val="9"/>
        <w:rPr>
          <w:rFonts w:hint="eastAsia" w:ascii="仿宋" w:hAnsi="仿宋" w:eastAsia="仿宋" w:cs="仿宋"/>
          <w:color w:val="auto"/>
          <w:spacing w:val="6"/>
          <w:sz w:val="32"/>
          <w:szCs w:val="32"/>
          <w:highlight w:val="none"/>
        </w:rPr>
      </w:pPr>
      <w:r>
        <w:rPr>
          <w:rFonts w:hint="eastAsia" w:ascii="方正仿宋_GBK" w:hAnsi="方正仿宋_GBK" w:eastAsia="方正仿宋_GBK" w:cs="方正仿宋_GBK"/>
          <w:color w:val="auto"/>
          <w:spacing w:val="6"/>
          <w:sz w:val="32"/>
          <w:szCs w:val="32"/>
          <w:highlight w:val="none"/>
        </w:rPr>
        <w:t>（ 项目编号：</w:t>
      </w:r>
      <w:r>
        <w:rPr>
          <w:rFonts w:hint="default" w:ascii="方正仿宋_GBK" w:hAnsi="方正仿宋_GBK" w:eastAsia="方正仿宋_GBK" w:cs="方正仿宋_GBK"/>
          <w:color w:val="auto"/>
          <w:spacing w:val="6"/>
          <w:sz w:val="32"/>
          <w:szCs w:val="32"/>
          <w:highlight w:val="none"/>
          <w:lang w:eastAsia="zh-CN"/>
        </w:rPr>
        <w:t>KSJSX(CS)20</w:t>
      </w:r>
      <w:r>
        <w:rPr>
          <w:rFonts w:hint="default" w:ascii="方正仿宋_GBK" w:hAnsi="方正仿宋_GBK" w:eastAsia="方正仿宋_GBK" w:cs="方正仿宋_GBK"/>
          <w:color w:val="auto"/>
          <w:spacing w:val="6"/>
          <w:sz w:val="32"/>
          <w:szCs w:val="32"/>
          <w:highlight w:val="none"/>
          <w:lang w:val="en-US" w:eastAsia="zh-CN"/>
        </w:rPr>
        <w:t>25</w:t>
      </w:r>
      <w:r>
        <w:rPr>
          <w:rFonts w:hint="default" w:ascii="方正仿宋_GBK" w:hAnsi="方正仿宋_GBK" w:eastAsia="方正仿宋_GBK" w:cs="方正仿宋_GBK"/>
          <w:color w:val="auto"/>
          <w:spacing w:val="6"/>
          <w:sz w:val="32"/>
          <w:szCs w:val="32"/>
          <w:highlight w:val="none"/>
          <w:lang w:eastAsia="zh-CN"/>
        </w:rPr>
        <w:t>-</w:t>
      </w:r>
      <w:r>
        <w:rPr>
          <w:rFonts w:hint="eastAsia" w:ascii="方正仿宋_GBK" w:hAnsi="方正仿宋_GBK" w:eastAsia="方正仿宋_GBK" w:cs="方正仿宋_GBK"/>
          <w:color w:val="auto"/>
          <w:spacing w:val="6"/>
          <w:sz w:val="32"/>
          <w:szCs w:val="32"/>
          <w:highlight w:val="none"/>
          <w:lang w:val="en-US" w:eastAsia="zh-CN"/>
        </w:rPr>
        <w:t>21</w:t>
      </w:r>
      <w:r>
        <w:rPr>
          <w:rFonts w:hint="eastAsia" w:ascii="方正仿宋_GBK" w:hAnsi="方正仿宋_GBK" w:eastAsia="方正仿宋_GBK" w:cs="方正仿宋_GBK"/>
          <w:color w:val="auto"/>
          <w:spacing w:val="6"/>
          <w:sz w:val="32"/>
          <w:szCs w:val="32"/>
          <w:highlight w:val="none"/>
        </w:rPr>
        <w:t>）</w:t>
      </w:r>
    </w:p>
    <w:p w14:paraId="1353AAC8">
      <w:pPr>
        <w:pageBreakBefore w:val="0"/>
        <w:shd w:val="clear"/>
        <w:wordWrap/>
        <w:overflowPunct/>
        <w:topLinePunct w:val="0"/>
        <w:bidi w:val="0"/>
        <w:spacing w:line="342" w:lineRule="auto"/>
        <w:outlineLvl w:val="9"/>
        <w:rPr>
          <w:rFonts w:hint="eastAsia" w:ascii="仿宋" w:hAnsi="仿宋" w:eastAsia="仿宋" w:cs="仿宋"/>
          <w:color w:val="auto"/>
          <w:sz w:val="32"/>
          <w:szCs w:val="32"/>
          <w:highlight w:val="none"/>
        </w:rPr>
      </w:pPr>
    </w:p>
    <w:p w14:paraId="462B1610">
      <w:pPr>
        <w:pageBreakBefore w:val="0"/>
        <w:shd w:val="clear"/>
        <w:wordWrap/>
        <w:overflowPunct/>
        <w:topLinePunct w:val="0"/>
        <w:bidi w:val="0"/>
        <w:spacing w:line="342" w:lineRule="auto"/>
        <w:outlineLvl w:val="9"/>
        <w:rPr>
          <w:rFonts w:hint="eastAsia" w:ascii="仿宋" w:hAnsi="仿宋" w:eastAsia="仿宋" w:cs="仿宋"/>
          <w:color w:val="auto"/>
          <w:sz w:val="24"/>
          <w:szCs w:val="24"/>
          <w:highlight w:val="none"/>
        </w:rPr>
      </w:pPr>
    </w:p>
    <w:p w14:paraId="4C84C42A">
      <w:pPr>
        <w:pStyle w:val="2"/>
        <w:pageBreakBefore w:val="0"/>
        <w:shd w:val="clear"/>
        <w:wordWrap/>
        <w:overflowPunct/>
        <w:topLinePunct w:val="0"/>
        <w:bidi w:val="0"/>
        <w:spacing w:before="152" w:line="223" w:lineRule="auto"/>
        <w:ind w:left="3733"/>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pacing w:val="-1"/>
          <w:sz w:val="32"/>
          <w:szCs w:val="32"/>
          <w:highlight w:val="none"/>
        </w:rPr>
        <w:t>第三册</w:t>
      </w:r>
    </w:p>
    <w:p w14:paraId="2F96421A">
      <w:pPr>
        <w:pageBreakBefore w:val="0"/>
        <w:shd w:val="clear"/>
        <w:wordWrap/>
        <w:overflowPunct/>
        <w:topLinePunct w:val="0"/>
        <w:bidi w:val="0"/>
        <w:spacing w:line="223" w:lineRule="auto"/>
        <w:outlineLvl w:val="9"/>
        <w:rPr>
          <w:rFonts w:hint="eastAsia" w:ascii="方正仿宋_GBK" w:hAnsi="方正仿宋_GBK" w:eastAsia="方正仿宋_GBK" w:cs="方正仿宋_GBK"/>
          <w:color w:val="auto"/>
          <w:sz w:val="32"/>
          <w:szCs w:val="32"/>
          <w:highlight w:val="none"/>
        </w:rPr>
        <w:sectPr>
          <w:pgSz w:w="11906" w:h="16839"/>
          <w:pgMar w:top="1412" w:right="1785" w:bottom="1171" w:left="1785" w:header="0" w:footer="992" w:gutter="0"/>
          <w:pgNumType w:fmt="decimal"/>
          <w:cols w:space="720" w:num="1"/>
        </w:sectPr>
      </w:pPr>
    </w:p>
    <w:p w14:paraId="4027039A">
      <w:pPr>
        <w:pStyle w:val="2"/>
        <w:numPr>
          <w:ilvl w:val="0"/>
          <w:numId w:val="0"/>
        </w:numPr>
        <w:shd w:val="clear"/>
        <w:spacing w:before="191" w:line="219" w:lineRule="auto"/>
        <w:jc w:val="center"/>
        <w:outlineLvl w:val="0"/>
        <w:rPr>
          <w:rFonts w:hint="eastAsia" w:ascii="仿宋" w:hAnsi="仿宋" w:eastAsia="仿宋" w:cs="仿宋"/>
          <w:b/>
          <w:snapToGrid w:val="0"/>
          <w:color w:val="000000"/>
          <w:kern w:val="44"/>
          <w:sz w:val="32"/>
          <w:szCs w:val="32"/>
          <w:lang w:val="en-US" w:eastAsia="zh-CN" w:bidi="ar-SA"/>
        </w:rPr>
      </w:pPr>
      <w:bookmarkStart w:id="419" w:name="_Toc24612"/>
      <w:r>
        <w:rPr>
          <w:rFonts w:hint="eastAsia" w:ascii="仿宋" w:hAnsi="仿宋" w:eastAsia="仿宋" w:cs="仿宋"/>
          <w:b/>
          <w:snapToGrid w:val="0"/>
          <w:color w:val="000000"/>
          <w:kern w:val="44"/>
          <w:sz w:val="32"/>
          <w:szCs w:val="32"/>
          <w:lang w:val="en-US" w:eastAsia="zh-CN" w:bidi="ar-SA"/>
        </w:rPr>
        <w:t>第七章   合同</w:t>
      </w:r>
      <w:bookmarkEnd w:id="419"/>
    </w:p>
    <w:p w14:paraId="58FA27B1">
      <w:pPr>
        <w:pStyle w:val="2"/>
        <w:numPr>
          <w:ilvl w:val="0"/>
          <w:numId w:val="0"/>
        </w:numPr>
        <w:shd w:val="clear"/>
        <w:spacing w:before="191" w:line="219" w:lineRule="auto"/>
        <w:jc w:val="center"/>
        <w:outlineLvl w:val="0"/>
        <w:rPr>
          <w:rFonts w:hint="eastAsia" w:ascii="仿宋" w:hAnsi="仿宋" w:eastAsia="仿宋" w:cs="仿宋"/>
          <w:b/>
          <w:snapToGrid w:val="0"/>
          <w:color w:val="000000"/>
          <w:kern w:val="44"/>
          <w:sz w:val="24"/>
          <w:szCs w:val="24"/>
          <w:lang w:val="en-US" w:eastAsia="zh-CN" w:bidi="ar-SA"/>
        </w:rPr>
      </w:pPr>
      <w:r>
        <w:rPr>
          <w:rFonts w:hint="eastAsia" w:ascii="仿宋" w:hAnsi="仿宋" w:eastAsia="仿宋" w:cs="仿宋"/>
          <w:b/>
          <w:snapToGrid w:val="0"/>
          <w:color w:val="000000"/>
          <w:kern w:val="44"/>
          <w:sz w:val="24"/>
          <w:szCs w:val="24"/>
          <w:lang w:val="en-US" w:eastAsia="zh-CN" w:bidi="ar-SA"/>
        </w:rPr>
        <w:t>合同条款及格式</w:t>
      </w:r>
    </w:p>
    <w:p w14:paraId="48AC04F3">
      <w:pPr>
        <w:pStyle w:val="2"/>
        <w:numPr>
          <w:ilvl w:val="0"/>
          <w:numId w:val="0"/>
        </w:numPr>
        <w:shd w:val="clear"/>
        <w:spacing w:before="191" w:line="219" w:lineRule="auto"/>
        <w:jc w:val="center"/>
        <w:outlineLvl w:val="0"/>
        <w:rPr>
          <w:rFonts w:hint="eastAsia" w:ascii="仿宋" w:hAnsi="仿宋" w:eastAsia="仿宋" w:cs="仿宋"/>
          <w:b/>
          <w:snapToGrid w:val="0"/>
          <w:color w:val="000000"/>
          <w:kern w:val="44"/>
          <w:sz w:val="24"/>
          <w:szCs w:val="24"/>
          <w:lang w:val="en-US" w:eastAsia="zh-CN" w:bidi="ar-SA"/>
        </w:rPr>
      </w:pPr>
      <w:r>
        <w:rPr>
          <w:rFonts w:hint="eastAsia" w:ascii="仿宋" w:hAnsi="仿宋" w:eastAsia="仿宋" w:cs="仿宋"/>
          <w:b/>
          <w:snapToGrid w:val="0"/>
          <w:color w:val="000000"/>
          <w:kern w:val="44"/>
          <w:sz w:val="24"/>
          <w:szCs w:val="24"/>
          <w:lang w:val="en-US" w:eastAsia="zh-CN" w:bidi="ar-SA"/>
        </w:rPr>
        <w:t>第一部分 合同协议书</w:t>
      </w:r>
    </w:p>
    <w:p w14:paraId="457FF223">
      <w:pPr>
        <w:pStyle w:val="2"/>
        <w:keepNext w:val="0"/>
        <w:keepLines w:val="0"/>
        <w:pageBreakBefore w:val="0"/>
        <w:widowControl/>
        <w:kinsoku w:val="0"/>
        <w:wordWrap/>
        <w:overflowPunct/>
        <w:topLinePunct w:val="0"/>
        <w:autoSpaceDE w:val="0"/>
        <w:autoSpaceDN w:val="0"/>
        <w:bidi w:val="0"/>
        <w:adjustRightInd w:val="0"/>
        <w:snapToGrid w:val="0"/>
        <w:spacing w:before="55"/>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发包人（全称</w:t>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u w:val="single" w:color="auto"/>
        </w:rPr>
        <w:t xml:space="preserve">                                    </w:t>
      </w:r>
    </w:p>
    <w:p w14:paraId="66CA9074">
      <w:pPr>
        <w:pStyle w:val="2"/>
        <w:keepNext w:val="0"/>
        <w:keepLines w:val="0"/>
        <w:pageBreakBefore w:val="0"/>
        <w:widowControl/>
        <w:kinsoku w:val="0"/>
        <w:wordWrap/>
        <w:overflowPunct/>
        <w:topLinePunct w:val="0"/>
        <w:autoSpaceDE w:val="0"/>
        <w:autoSpaceDN w:val="0"/>
        <w:bidi w:val="0"/>
        <w:adjustRightInd w:val="0"/>
        <w:snapToGrid w:val="0"/>
        <w:spacing w:line="220"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承包人（全称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color="auto"/>
        </w:rPr>
        <w:t xml:space="preserve">                                    </w:t>
      </w:r>
    </w:p>
    <w:p w14:paraId="587D6AFC">
      <w:pPr>
        <w:pStyle w:val="2"/>
        <w:keepNext w:val="0"/>
        <w:keepLines w:val="0"/>
        <w:pageBreakBefore w:val="0"/>
        <w:widowControl/>
        <w:kinsoku w:val="0"/>
        <w:wordWrap/>
        <w:overflowPunct/>
        <w:topLinePunct w:val="0"/>
        <w:autoSpaceDE w:val="0"/>
        <w:autoSpaceDN w:val="0"/>
        <w:bidi w:val="0"/>
        <w:adjustRightInd w:val="0"/>
        <w:snapToGrid w:val="0"/>
        <w:spacing w:before="25" w:line="232" w:lineRule="auto"/>
        <w:ind w:left="21" w:right="13"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根据《中华人民共和国民法典》、《中华人民共和国建筑法》及有关法</w:t>
      </w:r>
      <w:r>
        <w:rPr>
          <w:rFonts w:hint="eastAsia" w:ascii="仿宋" w:hAnsi="仿宋" w:eastAsia="仿宋" w:cs="仿宋"/>
          <w:color w:val="auto"/>
          <w:spacing w:val="-1"/>
          <w:sz w:val="24"/>
          <w:szCs w:val="24"/>
          <w:highlight w:val="none"/>
        </w:rPr>
        <w:t>律规定，</w:t>
      </w:r>
      <w:r>
        <w:rPr>
          <w:rFonts w:hint="eastAsia" w:ascii="仿宋" w:hAnsi="仿宋" w:eastAsia="仿宋" w:cs="仿宋"/>
          <w:color w:val="auto"/>
          <w:sz w:val="24"/>
          <w:szCs w:val="24"/>
          <w:highlight w:val="none"/>
        </w:rPr>
        <w:t xml:space="preserve"> 遵循平等、</w:t>
      </w:r>
      <w:r>
        <w:rPr>
          <w:rFonts w:hint="eastAsia" w:ascii="仿宋" w:hAnsi="仿宋" w:eastAsia="仿宋" w:cs="仿宋"/>
          <w:color w:val="auto"/>
          <w:spacing w:val="-64"/>
          <w:sz w:val="24"/>
          <w:szCs w:val="24"/>
          <w:highlight w:val="none"/>
        </w:rPr>
        <w:t xml:space="preserve"> </w:t>
      </w:r>
      <w:r>
        <w:rPr>
          <w:rFonts w:hint="eastAsia" w:ascii="仿宋" w:hAnsi="仿宋" w:eastAsia="仿宋" w:cs="仿宋"/>
          <w:color w:val="auto"/>
          <w:sz w:val="24"/>
          <w:szCs w:val="24"/>
          <w:highlight w:val="none"/>
        </w:rPr>
        <w:t>自愿、公平和诚实信用的原则，双方就</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98"/>
          <w:sz w:val="24"/>
          <w:szCs w:val="24"/>
          <w:highlight w:val="none"/>
        </w:rPr>
        <w:t xml:space="preserve"> </w:t>
      </w:r>
      <w:r>
        <w:rPr>
          <w:rFonts w:hint="eastAsia" w:ascii="仿宋" w:hAnsi="仿宋" w:eastAsia="仿宋" w:cs="仿宋"/>
          <w:color w:val="auto"/>
          <w:spacing w:val="-1"/>
          <w:sz w:val="24"/>
          <w:szCs w:val="24"/>
          <w:highlight w:val="none"/>
        </w:rPr>
        <w:t>项目的工程总承包及</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有关事项协商一致，共同达成如下协议：</w:t>
      </w:r>
    </w:p>
    <w:p w14:paraId="10E1B986">
      <w:pPr>
        <w:pStyle w:val="2"/>
        <w:keepNext w:val="0"/>
        <w:keepLines w:val="0"/>
        <w:pageBreakBefore w:val="0"/>
        <w:widowControl/>
        <w:kinsoku w:val="0"/>
        <w:wordWrap/>
        <w:overflowPunct/>
        <w:topLinePunct w:val="0"/>
        <w:autoSpaceDE w:val="0"/>
        <w:autoSpaceDN w:val="0"/>
        <w:bidi w:val="0"/>
        <w:adjustRightInd w:val="0"/>
        <w:snapToGrid w:val="0"/>
        <w:spacing w:before="144" w:line="220"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一、工程概况</w:t>
      </w:r>
    </w:p>
    <w:p w14:paraId="55B848D7">
      <w:pPr>
        <w:pStyle w:val="2"/>
        <w:keepNext w:val="0"/>
        <w:keepLines w:val="0"/>
        <w:pageBreakBefore w:val="0"/>
        <w:widowControl/>
        <w:kinsoku w:val="0"/>
        <w:wordWrap/>
        <w:overflowPunct/>
        <w:topLinePunct w:val="0"/>
        <w:autoSpaceDE w:val="0"/>
        <w:autoSpaceDN w:val="0"/>
        <w:bidi w:val="0"/>
        <w:adjustRightInd w:val="0"/>
        <w:snapToGrid w:val="0"/>
        <w:spacing w:before="22"/>
        <w:ind w:left="63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 工程名称：</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3"/>
          <w:sz w:val="24"/>
          <w:szCs w:val="24"/>
          <w:highlight w:val="none"/>
        </w:rPr>
        <w:t>。</w:t>
      </w:r>
    </w:p>
    <w:p w14:paraId="69D84CB3">
      <w:pPr>
        <w:pStyle w:val="2"/>
        <w:keepNext w:val="0"/>
        <w:keepLines w:val="0"/>
        <w:pageBreakBefore w:val="0"/>
        <w:widowControl/>
        <w:kinsoku w:val="0"/>
        <w:wordWrap/>
        <w:overflowPunct/>
        <w:topLinePunct w:val="0"/>
        <w:autoSpaceDE w:val="0"/>
        <w:autoSpaceDN w:val="0"/>
        <w:bidi w:val="0"/>
        <w:adjustRightInd w:val="0"/>
        <w:snapToGrid w:val="0"/>
        <w:spacing w:before="1" w:line="220"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 工程地点：</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2"/>
          <w:sz w:val="24"/>
          <w:szCs w:val="24"/>
          <w:highlight w:val="none"/>
        </w:rPr>
        <w:t>。</w:t>
      </w:r>
    </w:p>
    <w:p w14:paraId="4954E5EB">
      <w:pPr>
        <w:pStyle w:val="2"/>
        <w:keepNext w:val="0"/>
        <w:keepLines w:val="0"/>
        <w:pageBreakBefore w:val="0"/>
        <w:widowControl/>
        <w:kinsoku w:val="0"/>
        <w:wordWrap/>
        <w:overflowPunct/>
        <w:topLinePunct w:val="0"/>
        <w:autoSpaceDE w:val="0"/>
        <w:autoSpaceDN w:val="0"/>
        <w:bidi w:val="0"/>
        <w:adjustRightInd w:val="0"/>
        <w:snapToGrid w:val="0"/>
        <w:spacing w:before="23" w:line="221"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工程审批、核准或备案文号：</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
          <w:sz w:val="24"/>
          <w:szCs w:val="24"/>
          <w:highlight w:val="none"/>
        </w:rPr>
        <w:t>。</w:t>
      </w:r>
    </w:p>
    <w:p w14:paraId="55E3C06A">
      <w:pPr>
        <w:pStyle w:val="2"/>
        <w:keepNext w:val="0"/>
        <w:keepLines w:val="0"/>
        <w:pageBreakBefore w:val="0"/>
        <w:widowControl/>
        <w:kinsoku w:val="0"/>
        <w:wordWrap/>
        <w:overflowPunct/>
        <w:topLinePunct w:val="0"/>
        <w:autoSpaceDE w:val="0"/>
        <w:autoSpaceDN w:val="0"/>
        <w:bidi w:val="0"/>
        <w:adjustRightInd w:val="0"/>
        <w:snapToGrid w:val="0"/>
        <w:spacing w:before="22" w:line="220"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4.</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3"/>
          <w:sz w:val="24"/>
          <w:szCs w:val="24"/>
          <w:highlight w:val="none"/>
        </w:rPr>
        <w:t>资金来源：</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3"/>
          <w:sz w:val="24"/>
          <w:szCs w:val="24"/>
          <w:highlight w:val="none"/>
        </w:rPr>
        <w:t>。</w:t>
      </w:r>
    </w:p>
    <w:p w14:paraId="745EB10A">
      <w:pPr>
        <w:pStyle w:val="2"/>
        <w:keepNext w:val="0"/>
        <w:keepLines w:val="0"/>
        <w:pageBreakBefore w:val="0"/>
        <w:widowControl/>
        <w:kinsoku w:val="0"/>
        <w:wordWrap/>
        <w:overflowPunct/>
        <w:topLinePunct w:val="0"/>
        <w:autoSpaceDE w:val="0"/>
        <w:autoSpaceDN w:val="0"/>
        <w:bidi w:val="0"/>
        <w:adjustRightInd w:val="0"/>
        <w:snapToGrid w:val="0"/>
        <w:spacing w:before="24" w:line="220"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工程内容及规模：</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
          <w:sz w:val="24"/>
          <w:szCs w:val="24"/>
          <w:highlight w:val="none"/>
        </w:rPr>
        <w:t>。</w:t>
      </w:r>
    </w:p>
    <w:p w14:paraId="2E26E642">
      <w:pPr>
        <w:pStyle w:val="2"/>
        <w:keepNext w:val="0"/>
        <w:keepLines w:val="0"/>
        <w:pageBreakBefore w:val="0"/>
        <w:widowControl/>
        <w:kinsoku w:val="0"/>
        <w:wordWrap/>
        <w:overflowPunct/>
        <w:topLinePunct w:val="0"/>
        <w:autoSpaceDE w:val="0"/>
        <w:autoSpaceDN w:val="0"/>
        <w:bidi w:val="0"/>
        <w:adjustRightInd w:val="0"/>
        <w:snapToGrid w:val="0"/>
        <w:spacing w:before="23" w:line="220"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工程承包范围：</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
          <w:sz w:val="24"/>
          <w:szCs w:val="24"/>
          <w:highlight w:val="none"/>
        </w:rPr>
        <w:t>。</w:t>
      </w:r>
    </w:p>
    <w:p w14:paraId="5FB0A646">
      <w:pPr>
        <w:pStyle w:val="2"/>
        <w:keepNext w:val="0"/>
        <w:keepLines w:val="0"/>
        <w:pageBreakBefore w:val="0"/>
        <w:widowControl/>
        <w:kinsoku w:val="0"/>
        <w:wordWrap/>
        <w:overflowPunct/>
        <w:topLinePunct w:val="0"/>
        <w:autoSpaceDE w:val="0"/>
        <w:autoSpaceDN w:val="0"/>
        <w:bidi w:val="0"/>
        <w:adjustRightInd w:val="0"/>
        <w:snapToGrid w:val="0"/>
        <w:spacing w:before="141" w:line="221"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二、合同工期</w:t>
      </w:r>
    </w:p>
    <w:p w14:paraId="720149A7">
      <w:pPr>
        <w:pStyle w:val="2"/>
        <w:keepNext w:val="0"/>
        <w:keepLines w:val="0"/>
        <w:pageBreakBefore w:val="0"/>
        <w:widowControl/>
        <w:kinsoku w:val="0"/>
        <w:wordWrap/>
        <w:overflowPunct/>
        <w:topLinePunct w:val="0"/>
        <w:autoSpaceDE w:val="0"/>
        <w:autoSpaceDN w:val="0"/>
        <w:bidi w:val="0"/>
        <w:adjustRightInd w:val="0"/>
        <w:snapToGrid w:val="0"/>
        <w:spacing w:before="22" w:line="220"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计划开始工作日期：</w:t>
      </w:r>
      <w:r>
        <w:rPr>
          <w:rFonts w:hint="eastAsia" w:ascii="仿宋" w:hAnsi="仿宋" w:eastAsia="仿宋" w:cs="仿宋"/>
          <w:color w:val="auto"/>
          <w:spacing w:val="-3"/>
          <w:sz w:val="24"/>
          <w:szCs w:val="24"/>
          <w:highlight w:val="none"/>
          <w:u w:val="single" w:color="auto"/>
        </w:rPr>
        <w:t xml:space="preserve">         </w:t>
      </w:r>
      <w:r>
        <w:rPr>
          <w:rFonts w:hint="eastAsia" w:ascii="仿宋" w:hAnsi="仿宋" w:eastAsia="仿宋" w:cs="仿宋"/>
          <w:color w:val="auto"/>
          <w:spacing w:val="-99"/>
          <w:sz w:val="24"/>
          <w:szCs w:val="24"/>
          <w:highlight w:val="none"/>
        </w:rPr>
        <w:t xml:space="preserve"> </w:t>
      </w:r>
      <w:r>
        <w:rPr>
          <w:rFonts w:hint="eastAsia" w:ascii="仿宋" w:hAnsi="仿宋" w:eastAsia="仿宋" w:cs="仿宋"/>
          <w:color w:val="auto"/>
          <w:spacing w:val="-3"/>
          <w:sz w:val="24"/>
          <w:szCs w:val="24"/>
          <w:highlight w:val="none"/>
        </w:rPr>
        <w:t>年</w:t>
      </w:r>
      <w:r>
        <w:rPr>
          <w:rFonts w:hint="eastAsia" w:ascii="仿宋" w:hAnsi="仿宋" w:eastAsia="仿宋" w:cs="仿宋"/>
          <w:color w:val="auto"/>
          <w:spacing w:val="-3"/>
          <w:sz w:val="24"/>
          <w:szCs w:val="24"/>
          <w:highlight w:val="none"/>
          <w:u w:val="single" w:color="auto"/>
        </w:rPr>
        <w:t xml:space="preserve">     </w:t>
      </w:r>
      <w:r>
        <w:rPr>
          <w:rFonts w:hint="eastAsia" w:ascii="仿宋" w:hAnsi="仿宋" w:eastAsia="仿宋" w:cs="仿宋"/>
          <w:color w:val="auto"/>
          <w:spacing w:val="-96"/>
          <w:sz w:val="24"/>
          <w:szCs w:val="24"/>
          <w:highlight w:val="none"/>
        </w:rPr>
        <w:t xml:space="preserve"> </w:t>
      </w:r>
      <w:r>
        <w:rPr>
          <w:rFonts w:hint="eastAsia" w:ascii="仿宋" w:hAnsi="仿宋" w:eastAsia="仿宋" w:cs="仿宋"/>
          <w:color w:val="auto"/>
          <w:spacing w:val="-3"/>
          <w:sz w:val="24"/>
          <w:szCs w:val="24"/>
          <w:highlight w:val="none"/>
        </w:rPr>
        <w:t>月</w:t>
      </w:r>
      <w:r>
        <w:rPr>
          <w:rFonts w:hint="eastAsia" w:ascii="仿宋" w:hAnsi="仿宋" w:eastAsia="仿宋" w:cs="仿宋"/>
          <w:color w:val="auto"/>
          <w:spacing w:val="27"/>
          <w:sz w:val="24"/>
          <w:szCs w:val="24"/>
          <w:highlight w:val="none"/>
          <w:u w:val="single" w:color="auto"/>
        </w:rPr>
        <w:t xml:space="preserve">    </w:t>
      </w:r>
      <w:r>
        <w:rPr>
          <w:rFonts w:hint="eastAsia" w:ascii="仿宋" w:hAnsi="仿宋" w:eastAsia="仿宋" w:cs="仿宋"/>
          <w:color w:val="auto"/>
          <w:spacing w:val="-62"/>
          <w:sz w:val="24"/>
          <w:szCs w:val="24"/>
          <w:highlight w:val="none"/>
        </w:rPr>
        <w:t xml:space="preserve"> </w:t>
      </w:r>
      <w:r>
        <w:rPr>
          <w:rFonts w:hint="eastAsia" w:ascii="仿宋" w:hAnsi="仿宋" w:eastAsia="仿宋" w:cs="仿宋"/>
          <w:color w:val="auto"/>
          <w:spacing w:val="-3"/>
          <w:sz w:val="24"/>
          <w:szCs w:val="24"/>
          <w:highlight w:val="none"/>
        </w:rPr>
        <w:t>日。</w:t>
      </w:r>
    </w:p>
    <w:p w14:paraId="71B07C13">
      <w:pPr>
        <w:pStyle w:val="2"/>
        <w:keepNext w:val="0"/>
        <w:keepLines w:val="0"/>
        <w:pageBreakBefore w:val="0"/>
        <w:widowControl/>
        <w:kinsoku w:val="0"/>
        <w:wordWrap/>
        <w:overflowPunct/>
        <w:topLinePunct w:val="0"/>
        <w:autoSpaceDE w:val="0"/>
        <w:autoSpaceDN w:val="0"/>
        <w:bidi w:val="0"/>
        <w:adjustRightInd w:val="0"/>
        <w:snapToGrid w:val="0"/>
        <w:spacing w:before="23"/>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计划开始现场施工日期：</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0"/>
          <w:sz w:val="24"/>
          <w:szCs w:val="24"/>
          <w:highlight w:val="none"/>
        </w:rPr>
        <w:t xml:space="preserve"> </w:t>
      </w:r>
      <w:r>
        <w:rPr>
          <w:rFonts w:hint="eastAsia" w:ascii="仿宋" w:hAnsi="仿宋" w:eastAsia="仿宋" w:cs="仿宋"/>
          <w:color w:val="auto"/>
          <w:spacing w:val="-3"/>
          <w:sz w:val="24"/>
          <w:szCs w:val="24"/>
          <w:highlight w:val="none"/>
        </w:rPr>
        <w:t>年</w:t>
      </w:r>
      <w:r>
        <w:rPr>
          <w:rFonts w:hint="eastAsia" w:ascii="仿宋" w:hAnsi="仿宋" w:eastAsia="仿宋" w:cs="仿宋"/>
          <w:color w:val="auto"/>
          <w:spacing w:val="-3"/>
          <w:sz w:val="24"/>
          <w:szCs w:val="24"/>
          <w:highlight w:val="none"/>
          <w:u w:val="single" w:color="auto"/>
        </w:rPr>
        <w:t xml:space="preserve">     </w:t>
      </w:r>
      <w:r>
        <w:rPr>
          <w:rFonts w:hint="eastAsia" w:ascii="仿宋" w:hAnsi="仿宋" w:eastAsia="仿宋" w:cs="仿宋"/>
          <w:color w:val="auto"/>
          <w:spacing w:val="-96"/>
          <w:sz w:val="24"/>
          <w:szCs w:val="24"/>
          <w:highlight w:val="none"/>
        </w:rPr>
        <w:t xml:space="preserve"> </w:t>
      </w:r>
      <w:r>
        <w:rPr>
          <w:rFonts w:hint="eastAsia" w:ascii="仿宋" w:hAnsi="仿宋" w:eastAsia="仿宋" w:cs="仿宋"/>
          <w:color w:val="auto"/>
          <w:spacing w:val="-3"/>
          <w:sz w:val="24"/>
          <w:szCs w:val="24"/>
          <w:highlight w:val="none"/>
        </w:rPr>
        <w:t>月</w:t>
      </w:r>
      <w:r>
        <w:rPr>
          <w:rFonts w:hint="eastAsia" w:ascii="仿宋" w:hAnsi="仿宋" w:eastAsia="仿宋" w:cs="仿宋"/>
          <w:color w:val="auto"/>
          <w:spacing w:val="-3"/>
          <w:sz w:val="24"/>
          <w:szCs w:val="24"/>
          <w:highlight w:val="none"/>
          <w:u w:val="single" w:color="auto"/>
        </w:rPr>
        <w:t xml:space="preserve">     </w:t>
      </w:r>
      <w:r>
        <w:rPr>
          <w:rFonts w:hint="eastAsia" w:ascii="仿宋" w:hAnsi="仿宋" w:eastAsia="仿宋" w:cs="仿宋"/>
          <w:color w:val="auto"/>
          <w:spacing w:val="-62"/>
          <w:sz w:val="24"/>
          <w:szCs w:val="24"/>
          <w:highlight w:val="none"/>
        </w:rPr>
        <w:t xml:space="preserve"> </w:t>
      </w:r>
      <w:r>
        <w:rPr>
          <w:rFonts w:hint="eastAsia" w:ascii="仿宋" w:hAnsi="仿宋" w:eastAsia="仿宋" w:cs="仿宋"/>
          <w:color w:val="auto"/>
          <w:spacing w:val="-3"/>
          <w:sz w:val="24"/>
          <w:szCs w:val="24"/>
          <w:highlight w:val="none"/>
        </w:rPr>
        <w:t>日。</w:t>
      </w:r>
    </w:p>
    <w:p w14:paraId="135D3BBC">
      <w:pPr>
        <w:pStyle w:val="2"/>
        <w:keepNext w:val="0"/>
        <w:keepLines w:val="0"/>
        <w:pageBreakBefore w:val="0"/>
        <w:widowControl/>
        <w:kinsoku w:val="0"/>
        <w:wordWrap/>
        <w:overflowPunct/>
        <w:topLinePunct w:val="0"/>
        <w:autoSpaceDE w:val="0"/>
        <w:autoSpaceDN w:val="0"/>
        <w:bidi w:val="0"/>
        <w:adjustRightInd w:val="0"/>
        <w:snapToGrid w:val="0"/>
        <w:spacing w:line="220"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计划竣工日期：</w:t>
      </w:r>
      <w:r>
        <w:rPr>
          <w:rFonts w:hint="eastAsia" w:ascii="仿宋" w:hAnsi="仿宋" w:eastAsia="仿宋" w:cs="仿宋"/>
          <w:color w:val="auto"/>
          <w:spacing w:val="-4"/>
          <w:sz w:val="24"/>
          <w:szCs w:val="24"/>
          <w:highlight w:val="none"/>
          <w:u w:val="single" w:color="auto"/>
        </w:rPr>
        <w:t xml:space="preserve">         </w:t>
      </w:r>
      <w:r>
        <w:rPr>
          <w:rFonts w:hint="eastAsia" w:ascii="仿宋" w:hAnsi="仿宋" w:eastAsia="仿宋" w:cs="仿宋"/>
          <w:color w:val="auto"/>
          <w:spacing w:val="-98"/>
          <w:sz w:val="24"/>
          <w:szCs w:val="24"/>
          <w:highlight w:val="none"/>
        </w:rPr>
        <w:t xml:space="preserve"> </w:t>
      </w:r>
      <w:r>
        <w:rPr>
          <w:rFonts w:hint="eastAsia" w:ascii="仿宋" w:hAnsi="仿宋" w:eastAsia="仿宋" w:cs="仿宋"/>
          <w:color w:val="auto"/>
          <w:spacing w:val="-4"/>
          <w:sz w:val="24"/>
          <w:szCs w:val="24"/>
          <w:highlight w:val="none"/>
        </w:rPr>
        <w:t>年</w:t>
      </w:r>
      <w:r>
        <w:rPr>
          <w:rFonts w:hint="eastAsia" w:ascii="仿宋" w:hAnsi="仿宋" w:eastAsia="仿宋" w:cs="仿宋"/>
          <w:color w:val="auto"/>
          <w:spacing w:val="27"/>
          <w:sz w:val="24"/>
          <w:szCs w:val="24"/>
          <w:highlight w:val="none"/>
          <w:u w:val="single" w:color="auto"/>
        </w:rPr>
        <w:t xml:space="preserve">    </w:t>
      </w:r>
      <w:r>
        <w:rPr>
          <w:rFonts w:hint="eastAsia" w:ascii="仿宋" w:hAnsi="仿宋" w:eastAsia="仿宋" w:cs="仿宋"/>
          <w:color w:val="auto"/>
          <w:spacing w:val="-95"/>
          <w:sz w:val="24"/>
          <w:szCs w:val="24"/>
          <w:highlight w:val="none"/>
        </w:rPr>
        <w:t xml:space="preserve"> </w:t>
      </w:r>
      <w:r>
        <w:rPr>
          <w:rFonts w:hint="eastAsia" w:ascii="仿宋" w:hAnsi="仿宋" w:eastAsia="仿宋" w:cs="仿宋"/>
          <w:color w:val="auto"/>
          <w:spacing w:val="-4"/>
          <w:sz w:val="24"/>
          <w:szCs w:val="24"/>
          <w:highlight w:val="none"/>
        </w:rPr>
        <w:t>月</w:t>
      </w:r>
      <w:r>
        <w:rPr>
          <w:rFonts w:hint="eastAsia" w:ascii="仿宋" w:hAnsi="仿宋" w:eastAsia="仿宋" w:cs="仿宋"/>
          <w:color w:val="auto"/>
          <w:spacing w:val="27"/>
          <w:sz w:val="24"/>
          <w:szCs w:val="24"/>
          <w:highlight w:val="none"/>
          <w:u w:val="single" w:color="auto"/>
        </w:rPr>
        <w:t xml:space="preserve">    </w:t>
      </w:r>
      <w:r>
        <w:rPr>
          <w:rFonts w:hint="eastAsia" w:ascii="仿宋" w:hAnsi="仿宋" w:eastAsia="仿宋" w:cs="仿宋"/>
          <w:color w:val="auto"/>
          <w:spacing w:val="-62"/>
          <w:sz w:val="24"/>
          <w:szCs w:val="24"/>
          <w:highlight w:val="none"/>
        </w:rPr>
        <w:t xml:space="preserve"> </w:t>
      </w:r>
      <w:r>
        <w:rPr>
          <w:rFonts w:hint="eastAsia" w:ascii="仿宋" w:hAnsi="仿宋" w:eastAsia="仿宋" w:cs="仿宋"/>
          <w:color w:val="auto"/>
          <w:spacing w:val="-4"/>
          <w:sz w:val="24"/>
          <w:szCs w:val="24"/>
          <w:highlight w:val="none"/>
        </w:rPr>
        <w:t>日。</w:t>
      </w:r>
    </w:p>
    <w:p w14:paraId="31CAD389">
      <w:pPr>
        <w:pStyle w:val="2"/>
        <w:keepNext w:val="0"/>
        <w:keepLines w:val="0"/>
        <w:pageBreakBefore w:val="0"/>
        <w:widowControl/>
        <w:kinsoku w:val="0"/>
        <w:wordWrap/>
        <w:overflowPunct/>
        <w:topLinePunct w:val="0"/>
        <w:autoSpaceDE w:val="0"/>
        <w:autoSpaceDN w:val="0"/>
        <w:bidi w:val="0"/>
        <w:adjustRightInd w:val="0"/>
        <w:snapToGrid w:val="0"/>
        <w:spacing w:before="23" w:line="230" w:lineRule="auto"/>
        <w:ind w:left="27" w:right="13" w:firstLine="5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工期总日历天数：</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96"/>
          <w:sz w:val="24"/>
          <w:szCs w:val="24"/>
          <w:highlight w:val="none"/>
        </w:rPr>
        <w:t xml:space="preserve"> </w:t>
      </w:r>
      <w:r>
        <w:rPr>
          <w:rFonts w:hint="eastAsia" w:ascii="仿宋" w:hAnsi="仿宋" w:eastAsia="仿宋" w:cs="仿宋"/>
          <w:color w:val="auto"/>
          <w:sz w:val="24"/>
          <w:szCs w:val="24"/>
          <w:highlight w:val="none"/>
        </w:rPr>
        <w:t>天，工</w:t>
      </w:r>
      <w:r>
        <w:rPr>
          <w:rFonts w:hint="eastAsia" w:ascii="仿宋" w:hAnsi="仿宋" w:eastAsia="仿宋" w:cs="仿宋"/>
          <w:color w:val="auto"/>
          <w:spacing w:val="-1"/>
          <w:sz w:val="24"/>
          <w:szCs w:val="24"/>
          <w:highlight w:val="none"/>
        </w:rPr>
        <w:t>期总日历天数与根据前述计划日期计算的工期</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天数不一致的，以工期总日历天数为准。</w:t>
      </w:r>
    </w:p>
    <w:p w14:paraId="5AD20CB9">
      <w:pPr>
        <w:pStyle w:val="2"/>
        <w:keepNext w:val="0"/>
        <w:keepLines w:val="0"/>
        <w:pageBreakBefore w:val="0"/>
        <w:widowControl/>
        <w:kinsoku w:val="0"/>
        <w:wordWrap/>
        <w:overflowPunct/>
        <w:topLinePunct w:val="0"/>
        <w:autoSpaceDE w:val="0"/>
        <w:autoSpaceDN w:val="0"/>
        <w:bidi w:val="0"/>
        <w:adjustRightInd w:val="0"/>
        <w:snapToGrid w:val="0"/>
        <w:spacing w:before="144" w:line="221" w:lineRule="auto"/>
        <w:ind w:left="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三、质量标准</w:t>
      </w:r>
    </w:p>
    <w:p w14:paraId="32D7AAC8">
      <w:pPr>
        <w:pStyle w:val="2"/>
        <w:keepNext w:val="0"/>
        <w:keepLines w:val="0"/>
        <w:pageBreakBefore w:val="0"/>
        <w:widowControl/>
        <w:kinsoku w:val="0"/>
        <w:wordWrap/>
        <w:overflowPunct/>
        <w:topLinePunct w:val="0"/>
        <w:autoSpaceDE w:val="0"/>
        <w:autoSpaceDN w:val="0"/>
        <w:bidi w:val="0"/>
        <w:adjustRightInd w:val="0"/>
        <w:snapToGrid w:val="0"/>
        <w:spacing w:before="19" w:line="221"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工程质量标准：</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
          <w:sz w:val="24"/>
          <w:szCs w:val="24"/>
          <w:highlight w:val="none"/>
        </w:rPr>
        <w:t>。</w:t>
      </w:r>
    </w:p>
    <w:p w14:paraId="1319D8B9">
      <w:pPr>
        <w:pStyle w:val="2"/>
        <w:keepNext w:val="0"/>
        <w:keepLines w:val="0"/>
        <w:pageBreakBefore w:val="0"/>
        <w:widowControl/>
        <w:kinsoku w:val="0"/>
        <w:wordWrap/>
        <w:overflowPunct/>
        <w:topLinePunct w:val="0"/>
        <w:autoSpaceDE w:val="0"/>
        <w:autoSpaceDN w:val="0"/>
        <w:bidi w:val="0"/>
        <w:adjustRightInd w:val="0"/>
        <w:snapToGrid w:val="0"/>
        <w:spacing w:before="145" w:line="219" w:lineRule="auto"/>
        <w:ind w:left="4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四、签约合同价与合同价格形式</w:t>
      </w:r>
    </w:p>
    <w:p w14:paraId="4B5932F9">
      <w:pPr>
        <w:pStyle w:val="2"/>
        <w:keepNext w:val="0"/>
        <w:keepLines w:val="0"/>
        <w:pageBreakBefore w:val="0"/>
        <w:widowControl/>
        <w:kinsoku w:val="0"/>
        <w:wordWrap/>
        <w:overflowPunct/>
        <w:topLinePunct w:val="0"/>
        <w:autoSpaceDE w:val="0"/>
        <w:autoSpaceDN w:val="0"/>
        <w:bidi w:val="0"/>
        <w:adjustRightInd w:val="0"/>
        <w:snapToGrid w:val="0"/>
        <w:spacing w:before="22" w:line="219" w:lineRule="auto"/>
        <w:ind w:left="63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 签约合同价（含税）为：</w:t>
      </w:r>
    </w:p>
    <w:p w14:paraId="34B973BB">
      <w:pPr>
        <w:pStyle w:val="2"/>
        <w:keepNext w:val="0"/>
        <w:keepLines w:val="0"/>
        <w:pageBreakBefore w:val="0"/>
        <w:widowControl/>
        <w:kinsoku w:val="0"/>
        <w:wordWrap/>
        <w:overflowPunct/>
        <w:topLinePunct w:val="0"/>
        <w:autoSpaceDE w:val="0"/>
        <w:autoSpaceDN w:val="0"/>
        <w:bidi w:val="0"/>
        <w:adjustRightInd w:val="0"/>
        <w:snapToGrid w:val="0"/>
        <w:spacing w:before="25"/>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 xml:space="preserve">人民币（大写)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1"/>
          <w:sz w:val="24"/>
          <w:szCs w:val="24"/>
          <w:highlight w:val="none"/>
        </w:rPr>
        <w:t>(¥</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99"/>
          <w:sz w:val="24"/>
          <w:szCs w:val="24"/>
          <w:highlight w:val="none"/>
        </w:rPr>
        <w:t xml:space="preserve"> </w:t>
      </w:r>
      <w:r>
        <w:rPr>
          <w:rFonts w:hint="eastAsia" w:ascii="仿宋" w:hAnsi="仿宋" w:eastAsia="仿宋" w:cs="仿宋"/>
          <w:color w:val="auto"/>
          <w:spacing w:val="-1"/>
          <w:sz w:val="24"/>
          <w:szCs w:val="24"/>
          <w:highlight w:val="none"/>
        </w:rPr>
        <w:t>元）。</w:t>
      </w:r>
    </w:p>
    <w:p w14:paraId="707821B0">
      <w:pPr>
        <w:pStyle w:val="2"/>
        <w:keepNext w:val="0"/>
        <w:keepLines w:val="0"/>
        <w:pageBreakBefore w:val="0"/>
        <w:widowControl/>
        <w:kinsoku w:val="0"/>
        <w:wordWrap/>
        <w:overflowPunct/>
        <w:topLinePunct w:val="0"/>
        <w:autoSpaceDE w:val="0"/>
        <w:autoSpaceDN w:val="0"/>
        <w:bidi w:val="0"/>
        <w:adjustRightInd w:val="0"/>
        <w:snapToGrid w:val="0"/>
        <w:spacing w:before="1" w:line="21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具体构成详见价格清单。其中：</w:t>
      </w:r>
    </w:p>
    <w:p w14:paraId="6353408B">
      <w:pPr>
        <w:pStyle w:val="2"/>
        <w:keepNext w:val="0"/>
        <w:keepLines w:val="0"/>
        <w:pageBreakBefore w:val="0"/>
        <w:widowControl/>
        <w:kinsoku w:val="0"/>
        <w:wordWrap/>
        <w:overflowPunct/>
        <w:topLinePunct w:val="0"/>
        <w:autoSpaceDE w:val="0"/>
        <w:autoSpaceDN w:val="0"/>
        <w:bidi w:val="0"/>
        <w:adjustRightInd w:val="0"/>
        <w:snapToGrid w:val="0"/>
        <w:spacing w:before="25" w:line="220" w:lineRule="auto"/>
        <w:ind w:left="62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 设计费（含税</w:t>
      </w:r>
      <w:r>
        <w:rPr>
          <w:rFonts w:hint="eastAsia" w:ascii="仿宋" w:hAnsi="仿宋" w:eastAsia="仿宋" w:cs="仿宋"/>
          <w:color w:val="auto"/>
          <w:spacing w:val="2"/>
          <w:sz w:val="24"/>
          <w:szCs w:val="24"/>
          <w:highlight w:val="none"/>
        </w:rPr>
        <w:t>）：</w:t>
      </w:r>
    </w:p>
    <w:p w14:paraId="467B785F">
      <w:pPr>
        <w:pStyle w:val="2"/>
        <w:keepNext w:val="0"/>
        <w:keepLines w:val="0"/>
        <w:pageBreakBefore w:val="0"/>
        <w:widowControl/>
        <w:kinsoku w:val="0"/>
        <w:wordWrap/>
        <w:overflowPunct/>
        <w:topLinePunct w:val="0"/>
        <w:autoSpaceDE w:val="0"/>
        <w:autoSpaceDN w:val="0"/>
        <w:bidi w:val="0"/>
        <w:adjustRightInd w:val="0"/>
        <w:snapToGrid w:val="0"/>
        <w:spacing w:before="22" w:line="230" w:lineRule="auto"/>
        <w:ind w:left="46" w:right="13" w:firstLine="57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 xml:space="preserve">人民币（大写) </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99"/>
          <w:sz w:val="24"/>
          <w:szCs w:val="24"/>
          <w:highlight w:val="none"/>
        </w:rPr>
        <w:t xml:space="preserve"> </w:t>
      </w:r>
      <w:r>
        <w:rPr>
          <w:rFonts w:hint="eastAsia" w:ascii="仿宋" w:hAnsi="仿宋" w:eastAsia="仿宋" w:cs="仿宋"/>
          <w:color w:val="auto"/>
          <w:spacing w:val="-2"/>
          <w:sz w:val="24"/>
          <w:szCs w:val="24"/>
          <w:highlight w:val="none"/>
        </w:rPr>
        <w:t>元</w:t>
      </w:r>
      <w:r>
        <w:rPr>
          <w:rFonts w:hint="eastAsia" w:ascii="仿宋" w:hAnsi="仿宋" w:eastAsia="仿宋" w:cs="仿宋"/>
          <w:color w:val="auto"/>
          <w:spacing w:val="-14"/>
          <w:sz w:val="24"/>
          <w:szCs w:val="24"/>
          <w:highlight w:val="none"/>
        </w:rPr>
        <w:t>）；</w:t>
      </w:r>
      <w:r>
        <w:rPr>
          <w:rFonts w:hint="eastAsia" w:ascii="仿宋" w:hAnsi="仿宋" w:eastAsia="仿宋" w:cs="仿宋"/>
          <w:color w:val="auto"/>
          <w:spacing w:val="-2"/>
          <w:sz w:val="24"/>
          <w:szCs w:val="24"/>
          <w:highlight w:val="none"/>
        </w:rPr>
        <w:t>适用税率：</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6"/>
          <w:sz w:val="24"/>
          <w:szCs w:val="24"/>
          <w:highlight w:val="none"/>
        </w:rPr>
        <w:t xml:space="preserve"> </w:t>
      </w:r>
      <w:r>
        <w:rPr>
          <w:rFonts w:hint="eastAsia" w:ascii="仿宋" w:hAnsi="仿宋" w:eastAsia="仿宋" w:cs="仿宋"/>
          <w:color w:val="auto"/>
          <w:spacing w:val="-2"/>
          <w:sz w:val="24"/>
          <w:szCs w:val="24"/>
          <w:highlight w:val="none"/>
        </w:rPr>
        <w:t>%，税</w:t>
      </w:r>
      <w:r>
        <w:rPr>
          <w:rFonts w:hint="eastAsia" w:ascii="仿宋" w:hAnsi="仿宋" w:eastAsia="仿宋" w:cs="仿宋"/>
          <w:color w:val="auto"/>
          <w:spacing w:val="-3"/>
          <w:sz w:val="24"/>
          <w:szCs w:val="24"/>
          <w:highlight w:val="none"/>
        </w:rPr>
        <w:t>金为人民</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币（大写)</w:t>
      </w:r>
      <w:r>
        <w:rPr>
          <w:rFonts w:hint="eastAsia" w:ascii="仿宋" w:hAnsi="仿宋" w:eastAsia="仿宋" w:cs="仿宋"/>
          <w:color w:val="auto"/>
          <w:spacing w:val="11"/>
          <w:sz w:val="24"/>
          <w:szCs w:val="24"/>
          <w:highlight w:val="none"/>
          <w:u w:val="single" w:color="auto"/>
        </w:rPr>
        <w:t xml:space="preserve">          </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8"/>
          <w:sz w:val="24"/>
          <w:szCs w:val="24"/>
          <w:highlight w:val="none"/>
        </w:rPr>
        <w:t>(¥</w:t>
      </w:r>
      <w:r>
        <w:rPr>
          <w:rFonts w:hint="eastAsia" w:ascii="仿宋" w:hAnsi="仿宋" w:eastAsia="仿宋" w:cs="仿宋"/>
          <w:color w:val="auto"/>
          <w:spacing w:val="12"/>
          <w:sz w:val="24"/>
          <w:szCs w:val="24"/>
          <w:highlight w:val="none"/>
          <w:u w:val="single" w:color="auto"/>
        </w:rPr>
        <w:t xml:space="preserve">         </w:t>
      </w:r>
      <w:r>
        <w:rPr>
          <w:rFonts w:hint="eastAsia" w:ascii="仿宋" w:hAnsi="仿宋" w:eastAsia="仿宋" w:cs="仿宋"/>
          <w:color w:val="auto"/>
          <w:spacing w:val="-98"/>
          <w:sz w:val="24"/>
          <w:szCs w:val="24"/>
          <w:highlight w:val="none"/>
        </w:rPr>
        <w:t xml:space="preserve"> </w:t>
      </w:r>
      <w:r>
        <w:rPr>
          <w:rFonts w:hint="eastAsia" w:ascii="仿宋" w:hAnsi="仿宋" w:eastAsia="仿宋" w:cs="仿宋"/>
          <w:color w:val="auto"/>
          <w:spacing w:val="-8"/>
          <w:sz w:val="24"/>
          <w:szCs w:val="24"/>
          <w:highlight w:val="none"/>
        </w:rPr>
        <w:t>元</w:t>
      </w:r>
      <w:r>
        <w:rPr>
          <w:rFonts w:hint="eastAsia" w:ascii="仿宋" w:hAnsi="仿宋" w:eastAsia="仿宋" w:cs="仿宋"/>
          <w:color w:val="auto"/>
          <w:spacing w:val="2"/>
          <w:sz w:val="24"/>
          <w:szCs w:val="24"/>
          <w:highlight w:val="none"/>
        </w:rPr>
        <w:t>）；</w:t>
      </w:r>
    </w:p>
    <w:p w14:paraId="4F19A49B">
      <w:pPr>
        <w:pStyle w:val="2"/>
        <w:keepNext w:val="0"/>
        <w:keepLines w:val="0"/>
        <w:pageBreakBefore w:val="0"/>
        <w:widowControl/>
        <w:kinsoku w:val="0"/>
        <w:wordWrap/>
        <w:overflowPunct/>
        <w:topLinePunct w:val="0"/>
        <w:autoSpaceDE w:val="0"/>
        <w:autoSpaceDN w:val="0"/>
        <w:bidi w:val="0"/>
        <w:adjustRightInd w:val="0"/>
        <w:snapToGrid w:val="0"/>
        <w:spacing w:before="24" w:line="220" w:lineRule="auto"/>
        <w:ind w:left="62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 设备购置费（含税</w:t>
      </w:r>
      <w:r>
        <w:rPr>
          <w:rFonts w:hint="eastAsia" w:ascii="仿宋" w:hAnsi="仿宋" w:eastAsia="仿宋" w:cs="仿宋"/>
          <w:color w:val="auto"/>
          <w:spacing w:val="3"/>
          <w:sz w:val="24"/>
          <w:szCs w:val="24"/>
          <w:highlight w:val="none"/>
        </w:rPr>
        <w:t>）：</w:t>
      </w:r>
    </w:p>
    <w:p w14:paraId="5A033CA9">
      <w:pPr>
        <w:pStyle w:val="2"/>
        <w:keepNext w:val="0"/>
        <w:keepLines w:val="0"/>
        <w:pageBreakBefore w:val="0"/>
        <w:widowControl/>
        <w:kinsoku w:val="0"/>
        <w:wordWrap/>
        <w:overflowPunct/>
        <w:topLinePunct w:val="0"/>
        <w:autoSpaceDE w:val="0"/>
        <w:autoSpaceDN w:val="0"/>
        <w:bidi w:val="0"/>
        <w:adjustRightInd w:val="0"/>
        <w:snapToGrid w:val="0"/>
        <w:spacing w:before="22" w:line="231" w:lineRule="auto"/>
        <w:ind w:left="29" w:right="13" w:firstLine="59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 xml:space="preserve">人民币（大写) </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99"/>
          <w:sz w:val="24"/>
          <w:szCs w:val="24"/>
          <w:highlight w:val="none"/>
        </w:rPr>
        <w:t xml:space="preserve"> </w:t>
      </w:r>
      <w:r>
        <w:rPr>
          <w:rFonts w:hint="eastAsia" w:ascii="仿宋" w:hAnsi="仿宋" w:eastAsia="仿宋" w:cs="仿宋"/>
          <w:color w:val="auto"/>
          <w:spacing w:val="-2"/>
          <w:sz w:val="24"/>
          <w:szCs w:val="24"/>
          <w:highlight w:val="none"/>
        </w:rPr>
        <w:t>元</w:t>
      </w:r>
      <w:r>
        <w:rPr>
          <w:rFonts w:hint="eastAsia" w:ascii="仿宋" w:hAnsi="仿宋" w:eastAsia="仿宋" w:cs="仿宋"/>
          <w:color w:val="auto"/>
          <w:spacing w:val="-13"/>
          <w:sz w:val="24"/>
          <w:szCs w:val="24"/>
          <w:highlight w:val="none"/>
        </w:rPr>
        <w:t>）；</w:t>
      </w:r>
      <w:r>
        <w:rPr>
          <w:rFonts w:hint="eastAsia" w:ascii="仿宋" w:hAnsi="仿宋" w:eastAsia="仿宋" w:cs="仿宋"/>
          <w:color w:val="auto"/>
          <w:spacing w:val="-2"/>
          <w:sz w:val="24"/>
          <w:szCs w:val="24"/>
          <w:highlight w:val="none"/>
        </w:rPr>
        <w:t>适用税率：</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7"/>
          <w:sz w:val="24"/>
          <w:szCs w:val="24"/>
          <w:highlight w:val="none"/>
        </w:rPr>
        <w:t xml:space="preserve"> </w:t>
      </w:r>
      <w:r>
        <w:rPr>
          <w:rFonts w:hint="eastAsia" w:ascii="仿宋" w:hAnsi="仿宋" w:eastAsia="仿宋" w:cs="仿宋"/>
          <w:color w:val="auto"/>
          <w:spacing w:val="-2"/>
          <w:sz w:val="24"/>
          <w:szCs w:val="24"/>
          <w:highlight w:val="none"/>
        </w:rPr>
        <w:t>%</w:t>
      </w:r>
      <w:r>
        <w:rPr>
          <w:rFonts w:hint="eastAsia" w:ascii="仿宋" w:hAnsi="仿宋" w:eastAsia="仿宋" w:cs="仿宋"/>
          <w:color w:val="auto"/>
          <w:spacing w:val="-3"/>
          <w:sz w:val="24"/>
          <w:szCs w:val="24"/>
          <w:highlight w:val="none"/>
        </w:rPr>
        <w:t>，税金为人民币</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（大写)</w:t>
      </w:r>
      <w:r>
        <w:rPr>
          <w:rFonts w:hint="eastAsia" w:ascii="仿宋" w:hAnsi="仿宋" w:eastAsia="仿宋" w:cs="仿宋"/>
          <w:color w:val="auto"/>
          <w:spacing w:val="12"/>
          <w:sz w:val="24"/>
          <w:szCs w:val="24"/>
          <w:highlight w:val="none"/>
          <w:u w:val="single" w:color="auto"/>
        </w:rPr>
        <w:t xml:space="preserve">         </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15"/>
          <w:sz w:val="24"/>
          <w:szCs w:val="24"/>
          <w:highlight w:val="none"/>
          <w:u w:val="single" w:color="auto"/>
        </w:rPr>
        <w:t xml:space="preserve">       </w:t>
      </w:r>
      <w:r>
        <w:rPr>
          <w:rFonts w:hint="eastAsia" w:ascii="仿宋" w:hAnsi="仿宋" w:eastAsia="仿宋" w:cs="仿宋"/>
          <w:color w:val="auto"/>
          <w:spacing w:val="-96"/>
          <w:sz w:val="24"/>
          <w:szCs w:val="24"/>
          <w:highlight w:val="none"/>
        </w:rPr>
        <w:t xml:space="preserve"> </w:t>
      </w:r>
      <w:r>
        <w:rPr>
          <w:rFonts w:hint="eastAsia" w:ascii="仿宋" w:hAnsi="仿宋" w:eastAsia="仿宋" w:cs="仿宋"/>
          <w:color w:val="auto"/>
          <w:spacing w:val="-6"/>
          <w:sz w:val="24"/>
          <w:szCs w:val="24"/>
          <w:highlight w:val="none"/>
        </w:rPr>
        <w:t>元</w:t>
      </w:r>
      <w:r>
        <w:rPr>
          <w:rFonts w:hint="eastAsia" w:ascii="仿宋" w:hAnsi="仿宋" w:eastAsia="仿宋" w:cs="仿宋"/>
          <w:color w:val="auto"/>
          <w:spacing w:val="1"/>
          <w:sz w:val="24"/>
          <w:szCs w:val="24"/>
          <w:highlight w:val="none"/>
        </w:rPr>
        <w:t>）；</w:t>
      </w:r>
    </w:p>
    <w:p w14:paraId="6F2AABC5">
      <w:pPr>
        <w:pStyle w:val="2"/>
        <w:keepNext w:val="0"/>
        <w:keepLines w:val="0"/>
        <w:pageBreakBefore w:val="0"/>
        <w:widowControl/>
        <w:kinsoku w:val="0"/>
        <w:wordWrap/>
        <w:overflowPunct/>
        <w:topLinePunct w:val="0"/>
        <w:autoSpaceDE w:val="0"/>
        <w:autoSpaceDN w:val="0"/>
        <w:bidi w:val="0"/>
        <w:adjustRightInd w:val="0"/>
        <w:snapToGrid w:val="0"/>
        <w:spacing w:before="20" w:line="220" w:lineRule="auto"/>
        <w:ind w:left="62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 建筑安装工程费（含税</w:t>
      </w:r>
      <w:r>
        <w:rPr>
          <w:rFonts w:hint="eastAsia" w:ascii="仿宋" w:hAnsi="仿宋" w:eastAsia="仿宋" w:cs="仿宋"/>
          <w:color w:val="auto"/>
          <w:spacing w:val="6"/>
          <w:sz w:val="24"/>
          <w:szCs w:val="24"/>
          <w:highlight w:val="none"/>
        </w:rPr>
        <w:t>）：</w:t>
      </w:r>
    </w:p>
    <w:p w14:paraId="0CA9A53A">
      <w:pPr>
        <w:pStyle w:val="2"/>
        <w:keepNext w:val="0"/>
        <w:keepLines w:val="0"/>
        <w:pageBreakBefore w:val="0"/>
        <w:widowControl/>
        <w:kinsoku w:val="0"/>
        <w:wordWrap/>
        <w:overflowPunct/>
        <w:topLinePunct w:val="0"/>
        <w:autoSpaceDE w:val="0"/>
        <w:autoSpaceDN w:val="0"/>
        <w:bidi w:val="0"/>
        <w:adjustRightInd w:val="0"/>
        <w:snapToGrid w:val="0"/>
        <w:spacing w:before="24" w:line="230" w:lineRule="auto"/>
        <w:ind w:left="29" w:right="13" w:firstLine="59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人民币（大写)</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99"/>
          <w:sz w:val="24"/>
          <w:szCs w:val="24"/>
          <w:highlight w:val="none"/>
        </w:rPr>
        <w:t xml:space="preserve"> </w:t>
      </w:r>
      <w:r>
        <w:rPr>
          <w:rFonts w:hint="eastAsia" w:ascii="仿宋" w:hAnsi="仿宋" w:eastAsia="仿宋" w:cs="仿宋"/>
          <w:color w:val="auto"/>
          <w:spacing w:val="-2"/>
          <w:sz w:val="24"/>
          <w:szCs w:val="24"/>
          <w:highlight w:val="none"/>
        </w:rPr>
        <w:t>元</w:t>
      </w:r>
      <w:r>
        <w:rPr>
          <w:rFonts w:hint="eastAsia" w:ascii="仿宋" w:hAnsi="仿宋" w:eastAsia="仿宋" w:cs="仿宋"/>
          <w:color w:val="auto"/>
          <w:spacing w:val="-13"/>
          <w:sz w:val="24"/>
          <w:szCs w:val="24"/>
          <w:highlight w:val="none"/>
        </w:rPr>
        <w:t>）；</w:t>
      </w:r>
      <w:r>
        <w:rPr>
          <w:rFonts w:hint="eastAsia" w:ascii="仿宋" w:hAnsi="仿宋" w:eastAsia="仿宋" w:cs="仿宋"/>
          <w:color w:val="auto"/>
          <w:spacing w:val="-2"/>
          <w:sz w:val="24"/>
          <w:szCs w:val="24"/>
          <w:highlight w:val="none"/>
        </w:rPr>
        <w:t>适用税率：</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7"/>
          <w:sz w:val="24"/>
          <w:szCs w:val="24"/>
          <w:highlight w:val="none"/>
        </w:rPr>
        <w:t xml:space="preserve"> </w:t>
      </w:r>
      <w:r>
        <w:rPr>
          <w:rFonts w:hint="eastAsia" w:ascii="仿宋" w:hAnsi="仿宋" w:eastAsia="仿宋" w:cs="仿宋"/>
          <w:color w:val="auto"/>
          <w:spacing w:val="-2"/>
          <w:sz w:val="24"/>
          <w:szCs w:val="24"/>
          <w:highlight w:val="none"/>
        </w:rPr>
        <w:t>%</w:t>
      </w:r>
      <w:r>
        <w:rPr>
          <w:rFonts w:hint="eastAsia" w:ascii="仿宋" w:hAnsi="仿宋" w:eastAsia="仿宋" w:cs="仿宋"/>
          <w:color w:val="auto"/>
          <w:spacing w:val="-3"/>
          <w:sz w:val="24"/>
          <w:szCs w:val="24"/>
          <w:highlight w:val="none"/>
        </w:rPr>
        <w:t>，税金为人民币</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（大写)</w:t>
      </w:r>
      <w:r>
        <w:rPr>
          <w:rFonts w:hint="eastAsia" w:ascii="仿宋" w:hAnsi="仿宋" w:eastAsia="仿宋" w:cs="仿宋"/>
          <w:color w:val="auto"/>
          <w:spacing w:val="12"/>
          <w:sz w:val="24"/>
          <w:szCs w:val="24"/>
          <w:highlight w:val="none"/>
          <w:u w:val="single" w:color="auto"/>
        </w:rPr>
        <w:t xml:space="preserve">         </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15"/>
          <w:sz w:val="24"/>
          <w:szCs w:val="24"/>
          <w:highlight w:val="none"/>
          <w:u w:val="single" w:color="auto"/>
        </w:rPr>
        <w:t xml:space="preserve">       </w:t>
      </w:r>
      <w:r>
        <w:rPr>
          <w:rFonts w:hint="eastAsia" w:ascii="仿宋" w:hAnsi="仿宋" w:eastAsia="仿宋" w:cs="仿宋"/>
          <w:color w:val="auto"/>
          <w:spacing w:val="-96"/>
          <w:sz w:val="24"/>
          <w:szCs w:val="24"/>
          <w:highlight w:val="none"/>
        </w:rPr>
        <w:t xml:space="preserve"> </w:t>
      </w:r>
      <w:r>
        <w:rPr>
          <w:rFonts w:hint="eastAsia" w:ascii="仿宋" w:hAnsi="仿宋" w:eastAsia="仿宋" w:cs="仿宋"/>
          <w:color w:val="auto"/>
          <w:spacing w:val="-6"/>
          <w:sz w:val="24"/>
          <w:szCs w:val="24"/>
          <w:highlight w:val="none"/>
        </w:rPr>
        <w:t>元</w:t>
      </w:r>
      <w:r>
        <w:rPr>
          <w:rFonts w:hint="eastAsia" w:ascii="仿宋" w:hAnsi="仿宋" w:eastAsia="仿宋" w:cs="仿宋"/>
          <w:color w:val="auto"/>
          <w:spacing w:val="1"/>
          <w:sz w:val="24"/>
          <w:szCs w:val="24"/>
          <w:highlight w:val="none"/>
        </w:rPr>
        <w:t>）；</w:t>
      </w:r>
    </w:p>
    <w:p w14:paraId="00E51F1F">
      <w:pPr>
        <w:pStyle w:val="2"/>
        <w:keepNext w:val="0"/>
        <w:keepLines w:val="0"/>
        <w:pageBreakBefore w:val="0"/>
        <w:widowControl/>
        <w:kinsoku w:val="0"/>
        <w:wordWrap/>
        <w:overflowPunct/>
        <w:topLinePunct w:val="0"/>
        <w:autoSpaceDE w:val="0"/>
        <w:autoSpaceDN w:val="0"/>
        <w:bidi w:val="0"/>
        <w:adjustRightInd w:val="0"/>
        <w:snapToGrid w:val="0"/>
        <w:spacing w:before="22" w:line="219" w:lineRule="auto"/>
        <w:ind w:left="62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（4）</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4"/>
          <w:sz w:val="24"/>
          <w:szCs w:val="24"/>
          <w:highlight w:val="none"/>
        </w:rPr>
        <w:t>暂估价（含税</w:t>
      </w:r>
      <w:r>
        <w:rPr>
          <w:rFonts w:hint="eastAsia" w:ascii="仿宋" w:hAnsi="仿宋" w:eastAsia="仿宋" w:cs="仿宋"/>
          <w:color w:val="auto"/>
          <w:spacing w:val="1"/>
          <w:sz w:val="24"/>
          <w:szCs w:val="24"/>
          <w:highlight w:val="none"/>
        </w:rPr>
        <w:t>）：</w:t>
      </w:r>
    </w:p>
    <w:p w14:paraId="6D4136B2">
      <w:pPr>
        <w:pStyle w:val="2"/>
        <w:keepNext w:val="0"/>
        <w:keepLines w:val="0"/>
        <w:pageBreakBefore w:val="0"/>
        <w:widowControl/>
        <w:kinsoku w:val="0"/>
        <w:wordWrap/>
        <w:overflowPunct/>
        <w:topLinePunct w:val="0"/>
        <w:autoSpaceDE w:val="0"/>
        <w:autoSpaceDN w:val="0"/>
        <w:bidi w:val="0"/>
        <w:adjustRightInd w:val="0"/>
        <w:snapToGrid w:val="0"/>
        <w:spacing w:before="24" w:line="23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人民币（大写)</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1"/>
          <w:sz w:val="24"/>
          <w:szCs w:val="24"/>
          <w:highlight w:val="none"/>
        </w:rPr>
        <w:t>(¥</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99"/>
          <w:sz w:val="24"/>
          <w:szCs w:val="24"/>
          <w:highlight w:val="none"/>
        </w:rPr>
        <w:t xml:space="preserve"> </w:t>
      </w:r>
      <w:r>
        <w:rPr>
          <w:rFonts w:hint="eastAsia" w:ascii="仿宋" w:hAnsi="仿宋" w:eastAsia="仿宋" w:cs="仿宋"/>
          <w:color w:val="auto"/>
          <w:spacing w:val="-1"/>
          <w:sz w:val="24"/>
          <w:szCs w:val="24"/>
          <w:highlight w:val="none"/>
        </w:rPr>
        <w:t>元）。</w:t>
      </w:r>
    </w:p>
    <w:p w14:paraId="65D283EA">
      <w:pPr>
        <w:pStyle w:val="2"/>
        <w:keepNext w:val="0"/>
        <w:keepLines w:val="0"/>
        <w:pageBreakBefore w:val="0"/>
        <w:widowControl/>
        <w:kinsoku w:val="0"/>
        <w:wordWrap/>
        <w:overflowPunct/>
        <w:topLinePunct w:val="0"/>
        <w:autoSpaceDE w:val="0"/>
        <w:autoSpaceDN w:val="0"/>
        <w:bidi w:val="0"/>
        <w:adjustRightInd w:val="0"/>
        <w:snapToGrid w:val="0"/>
        <w:spacing w:before="1" w:line="220" w:lineRule="auto"/>
        <w:ind w:left="62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（5） 暂列金额（含税</w:t>
      </w:r>
      <w:r>
        <w:rPr>
          <w:rFonts w:hint="eastAsia" w:ascii="仿宋" w:hAnsi="仿宋" w:eastAsia="仿宋" w:cs="仿宋"/>
          <w:color w:val="auto"/>
          <w:spacing w:val="3"/>
          <w:sz w:val="24"/>
          <w:szCs w:val="24"/>
          <w:highlight w:val="none"/>
        </w:rPr>
        <w:t>）：</w:t>
      </w:r>
    </w:p>
    <w:p w14:paraId="72ED3A48">
      <w:pPr>
        <w:pStyle w:val="2"/>
        <w:keepNext w:val="0"/>
        <w:keepLines w:val="0"/>
        <w:pageBreakBefore w:val="0"/>
        <w:widowControl/>
        <w:kinsoku w:val="0"/>
        <w:wordWrap/>
        <w:overflowPunct/>
        <w:topLinePunct w:val="0"/>
        <w:autoSpaceDE w:val="0"/>
        <w:autoSpaceDN w:val="0"/>
        <w:bidi w:val="0"/>
        <w:adjustRightInd w:val="0"/>
        <w:snapToGrid w:val="0"/>
        <w:spacing w:before="25" w:line="23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人民币（大写)</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1"/>
          <w:sz w:val="24"/>
          <w:szCs w:val="24"/>
          <w:highlight w:val="none"/>
        </w:rPr>
        <w:t>(¥</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99"/>
          <w:sz w:val="24"/>
          <w:szCs w:val="24"/>
          <w:highlight w:val="none"/>
        </w:rPr>
        <w:t xml:space="preserve"> </w:t>
      </w:r>
      <w:r>
        <w:rPr>
          <w:rFonts w:hint="eastAsia" w:ascii="仿宋" w:hAnsi="仿宋" w:eastAsia="仿宋" w:cs="仿宋"/>
          <w:color w:val="auto"/>
          <w:spacing w:val="-1"/>
          <w:sz w:val="24"/>
          <w:szCs w:val="24"/>
          <w:highlight w:val="none"/>
        </w:rPr>
        <w:t>元）。</w:t>
      </w:r>
    </w:p>
    <w:p w14:paraId="31971A4D">
      <w:pPr>
        <w:pStyle w:val="2"/>
        <w:keepNext w:val="0"/>
        <w:keepLines w:val="0"/>
        <w:pageBreakBefore w:val="0"/>
        <w:widowControl/>
        <w:kinsoku w:val="0"/>
        <w:wordWrap/>
        <w:overflowPunct/>
        <w:topLinePunct w:val="0"/>
        <w:autoSpaceDE w:val="0"/>
        <w:autoSpaceDN w:val="0"/>
        <w:bidi w:val="0"/>
        <w:adjustRightInd w:val="0"/>
        <w:snapToGrid w:val="0"/>
        <w:spacing w:line="220" w:lineRule="auto"/>
        <w:ind w:left="62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（6） 双方约定的其他费用（含税</w:t>
      </w:r>
      <w:r>
        <w:rPr>
          <w:rFonts w:hint="eastAsia" w:ascii="仿宋" w:hAnsi="仿宋" w:eastAsia="仿宋" w:cs="仿宋"/>
          <w:color w:val="auto"/>
          <w:sz w:val="24"/>
          <w:szCs w:val="24"/>
          <w:highlight w:val="none"/>
        </w:rPr>
        <w:t>）：</w:t>
      </w:r>
    </w:p>
    <w:p w14:paraId="3DE66F93">
      <w:pPr>
        <w:pStyle w:val="2"/>
        <w:keepNext w:val="0"/>
        <w:keepLines w:val="0"/>
        <w:pageBreakBefore w:val="0"/>
        <w:widowControl/>
        <w:kinsoku w:val="0"/>
        <w:wordWrap/>
        <w:overflowPunct/>
        <w:topLinePunct w:val="0"/>
        <w:autoSpaceDE w:val="0"/>
        <w:autoSpaceDN w:val="0"/>
        <w:bidi w:val="0"/>
        <w:adjustRightInd w:val="0"/>
        <w:snapToGrid w:val="0"/>
        <w:spacing w:before="22" w:line="230" w:lineRule="auto"/>
        <w:ind w:left="21" w:right="68" w:firstLine="6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人民币（大写)</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5"/>
          <w:sz w:val="24"/>
          <w:szCs w:val="24"/>
          <w:highlight w:val="none"/>
        </w:rPr>
        <w:t xml:space="preserve"> (¥</w:t>
      </w:r>
      <w:r>
        <w:rPr>
          <w:rFonts w:hint="eastAsia" w:ascii="仿宋" w:hAnsi="仿宋" w:eastAsia="仿宋" w:cs="仿宋"/>
          <w:color w:val="auto"/>
          <w:spacing w:val="12"/>
          <w:sz w:val="24"/>
          <w:szCs w:val="24"/>
          <w:highlight w:val="none"/>
          <w:u w:val="single" w:color="auto"/>
        </w:rPr>
        <w:t xml:space="preserve">         </w:t>
      </w:r>
      <w:r>
        <w:rPr>
          <w:rFonts w:hint="eastAsia" w:ascii="仿宋" w:hAnsi="仿宋" w:eastAsia="仿宋" w:cs="仿宋"/>
          <w:color w:val="auto"/>
          <w:spacing w:val="-95"/>
          <w:sz w:val="24"/>
          <w:szCs w:val="24"/>
          <w:highlight w:val="none"/>
        </w:rPr>
        <w:t xml:space="preserve"> </w:t>
      </w:r>
      <w:r>
        <w:rPr>
          <w:rFonts w:hint="eastAsia" w:ascii="仿宋" w:hAnsi="仿宋" w:eastAsia="仿宋" w:cs="仿宋"/>
          <w:color w:val="auto"/>
          <w:spacing w:val="-5"/>
          <w:sz w:val="24"/>
          <w:szCs w:val="24"/>
          <w:highlight w:val="none"/>
        </w:rPr>
        <w:t>元</w:t>
      </w:r>
      <w:r>
        <w:rPr>
          <w:rFonts w:hint="eastAsia" w:ascii="仿宋" w:hAnsi="仿宋" w:eastAsia="仿宋" w:cs="仿宋"/>
          <w:color w:val="auto"/>
          <w:spacing w:val="9"/>
          <w:sz w:val="24"/>
          <w:szCs w:val="24"/>
          <w:highlight w:val="none"/>
        </w:rPr>
        <w:t>）；</w:t>
      </w:r>
      <w:r>
        <w:rPr>
          <w:rFonts w:hint="eastAsia" w:ascii="仿宋" w:hAnsi="仿宋" w:eastAsia="仿宋" w:cs="仿宋"/>
          <w:color w:val="auto"/>
          <w:spacing w:val="-5"/>
          <w:sz w:val="24"/>
          <w:szCs w:val="24"/>
          <w:highlight w:val="none"/>
        </w:rPr>
        <w:t>适用税率：</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06"/>
          <w:sz w:val="24"/>
          <w:szCs w:val="24"/>
          <w:highlight w:val="none"/>
        </w:rPr>
        <w:t xml:space="preserve"> </w:t>
      </w:r>
      <w:r>
        <w:rPr>
          <w:rFonts w:hint="eastAsia" w:ascii="仿宋" w:hAnsi="仿宋" w:eastAsia="仿宋" w:cs="仿宋"/>
          <w:color w:val="auto"/>
          <w:spacing w:val="-5"/>
          <w:sz w:val="24"/>
          <w:szCs w:val="24"/>
          <w:highlight w:val="none"/>
        </w:rPr>
        <w:t>%，</w:t>
      </w:r>
      <w:r>
        <w:rPr>
          <w:rFonts w:hint="eastAsia" w:ascii="仿宋" w:hAnsi="仿宋" w:eastAsia="仿宋" w:cs="仿宋"/>
          <w:color w:val="auto"/>
          <w:sz w:val="24"/>
          <w:szCs w:val="24"/>
          <w:highlight w:val="none"/>
        </w:rPr>
        <w:t xml:space="preserve"> 税金为人民币（大写)</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98"/>
          <w:sz w:val="24"/>
          <w:szCs w:val="24"/>
          <w:highlight w:val="none"/>
        </w:rPr>
        <w:t xml:space="preserve"> </w:t>
      </w:r>
      <w:r>
        <w:rPr>
          <w:rFonts w:hint="eastAsia" w:ascii="仿宋" w:hAnsi="仿宋" w:eastAsia="仿宋" w:cs="仿宋"/>
          <w:color w:val="auto"/>
          <w:spacing w:val="-1"/>
          <w:sz w:val="24"/>
          <w:szCs w:val="24"/>
          <w:highlight w:val="none"/>
        </w:rPr>
        <w:t>元）。</w:t>
      </w:r>
    </w:p>
    <w:p w14:paraId="72CAAD71">
      <w:pPr>
        <w:pStyle w:val="2"/>
        <w:keepNext w:val="0"/>
        <w:keepLines w:val="0"/>
        <w:pageBreakBefore w:val="0"/>
        <w:widowControl/>
        <w:kinsoku w:val="0"/>
        <w:wordWrap/>
        <w:overflowPunct/>
        <w:topLinePunct w:val="0"/>
        <w:autoSpaceDE w:val="0"/>
        <w:autoSpaceDN w:val="0"/>
        <w:bidi w:val="0"/>
        <w:adjustRightInd w:val="0"/>
        <w:snapToGrid w:val="0"/>
        <w:spacing w:before="24" w:line="219"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 合同价格形式：</w:t>
      </w:r>
    </w:p>
    <w:p w14:paraId="4DD7E030">
      <w:pPr>
        <w:pStyle w:val="2"/>
        <w:keepNext w:val="0"/>
        <w:keepLines w:val="0"/>
        <w:pageBreakBefore w:val="0"/>
        <w:widowControl/>
        <w:kinsoku w:val="0"/>
        <w:wordWrap/>
        <w:overflowPunct/>
        <w:topLinePunct w:val="0"/>
        <w:autoSpaceDE w:val="0"/>
        <w:autoSpaceDN w:val="0"/>
        <w:bidi w:val="0"/>
        <w:adjustRightInd w:val="0"/>
        <w:snapToGrid w:val="0"/>
        <w:spacing w:before="25" w:line="229" w:lineRule="auto"/>
        <w:ind w:left="26" w:right="13" w:firstLine="597"/>
        <w:textAlignment w:val="baseline"/>
        <w:outlineLvl w:val="9"/>
        <w:rPr>
          <w:rFonts w:hint="eastAsia" w:ascii="仿宋" w:hAnsi="仿宋" w:eastAsia="仿宋" w:cs="仿宋"/>
          <w:color w:val="auto"/>
          <w:sz w:val="24"/>
          <w:szCs w:val="24"/>
          <w:highlight w:val="none"/>
        </w:rPr>
        <w:sectPr>
          <w:footerReference r:id="rId29" w:type="default"/>
          <w:pgSz w:w="11906" w:h="16839"/>
          <w:pgMar w:top="1424" w:right="1785" w:bottom="1171" w:left="1785" w:header="0" w:footer="992" w:gutter="0"/>
          <w:pgNumType w:fmt="decimal"/>
          <w:cols w:space="720" w:num="1"/>
        </w:sectPr>
      </w:pPr>
      <w:r>
        <w:rPr>
          <w:rFonts w:hint="eastAsia" w:ascii="仿宋" w:hAnsi="仿宋" w:eastAsia="仿宋" w:cs="仿宋"/>
          <w:color w:val="auto"/>
          <w:sz w:val="24"/>
          <w:szCs w:val="24"/>
          <w:highlight w:val="none"/>
        </w:rPr>
        <w:t>合同价格形式为总价合同，除根据合同约定的在工程实施过程中需进</w:t>
      </w:r>
      <w:r>
        <w:rPr>
          <w:rFonts w:hint="eastAsia" w:ascii="仿宋" w:hAnsi="仿宋" w:eastAsia="仿宋" w:cs="仿宋"/>
          <w:color w:val="auto"/>
          <w:spacing w:val="-1"/>
          <w:sz w:val="24"/>
          <w:szCs w:val="24"/>
          <w:highlight w:val="none"/>
        </w:rPr>
        <w:t>行增减的款</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项外，合同价格不予调整，但合同当事人另有约定的除外。</w:t>
      </w:r>
    </w:p>
    <w:p w14:paraId="3F38FDEC">
      <w:pPr>
        <w:pStyle w:val="2"/>
        <w:keepNext w:val="0"/>
        <w:keepLines w:val="0"/>
        <w:pageBreakBefore w:val="0"/>
        <w:widowControl/>
        <w:kinsoku w:val="0"/>
        <w:wordWrap/>
        <w:overflowPunct/>
        <w:topLinePunct w:val="0"/>
        <w:autoSpaceDE w:val="0"/>
        <w:autoSpaceDN w:val="0"/>
        <w:bidi w:val="0"/>
        <w:adjustRightInd w:val="0"/>
        <w:snapToGrid w:val="0"/>
        <w:spacing w:before="43" w:line="219" w:lineRule="auto"/>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合同当事人对合同价格形式的其他约定：</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
          <w:sz w:val="24"/>
          <w:szCs w:val="24"/>
          <w:highlight w:val="none"/>
        </w:rPr>
        <w:t>。</w:t>
      </w:r>
    </w:p>
    <w:p w14:paraId="4FCCB0D5">
      <w:pPr>
        <w:pStyle w:val="2"/>
        <w:keepNext w:val="0"/>
        <w:keepLines w:val="0"/>
        <w:pageBreakBefore w:val="0"/>
        <w:widowControl/>
        <w:kinsoku w:val="0"/>
        <w:wordWrap/>
        <w:overflowPunct/>
        <w:topLinePunct w:val="0"/>
        <w:autoSpaceDE w:val="0"/>
        <w:autoSpaceDN w:val="0"/>
        <w:bidi w:val="0"/>
        <w:adjustRightInd w:val="0"/>
        <w:snapToGrid w:val="0"/>
        <w:spacing w:before="145" w:line="220" w:lineRule="auto"/>
        <w:ind w:left="10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五、工程总承包项目经理</w:t>
      </w:r>
    </w:p>
    <w:p w14:paraId="6C711A07">
      <w:pPr>
        <w:pStyle w:val="2"/>
        <w:keepNext w:val="0"/>
        <w:keepLines w:val="0"/>
        <w:pageBreakBefore w:val="0"/>
        <w:widowControl/>
        <w:kinsoku w:val="0"/>
        <w:wordWrap/>
        <w:overflowPunct/>
        <w:topLinePunct w:val="0"/>
        <w:autoSpaceDE w:val="0"/>
        <w:autoSpaceDN w:val="0"/>
        <w:bidi w:val="0"/>
        <w:adjustRightInd w:val="0"/>
        <w:snapToGrid w:val="0"/>
        <w:spacing w:before="23" w:line="220" w:lineRule="auto"/>
        <w:ind w:left="7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工程总承包项目经理：</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
          <w:sz w:val="24"/>
          <w:szCs w:val="24"/>
          <w:highlight w:val="none"/>
        </w:rPr>
        <w:t>。</w:t>
      </w:r>
    </w:p>
    <w:p w14:paraId="282D337F">
      <w:pPr>
        <w:pStyle w:val="2"/>
        <w:keepNext w:val="0"/>
        <w:keepLines w:val="0"/>
        <w:pageBreakBefore w:val="0"/>
        <w:widowControl/>
        <w:kinsoku w:val="0"/>
        <w:wordWrap/>
        <w:overflowPunct/>
        <w:topLinePunct w:val="0"/>
        <w:autoSpaceDE w:val="0"/>
        <w:autoSpaceDN w:val="0"/>
        <w:bidi w:val="0"/>
        <w:adjustRightInd w:val="0"/>
        <w:snapToGrid w:val="0"/>
        <w:spacing w:before="141" w:line="220" w:lineRule="auto"/>
        <w:ind w:left="1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六、合同文件构成</w:t>
      </w:r>
    </w:p>
    <w:p w14:paraId="5AEF6943">
      <w:pPr>
        <w:pStyle w:val="2"/>
        <w:keepNext w:val="0"/>
        <w:keepLines w:val="0"/>
        <w:pageBreakBefore w:val="0"/>
        <w:widowControl/>
        <w:kinsoku w:val="0"/>
        <w:wordWrap/>
        <w:overflowPunct/>
        <w:topLinePunct w:val="0"/>
        <w:autoSpaceDE w:val="0"/>
        <w:autoSpaceDN w:val="0"/>
        <w:bidi w:val="0"/>
        <w:adjustRightInd w:val="0"/>
        <w:snapToGrid w:val="0"/>
        <w:spacing w:before="22"/>
        <w:ind w:left="7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本协议书与下列文件一起构成合同文件：</w:t>
      </w:r>
    </w:p>
    <w:p w14:paraId="6BC7E456">
      <w:pPr>
        <w:pStyle w:val="2"/>
        <w:keepNext w:val="0"/>
        <w:keepLines w:val="0"/>
        <w:pageBreakBefore w:val="0"/>
        <w:widowControl/>
        <w:kinsoku w:val="0"/>
        <w:wordWrap/>
        <w:overflowPunct/>
        <w:topLinePunct w:val="0"/>
        <w:autoSpaceDE w:val="0"/>
        <w:autoSpaceDN w:val="0"/>
        <w:bidi w:val="0"/>
        <w:adjustRightInd w:val="0"/>
        <w:snapToGrid w:val="0"/>
        <w:spacing w:line="219" w:lineRule="auto"/>
        <w:ind w:left="70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w:t>
      </w:r>
      <w:r>
        <w:rPr>
          <w:rFonts w:hint="eastAsia" w:ascii="仿宋" w:hAnsi="仿宋" w:eastAsia="仿宋" w:cs="仿宋"/>
          <w:color w:val="auto"/>
          <w:spacing w:val="30"/>
          <w:sz w:val="24"/>
          <w:szCs w:val="24"/>
          <w:highlight w:val="none"/>
        </w:rPr>
        <w:t xml:space="preserve"> </w:t>
      </w:r>
      <w:r>
        <w:rPr>
          <w:rFonts w:hint="eastAsia" w:ascii="仿宋" w:hAnsi="仿宋" w:eastAsia="仿宋" w:cs="仿宋"/>
          <w:color w:val="auto"/>
          <w:spacing w:val="-4"/>
          <w:sz w:val="24"/>
          <w:szCs w:val="24"/>
          <w:highlight w:val="none"/>
        </w:rPr>
        <w:t>中标通知书（如果有</w:t>
      </w:r>
      <w:r>
        <w:rPr>
          <w:rFonts w:hint="eastAsia" w:ascii="仿宋" w:hAnsi="仿宋" w:eastAsia="仿宋" w:cs="仿宋"/>
          <w:color w:val="auto"/>
          <w:spacing w:val="1"/>
          <w:sz w:val="24"/>
          <w:szCs w:val="24"/>
          <w:highlight w:val="none"/>
        </w:rPr>
        <w:t>）；</w:t>
      </w:r>
    </w:p>
    <w:p w14:paraId="1BA11382">
      <w:pPr>
        <w:pStyle w:val="2"/>
        <w:keepNext w:val="0"/>
        <w:keepLines w:val="0"/>
        <w:pageBreakBefore w:val="0"/>
        <w:widowControl/>
        <w:kinsoku w:val="0"/>
        <w:wordWrap/>
        <w:overflowPunct/>
        <w:topLinePunct w:val="0"/>
        <w:autoSpaceDE w:val="0"/>
        <w:autoSpaceDN w:val="0"/>
        <w:bidi w:val="0"/>
        <w:adjustRightInd w:val="0"/>
        <w:snapToGrid w:val="0"/>
        <w:spacing w:before="25" w:line="219" w:lineRule="auto"/>
        <w:ind w:left="70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 投标函及投标函附录（如果有</w:t>
      </w:r>
      <w:r>
        <w:rPr>
          <w:rFonts w:hint="eastAsia" w:ascii="仿宋" w:hAnsi="仿宋" w:eastAsia="仿宋" w:cs="仿宋"/>
          <w:color w:val="auto"/>
          <w:sz w:val="24"/>
          <w:szCs w:val="24"/>
          <w:highlight w:val="none"/>
        </w:rPr>
        <w:t>）；</w:t>
      </w:r>
    </w:p>
    <w:p w14:paraId="6B3216B9">
      <w:pPr>
        <w:pStyle w:val="2"/>
        <w:keepNext w:val="0"/>
        <w:keepLines w:val="0"/>
        <w:pageBreakBefore w:val="0"/>
        <w:widowControl/>
        <w:kinsoku w:val="0"/>
        <w:wordWrap/>
        <w:overflowPunct/>
        <w:topLinePunct w:val="0"/>
        <w:autoSpaceDE w:val="0"/>
        <w:autoSpaceDN w:val="0"/>
        <w:bidi w:val="0"/>
        <w:adjustRightInd w:val="0"/>
        <w:snapToGrid w:val="0"/>
        <w:spacing w:before="24"/>
        <w:ind w:left="70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 专用合同条件及《发包人要求》等附件；</w:t>
      </w:r>
    </w:p>
    <w:p w14:paraId="72E8B12F">
      <w:pPr>
        <w:pStyle w:val="2"/>
        <w:keepNext w:val="0"/>
        <w:keepLines w:val="0"/>
        <w:pageBreakBefore w:val="0"/>
        <w:widowControl/>
        <w:kinsoku w:val="0"/>
        <w:wordWrap/>
        <w:overflowPunct/>
        <w:topLinePunct w:val="0"/>
        <w:autoSpaceDE w:val="0"/>
        <w:autoSpaceDN w:val="0"/>
        <w:bidi w:val="0"/>
        <w:adjustRightInd w:val="0"/>
        <w:snapToGrid w:val="0"/>
        <w:spacing w:line="220" w:lineRule="auto"/>
        <w:ind w:left="70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（4） 通用合同条件；</w:t>
      </w:r>
    </w:p>
    <w:p w14:paraId="07070611">
      <w:pPr>
        <w:pStyle w:val="2"/>
        <w:keepNext w:val="0"/>
        <w:keepLines w:val="0"/>
        <w:pageBreakBefore w:val="0"/>
        <w:widowControl/>
        <w:kinsoku w:val="0"/>
        <w:wordWrap/>
        <w:overflowPunct/>
        <w:topLinePunct w:val="0"/>
        <w:autoSpaceDE w:val="0"/>
        <w:autoSpaceDN w:val="0"/>
        <w:bidi w:val="0"/>
        <w:adjustRightInd w:val="0"/>
        <w:snapToGrid w:val="0"/>
        <w:spacing w:before="23"/>
        <w:ind w:left="70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（5） 承包人建议书；</w:t>
      </w:r>
    </w:p>
    <w:p w14:paraId="01BD5EEF">
      <w:pPr>
        <w:pStyle w:val="2"/>
        <w:keepNext w:val="0"/>
        <w:keepLines w:val="0"/>
        <w:pageBreakBefore w:val="0"/>
        <w:widowControl/>
        <w:kinsoku w:val="0"/>
        <w:wordWrap/>
        <w:overflowPunct/>
        <w:topLinePunct w:val="0"/>
        <w:autoSpaceDE w:val="0"/>
        <w:autoSpaceDN w:val="0"/>
        <w:bidi w:val="0"/>
        <w:adjustRightInd w:val="0"/>
        <w:snapToGrid w:val="0"/>
        <w:spacing w:before="1" w:line="218" w:lineRule="auto"/>
        <w:ind w:left="70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（6） 价格清单；</w:t>
      </w:r>
    </w:p>
    <w:p w14:paraId="11EE12B4">
      <w:pPr>
        <w:pStyle w:val="2"/>
        <w:keepNext w:val="0"/>
        <w:keepLines w:val="0"/>
        <w:pageBreakBefore w:val="0"/>
        <w:widowControl/>
        <w:kinsoku w:val="0"/>
        <w:wordWrap/>
        <w:overflowPunct/>
        <w:topLinePunct w:val="0"/>
        <w:autoSpaceDE w:val="0"/>
        <w:autoSpaceDN w:val="0"/>
        <w:bidi w:val="0"/>
        <w:adjustRightInd w:val="0"/>
        <w:snapToGrid w:val="0"/>
        <w:spacing w:before="25" w:line="220" w:lineRule="auto"/>
        <w:ind w:left="70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（7） 双方约定的其他合同文件。</w:t>
      </w:r>
    </w:p>
    <w:p w14:paraId="39C3BF75">
      <w:pPr>
        <w:pStyle w:val="2"/>
        <w:keepNext w:val="0"/>
        <w:keepLines w:val="0"/>
        <w:pageBreakBefore w:val="0"/>
        <w:widowControl/>
        <w:kinsoku w:val="0"/>
        <w:wordWrap/>
        <w:overflowPunct/>
        <w:topLinePunct w:val="0"/>
        <w:autoSpaceDE w:val="0"/>
        <w:autoSpaceDN w:val="0"/>
        <w:bidi w:val="0"/>
        <w:adjustRightInd w:val="0"/>
        <w:snapToGrid w:val="0"/>
        <w:spacing w:before="19" w:line="230" w:lineRule="auto"/>
        <w:ind w:left="102" w:firstLine="5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上述各项合同文件包括双方就该项合同文件所</w:t>
      </w:r>
      <w:r>
        <w:rPr>
          <w:rFonts w:hint="eastAsia" w:ascii="仿宋" w:hAnsi="仿宋" w:eastAsia="仿宋" w:cs="仿宋"/>
          <w:color w:val="auto"/>
          <w:spacing w:val="-1"/>
          <w:sz w:val="24"/>
          <w:szCs w:val="24"/>
          <w:highlight w:val="none"/>
        </w:rPr>
        <w:t xml:space="preserve">作出的补充和修改，属于同一类内  </w:t>
      </w:r>
      <w:r>
        <w:rPr>
          <w:rFonts w:hint="eastAsia" w:ascii="仿宋" w:hAnsi="仿宋" w:eastAsia="仿宋" w:cs="仿宋"/>
          <w:color w:val="auto"/>
          <w:spacing w:val="-2"/>
          <w:sz w:val="24"/>
          <w:szCs w:val="24"/>
          <w:highlight w:val="none"/>
        </w:rPr>
        <w:t>容的合同文件应以最新签署的为准。专用合</w:t>
      </w:r>
      <w:r>
        <w:rPr>
          <w:rFonts w:hint="eastAsia" w:ascii="仿宋" w:hAnsi="仿宋" w:eastAsia="仿宋" w:cs="仿宋"/>
          <w:color w:val="auto"/>
          <w:spacing w:val="-3"/>
          <w:sz w:val="24"/>
          <w:szCs w:val="24"/>
          <w:highlight w:val="none"/>
        </w:rPr>
        <w:t>同条件及其附件须经合同当事人签字或盖章。</w:t>
      </w:r>
    </w:p>
    <w:p w14:paraId="355377AD">
      <w:pPr>
        <w:pStyle w:val="2"/>
        <w:keepNext w:val="0"/>
        <w:keepLines w:val="0"/>
        <w:pageBreakBefore w:val="0"/>
        <w:widowControl/>
        <w:kinsoku w:val="0"/>
        <w:wordWrap/>
        <w:overflowPunct/>
        <w:topLinePunct w:val="0"/>
        <w:autoSpaceDE w:val="0"/>
        <w:autoSpaceDN w:val="0"/>
        <w:bidi w:val="0"/>
        <w:adjustRightInd w:val="0"/>
        <w:snapToGrid w:val="0"/>
        <w:spacing w:before="145" w:line="220" w:lineRule="auto"/>
        <w:ind w:left="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七、承诺</w:t>
      </w:r>
    </w:p>
    <w:p w14:paraId="2F0A0268">
      <w:pPr>
        <w:pStyle w:val="2"/>
        <w:keepNext w:val="0"/>
        <w:keepLines w:val="0"/>
        <w:pageBreakBefore w:val="0"/>
        <w:widowControl/>
        <w:kinsoku w:val="0"/>
        <w:wordWrap/>
        <w:overflowPunct/>
        <w:topLinePunct w:val="0"/>
        <w:autoSpaceDE w:val="0"/>
        <w:autoSpaceDN w:val="0"/>
        <w:bidi w:val="0"/>
        <w:adjustRightInd w:val="0"/>
        <w:snapToGrid w:val="0"/>
        <w:spacing w:before="23" w:line="229" w:lineRule="auto"/>
        <w:ind w:left="105" w:right="188" w:firstLine="6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 发包人承诺按照法律规定履行项目审批手续、筹集工程建设资金并按照合同约</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1"/>
          <w:sz w:val="24"/>
          <w:szCs w:val="24"/>
          <w:highlight w:val="none"/>
        </w:rPr>
        <w:t>定的期限和方式支付合同价款。</w:t>
      </w:r>
    </w:p>
    <w:p w14:paraId="5948F094">
      <w:pPr>
        <w:pStyle w:val="2"/>
        <w:keepNext w:val="0"/>
        <w:keepLines w:val="0"/>
        <w:pageBreakBefore w:val="0"/>
        <w:widowControl/>
        <w:kinsoku w:val="0"/>
        <w:wordWrap/>
        <w:overflowPunct/>
        <w:topLinePunct w:val="0"/>
        <w:autoSpaceDE w:val="0"/>
        <w:autoSpaceDN w:val="0"/>
        <w:bidi w:val="0"/>
        <w:adjustRightInd w:val="0"/>
        <w:snapToGrid w:val="0"/>
        <w:spacing w:before="24" w:line="233" w:lineRule="auto"/>
        <w:ind w:left="100" w:right="19" w:firstLine="6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2. 承包人承诺按照法律规定及合同约定组织完</w:t>
      </w:r>
      <w:r>
        <w:rPr>
          <w:rFonts w:hint="eastAsia" w:ascii="仿宋" w:hAnsi="仿宋" w:eastAsia="仿宋" w:cs="仿宋"/>
          <w:color w:val="auto"/>
          <w:spacing w:val="-5"/>
          <w:sz w:val="24"/>
          <w:szCs w:val="24"/>
          <w:highlight w:val="none"/>
        </w:rPr>
        <w:t>成工程的设计、采购和施工等工作，</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确保工程质量和安全，不进行转包及违法分包，并在缺陷</w:t>
      </w:r>
      <w:r>
        <w:rPr>
          <w:rFonts w:hint="eastAsia" w:ascii="仿宋" w:hAnsi="仿宋" w:eastAsia="仿宋" w:cs="仿宋"/>
          <w:color w:val="auto"/>
          <w:spacing w:val="-3"/>
          <w:sz w:val="24"/>
          <w:szCs w:val="24"/>
          <w:highlight w:val="none"/>
        </w:rPr>
        <w:t xml:space="preserve">责任期及保修期内承担相应的  </w:t>
      </w:r>
      <w:r>
        <w:rPr>
          <w:rFonts w:hint="eastAsia" w:ascii="仿宋" w:hAnsi="仿宋" w:eastAsia="仿宋" w:cs="仿宋"/>
          <w:color w:val="auto"/>
          <w:spacing w:val="-2"/>
          <w:sz w:val="24"/>
          <w:szCs w:val="24"/>
          <w:highlight w:val="none"/>
        </w:rPr>
        <w:t>工程维修责任。</w:t>
      </w:r>
    </w:p>
    <w:p w14:paraId="472D0F26">
      <w:pPr>
        <w:pStyle w:val="2"/>
        <w:keepNext w:val="0"/>
        <w:keepLines w:val="0"/>
        <w:pageBreakBefore w:val="0"/>
        <w:widowControl/>
        <w:kinsoku w:val="0"/>
        <w:wordWrap/>
        <w:overflowPunct/>
        <w:topLinePunct w:val="0"/>
        <w:autoSpaceDE w:val="0"/>
        <w:autoSpaceDN w:val="0"/>
        <w:bidi w:val="0"/>
        <w:adjustRightInd w:val="0"/>
        <w:snapToGrid w:val="0"/>
        <w:spacing w:before="145" w:line="221" w:lineRule="auto"/>
        <w:ind w:left="10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八、订立时间</w:t>
      </w:r>
    </w:p>
    <w:p w14:paraId="20336FB9">
      <w:pPr>
        <w:pStyle w:val="2"/>
        <w:keepNext w:val="0"/>
        <w:keepLines w:val="0"/>
        <w:pageBreakBefore w:val="0"/>
        <w:widowControl/>
        <w:kinsoku w:val="0"/>
        <w:wordWrap/>
        <w:overflowPunct/>
        <w:topLinePunct w:val="0"/>
        <w:autoSpaceDE w:val="0"/>
        <w:autoSpaceDN w:val="0"/>
        <w:bidi w:val="0"/>
        <w:adjustRightInd w:val="0"/>
        <w:snapToGrid w:val="0"/>
        <w:spacing w:before="21" w:line="219" w:lineRule="auto"/>
        <w:ind w:left="7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本合同于</w:t>
      </w:r>
      <w:r>
        <w:rPr>
          <w:rFonts w:hint="eastAsia" w:ascii="仿宋" w:hAnsi="仿宋" w:eastAsia="仿宋" w:cs="仿宋"/>
          <w:color w:val="auto"/>
          <w:spacing w:val="17"/>
          <w:sz w:val="24"/>
          <w:szCs w:val="24"/>
          <w:highlight w:val="none"/>
          <w:u w:val="single" w:color="auto"/>
        </w:rPr>
        <w:t xml:space="preserve">       </w:t>
      </w:r>
      <w:r>
        <w:rPr>
          <w:rFonts w:hint="eastAsia" w:ascii="仿宋" w:hAnsi="仿宋" w:eastAsia="仿宋" w:cs="仿宋"/>
          <w:color w:val="auto"/>
          <w:spacing w:val="-100"/>
          <w:sz w:val="24"/>
          <w:szCs w:val="24"/>
          <w:highlight w:val="none"/>
        </w:rPr>
        <w:t xml:space="preserve"> </w:t>
      </w:r>
      <w:r>
        <w:rPr>
          <w:rFonts w:hint="eastAsia" w:ascii="仿宋" w:hAnsi="仿宋" w:eastAsia="仿宋" w:cs="仿宋"/>
          <w:color w:val="auto"/>
          <w:spacing w:val="-6"/>
          <w:sz w:val="24"/>
          <w:szCs w:val="24"/>
          <w:highlight w:val="none"/>
        </w:rPr>
        <w:t>年</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96"/>
          <w:sz w:val="24"/>
          <w:szCs w:val="24"/>
          <w:highlight w:val="none"/>
        </w:rPr>
        <w:t xml:space="preserve"> </w:t>
      </w:r>
      <w:r>
        <w:rPr>
          <w:rFonts w:hint="eastAsia" w:ascii="仿宋" w:hAnsi="仿宋" w:eastAsia="仿宋" w:cs="仿宋"/>
          <w:color w:val="auto"/>
          <w:spacing w:val="-6"/>
          <w:sz w:val="24"/>
          <w:szCs w:val="24"/>
          <w:highlight w:val="none"/>
        </w:rPr>
        <w:t>月</w:t>
      </w:r>
      <w:r>
        <w:rPr>
          <w:rFonts w:hint="eastAsia" w:ascii="仿宋" w:hAnsi="仿宋" w:eastAsia="仿宋" w:cs="仿宋"/>
          <w:color w:val="auto"/>
          <w:spacing w:val="27"/>
          <w:sz w:val="24"/>
          <w:szCs w:val="24"/>
          <w:highlight w:val="none"/>
          <w:u w:val="single" w:color="auto"/>
        </w:rPr>
        <w:t xml:space="preserve">    </w:t>
      </w:r>
      <w:r>
        <w:rPr>
          <w:rFonts w:hint="eastAsia" w:ascii="仿宋" w:hAnsi="仿宋" w:eastAsia="仿宋" w:cs="仿宋"/>
          <w:color w:val="auto"/>
          <w:spacing w:val="-62"/>
          <w:sz w:val="24"/>
          <w:szCs w:val="24"/>
          <w:highlight w:val="none"/>
        </w:rPr>
        <w:t xml:space="preserve"> </w:t>
      </w:r>
      <w:r>
        <w:rPr>
          <w:rFonts w:hint="eastAsia" w:ascii="仿宋" w:hAnsi="仿宋" w:eastAsia="仿宋" w:cs="仿宋"/>
          <w:color w:val="auto"/>
          <w:spacing w:val="-6"/>
          <w:sz w:val="24"/>
          <w:szCs w:val="24"/>
          <w:highlight w:val="none"/>
        </w:rPr>
        <w:t>日订立。</w:t>
      </w:r>
    </w:p>
    <w:p w14:paraId="13A74BEB">
      <w:pPr>
        <w:pStyle w:val="2"/>
        <w:keepNext w:val="0"/>
        <w:keepLines w:val="0"/>
        <w:pageBreakBefore w:val="0"/>
        <w:widowControl/>
        <w:kinsoku w:val="0"/>
        <w:wordWrap/>
        <w:overflowPunct/>
        <w:topLinePunct w:val="0"/>
        <w:autoSpaceDE w:val="0"/>
        <w:autoSpaceDN w:val="0"/>
        <w:bidi w:val="0"/>
        <w:adjustRightInd w:val="0"/>
        <w:snapToGrid w:val="0"/>
        <w:spacing w:before="144" w:line="223" w:lineRule="auto"/>
        <w:ind w:left="10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九、订立地点</w:t>
      </w:r>
    </w:p>
    <w:p w14:paraId="0983CC7C">
      <w:pPr>
        <w:pStyle w:val="2"/>
        <w:keepNext w:val="0"/>
        <w:keepLines w:val="0"/>
        <w:pageBreakBefore w:val="0"/>
        <w:widowControl/>
        <w:kinsoku w:val="0"/>
        <w:wordWrap/>
        <w:overflowPunct/>
        <w:topLinePunct w:val="0"/>
        <w:autoSpaceDE w:val="0"/>
        <w:autoSpaceDN w:val="0"/>
        <w:bidi w:val="0"/>
        <w:adjustRightInd w:val="0"/>
        <w:snapToGrid w:val="0"/>
        <w:spacing w:before="20" w:line="219" w:lineRule="auto"/>
        <w:ind w:left="7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本合同在</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87"/>
          <w:sz w:val="24"/>
          <w:szCs w:val="24"/>
          <w:highlight w:val="none"/>
        </w:rPr>
        <w:t xml:space="preserve"> </w:t>
      </w:r>
      <w:r>
        <w:rPr>
          <w:rFonts w:hint="eastAsia" w:ascii="仿宋" w:hAnsi="仿宋" w:eastAsia="仿宋" w:cs="仿宋"/>
          <w:color w:val="auto"/>
          <w:spacing w:val="-1"/>
          <w:sz w:val="24"/>
          <w:szCs w:val="24"/>
          <w:highlight w:val="none"/>
        </w:rPr>
        <w:t>订立。</w:t>
      </w:r>
    </w:p>
    <w:p w14:paraId="6F676696">
      <w:pPr>
        <w:pStyle w:val="2"/>
        <w:keepNext w:val="0"/>
        <w:keepLines w:val="0"/>
        <w:pageBreakBefore w:val="0"/>
        <w:widowControl/>
        <w:kinsoku w:val="0"/>
        <w:wordWrap/>
        <w:overflowPunct/>
        <w:topLinePunct w:val="0"/>
        <w:autoSpaceDE w:val="0"/>
        <w:autoSpaceDN w:val="0"/>
        <w:bidi w:val="0"/>
        <w:adjustRightInd w:val="0"/>
        <w:snapToGrid w:val="0"/>
        <w:spacing w:before="144" w:line="221" w:lineRule="auto"/>
        <w:ind w:left="1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十、合同生效</w:t>
      </w:r>
    </w:p>
    <w:p w14:paraId="077A1D67">
      <w:pPr>
        <w:pStyle w:val="2"/>
        <w:keepNext w:val="0"/>
        <w:keepLines w:val="0"/>
        <w:pageBreakBefore w:val="0"/>
        <w:widowControl/>
        <w:kinsoku w:val="0"/>
        <w:wordWrap/>
        <w:overflowPunct/>
        <w:topLinePunct w:val="0"/>
        <w:autoSpaceDE w:val="0"/>
        <w:autoSpaceDN w:val="0"/>
        <w:bidi w:val="0"/>
        <w:adjustRightInd w:val="0"/>
        <w:snapToGrid w:val="0"/>
        <w:spacing w:before="23" w:line="219" w:lineRule="auto"/>
        <w:ind w:left="7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本合同经双方签字或盖章后成立，并自</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88"/>
          <w:sz w:val="24"/>
          <w:szCs w:val="24"/>
          <w:highlight w:val="none"/>
        </w:rPr>
        <w:t xml:space="preserve"> </w:t>
      </w:r>
      <w:r>
        <w:rPr>
          <w:rFonts w:hint="eastAsia" w:ascii="仿宋" w:hAnsi="仿宋" w:eastAsia="仿宋" w:cs="仿宋"/>
          <w:color w:val="auto"/>
          <w:spacing w:val="-1"/>
          <w:sz w:val="24"/>
          <w:szCs w:val="24"/>
          <w:highlight w:val="none"/>
        </w:rPr>
        <w:t>生效。</w:t>
      </w:r>
    </w:p>
    <w:p w14:paraId="21FFDCA6">
      <w:pPr>
        <w:pStyle w:val="2"/>
        <w:keepNext w:val="0"/>
        <w:keepLines w:val="0"/>
        <w:pageBreakBefore w:val="0"/>
        <w:widowControl/>
        <w:kinsoku w:val="0"/>
        <w:wordWrap/>
        <w:overflowPunct/>
        <w:topLinePunct w:val="0"/>
        <w:autoSpaceDE w:val="0"/>
        <w:autoSpaceDN w:val="0"/>
        <w:bidi w:val="0"/>
        <w:adjustRightInd w:val="0"/>
        <w:snapToGrid w:val="0"/>
        <w:spacing w:before="144" w:line="220" w:lineRule="auto"/>
        <w:ind w:left="1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十一、合同份数</w:t>
      </w:r>
    </w:p>
    <w:p w14:paraId="7B899828">
      <w:pPr>
        <w:pStyle w:val="2"/>
        <w:keepNext w:val="0"/>
        <w:keepLines w:val="0"/>
        <w:pageBreakBefore w:val="0"/>
        <w:widowControl/>
        <w:kinsoku w:val="0"/>
        <w:wordWrap/>
        <w:overflowPunct/>
        <w:topLinePunct w:val="0"/>
        <w:autoSpaceDE w:val="0"/>
        <w:autoSpaceDN w:val="0"/>
        <w:bidi w:val="0"/>
        <w:adjustRightInd w:val="0"/>
        <w:snapToGrid w:val="0"/>
        <w:spacing w:before="24" w:line="219" w:lineRule="auto"/>
        <w:ind w:left="7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本合同一式</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97"/>
          <w:sz w:val="24"/>
          <w:szCs w:val="24"/>
          <w:highlight w:val="none"/>
        </w:rPr>
        <w:t xml:space="preserve"> </w:t>
      </w:r>
      <w:r>
        <w:rPr>
          <w:rFonts w:hint="eastAsia" w:ascii="仿宋" w:hAnsi="仿宋" w:eastAsia="仿宋" w:cs="仿宋"/>
          <w:color w:val="auto"/>
          <w:spacing w:val="-1"/>
          <w:sz w:val="24"/>
          <w:szCs w:val="24"/>
          <w:highlight w:val="none"/>
        </w:rPr>
        <w:t>份，均具有同等法律效力，发包人执</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01"/>
          <w:sz w:val="24"/>
          <w:szCs w:val="24"/>
          <w:highlight w:val="none"/>
        </w:rPr>
        <w:t xml:space="preserve"> </w:t>
      </w:r>
      <w:r>
        <w:rPr>
          <w:rFonts w:hint="eastAsia" w:ascii="仿宋" w:hAnsi="仿宋" w:eastAsia="仿宋" w:cs="仿宋"/>
          <w:color w:val="auto"/>
          <w:spacing w:val="-1"/>
          <w:sz w:val="24"/>
          <w:szCs w:val="24"/>
          <w:highlight w:val="none"/>
        </w:rPr>
        <w:t>份，承包人执</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01"/>
          <w:sz w:val="24"/>
          <w:szCs w:val="24"/>
          <w:highlight w:val="none"/>
        </w:rPr>
        <w:t xml:space="preserve"> </w:t>
      </w:r>
      <w:r>
        <w:rPr>
          <w:rFonts w:hint="eastAsia" w:ascii="仿宋" w:hAnsi="仿宋" w:eastAsia="仿宋" w:cs="仿宋"/>
          <w:color w:val="auto"/>
          <w:spacing w:val="-1"/>
          <w:sz w:val="24"/>
          <w:szCs w:val="24"/>
          <w:highlight w:val="none"/>
        </w:rPr>
        <w:t>份。</w:t>
      </w:r>
    </w:p>
    <w:p w14:paraId="23E3BDDB">
      <w:pPr>
        <w:pStyle w:val="2"/>
        <w:keepNext w:val="0"/>
        <w:keepLines w:val="0"/>
        <w:pageBreakBefore w:val="0"/>
        <w:widowControl/>
        <w:kinsoku w:val="0"/>
        <w:wordWrap/>
        <w:overflowPunct/>
        <w:topLinePunct w:val="0"/>
        <w:autoSpaceDE w:val="0"/>
        <w:autoSpaceDN w:val="0"/>
        <w:bidi w:val="0"/>
        <w:adjustRightInd w:val="0"/>
        <w:snapToGrid w:val="0"/>
        <w:spacing w:before="99" w:line="219" w:lineRule="auto"/>
        <w:ind w:left="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发包人</w:t>
      </w:r>
      <w:r>
        <w:rPr>
          <w:rFonts w:hint="eastAsia" w:ascii="仿宋" w:hAnsi="仿宋" w:eastAsia="仿宋" w:cs="仿宋"/>
          <w:color w:val="auto"/>
          <w:spacing w:val="-14"/>
          <w:sz w:val="24"/>
          <w:szCs w:val="24"/>
          <w:highlight w:val="none"/>
        </w:rPr>
        <w:t>：（</w:t>
      </w:r>
      <w:r>
        <w:rPr>
          <w:rFonts w:hint="eastAsia" w:ascii="仿宋" w:hAnsi="仿宋" w:eastAsia="仿宋" w:cs="仿宋"/>
          <w:color w:val="auto"/>
          <w:spacing w:val="3"/>
          <w:sz w:val="24"/>
          <w:szCs w:val="24"/>
          <w:highlight w:val="none"/>
        </w:rPr>
        <w:t>公章）</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承包人</w:t>
      </w:r>
      <w:r>
        <w:rPr>
          <w:rFonts w:hint="eastAsia" w:ascii="仿宋" w:hAnsi="仿宋" w:eastAsia="仿宋" w:cs="仿宋"/>
          <w:color w:val="auto"/>
          <w:spacing w:val="-14"/>
          <w:sz w:val="24"/>
          <w:szCs w:val="24"/>
          <w:highlight w:val="none"/>
        </w:rPr>
        <w:t>：（</w:t>
      </w:r>
      <w:r>
        <w:rPr>
          <w:rFonts w:hint="eastAsia" w:ascii="仿宋" w:hAnsi="仿宋" w:eastAsia="仿宋" w:cs="仿宋"/>
          <w:color w:val="auto"/>
          <w:spacing w:val="3"/>
          <w:sz w:val="24"/>
          <w:szCs w:val="24"/>
          <w:highlight w:val="none"/>
        </w:rPr>
        <w:t>公章）</w:t>
      </w:r>
    </w:p>
    <w:p w14:paraId="788920E2">
      <w:pPr>
        <w:keepNext w:val="0"/>
        <w:keepLines w:val="0"/>
        <w:pageBreakBefore w:val="0"/>
        <w:widowControl/>
        <w:kinsoku w:val="0"/>
        <w:wordWrap/>
        <w:overflowPunct/>
        <w:topLinePunct w:val="0"/>
        <w:autoSpaceDE w:val="0"/>
        <w:autoSpaceDN w:val="0"/>
        <w:bidi w:val="0"/>
        <w:adjustRightInd w:val="0"/>
        <w:snapToGrid w:val="0"/>
        <w:spacing w:before="10"/>
        <w:textAlignment w:val="baseline"/>
        <w:outlineLvl w:val="9"/>
        <w:rPr>
          <w:rFonts w:hint="eastAsia" w:ascii="仿宋" w:hAnsi="仿宋" w:eastAsia="仿宋" w:cs="仿宋"/>
          <w:color w:val="auto"/>
          <w:sz w:val="24"/>
          <w:szCs w:val="24"/>
          <w:highlight w:val="none"/>
        </w:rPr>
      </w:pPr>
    </w:p>
    <w:p w14:paraId="3CBE54FB">
      <w:pPr>
        <w:keepNext w:val="0"/>
        <w:keepLines w:val="0"/>
        <w:pageBreakBefore w:val="0"/>
        <w:widowControl/>
        <w:kinsoku w:val="0"/>
        <w:wordWrap/>
        <w:overflowPunct/>
        <w:topLinePunct w:val="0"/>
        <w:autoSpaceDE w:val="0"/>
        <w:autoSpaceDN w:val="0"/>
        <w:bidi w:val="0"/>
        <w:adjustRightInd w:val="0"/>
        <w:snapToGrid w:val="0"/>
        <w:spacing w:before="10"/>
        <w:textAlignment w:val="baseline"/>
        <w:outlineLvl w:val="9"/>
        <w:rPr>
          <w:rFonts w:hint="eastAsia" w:ascii="仿宋" w:hAnsi="仿宋" w:eastAsia="仿宋" w:cs="仿宋"/>
          <w:color w:val="auto"/>
          <w:sz w:val="24"/>
          <w:szCs w:val="24"/>
          <w:highlight w:val="none"/>
        </w:rPr>
      </w:pPr>
    </w:p>
    <w:p w14:paraId="3452B21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sectPr>
          <w:footerReference r:id="rId30" w:type="default"/>
          <w:pgSz w:w="11906" w:h="16839"/>
          <w:pgMar w:top="1427" w:right="1611" w:bottom="1171" w:left="1708" w:header="0" w:footer="992" w:gutter="0"/>
          <w:pgNumType w:fmt="decimal"/>
          <w:cols w:equalWidth="0" w:num="1">
            <w:col w:w="8587"/>
          </w:cols>
        </w:sectPr>
      </w:pPr>
    </w:p>
    <w:p w14:paraId="120C4572">
      <w:pPr>
        <w:pStyle w:val="2"/>
        <w:keepNext w:val="0"/>
        <w:keepLines w:val="0"/>
        <w:pageBreakBefore w:val="0"/>
        <w:widowControl/>
        <w:kinsoku w:val="0"/>
        <w:wordWrap/>
        <w:overflowPunct/>
        <w:topLinePunct w:val="0"/>
        <w:autoSpaceDE w:val="0"/>
        <w:autoSpaceDN w:val="0"/>
        <w:bidi w:val="0"/>
        <w:adjustRightInd w:val="0"/>
        <w:snapToGrid w:val="0"/>
        <w:spacing w:before="44" w:line="228" w:lineRule="auto"/>
        <w:ind w:left="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法定代表人或其委托代理人：</w:t>
      </w:r>
    </w:p>
    <w:p w14:paraId="15D6210A">
      <w:pPr>
        <w:pStyle w:val="2"/>
        <w:keepNext w:val="0"/>
        <w:keepLines w:val="0"/>
        <w:pageBreakBefore w:val="0"/>
        <w:widowControl/>
        <w:kinsoku w:val="0"/>
        <w:wordWrap/>
        <w:overflowPunct/>
        <w:topLinePunct w:val="0"/>
        <w:autoSpaceDE w:val="0"/>
        <w:autoSpaceDN w:val="0"/>
        <w:bidi w:val="0"/>
        <w:adjustRightInd w:val="0"/>
        <w:snapToGrid w:val="0"/>
        <w:spacing w:line="220" w:lineRule="auto"/>
        <w:ind w:left="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（签字）</w:t>
      </w:r>
    </w:p>
    <w:p w14:paraId="49197249">
      <w:pPr>
        <w:pStyle w:val="2"/>
        <w:keepNext w:val="0"/>
        <w:keepLines w:val="0"/>
        <w:pageBreakBefore w:val="0"/>
        <w:widowControl/>
        <w:kinsoku w:val="0"/>
        <w:wordWrap/>
        <w:overflowPunct/>
        <w:topLinePunct w:val="0"/>
        <w:autoSpaceDE w:val="0"/>
        <w:autoSpaceDN w:val="0"/>
        <w:bidi w:val="0"/>
        <w:adjustRightInd w:val="0"/>
        <w:snapToGrid w:val="0"/>
        <w:spacing w:before="278" w:line="219" w:lineRule="auto"/>
        <w:ind w:left="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统一社会信用代码：</w:t>
      </w:r>
      <w:r>
        <w:rPr>
          <w:rFonts w:hint="eastAsia" w:ascii="仿宋" w:hAnsi="仿宋" w:eastAsia="仿宋" w:cs="仿宋"/>
          <w:color w:val="auto"/>
          <w:sz w:val="24"/>
          <w:szCs w:val="24"/>
          <w:highlight w:val="none"/>
          <w:u w:val="single" w:color="auto"/>
        </w:rPr>
        <w:t xml:space="preserve">            </w:t>
      </w:r>
    </w:p>
    <w:p w14:paraId="43F0669F">
      <w:pPr>
        <w:pStyle w:val="2"/>
        <w:keepNext w:val="0"/>
        <w:keepLines w:val="0"/>
        <w:pageBreakBefore w:val="0"/>
        <w:widowControl/>
        <w:kinsoku w:val="0"/>
        <w:wordWrap/>
        <w:overflowPunct/>
        <w:topLinePunct w:val="0"/>
        <w:autoSpaceDE w:val="0"/>
        <w:autoSpaceDN w:val="0"/>
        <w:bidi w:val="0"/>
        <w:adjustRightInd w:val="0"/>
        <w:snapToGrid w:val="0"/>
        <w:spacing w:before="7" w:line="228" w:lineRule="auto"/>
        <w:ind w:left="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地址：</w:t>
      </w:r>
      <w:r>
        <w:rPr>
          <w:rFonts w:hint="eastAsia" w:ascii="仿宋" w:hAnsi="仿宋" w:eastAsia="仿宋" w:cs="仿宋"/>
          <w:color w:val="auto"/>
          <w:sz w:val="24"/>
          <w:szCs w:val="24"/>
          <w:highlight w:val="none"/>
          <w:u w:val="single" w:color="auto"/>
        </w:rPr>
        <w:t xml:space="preserve">                       </w:t>
      </w:r>
    </w:p>
    <w:p w14:paraId="66142F46">
      <w:pPr>
        <w:pStyle w:val="2"/>
        <w:keepNext w:val="0"/>
        <w:keepLines w:val="0"/>
        <w:pageBreakBefore w:val="0"/>
        <w:widowControl/>
        <w:kinsoku w:val="0"/>
        <w:wordWrap/>
        <w:overflowPunct/>
        <w:topLinePunct w:val="0"/>
        <w:autoSpaceDE w:val="0"/>
        <w:autoSpaceDN w:val="0"/>
        <w:bidi w:val="0"/>
        <w:adjustRightInd w:val="0"/>
        <w:snapToGrid w:val="0"/>
        <w:spacing w:before="1" w:line="225" w:lineRule="auto"/>
        <w:ind w:left="1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邮政编码：</w:t>
      </w:r>
      <w:r>
        <w:rPr>
          <w:rFonts w:hint="eastAsia" w:ascii="仿宋" w:hAnsi="仿宋" w:eastAsia="仿宋" w:cs="仿宋"/>
          <w:color w:val="auto"/>
          <w:sz w:val="24"/>
          <w:szCs w:val="24"/>
          <w:highlight w:val="none"/>
          <w:u w:val="single" w:color="auto"/>
        </w:rPr>
        <w:t xml:space="preserve">                      </w:t>
      </w:r>
    </w:p>
    <w:p w14:paraId="04692B2B">
      <w:pPr>
        <w:pStyle w:val="2"/>
        <w:keepNext w:val="0"/>
        <w:keepLines w:val="0"/>
        <w:pageBreakBefore w:val="0"/>
        <w:widowControl/>
        <w:kinsoku w:val="0"/>
        <w:wordWrap/>
        <w:overflowPunct/>
        <w:topLinePunct w:val="0"/>
        <w:autoSpaceDE w:val="0"/>
        <w:autoSpaceDN w:val="0"/>
        <w:bidi w:val="0"/>
        <w:adjustRightInd w:val="0"/>
        <w:snapToGrid w:val="0"/>
        <w:spacing w:line="220" w:lineRule="auto"/>
        <w:ind w:left="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法定代表人：</w:t>
      </w:r>
      <w:r>
        <w:rPr>
          <w:rFonts w:hint="eastAsia" w:ascii="仿宋" w:hAnsi="仿宋" w:eastAsia="仿宋" w:cs="仿宋"/>
          <w:color w:val="auto"/>
          <w:sz w:val="24"/>
          <w:szCs w:val="24"/>
          <w:highlight w:val="none"/>
          <w:u w:val="single" w:color="auto"/>
        </w:rPr>
        <w:t xml:space="preserve">                 </w:t>
      </w:r>
    </w:p>
    <w:p w14:paraId="55615AE0">
      <w:pPr>
        <w:pStyle w:val="2"/>
        <w:keepNext w:val="0"/>
        <w:keepLines w:val="0"/>
        <w:pageBreakBefore w:val="0"/>
        <w:widowControl/>
        <w:kinsoku w:val="0"/>
        <w:wordWrap/>
        <w:overflowPunct/>
        <w:topLinePunct w:val="0"/>
        <w:autoSpaceDE w:val="0"/>
        <w:autoSpaceDN w:val="0"/>
        <w:bidi w:val="0"/>
        <w:adjustRightInd w:val="0"/>
        <w:snapToGrid w:val="0"/>
        <w:spacing w:before="8" w:line="226" w:lineRule="auto"/>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委托代理人：</w:t>
      </w:r>
      <w:r>
        <w:rPr>
          <w:rFonts w:hint="eastAsia" w:ascii="仿宋" w:hAnsi="仿宋" w:eastAsia="仿宋" w:cs="仿宋"/>
          <w:color w:val="auto"/>
          <w:sz w:val="24"/>
          <w:szCs w:val="24"/>
          <w:highlight w:val="none"/>
          <w:u w:val="single" w:color="auto"/>
        </w:rPr>
        <w:t xml:space="preserve">                 </w:t>
      </w:r>
    </w:p>
    <w:p w14:paraId="48A3F2E7">
      <w:pPr>
        <w:pStyle w:val="2"/>
        <w:keepNext w:val="0"/>
        <w:keepLines w:val="0"/>
        <w:pageBreakBefore w:val="0"/>
        <w:widowControl/>
        <w:kinsoku w:val="0"/>
        <w:wordWrap/>
        <w:overflowPunct/>
        <w:topLinePunct w:val="0"/>
        <w:autoSpaceDE w:val="0"/>
        <w:autoSpaceDN w:val="0"/>
        <w:bidi w:val="0"/>
        <w:adjustRightInd w:val="0"/>
        <w:snapToGrid w:val="0"/>
        <w:spacing w:before="1" w:line="222"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电话：</w:t>
      </w:r>
      <w:r>
        <w:rPr>
          <w:rFonts w:hint="eastAsia" w:ascii="仿宋" w:hAnsi="仿宋" w:eastAsia="仿宋" w:cs="仿宋"/>
          <w:color w:val="auto"/>
          <w:sz w:val="24"/>
          <w:szCs w:val="24"/>
          <w:highlight w:val="none"/>
          <w:u w:val="single" w:color="auto"/>
        </w:rPr>
        <w:t xml:space="preserve">                       </w:t>
      </w:r>
    </w:p>
    <w:p w14:paraId="419F621B">
      <w:pPr>
        <w:pStyle w:val="2"/>
        <w:keepNext w:val="0"/>
        <w:keepLines w:val="0"/>
        <w:pageBreakBefore w:val="0"/>
        <w:widowControl/>
        <w:kinsoku w:val="0"/>
        <w:wordWrap/>
        <w:overflowPunct/>
        <w:topLinePunct w:val="0"/>
        <w:autoSpaceDE w:val="0"/>
        <w:autoSpaceDN w:val="0"/>
        <w:bidi w:val="0"/>
        <w:adjustRightInd w:val="0"/>
        <w:snapToGrid w:val="0"/>
        <w:spacing w:before="6" w:line="219" w:lineRule="auto"/>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 xml:space="preserve">传真： </w:t>
      </w:r>
      <w:r>
        <w:rPr>
          <w:rFonts w:hint="eastAsia" w:ascii="仿宋" w:hAnsi="仿宋" w:eastAsia="仿宋" w:cs="仿宋"/>
          <w:color w:val="auto"/>
          <w:sz w:val="24"/>
          <w:szCs w:val="24"/>
          <w:highlight w:val="none"/>
          <w:u w:val="single" w:color="auto"/>
        </w:rPr>
        <w:t xml:space="preserve">                      </w:t>
      </w:r>
    </w:p>
    <w:p w14:paraId="4744CECF">
      <w:pPr>
        <w:pStyle w:val="2"/>
        <w:keepNext w:val="0"/>
        <w:keepLines w:val="0"/>
        <w:pageBreakBefore w:val="0"/>
        <w:widowControl/>
        <w:kinsoku w:val="0"/>
        <w:wordWrap/>
        <w:overflowPunct/>
        <w:topLinePunct w:val="0"/>
        <w:autoSpaceDE w:val="0"/>
        <w:autoSpaceDN w:val="0"/>
        <w:bidi w:val="0"/>
        <w:adjustRightInd w:val="0"/>
        <w:snapToGrid w:val="0"/>
        <w:spacing w:before="8" w:line="220"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电子信箱：</w:t>
      </w:r>
      <w:r>
        <w:rPr>
          <w:rFonts w:hint="eastAsia" w:ascii="仿宋" w:hAnsi="仿宋" w:eastAsia="仿宋" w:cs="仿宋"/>
          <w:color w:val="auto"/>
          <w:sz w:val="24"/>
          <w:szCs w:val="24"/>
          <w:highlight w:val="none"/>
          <w:u w:val="single" w:color="auto"/>
        </w:rPr>
        <w:t xml:space="preserve">                     </w:t>
      </w:r>
    </w:p>
    <w:p w14:paraId="25116092">
      <w:pPr>
        <w:pStyle w:val="2"/>
        <w:keepNext w:val="0"/>
        <w:keepLines w:val="0"/>
        <w:pageBreakBefore w:val="0"/>
        <w:widowControl/>
        <w:kinsoku w:val="0"/>
        <w:wordWrap/>
        <w:overflowPunct/>
        <w:topLinePunct w:val="0"/>
        <w:autoSpaceDE w:val="0"/>
        <w:autoSpaceDN w:val="0"/>
        <w:bidi w:val="0"/>
        <w:adjustRightInd w:val="0"/>
        <w:snapToGrid w:val="0"/>
        <w:spacing w:before="9" w:line="221" w:lineRule="auto"/>
        <w:ind w:left="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开户银行：</w:t>
      </w:r>
      <w:r>
        <w:rPr>
          <w:rFonts w:hint="eastAsia" w:ascii="仿宋" w:hAnsi="仿宋" w:eastAsia="仿宋" w:cs="仿宋"/>
          <w:color w:val="auto"/>
          <w:sz w:val="24"/>
          <w:szCs w:val="24"/>
          <w:highlight w:val="none"/>
          <w:u w:val="single" w:color="auto"/>
        </w:rPr>
        <w:t xml:space="preserve">                    </w:t>
      </w:r>
    </w:p>
    <w:p w14:paraId="78856A49">
      <w:pPr>
        <w:pStyle w:val="2"/>
        <w:keepNext w:val="0"/>
        <w:keepLines w:val="0"/>
        <w:pageBreakBefore w:val="0"/>
        <w:widowControl/>
        <w:kinsoku w:val="0"/>
        <w:wordWrap/>
        <w:overflowPunct/>
        <w:topLinePunct w:val="0"/>
        <w:autoSpaceDE w:val="0"/>
        <w:autoSpaceDN w:val="0"/>
        <w:bidi w:val="0"/>
        <w:adjustRightInd w:val="0"/>
        <w:snapToGrid w:val="0"/>
        <w:spacing w:before="5" w:line="185" w:lineRule="auto"/>
        <w:ind w:left="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账号：</w:t>
      </w:r>
      <w:r>
        <w:rPr>
          <w:rFonts w:hint="eastAsia" w:ascii="仿宋" w:hAnsi="仿宋" w:eastAsia="仿宋" w:cs="仿宋"/>
          <w:color w:val="auto"/>
          <w:sz w:val="24"/>
          <w:szCs w:val="24"/>
          <w:highlight w:val="none"/>
          <w:u w:val="single" w:color="auto"/>
        </w:rPr>
        <w:t xml:space="preserve">                       </w:t>
      </w:r>
    </w:p>
    <w:p w14:paraId="444FBA73">
      <w:pPr>
        <w:keepNext w:val="0"/>
        <w:keepLines w:val="0"/>
        <w:pageBreakBefore w:val="0"/>
        <w:widowControl/>
        <w:kinsoku w:val="0"/>
        <w:wordWrap/>
        <w:overflowPunct/>
        <w:topLinePunct w:val="0"/>
        <w:autoSpaceDE w:val="0"/>
        <w:autoSpaceDN w:val="0"/>
        <w:bidi w:val="0"/>
        <w:adjustRightInd w:val="0"/>
        <w:snapToGrid w:val="0"/>
        <w:spacing w:line="14" w:lineRule="auto"/>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column"/>
      </w:r>
    </w:p>
    <w:p w14:paraId="098BFCAD">
      <w:pPr>
        <w:pStyle w:val="2"/>
        <w:keepNext w:val="0"/>
        <w:keepLines w:val="0"/>
        <w:pageBreakBefore w:val="0"/>
        <w:widowControl/>
        <w:kinsoku w:val="0"/>
        <w:wordWrap/>
        <w:overflowPunct/>
        <w:topLinePunct w:val="0"/>
        <w:autoSpaceDE w:val="0"/>
        <w:autoSpaceDN w:val="0"/>
        <w:bidi w:val="0"/>
        <w:adjustRightInd w:val="0"/>
        <w:snapToGrid w:val="0"/>
        <w:spacing w:before="42" w:line="228" w:lineRule="auto"/>
        <w:ind w:left="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法定代表人或其委托代理人：</w:t>
      </w:r>
    </w:p>
    <w:p w14:paraId="4844D1FE">
      <w:pPr>
        <w:pStyle w:val="2"/>
        <w:keepNext w:val="0"/>
        <w:keepLines w:val="0"/>
        <w:pageBreakBefore w:val="0"/>
        <w:widowControl/>
        <w:kinsoku w:val="0"/>
        <w:wordWrap/>
        <w:overflowPunct/>
        <w:topLinePunct w:val="0"/>
        <w:autoSpaceDE w:val="0"/>
        <w:autoSpaceDN w:val="0"/>
        <w:bidi w:val="0"/>
        <w:adjustRightInd w:val="0"/>
        <w:snapToGrid w:val="0"/>
        <w:spacing w:before="1" w:line="220" w:lineRule="auto"/>
        <w:ind w:left="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（签字）</w:t>
      </w:r>
    </w:p>
    <w:p w14:paraId="52C719DB">
      <w:pPr>
        <w:pStyle w:val="2"/>
        <w:keepNext w:val="0"/>
        <w:keepLines w:val="0"/>
        <w:pageBreakBefore w:val="0"/>
        <w:widowControl/>
        <w:kinsoku w:val="0"/>
        <w:wordWrap/>
        <w:overflowPunct/>
        <w:topLinePunct w:val="0"/>
        <w:autoSpaceDE w:val="0"/>
        <w:autoSpaceDN w:val="0"/>
        <w:bidi w:val="0"/>
        <w:adjustRightInd w:val="0"/>
        <w:snapToGrid w:val="0"/>
        <w:spacing w:before="278" w:line="219" w:lineRule="auto"/>
        <w:ind w:left="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统一社会信用代码：</w:t>
      </w:r>
      <w:r>
        <w:rPr>
          <w:rFonts w:hint="eastAsia" w:ascii="仿宋" w:hAnsi="仿宋" w:eastAsia="仿宋" w:cs="仿宋"/>
          <w:color w:val="auto"/>
          <w:sz w:val="24"/>
          <w:szCs w:val="24"/>
          <w:highlight w:val="none"/>
          <w:u w:val="single" w:color="auto"/>
        </w:rPr>
        <w:t xml:space="preserve">            </w:t>
      </w:r>
    </w:p>
    <w:p w14:paraId="4A63AA34">
      <w:pPr>
        <w:pStyle w:val="2"/>
        <w:keepNext w:val="0"/>
        <w:keepLines w:val="0"/>
        <w:pageBreakBefore w:val="0"/>
        <w:widowControl/>
        <w:kinsoku w:val="0"/>
        <w:wordWrap/>
        <w:overflowPunct/>
        <w:topLinePunct w:val="0"/>
        <w:autoSpaceDE w:val="0"/>
        <w:autoSpaceDN w:val="0"/>
        <w:bidi w:val="0"/>
        <w:adjustRightInd w:val="0"/>
        <w:snapToGrid w:val="0"/>
        <w:spacing w:before="7" w:line="228" w:lineRule="auto"/>
        <w:ind w:left="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地址：</w:t>
      </w:r>
      <w:r>
        <w:rPr>
          <w:rFonts w:hint="eastAsia" w:ascii="仿宋" w:hAnsi="仿宋" w:eastAsia="仿宋" w:cs="仿宋"/>
          <w:color w:val="auto"/>
          <w:sz w:val="24"/>
          <w:szCs w:val="24"/>
          <w:highlight w:val="none"/>
          <w:u w:val="single" w:color="auto"/>
        </w:rPr>
        <w:t xml:space="preserve">                        </w:t>
      </w:r>
    </w:p>
    <w:p w14:paraId="0D0E3AD9">
      <w:pPr>
        <w:pStyle w:val="2"/>
        <w:keepNext w:val="0"/>
        <w:keepLines w:val="0"/>
        <w:pageBreakBefore w:val="0"/>
        <w:widowControl/>
        <w:kinsoku w:val="0"/>
        <w:wordWrap/>
        <w:overflowPunct/>
        <w:topLinePunct w:val="0"/>
        <w:autoSpaceDE w:val="0"/>
        <w:autoSpaceDN w:val="0"/>
        <w:bidi w:val="0"/>
        <w:adjustRightInd w:val="0"/>
        <w:snapToGrid w:val="0"/>
        <w:spacing w:before="2" w:line="222" w:lineRule="auto"/>
        <w:ind w:left="2" w:right="567" w:firstLine="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邮政编码：</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7"/>
          <w:sz w:val="24"/>
          <w:szCs w:val="24"/>
          <w:highlight w:val="none"/>
        </w:rPr>
        <w:t xml:space="preserve"> </w:t>
      </w:r>
      <w:r>
        <w:rPr>
          <w:rFonts w:hint="eastAsia" w:ascii="仿宋" w:hAnsi="仿宋" w:eastAsia="仿宋" w:cs="仿宋"/>
          <w:color w:val="auto"/>
          <w:spacing w:val="-2"/>
          <w:sz w:val="24"/>
          <w:szCs w:val="24"/>
          <w:highlight w:val="none"/>
        </w:rPr>
        <w:t>法定代表人：</w:t>
      </w:r>
      <w:r>
        <w:rPr>
          <w:rFonts w:hint="eastAsia" w:ascii="仿宋" w:hAnsi="仿宋" w:eastAsia="仿宋" w:cs="仿宋"/>
          <w:color w:val="auto"/>
          <w:sz w:val="24"/>
          <w:szCs w:val="24"/>
          <w:highlight w:val="none"/>
          <w:u w:val="single" w:color="auto"/>
        </w:rPr>
        <w:t xml:space="preserve">                  </w:t>
      </w:r>
    </w:p>
    <w:p w14:paraId="17B0E028">
      <w:pPr>
        <w:pStyle w:val="2"/>
        <w:keepNext w:val="0"/>
        <w:keepLines w:val="0"/>
        <w:pageBreakBefore w:val="0"/>
        <w:widowControl/>
        <w:kinsoku w:val="0"/>
        <w:wordWrap/>
        <w:overflowPunct/>
        <w:topLinePunct w:val="0"/>
        <w:autoSpaceDE w:val="0"/>
        <w:autoSpaceDN w:val="0"/>
        <w:bidi w:val="0"/>
        <w:adjustRightInd w:val="0"/>
        <w:snapToGrid w:val="0"/>
        <w:spacing w:before="8" w:line="226" w:lineRule="auto"/>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委托代理人：</w:t>
      </w:r>
      <w:r>
        <w:rPr>
          <w:rFonts w:hint="eastAsia" w:ascii="仿宋" w:hAnsi="仿宋" w:eastAsia="仿宋" w:cs="仿宋"/>
          <w:color w:val="auto"/>
          <w:sz w:val="24"/>
          <w:szCs w:val="24"/>
          <w:highlight w:val="none"/>
          <w:u w:val="single" w:color="auto"/>
        </w:rPr>
        <w:t xml:space="preserve">                 </w:t>
      </w:r>
    </w:p>
    <w:p w14:paraId="4DE51357">
      <w:pPr>
        <w:pStyle w:val="2"/>
        <w:keepNext w:val="0"/>
        <w:keepLines w:val="0"/>
        <w:pageBreakBefore w:val="0"/>
        <w:widowControl/>
        <w:kinsoku w:val="0"/>
        <w:wordWrap/>
        <w:overflowPunct/>
        <w:topLinePunct w:val="0"/>
        <w:autoSpaceDE w:val="0"/>
        <w:autoSpaceDN w:val="0"/>
        <w:bidi w:val="0"/>
        <w:adjustRightInd w:val="0"/>
        <w:snapToGrid w:val="0"/>
        <w:spacing w:line="222"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电话：</w:t>
      </w:r>
      <w:r>
        <w:rPr>
          <w:rFonts w:hint="eastAsia" w:ascii="仿宋" w:hAnsi="仿宋" w:eastAsia="仿宋" w:cs="仿宋"/>
          <w:color w:val="auto"/>
          <w:sz w:val="24"/>
          <w:szCs w:val="24"/>
          <w:highlight w:val="none"/>
          <w:u w:val="single" w:color="auto"/>
        </w:rPr>
        <w:t xml:space="preserve">                       </w:t>
      </w:r>
    </w:p>
    <w:p w14:paraId="21A9F98E">
      <w:pPr>
        <w:pStyle w:val="2"/>
        <w:keepNext w:val="0"/>
        <w:keepLines w:val="0"/>
        <w:pageBreakBefore w:val="0"/>
        <w:widowControl/>
        <w:kinsoku w:val="0"/>
        <w:wordWrap/>
        <w:overflowPunct/>
        <w:topLinePunct w:val="0"/>
        <w:autoSpaceDE w:val="0"/>
        <w:autoSpaceDN w:val="0"/>
        <w:bidi w:val="0"/>
        <w:adjustRightInd w:val="0"/>
        <w:snapToGrid w:val="0"/>
        <w:spacing w:before="7" w:line="219" w:lineRule="auto"/>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传真：</w:t>
      </w:r>
      <w:r>
        <w:rPr>
          <w:rFonts w:hint="eastAsia" w:ascii="仿宋" w:hAnsi="仿宋" w:eastAsia="仿宋" w:cs="仿宋"/>
          <w:color w:val="auto"/>
          <w:sz w:val="24"/>
          <w:szCs w:val="24"/>
          <w:highlight w:val="none"/>
          <w:u w:val="single" w:color="auto"/>
        </w:rPr>
        <w:t xml:space="preserve">                       </w:t>
      </w:r>
    </w:p>
    <w:p w14:paraId="132EF8BF">
      <w:pPr>
        <w:pStyle w:val="2"/>
        <w:keepNext w:val="0"/>
        <w:keepLines w:val="0"/>
        <w:pageBreakBefore w:val="0"/>
        <w:widowControl/>
        <w:kinsoku w:val="0"/>
        <w:wordWrap/>
        <w:overflowPunct/>
        <w:topLinePunct w:val="0"/>
        <w:autoSpaceDE w:val="0"/>
        <w:autoSpaceDN w:val="0"/>
        <w:bidi w:val="0"/>
        <w:adjustRightInd w:val="0"/>
        <w:snapToGrid w:val="0"/>
        <w:spacing w:before="8" w:line="220"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电子信箱：</w:t>
      </w:r>
      <w:r>
        <w:rPr>
          <w:rFonts w:hint="eastAsia" w:ascii="仿宋" w:hAnsi="仿宋" w:eastAsia="仿宋" w:cs="仿宋"/>
          <w:color w:val="auto"/>
          <w:sz w:val="24"/>
          <w:szCs w:val="24"/>
          <w:highlight w:val="none"/>
          <w:u w:val="single" w:color="auto"/>
        </w:rPr>
        <w:t xml:space="preserve">                   </w:t>
      </w:r>
    </w:p>
    <w:p w14:paraId="0D49916D">
      <w:pPr>
        <w:pStyle w:val="2"/>
        <w:keepNext w:val="0"/>
        <w:keepLines w:val="0"/>
        <w:pageBreakBefore w:val="0"/>
        <w:widowControl/>
        <w:kinsoku w:val="0"/>
        <w:wordWrap/>
        <w:overflowPunct/>
        <w:topLinePunct w:val="0"/>
        <w:autoSpaceDE w:val="0"/>
        <w:autoSpaceDN w:val="0"/>
        <w:bidi w:val="0"/>
        <w:adjustRightInd w:val="0"/>
        <w:snapToGrid w:val="0"/>
        <w:spacing w:before="8" w:line="221" w:lineRule="auto"/>
        <w:ind w:left="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开户银行：</w:t>
      </w:r>
      <w:r>
        <w:rPr>
          <w:rFonts w:hint="eastAsia" w:ascii="仿宋" w:hAnsi="仿宋" w:eastAsia="仿宋" w:cs="仿宋"/>
          <w:color w:val="auto"/>
          <w:sz w:val="24"/>
          <w:szCs w:val="24"/>
          <w:highlight w:val="none"/>
          <w:u w:val="single" w:color="auto"/>
        </w:rPr>
        <w:t xml:space="preserve">                   </w:t>
      </w:r>
    </w:p>
    <w:p w14:paraId="077F34DB">
      <w:pPr>
        <w:pStyle w:val="2"/>
        <w:keepNext w:val="0"/>
        <w:keepLines w:val="0"/>
        <w:pageBreakBefore w:val="0"/>
        <w:widowControl/>
        <w:kinsoku w:val="0"/>
        <w:wordWrap/>
        <w:overflowPunct/>
        <w:topLinePunct w:val="0"/>
        <w:autoSpaceDE w:val="0"/>
        <w:autoSpaceDN w:val="0"/>
        <w:bidi w:val="0"/>
        <w:adjustRightInd w:val="0"/>
        <w:snapToGrid w:val="0"/>
        <w:spacing w:before="6" w:line="185" w:lineRule="auto"/>
        <w:ind w:left="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账号：</w:t>
      </w:r>
      <w:r>
        <w:rPr>
          <w:rFonts w:hint="eastAsia" w:ascii="仿宋" w:hAnsi="仿宋" w:eastAsia="仿宋" w:cs="仿宋"/>
          <w:color w:val="auto"/>
          <w:sz w:val="24"/>
          <w:szCs w:val="24"/>
          <w:highlight w:val="none"/>
          <w:u w:val="single" w:color="auto"/>
        </w:rPr>
        <w:t xml:space="preserve">                       </w:t>
      </w:r>
    </w:p>
    <w:p w14:paraId="585F7EE7">
      <w:pPr>
        <w:keepNext w:val="0"/>
        <w:keepLines w:val="0"/>
        <w:pageBreakBefore w:val="0"/>
        <w:widowControl/>
        <w:kinsoku w:val="0"/>
        <w:wordWrap/>
        <w:overflowPunct/>
        <w:topLinePunct w:val="0"/>
        <w:autoSpaceDE w:val="0"/>
        <w:autoSpaceDN w:val="0"/>
        <w:bidi w:val="0"/>
        <w:adjustRightInd w:val="0"/>
        <w:snapToGrid w:val="0"/>
        <w:spacing w:line="185" w:lineRule="auto"/>
        <w:textAlignment w:val="baseline"/>
        <w:outlineLvl w:val="9"/>
        <w:rPr>
          <w:rFonts w:hint="eastAsia" w:ascii="仿宋" w:hAnsi="仿宋" w:eastAsia="仿宋" w:cs="仿宋"/>
          <w:color w:val="auto"/>
          <w:sz w:val="24"/>
          <w:szCs w:val="24"/>
          <w:highlight w:val="none"/>
        </w:rPr>
        <w:sectPr>
          <w:type w:val="continuous"/>
          <w:pgSz w:w="11906" w:h="16839"/>
          <w:pgMar w:top="1427" w:right="1611" w:bottom="1171" w:left="1708" w:header="0" w:footer="992" w:gutter="0"/>
          <w:pgNumType w:fmt="decimal"/>
          <w:cols w:equalWidth="0" w:num="2">
            <w:col w:w="4408" w:space="100"/>
            <w:col w:w="4080"/>
          </w:cols>
        </w:sectPr>
      </w:pPr>
    </w:p>
    <w:p w14:paraId="4471A823">
      <w:pPr>
        <w:pStyle w:val="2"/>
        <w:keepNext w:val="0"/>
        <w:keepLines w:val="0"/>
        <w:pageBreakBefore w:val="0"/>
        <w:widowControl/>
        <w:kinsoku w:val="0"/>
        <w:wordWrap/>
        <w:overflowPunct/>
        <w:topLinePunct w:val="0"/>
        <w:autoSpaceDE w:val="0"/>
        <w:autoSpaceDN w:val="0"/>
        <w:bidi w:val="0"/>
        <w:adjustRightInd w:val="0"/>
        <w:snapToGrid w:val="0"/>
        <w:spacing w:before="100" w:line="184" w:lineRule="auto"/>
        <w:ind w:left="299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第二部分 通用合同条件</w:t>
      </w:r>
    </w:p>
    <w:p w14:paraId="72F168D7">
      <w:pPr>
        <w:keepNext w:val="0"/>
        <w:keepLines w:val="0"/>
        <w:pageBreakBefore w:val="0"/>
        <w:widowControl/>
        <w:kinsoku w:val="0"/>
        <w:wordWrap/>
        <w:overflowPunct/>
        <w:topLinePunct w:val="0"/>
        <w:autoSpaceDE w:val="0"/>
        <w:autoSpaceDN w:val="0"/>
        <w:bidi w:val="0"/>
        <w:adjustRightInd w:val="0"/>
        <w:snapToGrid w:val="0"/>
        <w:spacing w:line="184" w:lineRule="auto"/>
        <w:textAlignment w:val="baseline"/>
        <w:outlineLvl w:val="9"/>
        <w:rPr>
          <w:rFonts w:hint="eastAsia" w:ascii="仿宋" w:hAnsi="仿宋" w:eastAsia="仿宋" w:cs="仿宋"/>
          <w:color w:val="auto"/>
          <w:sz w:val="24"/>
          <w:szCs w:val="24"/>
          <w:highlight w:val="none"/>
        </w:rPr>
        <w:sectPr>
          <w:type w:val="continuous"/>
          <w:pgSz w:w="11906" w:h="16839"/>
          <w:pgMar w:top="1427" w:right="1611" w:bottom="1171" w:left="1708" w:header="0" w:footer="992" w:gutter="0"/>
          <w:pgNumType w:fmt="decimal"/>
          <w:cols w:equalWidth="0" w:num="1">
            <w:col w:w="8587"/>
          </w:cols>
        </w:sectPr>
      </w:pPr>
    </w:p>
    <w:p w14:paraId="2C7437A2">
      <w:pPr>
        <w:pStyle w:val="2"/>
        <w:keepNext w:val="0"/>
        <w:keepLines w:val="0"/>
        <w:pageBreakBefore w:val="0"/>
        <w:widowControl/>
        <w:kinsoku w:val="0"/>
        <w:wordWrap/>
        <w:overflowPunct/>
        <w:topLinePunct w:val="0"/>
        <w:autoSpaceDE w:val="0"/>
        <w:autoSpaceDN w:val="0"/>
        <w:bidi w:val="0"/>
        <w:adjustRightInd w:val="0"/>
        <w:snapToGrid w:val="0"/>
        <w:spacing w:before="41" w:line="228" w:lineRule="auto"/>
        <w:ind w:left="343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第1条</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5"/>
          <w:sz w:val="24"/>
          <w:szCs w:val="24"/>
          <w:highlight w:val="none"/>
        </w:rPr>
        <w:t>一般约定</w:t>
      </w:r>
    </w:p>
    <w:p w14:paraId="7858E266">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1.1 词语定义和解释</w:t>
      </w:r>
    </w:p>
    <w:p w14:paraId="4F998F0F">
      <w:pPr>
        <w:pStyle w:val="2"/>
        <w:keepNext w:val="0"/>
        <w:keepLines w:val="0"/>
        <w:pageBreakBefore w:val="0"/>
        <w:widowControl/>
        <w:kinsoku w:val="0"/>
        <w:wordWrap/>
        <w:overflowPunct/>
        <w:topLinePunct w:val="0"/>
        <w:autoSpaceDE w:val="0"/>
        <w:autoSpaceDN w:val="0"/>
        <w:bidi w:val="0"/>
        <w:adjustRightInd w:val="0"/>
        <w:snapToGrid w:val="0"/>
        <w:spacing w:before="144" w:line="227"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合同协议书、通用合同条件、专用合同条件中的下列词语应具有本款所赋予的含义：</w:t>
      </w:r>
    </w:p>
    <w:p w14:paraId="175D06B0">
      <w:pPr>
        <w:pStyle w:val="2"/>
        <w:keepNext w:val="0"/>
        <w:keepLines w:val="0"/>
        <w:pageBreakBefore w:val="0"/>
        <w:widowControl/>
        <w:kinsoku w:val="0"/>
        <w:wordWrap/>
        <w:overflowPunct/>
        <w:topLinePunct w:val="0"/>
        <w:autoSpaceDE w:val="0"/>
        <w:autoSpaceDN w:val="0"/>
        <w:bidi w:val="0"/>
        <w:adjustRightInd w:val="0"/>
        <w:snapToGrid w:val="0"/>
        <w:spacing w:before="27" w:line="230"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1.1.1</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1"/>
          <w:sz w:val="24"/>
          <w:szCs w:val="24"/>
          <w:highlight w:val="none"/>
        </w:rPr>
        <w:t>合同</w:t>
      </w:r>
    </w:p>
    <w:p w14:paraId="524858D7">
      <w:pPr>
        <w:pStyle w:val="2"/>
        <w:keepNext w:val="0"/>
        <w:keepLines w:val="0"/>
        <w:pageBreakBefore w:val="0"/>
        <w:widowControl/>
        <w:kinsoku w:val="0"/>
        <w:wordWrap/>
        <w:overflowPunct/>
        <w:topLinePunct w:val="0"/>
        <w:autoSpaceDE w:val="0"/>
        <w:autoSpaceDN w:val="0"/>
        <w:bidi w:val="0"/>
        <w:adjustRightInd w:val="0"/>
        <w:snapToGrid w:val="0"/>
        <w:spacing w:before="141" w:line="246" w:lineRule="auto"/>
        <w:ind w:left="21" w:right="176" w:firstLine="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"1.1.1.1"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1.1.1.1</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合同：是指根据法律规定和合同当事人约定具有约束力的文件，构成合同的文件包</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括合同协议书、中标通知书（如果有）、投标函及其附录（如果有）、专用合同条件及其附</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件、通用合同条件、《发包人要求》、承包人建议书、价格清单以及双方约定的其他合同文</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z w:val="24"/>
          <w:szCs w:val="24"/>
          <w:highlight w:val="none"/>
        </w:rPr>
        <w:t>件。</w:t>
      </w:r>
    </w:p>
    <w:p w14:paraId="232C53A5">
      <w:pPr>
        <w:pStyle w:val="2"/>
        <w:keepNext w:val="0"/>
        <w:keepLines w:val="0"/>
        <w:pageBreakBefore w:val="0"/>
        <w:widowControl/>
        <w:kinsoku w:val="0"/>
        <w:wordWrap/>
        <w:overflowPunct/>
        <w:topLinePunct w:val="0"/>
        <w:autoSpaceDE w:val="0"/>
        <w:autoSpaceDN w:val="0"/>
        <w:bidi w:val="0"/>
        <w:adjustRightInd w:val="0"/>
        <w:snapToGrid w:val="0"/>
        <w:spacing w:before="144"/>
        <w:ind w:left="26" w:right="176" w:firstLine="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"1.1.1.2"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1.1.1.2</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合同协议书：是指构成合同的由发包人和承包人</w:t>
      </w:r>
      <w:r>
        <w:rPr>
          <w:rFonts w:hint="eastAsia" w:ascii="仿宋" w:hAnsi="仿宋" w:eastAsia="仿宋" w:cs="仿宋"/>
          <w:color w:val="auto"/>
          <w:spacing w:val="5"/>
          <w:sz w:val="24"/>
          <w:szCs w:val="24"/>
          <w:highlight w:val="none"/>
        </w:rPr>
        <w:t>共同签署的称为“合同协议书</w:t>
      </w:r>
      <w:r>
        <w:rPr>
          <w:rFonts w:hint="eastAsia" w:ascii="仿宋" w:hAnsi="仿宋" w:eastAsia="仿宋" w:cs="仿宋"/>
          <w:color w:val="auto"/>
          <w:spacing w:val="-70"/>
          <w:sz w:val="24"/>
          <w:szCs w:val="24"/>
          <w:highlight w:val="none"/>
        </w:rPr>
        <w:t xml:space="preserve"> </w:t>
      </w:r>
      <w:r>
        <w:rPr>
          <w:rFonts w:hint="eastAsia" w:ascii="仿宋" w:hAnsi="仿宋" w:eastAsia="仿宋" w:cs="仿宋"/>
          <w:color w:val="auto"/>
          <w:spacing w:val="5"/>
          <w:sz w:val="24"/>
          <w:szCs w:val="24"/>
          <w:highlight w:val="none"/>
        </w:rPr>
        <w:t>”的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书面文件。</w:t>
      </w:r>
    </w:p>
    <w:p w14:paraId="3746F556">
      <w:pPr>
        <w:pStyle w:val="2"/>
        <w:keepNext w:val="0"/>
        <w:keepLines w:val="0"/>
        <w:pageBreakBefore w:val="0"/>
        <w:widowControl/>
        <w:kinsoku w:val="0"/>
        <w:wordWrap/>
        <w:overflowPunct/>
        <w:topLinePunct w:val="0"/>
        <w:autoSpaceDE w:val="0"/>
        <w:autoSpaceDN w:val="0"/>
        <w:bidi w:val="0"/>
        <w:adjustRightInd w:val="0"/>
        <w:snapToGrid w:val="0"/>
        <w:spacing w:before="144" w:line="239" w:lineRule="auto"/>
        <w:ind w:left="37" w:right="17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"1.1.1.3"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1.1.1.3</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6"/>
          <w:sz w:val="24"/>
          <w:szCs w:val="24"/>
          <w:highlight w:val="none"/>
        </w:rPr>
        <w:t>中标通知书：是指构成合同的由发包人通知承包人中标的</w:t>
      </w:r>
      <w:r>
        <w:rPr>
          <w:rFonts w:hint="eastAsia" w:ascii="仿宋" w:hAnsi="仿宋" w:eastAsia="仿宋" w:cs="仿宋"/>
          <w:color w:val="auto"/>
          <w:spacing w:val="5"/>
          <w:sz w:val="24"/>
          <w:szCs w:val="24"/>
          <w:highlight w:val="none"/>
        </w:rPr>
        <w:t>书面文件。中标通知书随</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附的澄清、说明、补正事项纪要等，是中标</w:t>
      </w:r>
      <w:r>
        <w:rPr>
          <w:rFonts w:hint="eastAsia" w:ascii="仿宋" w:hAnsi="仿宋" w:eastAsia="仿宋" w:cs="仿宋"/>
          <w:color w:val="auto"/>
          <w:spacing w:val="8"/>
          <w:sz w:val="24"/>
          <w:szCs w:val="24"/>
          <w:highlight w:val="none"/>
        </w:rPr>
        <w:t>通知书的组成部分。</w:t>
      </w:r>
    </w:p>
    <w:p w14:paraId="0208478B">
      <w:pPr>
        <w:pStyle w:val="2"/>
        <w:keepNext w:val="0"/>
        <w:keepLines w:val="0"/>
        <w:pageBreakBefore w:val="0"/>
        <w:widowControl/>
        <w:kinsoku w:val="0"/>
        <w:wordWrap/>
        <w:overflowPunct/>
        <w:topLinePunct w:val="0"/>
        <w:autoSpaceDE w:val="0"/>
        <w:autoSpaceDN w:val="0"/>
        <w:bidi w:val="0"/>
        <w:adjustRightInd w:val="0"/>
        <w:snapToGrid w:val="0"/>
        <w:spacing w:before="148"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"1.1.1.4"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4"/>
          <w:sz w:val="24"/>
          <w:szCs w:val="24"/>
          <w:highlight w:val="none"/>
        </w:rPr>
        <w:t>1.1.1.4</w:t>
      </w:r>
      <w:r>
        <w:rPr>
          <w:rFonts w:hint="eastAsia" w:ascii="仿宋" w:hAnsi="仿宋" w:eastAsia="仿宋" w:cs="仿宋"/>
          <w:color w:val="auto"/>
          <w:spacing w:val="4"/>
          <w:sz w:val="24"/>
          <w:szCs w:val="24"/>
          <w:highlight w:val="none"/>
        </w:rPr>
        <w:fldChar w:fldCharType="end"/>
      </w:r>
      <w:r>
        <w:rPr>
          <w:rFonts w:hint="eastAsia" w:ascii="仿宋" w:hAnsi="仿宋" w:eastAsia="仿宋" w:cs="仿宋"/>
          <w:color w:val="auto"/>
          <w:spacing w:val="4"/>
          <w:sz w:val="24"/>
          <w:szCs w:val="24"/>
          <w:highlight w:val="none"/>
        </w:rPr>
        <w:t xml:space="preserve"> 投标函：是指构成合同的由承包人填写并签署的用于投标的称为“投标函”</w:t>
      </w:r>
      <w:r>
        <w:rPr>
          <w:rFonts w:hint="eastAsia" w:ascii="仿宋" w:hAnsi="仿宋" w:eastAsia="仿宋" w:cs="仿宋"/>
          <w:color w:val="auto"/>
          <w:spacing w:val="3"/>
          <w:sz w:val="24"/>
          <w:szCs w:val="24"/>
          <w:highlight w:val="none"/>
        </w:rPr>
        <w:t>的文件。</w:t>
      </w:r>
    </w:p>
    <w:p w14:paraId="43BD7B77">
      <w:pPr>
        <w:pStyle w:val="2"/>
        <w:keepNext w:val="0"/>
        <w:keepLines w:val="0"/>
        <w:pageBreakBefore w:val="0"/>
        <w:widowControl/>
        <w:kinsoku w:val="0"/>
        <w:wordWrap/>
        <w:overflowPunct/>
        <w:topLinePunct w:val="0"/>
        <w:autoSpaceDE w:val="0"/>
        <w:autoSpaceDN w:val="0"/>
        <w:bidi w:val="0"/>
        <w:adjustRightInd w:val="0"/>
        <w:snapToGrid w:val="0"/>
        <w:spacing w:before="144" w:line="227"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"1.1.1.5"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7"/>
          <w:sz w:val="24"/>
          <w:szCs w:val="24"/>
          <w:highlight w:val="none"/>
        </w:rPr>
        <w:t>1.1.1.5</w:t>
      </w:r>
      <w:r>
        <w:rPr>
          <w:rFonts w:hint="eastAsia" w:ascii="仿宋" w:hAnsi="仿宋" w:eastAsia="仿宋" w:cs="仿宋"/>
          <w:color w:val="auto"/>
          <w:spacing w:val="7"/>
          <w:sz w:val="24"/>
          <w:szCs w:val="24"/>
          <w:highlight w:val="none"/>
        </w:rPr>
        <w:fldChar w:fldCharType="end"/>
      </w:r>
      <w:r>
        <w:rPr>
          <w:rFonts w:hint="eastAsia" w:ascii="仿宋" w:hAnsi="仿宋" w:eastAsia="仿宋" w:cs="仿宋"/>
          <w:color w:val="auto"/>
          <w:spacing w:val="7"/>
          <w:sz w:val="24"/>
          <w:szCs w:val="24"/>
          <w:highlight w:val="none"/>
        </w:rPr>
        <w:t xml:space="preserve"> 投标函附录：是指构成合同的附在投标函后的称为“投标函附录</w:t>
      </w:r>
      <w:r>
        <w:rPr>
          <w:rFonts w:hint="eastAsia" w:ascii="仿宋" w:hAnsi="仿宋" w:eastAsia="仿宋" w:cs="仿宋"/>
          <w:color w:val="auto"/>
          <w:spacing w:val="-54"/>
          <w:sz w:val="24"/>
          <w:szCs w:val="24"/>
          <w:highlight w:val="none"/>
        </w:rPr>
        <w:t xml:space="preserve"> </w:t>
      </w:r>
      <w:r>
        <w:rPr>
          <w:rFonts w:hint="eastAsia" w:ascii="仿宋" w:hAnsi="仿宋" w:eastAsia="仿宋" w:cs="仿宋"/>
          <w:color w:val="auto"/>
          <w:spacing w:val="7"/>
          <w:sz w:val="24"/>
          <w:szCs w:val="24"/>
          <w:highlight w:val="none"/>
        </w:rPr>
        <w:t>”的文件。</w:t>
      </w:r>
    </w:p>
    <w:p w14:paraId="6B6B7707">
      <w:pPr>
        <w:pStyle w:val="2"/>
        <w:keepNext w:val="0"/>
        <w:keepLines w:val="0"/>
        <w:pageBreakBefore w:val="0"/>
        <w:widowControl/>
        <w:kinsoku w:val="0"/>
        <w:wordWrap/>
        <w:overflowPunct/>
        <w:topLinePunct w:val="0"/>
        <w:autoSpaceDE w:val="0"/>
        <w:autoSpaceDN w:val="0"/>
        <w:bidi w:val="0"/>
        <w:adjustRightInd w:val="0"/>
        <w:snapToGrid w:val="0"/>
        <w:spacing w:before="146" w:line="244" w:lineRule="auto"/>
        <w:ind w:left="29" w:right="176" w:firstLine="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"1.1.1.6"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4"/>
          <w:sz w:val="24"/>
          <w:szCs w:val="24"/>
          <w:highlight w:val="none"/>
        </w:rPr>
        <w:t>1.1.1.6</w:t>
      </w:r>
      <w:r>
        <w:rPr>
          <w:rFonts w:hint="eastAsia" w:ascii="仿宋" w:hAnsi="仿宋" w:eastAsia="仿宋" w:cs="仿宋"/>
          <w:color w:val="auto"/>
          <w:spacing w:val="4"/>
          <w:sz w:val="24"/>
          <w:szCs w:val="24"/>
          <w:highlight w:val="none"/>
        </w:rPr>
        <w:fldChar w:fldCharType="end"/>
      </w:r>
      <w:r>
        <w:rPr>
          <w:rFonts w:hint="eastAsia" w:ascii="仿宋" w:hAnsi="仿宋" w:eastAsia="仿宋" w:cs="仿宋"/>
          <w:color w:val="auto"/>
          <w:spacing w:val="4"/>
          <w:sz w:val="24"/>
          <w:szCs w:val="24"/>
          <w:highlight w:val="none"/>
        </w:rPr>
        <w:t xml:space="preserve"> 《发包人要求》： 指构成合同文件组成部分的名为《发包人要求》的文件，其中列</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 xml:space="preserve">明工程的目的、范围、设计与其他技术标准和要求，以及合同双方当事人约定对其所作的修 </w:t>
      </w:r>
      <w:r>
        <w:rPr>
          <w:rFonts w:hint="eastAsia" w:ascii="仿宋" w:hAnsi="仿宋" w:eastAsia="仿宋" w:cs="仿宋"/>
          <w:color w:val="auto"/>
          <w:spacing w:val="4"/>
          <w:sz w:val="24"/>
          <w:szCs w:val="24"/>
          <w:highlight w:val="none"/>
        </w:rPr>
        <w:t>改或补充。</w:t>
      </w:r>
    </w:p>
    <w:p w14:paraId="57AE5558">
      <w:pPr>
        <w:pStyle w:val="2"/>
        <w:keepNext w:val="0"/>
        <w:keepLines w:val="0"/>
        <w:pageBreakBefore w:val="0"/>
        <w:widowControl/>
        <w:kinsoku w:val="0"/>
        <w:wordWrap/>
        <w:overflowPunct/>
        <w:topLinePunct w:val="0"/>
        <w:autoSpaceDE w:val="0"/>
        <w:autoSpaceDN w:val="0"/>
        <w:bidi w:val="0"/>
        <w:adjustRightInd w:val="0"/>
        <w:snapToGrid w:val="0"/>
        <w:spacing w:before="143" w:line="244" w:lineRule="auto"/>
        <w:ind w:left="23" w:right="176" w:firstLine="1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"1.1.1.7"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1.1.1.7</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项目清单：是指发包人提供的载明工程总承包项目勘察费（如果有）、设计费、建</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筑安装工程费、设备购置费、暂估价、暂列金额和双方约定的其他费用的名称和相应数量等</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7"/>
          <w:sz w:val="24"/>
          <w:szCs w:val="24"/>
          <w:highlight w:val="none"/>
        </w:rPr>
        <w:t>内容的项目明细。</w:t>
      </w:r>
    </w:p>
    <w:p w14:paraId="3CE307A3">
      <w:pPr>
        <w:pStyle w:val="2"/>
        <w:keepNext w:val="0"/>
        <w:keepLines w:val="0"/>
        <w:pageBreakBefore w:val="0"/>
        <w:widowControl/>
        <w:kinsoku w:val="0"/>
        <w:wordWrap/>
        <w:overflowPunct/>
        <w:topLinePunct w:val="0"/>
        <w:autoSpaceDE w:val="0"/>
        <w:autoSpaceDN w:val="0"/>
        <w:bidi w:val="0"/>
        <w:adjustRightInd w:val="0"/>
        <w:snapToGrid w:val="0"/>
        <w:spacing w:before="148" w:line="238" w:lineRule="auto"/>
        <w:ind w:left="26" w:right="176" w:firstLine="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"1.1.1.8"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1.1.1.8</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价格清单：指构成合同文件组成部分的由承包人按发包人提供的项目清单规定的格</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式和要求填写并标明价格的清单。</w:t>
      </w:r>
    </w:p>
    <w:p w14:paraId="5C758DCB">
      <w:pPr>
        <w:pStyle w:val="2"/>
        <w:keepNext w:val="0"/>
        <w:keepLines w:val="0"/>
        <w:pageBreakBefore w:val="0"/>
        <w:widowControl/>
        <w:kinsoku w:val="0"/>
        <w:wordWrap/>
        <w:overflowPunct/>
        <w:topLinePunct w:val="0"/>
        <w:autoSpaceDE w:val="0"/>
        <w:autoSpaceDN w:val="0"/>
        <w:bidi w:val="0"/>
        <w:adjustRightInd w:val="0"/>
        <w:snapToGrid w:val="0"/>
        <w:spacing w:before="148" w:line="239" w:lineRule="auto"/>
        <w:ind w:left="26" w:right="176" w:firstLine="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"1.1.1.9"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1.1.1.9</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承包人建议书：指构成合同文件组成部分的名为承包人建议书的文件。承包人建议</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书由承包人随投标函一起提交。</w:t>
      </w:r>
    </w:p>
    <w:p w14:paraId="14496163">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21" w:right="176" w:firstLine="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"1.1.1.10"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9"/>
          <w:sz w:val="24"/>
          <w:szCs w:val="24"/>
          <w:highlight w:val="none"/>
        </w:rPr>
        <w:t>1.1.1.10</w:t>
      </w:r>
      <w:r>
        <w:rPr>
          <w:rFonts w:hint="eastAsia" w:ascii="仿宋" w:hAnsi="仿宋" w:eastAsia="仿宋" w:cs="仿宋"/>
          <w:color w:val="auto"/>
          <w:spacing w:val="9"/>
          <w:sz w:val="24"/>
          <w:szCs w:val="24"/>
          <w:highlight w:val="none"/>
        </w:rPr>
        <w:fldChar w:fldCharType="end"/>
      </w:r>
      <w:r>
        <w:rPr>
          <w:rFonts w:hint="eastAsia" w:ascii="仿宋" w:hAnsi="仿宋" w:eastAsia="仿宋" w:cs="仿宋"/>
          <w:color w:val="auto"/>
          <w:spacing w:val="9"/>
          <w:sz w:val="24"/>
          <w:szCs w:val="24"/>
          <w:highlight w:val="none"/>
        </w:rPr>
        <w:t xml:space="preserve"> 其他合同文件：是指经合同当事人约定的</w:t>
      </w:r>
      <w:r>
        <w:rPr>
          <w:rFonts w:hint="eastAsia" w:ascii="仿宋" w:hAnsi="仿宋" w:eastAsia="仿宋" w:cs="仿宋"/>
          <w:color w:val="auto"/>
          <w:spacing w:val="8"/>
          <w:sz w:val="24"/>
          <w:szCs w:val="24"/>
          <w:highlight w:val="none"/>
        </w:rPr>
        <w:t>与工程实施有关的具有合同约束力的文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件或书面协议。合同当事人可以在专用合同条件中进行约定。</w:t>
      </w:r>
    </w:p>
    <w:p w14:paraId="6BFF7B24">
      <w:pPr>
        <w:pStyle w:val="2"/>
        <w:keepNext w:val="0"/>
        <w:keepLines w:val="0"/>
        <w:pageBreakBefore w:val="0"/>
        <w:widowControl/>
        <w:kinsoku w:val="0"/>
        <w:wordWrap/>
        <w:overflowPunct/>
        <w:topLinePunct w:val="0"/>
        <w:autoSpaceDE w:val="0"/>
        <w:autoSpaceDN w:val="0"/>
        <w:bidi w:val="0"/>
        <w:adjustRightInd w:val="0"/>
        <w:snapToGrid w:val="0"/>
        <w:spacing w:before="14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1.1.2 合同当事人及其他相关方</w:t>
      </w:r>
    </w:p>
    <w:p w14:paraId="16D0C9FA">
      <w:pPr>
        <w:pStyle w:val="2"/>
        <w:keepNext w:val="0"/>
        <w:keepLines w:val="0"/>
        <w:pageBreakBefore w:val="0"/>
        <w:widowControl/>
        <w:kinsoku w:val="0"/>
        <w:wordWrap/>
        <w:overflowPunct/>
        <w:topLinePunct w:val="0"/>
        <w:autoSpaceDE w:val="0"/>
        <w:autoSpaceDN w:val="0"/>
        <w:bidi w:val="0"/>
        <w:adjustRightInd w:val="0"/>
        <w:snapToGrid w:val="0"/>
        <w:spacing w:before="14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"1.1.2.1"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7"/>
          <w:sz w:val="24"/>
          <w:szCs w:val="24"/>
          <w:highlight w:val="none"/>
        </w:rPr>
        <w:t>1.1.2.1</w:t>
      </w:r>
      <w:r>
        <w:rPr>
          <w:rFonts w:hint="eastAsia" w:ascii="仿宋" w:hAnsi="仿宋" w:eastAsia="仿宋" w:cs="仿宋"/>
          <w:color w:val="auto"/>
          <w:spacing w:val="7"/>
          <w:sz w:val="24"/>
          <w:szCs w:val="24"/>
          <w:highlight w:val="none"/>
        </w:rPr>
        <w:fldChar w:fldCharType="end"/>
      </w:r>
      <w:r>
        <w:rPr>
          <w:rFonts w:hint="eastAsia" w:ascii="仿宋" w:hAnsi="仿宋" w:eastAsia="仿宋" w:cs="仿宋"/>
          <w:color w:val="auto"/>
          <w:spacing w:val="7"/>
          <w:sz w:val="24"/>
          <w:szCs w:val="24"/>
          <w:highlight w:val="none"/>
        </w:rPr>
        <w:t xml:space="preserve"> 合同当事人：是指发包人和（或）承包人。</w:t>
      </w:r>
    </w:p>
    <w:p w14:paraId="2E891501">
      <w:pPr>
        <w:pStyle w:val="2"/>
        <w:keepNext w:val="0"/>
        <w:keepLines w:val="0"/>
        <w:pageBreakBefore w:val="0"/>
        <w:widowControl/>
        <w:kinsoku w:val="0"/>
        <w:wordWrap/>
        <w:overflowPunct/>
        <w:topLinePunct w:val="0"/>
        <w:autoSpaceDE w:val="0"/>
        <w:autoSpaceDN w:val="0"/>
        <w:bidi w:val="0"/>
        <w:adjustRightInd w:val="0"/>
        <w:snapToGrid w:val="0"/>
        <w:spacing w:before="146" w:line="239" w:lineRule="auto"/>
        <w:ind w:left="23" w:firstLine="1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"1.1.2.2"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1.1.2.2</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发包人：是指与承包人订立合同协议书的当事人及</w:t>
      </w:r>
      <w:r>
        <w:rPr>
          <w:rFonts w:hint="eastAsia" w:ascii="仿宋" w:hAnsi="仿宋" w:eastAsia="仿宋" w:cs="仿宋"/>
          <w:color w:val="auto"/>
          <w:spacing w:val="5"/>
          <w:sz w:val="24"/>
          <w:szCs w:val="24"/>
          <w:highlight w:val="none"/>
        </w:rPr>
        <w:t>取得该当事人资格的合法继受人。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本合同中“</w:t>
      </w:r>
      <w:r>
        <w:rPr>
          <w:rFonts w:hint="eastAsia" w:ascii="仿宋" w:hAnsi="仿宋" w:eastAsia="仿宋" w:cs="仿宋"/>
          <w:color w:val="auto"/>
          <w:spacing w:val="-76"/>
          <w:sz w:val="24"/>
          <w:szCs w:val="24"/>
          <w:highlight w:val="none"/>
        </w:rPr>
        <w:t xml:space="preserve"> </w:t>
      </w:r>
      <w:r>
        <w:rPr>
          <w:rFonts w:hint="eastAsia" w:ascii="仿宋" w:hAnsi="仿宋" w:eastAsia="仿宋" w:cs="仿宋"/>
          <w:color w:val="auto"/>
          <w:spacing w:val="7"/>
          <w:sz w:val="24"/>
          <w:szCs w:val="24"/>
          <w:highlight w:val="none"/>
        </w:rPr>
        <w:t>因发包人原因</w:t>
      </w:r>
      <w:r>
        <w:rPr>
          <w:rFonts w:hint="eastAsia" w:ascii="仿宋" w:hAnsi="仿宋" w:eastAsia="仿宋" w:cs="仿宋"/>
          <w:color w:val="auto"/>
          <w:spacing w:val="-70"/>
          <w:sz w:val="24"/>
          <w:szCs w:val="24"/>
          <w:highlight w:val="none"/>
        </w:rPr>
        <w:t xml:space="preserve"> </w:t>
      </w:r>
      <w:r>
        <w:rPr>
          <w:rFonts w:hint="eastAsia" w:ascii="仿宋" w:hAnsi="仿宋" w:eastAsia="仿宋" w:cs="仿宋"/>
          <w:color w:val="auto"/>
          <w:spacing w:val="7"/>
          <w:sz w:val="24"/>
          <w:szCs w:val="24"/>
          <w:highlight w:val="none"/>
        </w:rPr>
        <w:t>”里的“发包人</w:t>
      </w:r>
      <w:r>
        <w:rPr>
          <w:rFonts w:hint="eastAsia" w:ascii="仿宋" w:hAnsi="仿宋" w:eastAsia="仿宋" w:cs="仿宋"/>
          <w:color w:val="auto"/>
          <w:spacing w:val="-70"/>
          <w:sz w:val="24"/>
          <w:szCs w:val="24"/>
          <w:highlight w:val="none"/>
        </w:rPr>
        <w:t xml:space="preserve"> </w:t>
      </w:r>
      <w:r>
        <w:rPr>
          <w:rFonts w:hint="eastAsia" w:ascii="仿宋" w:hAnsi="仿宋" w:eastAsia="仿宋" w:cs="仿宋"/>
          <w:color w:val="auto"/>
          <w:spacing w:val="7"/>
          <w:sz w:val="24"/>
          <w:szCs w:val="24"/>
          <w:highlight w:val="none"/>
        </w:rPr>
        <w:t>”包括发包人及</w:t>
      </w:r>
      <w:r>
        <w:rPr>
          <w:rFonts w:hint="eastAsia" w:ascii="仿宋" w:hAnsi="仿宋" w:eastAsia="仿宋" w:cs="仿宋"/>
          <w:color w:val="auto"/>
          <w:spacing w:val="6"/>
          <w:sz w:val="24"/>
          <w:szCs w:val="24"/>
          <w:highlight w:val="none"/>
        </w:rPr>
        <w:t>所有发包人人员。</w:t>
      </w:r>
    </w:p>
    <w:p w14:paraId="1166A932">
      <w:pPr>
        <w:pStyle w:val="2"/>
        <w:keepNext w:val="0"/>
        <w:keepLines w:val="0"/>
        <w:pageBreakBefore w:val="0"/>
        <w:widowControl/>
        <w:kinsoku w:val="0"/>
        <w:wordWrap/>
        <w:overflowPunct/>
        <w:topLinePunct w:val="0"/>
        <w:autoSpaceDE w:val="0"/>
        <w:autoSpaceDN w:val="0"/>
        <w:bidi w:val="0"/>
        <w:adjustRightInd w:val="0"/>
        <w:snapToGrid w:val="0"/>
        <w:spacing w:before="148" w:line="227" w:lineRule="auto"/>
        <w:jc w:val="right"/>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"1.1.2.3"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1.1.2.3</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承包人：是指与发包人订立合同协议书的当事人及</w:t>
      </w:r>
      <w:r>
        <w:rPr>
          <w:rFonts w:hint="eastAsia" w:ascii="仿宋" w:hAnsi="仿宋" w:eastAsia="仿宋" w:cs="仿宋"/>
          <w:color w:val="auto"/>
          <w:spacing w:val="5"/>
          <w:sz w:val="24"/>
          <w:szCs w:val="24"/>
          <w:highlight w:val="none"/>
        </w:rPr>
        <w:t>取得该当事人资格的合法继受人。</w:t>
      </w:r>
    </w:p>
    <w:p w14:paraId="39292D6E">
      <w:pPr>
        <w:pStyle w:val="2"/>
        <w:keepNext w:val="0"/>
        <w:keepLines w:val="0"/>
        <w:pageBreakBefore w:val="0"/>
        <w:widowControl/>
        <w:kinsoku w:val="0"/>
        <w:wordWrap/>
        <w:overflowPunct/>
        <w:topLinePunct w:val="0"/>
        <w:autoSpaceDE w:val="0"/>
        <w:autoSpaceDN w:val="0"/>
        <w:bidi w:val="0"/>
        <w:adjustRightInd w:val="0"/>
        <w:snapToGrid w:val="0"/>
        <w:spacing w:before="145"/>
        <w:ind w:left="23" w:right="176" w:firstLine="1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"1.1.2.4"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1.1.2.4</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联合体：是指经发包人同意由两个或两个以上法人或者其他组织组成的，作为承包</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6"/>
          <w:sz w:val="24"/>
          <w:szCs w:val="24"/>
          <w:highlight w:val="none"/>
        </w:rPr>
        <w:t>人的临时机构。</w:t>
      </w:r>
    </w:p>
    <w:p w14:paraId="670B9E2F">
      <w:pPr>
        <w:pStyle w:val="2"/>
        <w:keepNext w:val="0"/>
        <w:keepLines w:val="0"/>
        <w:pageBreakBefore w:val="0"/>
        <w:widowControl/>
        <w:kinsoku w:val="0"/>
        <w:wordWrap/>
        <w:overflowPunct/>
        <w:topLinePunct w:val="0"/>
        <w:autoSpaceDE w:val="0"/>
        <w:autoSpaceDN w:val="0"/>
        <w:bidi w:val="0"/>
        <w:adjustRightInd w:val="0"/>
        <w:snapToGrid w:val="0"/>
        <w:spacing w:before="145" w:line="239" w:lineRule="auto"/>
        <w:ind w:left="21" w:right="176" w:firstLine="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"1.1.2.5"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1.1.2.5</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发包人代表：是指由发包人任命并派驻工作现场，在发包人授权范围内行使发包人</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权利和履行发包人义务的人。</w:t>
      </w:r>
    </w:p>
    <w:p w14:paraId="7BDD8C20">
      <w:pPr>
        <w:pStyle w:val="2"/>
        <w:keepNext w:val="0"/>
        <w:keepLines w:val="0"/>
        <w:pageBreakBefore w:val="0"/>
        <w:widowControl/>
        <w:kinsoku w:val="0"/>
        <w:wordWrap/>
        <w:overflowPunct/>
        <w:topLinePunct w:val="0"/>
        <w:autoSpaceDE w:val="0"/>
        <w:autoSpaceDN w:val="0"/>
        <w:bidi w:val="0"/>
        <w:adjustRightInd w:val="0"/>
        <w:snapToGrid w:val="0"/>
        <w:spacing w:before="146" w:line="246" w:lineRule="auto"/>
        <w:ind w:left="21" w:right="176" w:firstLine="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"1.1.2.6"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1.1.2.6</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工程师：是指在专用合同条件中指明的，受发包人委托按照法律规定和发包人的授</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权进行合同履行管理、工程监督管理等工作的法人或其他组织；该法人或其他组织应雇用一</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名具有相应执业资格和职业能力的自然人作为工程师代表，并授予其根据本合同代表工程师</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6"/>
          <w:sz w:val="24"/>
          <w:szCs w:val="24"/>
          <w:highlight w:val="none"/>
        </w:rPr>
        <w:t>行事的权利。</w:t>
      </w:r>
    </w:p>
    <w:p w14:paraId="1265790F">
      <w:pPr>
        <w:pStyle w:val="2"/>
        <w:keepNext w:val="0"/>
        <w:keepLines w:val="0"/>
        <w:pageBreakBefore w:val="0"/>
        <w:widowControl/>
        <w:kinsoku w:val="0"/>
        <w:wordWrap/>
        <w:overflowPunct/>
        <w:topLinePunct w:val="0"/>
        <w:autoSpaceDE w:val="0"/>
        <w:autoSpaceDN w:val="0"/>
        <w:bidi w:val="0"/>
        <w:adjustRightInd w:val="0"/>
        <w:snapToGrid w:val="0"/>
        <w:spacing w:before="145" w:line="239" w:lineRule="auto"/>
        <w:ind w:left="27" w:right="176" w:firstLine="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"1.1.2.7"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1.1.2.7</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工程总承包项目经理：是指由承包人任命的，在承包人授权范围内负责合同履行的</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管理，且按照法律规定具有相应资格的项目</w:t>
      </w:r>
      <w:r>
        <w:rPr>
          <w:rFonts w:hint="eastAsia" w:ascii="仿宋" w:hAnsi="仿宋" w:eastAsia="仿宋" w:cs="仿宋"/>
          <w:color w:val="auto"/>
          <w:spacing w:val="8"/>
          <w:sz w:val="24"/>
          <w:szCs w:val="24"/>
          <w:highlight w:val="none"/>
        </w:rPr>
        <w:t>负责人。</w:t>
      </w:r>
    </w:p>
    <w:p w14:paraId="397E6730">
      <w:pPr>
        <w:pStyle w:val="2"/>
        <w:keepNext w:val="0"/>
        <w:keepLines w:val="0"/>
        <w:pageBreakBefore w:val="0"/>
        <w:widowControl/>
        <w:kinsoku w:val="0"/>
        <w:wordWrap/>
        <w:overflowPunct/>
        <w:topLinePunct w:val="0"/>
        <w:autoSpaceDE w:val="0"/>
        <w:autoSpaceDN w:val="0"/>
        <w:bidi w:val="0"/>
        <w:adjustRightInd w:val="0"/>
        <w:snapToGrid w:val="0"/>
        <w:spacing w:before="14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"1.1.2.8"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1.1.2.8</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设计负责人：是指承包人指定负责组织、指导、协调设计工作并具有相应资格的人</w:t>
      </w:r>
      <w:r>
        <w:rPr>
          <w:rFonts w:hint="eastAsia" w:ascii="仿宋" w:hAnsi="仿宋" w:eastAsia="仿宋" w:cs="仿宋"/>
          <w:color w:val="auto"/>
          <w:spacing w:val="-4"/>
          <w:sz w:val="24"/>
          <w:szCs w:val="24"/>
          <w:highlight w:val="none"/>
        </w:rPr>
        <w:t>员。</w:t>
      </w:r>
    </w:p>
    <w:p w14:paraId="790378A4">
      <w:pPr>
        <w:pStyle w:val="2"/>
        <w:keepNext w:val="0"/>
        <w:keepLines w:val="0"/>
        <w:pageBreakBefore w:val="0"/>
        <w:widowControl/>
        <w:kinsoku w:val="0"/>
        <w:wordWrap/>
        <w:overflowPunct/>
        <w:topLinePunct w:val="0"/>
        <w:autoSpaceDE w:val="0"/>
        <w:autoSpaceDN w:val="0"/>
        <w:bidi w:val="0"/>
        <w:adjustRightInd w:val="0"/>
        <w:snapToGrid w:val="0"/>
        <w:spacing w:before="145" w:line="227"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"1.1.2.9"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1.1.2.9</w:t>
      </w:r>
      <w:r>
        <w:rPr>
          <w:rFonts w:hint="eastAsia" w:ascii="仿宋" w:hAnsi="仿宋" w:eastAsia="仿宋" w:cs="仿宋"/>
          <w:color w:val="auto"/>
          <w:spacing w:val="8"/>
          <w:sz w:val="24"/>
          <w:szCs w:val="24"/>
          <w:highlight w:val="none"/>
        </w:rPr>
        <w:fldChar w:fldCharType="end"/>
      </w:r>
      <w:r>
        <w:rPr>
          <w:rFonts w:hint="eastAsia" w:ascii="仿宋" w:hAnsi="仿宋" w:eastAsia="仿宋" w:cs="仿宋"/>
          <w:color w:val="auto"/>
          <w:spacing w:val="8"/>
          <w:sz w:val="24"/>
          <w:szCs w:val="24"/>
          <w:highlight w:val="none"/>
        </w:rPr>
        <w:t xml:space="preserve"> 采购负责人：是指承包人指定负责组织、指导、协调采购工作的人员。</w:t>
      </w:r>
    </w:p>
    <w:p w14:paraId="6C15E761">
      <w:pPr>
        <w:pStyle w:val="2"/>
        <w:keepNext w:val="0"/>
        <w:keepLines w:val="0"/>
        <w:pageBreakBefore w:val="0"/>
        <w:widowControl/>
        <w:kinsoku w:val="0"/>
        <w:wordWrap/>
        <w:overflowPunct/>
        <w:topLinePunct w:val="0"/>
        <w:autoSpaceDE w:val="0"/>
        <w:autoSpaceDN w:val="0"/>
        <w:bidi w:val="0"/>
        <w:adjustRightInd w:val="0"/>
        <w:snapToGrid w:val="0"/>
        <w:spacing w:before="144" w:line="241" w:lineRule="auto"/>
        <w:ind w:left="23" w:right="59" w:firstLine="1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"1.1.2.10"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9"/>
          <w:sz w:val="24"/>
          <w:szCs w:val="24"/>
          <w:highlight w:val="none"/>
        </w:rPr>
        <w:t>1.1.2.10</w:t>
      </w:r>
      <w:r>
        <w:rPr>
          <w:rFonts w:hint="eastAsia" w:ascii="仿宋" w:hAnsi="仿宋" w:eastAsia="仿宋" w:cs="仿宋"/>
          <w:color w:val="auto"/>
          <w:spacing w:val="9"/>
          <w:sz w:val="24"/>
          <w:szCs w:val="24"/>
          <w:highlight w:val="none"/>
        </w:rPr>
        <w:fldChar w:fldCharType="end"/>
      </w:r>
      <w:r>
        <w:rPr>
          <w:rFonts w:hint="eastAsia" w:ascii="仿宋" w:hAnsi="仿宋" w:eastAsia="仿宋" w:cs="仿宋"/>
          <w:color w:val="auto"/>
          <w:spacing w:val="9"/>
          <w:sz w:val="24"/>
          <w:szCs w:val="24"/>
          <w:highlight w:val="none"/>
        </w:rPr>
        <w:t xml:space="preserve"> 施工负责人：是指承包人指定负责组织、</w:t>
      </w:r>
      <w:r>
        <w:rPr>
          <w:rFonts w:hint="eastAsia" w:ascii="仿宋" w:hAnsi="仿宋" w:eastAsia="仿宋" w:cs="仿宋"/>
          <w:color w:val="auto"/>
          <w:spacing w:val="8"/>
          <w:sz w:val="24"/>
          <w:szCs w:val="24"/>
          <w:highlight w:val="none"/>
        </w:rPr>
        <w:t>指导、协调施工工作并具有相应资格的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人员。</w:t>
      </w:r>
    </w:p>
    <w:p w14:paraId="2EE2F460">
      <w:pPr>
        <w:pStyle w:val="2"/>
        <w:keepNext w:val="0"/>
        <w:keepLines w:val="0"/>
        <w:pageBreakBefore w:val="0"/>
        <w:widowControl/>
        <w:kinsoku w:val="0"/>
        <w:wordWrap/>
        <w:overflowPunct/>
        <w:topLinePunct w:val="0"/>
        <w:autoSpaceDE w:val="0"/>
        <w:autoSpaceDN w:val="0"/>
        <w:bidi w:val="0"/>
        <w:adjustRightInd w:val="0"/>
        <w:snapToGrid w:val="0"/>
        <w:spacing w:before="143"/>
        <w:ind w:left="24" w:right="59" w:firstLine="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"1.1.2.11"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9"/>
          <w:sz w:val="24"/>
          <w:szCs w:val="24"/>
          <w:highlight w:val="none"/>
        </w:rPr>
        <w:t>1.1.2.11</w:t>
      </w:r>
      <w:r>
        <w:rPr>
          <w:rFonts w:hint="eastAsia" w:ascii="仿宋" w:hAnsi="仿宋" w:eastAsia="仿宋" w:cs="仿宋"/>
          <w:color w:val="auto"/>
          <w:spacing w:val="9"/>
          <w:sz w:val="24"/>
          <w:szCs w:val="24"/>
          <w:highlight w:val="none"/>
        </w:rPr>
        <w:fldChar w:fldCharType="end"/>
      </w:r>
      <w:r>
        <w:rPr>
          <w:rFonts w:hint="eastAsia" w:ascii="仿宋" w:hAnsi="仿宋" w:eastAsia="仿宋" w:cs="仿宋"/>
          <w:color w:val="auto"/>
          <w:spacing w:val="9"/>
          <w:sz w:val="24"/>
          <w:szCs w:val="24"/>
          <w:highlight w:val="none"/>
        </w:rPr>
        <w:t xml:space="preserve"> 分包人：是指按照法律规定和合同约定，</w:t>
      </w:r>
      <w:r>
        <w:rPr>
          <w:rFonts w:hint="eastAsia" w:ascii="仿宋" w:hAnsi="仿宋" w:eastAsia="仿宋" w:cs="仿宋"/>
          <w:color w:val="auto"/>
          <w:spacing w:val="8"/>
          <w:sz w:val="24"/>
          <w:szCs w:val="24"/>
          <w:highlight w:val="none"/>
        </w:rPr>
        <w:t>分包部分工程或工作，并与承包人订立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分包合同的具有相应资质或资格的法人或其他组</w:t>
      </w:r>
      <w:r>
        <w:rPr>
          <w:rFonts w:hint="eastAsia" w:ascii="仿宋" w:hAnsi="仿宋" w:eastAsia="仿宋" w:cs="仿宋"/>
          <w:color w:val="auto"/>
          <w:spacing w:val="8"/>
          <w:sz w:val="24"/>
          <w:szCs w:val="24"/>
          <w:highlight w:val="none"/>
        </w:rPr>
        <w:t>织。</w:t>
      </w:r>
    </w:p>
    <w:p w14:paraId="2B97E9C0">
      <w:pPr>
        <w:pStyle w:val="2"/>
        <w:keepNext w:val="0"/>
        <w:keepLines w:val="0"/>
        <w:pageBreakBefore w:val="0"/>
        <w:widowControl/>
        <w:kinsoku w:val="0"/>
        <w:wordWrap/>
        <w:overflowPunct/>
        <w:topLinePunct w:val="0"/>
        <w:autoSpaceDE w:val="0"/>
        <w:autoSpaceDN w:val="0"/>
        <w:bidi w:val="0"/>
        <w:adjustRightInd w:val="0"/>
        <w:snapToGrid w:val="0"/>
        <w:spacing w:before="14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1.1.3 工程和设备</w:t>
      </w:r>
    </w:p>
    <w:p w14:paraId="320E00F1">
      <w:pPr>
        <w:pStyle w:val="2"/>
        <w:keepNext w:val="0"/>
        <w:keepLines w:val="0"/>
        <w:pageBreakBefore w:val="0"/>
        <w:widowControl/>
        <w:kinsoku w:val="0"/>
        <w:wordWrap/>
        <w:overflowPunct/>
        <w:topLinePunct w:val="0"/>
        <w:autoSpaceDE w:val="0"/>
        <w:autoSpaceDN w:val="0"/>
        <w:bidi w:val="0"/>
        <w:adjustRightInd w:val="0"/>
        <w:snapToGrid w:val="0"/>
        <w:spacing w:before="146" w:line="227"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"1.1.3.1"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1.1.3.1</w:t>
      </w:r>
      <w:r>
        <w:rPr>
          <w:rFonts w:hint="eastAsia" w:ascii="仿宋" w:hAnsi="仿宋" w:eastAsia="仿宋" w:cs="仿宋"/>
          <w:color w:val="auto"/>
          <w:spacing w:val="8"/>
          <w:sz w:val="24"/>
          <w:szCs w:val="24"/>
          <w:highlight w:val="none"/>
        </w:rPr>
        <w:fldChar w:fldCharType="end"/>
      </w:r>
      <w:r>
        <w:rPr>
          <w:rFonts w:hint="eastAsia" w:ascii="仿宋" w:hAnsi="仿宋" w:eastAsia="仿宋" w:cs="仿宋"/>
          <w:color w:val="auto"/>
          <w:spacing w:val="8"/>
          <w:sz w:val="24"/>
          <w:szCs w:val="24"/>
          <w:highlight w:val="none"/>
        </w:rPr>
        <w:t xml:space="preserve"> 工程：是指与合同协议书中工程承包范围对应的永久工程和（或）临时工程。</w:t>
      </w:r>
    </w:p>
    <w:p w14:paraId="09C38165">
      <w:pPr>
        <w:pStyle w:val="2"/>
        <w:keepNext w:val="0"/>
        <w:keepLines w:val="0"/>
        <w:pageBreakBefore w:val="0"/>
        <w:widowControl/>
        <w:kinsoku w:val="0"/>
        <w:wordWrap/>
        <w:overflowPunct/>
        <w:topLinePunct w:val="0"/>
        <w:autoSpaceDE w:val="0"/>
        <w:autoSpaceDN w:val="0"/>
        <w:bidi w:val="0"/>
        <w:adjustRightInd w:val="0"/>
        <w:snapToGrid w:val="0"/>
        <w:spacing w:before="145" w:line="227" w:lineRule="auto"/>
        <w:jc w:val="right"/>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"1.1.3.2"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1.1.3.2</w:t>
      </w:r>
      <w:r>
        <w:rPr>
          <w:rFonts w:hint="eastAsia" w:ascii="仿宋" w:hAnsi="仿宋" w:eastAsia="仿宋" w:cs="仿宋"/>
          <w:color w:val="auto"/>
          <w:spacing w:val="8"/>
          <w:sz w:val="24"/>
          <w:szCs w:val="24"/>
          <w:highlight w:val="none"/>
        </w:rPr>
        <w:fldChar w:fldCharType="end"/>
      </w:r>
      <w:r>
        <w:rPr>
          <w:rFonts w:hint="eastAsia" w:ascii="仿宋" w:hAnsi="仿宋" w:eastAsia="仿宋" w:cs="仿宋"/>
          <w:color w:val="auto"/>
          <w:spacing w:val="8"/>
          <w:sz w:val="24"/>
          <w:szCs w:val="24"/>
          <w:highlight w:val="none"/>
        </w:rPr>
        <w:t xml:space="preserve"> 工程实施：是指进行工程的设计、采购、施工和竣</w:t>
      </w:r>
      <w:r>
        <w:rPr>
          <w:rFonts w:hint="eastAsia" w:ascii="仿宋" w:hAnsi="仿宋" w:eastAsia="仿宋" w:cs="仿宋"/>
          <w:color w:val="auto"/>
          <w:spacing w:val="7"/>
          <w:sz w:val="24"/>
          <w:szCs w:val="24"/>
          <w:highlight w:val="none"/>
        </w:rPr>
        <w:t>工以及对工程任何缺陷的修复。</w:t>
      </w:r>
    </w:p>
    <w:p w14:paraId="6A9F0271">
      <w:pPr>
        <w:pStyle w:val="2"/>
        <w:keepNext w:val="0"/>
        <w:keepLines w:val="0"/>
        <w:pageBreakBefore w:val="0"/>
        <w:widowControl/>
        <w:kinsoku w:val="0"/>
        <w:wordWrap/>
        <w:overflowPunct/>
        <w:topLinePunct w:val="0"/>
        <w:autoSpaceDE w:val="0"/>
        <w:autoSpaceDN w:val="0"/>
        <w:bidi w:val="0"/>
        <w:adjustRightInd w:val="0"/>
        <w:snapToGrid w:val="0"/>
        <w:spacing w:before="148"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"1.1.3.3"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1.1.3.3</w:t>
      </w:r>
      <w:r>
        <w:rPr>
          <w:rFonts w:hint="eastAsia" w:ascii="仿宋" w:hAnsi="仿宋" w:eastAsia="仿宋" w:cs="仿宋"/>
          <w:color w:val="auto"/>
          <w:spacing w:val="8"/>
          <w:sz w:val="24"/>
          <w:szCs w:val="24"/>
          <w:highlight w:val="none"/>
        </w:rPr>
        <w:fldChar w:fldCharType="end"/>
      </w:r>
      <w:r>
        <w:rPr>
          <w:rFonts w:hint="eastAsia" w:ascii="仿宋" w:hAnsi="仿宋" w:eastAsia="仿宋" w:cs="仿宋"/>
          <w:color w:val="auto"/>
          <w:spacing w:val="8"/>
          <w:sz w:val="24"/>
          <w:szCs w:val="24"/>
          <w:highlight w:val="none"/>
        </w:rPr>
        <w:t xml:space="preserve"> 永久工程：是指按合同约定建造并移交给发包人的工程，包括工程设备。</w:t>
      </w:r>
    </w:p>
    <w:p w14:paraId="0652C7BA">
      <w:pPr>
        <w:pStyle w:val="2"/>
        <w:keepNext w:val="0"/>
        <w:keepLines w:val="0"/>
        <w:pageBreakBefore w:val="0"/>
        <w:widowControl/>
        <w:kinsoku w:val="0"/>
        <w:wordWrap/>
        <w:overflowPunct/>
        <w:topLinePunct w:val="0"/>
        <w:autoSpaceDE w:val="0"/>
        <w:autoSpaceDN w:val="0"/>
        <w:bidi w:val="0"/>
        <w:adjustRightInd w:val="0"/>
        <w:snapToGrid w:val="0"/>
        <w:spacing w:before="144"/>
        <w:ind w:left="25" w:right="58" w:firstLine="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"1.1.3.4"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1.1.3.4</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临时工程：是指为完成合同约定的永久工程所修建的各类临时性工程，不包括施工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2"/>
          <w:sz w:val="24"/>
          <w:szCs w:val="24"/>
          <w:highlight w:val="none"/>
        </w:rPr>
        <w:t>设备。</w:t>
      </w:r>
    </w:p>
    <w:p w14:paraId="30A93D7F">
      <w:pPr>
        <w:pStyle w:val="2"/>
        <w:keepNext w:val="0"/>
        <w:keepLines w:val="0"/>
        <w:pageBreakBefore w:val="0"/>
        <w:widowControl/>
        <w:kinsoku w:val="0"/>
        <w:wordWrap/>
        <w:overflowPunct/>
        <w:topLinePunct w:val="0"/>
        <w:autoSpaceDE w:val="0"/>
        <w:autoSpaceDN w:val="0"/>
        <w:bidi w:val="0"/>
        <w:adjustRightInd w:val="0"/>
        <w:snapToGrid w:val="0"/>
        <w:spacing w:before="146" w:line="239" w:lineRule="auto"/>
        <w:ind w:left="24" w:right="59" w:firstLine="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"1.1.3.5"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9"/>
          <w:sz w:val="24"/>
          <w:szCs w:val="24"/>
          <w:highlight w:val="none"/>
        </w:rPr>
        <w:t>1.1.3.5</w:t>
      </w:r>
      <w:r>
        <w:rPr>
          <w:rFonts w:hint="eastAsia" w:ascii="仿宋" w:hAnsi="仿宋" w:eastAsia="仿宋" w:cs="仿宋"/>
          <w:color w:val="auto"/>
          <w:spacing w:val="9"/>
          <w:sz w:val="24"/>
          <w:szCs w:val="24"/>
          <w:highlight w:val="none"/>
        </w:rPr>
        <w:fldChar w:fldCharType="end"/>
      </w:r>
      <w:r>
        <w:rPr>
          <w:rFonts w:hint="eastAsia" w:ascii="仿宋" w:hAnsi="仿宋" w:eastAsia="仿宋" w:cs="仿宋"/>
          <w:color w:val="auto"/>
          <w:spacing w:val="9"/>
          <w:sz w:val="24"/>
          <w:szCs w:val="24"/>
          <w:highlight w:val="none"/>
        </w:rPr>
        <w:t xml:space="preserve"> 单位/区段工程：是指在专用合同条件中指</w:t>
      </w:r>
      <w:r>
        <w:rPr>
          <w:rFonts w:hint="eastAsia" w:ascii="仿宋" w:hAnsi="仿宋" w:eastAsia="仿宋" w:cs="仿宋"/>
          <w:color w:val="auto"/>
          <w:spacing w:val="8"/>
          <w:sz w:val="24"/>
          <w:szCs w:val="24"/>
          <w:highlight w:val="none"/>
        </w:rPr>
        <w:t>明特定范围的，能单独接收并使用的永</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久工程。</w:t>
      </w:r>
    </w:p>
    <w:p w14:paraId="68752E51">
      <w:pPr>
        <w:pStyle w:val="2"/>
        <w:keepNext w:val="0"/>
        <w:keepLines w:val="0"/>
        <w:pageBreakBefore w:val="0"/>
        <w:widowControl/>
        <w:kinsoku w:val="0"/>
        <w:wordWrap/>
        <w:overflowPunct/>
        <w:topLinePunct w:val="0"/>
        <w:autoSpaceDE w:val="0"/>
        <w:autoSpaceDN w:val="0"/>
        <w:bidi w:val="0"/>
        <w:adjustRightInd w:val="0"/>
        <w:snapToGrid w:val="0"/>
        <w:spacing w:before="146"/>
        <w:ind w:left="22" w:right="58" w:firstLine="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"1.1.3.6"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1.1.3.6</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工程设备：指构成永久工程的机电设备、仪器装置、运载工具及其他类似的设备和</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装置，包括其配件及备品、备件、易损易耗件等。</w:t>
      </w:r>
    </w:p>
    <w:p w14:paraId="0764A72F">
      <w:pPr>
        <w:pStyle w:val="2"/>
        <w:keepNext w:val="0"/>
        <w:keepLines w:val="0"/>
        <w:pageBreakBefore w:val="0"/>
        <w:widowControl/>
        <w:kinsoku w:val="0"/>
        <w:wordWrap/>
        <w:overflowPunct/>
        <w:topLinePunct w:val="0"/>
        <w:autoSpaceDE w:val="0"/>
        <w:autoSpaceDN w:val="0"/>
        <w:bidi w:val="0"/>
        <w:adjustRightInd w:val="0"/>
        <w:snapToGrid w:val="0"/>
        <w:spacing w:before="144" w:line="239" w:lineRule="auto"/>
        <w:ind w:left="21" w:right="58" w:firstLine="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"1.1.3.7"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1.1.3.7</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施工设备：指为完成合同约定的各项工作所需的设备、器具和其他物品，不包括工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程设备、临时工程和材料。</w:t>
      </w:r>
    </w:p>
    <w:p w14:paraId="53F58DA0">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"1.1.3.8"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1.1.3.8</w:t>
      </w:r>
      <w:r>
        <w:rPr>
          <w:rFonts w:hint="eastAsia" w:ascii="仿宋" w:hAnsi="仿宋" w:eastAsia="仿宋" w:cs="仿宋"/>
          <w:color w:val="auto"/>
          <w:spacing w:val="8"/>
          <w:sz w:val="24"/>
          <w:szCs w:val="24"/>
          <w:highlight w:val="none"/>
        </w:rPr>
        <w:fldChar w:fldCharType="end"/>
      </w:r>
      <w:r>
        <w:rPr>
          <w:rFonts w:hint="eastAsia" w:ascii="仿宋" w:hAnsi="仿宋" w:eastAsia="仿宋" w:cs="仿宋"/>
          <w:color w:val="auto"/>
          <w:spacing w:val="8"/>
          <w:sz w:val="24"/>
          <w:szCs w:val="24"/>
          <w:highlight w:val="none"/>
        </w:rPr>
        <w:t xml:space="preserve"> 临时设施：指为完成合同约定的各项工作所服务的临时性生产和生活设施。</w:t>
      </w:r>
    </w:p>
    <w:p w14:paraId="1634A12E">
      <w:pPr>
        <w:pStyle w:val="2"/>
        <w:keepNext w:val="0"/>
        <w:keepLines w:val="0"/>
        <w:pageBreakBefore w:val="0"/>
        <w:widowControl/>
        <w:kinsoku w:val="0"/>
        <w:wordWrap/>
        <w:overflowPunct/>
        <w:topLinePunct w:val="0"/>
        <w:autoSpaceDE w:val="0"/>
        <w:autoSpaceDN w:val="0"/>
        <w:bidi w:val="0"/>
        <w:adjustRightInd w:val="0"/>
        <w:snapToGrid w:val="0"/>
        <w:spacing w:before="145"/>
        <w:ind w:left="23" w:right="58" w:firstLine="1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"1.1.3.9"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1.1.3.9</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施工现场：是指用于工程施工的场所，以及在专用合同条件中指明作为施工场所组</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成部分的其他场所，包括永久占地和临时占地。</w:t>
      </w:r>
    </w:p>
    <w:p w14:paraId="7EAE0835">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"1.1.3.10"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1.1.3.10</w:t>
      </w:r>
      <w:r>
        <w:rPr>
          <w:rFonts w:hint="eastAsia" w:ascii="仿宋" w:hAnsi="仿宋" w:eastAsia="仿宋" w:cs="仿宋"/>
          <w:color w:val="auto"/>
          <w:spacing w:val="8"/>
          <w:sz w:val="24"/>
          <w:szCs w:val="24"/>
          <w:highlight w:val="none"/>
        </w:rPr>
        <w:fldChar w:fldCharType="end"/>
      </w:r>
      <w:r>
        <w:rPr>
          <w:rFonts w:hint="eastAsia" w:ascii="仿宋" w:hAnsi="仿宋" w:eastAsia="仿宋" w:cs="仿宋"/>
          <w:color w:val="auto"/>
          <w:spacing w:val="8"/>
          <w:sz w:val="24"/>
          <w:szCs w:val="24"/>
          <w:highlight w:val="none"/>
        </w:rPr>
        <w:t xml:space="preserve"> 永久占地：是指专用合同条件中指明为实施工程需永久占用的</w:t>
      </w:r>
      <w:r>
        <w:rPr>
          <w:rFonts w:hint="eastAsia" w:ascii="仿宋" w:hAnsi="仿宋" w:eastAsia="仿宋" w:cs="仿宋"/>
          <w:color w:val="auto"/>
          <w:spacing w:val="7"/>
          <w:sz w:val="24"/>
          <w:szCs w:val="24"/>
          <w:highlight w:val="none"/>
        </w:rPr>
        <w:t>土地。</w:t>
      </w:r>
    </w:p>
    <w:p w14:paraId="5091D8E5">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"1.1.3.11"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1.1.3.11</w:t>
      </w:r>
      <w:r>
        <w:rPr>
          <w:rFonts w:hint="eastAsia" w:ascii="仿宋" w:hAnsi="仿宋" w:eastAsia="仿宋" w:cs="仿宋"/>
          <w:color w:val="auto"/>
          <w:spacing w:val="8"/>
          <w:sz w:val="24"/>
          <w:szCs w:val="24"/>
          <w:highlight w:val="none"/>
        </w:rPr>
        <w:fldChar w:fldCharType="end"/>
      </w:r>
      <w:r>
        <w:rPr>
          <w:rFonts w:hint="eastAsia" w:ascii="仿宋" w:hAnsi="仿宋" w:eastAsia="仿宋" w:cs="仿宋"/>
          <w:color w:val="auto"/>
          <w:spacing w:val="8"/>
          <w:sz w:val="24"/>
          <w:szCs w:val="24"/>
          <w:highlight w:val="none"/>
        </w:rPr>
        <w:t xml:space="preserve"> 临时占地：是指专用合同条件中指明为实施工程需临时占用的</w:t>
      </w:r>
      <w:r>
        <w:rPr>
          <w:rFonts w:hint="eastAsia" w:ascii="仿宋" w:hAnsi="仿宋" w:eastAsia="仿宋" w:cs="仿宋"/>
          <w:color w:val="auto"/>
          <w:spacing w:val="7"/>
          <w:sz w:val="24"/>
          <w:szCs w:val="24"/>
          <w:highlight w:val="none"/>
        </w:rPr>
        <w:t>土地。</w:t>
      </w:r>
    </w:p>
    <w:p w14:paraId="51F2495E">
      <w:pPr>
        <w:pStyle w:val="2"/>
        <w:keepNext w:val="0"/>
        <w:keepLines w:val="0"/>
        <w:pageBreakBefore w:val="0"/>
        <w:widowControl/>
        <w:kinsoku w:val="0"/>
        <w:wordWrap/>
        <w:overflowPunct/>
        <w:topLinePunct w:val="0"/>
        <w:autoSpaceDE w:val="0"/>
        <w:autoSpaceDN w:val="0"/>
        <w:bidi w:val="0"/>
        <w:adjustRightInd w:val="0"/>
        <w:snapToGrid w:val="0"/>
        <w:spacing w:before="14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w:t>
      </w:r>
      <w:r>
        <w:rPr>
          <w:rFonts w:hint="eastAsia" w:ascii="仿宋" w:hAnsi="仿宋" w:eastAsia="仿宋" w:cs="仿宋"/>
          <w:color w:val="auto"/>
          <w:spacing w:val="53"/>
          <w:sz w:val="24"/>
          <w:szCs w:val="24"/>
          <w:highlight w:val="none"/>
        </w:rPr>
        <w:t xml:space="preserve"> </w:t>
      </w:r>
      <w:r>
        <w:rPr>
          <w:rFonts w:hint="eastAsia" w:ascii="仿宋" w:hAnsi="仿宋" w:eastAsia="仿宋" w:cs="仿宋"/>
          <w:color w:val="auto"/>
          <w:sz w:val="24"/>
          <w:szCs w:val="24"/>
          <w:highlight w:val="none"/>
        </w:rPr>
        <w:t>日期和期限</w:t>
      </w:r>
    </w:p>
    <w:p w14:paraId="23B441DE">
      <w:pPr>
        <w:pStyle w:val="2"/>
        <w:keepNext w:val="0"/>
        <w:keepLines w:val="0"/>
        <w:pageBreakBefore w:val="0"/>
        <w:widowControl/>
        <w:kinsoku w:val="0"/>
        <w:wordWrap/>
        <w:overflowPunct/>
        <w:topLinePunct w:val="0"/>
        <w:autoSpaceDE w:val="0"/>
        <w:autoSpaceDN w:val="0"/>
        <w:bidi w:val="0"/>
        <w:adjustRightInd w:val="0"/>
        <w:snapToGrid w:val="0"/>
        <w:spacing w:before="146" w:line="239" w:lineRule="auto"/>
        <w:ind w:left="38" w:right="58" w:hanging="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"1.1.4.1"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1.1.4.1</w:t>
      </w:r>
      <w:r>
        <w:rPr>
          <w:rFonts w:hint="eastAsia" w:ascii="仿宋" w:hAnsi="仿宋" w:eastAsia="仿宋" w:cs="仿宋"/>
          <w:color w:val="auto"/>
          <w:spacing w:val="8"/>
          <w:sz w:val="24"/>
          <w:szCs w:val="24"/>
          <w:highlight w:val="none"/>
        </w:rPr>
        <w:fldChar w:fldCharType="end"/>
      </w:r>
      <w:r>
        <w:rPr>
          <w:rFonts w:hint="eastAsia" w:ascii="仿宋" w:hAnsi="仿宋" w:eastAsia="仿宋" w:cs="仿宋"/>
          <w:color w:val="auto"/>
          <w:spacing w:val="8"/>
          <w:sz w:val="24"/>
          <w:szCs w:val="24"/>
          <w:highlight w:val="none"/>
        </w:rPr>
        <w:t xml:space="preserve"> 开始工作通知：指工程师按第8.1.2项[开始工作通知]的约定通知承包人开始工作</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z w:val="24"/>
          <w:szCs w:val="24"/>
          <w:highlight w:val="none"/>
        </w:rPr>
        <w:t>的函件。</w:t>
      </w:r>
    </w:p>
    <w:p w14:paraId="02FB44B5">
      <w:pPr>
        <w:pStyle w:val="2"/>
        <w:keepNext w:val="0"/>
        <w:keepLines w:val="0"/>
        <w:pageBreakBefore w:val="0"/>
        <w:widowControl/>
        <w:kinsoku w:val="0"/>
        <w:wordWrap/>
        <w:overflowPunct/>
        <w:topLinePunct w:val="0"/>
        <w:autoSpaceDE w:val="0"/>
        <w:autoSpaceDN w:val="0"/>
        <w:bidi w:val="0"/>
        <w:adjustRightInd w:val="0"/>
        <w:snapToGrid w:val="0"/>
        <w:spacing w:before="146" w:line="244" w:lineRule="auto"/>
        <w:ind w:left="24" w:right="57" w:firstLine="1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"1.1.4.2"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1.1.4.2</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开始工作日期：包括计划开始工作日期和实际开始工作日期。计划开始工作日期是</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指合同协议书约定的开始工作日期；实际开始工作日期是指工程师按照第8.1款[开始工作]</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约定发出的符合法律规定的开始工作通知中载明的开始工作日期。</w:t>
      </w:r>
    </w:p>
    <w:p w14:paraId="369609CB">
      <w:pPr>
        <w:pStyle w:val="2"/>
        <w:keepNext w:val="0"/>
        <w:keepLines w:val="0"/>
        <w:pageBreakBefore w:val="0"/>
        <w:widowControl/>
        <w:kinsoku w:val="0"/>
        <w:wordWrap/>
        <w:overflowPunct/>
        <w:topLinePunct w:val="0"/>
        <w:autoSpaceDE w:val="0"/>
        <w:autoSpaceDN w:val="0"/>
        <w:bidi w:val="0"/>
        <w:adjustRightInd w:val="0"/>
        <w:snapToGrid w:val="0"/>
        <w:spacing w:before="143" w:line="244" w:lineRule="auto"/>
        <w:ind w:left="23" w:right="58" w:firstLine="14"/>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"1.1.4.3"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1.1.4.3</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开始现场施工日期：包括计划开始现场施工日期和实际开始现场施工日期。计划开</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始现场施工日期是指合同协议书约定的开始现场施工日期；实际开始现场施工日期是指工程</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师发出的符合法律规定的开工通知中载明的开始现场施工日期。</w:t>
      </w:r>
    </w:p>
    <w:p w14:paraId="172C8065">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38" w:right="58" w:hanging="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"1.1.4.4"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1.1.4.4</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竣工日期：包括计划竣工日期和实际竣工日期。计划竣工日期是指合同协议书约定</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的竣工日期；实际竣工日期按照第8.2款[竣工日期]的约定确定。</w:t>
      </w:r>
    </w:p>
    <w:p w14:paraId="36339238">
      <w:pPr>
        <w:pStyle w:val="2"/>
        <w:keepNext w:val="0"/>
        <w:keepLines w:val="0"/>
        <w:pageBreakBefore w:val="0"/>
        <w:widowControl/>
        <w:kinsoku w:val="0"/>
        <w:wordWrap/>
        <w:overflowPunct/>
        <w:topLinePunct w:val="0"/>
        <w:autoSpaceDE w:val="0"/>
        <w:autoSpaceDN w:val="0"/>
        <w:bidi w:val="0"/>
        <w:adjustRightInd w:val="0"/>
        <w:snapToGrid w:val="0"/>
        <w:spacing w:before="144"/>
        <w:ind w:left="27" w:right="58" w:firstLine="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"1.1.4.5"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1.1.4.5</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工期：是指在合同协议书约定的承包人完成合同工作所需的期限，包括按照合同约</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定所作的期限变更及按合同约定承包人有权取得的工期延长。</w:t>
      </w:r>
    </w:p>
    <w:p w14:paraId="6FC5BAF8">
      <w:pPr>
        <w:pStyle w:val="2"/>
        <w:keepNext w:val="0"/>
        <w:keepLines w:val="0"/>
        <w:pageBreakBefore w:val="0"/>
        <w:widowControl/>
        <w:kinsoku w:val="0"/>
        <w:wordWrap/>
        <w:overflowPunct/>
        <w:topLinePunct w:val="0"/>
        <w:autoSpaceDE w:val="0"/>
        <w:autoSpaceDN w:val="0"/>
        <w:bidi w:val="0"/>
        <w:adjustRightInd w:val="0"/>
        <w:snapToGrid w:val="0"/>
        <w:spacing w:before="145"/>
        <w:ind w:left="24" w:right="58" w:firstLine="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"1.1.4.6"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1.1.4.6</w:t>
      </w:r>
      <w:r>
        <w:rPr>
          <w:rFonts w:hint="eastAsia" w:ascii="仿宋" w:hAnsi="仿宋" w:eastAsia="仿宋" w:cs="仿宋"/>
          <w:color w:val="auto"/>
          <w:spacing w:val="8"/>
          <w:sz w:val="24"/>
          <w:szCs w:val="24"/>
          <w:highlight w:val="none"/>
        </w:rPr>
        <w:fldChar w:fldCharType="end"/>
      </w:r>
      <w:r>
        <w:rPr>
          <w:rFonts w:hint="eastAsia" w:ascii="仿宋" w:hAnsi="仿宋" w:eastAsia="仿宋" w:cs="仿宋"/>
          <w:color w:val="auto"/>
          <w:spacing w:val="8"/>
          <w:sz w:val="24"/>
          <w:szCs w:val="24"/>
          <w:highlight w:val="none"/>
        </w:rPr>
        <w:t xml:space="preserve"> 缺陷责任期：是指发包人预留工程质量保证金以保证承包人履行第11.3款[缺陷调</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7"/>
          <w:sz w:val="24"/>
          <w:szCs w:val="24"/>
          <w:highlight w:val="none"/>
        </w:rPr>
        <w:t>查]下质量缺陷责任的期限。</w:t>
      </w:r>
    </w:p>
    <w:p w14:paraId="7DD562BA">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24" w:right="58" w:firstLine="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"1.1.4.7"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1.1.4.7</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保修期：是指承包人按照合同约定和法律规定对工程质量承担保修责任的期限，该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期限自缺陷责任期起算之日起计算。</w:t>
      </w:r>
    </w:p>
    <w:p w14:paraId="2354CEEB">
      <w:pPr>
        <w:keepNext w:val="0"/>
        <w:keepLines w:val="0"/>
        <w:pageBreakBefore w:val="0"/>
        <w:widowControl/>
        <w:kinsoku w:val="0"/>
        <w:wordWrap/>
        <w:overflowPunct/>
        <w:topLinePunct w:val="0"/>
        <w:autoSpaceDE w:val="0"/>
        <w:autoSpaceDN w:val="0"/>
        <w:bidi w:val="0"/>
        <w:adjustRightInd w:val="0"/>
        <w:snapToGrid w:val="0"/>
        <w:spacing w:line="239" w:lineRule="auto"/>
        <w:textAlignment w:val="baseline"/>
        <w:outlineLvl w:val="9"/>
        <w:rPr>
          <w:rFonts w:hint="eastAsia" w:ascii="仿宋" w:hAnsi="仿宋" w:eastAsia="仿宋" w:cs="仿宋"/>
          <w:color w:val="auto"/>
          <w:sz w:val="24"/>
          <w:szCs w:val="24"/>
          <w:highlight w:val="none"/>
        </w:rPr>
        <w:sectPr>
          <w:footerReference r:id="rId31" w:type="default"/>
          <w:pgSz w:w="11906" w:h="16839"/>
          <w:pgMar w:top="1428" w:right="1743" w:bottom="1171" w:left="1785" w:header="0" w:footer="992" w:gutter="0"/>
          <w:pgNumType w:fmt="decimal"/>
          <w:cols w:space="720" w:num="1"/>
        </w:sectPr>
      </w:pPr>
    </w:p>
    <w:p w14:paraId="0B9E748D">
      <w:pPr>
        <w:pStyle w:val="2"/>
        <w:keepNext w:val="0"/>
        <w:keepLines w:val="0"/>
        <w:pageBreakBefore w:val="0"/>
        <w:widowControl/>
        <w:kinsoku w:val="0"/>
        <w:wordWrap/>
        <w:overflowPunct/>
        <w:topLinePunct w:val="0"/>
        <w:autoSpaceDE w:val="0"/>
        <w:autoSpaceDN w:val="0"/>
        <w:bidi w:val="0"/>
        <w:adjustRightInd w:val="0"/>
        <w:snapToGrid w:val="0"/>
        <w:spacing w:before="42"/>
        <w:ind w:left="21" w:right="70" w:firstLine="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"1.1.4.8"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1.1.4.8</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基准日期：招标发包的工程以投标截止日前28天的日期为基准日期，直接发包的工</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8"/>
          <w:sz w:val="24"/>
          <w:szCs w:val="24"/>
          <w:highlight w:val="none"/>
        </w:rPr>
        <w:t>程以合同订立日前28天的日期为基准日期。</w:t>
      </w:r>
    </w:p>
    <w:p w14:paraId="1527A751">
      <w:pPr>
        <w:pStyle w:val="2"/>
        <w:keepNext w:val="0"/>
        <w:keepLines w:val="0"/>
        <w:pageBreakBefore w:val="0"/>
        <w:widowControl/>
        <w:kinsoku w:val="0"/>
        <w:wordWrap/>
        <w:overflowPunct/>
        <w:topLinePunct w:val="0"/>
        <w:autoSpaceDE w:val="0"/>
        <w:autoSpaceDN w:val="0"/>
        <w:bidi w:val="0"/>
        <w:adjustRightInd w:val="0"/>
        <w:snapToGrid w:val="0"/>
        <w:spacing w:before="143"/>
        <w:ind w:left="57" w:right="70" w:hanging="2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"1.1.4.9"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1.1.4.9</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天：除特别指明外，均指日历天。合同中按天计算时间的，开始当天不计入，从次</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日开始计算。期限最后一天的截止时间为当天24:</w:t>
      </w:r>
      <w:r>
        <w:rPr>
          <w:rFonts w:hint="eastAsia" w:ascii="仿宋" w:hAnsi="仿宋" w:eastAsia="仿宋" w:cs="仿宋"/>
          <w:color w:val="auto"/>
          <w:spacing w:val="6"/>
          <w:sz w:val="24"/>
          <w:szCs w:val="24"/>
          <w:highlight w:val="none"/>
        </w:rPr>
        <w:t>00。</w:t>
      </w:r>
    </w:p>
    <w:p w14:paraId="325FA48D">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"1.1.4.10"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1.1.4.10</w:t>
      </w:r>
      <w:r>
        <w:rPr>
          <w:rFonts w:hint="eastAsia" w:ascii="仿宋" w:hAnsi="仿宋" w:eastAsia="仿宋" w:cs="仿宋"/>
          <w:color w:val="auto"/>
          <w:spacing w:val="8"/>
          <w:sz w:val="24"/>
          <w:szCs w:val="24"/>
          <w:highlight w:val="none"/>
        </w:rPr>
        <w:fldChar w:fldCharType="end"/>
      </w:r>
      <w:r>
        <w:rPr>
          <w:rFonts w:hint="eastAsia" w:ascii="仿宋" w:hAnsi="仿宋" w:eastAsia="仿宋" w:cs="仿宋"/>
          <w:color w:val="auto"/>
          <w:spacing w:val="8"/>
          <w:sz w:val="24"/>
          <w:szCs w:val="24"/>
          <w:highlight w:val="none"/>
        </w:rPr>
        <w:t xml:space="preserve"> 竣工试验：是指在工程竣工验收前，根据第9条[竣工试验]</w:t>
      </w:r>
      <w:r>
        <w:rPr>
          <w:rFonts w:hint="eastAsia" w:ascii="仿宋" w:hAnsi="仿宋" w:eastAsia="仿宋" w:cs="仿宋"/>
          <w:color w:val="auto"/>
          <w:spacing w:val="7"/>
          <w:sz w:val="24"/>
          <w:szCs w:val="24"/>
          <w:highlight w:val="none"/>
        </w:rPr>
        <w:t>要求进行的试验。</w:t>
      </w:r>
    </w:p>
    <w:p w14:paraId="73B8161E">
      <w:pPr>
        <w:pStyle w:val="2"/>
        <w:keepNext w:val="0"/>
        <w:keepLines w:val="0"/>
        <w:pageBreakBefore w:val="0"/>
        <w:widowControl/>
        <w:kinsoku w:val="0"/>
        <w:wordWrap/>
        <w:overflowPunct/>
        <w:topLinePunct w:val="0"/>
        <w:autoSpaceDE w:val="0"/>
        <w:autoSpaceDN w:val="0"/>
        <w:bidi w:val="0"/>
        <w:adjustRightInd w:val="0"/>
        <w:snapToGrid w:val="0"/>
        <w:spacing w:before="146" w:line="239" w:lineRule="auto"/>
        <w:ind w:left="21" w:right="71" w:firstLine="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"1.1.4.11"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9"/>
          <w:sz w:val="24"/>
          <w:szCs w:val="24"/>
          <w:highlight w:val="none"/>
        </w:rPr>
        <w:t>1.1.4.11</w:t>
      </w:r>
      <w:r>
        <w:rPr>
          <w:rFonts w:hint="eastAsia" w:ascii="仿宋" w:hAnsi="仿宋" w:eastAsia="仿宋" w:cs="仿宋"/>
          <w:color w:val="auto"/>
          <w:spacing w:val="9"/>
          <w:sz w:val="24"/>
          <w:szCs w:val="24"/>
          <w:highlight w:val="none"/>
        </w:rPr>
        <w:fldChar w:fldCharType="end"/>
      </w:r>
      <w:r>
        <w:rPr>
          <w:rFonts w:hint="eastAsia" w:ascii="仿宋" w:hAnsi="仿宋" w:eastAsia="仿宋" w:cs="仿宋"/>
          <w:color w:val="auto"/>
          <w:spacing w:val="9"/>
          <w:sz w:val="24"/>
          <w:szCs w:val="24"/>
          <w:highlight w:val="none"/>
        </w:rPr>
        <w:t xml:space="preserve"> 竣工验收：是指承包人完成了合同约定的</w:t>
      </w:r>
      <w:r>
        <w:rPr>
          <w:rFonts w:hint="eastAsia" w:ascii="仿宋" w:hAnsi="仿宋" w:eastAsia="仿宋" w:cs="仿宋"/>
          <w:color w:val="auto"/>
          <w:spacing w:val="8"/>
          <w:sz w:val="24"/>
          <w:szCs w:val="24"/>
          <w:highlight w:val="none"/>
        </w:rPr>
        <w:t>各项内容后，发包人按合同要求进行的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验收。</w:t>
      </w:r>
    </w:p>
    <w:p w14:paraId="292093EC">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jc w:val="right"/>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"1.1.4.12"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5"/>
          <w:sz w:val="24"/>
          <w:szCs w:val="24"/>
          <w:highlight w:val="none"/>
        </w:rPr>
        <w:t>1.1.4.12</w:t>
      </w:r>
      <w:r>
        <w:rPr>
          <w:rFonts w:hint="eastAsia" w:ascii="仿宋" w:hAnsi="仿宋" w:eastAsia="仿宋" w:cs="仿宋"/>
          <w:color w:val="auto"/>
          <w:spacing w:val="5"/>
          <w:sz w:val="24"/>
          <w:szCs w:val="24"/>
          <w:highlight w:val="none"/>
        </w:rPr>
        <w:fldChar w:fldCharType="end"/>
      </w:r>
      <w:r>
        <w:rPr>
          <w:rFonts w:hint="eastAsia" w:ascii="仿宋" w:hAnsi="仿宋" w:eastAsia="仿宋" w:cs="仿宋"/>
          <w:color w:val="auto"/>
          <w:spacing w:val="5"/>
          <w:sz w:val="24"/>
          <w:szCs w:val="24"/>
          <w:highlight w:val="none"/>
        </w:rPr>
        <w:t xml:space="preserve"> 竣工后试验：是指在工程竣工验收后，根据第12条[竣工后试验]约定进行的试验。</w:t>
      </w:r>
    </w:p>
    <w:p w14:paraId="63C381E5">
      <w:pPr>
        <w:pStyle w:val="2"/>
        <w:keepNext w:val="0"/>
        <w:keepLines w:val="0"/>
        <w:pageBreakBefore w:val="0"/>
        <w:widowControl/>
        <w:kinsoku w:val="0"/>
        <w:wordWrap/>
        <w:overflowPunct/>
        <w:topLinePunct w:val="0"/>
        <w:autoSpaceDE w:val="0"/>
        <w:autoSpaceDN w:val="0"/>
        <w:bidi w:val="0"/>
        <w:adjustRightInd w:val="0"/>
        <w:snapToGrid w:val="0"/>
        <w:spacing w:before="145" w:line="226"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1.1.5 合同价格和费用</w:t>
      </w:r>
    </w:p>
    <w:p w14:paraId="36F2B7A9">
      <w:pPr>
        <w:pStyle w:val="2"/>
        <w:keepNext w:val="0"/>
        <w:keepLines w:val="0"/>
        <w:pageBreakBefore w:val="0"/>
        <w:widowControl/>
        <w:kinsoku w:val="0"/>
        <w:wordWrap/>
        <w:overflowPunct/>
        <w:topLinePunct w:val="0"/>
        <w:autoSpaceDE w:val="0"/>
        <w:autoSpaceDN w:val="0"/>
        <w:bidi w:val="0"/>
        <w:adjustRightInd w:val="0"/>
        <w:snapToGrid w:val="0"/>
        <w:spacing w:before="148" w:line="239" w:lineRule="auto"/>
        <w:ind w:left="26" w:right="70" w:firstLine="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"1.1.5.1"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1.1.5.1</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签约合同价：是指发包人和承包人在合同协议书中确定的总金额，包括暂估价及暂</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5"/>
          <w:sz w:val="24"/>
          <w:szCs w:val="24"/>
          <w:highlight w:val="none"/>
        </w:rPr>
        <w:t>列金额等。</w:t>
      </w:r>
    </w:p>
    <w:p w14:paraId="12E19ABF">
      <w:pPr>
        <w:pStyle w:val="2"/>
        <w:keepNext w:val="0"/>
        <w:keepLines w:val="0"/>
        <w:pageBreakBefore w:val="0"/>
        <w:widowControl/>
        <w:kinsoku w:val="0"/>
        <w:wordWrap/>
        <w:overflowPunct/>
        <w:topLinePunct w:val="0"/>
        <w:autoSpaceDE w:val="0"/>
        <w:autoSpaceDN w:val="0"/>
        <w:bidi w:val="0"/>
        <w:adjustRightInd w:val="0"/>
        <w:snapToGrid w:val="0"/>
        <w:spacing w:before="146" w:line="239" w:lineRule="auto"/>
        <w:ind w:left="22" w:right="71" w:firstLine="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"1.1.5.2"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1.1.5.2</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合同价格：是指发包人用于支付承包人按照合同约定完成承包范围内全部工作的金</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额，包括合同履行过程中按合同约定发生的价格变化。</w:t>
      </w:r>
    </w:p>
    <w:p w14:paraId="5D35329E">
      <w:pPr>
        <w:pStyle w:val="2"/>
        <w:keepNext w:val="0"/>
        <w:keepLines w:val="0"/>
        <w:pageBreakBefore w:val="0"/>
        <w:widowControl/>
        <w:kinsoku w:val="0"/>
        <w:wordWrap/>
        <w:overflowPunct/>
        <w:topLinePunct w:val="0"/>
        <w:autoSpaceDE w:val="0"/>
        <w:autoSpaceDN w:val="0"/>
        <w:bidi w:val="0"/>
        <w:adjustRightInd w:val="0"/>
        <w:snapToGrid w:val="0"/>
        <w:spacing w:before="147"/>
        <w:ind w:left="38" w:right="70" w:hanging="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"1.1.5.3"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1.1.5.3</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费用：是指为履行合同所发生的或将要发生的所有合理开支，包括管理费和应分摊</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的其他费用，但不包括利润。</w:t>
      </w:r>
    </w:p>
    <w:p w14:paraId="547AB575">
      <w:pPr>
        <w:pStyle w:val="2"/>
        <w:keepNext w:val="0"/>
        <w:keepLines w:val="0"/>
        <w:pageBreakBefore w:val="0"/>
        <w:widowControl/>
        <w:kinsoku w:val="0"/>
        <w:wordWrap/>
        <w:overflowPunct/>
        <w:topLinePunct w:val="0"/>
        <w:autoSpaceDE w:val="0"/>
        <w:autoSpaceDN w:val="0"/>
        <w:bidi w:val="0"/>
        <w:adjustRightInd w:val="0"/>
        <w:snapToGrid w:val="0"/>
        <w:spacing w:before="14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"1.1.5.4"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1.1.5.4</w:t>
      </w:r>
      <w:r>
        <w:rPr>
          <w:rFonts w:hint="eastAsia" w:ascii="仿宋" w:hAnsi="仿宋" w:eastAsia="仿宋" w:cs="仿宋"/>
          <w:color w:val="auto"/>
          <w:spacing w:val="8"/>
          <w:sz w:val="24"/>
          <w:szCs w:val="24"/>
          <w:highlight w:val="none"/>
        </w:rPr>
        <w:fldChar w:fldCharType="end"/>
      </w:r>
      <w:r>
        <w:rPr>
          <w:rFonts w:hint="eastAsia" w:ascii="仿宋" w:hAnsi="仿宋" w:eastAsia="仿宋" w:cs="仿宋"/>
          <w:color w:val="auto"/>
          <w:spacing w:val="8"/>
          <w:sz w:val="24"/>
          <w:szCs w:val="24"/>
          <w:highlight w:val="none"/>
        </w:rPr>
        <w:t xml:space="preserve"> 人工费：是指支付给直接从事建筑安装工程施工作业的建筑工人的各项费用。</w:t>
      </w:r>
    </w:p>
    <w:p w14:paraId="2E371474">
      <w:pPr>
        <w:pStyle w:val="2"/>
        <w:keepNext w:val="0"/>
        <w:keepLines w:val="0"/>
        <w:pageBreakBefore w:val="0"/>
        <w:widowControl/>
        <w:kinsoku w:val="0"/>
        <w:wordWrap/>
        <w:overflowPunct/>
        <w:topLinePunct w:val="0"/>
        <w:autoSpaceDE w:val="0"/>
        <w:autoSpaceDN w:val="0"/>
        <w:bidi w:val="0"/>
        <w:adjustRightInd w:val="0"/>
        <w:snapToGrid w:val="0"/>
        <w:spacing w:before="143" w:line="239" w:lineRule="auto"/>
        <w:ind w:left="38" w:right="70" w:hanging="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"1.1.5.5"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1.1.5.5</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暂估价：是指发包人在项目清单中给定的，用于支付必然发生但暂时不能确定价格</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的专业服务、材料、设备、专业工程的金额。</w:t>
      </w:r>
    </w:p>
    <w:p w14:paraId="6FEBBACE">
      <w:pPr>
        <w:pStyle w:val="2"/>
        <w:keepNext w:val="0"/>
        <w:keepLines w:val="0"/>
        <w:pageBreakBefore w:val="0"/>
        <w:widowControl/>
        <w:kinsoku w:val="0"/>
        <w:wordWrap/>
        <w:overflowPunct/>
        <w:topLinePunct w:val="0"/>
        <w:autoSpaceDE w:val="0"/>
        <w:autoSpaceDN w:val="0"/>
        <w:bidi w:val="0"/>
        <w:adjustRightInd w:val="0"/>
        <w:snapToGrid w:val="0"/>
        <w:spacing w:before="147" w:line="244" w:lineRule="auto"/>
        <w:ind w:left="23" w:right="70" w:firstLine="1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"1.1.5.6"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1.1.5.6</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暂列金额：是指发包人在项目清单中给定的，用于在订立协议书时尚未确定或不可</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预见变更的设计、施工及其所需材料、工程设备、服务等的金额，包括以计日工方式支付的</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2"/>
          <w:sz w:val="24"/>
          <w:szCs w:val="24"/>
          <w:highlight w:val="none"/>
        </w:rPr>
        <w:t>金额。</w:t>
      </w:r>
    </w:p>
    <w:p w14:paraId="0510E9E2">
      <w:pPr>
        <w:pStyle w:val="2"/>
        <w:keepNext w:val="0"/>
        <w:keepLines w:val="0"/>
        <w:pageBreakBefore w:val="0"/>
        <w:widowControl/>
        <w:kinsoku w:val="0"/>
        <w:wordWrap/>
        <w:overflowPunct/>
        <w:topLinePunct w:val="0"/>
        <w:autoSpaceDE w:val="0"/>
        <w:autoSpaceDN w:val="0"/>
        <w:bidi w:val="0"/>
        <w:adjustRightInd w:val="0"/>
        <w:snapToGrid w:val="0"/>
        <w:spacing w:before="145" w:line="239" w:lineRule="auto"/>
        <w:ind w:left="24" w:right="70" w:firstLine="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"1.1.5.7"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1.1.5.7</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计日工：是指合同履行过程中，承包人完成发包人提出的零星工作或需要采用计日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工计价的变更工作时，按合同中约定的单价计价的一种方式。</w:t>
      </w:r>
    </w:p>
    <w:p w14:paraId="317E09CD">
      <w:pPr>
        <w:pStyle w:val="2"/>
        <w:keepNext w:val="0"/>
        <w:keepLines w:val="0"/>
        <w:pageBreakBefore w:val="0"/>
        <w:widowControl/>
        <w:kinsoku w:val="0"/>
        <w:wordWrap/>
        <w:overflowPunct/>
        <w:topLinePunct w:val="0"/>
        <w:autoSpaceDE w:val="0"/>
        <w:autoSpaceDN w:val="0"/>
        <w:bidi w:val="0"/>
        <w:adjustRightInd w:val="0"/>
        <w:snapToGrid w:val="0"/>
        <w:spacing w:before="146"/>
        <w:ind w:left="25" w:right="70" w:firstLine="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"1.1.5.8"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1.1.5.8</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质量保证金：是指按第14.6款[质量保证金]约定承包人用于保证其在缺陷责</w:t>
      </w:r>
      <w:r>
        <w:rPr>
          <w:rFonts w:hint="eastAsia" w:ascii="仿宋" w:hAnsi="仿宋" w:eastAsia="仿宋" w:cs="仿宋"/>
          <w:color w:val="auto"/>
          <w:spacing w:val="5"/>
          <w:sz w:val="24"/>
          <w:szCs w:val="24"/>
          <w:highlight w:val="none"/>
        </w:rPr>
        <w:t>任期内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履行缺陷修复义务的担保。</w:t>
      </w:r>
    </w:p>
    <w:p w14:paraId="646EDB28">
      <w:pPr>
        <w:pStyle w:val="2"/>
        <w:keepNext w:val="0"/>
        <w:keepLines w:val="0"/>
        <w:pageBreakBefore w:val="0"/>
        <w:widowControl/>
        <w:kinsoku w:val="0"/>
        <w:wordWrap/>
        <w:overflowPunct/>
        <w:topLinePunct w:val="0"/>
        <w:autoSpaceDE w:val="0"/>
        <w:autoSpaceDN w:val="0"/>
        <w:bidi w:val="0"/>
        <w:adjustRightInd w:val="0"/>
        <w:snapToGrid w:val="0"/>
        <w:spacing w:before="14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1.1.6</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1"/>
          <w:sz w:val="24"/>
          <w:szCs w:val="24"/>
          <w:highlight w:val="none"/>
        </w:rPr>
        <w:t>其他</w:t>
      </w:r>
    </w:p>
    <w:p w14:paraId="1435EB4D">
      <w:pPr>
        <w:pStyle w:val="2"/>
        <w:keepNext w:val="0"/>
        <w:keepLines w:val="0"/>
        <w:pageBreakBefore w:val="0"/>
        <w:widowControl/>
        <w:kinsoku w:val="0"/>
        <w:wordWrap/>
        <w:overflowPunct/>
        <w:topLinePunct w:val="0"/>
        <w:autoSpaceDE w:val="0"/>
        <w:autoSpaceDN w:val="0"/>
        <w:bidi w:val="0"/>
        <w:adjustRightInd w:val="0"/>
        <w:snapToGrid w:val="0"/>
        <w:spacing w:before="144"/>
        <w:ind w:left="45" w:right="73" w:hanging="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"1.1.6.1"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1.1.6.1</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书面形式：指合同文件、信函、电报、传真、数据电文、电子邮件、会议纪要等可</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6"/>
          <w:sz w:val="24"/>
          <w:szCs w:val="24"/>
          <w:highlight w:val="none"/>
        </w:rPr>
        <w:t>以有形地表现所载内容的形式。</w:t>
      </w:r>
    </w:p>
    <w:p w14:paraId="75FC5780">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24" w:right="12" w:firstLine="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"1.1.6.2"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1.1.6.2</w:t>
      </w:r>
      <w:r>
        <w:rPr>
          <w:rFonts w:hint="eastAsia" w:ascii="仿宋" w:hAnsi="仿宋" w:eastAsia="仿宋" w:cs="仿宋"/>
          <w:color w:val="auto"/>
          <w:spacing w:val="8"/>
          <w:sz w:val="24"/>
          <w:szCs w:val="24"/>
          <w:highlight w:val="none"/>
        </w:rPr>
        <w:fldChar w:fldCharType="end"/>
      </w:r>
      <w:r>
        <w:rPr>
          <w:rFonts w:hint="eastAsia" w:ascii="仿宋" w:hAnsi="仿宋" w:eastAsia="仿宋" w:cs="仿宋"/>
          <w:color w:val="auto"/>
          <w:spacing w:val="8"/>
          <w:sz w:val="24"/>
          <w:szCs w:val="24"/>
          <w:highlight w:val="none"/>
        </w:rPr>
        <w:t xml:space="preserve"> 承包人文件：指由承包人根据合同约定应提交的所</w:t>
      </w:r>
      <w:r>
        <w:rPr>
          <w:rFonts w:hint="eastAsia" w:ascii="仿宋" w:hAnsi="仿宋" w:eastAsia="仿宋" w:cs="仿宋"/>
          <w:color w:val="auto"/>
          <w:spacing w:val="7"/>
          <w:sz w:val="24"/>
          <w:szCs w:val="24"/>
          <w:highlight w:val="none"/>
        </w:rPr>
        <w:t>有图纸、手册、模型、计算书、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软件、函件、洽商性文件和其他技术性文件。</w:t>
      </w:r>
    </w:p>
    <w:p w14:paraId="1630BE0B">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22" w:right="70" w:firstLine="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"1.1.6.3"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1.1.6.3</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变更：指根据第13条[变更与调整]的约定，经指示或批准对《发包人要求》或工程</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6"/>
          <w:sz w:val="24"/>
          <w:szCs w:val="24"/>
          <w:highlight w:val="none"/>
        </w:rPr>
        <w:t>所做的改变。</w:t>
      </w:r>
    </w:p>
    <w:p w14:paraId="404C5D81">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1.2 语言文字</w:t>
      </w:r>
    </w:p>
    <w:p w14:paraId="37D2E65D">
      <w:pPr>
        <w:pStyle w:val="2"/>
        <w:keepNext w:val="0"/>
        <w:keepLines w:val="0"/>
        <w:pageBreakBefore w:val="0"/>
        <w:widowControl/>
        <w:kinsoku w:val="0"/>
        <w:wordWrap/>
        <w:overflowPunct/>
        <w:topLinePunct w:val="0"/>
        <w:autoSpaceDE w:val="0"/>
        <w:autoSpaceDN w:val="0"/>
        <w:bidi w:val="0"/>
        <w:adjustRightInd w:val="0"/>
        <w:snapToGrid w:val="0"/>
        <w:spacing w:before="143" w:line="244" w:lineRule="auto"/>
        <w:ind w:left="23" w:right="70"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合同文件以中国的汉语简体语言文字编写、解释和说明。专用术语使用外文的，</w:t>
      </w:r>
      <w:r>
        <w:rPr>
          <w:rFonts w:hint="eastAsia" w:ascii="仿宋" w:hAnsi="仿宋" w:eastAsia="仿宋" w:cs="仿宋"/>
          <w:color w:val="auto"/>
          <w:spacing w:val="7"/>
          <w:sz w:val="24"/>
          <w:szCs w:val="24"/>
          <w:highlight w:val="none"/>
        </w:rPr>
        <w:t>应附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有中文注释。合同当事人在专用合同条件约定使用两种及以上语言时，汉语为优先解释和说</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6"/>
          <w:sz w:val="24"/>
          <w:szCs w:val="24"/>
          <w:highlight w:val="none"/>
        </w:rPr>
        <w:t>明合同的语言。</w:t>
      </w:r>
    </w:p>
    <w:p w14:paraId="3E0E2C3A">
      <w:pPr>
        <w:pStyle w:val="2"/>
        <w:keepNext w:val="0"/>
        <w:keepLines w:val="0"/>
        <w:pageBreakBefore w:val="0"/>
        <w:widowControl/>
        <w:kinsoku w:val="0"/>
        <w:wordWrap/>
        <w:overflowPunct/>
        <w:topLinePunct w:val="0"/>
        <w:autoSpaceDE w:val="0"/>
        <w:autoSpaceDN w:val="0"/>
        <w:bidi w:val="0"/>
        <w:adjustRightInd w:val="0"/>
        <w:snapToGrid w:val="0"/>
        <w:spacing w:before="24"/>
        <w:ind w:left="22" w:right="70" w:firstLine="60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与合同有关的联络应使用专用合同条件约定的语言。如没有约定，则应</w:t>
      </w:r>
      <w:r>
        <w:rPr>
          <w:rFonts w:hint="eastAsia" w:ascii="仿宋" w:hAnsi="仿宋" w:eastAsia="仿宋" w:cs="仿宋"/>
          <w:color w:val="auto"/>
          <w:spacing w:val="7"/>
          <w:sz w:val="24"/>
          <w:szCs w:val="24"/>
          <w:highlight w:val="none"/>
        </w:rPr>
        <w:t>使用中国的汉</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语简体语言文字。</w:t>
      </w:r>
    </w:p>
    <w:p w14:paraId="1A11C30F">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z w:val="24"/>
          <w:szCs w:val="24"/>
          <w:highlight w:val="none"/>
        </w:rPr>
        <w:t>法律</w:t>
      </w:r>
    </w:p>
    <w:p w14:paraId="4E701819">
      <w:pPr>
        <w:pStyle w:val="2"/>
        <w:keepNext w:val="0"/>
        <w:keepLines w:val="0"/>
        <w:pageBreakBefore w:val="0"/>
        <w:widowControl/>
        <w:kinsoku w:val="0"/>
        <w:wordWrap/>
        <w:overflowPunct/>
        <w:topLinePunct w:val="0"/>
        <w:autoSpaceDE w:val="0"/>
        <w:autoSpaceDN w:val="0"/>
        <w:bidi w:val="0"/>
        <w:adjustRightInd w:val="0"/>
        <w:snapToGrid w:val="0"/>
        <w:spacing w:before="144" w:line="239" w:lineRule="auto"/>
        <w:ind w:left="23" w:right="70"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合同所称法律是指中华人民共和国法律、行政法规、部门规章，以及工程所在地</w:t>
      </w:r>
      <w:r>
        <w:rPr>
          <w:rFonts w:hint="eastAsia" w:ascii="仿宋" w:hAnsi="仿宋" w:eastAsia="仿宋" w:cs="仿宋"/>
          <w:color w:val="auto"/>
          <w:spacing w:val="7"/>
          <w:sz w:val="24"/>
          <w:szCs w:val="24"/>
          <w:highlight w:val="none"/>
        </w:rPr>
        <w:t>的地</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方法规、</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自治条例、单行条例和地方政府规章等。</w:t>
      </w:r>
    </w:p>
    <w:p w14:paraId="5259FB76">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合同当事人可以在专用合同条件中约定合同适用的其他规范性文件。</w:t>
      </w:r>
    </w:p>
    <w:p w14:paraId="4071AFEB">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仿宋" w:hAnsi="仿宋" w:eastAsia="仿宋" w:cs="仿宋"/>
          <w:color w:val="auto"/>
          <w:sz w:val="24"/>
          <w:szCs w:val="24"/>
          <w:highlight w:val="none"/>
        </w:rPr>
        <w:sectPr>
          <w:footerReference r:id="rId32" w:type="default"/>
          <w:pgSz w:w="11906" w:h="16839"/>
          <w:pgMar w:top="1428" w:right="1731" w:bottom="1169" w:left="1785" w:header="0" w:footer="992" w:gutter="0"/>
          <w:pgNumType w:fmt="decimal"/>
          <w:cols w:space="720" w:num="1"/>
        </w:sectPr>
      </w:pPr>
    </w:p>
    <w:p w14:paraId="0C912987">
      <w:pPr>
        <w:pStyle w:val="2"/>
        <w:keepNext w:val="0"/>
        <w:keepLines w:val="0"/>
        <w:pageBreakBefore w:val="0"/>
        <w:widowControl/>
        <w:kinsoku w:val="0"/>
        <w:wordWrap/>
        <w:overflowPunct/>
        <w:topLinePunct w:val="0"/>
        <w:autoSpaceDE w:val="0"/>
        <w:autoSpaceDN w:val="0"/>
        <w:bidi w:val="0"/>
        <w:adjustRightInd w:val="0"/>
        <w:snapToGrid w:val="0"/>
        <w:spacing w:before="42"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 标准和规范</w:t>
      </w:r>
    </w:p>
    <w:p w14:paraId="74F8FC79">
      <w:pPr>
        <w:pStyle w:val="2"/>
        <w:keepNext w:val="0"/>
        <w:keepLines w:val="0"/>
        <w:pageBreakBefore w:val="0"/>
        <w:widowControl/>
        <w:kinsoku w:val="0"/>
        <w:wordWrap/>
        <w:overflowPunct/>
        <w:topLinePunct w:val="0"/>
        <w:autoSpaceDE w:val="0"/>
        <w:autoSpaceDN w:val="0"/>
        <w:bidi w:val="0"/>
        <w:adjustRightInd w:val="0"/>
        <w:snapToGrid w:val="0"/>
        <w:spacing w:before="146" w:line="239" w:lineRule="auto"/>
        <w:ind w:left="21" w:right="15" w:firstLine="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1.4.1 适用于工程的国家标准、行业标准</w:t>
      </w:r>
      <w:r>
        <w:rPr>
          <w:rFonts w:hint="eastAsia" w:ascii="仿宋" w:hAnsi="仿宋" w:eastAsia="仿宋" w:cs="仿宋"/>
          <w:color w:val="auto"/>
          <w:spacing w:val="6"/>
          <w:sz w:val="24"/>
          <w:szCs w:val="24"/>
          <w:highlight w:val="none"/>
        </w:rPr>
        <w:t>、工程所在地的地方性标准，以及相应的规范、规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程等，合同当事人有特别要求的，应在专用合同条件中约定。</w:t>
      </w:r>
    </w:p>
    <w:p w14:paraId="6E08F78F">
      <w:pPr>
        <w:pStyle w:val="2"/>
        <w:keepNext w:val="0"/>
        <w:keepLines w:val="0"/>
        <w:pageBreakBefore w:val="0"/>
        <w:widowControl/>
        <w:kinsoku w:val="0"/>
        <w:wordWrap/>
        <w:overflowPunct/>
        <w:topLinePunct w:val="0"/>
        <w:autoSpaceDE w:val="0"/>
        <w:autoSpaceDN w:val="0"/>
        <w:bidi w:val="0"/>
        <w:adjustRightInd w:val="0"/>
        <w:snapToGrid w:val="0"/>
        <w:spacing w:before="146" w:line="239" w:lineRule="auto"/>
        <w:ind w:left="23" w:right="15" w:firstLine="1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1.4.2 发包人要求使用国外标准、规范的</w:t>
      </w:r>
      <w:r>
        <w:rPr>
          <w:rFonts w:hint="eastAsia" w:ascii="仿宋" w:hAnsi="仿宋" w:eastAsia="仿宋" w:cs="仿宋"/>
          <w:color w:val="auto"/>
          <w:spacing w:val="6"/>
          <w:sz w:val="24"/>
          <w:szCs w:val="24"/>
          <w:highlight w:val="none"/>
        </w:rPr>
        <w:t>，发包人负责提供原文版本和中文译本，并在专用</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合同条件中约定提供标准规范的名称、份数和时间。</w:t>
      </w:r>
    </w:p>
    <w:p w14:paraId="33028118">
      <w:pPr>
        <w:pStyle w:val="2"/>
        <w:keepNext w:val="0"/>
        <w:keepLines w:val="0"/>
        <w:pageBreakBefore w:val="0"/>
        <w:widowControl/>
        <w:kinsoku w:val="0"/>
        <w:wordWrap/>
        <w:overflowPunct/>
        <w:topLinePunct w:val="0"/>
        <w:autoSpaceDE w:val="0"/>
        <w:autoSpaceDN w:val="0"/>
        <w:bidi w:val="0"/>
        <w:adjustRightInd w:val="0"/>
        <w:snapToGrid w:val="0"/>
        <w:spacing w:before="147" w:line="245" w:lineRule="auto"/>
        <w:ind w:left="23" w:right="15" w:firstLine="1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1.4.3 没有相应成文规定的标准、规范时</w:t>
      </w:r>
      <w:r>
        <w:rPr>
          <w:rFonts w:hint="eastAsia" w:ascii="仿宋" w:hAnsi="仿宋" w:eastAsia="仿宋" w:cs="仿宋"/>
          <w:color w:val="auto"/>
          <w:spacing w:val="6"/>
          <w:sz w:val="24"/>
          <w:szCs w:val="24"/>
          <w:highlight w:val="none"/>
        </w:rPr>
        <w:t>，由发包人在专用合同条件中约定的时间向承包人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列明技术要求，承包人按约定的时间和技术要求提出实施方法，经发包人认可后执行。承包</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7"/>
          <w:sz w:val="24"/>
          <w:szCs w:val="24"/>
          <w:highlight w:val="none"/>
        </w:rPr>
        <w:t>人需要对实施方法进行研发试验的，或须对项目人员进行特殊培训及其有特殊要求的，除签</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9"/>
          <w:sz w:val="24"/>
          <w:szCs w:val="24"/>
          <w:highlight w:val="none"/>
        </w:rPr>
        <w:t>约合同价已包含此项费用外，双方应另行订立协议作为合同附件，其费用由发包人承担。</w:t>
      </w:r>
    </w:p>
    <w:p w14:paraId="7C56ED4A">
      <w:pPr>
        <w:pStyle w:val="2"/>
        <w:keepNext w:val="0"/>
        <w:keepLines w:val="0"/>
        <w:pageBreakBefore w:val="0"/>
        <w:widowControl/>
        <w:kinsoku w:val="0"/>
        <w:wordWrap/>
        <w:overflowPunct/>
        <w:topLinePunct w:val="0"/>
        <w:autoSpaceDE w:val="0"/>
        <w:autoSpaceDN w:val="0"/>
        <w:bidi w:val="0"/>
        <w:adjustRightInd w:val="0"/>
        <w:snapToGrid w:val="0"/>
        <w:spacing w:before="149" w:line="242" w:lineRule="auto"/>
        <w:ind w:left="35" w:right="15" w:firstLine="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1.4.4 发包人对于工程的技术标准、功能</w:t>
      </w:r>
      <w:r>
        <w:rPr>
          <w:rFonts w:hint="eastAsia" w:ascii="仿宋" w:hAnsi="仿宋" w:eastAsia="仿宋" w:cs="仿宋"/>
          <w:color w:val="auto"/>
          <w:spacing w:val="6"/>
          <w:sz w:val="24"/>
          <w:szCs w:val="24"/>
          <w:highlight w:val="none"/>
        </w:rPr>
        <w:t>要求高于或严于现行国家、行业或地方标准的，应</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当在《发包人要求》中予以明确。除专用合同条件另有约定外，应视为承包人在订立合同前</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9"/>
          <w:sz w:val="24"/>
          <w:szCs w:val="24"/>
          <w:highlight w:val="none"/>
        </w:rPr>
        <w:t>已充分预见前述技术标准和功能要求的复杂程度，签约合同价中已包含由此产生的费用。</w:t>
      </w:r>
    </w:p>
    <w:p w14:paraId="13690A9C">
      <w:pPr>
        <w:pStyle w:val="2"/>
        <w:keepNext w:val="0"/>
        <w:keepLines w:val="0"/>
        <w:pageBreakBefore w:val="0"/>
        <w:widowControl/>
        <w:kinsoku w:val="0"/>
        <w:wordWrap/>
        <w:overflowPunct/>
        <w:topLinePunct w:val="0"/>
        <w:autoSpaceDE w:val="0"/>
        <w:autoSpaceDN w:val="0"/>
        <w:bidi w:val="0"/>
        <w:adjustRightInd w:val="0"/>
        <w:snapToGrid w:val="0"/>
        <w:spacing w:before="148"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1.5 合同文件的优先顺序</w:t>
      </w:r>
    </w:p>
    <w:p w14:paraId="360CA89A">
      <w:pPr>
        <w:pStyle w:val="2"/>
        <w:keepNext w:val="0"/>
        <w:keepLines w:val="0"/>
        <w:pageBreakBefore w:val="0"/>
        <w:widowControl/>
        <w:kinsoku w:val="0"/>
        <w:wordWrap/>
        <w:overflowPunct/>
        <w:topLinePunct w:val="0"/>
        <w:autoSpaceDE w:val="0"/>
        <w:autoSpaceDN w:val="0"/>
        <w:bidi w:val="0"/>
        <w:adjustRightInd w:val="0"/>
        <w:snapToGrid w:val="0"/>
        <w:spacing w:before="144"/>
        <w:ind w:left="23" w:right="15"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组成合同的各项文件应互相解释，互为说明。除专用合同条件另有约定外，</w:t>
      </w:r>
      <w:r>
        <w:rPr>
          <w:rFonts w:hint="eastAsia" w:ascii="仿宋" w:hAnsi="仿宋" w:eastAsia="仿宋" w:cs="仿宋"/>
          <w:color w:val="auto"/>
          <w:spacing w:val="7"/>
          <w:sz w:val="24"/>
          <w:szCs w:val="24"/>
          <w:highlight w:val="none"/>
        </w:rPr>
        <w:t>解释合同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文件的优先顺序如下：</w:t>
      </w:r>
    </w:p>
    <w:p w14:paraId="40CE1CA6">
      <w:pPr>
        <w:pStyle w:val="2"/>
        <w:keepNext w:val="0"/>
        <w:keepLines w:val="0"/>
        <w:pageBreakBefore w:val="0"/>
        <w:widowControl/>
        <w:kinsoku w:val="0"/>
        <w:wordWrap/>
        <w:overflowPunct/>
        <w:topLinePunct w:val="0"/>
        <w:autoSpaceDE w:val="0"/>
        <w:autoSpaceDN w:val="0"/>
        <w:bidi w:val="0"/>
        <w:adjustRightInd w:val="0"/>
        <w:snapToGrid w:val="0"/>
        <w:spacing w:before="27"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3"/>
          <w:sz w:val="24"/>
          <w:szCs w:val="24"/>
          <w:highlight w:val="none"/>
        </w:rPr>
        <w:t>合同协议书；</w:t>
      </w:r>
    </w:p>
    <w:p w14:paraId="68983187">
      <w:pPr>
        <w:pStyle w:val="2"/>
        <w:keepNext w:val="0"/>
        <w:keepLines w:val="0"/>
        <w:pageBreakBefore w:val="0"/>
        <w:widowControl/>
        <w:kinsoku w:val="0"/>
        <w:wordWrap/>
        <w:overflowPunct/>
        <w:topLinePunct w:val="0"/>
        <w:autoSpaceDE w:val="0"/>
        <w:autoSpaceDN w:val="0"/>
        <w:bidi w:val="0"/>
        <w:adjustRightInd w:val="0"/>
        <w:snapToGrid w:val="0"/>
        <w:spacing w:before="25"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（2）</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4"/>
          <w:sz w:val="24"/>
          <w:szCs w:val="24"/>
          <w:highlight w:val="none"/>
        </w:rPr>
        <w:t>中标通知书（如果有</w:t>
      </w:r>
      <w:r>
        <w:rPr>
          <w:rFonts w:hint="eastAsia" w:ascii="仿宋" w:hAnsi="仿宋" w:eastAsia="仿宋" w:cs="仿宋"/>
          <w:color w:val="auto"/>
          <w:spacing w:val="3"/>
          <w:sz w:val="24"/>
          <w:szCs w:val="24"/>
          <w:highlight w:val="none"/>
        </w:rPr>
        <w:t>）；</w:t>
      </w:r>
    </w:p>
    <w:p w14:paraId="26A505B6">
      <w:pPr>
        <w:pStyle w:val="2"/>
        <w:keepNext w:val="0"/>
        <w:keepLines w:val="0"/>
        <w:pageBreakBefore w:val="0"/>
        <w:widowControl/>
        <w:kinsoku w:val="0"/>
        <w:wordWrap/>
        <w:overflowPunct/>
        <w:topLinePunct w:val="0"/>
        <w:autoSpaceDE w:val="0"/>
        <w:autoSpaceDN w:val="0"/>
        <w:bidi w:val="0"/>
        <w:adjustRightInd w:val="0"/>
        <w:snapToGrid w:val="0"/>
        <w:spacing w:before="25"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（3） 投标函及投标函附录（如果有</w:t>
      </w:r>
      <w:r>
        <w:rPr>
          <w:rFonts w:hint="eastAsia" w:ascii="仿宋" w:hAnsi="仿宋" w:eastAsia="仿宋" w:cs="仿宋"/>
          <w:color w:val="auto"/>
          <w:spacing w:val="1"/>
          <w:sz w:val="24"/>
          <w:szCs w:val="24"/>
          <w:highlight w:val="none"/>
        </w:rPr>
        <w:t>）；</w:t>
      </w:r>
    </w:p>
    <w:p w14:paraId="785352CE">
      <w:pPr>
        <w:pStyle w:val="2"/>
        <w:keepNext w:val="0"/>
        <w:keepLines w:val="0"/>
        <w:pageBreakBefore w:val="0"/>
        <w:widowControl/>
        <w:kinsoku w:val="0"/>
        <w:wordWrap/>
        <w:overflowPunct/>
        <w:topLinePunct w:val="0"/>
        <w:autoSpaceDE w:val="0"/>
        <w:autoSpaceDN w:val="0"/>
        <w:bidi w:val="0"/>
        <w:adjustRightInd w:val="0"/>
        <w:snapToGrid w:val="0"/>
        <w:spacing w:before="28"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（4） 专用合同条件及《发包人要求》等附件；</w:t>
      </w:r>
    </w:p>
    <w:p w14:paraId="4173C81E">
      <w:pPr>
        <w:pStyle w:val="2"/>
        <w:keepNext w:val="0"/>
        <w:keepLines w:val="0"/>
        <w:pageBreakBefore w:val="0"/>
        <w:widowControl/>
        <w:kinsoku w:val="0"/>
        <w:wordWrap/>
        <w:overflowPunct/>
        <w:topLinePunct w:val="0"/>
        <w:autoSpaceDE w:val="0"/>
        <w:autoSpaceDN w:val="0"/>
        <w:bidi w:val="0"/>
        <w:adjustRightInd w:val="0"/>
        <w:snapToGrid w:val="0"/>
        <w:spacing w:before="25" w:line="274" w:lineRule="exact"/>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position w:val="4"/>
          <w:sz w:val="24"/>
          <w:szCs w:val="24"/>
          <w:highlight w:val="none"/>
        </w:rPr>
        <w:t>（5）</w:t>
      </w:r>
      <w:r>
        <w:rPr>
          <w:rFonts w:hint="eastAsia" w:ascii="仿宋" w:hAnsi="仿宋" w:eastAsia="仿宋" w:cs="仿宋"/>
          <w:color w:val="auto"/>
          <w:spacing w:val="27"/>
          <w:position w:val="4"/>
          <w:sz w:val="24"/>
          <w:szCs w:val="24"/>
          <w:highlight w:val="none"/>
        </w:rPr>
        <w:t xml:space="preserve"> </w:t>
      </w:r>
      <w:r>
        <w:rPr>
          <w:rFonts w:hint="eastAsia" w:ascii="仿宋" w:hAnsi="仿宋" w:eastAsia="仿宋" w:cs="仿宋"/>
          <w:color w:val="auto"/>
          <w:spacing w:val="4"/>
          <w:position w:val="4"/>
          <w:sz w:val="24"/>
          <w:szCs w:val="24"/>
          <w:highlight w:val="none"/>
        </w:rPr>
        <w:t>通用合同条件；</w:t>
      </w:r>
    </w:p>
    <w:p w14:paraId="0DFAACE9">
      <w:pPr>
        <w:pStyle w:val="2"/>
        <w:keepNext w:val="0"/>
        <w:keepLines w:val="0"/>
        <w:pageBreakBefore w:val="0"/>
        <w:widowControl/>
        <w:kinsoku w:val="0"/>
        <w:wordWrap/>
        <w:overflowPunct/>
        <w:topLinePunct w:val="0"/>
        <w:autoSpaceDE w:val="0"/>
        <w:autoSpaceDN w:val="0"/>
        <w:bidi w:val="0"/>
        <w:adjustRightInd w:val="0"/>
        <w:snapToGrid w:val="0"/>
        <w:spacing w:before="1" w:line="226"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（6）</w:t>
      </w:r>
      <w:r>
        <w:rPr>
          <w:rFonts w:hint="eastAsia" w:ascii="仿宋" w:hAnsi="仿宋" w:eastAsia="仿宋" w:cs="仿宋"/>
          <w:color w:val="auto"/>
          <w:spacing w:val="27"/>
          <w:sz w:val="24"/>
          <w:szCs w:val="24"/>
          <w:highlight w:val="none"/>
        </w:rPr>
        <w:t xml:space="preserve"> </w:t>
      </w:r>
      <w:r>
        <w:rPr>
          <w:rFonts w:hint="eastAsia" w:ascii="仿宋" w:hAnsi="仿宋" w:eastAsia="仿宋" w:cs="仿宋"/>
          <w:color w:val="auto"/>
          <w:spacing w:val="4"/>
          <w:sz w:val="24"/>
          <w:szCs w:val="24"/>
          <w:highlight w:val="none"/>
        </w:rPr>
        <w:t>承包人建议书；</w:t>
      </w:r>
    </w:p>
    <w:p w14:paraId="74E7236A">
      <w:pPr>
        <w:pStyle w:val="2"/>
        <w:keepNext w:val="0"/>
        <w:keepLines w:val="0"/>
        <w:pageBreakBefore w:val="0"/>
        <w:widowControl/>
        <w:kinsoku w:val="0"/>
        <w:wordWrap/>
        <w:overflowPunct/>
        <w:topLinePunct w:val="0"/>
        <w:autoSpaceDE w:val="0"/>
        <w:autoSpaceDN w:val="0"/>
        <w:bidi w:val="0"/>
        <w:adjustRightInd w:val="0"/>
        <w:snapToGrid w:val="0"/>
        <w:spacing w:before="25" w:line="226"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（7）</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2"/>
          <w:sz w:val="24"/>
          <w:szCs w:val="24"/>
          <w:highlight w:val="none"/>
        </w:rPr>
        <w:t>价格清单；</w:t>
      </w:r>
    </w:p>
    <w:p w14:paraId="7566F837">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 双方约定的其他合同文件。</w:t>
      </w:r>
    </w:p>
    <w:p w14:paraId="456861D3">
      <w:pPr>
        <w:pStyle w:val="2"/>
        <w:keepNext w:val="0"/>
        <w:keepLines w:val="0"/>
        <w:pageBreakBefore w:val="0"/>
        <w:widowControl/>
        <w:kinsoku w:val="0"/>
        <w:wordWrap/>
        <w:overflowPunct/>
        <w:topLinePunct w:val="0"/>
        <w:autoSpaceDE w:val="0"/>
        <w:autoSpaceDN w:val="0"/>
        <w:bidi w:val="0"/>
        <w:adjustRightInd w:val="0"/>
        <w:snapToGrid w:val="0"/>
        <w:spacing w:before="25"/>
        <w:ind w:left="47" w:right="15" w:firstLine="57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上述各项合同文件包括合同当事人就该项合同文件所作出的补充和修改，属于</w:t>
      </w:r>
      <w:r>
        <w:rPr>
          <w:rFonts w:hint="eastAsia" w:ascii="仿宋" w:hAnsi="仿宋" w:eastAsia="仿宋" w:cs="仿宋"/>
          <w:color w:val="auto"/>
          <w:spacing w:val="7"/>
          <w:sz w:val="24"/>
          <w:szCs w:val="24"/>
          <w:highlight w:val="none"/>
        </w:rPr>
        <w:t>同一类</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内容的文件，应以最新签署的为准。</w:t>
      </w:r>
    </w:p>
    <w:p w14:paraId="38C0C962">
      <w:pPr>
        <w:pStyle w:val="2"/>
        <w:keepNext w:val="0"/>
        <w:keepLines w:val="0"/>
        <w:pageBreakBefore w:val="0"/>
        <w:widowControl/>
        <w:kinsoku w:val="0"/>
        <w:wordWrap/>
        <w:overflowPunct/>
        <w:topLinePunct w:val="0"/>
        <w:autoSpaceDE w:val="0"/>
        <w:autoSpaceDN w:val="0"/>
        <w:bidi w:val="0"/>
        <w:adjustRightInd w:val="0"/>
        <w:snapToGrid w:val="0"/>
        <w:spacing w:before="25" w:line="239" w:lineRule="auto"/>
        <w:ind w:left="23" w:right="15" w:firstLine="5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在合同订立及履行过程中形成的与合同有关的文件均构成合同文件组成部分，并根据</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其性质确定优先解释顺序。</w:t>
      </w:r>
    </w:p>
    <w:p w14:paraId="2F2060BB">
      <w:pPr>
        <w:pStyle w:val="2"/>
        <w:keepNext w:val="0"/>
        <w:keepLines w:val="0"/>
        <w:pageBreakBefore w:val="0"/>
        <w:widowControl/>
        <w:kinsoku w:val="0"/>
        <w:wordWrap/>
        <w:overflowPunct/>
        <w:topLinePunct w:val="0"/>
        <w:autoSpaceDE w:val="0"/>
        <w:autoSpaceDN w:val="0"/>
        <w:bidi w:val="0"/>
        <w:adjustRightInd w:val="0"/>
        <w:snapToGrid w:val="0"/>
        <w:spacing w:before="27" w:line="227"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1.6 文件的提供和照管</w:t>
      </w:r>
    </w:p>
    <w:p w14:paraId="6BCE9BC2">
      <w:pPr>
        <w:pStyle w:val="2"/>
        <w:keepNext w:val="0"/>
        <w:keepLines w:val="0"/>
        <w:pageBreakBefore w:val="0"/>
        <w:widowControl/>
        <w:kinsoku w:val="0"/>
        <w:wordWrap/>
        <w:overflowPunct/>
        <w:topLinePunct w:val="0"/>
        <w:autoSpaceDE w:val="0"/>
        <w:autoSpaceDN w:val="0"/>
        <w:bidi w:val="0"/>
        <w:adjustRightInd w:val="0"/>
        <w:snapToGrid w:val="0"/>
        <w:spacing w:before="147" w:line="227"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1.6.1 发包人文件的提供</w:t>
      </w:r>
    </w:p>
    <w:p w14:paraId="6BC9D96F">
      <w:pPr>
        <w:pStyle w:val="2"/>
        <w:keepNext w:val="0"/>
        <w:keepLines w:val="0"/>
        <w:pageBreakBefore w:val="0"/>
        <w:widowControl/>
        <w:kinsoku w:val="0"/>
        <w:wordWrap/>
        <w:overflowPunct/>
        <w:topLinePunct w:val="0"/>
        <w:autoSpaceDE w:val="0"/>
        <w:autoSpaceDN w:val="0"/>
        <w:bidi w:val="0"/>
        <w:adjustRightInd w:val="0"/>
        <w:snapToGrid w:val="0"/>
        <w:spacing w:before="145" w:line="246" w:lineRule="auto"/>
        <w:ind w:left="24" w:right="15"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发包人应按照专用合同条件约定的期限、数量和形式向承包人免费提供前</w:t>
      </w:r>
      <w:r>
        <w:rPr>
          <w:rFonts w:hint="eastAsia" w:ascii="仿宋" w:hAnsi="仿宋" w:eastAsia="仿宋" w:cs="仿宋"/>
          <w:color w:val="auto"/>
          <w:spacing w:val="7"/>
          <w:sz w:val="24"/>
          <w:szCs w:val="24"/>
          <w:highlight w:val="none"/>
        </w:rPr>
        <w:t>期工作相关</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资料、环境保护、气象水文、地质条件进行工程设计、现场施工等工程实施所需的文件。因</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9"/>
          <w:sz w:val="24"/>
          <w:szCs w:val="24"/>
          <w:highlight w:val="none"/>
        </w:rPr>
        <w:t>发包人未按合同约定提供文件造成工期延误的，按照第</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8.7.1</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8"/>
          <w:sz w:val="24"/>
          <w:szCs w:val="24"/>
          <w:highlight w:val="none"/>
        </w:rPr>
        <w:t>项[因发包人原因导致工期延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误]约定办理。</w:t>
      </w:r>
    </w:p>
    <w:p w14:paraId="1025CCB3">
      <w:pPr>
        <w:pStyle w:val="2"/>
        <w:keepNext w:val="0"/>
        <w:keepLines w:val="0"/>
        <w:pageBreakBefore w:val="0"/>
        <w:widowControl/>
        <w:kinsoku w:val="0"/>
        <w:wordWrap/>
        <w:overflowPunct/>
        <w:topLinePunct w:val="0"/>
        <w:autoSpaceDE w:val="0"/>
        <w:autoSpaceDN w:val="0"/>
        <w:bidi w:val="0"/>
        <w:adjustRightInd w:val="0"/>
        <w:snapToGrid w:val="0"/>
        <w:spacing w:before="24" w:line="227"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1.6.2 承包人文件的提供</w:t>
      </w:r>
    </w:p>
    <w:p w14:paraId="449532DC">
      <w:pPr>
        <w:pStyle w:val="2"/>
        <w:keepNext w:val="0"/>
        <w:keepLines w:val="0"/>
        <w:pageBreakBefore w:val="0"/>
        <w:widowControl/>
        <w:kinsoku w:val="0"/>
        <w:wordWrap/>
        <w:overflowPunct/>
        <w:topLinePunct w:val="0"/>
        <w:autoSpaceDE w:val="0"/>
        <w:autoSpaceDN w:val="0"/>
        <w:bidi w:val="0"/>
        <w:adjustRightInd w:val="0"/>
        <w:snapToGrid w:val="0"/>
        <w:spacing w:before="147"/>
        <w:ind w:left="27" w:right="14" w:firstLine="60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除专用合同条件另有约定外，承包人文件应包含下列内容，并用第</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6"/>
          <w:sz w:val="24"/>
          <w:szCs w:val="24"/>
          <w:highlight w:val="none"/>
        </w:rPr>
        <w:t>1.2</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6"/>
          <w:sz w:val="24"/>
          <w:szCs w:val="24"/>
          <w:highlight w:val="none"/>
        </w:rPr>
        <w:t>款[语言文字]</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约定的语言制作：</w:t>
      </w:r>
    </w:p>
    <w:p w14:paraId="50F59BD2">
      <w:pPr>
        <w:pStyle w:val="2"/>
        <w:keepNext w:val="0"/>
        <w:keepLines w:val="0"/>
        <w:pageBreakBefore w:val="0"/>
        <w:widowControl/>
        <w:kinsoku w:val="0"/>
        <w:wordWrap/>
        <w:overflowPunct/>
        <w:topLinePunct w:val="0"/>
        <w:autoSpaceDE w:val="0"/>
        <w:autoSpaceDN w:val="0"/>
        <w:bidi w:val="0"/>
        <w:adjustRightInd w:val="0"/>
        <w:snapToGrid w:val="0"/>
        <w:spacing w:before="23"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《发包人要求》中规定的相关文件；</w:t>
      </w:r>
    </w:p>
    <w:p w14:paraId="599CB443">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（2） 满足工程相关行政审批手续所必须的应由承</w:t>
      </w:r>
      <w:r>
        <w:rPr>
          <w:rFonts w:hint="eastAsia" w:ascii="仿宋" w:hAnsi="仿宋" w:eastAsia="仿宋" w:cs="仿宋"/>
          <w:color w:val="auto"/>
          <w:spacing w:val="8"/>
          <w:sz w:val="24"/>
          <w:szCs w:val="24"/>
          <w:highlight w:val="none"/>
        </w:rPr>
        <w:t>包人负责的相关文件；</w:t>
      </w:r>
    </w:p>
    <w:p w14:paraId="52E7D350">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（3） 第</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6"/>
          <w:sz w:val="24"/>
          <w:szCs w:val="24"/>
          <w:highlight w:val="none"/>
        </w:rPr>
        <w:t>5.4</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6"/>
          <w:sz w:val="24"/>
          <w:szCs w:val="24"/>
          <w:highlight w:val="none"/>
        </w:rPr>
        <w:t>款[竣工文件]与第</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6"/>
          <w:sz w:val="24"/>
          <w:szCs w:val="24"/>
          <w:highlight w:val="none"/>
        </w:rPr>
        <w:t>5.5</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6"/>
          <w:sz w:val="24"/>
          <w:szCs w:val="24"/>
          <w:highlight w:val="none"/>
        </w:rPr>
        <w:t>款[操作和维修手册]中要求的相关文件。</w:t>
      </w:r>
    </w:p>
    <w:p w14:paraId="7747F8AF">
      <w:pPr>
        <w:pStyle w:val="2"/>
        <w:keepNext w:val="0"/>
        <w:keepLines w:val="0"/>
        <w:pageBreakBefore w:val="0"/>
        <w:widowControl/>
        <w:kinsoku w:val="0"/>
        <w:wordWrap/>
        <w:overflowPunct/>
        <w:topLinePunct w:val="0"/>
        <w:autoSpaceDE w:val="0"/>
        <w:autoSpaceDN w:val="0"/>
        <w:bidi w:val="0"/>
        <w:adjustRightInd w:val="0"/>
        <w:snapToGrid w:val="0"/>
        <w:spacing w:before="27" w:line="247" w:lineRule="auto"/>
        <w:ind w:left="21" w:right="15"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承包人应按照专用合同条件约定的期限、名称、数量和形式向工程师提供应当由</w:t>
      </w:r>
      <w:r>
        <w:rPr>
          <w:rFonts w:hint="eastAsia" w:ascii="仿宋" w:hAnsi="仿宋" w:eastAsia="仿宋" w:cs="仿宋"/>
          <w:color w:val="auto"/>
          <w:spacing w:val="7"/>
          <w:sz w:val="24"/>
          <w:szCs w:val="24"/>
          <w:highlight w:val="none"/>
        </w:rPr>
        <w:t>承包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人编制的与工程设计、现场施工等工程实施有关的承包人文件。工程师对承包人文件有异议</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的，承包人应予以修改，并重新报送工程师。合同约定承包人文件应经审查的，工程师应在</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合同约定的期限内审查完毕，但工程师的审查并不减轻或免除承包人根据合同约定应当承担</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的责任。承包人文件的提供和审查还应遵守第</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8"/>
          <w:sz w:val="24"/>
          <w:szCs w:val="24"/>
          <w:highlight w:val="none"/>
        </w:rPr>
        <w:t>5.2</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8"/>
          <w:sz w:val="24"/>
          <w:szCs w:val="24"/>
          <w:highlight w:val="none"/>
        </w:rPr>
        <w:t>款[承包人文件审查]和第</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8"/>
          <w:sz w:val="24"/>
          <w:szCs w:val="24"/>
          <w:highlight w:val="none"/>
        </w:rPr>
        <w:t>5.4</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8"/>
          <w:sz w:val="24"/>
          <w:szCs w:val="24"/>
          <w:highlight w:val="none"/>
        </w:rPr>
        <w:t>款[竣工文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件]的约定。</w:t>
      </w:r>
    </w:p>
    <w:p w14:paraId="06D2270C">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1.6.3 文件错误的通知</w:t>
      </w:r>
    </w:p>
    <w:p w14:paraId="79C7460D">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仿宋" w:hAnsi="仿宋" w:eastAsia="仿宋" w:cs="仿宋"/>
          <w:color w:val="auto"/>
          <w:sz w:val="24"/>
          <w:szCs w:val="24"/>
          <w:highlight w:val="none"/>
        </w:rPr>
        <w:sectPr>
          <w:footerReference r:id="rId33" w:type="default"/>
          <w:pgSz w:w="11906" w:h="16839"/>
          <w:pgMar w:top="1428" w:right="1785" w:bottom="1171" w:left="1785" w:header="0" w:footer="992" w:gutter="0"/>
          <w:pgNumType w:fmt="decimal"/>
          <w:cols w:space="720" w:num="1"/>
        </w:sectPr>
      </w:pPr>
    </w:p>
    <w:p w14:paraId="3965BAAD">
      <w:pPr>
        <w:pStyle w:val="2"/>
        <w:keepNext w:val="0"/>
        <w:keepLines w:val="0"/>
        <w:pageBreakBefore w:val="0"/>
        <w:widowControl/>
        <w:kinsoku w:val="0"/>
        <w:wordWrap/>
        <w:overflowPunct/>
        <w:topLinePunct w:val="0"/>
        <w:autoSpaceDE w:val="0"/>
        <w:autoSpaceDN w:val="0"/>
        <w:bidi w:val="0"/>
        <w:adjustRightInd w:val="0"/>
        <w:snapToGrid w:val="0"/>
        <w:spacing w:before="41"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任何一方发现文件中存在明显的错误或疏忽，应及时通知另一方。</w:t>
      </w:r>
    </w:p>
    <w:p w14:paraId="66AA27C8">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1.6.4 文件的照管</w:t>
      </w:r>
    </w:p>
    <w:p w14:paraId="491EE10C">
      <w:pPr>
        <w:pStyle w:val="2"/>
        <w:keepNext w:val="0"/>
        <w:keepLines w:val="0"/>
        <w:pageBreakBefore w:val="0"/>
        <w:widowControl/>
        <w:kinsoku w:val="0"/>
        <w:wordWrap/>
        <w:overflowPunct/>
        <w:topLinePunct w:val="0"/>
        <w:autoSpaceDE w:val="0"/>
        <w:autoSpaceDN w:val="0"/>
        <w:bidi w:val="0"/>
        <w:adjustRightInd w:val="0"/>
        <w:snapToGrid w:val="0"/>
        <w:spacing w:before="142" w:line="244" w:lineRule="auto"/>
        <w:ind w:left="21" w:right="176" w:firstLine="61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除专用合同条件另有约定外，承包人应在现场保留一</w:t>
      </w:r>
      <w:r>
        <w:rPr>
          <w:rFonts w:hint="eastAsia" w:ascii="仿宋" w:hAnsi="仿宋" w:eastAsia="仿宋" w:cs="仿宋"/>
          <w:color w:val="auto"/>
          <w:spacing w:val="7"/>
          <w:sz w:val="24"/>
          <w:szCs w:val="24"/>
          <w:highlight w:val="none"/>
        </w:rPr>
        <w:t>份合同、《发包人要求》中列出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的所有文件、承包人文件、变更以及其他根据合同收发的往来信函。发包人和工程师有权在</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任何合理的时间查阅和使用上述所有文件。</w:t>
      </w:r>
    </w:p>
    <w:p w14:paraId="38213572">
      <w:pPr>
        <w:pStyle w:val="2"/>
        <w:keepNext w:val="0"/>
        <w:keepLines w:val="0"/>
        <w:pageBreakBefore w:val="0"/>
        <w:widowControl/>
        <w:kinsoku w:val="0"/>
        <w:wordWrap/>
        <w:overflowPunct/>
        <w:topLinePunct w:val="0"/>
        <w:autoSpaceDE w:val="0"/>
        <w:autoSpaceDN w:val="0"/>
        <w:bidi w:val="0"/>
        <w:adjustRightInd w:val="0"/>
        <w:snapToGrid w:val="0"/>
        <w:spacing w:before="26" w:line="230"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z w:val="24"/>
          <w:szCs w:val="24"/>
          <w:highlight w:val="none"/>
        </w:rPr>
        <w:t>联络</w:t>
      </w:r>
    </w:p>
    <w:p w14:paraId="2AD13096">
      <w:pPr>
        <w:pStyle w:val="2"/>
        <w:keepNext w:val="0"/>
        <w:keepLines w:val="0"/>
        <w:pageBreakBefore w:val="0"/>
        <w:widowControl/>
        <w:kinsoku w:val="0"/>
        <w:wordWrap/>
        <w:overflowPunct/>
        <w:topLinePunct w:val="0"/>
        <w:autoSpaceDE w:val="0"/>
        <w:autoSpaceDN w:val="0"/>
        <w:bidi w:val="0"/>
        <w:adjustRightInd w:val="0"/>
        <w:snapToGrid w:val="0"/>
        <w:spacing w:before="143" w:line="243" w:lineRule="auto"/>
        <w:ind w:left="22" w:right="100" w:firstLine="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 xml:space="preserve">1.7.1 与合同有关的通知、批准、证明、证书、指示、指令、要求、请求、同意、意见、确 </w:t>
      </w:r>
      <w:r>
        <w:rPr>
          <w:rFonts w:hint="eastAsia" w:ascii="仿宋" w:hAnsi="仿宋" w:eastAsia="仿宋" w:cs="仿宋"/>
          <w:color w:val="auto"/>
          <w:spacing w:val="9"/>
          <w:sz w:val="24"/>
          <w:szCs w:val="24"/>
          <w:highlight w:val="none"/>
        </w:rPr>
        <w:t>定和决定等，均应采用书面形式，并应在合同约定的期限内（如无约定，应在合理期限内）</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9"/>
          <w:sz w:val="24"/>
          <w:szCs w:val="24"/>
          <w:highlight w:val="none"/>
        </w:rPr>
        <w:t>通过特快专递或专人、挂号信、传真或双方商定的电子传输方式送达收件地址。</w:t>
      </w:r>
    </w:p>
    <w:p w14:paraId="2B50FC94">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35" w:right="176" w:firstLine="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1.7.2 发包人和承包人应在专用合同条件</w:t>
      </w:r>
      <w:r>
        <w:rPr>
          <w:rFonts w:hint="eastAsia" w:ascii="仿宋" w:hAnsi="仿宋" w:eastAsia="仿宋" w:cs="仿宋"/>
          <w:color w:val="auto"/>
          <w:spacing w:val="6"/>
          <w:sz w:val="24"/>
          <w:szCs w:val="24"/>
          <w:highlight w:val="none"/>
        </w:rPr>
        <w:t>中约定各自的送达方式和收件地址。任何一方合同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当事人指定的送达方式或收件地址发生变动的，应提前</w:t>
      </w:r>
      <w:r>
        <w:rPr>
          <w:rFonts w:hint="eastAsia" w:ascii="仿宋" w:hAnsi="仿宋" w:eastAsia="仿宋" w:cs="仿宋"/>
          <w:color w:val="auto"/>
          <w:spacing w:val="-28"/>
          <w:sz w:val="24"/>
          <w:szCs w:val="24"/>
          <w:highlight w:val="none"/>
        </w:rPr>
        <w:t xml:space="preserve"> </w:t>
      </w:r>
      <w:r>
        <w:rPr>
          <w:rFonts w:hint="eastAsia" w:ascii="仿宋" w:hAnsi="仿宋" w:eastAsia="仿宋" w:cs="仿宋"/>
          <w:color w:val="auto"/>
          <w:spacing w:val="8"/>
          <w:sz w:val="24"/>
          <w:szCs w:val="24"/>
          <w:highlight w:val="none"/>
        </w:rPr>
        <w:t>3</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8"/>
          <w:sz w:val="24"/>
          <w:szCs w:val="24"/>
          <w:highlight w:val="none"/>
        </w:rPr>
        <w:t>天以书面形式通知对方。</w:t>
      </w:r>
    </w:p>
    <w:p w14:paraId="7C8411EF">
      <w:pPr>
        <w:pStyle w:val="2"/>
        <w:keepNext w:val="0"/>
        <w:keepLines w:val="0"/>
        <w:pageBreakBefore w:val="0"/>
        <w:widowControl/>
        <w:kinsoku w:val="0"/>
        <w:wordWrap/>
        <w:overflowPunct/>
        <w:topLinePunct w:val="0"/>
        <w:autoSpaceDE w:val="0"/>
        <w:autoSpaceDN w:val="0"/>
        <w:bidi w:val="0"/>
        <w:adjustRightInd w:val="0"/>
        <w:snapToGrid w:val="0"/>
        <w:spacing w:before="146"/>
        <w:ind w:left="21" w:right="176" w:firstLine="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1.7.3 发包人和承包人应当及时签收另一方通过约定的送达方式送达至收件地址的来往文</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8"/>
          <w:sz w:val="24"/>
          <w:szCs w:val="24"/>
          <w:highlight w:val="none"/>
        </w:rPr>
        <w:t>件。拒不签收的，</w:t>
      </w:r>
      <w:r>
        <w:rPr>
          <w:rFonts w:hint="eastAsia" w:ascii="仿宋" w:hAnsi="仿宋" w:eastAsia="仿宋" w:cs="仿宋"/>
          <w:color w:val="auto"/>
          <w:spacing w:val="-52"/>
          <w:sz w:val="24"/>
          <w:szCs w:val="24"/>
          <w:highlight w:val="none"/>
        </w:rPr>
        <w:t xml:space="preserve"> </w:t>
      </w:r>
      <w:r>
        <w:rPr>
          <w:rFonts w:hint="eastAsia" w:ascii="仿宋" w:hAnsi="仿宋" w:eastAsia="仿宋" w:cs="仿宋"/>
          <w:color w:val="auto"/>
          <w:spacing w:val="8"/>
          <w:sz w:val="24"/>
          <w:szCs w:val="24"/>
          <w:highlight w:val="none"/>
        </w:rPr>
        <w:t>由此增加的费用和（或）延误的工期由拒绝接收一方承担。</w:t>
      </w:r>
    </w:p>
    <w:p w14:paraId="02CF4564">
      <w:pPr>
        <w:pStyle w:val="2"/>
        <w:keepNext w:val="0"/>
        <w:keepLines w:val="0"/>
        <w:pageBreakBefore w:val="0"/>
        <w:widowControl/>
        <w:kinsoku w:val="0"/>
        <w:wordWrap/>
        <w:overflowPunct/>
        <w:topLinePunct w:val="0"/>
        <w:autoSpaceDE w:val="0"/>
        <w:autoSpaceDN w:val="0"/>
        <w:bidi w:val="0"/>
        <w:adjustRightInd w:val="0"/>
        <w:snapToGrid w:val="0"/>
        <w:spacing w:before="145" w:line="244" w:lineRule="auto"/>
        <w:ind w:left="22" w:firstLine="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 xml:space="preserve">1.7.4 对于工程师向承包人发出的任何通知，均应以书面形式由工程师或其代表签认后送交  </w:t>
      </w:r>
      <w:r>
        <w:rPr>
          <w:rFonts w:hint="eastAsia" w:ascii="仿宋" w:hAnsi="仿宋" w:eastAsia="仿宋" w:cs="仿宋"/>
          <w:color w:val="auto"/>
          <w:spacing w:val="7"/>
          <w:sz w:val="24"/>
          <w:szCs w:val="24"/>
          <w:highlight w:val="none"/>
        </w:rPr>
        <w:t>承包人实施，并抄送发包人；对于合同一方向另一方发出的任何通知，均应抄送工程师。</w:t>
      </w:r>
      <w:r>
        <w:rPr>
          <w:rFonts w:hint="eastAsia" w:ascii="仿宋" w:hAnsi="仿宋" w:eastAsia="仿宋" w:cs="仿宋"/>
          <w:color w:val="auto"/>
          <w:spacing w:val="6"/>
          <w:sz w:val="24"/>
          <w:szCs w:val="24"/>
          <w:highlight w:val="none"/>
        </w:rPr>
        <w:t xml:space="preserve">对  </w:t>
      </w:r>
      <w:r>
        <w:rPr>
          <w:rFonts w:hint="eastAsia" w:ascii="仿宋" w:hAnsi="仿宋" w:eastAsia="仿宋" w:cs="仿宋"/>
          <w:color w:val="auto"/>
          <w:spacing w:val="7"/>
          <w:sz w:val="24"/>
          <w:szCs w:val="24"/>
          <w:highlight w:val="none"/>
        </w:rPr>
        <w:t>于由工程师审查后报发包人批准的事项，应由工程师向承</w:t>
      </w:r>
      <w:r>
        <w:rPr>
          <w:rFonts w:hint="eastAsia" w:ascii="仿宋" w:hAnsi="仿宋" w:eastAsia="仿宋" w:cs="仿宋"/>
          <w:color w:val="auto"/>
          <w:spacing w:val="6"/>
          <w:sz w:val="24"/>
          <w:szCs w:val="24"/>
          <w:highlight w:val="none"/>
        </w:rPr>
        <w:t>包人出具经发包人签认的批准文件。</w:t>
      </w:r>
    </w:p>
    <w:p w14:paraId="51856C1C">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1.8</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2"/>
          <w:sz w:val="24"/>
          <w:szCs w:val="24"/>
          <w:highlight w:val="none"/>
        </w:rPr>
        <w:t>严禁贿赂</w:t>
      </w:r>
    </w:p>
    <w:p w14:paraId="3F2021BA">
      <w:pPr>
        <w:pStyle w:val="2"/>
        <w:keepNext w:val="0"/>
        <w:keepLines w:val="0"/>
        <w:pageBreakBefore w:val="0"/>
        <w:widowControl/>
        <w:kinsoku w:val="0"/>
        <w:wordWrap/>
        <w:overflowPunct/>
        <w:topLinePunct w:val="0"/>
        <w:autoSpaceDE w:val="0"/>
        <w:autoSpaceDN w:val="0"/>
        <w:bidi w:val="0"/>
        <w:adjustRightInd w:val="0"/>
        <w:snapToGrid w:val="0"/>
        <w:spacing w:before="145"/>
        <w:ind w:left="42" w:right="176" w:firstLine="58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合同当事人不得以贿赂或变相贿赂的方式，谋取非法利益或损害对方权益。因一</w:t>
      </w:r>
      <w:r>
        <w:rPr>
          <w:rFonts w:hint="eastAsia" w:ascii="仿宋" w:hAnsi="仿宋" w:eastAsia="仿宋" w:cs="仿宋"/>
          <w:color w:val="auto"/>
          <w:spacing w:val="7"/>
          <w:sz w:val="24"/>
          <w:szCs w:val="24"/>
          <w:highlight w:val="none"/>
        </w:rPr>
        <w:t>方合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同当事人的贿赂造成对方损失的，应赔偿损失，并承</w:t>
      </w:r>
      <w:r>
        <w:rPr>
          <w:rFonts w:hint="eastAsia" w:ascii="仿宋" w:hAnsi="仿宋" w:eastAsia="仿宋" w:cs="仿宋"/>
          <w:color w:val="auto"/>
          <w:spacing w:val="8"/>
          <w:sz w:val="24"/>
          <w:szCs w:val="24"/>
          <w:highlight w:val="none"/>
        </w:rPr>
        <w:t>担相应的法律责任。</w:t>
      </w:r>
    </w:p>
    <w:p w14:paraId="7E47294A">
      <w:pPr>
        <w:pStyle w:val="2"/>
        <w:keepNext w:val="0"/>
        <w:keepLines w:val="0"/>
        <w:pageBreakBefore w:val="0"/>
        <w:widowControl/>
        <w:kinsoku w:val="0"/>
        <w:wordWrap/>
        <w:overflowPunct/>
        <w:topLinePunct w:val="0"/>
        <w:autoSpaceDE w:val="0"/>
        <w:autoSpaceDN w:val="0"/>
        <w:bidi w:val="0"/>
        <w:adjustRightInd w:val="0"/>
        <w:snapToGrid w:val="0"/>
        <w:spacing w:before="23" w:line="244" w:lineRule="auto"/>
        <w:ind w:left="25" w:right="133" w:firstLine="59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承包人不得与工程师或发包人聘请的第三方串通损害发包人利益。未经发包人书面同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意，承包人不得为工程师提供合同约定以外的通讯设备、交通工具及其他任何形式的利益，</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不得向工程师支付报酬。</w:t>
      </w:r>
    </w:p>
    <w:p w14:paraId="55F44D6E">
      <w:pPr>
        <w:pStyle w:val="2"/>
        <w:keepNext w:val="0"/>
        <w:keepLines w:val="0"/>
        <w:pageBreakBefore w:val="0"/>
        <w:widowControl/>
        <w:kinsoku w:val="0"/>
        <w:wordWrap/>
        <w:overflowPunct/>
        <w:topLinePunct w:val="0"/>
        <w:autoSpaceDE w:val="0"/>
        <w:autoSpaceDN w:val="0"/>
        <w:bidi w:val="0"/>
        <w:adjustRightInd w:val="0"/>
        <w:snapToGrid w:val="0"/>
        <w:spacing w:before="27" w:line="229"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1.9 化石、文物</w:t>
      </w:r>
    </w:p>
    <w:p w14:paraId="08A5A8BB">
      <w:pPr>
        <w:pStyle w:val="2"/>
        <w:keepNext w:val="0"/>
        <w:keepLines w:val="0"/>
        <w:pageBreakBefore w:val="0"/>
        <w:widowControl/>
        <w:kinsoku w:val="0"/>
        <w:wordWrap/>
        <w:overflowPunct/>
        <w:topLinePunct w:val="0"/>
        <w:autoSpaceDE w:val="0"/>
        <w:autoSpaceDN w:val="0"/>
        <w:bidi w:val="0"/>
        <w:adjustRightInd w:val="0"/>
        <w:snapToGrid w:val="0"/>
        <w:spacing w:before="144" w:line="243" w:lineRule="auto"/>
        <w:ind w:left="21" w:right="146"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在施工现场发掘的所有文物、古迹以及具有地质研究或考古价值的</w:t>
      </w:r>
      <w:r>
        <w:rPr>
          <w:rFonts w:hint="eastAsia" w:ascii="仿宋" w:hAnsi="仿宋" w:eastAsia="仿宋" w:cs="仿宋"/>
          <w:color w:val="auto"/>
          <w:spacing w:val="8"/>
          <w:sz w:val="24"/>
          <w:szCs w:val="24"/>
          <w:highlight w:val="none"/>
        </w:rPr>
        <w:t>其他遗迹、化石、</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钱币或物品属于国家所有。一旦发现上述文物，承包人应采取合理有效的保护措施，防止任</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何人员移动或损坏上述物品，并立即报告有关政府行政管理部门，同时通知工程师。</w:t>
      </w:r>
    </w:p>
    <w:p w14:paraId="31430710">
      <w:pPr>
        <w:pStyle w:val="2"/>
        <w:keepNext w:val="0"/>
        <w:keepLines w:val="0"/>
        <w:pageBreakBefore w:val="0"/>
        <w:widowControl/>
        <w:kinsoku w:val="0"/>
        <w:wordWrap/>
        <w:overflowPunct/>
        <w:topLinePunct w:val="0"/>
        <w:autoSpaceDE w:val="0"/>
        <w:autoSpaceDN w:val="0"/>
        <w:bidi w:val="0"/>
        <w:adjustRightInd w:val="0"/>
        <w:snapToGrid w:val="0"/>
        <w:spacing w:before="26"/>
        <w:ind w:left="23" w:right="176" w:firstLine="6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发包人、工程师和承包人应按有关政府行政管理部门要求采取妥善的保护</w:t>
      </w:r>
      <w:r>
        <w:rPr>
          <w:rFonts w:hint="eastAsia" w:ascii="仿宋" w:hAnsi="仿宋" w:eastAsia="仿宋" w:cs="仿宋"/>
          <w:color w:val="auto"/>
          <w:spacing w:val="7"/>
          <w:sz w:val="24"/>
          <w:szCs w:val="24"/>
          <w:highlight w:val="none"/>
        </w:rPr>
        <w:t>措施，由此</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增加的费用和（或）延误的工期由发包人承</w:t>
      </w:r>
      <w:r>
        <w:rPr>
          <w:rFonts w:hint="eastAsia" w:ascii="仿宋" w:hAnsi="仿宋" w:eastAsia="仿宋" w:cs="仿宋"/>
          <w:color w:val="auto"/>
          <w:spacing w:val="8"/>
          <w:sz w:val="24"/>
          <w:szCs w:val="24"/>
          <w:highlight w:val="none"/>
        </w:rPr>
        <w:t>担。</w:t>
      </w:r>
    </w:p>
    <w:p w14:paraId="349A3DD3">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22" w:right="176"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承包人发现文物后不及时报告或隐瞒不报，致使文物丢失或损坏的，应赔偿损失，并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承担相应的法律责任。</w:t>
      </w:r>
    </w:p>
    <w:p w14:paraId="24C2ED62">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1.10</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2"/>
          <w:sz w:val="24"/>
          <w:szCs w:val="24"/>
          <w:highlight w:val="none"/>
        </w:rPr>
        <w:t>知识产权</w:t>
      </w:r>
    </w:p>
    <w:p w14:paraId="47D1CCA8">
      <w:pPr>
        <w:pStyle w:val="2"/>
        <w:keepNext w:val="0"/>
        <w:keepLines w:val="0"/>
        <w:pageBreakBefore w:val="0"/>
        <w:widowControl/>
        <w:kinsoku w:val="0"/>
        <w:wordWrap/>
        <w:overflowPunct/>
        <w:topLinePunct w:val="0"/>
        <w:autoSpaceDE w:val="0"/>
        <w:autoSpaceDN w:val="0"/>
        <w:bidi w:val="0"/>
        <w:adjustRightInd w:val="0"/>
        <w:snapToGrid w:val="0"/>
        <w:spacing w:before="145" w:line="245" w:lineRule="auto"/>
        <w:ind w:left="23" w:right="105" w:firstLine="1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 xml:space="preserve">1.10.1 除专用合同条件另有约定外，由发包人（或以发包人名义）编制的《发包人要求》 </w:t>
      </w:r>
      <w:r>
        <w:rPr>
          <w:rFonts w:hint="eastAsia" w:ascii="仿宋" w:hAnsi="仿宋" w:eastAsia="仿宋" w:cs="仿宋"/>
          <w:color w:val="auto"/>
          <w:spacing w:val="7"/>
          <w:sz w:val="24"/>
          <w:szCs w:val="24"/>
          <w:highlight w:val="none"/>
        </w:rPr>
        <w:t>和其他文件，就合同当事人之间而言，其著作权和其他知识产权应归发包人所有。承包人</w:t>
      </w:r>
      <w:r>
        <w:rPr>
          <w:rFonts w:hint="eastAsia" w:ascii="仿宋" w:hAnsi="仿宋" w:eastAsia="仿宋" w:cs="仿宋"/>
          <w:color w:val="auto"/>
          <w:spacing w:val="6"/>
          <w:sz w:val="24"/>
          <w:szCs w:val="24"/>
          <w:highlight w:val="none"/>
        </w:rPr>
        <w:t xml:space="preserve">可 </w:t>
      </w:r>
      <w:r>
        <w:rPr>
          <w:rFonts w:hint="eastAsia" w:ascii="仿宋" w:hAnsi="仿宋" w:eastAsia="仿宋" w:cs="仿宋"/>
          <w:color w:val="auto"/>
          <w:spacing w:val="7"/>
          <w:sz w:val="24"/>
          <w:szCs w:val="24"/>
          <w:highlight w:val="none"/>
        </w:rPr>
        <w:t>以为实现合同目的而复制、使用此类文件，但不能用于与合同无关的其他事项。未经发包</w:t>
      </w:r>
      <w:r>
        <w:rPr>
          <w:rFonts w:hint="eastAsia" w:ascii="仿宋" w:hAnsi="仿宋" w:eastAsia="仿宋" w:cs="仿宋"/>
          <w:color w:val="auto"/>
          <w:spacing w:val="6"/>
          <w:sz w:val="24"/>
          <w:szCs w:val="24"/>
          <w:highlight w:val="none"/>
        </w:rPr>
        <w:t xml:space="preserve">人 </w:t>
      </w:r>
      <w:r>
        <w:rPr>
          <w:rFonts w:hint="eastAsia" w:ascii="仿宋" w:hAnsi="仿宋" w:eastAsia="仿宋" w:cs="仿宋"/>
          <w:color w:val="auto"/>
          <w:spacing w:val="4"/>
          <w:sz w:val="24"/>
          <w:szCs w:val="24"/>
          <w:highlight w:val="none"/>
        </w:rPr>
        <w:t>书面同意，承包人不得为了合同以外的目的而复制、使用上述文件或将之提供给任何第三方。</w:t>
      </w:r>
    </w:p>
    <w:p w14:paraId="2C7D3EA2">
      <w:pPr>
        <w:pStyle w:val="2"/>
        <w:keepNext w:val="0"/>
        <w:keepLines w:val="0"/>
        <w:pageBreakBefore w:val="0"/>
        <w:widowControl/>
        <w:kinsoku w:val="0"/>
        <w:wordWrap/>
        <w:overflowPunct/>
        <w:topLinePunct w:val="0"/>
        <w:autoSpaceDE w:val="0"/>
        <w:autoSpaceDN w:val="0"/>
        <w:bidi w:val="0"/>
        <w:adjustRightInd w:val="0"/>
        <w:snapToGrid w:val="0"/>
        <w:spacing w:before="145" w:line="247" w:lineRule="auto"/>
        <w:ind w:left="21" w:right="176" w:firstLine="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1.10.2 除专用合同条件另有约定外，由承包人（或以承包人名义）为实</w:t>
      </w:r>
      <w:r>
        <w:rPr>
          <w:rFonts w:hint="eastAsia" w:ascii="仿宋" w:hAnsi="仿宋" w:eastAsia="仿宋" w:cs="仿宋"/>
          <w:color w:val="auto"/>
          <w:spacing w:val="8"/>
          <w:sz w:val="24"/>
          <w:szCs w:val="24"/>
          <w:highlight w:val="none"/>
        </w:rPr>
        <w:t>施工程所编制的文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件、承包人完成的设计工作成果和建造完成的建筑物，就合同当事人之间而言，其著作权和</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其他知识产权应归承包人享有。发包人可因实施工程的运行、调试、维修、改造等目的而复</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制、使用此类文件，但不能用于与合同无关的其他事项。未经承包人书面同意，发包人不得</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为了合同以外的目的而复制、使用上述文件或将之提供给任何第三方。</w:t>
      </w:r>
    </w:p>
    <w:p w14:paraId="0E79AA23">
      <w:pPr>
        <w:pStyle w:val="2"/>
        <w:keepNext w:val="0"/>
        <w:keepLines w:val="0"/>
        <w:pageBreakBefore w:val="0"/>
        <w:widowControl/>
        <w:kinsoku w:val="0"/>
        <w:wordWrap/>
        <w:overflowPunct/>
        <w:topLinePunct w:val="0"/>
        <w:autoSpaceDE w:val="0"/>
        <w:autoSpaceDN w:val="0"/>
        <w:bidi w:val="0"/>
        <w:adjustRightInd w:val="0"/>
        <w:snapToGrid w:val="0"/>
        <w:spacing w:before="145" w:line="246" w:lineRule="auto"/>
        <w:ind w:left="22" w:right="176" w:firstLine="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1.10.3 合同当事人保证在履行合同过程中不侵犯对方及第三方的知识产</w:t>
      </w:r>
      <w:r>
        <w:rPr>
          <w:rFonts w:hint="eastAsia" w:ascii="仿宋" w:hAnsi="仿宋" w:eastAsia="仿宋" w:cs="仿宋"/>
          <w:color w:val="auto"/>
          <w:spacing w:val="8"/>
          <w:sz w:val="24"/>
          <w:szCs w:val="24"/>
          <w:highlight w:val="none"/>
        </w:rPr>
        <w:t>权。承包人在工程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设计、使用材料、施工设备、工程设备或采用施工工艺时，因侵犯他人的专利权或其他知识</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产权所引起的责任，由承包人承担；因发包人提供的材料、施工设备、工程设备或施工工艺</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5"/>
          <w:sz w:val="24"/>
          <w:szCs w:val="24"/>
          <w:highlight w:val="none"/>
        </w:rPr>
        <w:t>导致侵权的，</w:t>
      </w:r>
      <w:r>
        <w:rPr>
          <w:rFonts w:hint="eastAsia" w:ascii="仿宋" w:hAnsi="仿宋" w:eastAsia="仿宋" w:cs="仿宋"/>
          <w:color w:val="auto"/>
          <w:spacing w:val="-47"/>
          <w:sz w:val="24"/>
          <w:szCs w:val="24"/>
          <w:highlight w:val="none"/>
        </w:rPr>
        <w:t xml:space="preserve"> </w:t>
      </w:r>
      <w:r>
        <w:rPr>
          <w:rFonts w:hint="eastAsia" w:ascii="仿宋" w:hAnsi="仿宋" w:eastAsia="仿宋" w:cs="仿宋"/>
          <w:color w:val="auto"/>
          <w:spacing w:val="5"/>
          <w:sz w:val="24"/>
          <w:szCs w:val="24"/>
          <w:highlight w:val="none"/>
        </w:rPr>
        <w:t>由发包人承担责任。</w:t>
      </w:r>
    </w:p>
    <w:p w14:paraId="4A3EFB00">
      <w:pPr>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仿宋" w:hAnsi="仿宋" w:eastAsia="仿宋" w:cs="仿宋"/>
          <w:color w:val="auto"/>
          <w:sz w:val="24"/>
          <w:szCs w:val="24"/>
          <w:highlight w:val="none"/>
        </w:rPr>
        <w:sectPr>
          <w:footerReference r:id="rId34" w:type="default"/>
          <w:pgSz w:w="11906" w:h="16839"/>
          <w:pgMar w:top="1428" w:right="1625" w:bottom="1171" w:left="1785" w:header="0" w:footer="992" w:gutter="0"/>
          <w:pgNumType w:fmt="decimal"/>
          <w:cols w:space="720" w:num="1"/>
        </w:sectPr>
      </w:pPr>
    </w:p>
    <w:p w14:paraId="275A7EF2">
      <w:pPr>
        <w:pStyle w:val="2"/>
        <w:keepNext w:val="0"/>
        <w:keepLines w:val="0"/>
        <w:pageBreakBefore w:val="0"/>
        <w:widowControl/>
        <w:kinsoku w:val="0"/>
        <w:wordWrap/>
        <w:overflowPunct/>
        <w:topLinePunct w:val="0"/>
        <w:autoSpaceDE w:val="0"/>
        <w:autoSpaceDN w:val="0"/>
        <w:bidi w:val="0"/>
        <w:adjustRightInd w:val="0"/>
        <w:snapToGrid w:val="0"/>
        <w:spacing w:before="42" w:line="239" w:lineRule="auto"/>
        <w:ind w:left="21" w:right="157" w:firstLine="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1.10.4 除专用合同条件另有约定外，承包人在投标文件中采用的专利、</w:t>
      </w:r>
      <w:r>
        <w:rPr>
          <w:rFonts w:hint="eastAsia" w:ascii="仿宋" w:hAnsi="仿宋" w:eastAsia="仿宋" w:cs="仿宋"/>
          <w:color w:val="auto"/>
          <w:spacing w:val="8"/>
          <w:sz w:val="24"/>
          <w:szCs w:val="24"/>
          <w:highlight w:val="none"/>
        </w:rPr>
        <w:t>专有技术、商业软</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件、技术秘密的使用费已包含在签约合同价中。</w:t>
      </w:r>
    </w:p>
    <w:p w14:paraId="6802CDA8">
      <w:pPr>
        <w:pStyle w:val="2"/>
        <w:keepNext w:val="0"/>
        <w:keepLines w:val="0"/>
        <w:pageBreakBefore w:val="0"/>
        <w:widowControl/>
        <w:kinsoku w:val="0"/>
        <w:wordWrap/>
        <w:overflowPunct/>
        <w:topLinePunct w:val="0"/>
        <w:autoSpaceDE w:val="0"/>
        <w:autoSpaceDN w:val="0"/>
        <w:bidi w:val="0"/>
        <w:adjustRightInd w:val="0"/>
        <w:snapToGrid w:val="0"/>
        <w:spacing w:before="147" w:line="243" w:lineRule="auto"/>
        <w:ind w:left="24" w:right="157" w:firstLine="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1.10.5 合同当事人可就本合同涉及的合同一方、或合同双方（含一方或</w:t>
      </w:r>
      <w:r>
        <w:rPr>
          <w:rFonts w:hint="eastAsia" w:ascii="仿宋" w:hAnsi="仿宋" w:eastAsia="仿宋" w:cs="仿宋"/>
          <w:color w:val="auto"/>
          <w:spacing w:val="8"/>
          <w:sz w:val="24"/>
          <w:szCs w:val="24"/>
          <w:highlight w:val="none"/>
        </w:rPr>
        <w:t>双方相关的专利商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或第三方设计单位)的技术专利、建筑设计方案、专有技术、设计文件著</w:t>
      </w:r>
      <w:r>
        <w:rPr>
          <w:rFonts w:hint="eastAsia" w:ascii="仿宋" w:hAnsi="仿宋" w:eastAsia="仿宋" w:cs="仿宋"/>
          <w:color w:val="auto"/>
          <w:spacing w:val="9"/>
          <w:sz w:val="24"/>
          <w:szCs w:val="24"/>
          <w:highlight w:val="none"/>
        </w:rPr>
        <w:t>作权等知识产权，</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订立知识产权及保密协议，作为本合同的组成部</w:t>
      </w:r>
      <w:r>
        <w:rPr>
          <w:rFonts w:hint="eastAsia" w:ascii="仿宋" w:hAnsi="仿宋" w:eastAsia="仿宋" w:cs="仿宋"/>
          <w:color w:val="auto"/>
          <w:spacing w:val="8"/>
          <w:sz w:val="24"/>
          <w:szCs w:val="24"/>
          <w:highlight w:val="none"/>
        </w:rPr>
        <w:t>分。</w:t>
      </w:r>
    </w:p>
    <w:p w14:paraId="2457D2B7">
      <w:pPr>
        <w:pStyle w:val="2"/>
        <w:keepNext w:val="0"/>
        <w:keepLines w:val="0"/>
        <w:pageBreakBefore w:val="0"/>
        <w:widowControl/>
        <w:kinsoku w:val="0"/>
        <w:wordWrap/>
        <w:overflowPunct/>
        <w:topLinePunct w:val="0"/>
        <w:autoSpaceDE w:val="0"/>
        <w:autoSpaceDN w:val="0"/>
        <w:bidi w:val="0"/>
        <w:adjustRightInd w:val="0"/>
        <w:snapToGrid w:val="0"/>
        <w:spacing w:before="148"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1.11</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1"/>
          <w:sz w:val="24"/>
          <w:szCs w:val="24"/>
          <w:highlight w:val="none"/>
        </w:rPr>
        <w:t>保密</w:t>
      </w:r>
    </w:p>
    <w:p w14:paraId="753BDBF2">
      <w:pPr>
        <w:pStyle w:val="2"/>
        <w:keepNext w:val="0"/>
        <w:keepLines w:val="0"/>
        <w:pageBreakBefore w:val="0"/>
        <w:widowControl/>
        <w:kinsoku w:val="0"/>
        <w:wordWrap/>
        <w:overflowPunct/>
        <w:topLinePunct w:val="0"/>
        <w:autoSpaceDE w:val="0"/>
        <w:autoSpaceDN w:val="0"/>
        <w:bidi w:val="0"/>
        <w:adjustRightInd w:val="0"/>
        <w:snapToGrid w:val="0"/>
        <w:spacing w:before="144"/>
        <w:ind w:left="21" w:right="157" w:firstLine="6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合同当事人一方对在订立和履行合同过程中知悉的另一方的商业秘密、技术秘密</w:t>
      </w:r>
      <w:r>
        <w:rPr>
          <w:rFonts w:hint="eastAsia" w:ascii="仿宋" w:hAnsi="仿宋" w:eastAsia="仿宋" w:cs="仿宋"/>
          <w:color w:val="auto"/>
          <w:spacing w:val="7"/>
          <w:sz w:val="24"/>
          <w:szCs w:val="24"/>
          <w:highlight w:val="none"/>
        </w:rPr>
        <w:t>，以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及任何一方明确要求保密的其它信息，负有保密责任。</w:t>
      </w:r>
    </w:p>
    <w:p w14:paraId="492FC9B7">
      <w:pPr>
        <w:pStyle w:val="2"/>
        <w:keepNext w:val="0"/>
        <w:keepLines w:val="0"/>
        <w:pageBreakBefore w:val="0"/>
        <w:widowControl/>
        <w:kinsoku w:val="0"/>
        <w:wordWrap/>
        <w:overflowPunct/>
        <w:topLinePunct w:val="0"/>
        <w:autoSpaceDE w:val="0"/>
        <w:autoSpaceDN w:val="0"/>
        <w:bidi w:val="0"/>
        <w:adjustRightInd w:val="0"/>
        <w:snapToGrid w:val="0"/>
        <w:spacing w:before="26" w:line="244" w:lineRule="auto"/>
        <w:ind w:left="21" w:right="157" w:firstLine="61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除法律规定或合同另有约定外，未经对方同意，任何</w:t>
      </w:r>
      <w:r>
        <w:rPr>
          <w:rFonts w:hint="eastAsia" w:ascii="仿宋" w:hAnsi="仿宋" w:eastAsia="仿宋" w:cs="仿宋"/>
          <w:color w:val="auto"/>
          <w:spacing w:val="7"/>
          <w:sz w:val="24"/>
          <w:szCs w:val="24"/>
          <w:highlight w:val="none"/>
        </w:rPr>
        <w:t>一方当事人不得将对方提供的文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件、技术秘密以及声明需要保密的资料信息等商业秘密泄露给第三方或者用于本合同以外的</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3"/>
          <w:sz w:val="24"/>
          <w:szCs w:val="24"/>
          <w:highlight w:val="none"/>
        </w:rPr>
        <w:t>目的。</w:t>
      </w:r>
    </w:p>
    <w:p w14:paraId="3BC42BC0">
      <w:pPr>
        <w:pStyle w:val="2"/>
        <w:keepNext w:val="0"/>
        <w:keepLines w:val="0"/>
        <w:pageBreakBefore w:val="0"/>
        <w:widowControl/>
        <w:kinsoku w:val="0"/>
        <w:wordWrap/>
        <w:overflowPunct/>
        <w:topLinePunct w:val="0"/>
        <w:autoSpaceDE w:val="0"/>
        <w:autoSpaceDN w:val="0"/>
        <w:bidi w:val="0"/>
        <w:adjustRightInd w:val="0"/>
        <w:snapToGrid w:val="0"/>
        <w:spacing w:before="22" w:line="243" w:lineRule="auto"/>
        <w:ind w:left="24" w:right="157"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一方泄露或者在本合同以外使用该商业秘密、技术秘密等保密信息给另一</w:t>
      </w:r>
      <w:r>
        <w:rPr>
          <w:rFonts w:hint="eastAsia" w:ascii="仿宋" w:hAnsi="仿宋" w:eastAsia="仿宋" w:cs="仿宋"/>
          <w:color w:val="auto"/>
          <w:spacing w:val="7"/>
          <w:sz w:val="24"/>
          <w:szCs w:val="24"/>
          <w:highlight w:val="none"/>
        </w:rPr>
        <w:t>方造成损失</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的，应承担损害赔偿责任。当事人为履行合同所需要的信息，另一方应予以提供。当事人认</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8"/>
          <w:sz w:val="24"/>
          <w:szCs w:val="24"/>
          <w:highlight w:val="none"/>
        </w:rPr>
        <w:t>为必要时，可订立保密协议，作为合同附件。</w:t>
      </w:r>
    </w:p>
    <w:p w14:paraId="1CD4D3DF">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1.12 《发包人要求》和基础资料中的错误</w:t>
      </w:r>
    </w:p>
    <w:p w14:paraId="152527C5">
      <w:pPr>
        <w:pStyle w:val="2"/>
        <w:keepNext w:val="0"/>
        <w:keepLines w:val="0"/>
        <w:pageBreakBefore w:val="0"/>
        <w:widowControl/>
        <w:kinsoku w:val="0"/>
        <w:wordWrap/>
        <w:overflowPunct/>
        <w:topLinePunct w:val="0"/>
        <w:autoSpaceDE w:val="0"/>
        <w:autoSpaceDN w:val="0"/>
        <w:bidi w:val="0"/>
        <w:adjustRightInd w:val="0"/>
        <w:snapToGrid w:val="0"/>
        <w:spacing w:before="145" w:line="239" w:lineRule="auto"/>
        <w:ind w:left="22" w:right="86"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承包人应尽早认真阅读、复核《发包人要求》</w:t>
      </w:r>
      <w:r>
        <w:rPr>
          <w:rFonts w:hint="eastAsia" w:ascii="仿宋" w:hAnsi="仿宋" w:eastAsia="仿宋" w:cs="仿宋"/>
          <w:color w:val="auto"/>
          <w:spacing w:val="-58"/>
          <w:sz w:val="24"/>
          <w:szCs w:val="24"/>
          <w:highlight w:val="none"/>
        </w:rPr>
        <w:t xml:space="preserve"> </w:t>
      </w:r>
      <w:r>
        <w:rPr>
          <w:rFonts w:hint="eastAsia" w:ascii="仿宋" w:hAnsi="仿宋" w:eastAsia="仿宋" w:cs="仿宋"/>
          <w:color w:val="auto"/>
          <w:spacing w:val="9"/>
          <w:sz w:val="24"/>
          <w:szCs w:val="24"/>
          <w:highlight w:val="none"/>
        </w:rPr>
        <w:t>以及其提供的基</w:t>
      </w:r>
      <w:r>
        <w:rPr>
          <w:rFonts w:hint="eastAsia" w:ascii="仿宋" w:hAnsi="仿宋" w:eastAsia="仿宋" w:cs="仿宋"/>
          <w:color w:val="auto"/>
          <w:spacing w:val="8"/>
          <w:sz w:val="24"/>
          <w:szCs w:val="24"/>
          <w:highlight w:val="none"/>
        </w:rPr>
        <w:t>础资料，发现错误的，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应及时书面通知发包人补正。发包人作相应修改的，按照第</w:t>
      </w:r>
      <w:r>
        <w:rPr>
          <w:rFonts w:hint="eastAsia" w:ascii="仿宋" w:hAnsi="仿宋" w:eastAsia="仿宋" w:cs="仿宋"/>
          <w:color w:val="auto"/>
          <w:spacing w:val="-8"/>
          <w:sz w:val="24"/>
          <w:szCs w:val="24"/>
          <w:highlight w:val="none"/>
        </w:rPr>
        <w:t xml:space="preserve"> </w:t>
      </w:r>
      <w:r>
        <w:rPr>
          <w:rFonts w:hint="eastAsia" w:ascii="仿宋" w:hAnsi="仿宋" w:eastAsia="仿宋" w:cs="仿宋"/>
          <w:color w:val="auto"/>
          <w:spacing w:val="5"/>
          <w:sz w:val="24"/>
          <w:szCs w:val="24"/>
          <w:highlight w:val="none"/>
        </w:rPr>
        <w:t>13</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5"/>
          <w:sz w:val="24"/>
          <w:szCs w:val="24"/>
          <w:highlight w:val="none"/>
        </w:rPr>
        <w:t>条[变更与调整]的约定处理。</w:t>
      </w:r>
    </w:p>
    <w:p w14:paraId="199C5C3B">
      <w:pPr>
        <w:pStyle w:val="2"/>
        <w:keepNext w:val="0"/>
        <w:keepLines w:val="0"/>
        <w:pageBreakBefore w:val="0"/>
        <w:widowControl/>
        <w:kinsoku w:val="0"/>
        <w:wordWrap/>
        <w:overflowPunct/>
        <w:topLinePunct w:val="0"/>
        <w:autoSpaceDE w:val="0"/>
        <w:autoSpaceDN w:val="0"/>
        <w:bidi w:val="0"/>
        <w:adjustRightInd w:val="0"/>
        <w:snapToGrid w:val="0"/>
        <w:spacing w:before="25"/>
        <w:ind w:left="39" w:right="157" w:firstLine="58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《发包人要求》或其提供的基础资料中的错误导致承包人增加费用和</w:t>
      </w:r>
      <w:r>
        <w:rPr>
          <w:rFonts w:hint="eastAsia" w:ascii="仿宋" w:hAnsi="仿宋" w:eastAsia="仿宋" w:cs="仿宋"/>
          <w:color w:val="auto"/>
          <w:spacing w:val="7"/>
          <w:sz w:val="24"/>
          <w:szCs w:val="24"/>
          <w:highlight w:val="none"/>
        </w:rPr>
        <w:t>（或）工期延误</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的，发包人应承担由此增加的费用和（或）工期延误，并向承包人支付合理利</w:t>
      </w:r>
      <w:r>
        <w:rPr>
          <w:rFonts w:hint="eastAsia" w:ascii="仿宋" w:hAnsi="仿宋" w:eastAsia="仿宋" w:cs="仿宋"/>
          <w:color w:val="auto"/>
          <w:spacing w:val="8"/>
          <w:sz w:val="24"/>
          <w:szCs w:val="24"/>
          <w:highlight w:val="none"/>
        </w:rPr>
        <w:t>润。</w:t>
      </w:r>
    </w:p>
    <w:p w14:paraId="4321C3BD">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1.13</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2"/>
          <w:sz w:val="24"/>
          <w:szCs w:val="24"/>
          <w:highlight w:val="none"/>
        </w:rPr>
        <w:t>责任限制</w:t>
      </w:r>
    </w:p>
    <w:p w14:paraId="6D5A6A2A">
      <w:pPr>
        <w:pStyle w:val="2"/>
        <w:keepNext w:val="0"/>
        <w:keepLines w:val="0"/>
        <w:pageBreakBefore w:val="0"/>
        <w:widowControl/>
        <w:kinsoku w:val="0"/>
        <w:wordWrap/>
        <w:overflowPunct/>
        <w:topLinePunct w:val="0"/>
        <w:autoSpaceDE w:val="0"/>
        <w:autoSpaceDN w:val="0"/>
        <w:bidi w:val="0"/>
        <w:adjustRightInd w:val="0"/>
        <w:snapToGrid w:val="0"/>
        <w:spacing w:before="145" w:line="244" w:lineRule="auto"/>
        <w:ind w:left="23" w:right="86" w:firstLine="598"/>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承包人对发包人的赔偿责任不应超过专用合</w:t>
      </w:r>
      <w:r>
        <w:rPr>
          <w:rFonts w:hint="eastAsia" w:ascii="仿宋" w:hAnsi="仿宋" w:eastAsia="仿宋" w:cs="仿宋"/>
          <w:color w:val="auto"/>
          <w:spacing w:val="7"/>
          <w:sz w:val="24"/>
          <w:szCs w:val="24"/>
          <w:highlight w:val="none"/>
        </w:rPr>
        <w:t>同条件约定的赔偿最高限额。若专用合同 条件未约定，则承包人对发包人的赔偿责任不应超过签约合同价。但对于因欺诈、犯罪</w:t>
      </w:r>
      <w:r>
        <w:rPr>
          <w:rFonts w:hint="eastAsia" w:ascii="仿宋" w:hAnsi="仿宋" w:eastAsia="仿宋" w:cs="仿宋"/>
          <w:color w:val="auto"/>
          <w:spacing w:val="6"/>
          <w:sz w:val="24"/>
          <w:szCs w:val="24"/>
          <w:highlight w:val="none"/>
        </w:rPr>
        <w:t xml:space="preserve">、故 </w:t>
      </w:r>
      <w:r>
        <w:rPr>
          <w:rFonts w:hint="eastAsia" w:ascii="仿宋" w:hAnsi="仿宋" w:eastAsia="仿宋" w:cs="仿宋"/>
          <w:color w:val="auto"/>
          <w:spacing w:val="4"/>
          <w:sz w:val="24"/>
          <w:szCs w:val="24"/>
          <w:highlight w:val="none"/>
        </w:rPr>
        <w:t>意、重大过失、人身伤害等不当行为造成的损失，赔偿的责任限度不受上述最高限额的限制。</w:t>
      </w:r>
    </w:p>
    <w:p w14:paraId="5A6EFF86">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1.14 建筑信息模型技术的应用</w:t>
      </w:r>
    </w:p>
    <w:p w14:paraId="40B3E867">
      <w:pPr>
        <w:pStyle w:val="2"/>
        <w:keepNext w:val="0"/>
        <w:keepLines w:val="0"/>
        <w:pageBreakBefore w:val="0"/>
        <w:widowControl/>
        <w:kinsoku w:val="0"/>
        <w:wordWrap/>
        <w:overflowPunct/>
        <w:topLinePunct w:val="0"/>
        <w:autoSpaceDE w:val="0"/>
        <w:autoSpaceDN w:val="0"/>
        <w:bidi w:val="0"/>
        <w:adjustRightInd w:val="0"/>
        <w:snapToGrid w:val="0"/>
        <w:spacing w:before="147" w:line="245" w:lineRule="auto"/>
        <w:ind w:left="22" w:right="157" w:firstLine="60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如果项目中拟采用建筑信息模型技术，合同双方应遵守国家现行相关标准</w:t>
      </w:r>
      <w:r>
        <w:rPr>
          <w:rFonts w:hint="eastAsia" w:ascii="仿宋" w:hAnsi="仿宋" w:eastAsia="仿宋" w:cs="仿宋"/>
          <w:color w:val="auto"/>
          <w:spacing w:val="7"/>
          <w:sz w:val="24"/>
          <w:szCs w:val="24"/>
          <w:highlight w:val="none"/>
        </w:rPr>
        <w:t>的规定，并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符合项目所在地的相关地方标准或指南。合同双方应在专用合同条件中就建筑信息模型的开</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发、使用、存储、传输、交付及费用等相关内容进行约定。除专用合同条件另有约定外，承</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包人应负责与本项目中其他使用方协商。</w:t>
      </w:r>
    </w:p>
    <w:p w14:paraId="1CB9064C">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349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第</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1"/>
          <w:sz w:val="24"/>
          <w:szCs w:val="24"/>
          <w:highlight w:val="none"/>
        </w:rPr>
        <w:t>2</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1"/>
          <w:sz w:val="24"/>
          <w:szCs w:val="24"/>
          <w:highlight w:val="none"/>
        </w:rPr>
        <w:t>条</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1"/>
          <w:sz w:val="24"/>
          <w:szCs w:val="24"/>
          <w:highlight w:val="none"/>
        </w:rPr>
        <w:t>发包人</w:t>
      </w:r>
    </w:p>
    <w:p w14:paraId="374A3267">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2.1 遵守法律</w:t>
      </w:r>
    </w:p>
    <w:p w14:paraId="3CB7DA4E">
      <w:pPr>
        <w:pStyle w:val="2"/>
        <w:keepNext w:val="0"/>
        <w:keepLines w:val="0"/>
        <w:pageBreakBefore w:val="0"/>
        <w:widowControl/>
        <w:kinsoku w:val="0"/>
        <w:wordWrap/>
        <w:overflowPunct/>
        <w:topLinePunct w:val="0"/>
        <w:autoSpaceDE w:val="0"/>
        <w:autoSpaceDN w:val="0"/>
        <w:bidi w:val="0"/>
        <w:adjustRightInd w:val="0"/>
        <w:snapToGrid w:val="0"/>
        <w:spacing w:before="148" w:line="243" w:lineRule="auto"/>
        <w:ind w:left="21" w:right="157" w:firstLine="604"/>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发包人在履行合同过程中应遵守法律，并承担因发包人违反法律给承包人</w:t>
      </w:r>
      <w:r>
        <w:rPr>
          <w:rFonts w:hint="eastAsia" w:ascii="仿宋" w:hAnsi="仿宋" w:eastAsia="仿宋" w:cs="仿宋"/>
          <w:color w:val="auto"/>
          <w:spacing w:val="7"/>
          <w:sz w:val="24"/>
          <w:szCs w:val="24"/>
          <w:highlight w:val="none"/>
        </w:rPr>
        <w:t>造成的任何</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费用和损失。发包人不得以任何理由，要求承包人在工程实施过程中违反法律、行政法规以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及建设工程质量、安全、环保标准，任意压缩合理工期或者降低工程质量。</w:t>
      </w:r>
    </w:p>
    <w:p w14:paraId="09D8A501">
      <w:pPr>
        <w:pStyle w:val="2"/>
        <w:keepNext w:val="0"/>
        <w:keepLines w:val="0"/>
        <w:pageBreakBefore w:val="0"/>
        <w:widowControl/>
        <w:kinsoku w:val="0"/>
        <w:wordWrap/>
        <w:overflowPunct/>
        <w:topLinePunct w:val="0"/>
        <w:autoSpaceDE w:val="0"/>
        <w:autoSpaceDN w:val="0"/>
        <w:bidi w:val="0"/>
        <w:adjustRightInd w:val="0"/>
        <w:snapToGrid w:val="0"/>
        <w:spacing w:before="26" w:line="227"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2.2 提供施工现场和工作条件</w:t>
      </w:r>
    </w:p>
    <w:p w14:paraId="019B1637">
      <w:pPr>
        <w:pStyle w:val="2"/>
        <w:keepNext w:val="0"/>
        <w:keepLines w:val="0"/>
        <w:pageBreakBefore w:val="0"/>
        <w:widowControl/>
        <w:kinsoku w:val="0"/>
        <w:wordWrap/>
        <w:overflowPunct/>
        <w:topLinePunct w:val="0"/>
        <w:autoSpaceDE w:val="0"/>
        <w:autoSpaceDN w:val="0"/>
        <w:bidi w:val="0"/>
        <w:adjustRightInd w:val="0"/>
        <w:snapToGrid w:val="0"/>
        <w:spacing w:before="145" w:line="227"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2.2.1 提供施工现场</w:t>
      </w:r>
    </w:p>
    <w:p w14:paraId="1C28E6D0">
      <w:pPr>
        <w:pStyle w:val="2"/>
        <w:keepNext w:val="0"/>
        <w:keepLines w:val="0"/>
        <w:pageBreakBefore w:val="0"/>
        <w:widowControl/>
        <w:kinsoku w:val="0"/>
        <w:wordWrap/>
        <w:overflowPunct/>
        <w:topLinePunct w:val="0"/>
        <w:autoSpaceDE w:val="0"/>
        <w:autoSpaceDN w:val="0"/>
        <w:bidi w:val="0"/>
        <w:adjustRightInd w:val="0"/>
        <w:snapToGrid w:val="0"/>
        <w:spacing w:before="146" w:line="246" w:lineRule="auto"/>
        <w:ind w:left="23" w:right="157" w:firstLine="60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发包人应按专用合同条件约定向承包人移交施工现场，给承包人进入和占</w:t>
      </w:r>
      <w:r>
        <w:rPr>
          <w:rFonts w:hint="eastAsia" w:ascii="仿宋" w:hAnsi="仿宋" w:eastAsia="仿宋" w:cs="仿宋"/>
          <w:color w:val="auto"/>
          <w:spacing w:val="7"/>
          <w:sz w:val="24"/>
          <w:szCs w:val="24"/>
          <w:highlight w:val="none"/>
        </w:rPr>
        <w:t>用施工现场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各部分的权利，并明确与承包人的交接界面，上述进入和占用权可不为承包人独享。如专用</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合同条件没有约定移交时间的，则发包人应最迟于</w:t>
      </w:r>
      <w:r>
        <w:rPr>
          <w:rFonts w:hint="eastAsia" w:ascii="仿宋" w:hAnsi="仿宋" w:eastAsia="仿宋" w:cs="仿宋"/>
          <w:color w:val="auto"/>
          <w:spacing w:val="6"/>
          <w:sz w:val="24"/>
          <w:szCs w:val="24"/>
          <w:highlight w:val="none"/>
        </w:rPr>
        <w:t>计划开始现场施工日期</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6"/>
          <w:sz w:val="24"/>
          <w:szCs w:val="24"/>
          <w:highlight w:val="none"/>
        </w:rPr>
        <w:t>7</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6"/>
          <w:sz w:val="24"/>
          <w:szCs w:val="24"/>
          <w:highlight w:val="none"/>
        </w:rPr>
        <w:t>天前向承包人移</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交施工现场，但承包人未能按照第</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8"/>
          <w:sz w:val="24"/>
          <w:szCs w:val="24"/>
          <w:highlight w:val="none"/>
        </w:rPr>
        <w:t>4.2</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8"/>
          <w:sz w:val="24"/>
          <w:szCs w:val="24"/>
          <w:highlight w:val="none"/>
        </w:rPr>
        <w:t>款[履约担保]提供履约担保的除外。</w:t>
      </w:r>
    </w:p>
    <w:p w14:paraId="57A0725D">
      <w:pPr>
        <w:pStyle w:val="2"/>
        <w:keepNext w:val="0"/>
        <w:keepLines w:val="0"/>
        <w:pageBreakBefore w:val="0"/>
        <w:widowControl/>
        <w:kinsoku w:val="0"/>
        <w:wordWrap/>
        <w:overflowPunct/>
        <w:topLinePunct w:val="0"/>
        <w:autoSpaceDE w:val="0"/>
        <w:autoSpaceDN w:val="0"/>
        <w:bidi w:val="0"/>
        <w:adjustRightInd w:val="0"/>
        <w:snapToGrid w:val="0"/>
        <w:spacing w:before="25" w:line="227"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2.2.2 提供工作条件</w:t>
      </w:r>
    </w:p>
    <w:p w14:paraId="12F7EC14">
      <w:pPr>
        <w:pStyle w:val="2"/>
        <w:keepNext w:val="0"/>
        <w:keepLines w:val="0"/>
        <w:pageBreakBefore w:val="0"/>
        <w:widowControl/>
        <w:kinsoku w:val="0"/>
        <w:wordWrap/>
        <w:overflowPunct/>
        <w:topLinePunct w:val="0"/>
        <w:autoSpaceDE w:val="0"/>
        <w:autoSpaceDN w:val="0"/>
        <w:bidi w:val="0"/>
        <w:adjustRightInd w:val="0"/>
        <w:snapToGrid w:val="0"/>
        <w:spacing w:before="145"/>
        <w:ind w:left="25"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发包人应按专用合同条件约定向承包人提供工作</w:t>
      </w:r>
      <w:r>
        <w:rPr>
          <w:rFonts w:hint="eastAsia" w:ascii="仿宋" w:hAnsi="仿宋" w:eastAsia="仿宋" w:cs="仿宋"/>
          <w:color w:val="auto"/>
          <w:spacing w:val="6"/>
          <w:sz w:val="24"/>
          <w:szCs w:val="24"/>
          <w:highlight w:val="none"/>
        </w:rPr>
        <w:t>条件。专用合同条件对此没有约定的，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发包人应负责提供开展本合同相关工作所需要的条件，包括：</w:t>
      </w:r>
    </w:p>
    <w:p w14:paraId="3E09E096">
      <w:pPr>
        <w:pStyle w:val="2"/>
        <w:keepNext w:val="0"/>
        <w:keepLines w:val="0"/>
        <w:pageBreakBefore w:val="0"/>
        <w:widowControl/>
        <w:kinsoku w:val="0"/>
        <w:wordWrap/>
        <w:overflowPunct/>
        <w:topLinePunct w:val="0"/>
        <w:autoSpaceDE w:val="0"/>
        <w:autoSpaceDN w:val="0"/>
        <w:bidi w:val="0"/>
        <w:adjustRightInd w:val="0"/>
        <w:snapToGrid w:val="0"/>
        <w:spacing w:before="25"/>
        <w:ind w:left="632" w:right="98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 将施工用水、</w:t>
      </w:r>
      <w:r>
        <w:rPr>
          <w:rFonts w:hint="eastAsia" w:ascii="仿宋" w:hAnsi="仿宋" w:eastAsia="仿宋" w:cs="仿宋"/>
          <w:color w:val="auto"/>
          <w:spacing w:val="-51"/>
          <w:sz w:val="24"/>
          <w:szCs w:val="24"/>
          <w:highlight w:val="none"/>
        </w:rPr>
        <w:t xml:space="preserve"> </w:t>
      </w:r>
      <w:r>
        <w:rPr>
          <w:rFonts w:hint="eastAsia" w:ascii="仿宋" w:hAnsi="仿宋" w:eastAsia="仿宋" w:cs="仿宋"/>
          <w:color w:val="auto"/>
          <w:spacing w:val="6"/>
          <w:sz w:val="24"/>
          <w:szCs w:val="24"/>
          <w:highlight w:val="none"/>
        </w:rPr>
        <w:t>电力、通讯线路等施工所必需的条件接至施工现场内；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（2） 保证向承包人提供正常施工所需要的进入</w:t>
      </w:r>
      <w:r>
        <w:rPr>
          <w:rFonts w:hint="eastAsia" w:ascii="仿宋" w:hAnsi="仿宋" w:eastAsia="仿宋" w:cs="仿宋"/>
          <w:color w:val="auto"/>
          <w:spacing w:val="8"/>
          <w:sz w:val="24"/>
          <w:szCs w:val="24"/>
          <w:highlight w:val="none"/>
        </w:rPr>
        <w:t>施工现场的交通条件；</w:t>
      </w:r>
    </w:p>
    <w:p w14:paraId="3CA173C9">
      <w:pPr>
        <w:pStyle w:val="2"/>
        <w:keepNext w:val="0"/>
        <w:keepLines w:val="0"/>
        <w:pageBreakBefore w:val="0"/>
        <w:widowControl/>
        <w:kinsoku w:val="0"/>
        <w:wordWrap/>
        <w:overflowPunct/>
        <w:topLinePunct w:val="0"/>
        <w:autoSpaceDE w:val="0"/>
        <w:autoSpaceDN w:val="0"/>
        <w:bidi w:val="0"/>
        <w:adjustRightInd w:val="0"/>
        <w:snapToGrid w:val="0"/>
        <w:spacing w:before="25"/>
        <w:ind w:left="23" w:right="157" w:firstLine="60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协调处理施工现场周围地下管线和邻近建筑物、构筑物、古树名木、文物、化</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8"/>
          <w:sz w:val="24"/>
          <w:szCs w:val="24"/>
          <w:highlight w:val="none"/>
        </w:rPr>
        <w:t>石及坟墓等的保护工作，并承担相关费用；</w:t>
      </w:r>
    </w:p>
    <w:p w14:paraId="75A04199">
      <w:pPr>
        <w:pStyle w:val="2"/>
        <w:keepNext w:val="0"/>
        <w:keepLines w:val="0"/>
        <w:pageBreakBefore w:val="0"/>
        <w:widowControl/>
        <w:kinsoku w:val="0"/>
        <w:wordWrap/>
        <w:overflowPunct/>
        <w:topLinePunct w:val="0"/>
        <w:autoSpaceDE w:val="0"/>
        <w:autoSpaceDN w:val="0"/>
        <w:bidi w:val="0"/>
        <w:adjustRightInd w:val="0"/>
        <w:snapToGrid w:val="0"/>
        <w:spacing w:before="42" w:line="243" w:lineRule="auto"/>
        <w:ind w:right="58" w:firstLine="762" w:firstLineChars="3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 对工程现场临近发包人正在使用、运行、或由发包人用于生产的建筑物、构筑</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10"/>
          <w:sz w:val="24"/>
          <w:szCs w:val="24"/>
          <w:highlight w:val="none"/>
        </w:rPr>
        <w:t>物、生产装置、设施、设备等，设置隔离设施，竖立禁止入内、禁止动火的明显</w:t>
      </w:r>
      <w:r>
        <w:rPr>
          <w:rFonts w:hint="eastAsia" w:ascii="仿宋" w:hAnsi="仿宋" w:eastAsia="仿宋" w:cs="仿宋"/>
          <w:color w:val="auto"/>
          <w:spacing w:val="9"/>
          <w:sz w:val="24"/>
          <w:szCs w:val="24"/>
          <w:highlight w:val="none"/>
        </w:rPr>
        <w:t>标志， 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以书面形式通知承包人须遵守的安全规定和位置范围；</w:t>
      </w:r>
    </w:p>
    <w:p w14:paraId="39F86D07">
      <w:pPr>
        <w:pStyle w:val="2"/>
        <w:keepNext w:val="0"/>
        <w:keepLines w:val="0"/>
        <w:pageBreakBefore w:val="0"/>
        <w:widowControl/>
        <w:kinsoku w:val="0"/>
        <w:wordWrap/>
        <w:overflowPunct/>
        <w:topLinePunct w:val="0"/>
        <w:autoSpaceDE w:val="0"/>
        <w:autoSpaceDN w:val="0"/>
        <w:bidi w:val="0"/>
        <w:adjustRightInd w:val="0"/>
        <w:snapToGrid w:val="0"/>
        <w:spacing w:before="27"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（5） 按照专用合同条件约定应提供的其他设施和条件。</w:t>
      </w:r>
    </w:p>
    <w:p w14:paraId="6DB6A325">
      <w:pPr>
        <w:pStyle w:val="2"/>
        <w:keepNext w:val="0"/>
        <w:keepLines w:val="0"/>
        <w:pageBreakBefore w:val="0"/>
        <w:widowControl/>
        <w:kinsoku w:val="0"/>
        <w:wordWrap/>
        <w:overflowPunct/>
        <w:topLinePunct w:val="0"/>
        <w:autoSpaceDE w:val="0"/>
        <w:autoSpaceDN w:val="0"/>
        <w:bidi w:val="0"/>
        <w:adjustRightInd w:val="0"/>
        <w:snapToGrid w:val="0"/>
        <w:spacing w:before="25" w:line="227"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2.2.3 逾期提供的责任</w:t>
      </w:r>
    </w:p>
    <w:p w14:paraId="189E50CC">
      <w:pPr>
        <w:pStyle w:val="2"/>
        <w:keepNext w:val="0"/>
        <w:keepLines w:val="0"/>
        <w:pageBreakBefore w:val="0"/>
        <w:widowControl/>
        <w:kinsoku w:val="0"/>
        <w:wordWrap/>
        <w:overflowPunct/>
        <w:topLinePunct w:val="0"/>
        <w:autoSpaceDE w:val="0"/>
        <w:autoSpaceDN w:val="0"/>
        <w:bidi w:val="0"/>
        <w:adjustRightInd w:val="0"/>
        <w:snapToGrid w:val="0"/>
        <w:spacing w:before="148" w:line="239" w:lineRule="auto"/>
        <w:ind w:left="23" w:right="58" w:firstLine="6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因发包人原因未能按合同约定及时向承包人</w:t>
      </w:r>
      <w:r>
        <w:rPr>
          <w:rFonts w:hint="eastAsia" w:ascii="仿宋" w:hAnsi="仿宋" w:eastAsia="仿宋" w:cs="仿宋"/>
          <w:color w:val="auto"/>
          <w:spacing w:val="7"/>
          <w:sz w:val="24"/>
          <w:szCs w:val="24"/>
          <w:highlight w:val="none"/>
        </w:rPr>
        <w:t>提供施工现场和施工条件的，由发包人承</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担由此增加的费用和（或）延误的工期。</w:t>
      </w:r>
    </w:p>
    <w:p w14:paraId="39AFC670">
      <w:pPr>
        <w:pStyle w:val="2"/>
        <w:keepNext w:val="0"/>
        <w:keepLines w:val="0"/>
        <w:pageBreakBefore w:val="0"/>
        <w:widowControl/>
        <w:kinsoku w:val="0"/>
        <w:wordWrap/>
        <w:overflowPunct/>
        <w:topLinePunct w:val="0"/>
        <w:autoSpaceDE w:val="0"/>
        <w:autoSpaceDN w:val="0"/>
        <w:bidi w:val="0"/>
        <w:adjustRightInd w:val="0"/>
        <w:snapToGrid w:val="0"/>
        <w:spacing w:before="26" w:line="227"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2.3 提供基础资料</w:t>
      </w:r>
    </w:p>
    <w:p w14:paraId="5E8AAFB9">
      <w:pPr>
        <w:pStyle w:val="2"/>
        <w:keepNext w:val="0"/>
        <w:keepLines w:val="0"/>
        <w:pageBreakBefore w:val="0"/>
        <w:widowControl/>
        <w:kinsoku w:val="0"/>
        <w:wordWrap/>
        <w:overflowPunct/>
        <w:topLinePunct w:val="0"/>
        <w:autoSpaceDE w:val="0"/>
        <w:autoSpaceDN w:val="0"/>
        <w:bidi w:val="0"/>
        <w:adjustRightInd w:val="0"/>
        <w:snapToGrid w:val="0"/>
        <w:spacing w:before="145" w:line="248" w:lineRule="auto"/>
        <w:ind w:left="21" w:right="58" w:firstLine="604"/>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发包人应按专用合同条件和《发包人要求》中的约定向承包人提供施工现</w:t>
      </w:r>
      <w:r>
        <w:rPr>
          <w:rFonts w:hint="eastAsia" w:ascii="仿宋" w:hAnsi="仿宋" w:eastAsia="仿宋" w:cs="仿宋"/>
          <w:color w:val="auto"/>
          <w:spacing w:val="7"/>
          <w:sz w:val="24"/>
          <w:szCs w:val="24"/>
          <w:highlight w:val="none"/>
        </w:rPr>
        <w:t>场及工程实</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施所必需的毗邻区域内的供水、排水、供电、供气、供热、通信、广播电视等地上、地下管</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线和设施资料，气象和水文观测资料，地质勘察资料，相邻建筑物、构筑物和地下工程等有</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关基础资料，并根据第</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9"/>
          <w:sz w:val="24"/>
          <w:szCs w:val="24"/>
          <w:highlight w:val="none"/>
        </w:rPr>
        <w:t>1.12</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9"/>
          <w:sz w:val="24"/>
          <w:szCs w:val="24"/>
          <w:highlight w:val="none"/>
        </w:rPr>
        <w:t>款[《发包人要求》</w:t>
      </w:r>
      <w:r>
        <w:rPr>
          <w:rFonts w:hint="eastAsia" w:ascii="仿宋" w:hAnsi="仿宋" w:eastAsia="仿宋" w:cs="仿宋"/>
          <w:color w:val="auto"/>
          <w:spacing w:val="8"/>
          <w:sz w:val="24"/>
          <w:szCs w:val="24"/>
          <w:highlight w:val="none"/>
        </w:rPr>
        <w:t>和基础资料中的错误]承担基础资料错误造</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成的责任。按照法律规定确需在开工后方能提供的基础资料，发包人应尽其努力及时地在相</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应工程实施前的合理期限内提供，合理期限应以不影响承包人的正常履约为限。因发包人原</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因未能在合理期限内提供相应基础资料的，由发包人承担由此增加的费用和延误的工期。</w:t>
      </w:r>
    </w:p>
    <w:p w14:paraId="3E456E6E">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2.4 办理许可和批准</w:t>
      </w:r>
    </w:p>
    <w:p w14:paraId="008666EE">
      <w:pPr>
        <w:pStyle w:val="2"/>
        <w:keepNext w:val="0"/>
        <w:keepLines w:val="0"/>
        <w:pageBreakBefore w:val="0"/>
        <w:widowControl/>
        <w:kinsoku w:val="0"/>
        <w:wordWrap/>
        <w:overflowPunct/>
        <w:topLinePunct w:val="0"/>
        <w:autoSpaceDE w:val="0"/>
        <w:autoSpaceDN w:val="0"/>
        <w:bidi w:val="0"/>
        <w:adjustRightInd w:val="0"/>
        <w:snapToGrid w:val="0"/>
        <w:spacing w:before="146" w:line="245" w:lineRule="auto"/>
        <w:ind w:left="21" w:firstLine="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2.4.1 发包人在履行合同过程中应遵守法律，并办理法律规定或合同约定由其办理的许可、</w:t>
      </w:r>
      <w:r>
        <w:rPr>
          <w:rFonts w:hint="eastAsia" w:ascii="仿宋" w:hAnsi="仿宋" w:eastAsia="仿宋" w:cs="仿宋"/>
          <w:color w:val="auto"/>
          <w:spacing w:val="7"/>
          <w:sz w:val="24"/>
          <w:szCs w:val="24"/>
          <w:highlight w:val="none"/>
        </w:rPr>
        <w:t xml:space="preserve"> 批准或备案，包括但不限于建设用地规划许可证、建设工程规划许可证、建设工程施工许可</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证等许可和批准。对于法律规定或合同约定由承包人负责的有关设计、施工证件、批件或备</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案，发包人应给予必要的协助。</w:t>
      </w:r>
    </w:p>
    <w:p w14:paraId="1335F9BA">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23" w:right="5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2.4.2 因发包人原因未能及时办理完毕前述许可、批准或备案，由发包</w:t>
      </w:r>
      <w:r>
        <w:rPr>
          <w:rFonts w:hint="eastAsia" w:ascii="仿宋" w:hAnsi="仿宋" w:eastAsia="仿宋" w:cs="仿宋"/>
          <w:color w:val="auto"/>
          <w:spacing w:val="6"/>
          <w:sz w:val="24"/>
          <w:szCs w:val="24"/>
          <w:highlight w:val="none"/>
        </w:rPr>
        <w:t>人承担由此增加的费</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用和（或）延误的工期，并支付承包人合理的利润。</w:t>
      </w:r>
    </w:p>
    <w:p w14:paraId="518310FC">
      <w:pPr>
        <w:pStyle w:val="2"/>
        <w:keepNext w:val="0"/>
        <w:keepLines w:val="0"/>
        <w:pageBreakBefore w:val="0"/>
        <w:widowControl/>
        <w:kinsoku w:val="0"/>
        <w:wordWrap/>
        <w:overflowPunct/>
        <w:topLinePunct w:val="0"/>
        <w:autoSpaceDE w:val="0"/>
        <w:autoSpaceDN w:val="0"/>
        <w:bidi w:val="0"/>
        <w:adjustRightInd w:val="0"/>
        <w:snapToGrid w:val="0"/>
        <w:spacing w:before="147" w:line="226"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2.5 支付合同价款</w:t>
      </w:r>
    </w:p>
    <w:p w14:paraId="32B173E7">
      <w:pPr>
        <w:pStyle w:val="2"/>
        <w:keepNext w:val="0"/>
        <w:keepLines w:val="0"/>
        <w:pageBreakBefore w:val="0"/>
        <w:widowControl/>
        <w:kinsoku w:val="0"/>
        <w:wordWrap/>
        <w:overflowPunct/>
        <w:topLinePunct w:val="0"/>
        <w:autoSpaceDE w:val="0"/>
        <w:autoSpaceDN w:val="0"/>
        <w:bidi w:val="0"/>
        <w:adjustRightInd w:val="0"/>
        <w:snapToGrid w:val="0"/>
        <w:spacing w:before="146" w:line="226"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2.5.1 发包人应按合同约定向承包人及时支付合同价款。</w:t>
      </w:r>
    </w:p>
    <w:p w14:paraId="5758A0EA">
      <w:pPr>
        <w:pStyle w:val="2"/>
        <w:keepNext w:val="0"/>
        <w:keepLines w:val="0"/>
        <w:pageBreakBefore w:val="0"/>
        <w:widowControl/>
        <w:kinsoku w:val="0"/>
        <w:wordWrap/>
        <w:overflowPunct/>
        <w:topLinePunct w:val="0"/>
        <w:autoSpaceDE w:val="0"/>
        <w:autoSpaceDN w:val="0"/>
        <w:bidi w:val="0"/>
        <w:adjustRightInd w:val="0"/>
        <w:snapToGrid w:val="0"/>
        <w:spacing w:before="149" w:line="247" w:lineRule="auto"/>
        <w:ind w:left="22" w:right="58" w:firstLine="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2.5.2 发包人应当制定资金安排计划，除专用合同条件另有约定外，如</w:t>
      </w:r>
      <w:r>
        <w:rPr>
          <w:rFonts w:hint="eastAsia" w:ascii="仿宋" w:hAnsi="仿宋" w:eastAsia="仿宋" w:cs="仿宋"/>
          <w:color w:val="auto"/>
          <w:spacing w:val="6"/>
          <w:sz w:val="24"/>
          <w:szCs w:val="24"/>
          <w:highlight w:val="none"/>
        </w:rPr>
        <w:t>发包人拟对资金安排</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做任何重要变更，应将变更的详细情况通知承包人。如发生承包人收到价格大于签约合同价</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10%的变更指示或累计变更的总价超过签约合同价</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9"/>
          <w:sz w:val="24"/>
          <w:szCs w:val="24"/>
          <w:highlight w:val="none"/>
        </w:rPr>
        <w:t>30%；或承包人未能根据第</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9"/>
          <w:sz w:val="24"/>
          <w:szCs w:val="24"/>
          <w:highlight w:val="none"/>
        </w:rPr>
        <w:t>14</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条[合</w:t>
      </w:r>
      <w:r>
        <w:rPr>
          <w:rFonts w:hint="eastAsia" w:ascii="仿宋" w:hAnsi="仿宋" w:eastAsia="仿宋" w:cs="仿宋"/>
          <w:color w:val="auto"/>
          <w:spacing w:val="8"/>
          <w:sz w:val="24"/>
          <w:szCs w:val="24"/>
          <w:highlight w:val="none"/>
        </w:rPr>
        <w:t>同价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格与支付]收到付款，或承包人得知发包人的资金安排发生重要变更但并未收</w:t>
      </w:r>
      <w:r>
        <w:rPr>
          <w:rFonts w:hint="eastAsia" w:ascii="仿宋" w:hAnsi="仿宋" w:eastAsia="仿宋" w:cs="仿宋"/>
          <w:color w:val="auto"/>
          <w:spacing w:val="9"/>
          <w:sz w:val="24"/>
          <w:szCs w:val="24"/>
          <w:highlight w:val="none"/>
        </w:rPr>
        <w:t>到发包人上述</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重要变更通知的情况，则承包人可随时要求发包人在</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9"/>
          <w:sz w:val="24"/>
          <w:szCs w:val="24"/>
          <w:highlight w:val="none"/>
        </w:rPr>
        <w:t>天内补充提供能够按照合同约定支</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付合同价款的相应资金来源证明。</w:t>
      </w:r>
    </w:p>
    <w:p w14:paraId="008F045C">
      <w:pPr>
        <w:pStyle w:val="2"/>
        <w:keepNext w:val="0"/>
        <w:keepLines w:val="0"/>
        <w:pageBreakBefore w:val="0"/>
        <w:widowControl/>
        <w:kinsoku w:val="0"/>
        <w:wordWrap/>
        <w:overflowPunct/>
        <w:topLinePunct w:val="0"/>
        <w:autoSpaceDE w:val="0"/>
        <w:autoSpaceDN w:val="0"/>
        <w:bidi w:val="0"/>
        <w:adjustRightInd w:val="0"/>
        <w:snapToGrid w:val="0"/>
        <w:spacing w:before="149" w:line="239" w:lineRule="auto"/>
        <w:ind w:left="25" w:right="58" w:hanging="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2.5.3 发包人应当向承包人提供支付担保。支付担保可以采用银行保函</w:t>
      </w:r>
      <w:r>
        <w:rPr>
          <w:rFonts w:hint="eastAsia" w:ascii="仿宋" w:hAnsi="仿宋" w:eastAsia="仿宋" w:cs="仿宋"/>
          <w:color w:val="auto"/>
          <w:spacing w:val="6"/>
          <w:sz w:val="24"/>
          <w:szCs w:val="24"/>
          <w:highlight w:val="none"/>
        </w:rPr>
        <w:t>或担保公司担保等形</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式，具体由合同当事人在专用合同条件中约定。</w:t>
      </w:r>
    </w:p>
    <w:p w14:paraId="6DB2A9C0">
      <w:pPr>
        <w:pStyle w:val="2"/>
        <w:keepNext w:val="0"/>
        <w:keepLines w:val="0"/>
        <w:pageBreakBefore w:val="0"/>
        <w:widowControl/>
        <w:kinsoku w:val="0"/>
        <w:wordWrap/>
        <w:overflowPunct/>
        <w:topLinePunct w:val="0"/>
        <w:autoSpaceDE w:val="0"/>
        <w:autoSpaceDN w:val="0"/>
        <w:bidi w:val="0"/>
        <w:adjustRightInd w:val="0"/>
        <w:snapToGrid w:val="0"/>
        <w:spacing w:before="146" w:line="228"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2.6 现场管理配合</w:t>
      </w:r>
    </w:p>
    <w:p w14:paraId="5770F3D1">
      <w:pPr>
        <w:pStyle w:val="2"/>
        <w:keepNext w:val="0"/>
        <w:keepLines w:val="0"/>
        <w:pageBreakBefore w:val="0"/>
        <w:widowControl/>
        <w:kinsoku w:val="0"/>
        <w:wordWrap/>
        <w:overflowPunct/>
        <w:topLinePunct w:val="0"/>
        <w:autoSpaceDE w:val="0"/>
        <w:autoSpaceDN w:val="0"/>
        <w:bidi w:val="0"/>
        <w:adjustRightInd w:val="0"/>
        <w:snapToGrid w:val="0"/>
        <w:spacing w:before="145" w:line="239" w:lineRule="auto"/>
        <w:ind w:left="631" w:right="46" w:hanging="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发包人应负责保证在现场或现场附近的发包人人</w:t>
      </w:r>
      <w:r>
        <w:rPr>
          <w:rFonts w:hint="eastAsia" w:ascii="仿宋" w:hAnsi="仿宋" w:eastAsia="仿宋" w:cs="仿宋"/>
          <w:color w:val="auto"/>
          <w:spacing w:val="9"/>
          <w:sz w:val="24"/>
          <w:szCs w:val="24"/>
          <w:highlight w:val="none"/>
        </w:rPr>
        <w:t>员和发包人的其他承包人（如有</w:t>
      </w:r>
      <w:r>
        <w:rPr>
          <w:rFonts w:hint="eastAsia" w:ascii="仿宋" w:hAnsi="仿宋" w:eastAsia="仿宋" w:cs="仿宋"/>
          <w:color w:val="auto"/>
          <w:spacing w:val="-17"/>
          <w:sz w:val="24"/>
          <w:szCs w:val="24"/>
          <w:highlight w:val="none"/>
        </w:rPr>
        <w:t>）：</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7"/>
          <w:sz w:val="24"/>
          <w:szCs w:val="24"/>
          <w:highlight w:val="none"/>
        </w:rPr>
        <w:t>（1） 根据第</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7"/>
          <w:sz w:val="24"/>
          <w:szCs w:val="24"/>
          <w:highlight w:val="none"/>
        </w:rPr>
        <w:t>7.3</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7"/>
          <w:sz w:val="24"/>
          <w:szCs w:val="24"/>
          <w:highlight w:val="none"/>
        </w:rPr>
        <w:t>款[现场合作]的约定，与承包人进行合作；</w:t>
      </w:r>
    </w:p>
    <w:p w14:paraId="4D3691C9">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21" w:right="58"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遵守第</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7"/>
          <w:sz w:val="24"/>
          <w:szCs w:val="24"/>
          <w:highlight w:val="none"/>
        </w:rPr>
        <w:t>7.5</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7"/>
          <w:sz w:val="24"/>
          <w:szCs w:val="24"/>
          <w:highlight w:val="none"/>
        </w:rPr>
        <w:t>款[现场劳动用工]、第</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7"/>
          <w:sz w:val="24"/>
          <w:szCs w:val="24"/>
          <w:highlight w:val="none"/>
        </w:rPr>
        <w:t>7.6</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7"/>
          <w:sz w:val="24"/>
          <w:szCs w:val="24"/>
          <w:highlight w:val="none"/>
        </w:rPr>
        <w:t>款[安全文明施工]、第</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7"/>
          <w:sz w:val="24"/>
          <w:szCs w:val="24"/>
          <w:highlight w:val="none"/>
        </w:rPr>
        <w:t>7.7</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6"/>
          <w:sz w:val="24"/>
          <w:szCs w:val="24"/>
          <w:highlight w:val="none"/>
        </w:rPr>
        <w:t>款[职业健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康]和第</w:t>
      </w:r>
      <w:r>
        <w:rPr>
          <w:rFonts w:hint="eastAsia" w:ascii="仿宋" w:hAnsi="仿宋" w:eastAsia="仿宋" w:cs="仿宋"/>
          <w:color w:val="auto"/>
          <w:spacing w:val="-26"/>
          <w:sz w:val="24"/>
          <w:szCs w:val="24"/>
          <w:highlight w:val="none"/>
        </w:rPr>
        <w:t xml:space="preserve"> </w:t>
      </w:r>
      <w:r>
        <w:rPr>
          <w:rFonts w:hint="eastAsia" w:ascii="仿宋" w:hAnsi="仿宋" w:eastAsia="仿宋" w:cs="仿宋"/>
          <w:color w:val="auto"/>
          <w:spacing w:val="6"/>
          <w:sz w:val="24"/>
          <w:szCs w:val="24"/>
          <w:highlight w:val="none"/>
        </w:rPr>
        <w:t>7.8</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6"/>
          <w:sz w:val="24"/>
          <w:szCs w:val="24"/>
          <w:highlight w:val="none"/>
        </w:rPr>
        <w:t>款[环境保护]的相关约定。</w:t>
      </w:r>
    </w:p>
    <w:p w14:paraId="532E7908">
      <w:pPr>
        <w:pStyle w:val="2"/>
        <w:keepNext w:val="0"/>
        <w:keepLines w:val="0"/>
        <w:pageBreakBefore w:val="0"/>
        <w:widowControl/>
        <w:kinsoku w:val="0"/>
        <w:wordWrap/>
        <w:overflowPunct/>
        <w:topLinePunct w:val="0"/>
        <w:autoSpaceDE w:val="0"/>
        <w:autoSpaceDN w:val="0"/>
        <w:bidi w:val="0"/>
        <w:adjustRightInd w:val="0"/>
        <w:snapToGrid w:val="0"/>
        <w:spacing w:before="27"/>
        <w:ind w:left="23" w:right="61" w:firstLine="6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发包人应与承包人、由发包人直接发包的其他承包人（如有）订立施</w:t>
      </w:r>
      <w:r>
        <w:rPr>
          <w:rFonts w:hint="eastAsia" w:ascii="仿宋" w:hAnsi="仿宋" w:eastAsia="仿宋" w:cs="仿宋"/>
          <w:color w:val="auto"/>
          <w:spacing w:val="7"/>
          <w:sz w:val="24"/>
          <w:szCs w:val="24"/>
          <w:highlight w:val="none"/>
        </w:rPr>
        <w:t>工现场统一管理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协议，明确各方的权利义务。</w:t>
      </w:r>
    </w:p>
    <w:p w14:paraId="7D29ACE5">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2.7 其他义务</w:t>
      </w:r>
    </w:p>
    <w:p w14:paraId="06C35A09">
      <w:pPr>
        <w:pStyle w:val="2"/>
        <w:keepNext w:val="0"/>
        <w:keepLines w:val="0"/>
        <w:pageBreakBefore w:val="0"/>
        <w:widowControl/>
        <w:kinsoku w:val="0"/>
        <w:wordWrap/>
        <w:overflowPunct/>
        <w:topLinePunct w:val="0"/>
        <w:autoSpaceDE w:val="0"/>
        <w:autoSpaceDN w:val="0"/>
        <w:bidi w:val="0"/>
        <w:adjustRightInd w:val="0"/>
        <w:snapToGrid w:val="0"/>
        <w:spacing w:before="145"/>
        <w:ind w:left="24" w:right="58"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发包人应履行合同约定的其他义务，双方可在专用合同条件内对发包人应</w:t>
      </w:r>
      <w:r>
        <w:rPr>
          <w:rFonts w:hint="eastAsia" w:ascii="仿宋" w:hAnsi="仿宋" w:eastAsia="仿宋" w:cs="仿宋"/>
          <w:color w:val="auto"/>
          <w:spacing w:val="7"/>
          <w:sz w:val="24"/>
          <w:szCs w:val="24"/>
          <w:highlight w:val="none"/>
        </w:rPr>
        <w:t>履行的其他</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义务进行补充约定。</w:t>
      </w:r>
    </w:p>
    <w:p w14:paraId="5B5C02F3">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317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第</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5"/>
          <w:sz w:val="24"/>
          <w:szCs w:val="24"/>
          <w:highlight w:val="none"/>
        </w:rPr>
        <w:t>3</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5"/>
          <w:sz w:val="24"/>
          <w:szCs w:val="24"/>
          <w:highlight w:val="none"/>
        </w:rPr>
        <w:t>条 发包人的管理</w:t>
      </w:r>
    </w:p>
    <w:p w14:paraId="3A633119">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26"/>
        <w:textAlignment w:val="baseline"/>
        <w:outlineLvl w:val="9"/>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3.1</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5"/>
          <w:sz w:val="24"/>
          <w:szCs w:val="24"/>
          <w:highlight w:val="none"/>
        </w:rPr>
        <w:t>发包人代表</w:t>
      </w:r>
    </w:p>
    <w:p w14:paraId="210F69DA">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26" w:firstLine="512" w:firstLineChars="2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发包人应任命发包人代表，并在专用合同条件中明确发包人代表的姓名、</w:t>
      </w:r>
      <w:r>
        <w:rPr>
          <w:rFonts w:hint="eastAsia" w:ascii="仿宋" w:hAnsi="仿宋" w:eastAsia="仿宋" w:cs="仿宋"/>
          <w:color w:val="auto"/>
          <w:spacing w:val="7"/>
          <w:sz w:val="24"/>
          <w:szCs w:val="24"/>
          <w:highlight w:val="none"/>
        </w:rPr>
        <w:t>职务、联系</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方式及授权范围等事项。发包人代表应在发包人的授权范围内，负责处理合同履行过程中与</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发包人有关的具体事宜。发包人代表在授权范围内的行为由发包人承担法律责任。</w:t>
      </w:r>
    </w:p>
    <w:p w14:paraId="2F8103E6">
      <w:pPr>
        <w:pStyle w:val="2"/>
        <w:keepNext w:val="0"/>
        <w:keepLines w:val="0"/>
        <w:pageBreakBefore w:val="0"/>
        <w:widowControl/>
        <w:kinsoku w:val="0"/>
        <w:wordWrap/>
        <w:overflowPunct/>
        <w:topLinePunct w:val="0"/>
        <w:autoSpaceDE w:val="0"/>
        <w:autoSpaceDN w:val="0"/>
        <w:bidi w:val="0"/>
        <w:adjustRightInd w:val="0"/>
        <w:snapToGrid w:val="0"/>
        <w:spacing w:before="26" w:line="239" w:lineRule="auto"/>
        <w:ind w:left="47" w:right="70" w:firstLine="58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除非发包人另行通知承包人，发包人代表应被授予并</w:t>
      </w:r>
      <w:r>
        <w:rPr>
          <w:rFonts w:hint="eastAsia" w:ascii="仿宋" w:hAnsi="仿宋" w:eastAsia="仿宋" w:cs="仿宋"/>
          <w:color w:val="auto"/>
          <w:spacing w:val="7"/>
          <w:sz w:val="24"/>
          <w:szCs w:val="24"/>
          <w:highlight w:val="none"/>
        </w:rPr>
        <w:t>且被认为具有发包人在授权范围</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内享有的相应权利，涉及第</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7"/>
          <w:sz w:val="24"/>
          <w:szCs w:val="24"/>
          <w:highlight w:val="none"/>
        </w:rPr>
        <w:t>16.1</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7"/>
          <w:sz w:val="24"/>
          <w:szCs w:val="24"/>
          <w:highlight w:val="none"/>
        </w:rPr>
        <w:t>款[由发</w:t>
      </w:r>
      <w:r>
        <w:rPr>
          <w:rFonts w:hint="eastAsia" w:ascii="仿宋" w:hAnsi="仿宋" w:eastAsia="仿宋" w:cs="仿宋"/>
          <w:color w:val="auto"/>
          <w:spacing w:val="6"/>
          <w:sz w:val="24"/>
          <w:szCs w:val="24"/>
          <w:highlight w:val="none"/>
        </w:rPr>
        <w:t>包人解除合同]的权利除外。</w:t>
      </w:r>
    </w:p>
    <w:p w14:paraId="72C8B424">
      <w:pPr>
        <w:pStyle w:val="2"/>
        <w:keepNext w:val="0"/>
        <w:keepLines w:val="0"/>
        <w:pageBreakBefore w:val="0"/>
        <w:widowControl/>
        <w:kinsoku w:val="0"/>
        <w:wordWrap/>
        <w:overflowPunct/>
        <w:topLinePunct w:val="0"/>
        <w:autoSpaceDE w:val="0"/>
        <w:autoSpaceDN w:val="0"/>
        <w:bidi w:val="0"/>
        <w:adjustRightInd w:val="0"/>
        <w:snapToGrid w:val="0"/>
        <w:spacing w:before="26" w:line="239" w:lineRule="auto"/>
        <w:ind w:left="631" w:right="898" w:hanging="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发包人代表（或者在其为法人的情况下，被任命代表其行事的自然人）应：</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（1） 履行指派给其的职责，行使发包人托付给的权利；</w:t>
      </w:r>
    </w:p>
    <w:p w14:paraId="70CB0ABC">
      <w:pPr>
        <w:pStyle w:val="2"/>
        <w:keepNext w:val="0"/>
        <w:keepLines w:val="0"/>
        <w:pageBreakBefore w:val="0"/>
        <w:widowControl/>
        <w:kinsoku w:val="0"/>
        <w:wordWrap/>
        <w:overflowPunct/>
        <w:topLinePunct w:val="0"/>
        <w:autoSpaceDE w:val="0"/>
        <w:autoSpaceDN w:val="0"/>
        <w:bidi w:val="0"/>
        <w:adjustRightInd w:val="0"/>
        <w:snapToGrid w:val="0"/>
        <w:spacing w:before="27" w:line="271" w:lineRule="exact"/>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（2） 具备履行这些职责、行使这些权利的能力；</w:t>
      </w:r>
    </w:p>
    <w:p w14:paraId="6FCED364">
      <w:pPr>
        <w:pStyle w:val="2"/>
        <w:keepNext w:val="0"/>
        <w:keepLines w:val="0"/>
        <w:pageBreakBefore w:val="0"/>
        <w:widowControl/>
        <w:kinsoku w:val="0"/>
        <w:wordWrap/>
        <w:overflowPunct/>
        <w:topLinePunct w:val="0"/>
        <w:autoSpaceDE w:val="0"/>
        <w:autoSpaceDN w:val="0"/>
        <w:bidi w:val="0"/>
        <w:adjustRightInd w:val="0"/>
        <w:snapToGrid w:val="0"/>
        <w:spacing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作为熟练的专业人员行事。</w:t>
      </w:r>
    </w:p>
    <w:p w14:paraId="31388547">
      <w:pPr>
        <w:pStyle w:val="2"/>
        <w:keepNext w:val="0"/>
        <w:keepLines w:val="0"/>
        <w:pageBreakBefore w:val="0"/>
        <w:widowControl/>
        <w:kinsoku w:val="0"/>
        <w:wordWrap/>
        <w:overflowPunct/>
        <w:topLinePunct w:val="0"/>
        <w:autoSpaceDE w:val="0"/>
        <w:autoSpaceDN w:val="0"/>
        <w:bidi w:val="0"/>
        <w:adjustRightInd w:val="0"/>
        <w:snapToGrid w:val="0"/>
        <w:spacing w:before="25" w:line="246" w:lineRule="auto"/>
        <w:ind w:left="23" w:right="12" w:firstLine="60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如果发包人代表为法人且在签订本合同时未能确定授权代表的，发包人代</w:t>
      </w:r>
      <w:r>
        <w:rPr>
          <w:rFonts w:hint="eastAsia" w:ascii="仿宋" w:hAnsi="仿宋" w:eastAsia="仿宋" w:cs="仿宋"/>
          <w:color w:val="auto"/>
          <w:spacing w:val="7"/>
          <w:sz w:val="24"/>
          <w:szCs w:val="24"/>
          <w:highlight w:val="none"/>
        </w:rPr>
        <w:t>表应在本合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同签订之日起</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7"/>
          <w:sz w:val="24"/>
          <w:szCs w:val="24"/>
          <w:highlight w:val="none"/>
        </w:rPr>
        <w:t>3 日内向双方发出书面通知，告知被任命和授权的自然人以及任何替代人</w:t>
      </w:r>
      <w:r>
        <w:rPr>
          <w:rFonts w:hint="eastAsia" w:ascii="仿宋" w:hAnsi="仿宋" w:eastAsia="仿宋" w:cs="仿宋"/>
          <w:color w:val="auto"/>
          <w:spacing w:val="6"/>
          <w:sz w:val="24"/>
          <w:szCs w:val="24"/>
          <w:highlight w:val="none"/>
        </w:rPr>
        <w:t>员。</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此授权在双方收到本通知后生效。发包人代表撤销该授权或者变更授权代表时也应同样发出</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4"/>
          <w:sz w:val="24"/>
          <w:szCs w:val="24"/>
          <w:highlight w:val="none"/>
        </w:rPr>
        <w:t>该通知。</w:t>
      </w:r>
    </w:p>
    <w:p w14:paraId="5C79FEC2">
      <w:pPr>
        <w:pStyle w:val="2"/>
        <w:keepNext w:val="0"/>
        <w:keepLines w:val="0"/>
        <w:pageBreakBefore w:val="0"/>
        <w:widowControl/>
        <w:kinsoku w:val="0"/>
        <w:wordWrap/>
        <w:overflowPunct/>
        <w:topLinePunct w:val="0"/>
        <w:autoSpaceDE w:val="0"/>
        <w:autoSpaceDN w:val="0"/>
        <w:bidi w:val="0"/>
        <w:adjustRightInd w:val="0"/>
        <w:snapToGrid w:val="0"/>
        <w:spacing w:before="23" w:line="244" w:lineRule="auto"/>
        <w:ind w:left="21" w:right="71" w:firstLine="604"/>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发包人更换发包人代表的，应提前</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9"/>
          <w:sz w:val="24"/>
          <w:szCs w:val="24"/>
          <w:highlight w:val="none"/>
        </w:rPr>
        <w:t>14</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天将更换人的姓名、地址、任务和权利、以及</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任命的日期书面通知承包人。发包人不得将发包人代表更换为承包人根据本款发出通知提出</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合理反对意见的人员，不论是法人还是自然人。</w:t>
      </w:r>
    </w:p>
    <w:p w14:paraId="7AF2ECEE">
      <w:pPr>
        <w:pStyle w:val="2"/>
        <w:keepNext w:val="0"/>
        <w:keepLines w:val="0"/>
        <w:pageBreakBefore w:val="0"/>
        <w:widowControl/>
        <w:kinsoku w:val="0"/>
        <w:wordWrap/>
        <w:overflowPunct/>
        <w:topLinePunct w:val="0"/>
        <w:autoSpaceDE w:val="0"/>
        <w:autoSpaceDN w:val="0"/>
        <w:bidi w:val="0"/>
        <w:adjustRightInd w:val="0"/>
        <w:snapToGrid w:val="0"/>
        <w:spacing w:before="25" w:line="239" w:lineRule="auto"/>
        <w:ind w:left="22" w:right="57" w:firstLine="60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发包人代表不能按照合同约定履行其职责及义务，并导致合同无法继续正常履行的，</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8"/>
          <w:sz w:val="24"/>
          <w:szCs w:val="24"/>
          <w:highlight w:val="none"/>
        </w:rPr>
        <w:t>承包人可以要求发包人撤换发包人代表。</w:t>
      </w:r>
    </w:p>
    <w:p w14:paraId="02FE9F35">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3.2</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5"/>
          <w:sz w:val="24"/>
          <w:szCs w:val="24"/>
          <w:highlight w:val="none"/>
        </w:rPr>
        <w:t>发包人人员</w:t>
      </w:r>
    </w:p>
    <w:p w14:paraId="5A62DA14">
      <w:pPr>
        <w:pStyle w:val="2"/>
        <w:keepNext w:val="0"/>
        <w:keepLines w:val="0"/>
        <w:pageBreakBefore w:val="0"/>
        <w:widowControl/>
        <w:kinsoku w:val="0"/>
        <w:wordWrap/>
        <w:overflowPunct/>
        <w:topLinePunct w:val="0"/>
        <w:autoSpaceDE w:val="0"/>
        <w:autoSpaceDN w:val="0"/>
        <w:bidi w:val="0"/>
        <w:adjustRightInd w:val="0"/>
        <w:snapToGrid w:val="0"/>
        <w:spacing w:before="142" w:line="248" w:lineRule="auto"/>
        <w:ind w:left="22" w:firstLine="60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发包人人员包括发包人代表、工程师及其他由发包人派驻施工现场的人员，发包人可 以在专用合同条件中明确发包人人员的姓名、职务及职责等事项。发包人或发包人代表可</w:t>
      </w:r>
      <w:r>
        <w:rPr>
          <w:rFonts w:hint="eastAsia" w:ascii="仿宋" w:hAnsi="仿宋" w:eastAsia="仿宋" w:cs="仿宋"/>
          <w:color w:val="auto"/>
          <w:spacing w:val="6"/>
          <w:sz w:val="24"/>
          <w:szCs w:val="24"/>
          <w:highlight w:val="none"/>
        </w:rPr>
        <w:t xml:space="preserve">随 </w:t>
      </w:r>
      <w:r>
        <w:rPr>
          <w:rFonts w:hint="eastAsia" w:ascii="仿宋" w:hAnsi="仿宋" w:eastAsia="仿宋" w:cs="仿宋"/>
          <w:color w:val="auto"/>
          <w:spacing w:val="7"/>
          <w:sz w:val="24"/>
          <w:szCs w:val="24"/>
          <w:highlight w:val="none"/>
        </w:rPr>
        <w:t>时对一些助手指派和托付一定的任务和权利，也可撤销这些指派和托付。这些助手可包括</w:t>
      </w:r>
      <w:r>
        <w:rPr>
          <w:rFonts w:hint="eastAsia" w:ascii="仿宋" w:hAnsi="仿宋" w:eastAsia="仿宋" w:cs="仿宋"/>
          <w:color w:val="auto"/>
          <w:spacing w:val="6"/>
          <w:sz w:val="24"/>
          <w:szCs w:val="24"/>
          <w:highlight w:val="none"/>
        </w:rPr>
        <w:t xml:space="preserve">驻 </w:t>
      </w:r>
      <w:r>
        <w:rPr>
          <w:rFonts w:hint="eastAsia" w:ascii="仿宋" w:hAnsi="仿宋" w:eastAsia="仿宋" w:cs="仿宋"/>
          <w:color w:val="auto"/>
          <w:spacing w:val="4"/>
          <w:sz w:val="24"/>
          <w:szCs w:val="24"/>
          <w:highlight w:val="none"/>
        </w:rPr>
        <w:t>地工程师或担任检验、试验各项工程设备和材料的独立检查员。这些助手应具有适当的资质、</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7"/>
          <w:sz w:val="24"/>
          <w:szCs w:val="24"/>
          <w:highlight w:val="none"/>
        </w:rPr>
        <w:t>履行其任务和权利的能力。以上指派、托付或撤销，在承包人收到通知后生效。承包人对</w:t>
      </w:r>
      <w:r>
        <w:rPr>
          <w:rFonts w:hint="eastAsia" w:ascii="仿宋" w:hAnsi="仿宋" w:eastAsia="仿宋" w:cs="仿宋"/>
          <w:color w:val="auto"/>
          <w:spacing w:val="6"/>
          <w:sz w:val="24"/>
          <w:szCs w:val="24"/>
          <w:highlight w:val="none"/>
        </w:rPr>
        <w:t xml:space="preserve">于 </w:t>
      </w:r>
      <w:r>
        <w:rPr>
          <w:rFonts w:hint="eastAsia" w:ascii="仿宋" w:hAnsi="仿宋" w:eastAsia="仿宋" w:cs="仿宋"/>
          <w:color w:val="auto"/>
          <w:spacing w:val="9"/>
          <w:sz w:val="24"/>
          <w:szCs w:val="24"/>
          <w:highlight w:val="none"/>
        </w:rPr>
        <w:t>可能影响正常履约或工程安全质量的发包人人员保有随时提出沟通的权利。</w:t>
      </w:r>
    </w:p>
    <w:p w14:paraId="7CB82369">
      <w:pPr>
        <w:pStyle w:val="2"/>
        <w:keepNext w:val="0"/>
        <w:keepLines w:val="0"/>
        <w:pageBreakBefore w:val="0"/>
        <w:widowControl/>
        <w:kinsoku w:val="0"/>
        <w:wordWrap/>
        <w:overflowPunct/>
        <w:topLinePunct w:val="0"/>
        <w:autoSpaceDE w:val="0"/>
        <w:autoSpaceDN w:val="0"/>
        <w:bidi w:val="0"/>
        <w:adjustRightInd w:val="0"/>
        <w:snapToGrid w:val="0"/>
        <w:spacing w:before="25" w:line="239" w:lineRule="auto"/>
        <w:ind w:left="21" w:right="70" w:firstLine="60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发包人应要求在施工现场的发包人人员遵守法律及有关安全、质量、环境</w:t>
      </w:r>
      <w:r>
        <w:rPr>
          <w:rFonts w:hint="eastAsia" w:ascii="仿宋" w:hAnsi="仿宋" w:eastAsia="仿宋" w:cs="仿宋"/>
          <w:color w:val="auto"/>
          <w:spacing w:val="7"/>
          <w:sz w:val="24"/>
          <w:szCs w:val="24"/>
          <w:highlight w:val="none"/>
        </w:rPr>
        <w:t>保护、文明</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施工等规定，因发包人人员未遵守上述要求给承包人造成的损失和责任由发包人承担。</w:t>
      </w:r>
    </w:p>
    <w:p w14:paraId="263C5938">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3.3</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3"/>
          <w:sz w:val="24"/>
          <w:szCs w:val="24"/>
          <w:highlight w:val="none"/>
        </w:rPr>
        <w:t>工程师</w:t>
      </w:r>
    </w:p>
    <w:p w14:paraId="6704696A">
      <w:pPr>
        <w:pStyle w:val="2"/>
        <w:keepNext w:val="0"/>
        <w:keepLines w:val="0"/>
        <w:pageBreakBefore w:val="0"/>
        <w:widowControl/>
        <w:kinsoku w:val="0"/>
        <w:wordWrap/>
        <w:overflowPunct/>
        <w:topLinePunct w:val="0"/>
        <w:autoSpaceDE w:val="0"/>
        <w:autoSpaceDN w:val="0"/>
        <w:bidi w:val="0"/>
        <w:adjustRightInd w:val="0"/>
        <w:snapToGrid w:val="0"/>
        <w:spacing w:before="148" w:line="245" w:lineRule="auto"/>
        <w:ind w:left="23" w:right="16" w:firstLine="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3.3.1 发包人需对承包人的设计、采购、施工、服务等工作过程或过程节点实施监督管理的，</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7"/>
          <w:sz w:val="24"/>
          <w:szCs w:val="24"/>
          <w:highlight w:val="none"/>
        </w:rPr>
        <w:t>有权委任工程师。工程师的名称、监督管理范围、内容和权限在专用合同条件中写明。根据</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国家相关法律法规规定，如本合同工程属于强制监理项目的，由工程师履行法定的监理相关</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职责，但发包人另行授权第三方进行监理的除外。</w:t>
      </w:r>
    </w:p>
    <w:p w14:paraId="2CDAF696">
      <w:pPr>
        <w:pStyle w:val="2"/>
        <w:keepNext w:val="0"/>
        <w:keepLines w:val="0"/>
        <w:pageBreakBefore w:val="0"/>
        <w:widowControl/>
        <w:kinsoku w:val="0"/>
        <w:wordWrap/>
        <w:overflowPunct/>
        <w:topLinePunct w:val="0"/>
        <w:autoSpaceDE w:val="0"/>
        <w:autoSpaceDN w:val="0"/>
        <w:bidi w:val="0"/>
        <w:adjustRightInd w:val="0"/>
        <w:snapToGrid w:val="0"/>
        <w:spacing w:before="148" w:line="245" w:lineRule="auto"/>
        <w:ind w:left="22" w:firstLine="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3.3.2 工程师按发包人委托的范围、内容、职权和权限，代</w:t>
      </w:r>
      <w:r>
        <w:rPr>
          <w:rFonts w:hint="eastAsia" w:ascii="仿宋" w:hAnsi="仿宋" w:eastAsia="仿宋" w:cs="仿宋"/>
          <w:color w:val="auto"/>
          <w:spacing w:val="3"/>
          <w:sz w:val="24"/>
          <w:szCs w:val="24"/>
          <w:highlight w:val="none"/>
        </w:rPr>
        <w:t>表发包人对承包人实施监督管理。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若承包人认为工程师行使的职权不在发包人委托的授权范围之内的，则其有权拒绝执行工</w:t>
      </w:r>
      <w:r>
        <w:rPr>
          <w:rFonts w:hint="eastAsia" w:ascii="仿宋" w:hAnsi="仿宋" w:eastAsia="仿宋" w:cs="仿宋"/>
          <w:color w:val="auto"/>
          <w:spacing w:val="6"/>
          <w:sz w:val="24"/>
          <w:szCs w:val="24"/>
          <w:highlight w:val="none"/>
        </w:rPr>
        <w:t xml:space="preserve">程 </w:t>
      </w:r>
      <w:r>
        <w:rPr>
          <w:rFonts w:hint="eastAsia" w:ascii="仿宋" w:hAnsi="仿宋" w:eastAsia="仿宋" w:cs="仿宋"/>
          <w:color w:val="auto"/>
          <w:spacing w:val="7"/>
          <w:sz w:val="24"/>
          <w:szCs w:val="24"/>
          <w:highlight w:val="none"/>
        </w:rPr>
        <w:t>师的相关指示，同时应及时通知发包人，发包人书面确认工程师相关指示的，承包人应遵</w:t>
      </w:r>
      <w:r>
        <w:rPr>
          <w:rFonts w:hint="eastAsia" w:ascii="仿宋" w:hAnsi="仿宋" w:eastAsia="仿宋" w:cs="仿宋"/>
          <w:color w:val="auto"/>
          <w:spacing w:val="6"/>
          <w:sz w:val="24"/>
          <w:szCs w:val="24"/>
          <w:highlight w:val="none"/>
        </w:rPr>
        <w:t xml:space="preserve">照 </w:t>
      </w:r>
      <w:r>
        <w:rPr>
          <w:rFonts w:hint="eastAsia" w:ascii="仿宋" w:hAnsi="仿宋" w:eastAsia="仿宋" w:cs="仿宋"/>
          <w:color w:val="auto"/>
          <w:spacing w:val="3"/>
          <w:sz w:val="24"/>
          <w:szCs w:val="24"/>
          <w:highlight w:val="none"/>
        </w:rPr>
        <w:t>执行。</w:t>
      </w:r>
    </w:p>
    <w:p w14:paraId="21462A4E">
      <w:pPr>
        <w:pStyle w:val="2"/>
        <w:keepNext w:val="0"/>
        <w:keepLines w:val="0"/>
        <w:pageBreakBefore w:val="0"/>
        <w:widowControl/>
        <w:kinsoku w:val="0"/>
        <w:wordWrap/>
        <w:overflowPunct/>
        <w:topLinePunct w:val="0"/>
        <w:autoSpaceDE w:val="0"/>
        <w:autoSpaceDN w:val="0"/>
        <w:bidi w:val="0"/>
        <w:adjustRightInd w:val="0"/>
        <w:snapToGrid w:val="0"/>
        <w:spacing w:before="145" w:line="244" w:lineRule="auto"/>
        <w:ind w:left="22" w:right="70" w:firstLine="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3.3.3 在发包人和承包人之间提供证明、行使决定权或处理权时，</w:t>
      </w:r>
      <w:r>
        <w:rPr>
          <w:rFonts w:hint="eastAsia" w:ascii="仿宋" w:hAnsi="仿宋" w:eastAsia="仿宋" w:cs="仿宋"/>
          <w:color w:val="auto"/>
          <w:spacing w:val="6"/>
          <w:sz w:val="24"/>
          <w:szCs w:val="24"/>
          <w:highlight w:val="none"/>
        </w:rPr>
        <w:t>工程师应作为独立专业的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第三方，根据自己的专业技能和判断进行工作。但工程师或其人员均无权修改合同，且无权</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减轻或免除合同当事人的任何责任与义务。</w:t>
      </w:r>
    </w:p>
    <w:p w14:paraId="3E049853">
      <w:pPr>
        <w:pStyle w:val="2"/>
        <w:keepNext w:val="0"/>
        <w:keepLines w:val="0"/>
        <w:pageBreakBefore w:val="0"/>
        <w:widowControl/>
        <w:kinsoku w:val="0"/>
        <w:wordWrap/>
        <w:overflowPunct/>
        <w:topLinePunct w:val="0"/>
        <w:autoSpaceDE w:val="0"/>
        <w:autoSpaceDN w:val="0"/>
        <w:bidi w:val="0"/>
        <w:adjustRightInd w:val="0"/>
        <w:snapToGrid w:val="0"/>
        <w:spacing w:before="145" w:line="245" w:lineRule="auto"/>
        <w:ind w:left="21" w:right="70" w:firstLine="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3.3.4 通用合同条件中约定由工程师行使的职权如不在发包人对工</w:t>
      </w:r>
      <w:r>
        <w:rPr>
          <w:rFonts w:hint="eastAsia" w:ascii="仿宋" w:hAnsi="仿宋" w:eastAsia="仿宋" w:cs="仿宋"/>
          <w:color w:val="auto"/>
          <w:spacing w:val="6"/>
          <w:sz w:val="24"/>
          <w:szCs w:val="24"/>
          <w:highlight w:val="none"/>
        </w:rPr>
        <w:t>程师的授权范围内的，则</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视为没有取得授权，该职权应由发包人或发包人指定的其他人员行使。若承包人认为工程师</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的职权与发包人（包括其人员）的职权相重叠或不明确时，应及时通知发包人，由发包人予</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以协调和明确并以书面形式通知承包人。</w:t>
      </w:r>
    </w:p>
    <w:p w14:paraId="04400709">
      <w:pPr>
        <w:pStyle w:val="2"/>
        <w:keepNext w:val="0"/>
        <w:keepLines w:val="0"/>
        <w:pageBreakBefore w:val="0"/>
        <w:widowControl/>
        <w:kinsoku w:val="0"/>
        <w:wordWrap/>
        <w:overflowPunct/>
        <w:topLinePunct w:val="0"/>
        <w:autoSpaceDE w:val="0"/>
        <w:autoSpaceDN w:val="0"/>
        <w:bidi w:val="0"/>
        <w:adjustRightInd w:val="0"/>
        <w:snapToGrid w:val="0"/>
        <w:spacing w:before="148" w:line="228"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3.4 任命和授权</w:t>
      </w:r>
    </w:p>
    <w:p w14:paraId="665C227B">
      <w:pPr>
        <w:pStyle w:val="2"/>
        <w:keepNext w:val="0"/>
        <w:keepLines w:val="0"/>
        <w:pageBreakBefore w:val="0"/>
        <w:widowControl/>
        <w:kinsoku w:val="0"/>
        <w:wordWrap/>
        <w:overflowPunct/>
        <w:topLinePunct w:val="0"/>
        <w:autoSpaceDE w:val="0"/>
        <w:autoSpaceDN w:val="0"/>
        <w:bidi w:val="0"/>
        <w:adjustRightInd w:val="0"/>
        <w:snapToGrid w:val="0"/>
        <w:spacing w:before="143" w:line="244" w:lineRule="auto"/>
        <w:ind w:left="21" w:right="70" w:firstLine="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3.4.1 发包人应在发出开始工作通知前将工程师的任命通知承包人</w:t>
      </w:r>
      <w:r>
        <w:rPr>
          <w:rFonts w:hint="eastAsia" w:ascii="仿宋" w:hAnsi="仿宋" w:eastAsia="仿宋" w:cs="仿宋"/>
          <w:color w:val="auto"/>
          <w:spacing w:val="6"/>
          <w:sz w:val="24"/>
          <w:szCs w:val="24"/>
          <w:highlight w:val="none"/>
        </w:rPr>
        <w:t>。更换工程师的，发包人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应提前</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天以书面形式通知承包人，并在通知中写明</w:t>
      </w:r>
      <w:r>
        <w:rPr>
          <w:rFonts w:hint="eastAsia" w:ascii="仿宋" w:hAnsi="仿宋" w:eastAsia="仿宋" w:cs="仿宋"/>
          <w:color w:val="auto"/>
          <w:spacing w:val="6"/>
          <w:sz w:val="24"/>
          <w:szCs w:val="24"/>
          <w:highlight w:val="none"/>
        </w:rPr>
        <w:t>替换者的姓名、职务、职权、权限和任</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命时间。工程师超过</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2</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天不能履行职责的，应委派代</w:t>
      </w:r>
      <w:r>
        <w:rPr>
          <w:rFonts w:hint="eastAsia" w:ascii="仿宋" w:hAnsi="仿宋" w:eastAsia="仿宋" w:cs="仿宋"/>
          <w:color w:val="auto"/>
          <w:spacing w:val="8"/>
          <w:sz w:val="24"/>
          <w:szCs w:val="24"/>
          <w:highlight w:val="none"/>
        </w:rPr>
        <w:t>表代行其职责，并通知承包人。</w:t>
      </w:r>
    </w:p>
    <w:p w14:paraId="2578AE61">
      <w:pPr>
        <w:pStyle w:val="2"/>
        <w:keepNext w:val="0"/>
        <w:keepLines w:val="0"/>
        <w:pageBreakBefore w:val="0"/>
        <w:widowControl/>
        <w:kinsoku w:val="0"/>
        <w:wordWrap/>
        <w:overflowPunct/>
        <w:topLinePunct w:val="0"/>
        <w:autoSpaceDE w:val="0"/>
        <w:autoSpaceDN w:val="0"/>
        <w:bidi w:val="0"/>
        <w:adjustRightInd w:val="0"/>
        <w:snapToGrid w:val="0"/>
        <w:spacing w:before="40" w:line="246" w:lineRule="auto"/>
        <w:ind w:right="17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3.4.2 工程师可以授权其他人员负责执行其指派的一项或多项工作，但第</w:t>
      </w:r>
      <w:r>
        <w:rPr>
          <w:rFonts w:hint="eastAsia" w:ascii="仿宋" w:hAnsi="仿宋" w:eastAsia="仿宋" w:cs="仿宋"/>
          <w:color w:val="auto"/>
          <w:spacing w:val="-25"/>
          <w:sz w:val="24"/>
          <w:szCs w:val="24"/>
          <w:highlight w:val="none"/>
        </w:rPr>
        <w:t xml:space="preserve"> </w:t>
      </w:r>
      <w:r>
        <w:rPr>
          <w:rFonts w:hint="eastAsia" w:ascii="仿宋" w:hAnsi="仿宋" w:eastAsia="仿宋" w:cs="仿宋"/>
          <w:color w:val="auto"/>
          <w:spacing w:val="8"/>
          <w:sz w:val="24"/>
          <w:szCs w:val="24"/>
          <w:highlight w:val="none"/>
        </w:rPr>
        <w:t>3.6</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8"/>
          <w:sz w:val="24"/>
          <w:szCs w:val="24"/>
          <w:highlight w:val="none"/>
        </w:rPr>
        <w:t>款[商定或确</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定]下的权利除外。工程师应将被授权人员的姓名及其授权范围通知承包人。被</w:t>
      </w:r>
      <w:r>
        <w:rPr>
          <w:rFonts w:hint="eastAsia" w:ascii="仿宋" w:hAnsi="仿宋" w:eastAsia="仿宋" w:cs="仿宋"/>
          <w:color w:val="auto"/>
          <w:spacing w:val="9"/>
          <w:sz w:val="24"/>
          <w:szCs w:val="24"/>
          <w:highlight w:val="none"/>
        </w:rPr>
        <w:t>授权的人员</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在授权范围内发出的指示视为已得到工程师的同意，与工程师发出的指示具有同等效力。工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程师撤销某项授权时，应将撤销授权的决定及时通知承包人。</w:t>
      </w:r>
    </w:p>
    <w:p w14:paraId="62D7A669">
      <w:pPr>
        <w:pStyle w:val="2"/>
        <w:keepNext w:val="0"/>
        <w:keepLines w:val="0"/>
        <w:pageBreakBefore w:val="0"/>
        <w:widowControl/>
        <w:kinsoku w:val="0"/>
        <w:wordWrap/>
        <w:overflowPunct/>
        <w:topLinePunct w:val="0"/>
        <w:autoSpaceDE w:val="0"/>
        <w:autoSpaceDN w:val="0"/>
        <w:bidi w:val="0"/>
        <w:adjustRightInd w:val="0"/>
        <w:snapToGrid w:val="0"/>
        <w:spacing w:before="144" w:line="229"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3.5</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2"/>
          <w:sz w:val="24"/>
          <w:szCs w:val="24"/>
          <w:highlight w:val="none"/>
        </w:rPr>
        <w:t>指示</w:t>
      </w:r>
    </w:p>
    <w:p w14:paraId="5FAEFEA1">
      <w:pPr>
        <w:pStyle w:val="2"/>
        <w:keepNext w:val="0"/>
        <w:keepLines w:val="0"/>
        <w:pageBreakBefore w:val="0"/>
        <w:widowControl/>
        <w:kinsoku w:val="0"/>
        <w:wordWrap/>
        <w:overflowPunct/>
        <w:topLinePunct w:val="0"/>
        <w:autoSpaceDE w:val="0"/>
        <w:autoSpaceDN w:val="0"/>
        <w:bidi w:val="0"/>
        <w:adjustRightInd w:val="0"/>
        <w:snapToGrid w:val="0"/>
        <w:spacing w:before="142" w:line="247" w:lineRule="auto"/>
        <w:ind w:left="21" w:right="133" w:firstLine="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3.5.1 工程师应按照发包人的授权发出指示。工程师的指示应采用</w:t>
      </w:r>
      <w:r>
        <w:rPr>
          <w:rFonts w:hint="eastAsia" w:ascii="仿宋" w:hAnsi="仿宋" w:eastAsia="仿宋" w:cs="仿宋"/>
          <w:color w:val="auto"/>
          <w:spacing w:val="6"/>
          <w:sz w:val="24"/>
          <w:szCs w:val="24"/>
          <w:highlight w:val="none"/>
        </w:rPr>
        <w:t>书面形式，盖有工程师授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权的项目管理机构章，并由工程师的授权人员签字。在紧急情况下，工程师的授权人员可以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口头形式发出指示或当场签发临时书面指示，承包人应遵照执行。工程师应在授权人员发出</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口头指示或临时书面指示后</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24</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7"/>
          <w:sz w:val="24"/>
          <w:szCs w:val="24"/>
          <w:highlight w:val="none"/>
        </w:rPr>
        <w:t>小时内发出书面确认函，在</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24</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7"/>
          <w:sz w:val="24"/>
          <w:szCs w:val="24"/>
          <w:highlight w:val="none"/>
        </w:rPr>
        <w:t>小时</w:t>
      </w:r>
      <w:r>
        <w:rPr>
          <w:rFonts w:hint="eastAsia" w:ascii="仿宋" w:hAnsi="仿宋" w:eastAsia="仿宋" w:cs="仿宋"/>
          <w:color w:val="auto"/>
          <w:spacing w:val="6"/>
          <w:sz w:val="24"/>
          <w:szCs w:val="24"/>
          <w:highlight w:val="none"/>
        </w:rPr>
        <w:t>内未发出书面确认函的，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该口头指示或临时书面指示应被视为工程师的正式指示。</w:t>
      </w:r>
    </w:p>
    <w:p w14:paraId="5E33CA00">
      <w:pPr>
        <w:pStyle w:val="2"/>
        <w:keepNext w:val="0"/>
        <w:keepLines w:val="0"/>
        <w:pageBreakBefore w:val="0"/>
        <w:widowControl/>
        <w:kinsoku w:val="0"/>
        <w:wordWrap/>
        <w:overflowPunct/>
        <w:topLinePunct w:val="0"/>
        <w:autoSpaceDE w:val="0"/>
        <w:autoSpaceDN w:val="0"/>
        <w:bidi w:val="0"/>
        <w:adjustRightInd w:val="0"/>
        <w:snapToGrid w:val="0"/>
        <w:spacing w:before="145" w:line="239" w:lineRule="auto"/>
        <w:ind w:left="23" w:right="176" w:firstLine="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3.5.2 承包人收到工程师作出的指示后应遵照执行。如果任何此类</w:t>
      </w:r>
      <w:r>
        <w:rPr>
          <w:rFonts w:hint="eastAsia" w:ascii="仿宋" w:hAnsi="仿宋" w:eastAsia="仿宋" w:cs="仿宋"/>
          <w:color w:val="auto"/>
          <w:spacing w:val="6"/>
          <w:sz w:val="24"/>
          <w:szCs w:val="24"/>
          <w:highlight w:val="none"/>
        </w:rPr>
        <w:t>指示构成一项变更时，应</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按照第</w:t>
      </w:r>
      <w:r>
        <w:rPr>
          <w:rFonts w:hint="eastAsia" w:ascii="仿宋" w:hAnsi="仿宋" w:eastAsia="仿宋" w:cs="仿宋"/>
          <w:color w:val="auto"/>
          <w:spacing w:val="-7"/>
          <w:sz w:val="24"/>
          <w:szCs w:val="24"/>
          <w:highlight w:val="none"/>
        </w:rPr>
        <w:t xml:space="preserve"> </w:t>
      </w:r>
      <w:r>
        <w:rPr>
          <w:rFonts w:hint="eastAsia" w:ascii="仿宋" w:hAnsi="仿宋" w:eastAsia="仿宋" w:cs="仿宋"/>
          <w:color w:val="auto"/>
          <w:spacing w:val="5"/>
          <w:sz w:val="24"/>
          <w:szCs w:val="24"/>
          <w:highlight w:val="none"/>
        </w:rPr>
        <w:t>13</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5"/>
          <w:sz w:val="24"/>
          <w:szCs w:val="24"/>
          <w:highlight w:val="none"/>
        </w:rPr>
        <w:t>条[变更与调整]的约定办理。</w:t>
      </w:r>
    </w:p>
    <w:p w14:paraId="7B2F6715">
      <w:pPr>
        <w:pStyle w:val="2"/>
        <w:keepNext w:val="0"/>
        <w:keepLines w:val="0"/>
        <w:pageBreakBefore w:val="0"/>
        <w:widowControl/>
        <w:kinsoku w:val="0"/>
        <w:wordWrap/>
        <w:overflowPunct/>
        <w:topLinePunct w:val="0"/>
        <w:autoSpaceDE w:val="0"/>
        <w:autoSpaceDN w:val="0"/>
        <w:bidi w:val="0"/>
        <w:adjustRightInd w:val="0"/>
        <w:snapToGrid w:val="0"/>
        <w:spacing w:before="146" w:line="244" w:lineRule="auto"/>
        <w:ind w:left="23" w:right="176" w:firstLine="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3.5.3</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6"/>
          <w:sz w:val="24"/>
          <w:szCs w:val="24"/>
          <w:highlight w:val="none"/>
        </w:rPr>
        <w:t>由于工程师未能按合同约定发出指示、指示延误或指示错误而导致承包人费用增加和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（或）工期延误的，发包人应承担由此增加的费用和（或）工期延误，并向承包人支付合理</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2"/>
          <w:sz w:val="24"/>
          <w:szCs w:val="24"/>
          <w:highlight w:val="none"/>
        </w:rPr>
        <w:t>利润。</w:t>
      </w:r>
    </w:p>
    <w:p w14:paraId="0D7FF89B">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3.6</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4"/>
          <w:sz w:val="24"/>
          <w:szCs w:val="24"/>
          <w:highlight w:val="none"/>
        </w:rPr>
        <w:t>商定或确定</w:t>
      </w:r>
    </w:p>
    <w:p w14:paraId="7830A705">
      <w:pPr>
        <w:pStyle w:val="2"/>
        <w:keepNext w:val="0"/>
        <w:keepLines w:val="0"/>
        <w:pageBreakBefore w:val="0"/>
        <w:widowControl/>
        <w:kinsoku w:val="0"/>
        <w:wordWrap/>
        <w:overflowPunct/>
        <w:topLinePunct w:val="0"/>
        <w:autoSpaceDE w:val="0"/>
        <w:autoSpaceDN w:val="0"/>
        <w:bidi w:val="0"/>
        <w:adjustRightInd w:val="0"/>
        <w:snapToGrid w:val="0"/>
        <w:spacing w:before="143" w:line="244" w:lineRule="auto"/>
        <w:ind w:left="22" w:right="176" w:firstLine="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3.6.1 合同约定工程师应按照本款对任何事项进行商定或确定时，</w:t>
      </w:r>
      <w:r>
        <w:rPr>
          <w:rFonts w:hint="eastAsia" w:ascii="仿宋" w:hAnsi="仿宋" w:eastAsia="仿宋" w:cs="仿宋"/>
          <w:color w:val="auto"/>
          <w:spacing w:val="6"/>
          <w:sz w:val="24"/>
          <w:szCs w:val="24"/>
          <w:highlight w:val="none"/>
        </w:rPr>
        <w:t>工程师应及时与合同当事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人协商，尽量达成一致。工程师应将商定的结果以书面形式通知发包人和承包人，并由双方</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5"/>
          <w:sz w:val="24"/>
          <w:szCs w:val="24"/>
          <w:highlight w:val="none"/>
        </w:rPr>
        <w:t>签署确认。</w:t>
      </w:r>
    </w:p>
    <w:p w14:paraId="319D39C6">
      <w:pPr>
        <w:pStyle w:val="2"/>
        <w:keepNext w:val="0"/>
        <w:keepLines w:val="0"/>
        <w:pageBreakBefore w:val="0"/>
        <w:widowControl/>
        <w:kinsoku w:val="0"/>
        <w:wordWrap/>
        <w:overflowPunct/>
        <w:topLinePunct w:val="0"/>
        <w:autoSpaceDE w:val="0"/>
        <w:autoSpaceDN w:val="0"/>
        <w:bidi w:val="0"/>
        <w:adjustRightInd w:val="0"/>
        <w:snapToGrid w:val="0"/>
        <w:spacing w:before="141" w:line="247" w:lineRule="auto"/>
        <w:ind w:left="21" w:right="133" w:firstLine="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3.6.2 除专用合同条件另有约定外，商定的期限应为工程师收到任</w:t>
      </w:r>
      <w:r>
        <w:rPr>
          <w:rFonts w:hint="eastAsia" w:ascii="仿宋" w:hAnsi="仿宋" w:eastAsia="仿宋" w:cs="仿宋"/>
          <w:color w:val="auto"/>
          <w:spacing w:val="6"/>
          <w:sz w:val="24"/>
          <w:szCs w:val="24"/>
          <w:highlight w:val="none"/>
        </w:rPr>
        <w:t>何一方就商定事由发出的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通知后</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9"/>
          <w:sz w:val="24"/>
          <w:szCs w:val="24"/>
          <w:highlight w:val="none"/>
        </w:rPr>
        <w:t>42</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天内或工程师提出并经双方同意的其他期限。未能在该期限内达成一致的，由工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程师按照合同约定审慎做出公正的确定。确定的期限应为商定的期限届满后</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9"/>
          <w:sz w:val="24"/>
          <w:szCs w:val="24"/>
          <w:highlight w:val="none"/>
        </w:rPr>
        <w:t>42</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天内或工程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师提出并经双方同意的其他期限。工程师应将确定的结果以书面形式通知发包人和承包人，</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并附详细依据。</w:t>
      </w:r>
    </w:p>
    <w:p w14:paraId="5605F73F">
      <w:pPr>
        <w:pStyle w:val="2"/>
        <w:keepNext w:val="0"/>
        <w:keepLines w:val="0"/>
        <w:pageBreakBefore w:val="0"/>
        <w:widowControl/>
        <w:kinsoku w:val="0"/>
        <w:wordWrap/>
        <w:overflowPunct/>
        <w:topLinePunct w:val="0"/>
        <w:autoSpaceDE w:val="0"/>
        <w:autoSpaceDN w:val="0"/>
        <w:bidi w:val="0"/>
        <w:adjustRightInd w:val="0"/>
        <w:snapToGrid w:val="0"/>
        <w:spacing w:before="146" w:line="247" w:lineRule="auto"/>
        <w:ind w:left="21" w:right="133" w:firstLine="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3.6.3 任何一方对工程师的确定有异议的，应在收到确定的结果后</w:t>
      </w:r>
      <w:r>
        <w:rPr>
          <w:rFonts w:hint="eastAsia" w:ascii="仿宋" w:hAnsi="仿宋" w:eastAsia="仿宋" w:cs="仿宋"/>
          <w:color w:val="auto"/>
          <w:spacing w:val="-20"/>
          <w:sz w:val="24"/>
          <w:szCs w:val="24"/>
          <w:highlight w:val="none"/>
        </w:rPr>
        <w:t xml:space="preserve"> </w:t>
      </w:r>
      <w:r>
        <w:rPr>
          <w:rFonts w:hint="eastAsia" w:ascii="仿宋" w:hAnsi="仿宋" w:eastAsia="仿宋" w:cs="仿宋"/>
          <w:color w:val="auto"/>
          <w:spacing w:val="8"/>
          <w:sz w:val="24"/>
          <w:szCs w:val="24"/>
          <w:highlight w:val="none"/>
        </w:rPr>
        <w:t>28</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天内向另一方发出书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面异议通知并抄送工程师。除第</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9"/>
          <w:sz w:val="24"/>
          <w:szCs w:val="24"/>
          <w:highlight w:val="none"/>
        </w:rPr>
        <w:t>19.2</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9"/>
          <w:sz w:val="24"/>
          <w:szCs w:val="24"/>
          <w:highlight w:val="none"/>
        </w:rPr>
        <w:t>款[承包</w:t>
      </w:r>
      <w:r>
        <w:rPr>
          <w:rFonts w:hint="eastAsia" w:ascii="仿宋" w:hAnsi="仿宋" w:eastAsia="仿宋" w:cs="仿宋"/>
          <w:color w:val="auto"/>
          <w:spacing w:val="8"/>
          <w:sz w:val="24"/>
          <w:szCs w:val="24"/>
          <w:highlight w:val="none"/>
        </w:rPr>
        <w:t>人索赔的处理程序]另有约定外，工程师未能</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在确定的期限内发出确定的结果通知的，或者任何一方发出对确定的结果有异议的通知的，</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6"/>
          <w:sz w:val="24"/>
          <w:szCs w:val="24"/>
          <w:highlight w:val="none"/>
        </w:rPr>
        <w:t>则构成争议并应按照第</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20</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6"/>
          <w:sz w:val="24"/>
          <w:szCs w:val="24"/>
          <w:highlight w:val="none"/>
        </w:rPr>
        <w:t>条[争议解决]的约定处理。如未在</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6"/>
          <w:sz w:val="24"/>
          <w:szCs w:val="24"/>
          <w:highlight w:val="none"/>
        </w:rPr>
        <w:t>28</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6"/>
          <w:sz w:val="24"/>
          <w:szCs w:val="24"/>
          <w:highlight w:val="none"/>
        </w:rPr>
        <w:t>天</w:t>
      </w:r>
      <w:r>
        <w:rPr>
          <w:rFonts w:hint="eastAsia" w:ascii="仿宋" w:hAnsi="仿宋" w:eastAsia="仿宋" w:cs="仿宋"/>
          <w:color w:val="auto"/>
          <w:spacing w:val="5"/>
          <w:sz w:val="24"/>
          <w:szCs w:val="24"/>
          <w:highlight w:val="none"/>
        </w:rPr>
        <w:t>内发出上述通知的，工程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师的确定应被视为已被双方接受并对双方具有约束力，但专用合同条件另有约定的除外。</w:t>
      </w:r>
    </w:p>
    <w:p w14:paraId="3B8736FC">
      <w:pPr>
        <w:pStyle w:val="2"/>
        <w:keepNext w:val="0"/>
        <w:keepLines w:val="0"/>
        <w:pageBreakBefore w:val="0"/>
        <w:widowControl/>
        <w:kinsoku w:val="0"/>
        <w:wordWrap/>
        <w:overflowPunct/>
        <w:topLinePunct w:val="0"/>
        <w:autoSpaceDE w:val="0"/>
        <w:autoSpaceDN w:val="0"/>
        <w:bidi w:val="0"/>
        <w:adjustRightInd w:val="0"/>
        <w:snapToGrid w:val="0"/>
        <w:spacing w:before="143" w:line="244" w:lineRule="auto"/>
        <w:ind w:left="24" w:right="176" w:firstLine="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3.6.4 在该争议解决前，双方应暂按工程师的确定执行。按照第</w:t>
      </w:r>
      <w:r>
        <w:rPr>
          <w:rFonts w:hint="eastAsia" w:ascii="仿宋" w:hAnsi="仿宋" w:eastAsia="仿宋" w:cs="仿宋"/>
          <w:color w:val="auto"/>
          <w:spacing w:val="-25"/>
          <w:sz w:val="24"/>
          <w:szCs w:val="24"/>
          <w:highlight w:val="none"/>
        </w:rPr>
        <w:t xml:space="preserve"> </w:t>
      </w:r>
      <w:r>
        <w:rPr>
          <w:rFonts w:hint="eastAsia" w:ascii="仿宋" w:hAnsi="仿宋" w:eastAsia="仿宋" w:cs="仿宋"/>
          <w:color w:val="auto"/>
          <w:spacing w:val="8"/>
          <w:sz w:val="24"/>
          <w:szCs w:val="24"/>
          <w:highlight w:val="none"/>
        </w:rPr>
        <w:t>20</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8"/>
          <w:sz w:val="24"/>
          <w:szCs w:val="24"/>
          <w:highlight w:val="none"/>
        </w:rPr>
        <w:t>条[争议解决]的约定对</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工程师的确定作出修改的，按修改后的结果执行，由此导致承包人增加的费用和延误的工期</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6"/>
          <w:sz w:val="24"/>
          <w:szCs w:val="24"/>
          <w:highlight w:val="none"/>
        </w:rPr>
        <w:t>由责任方承担。</w:t>
      </w:r>
    </w:p>
    <w:p w14:paraId="4499C5C2">
      <w:pPr>
        <w:pStyle w:val="2"/>
        <w:keepNext w:val="0"/>
        <w:keepLines w:val="0"/>
        <w:pageBreakBefore w:val="0"/>
        <w:widowControl/>
        <w:kinsoku w:val="0"/>
        <w:wordWrap/>
        <w:overflowPunct/>
        <w:topLinePunct w:val="0"/>
        <w:autoSpaceDE w:val="0"/>
        <w:autoSpaceDN w:val="0"/>
        <w:bidi w:val="0"/>
        <w:adjustRightInd w:val="0"/>
        <w:snapToGrid w:val="0"/>
        <w:spacing w:before="147" w:line="227"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3.7</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2"/>
          <w:sz w:val="24"/>
          <w:szCs w:val="24"/>
          <w:highlight w:val="none"/>
        </w:rPr>
        <w:t>会议</w:t>
      </w:r>
    </w:p>
    <w:p w14:paraId="61607383">
      <w:pPr>
        <w:pStyle w:val="2"/>
        <w:keepNext w:val="0"/>
        <w:keepLines w:val="0"/>
        <w:pageBreakBefore w:val="0"/>
        <w:widowControl/>
        <w:kinsoku w:val="0"/>
        <w:wordWrap/>
        <w:overflowPunct/>
        <w:topLinePunct w:val="0"/>
        <w:autoSpaceDE w:val="0"/>
        <w:autoSpaceDN w:val="0"/>
        <w:bidi w:val="0"/>
        <w:adjustRightInd w:val="0"/>
        <w:snapToGrid w:val="0"/>
        <w:spacing w:before="147" w:line="243" w:lineRule="auto"/>
        <w:ind w:left="22" w:right="133" w:firstLine="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3.7.1 除专用合同条件另有约定外，任何一方可向另一方发出通知</w:t>
      </w:r>
      <w:r>
        <w:rPr>
          <w:rFonts w:hint="eastAsia" w:ascii="仿宋" w:hAnsi="仿宋" w:eastAsia="仿宋" w:cs="仿宋"/>
          <w:color w:val="auto"/>
          <w:spacing w:val="7"/>
          <w:sz w:val="24"/>
          <w:szCs w:val="24"/>
          <w:highlight w:val="none"/>
        </w:rPr>
        <w:t>，要求另一方出席会议，</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讨论工程的实施安排或与本合同履行有关的其他事项。发包人的其他承包人、承包人的分包</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人和其他第三方可应任何一方的请求出席任何此类会议。</w:t>
      </w:r>
    </w:p>
    <w:p w14:paraId="3C540964">
      <w:pPr>
        <w:pStyle w:val="2"/>
        <w:keepNext w:val="0"/>
        <w:keepLines w:val="0"/>
        <w:pageBreakBefore w:val="0"/>
        <w:widowControl/>
        <w:kinsoku w:val="0"/>
        <w:wordWrap/>
        <w:overflowPunct/>
        <w:topLinePunct w:val="0"/>
        <w:autoSpaceDE w:val="0"/>
        <w:autoSpaceDN w:val="0"/>
        <w:bidi w:val="0"/>
        <w:adjustRightInd w:val="0"/>
        <w:snapToGrid w:val="0"/>
        <w:spacing w:before="144"/>
        <w:ind w:left="23" w:firstLine="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 xml:space="preserve">3.7.2 除专用合同条件另有约定外，发包人应保存每次会议参加人签名的记录，并将会议纪  </w:t>
      </w:r>
      <w:r>
        <w:rPr>
          <w:rFonts w:hint="eastAsia" w:ascii="仿宋" w:hAnsi="仿宋" w:eastAsia="仿宋" w:cs="仿宋"/>
          <w:color w:val="auto"/>
          <w:spacing w:val="7"/>
          <w:sz w:val="24"/>
          <w:szCs w:val="24"/>
          <w:highlight w:val="none"/>
        </w:rPr>
        <w:t>要提供给出席会议的人员。任何根据此类会议以及会议</w:t>
      </w:r>
      <w:r>
        <w:rPr>
          <w:rFonts w:hint="eastAsia" w:ascii="仿宋" w:hAnsi="仿宋" w:eastAsia="仿宋" w:cs="仿宋"/>
          <w:color w:val="auto"/>
          <w:spacing w:val="6"/>
          <w:sz w:val="24"/>
          <w:szCs w:val="24"/>
          <w:highlight w:val="none"/>
        </w:rPr>
        <w:t>纪要采取的行动应符合本合同的约定。</w:t>
      </w:r>
    </w:p>
    <w:p w14:paraId="3DE2EEDB">
      <w:pPr>
        <w:pStyle w:val="2"/>
        <w:keepNext w:val="0"/>
        <w:keepLines w:val="0"/>
        <w:pageBreakBefore w:val="0"/>
        <w:widowControl/>
        <w:kinsoku w:val="0"/>
        <w:wordWrap/>
        <w:overflowPunct/>
        <w:topLinePunct w:val="0"/>
        <w:autoSpaceDE w:val="0"/>
        <w:autoSpaceDN w:val="0"/>
        <w:bidi w:val="0"/>
        <w:adjustRightInd w:val="0"/>
        <w:snapToGrid w:val="0"/>
        <w:spacing w:before="148" w:line="228" w:lineRule="auto"/>
        <w:ind w:left="349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第</w:t>
      </w:r>
      <w:r>
        <w:rPr>
          <w:rFonts w:hint="eastAsia" w:ascii="仿宋" w:hAnsi="仿宋" w:eastAsia="仿宋" w:cs="仿宋"/>
          <w:color w:val="auto"/>
          <w:spacing w:val="-41"/>
          <w:sz w:val="24"/>
          <w:szCs w:val="24"/>
          <w:highlight w:val="none"/>
        </w:rPr>
        <w:t xml:space="preserve"> </w:t>
      </w:r>
      <w:r>
        <w:rPr>
          <w:rFonts w:hint="eastAsia" w:ascii="仿宋" w:hAnsi="仿宋" w:eastAsia="仿宋" w:cs="仿宋"/>
          <w:color w:val="auto"/>
          <w:spacing w:val="3"/>
          <w:sz w:val="24"/>
          <w:szCs w:val="24"/>
          <w:highlight w:val="none"/>
        </w:rPr>
        <w:t>4</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3"/>
          <w:sz w:val="24"/>
          <w:szCs w:val="24"/>
          <w:highlight w:val="none"/>
        </w:rPr>
        <w:t>条</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3"/>
          <w:sz w:val="24"/>
          <w:szCs w:val="24"/>
          <w:highlight w:val="none"/>
        </w:rPr>
        <w:t>承包人</w:t>
      </w:r>
    </w:p>
    <w:p w14:paraId="2BCF574E">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4.1 承包人的一般义务</w:t>
      </w:r>
    </w:p>
    <w:p w14:paraId="47CF8BA5">
      <w:pPr>
        <w:pStyle w:val="2"/>
        <w:keepNext w:val="0"/>
        <w:keepLines w:val="0"/>
        <w:pageBreakBefore w:val="0"/>
        <w:widowControl/>
        <w:kinsoku w:val="0"/>
        <w:wordWrap/>
        <w:overflowPunct/>
        <w:topLinePunct w:val="0"/>
        <w:autoSpaceDE w:val="0"/>
        <w:autoSpaceDN w:val="0"/>
        <w:bidi w:val="0"/>
        <w:adjustRightInd w:val="0"/>
        <w:snapToGrid w:val="0"/>
        <w:spacing w:before="145"/>
        <w:ind w:left="27" w:right="176" w:firstLine="60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除专用合同条件另有约定外，承包人在履行合同过程</w:t>
      </w:r>
      <w:r>
        <w:rPr>
          <w:rFonts w:hint="eastAsia" w:ascii="仿宋" w:hAnsi="仿宋" w:eastAsia="仿宋" w:cs="仿宋"/>
          <w:color w:val="auto"/>
          <w:spacing w:val="7"/>
          <w:sz w:val="24"/>
          <w:szCs w:val="24"/>
          <w:highlight w:val="none"/>
        </w:rPr>
        <w:t>中应遵守法律和工程建设标准规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范，并履行以下义务：</w:t>
      </w:r>
    </w:p>
    <w:p w14:paraId="7DE5C7A6">
      <w:pPr>
        <w:pStyle w:val="2"/>
        <w:keepNext w:val="0"/>
        <w:keepLines w:val="0"/>
        <w:pageBreakBefore w:val="0"/>
        <w:widowControl/>
        <w:kinsoku w:val="0"/>
        <w:wordWrap/>
        <w:overflowPunct/>
        <w:topLinePunct w:val="0"/>
        <w:autoSpaceDE w:val="0"/>
        <w:autoSpaceDN w:val="0"/>
        <w:bidi w:val="0"/>
        <w:adjustRightInd w:val="0"/>
        <w:snapToGrid w:val="0"/>
        <w:spacing w:before="25"/>
        <w:ind w:left="22" w:right="176"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办理法律规定和合同约定由承包人办理的许可和批准，将办理结果书面报送发</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包人留存，并承担因承包人违反法律或合同约定给发包人造成的任何费用和损失；</w:t>
      </w:r>
    </w:p>
    <w:p w14:paraId="0CB6704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sectPr>
          <w:footerReference r:id="rId35" w:type="default"/>
          <w:pgSz w:w="11906" w:h="16839"/>
          <w:pgMar w:top="1428" w:right="1625" w:bottom="1171" w:left="1785" w:header="0" w:footer="992" w:gutter="0"/>
          <w:pgNumType w:fmt="decimal"/>
          <w:cols w:space="720" w:num="1"/>
        </w:sectPr>
      </w:pPr>
    </w:p>
    <w:p w14:paraId="592D586C">
      <w:pPr>
        <w:pStyle w:val="2"/>
        <w:keepNext w:val="0"/>
        <w:keepLines w:val="0"/>
        <w:pageBreakBefore w:val="0"/>
        <w:widowControl/>
        <w:kinsoku w:val="0"/>
        <w:wordWrap/>
        <w:overflowPunct/>
        <w:topLinePunct w:val="0"/>
        <w:autoSpaceDE w:val="0"/>
        <w:autoSpaceDN w:val="0"/>
        <w:bidi w:val="0"/>
        <w:adjustRightInd w:val="0"/>
        <w:snapToGrid w:val="0"/>
        <w:spacing w:before="41"/>
        <w:ind w:left="24" w:right="54" w:firstLine="60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（2）</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9"/>
          <w:sz w:val="24"/>
          <w:szCs w:val="24"/>
          <w:highlight w:val="none"/>
        </w:rPr>
        <w:t>按合同约定完成全部工作并在缺陷责任期和保修期</w:t>
      </w:r>
      <w:r>
        <w:rPr>
          <w:rFonts w:hint="eastAsia" w:ascii="仿宋" w:hAnsi="仿宋" w:eastAsia="仿宋" w:cs="仿宋"/>
          <w:color w:val="auto"/>
          <w:spacing w:val="8"/>
          <w:sz w:val="24"/>
          <w:szCs w:val="24"/>
          <w:highlight w:val="none"/>
        </w:rPr>
        <w:t>内承担缺陷保证责任和保修</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义务，对工作中的任何缺陷进行整改、完善和修补，使其满足合同约定的目的；</w:t>
      </w:r>
    </w:p>
    <w:p w14:paraId="2E26C77E">
      <w:pPr>
        <w:pStyle w:val="2"/>
        <w:keepNext w:val="0"/>
        <w:keepLines w:val="0"/>
        <w:pageBreakBefore w:val="0"/>
        <w:widowControl/>
        <w:kinsoku w:val="0"/>
        <w:wordWrap/>
        <w:overflowPunct/>
        <w:topLinePunct w:val="0"/>
        <w:autoSpaceDE w:val="0"/>
        <w:autoSpaceDN w:val="0"/>
        <w:bidi w:val="0"/>
        <w:adjustRightInd w:val="0"/>
        <w:snapToGrid w:val="0"/>
        <w:spacing w:before="22" w:line="244" w:lineRule="auto"/>
        <w:ind w:left="22" w:right="54"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提供合同约定的工程设备和承包人文件，以及为完成合同工作所需的劳务、材</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料、施工设备和其他物品，并按合同约定负责临时设施的设计、施工、运行、维护、管理和</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3"/>
          <w:sz w:val="24"/>
          <w:szCs w:val="24"/>
          <w:highlight w:val="none"/>
        </w:rPr>
        <w:t>拆除；</w:t>
      </w:r>
    </w:p>
    <w:p w14:paraId="3626FE3F">
      <w:pPr>
        <w:pStyle w:val="2"/>
        <w:keepNext w:val="0"/>
        <w:keepLines w:val="0"/>
        <w:pageBreakBefore w:val="0"/>
        <w:widowControl/>
        <w:kinsoku w:val="0"/>
        <w:wordWrap/>
        <w:overflowPunct/>
        <w:topLinePunct w:val="0"/>
        <w:autoSpaceDE w:val="0"/>
        <w:autoSpaceDN w:val="0"/>
        <w:bidi w:val="0"/>
        <w:adjustRightInd w:val="0"/>
        <w:snapToGrid w:val="0"/>
        <w:spacing w:before="25" w:line="244" w:lineRule="auto"/>
        <w:ind w:left="23" w:right="54"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 按合同约定的工作内容和进度要求，编制设计、施工的组织和实施计划，保证</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项目进度计划的实现，并对所有设计、施工作业和施工方法，以及全部工程的完备性和安全</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6"/>
          <w:sz w:val="24"/>
          <w:szCs w:val="24"/>
          <w:highlight w:val="none"/>
        </w:rPr>
        <w:t>可靠性负责；</w:t>
      </w:r>
    </w:p>
    <w:p w14:paraId="013ACEE8">
      <w:pPr>
        <w:pStyle w:val="2"/>
        <w:keepNext w:val="0"/>
        <w:keepLines w:val="0"/>
        <w:pageBreakBefore w:val="0"/>
        <w:widowControl/>
        <w:kinsoku w:val="0"/>
        <w:wordWrap/>
        <w:overflowPunct/>
        <w:topLinePunct w:val="0"/>
        <w:autoSpaceDE w:val="0"/>
        <w:autoSpaceDN w:val="0"/>
        <w:bidi w:val="0"/>
        <w:adjustRightInd w:val="0"/>
        <w:snapToGrid w:val="0"/>
        <w:spacing w:before="23" w:line="244" w:lineRule="auto"/>
        <w:ind w:left="24" w:right="54" w:firstLine="60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（5） 按法律规定和合同约定采取安全文明施工、职业健康和环境保护措施，办理员</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工工伤保险等相关保险，确保工程及人员、材料、设备和设施的安全，防止因工程实施造成</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7"/>
          <w:sz w:val="24"/>
          <w:szCs w:val="24"/>
          <w:highlight w:val="none"/>
        </w:rPr>
        <w:t>的人身伤害和财产损失；</w:t>
      </w:r>
    </w:p>
    <w:p w14:paraId="26A225C6">
      <w:pPr>
        <w:pStyle w:val="2"/>
        <w:keepNext w:val="0"/>
        <w:keepLines w:val="0"/>
        <w:pageBreakBefore w:val="0"/>
        <w:widowControl/>
        <w:kinsoku w:val="0"/>
        <w:wordWrap/>
        <w:overflowPunct/>
        <w:topLinePunct w:val="0"/>
        <w:autoSpaceDE w:val="0"/>
        <w:autoSpaceDN w:val="0"/>
        <w:bidi w:val="0"/>
        <w:adjustRightInd w:val="0"/>
        <w:snapToGrid w:val="0"/>
        <w:spacing w:before="25" w:line="239" w:lineRule="auto"/>
        <w:ind w:left="30" w:right="54" w:firstLine="6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（6） 将发包人按合同约定支付的各项价款专用于合同工程，且应及时支付其雇用人</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员（包括建筑工人）工资，并及时向分包人支付合同</w:t>
      </w:r>
      <w:r>
        <w:rPr>
          <w:rFonts w:hint="eastAsia" w:ascii="仿宋" w:hAnsi="仿宋" w:eastAsia="仿宋" w:cs="仿宋"/>
          <w:color w:val="auto"/>
          <w:spacing w:val="8"/>
          <w:sz w:val="24"/>
          <w:szCs w:val="24"/>
          <w:highlight w:val="none"/>
        </w:rPr>
        <w:t>价款；</w:t>
      </w:r>
    </w:p>
    <w:p w14:paraId="17E37F63">
      <w:pPr>
        <w:pStyle w:val="2"/>
        <w:keepNext w:val="0"/>
        <w:keepLines w:val="0"/>
        <w:pageBreakBefore w:val="0"/>
        <w:widowControl/>
        <w:kinsoku w:val="0"/>
        <w:wordWrap/>
        <w:overflowPunct/>
        <w:topLinePunct w:val="0"/>
        <w:autoSpaceDE w:val="0"/>
        <w:autoSpaceDN w:val="0"/>
        <w:bidi w:val="0"/>
        <w:adjustRightInd w:val="0"/>
        <w:snapToGrid w:val="0"/>
        <w:spacing w:before="26"/>
        <w:ind w:left="27" w:right="24" w:firstLine="60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（7） 在进行合同约定的各项工作时，不得侵害发包人与他人使用公用道路、水源、</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9"/>
          <w:sz w:val="24"/>
          <w:szCs w:val="24"/>
          <w:highlight w:val="none"/>
        </w:rPr>
        <w:t>市政管网等公共设施的权利，避免对邻近的公共设施产生干扰。</w:t>
      </w:r>
    </w:p>
    <w:p w14:paraId="49EEFD1F">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4.2</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4"/>
          <w:sz w:val="24"/>
          <w:szCs w:val="24"/>
          <w:highlight w:val="none"/>
        </w:rPr>
        <w:t>履约担保</w:t>
      </w:r>
    </w:p>
    <w:p w14:paraId="7A8AD24D">
      <w:pPr>
        <w:pStyle w:val="2"/>
        <w:keepNext w:val="0"/>
        <w:keepLines w:val="0"/>
        <w:pageBreakBefore w:val="0"/>
        <w:widowControl/>
        <w:kinsoku w:val="0"/>
        <w:wordWrap/>
        <w:overflowPunct/>
        <w:topLinePunct w:val="0"/>
        <w:autoSpaceDE w:val="0"/>
        <w:autoSpaceDN w:val="0"/>
        <w:bidi w:val="0"/>
        <w:adjustRightInd w:val="0"/>
        <w:snapToGrid w:val="0"/>
        <w:spacing w:before="144" w:line="245" w:lineRule="auto"/>
        <w:ind w:left="23" w:right="54" w:firstLine="6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发包人需要承包人提供履约担保的，由合同当事人在专用合同条件中约定</w:t>
      </w:r>
      <w:r>
        <w:rPr>
          <w:rFonts w:hint="eastAsia" w:ascii="仿宋" w:hAnsi="仿宋" w:eastAsia="仿宋" w:cs="仿宋"/>
          <w:color w:val="auto"/>
          <w:spacing w:val="7"/>
          <w:sz w:val="24"/>
          <w:szCs w:val="24"/>
          <w:highlight w:val="none"/>
        </w:rPr>
        <w:t>履约担保的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方式、金额及提交的时间等，并应符合第</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6"/>
          <w:sz w:val="24"/>
          <w:szCs w:val="24"/>
          <w:highlight w:val="none"/>
        </w:rPr>
        <w:t>2.5</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6"/>
          <w:sz w:val="24"/>
          <w:szCs w:val="24"/>
          <w:highlight w:val="none"/>
        </w:rPr>
        <w:t>款[支付合同价款]的规定。履约担保可以采用</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银行保函或担保公司担保等形式，承包人为联合体的，其履约担保由联合体各方或者联合体</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中牵头人的名义代表联合体提交，具体由合同当事人在专用合同条件中约定。</w:t>
      </w:r>
    </w:p>
    <w:p w14:paraId="1B352E39">
      <w:pPr>
        <w:pStyle w:val="2"/>
        <w:keepNext w:val="0"/>
        <w:keepLines w:val="0"/>
        <w:pageBreakBefore w:val="0"/>
        <w:widowControl/>
        <w:kinsoku w:val="0"/>
        <w:wordWrap/>
        <w:overflowPunct/>
        <w:topLinePunct w:val="0"/>
        <w:autoSpaceDE w:val="0"/>
        <w:autoSpaceDN w:val="0"/>
        <w:bidi w:val="0"/>
        <w:adjustRightInd w:val="0"/>
        <w:snapToGrid w:val="0"/>
        <w:spacing w:before="28" w:line="239" w:lineRule="auto"/>
        <w:ind w:left="27" w:right="54" w:firstLine="59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承包人应保证其履约担保在发包人竣工验收前一直有效，发包人应在竣工验收合格后</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7</w:t>
      </w:r>
      <w:r>
        <w:rPr>
          <w:rFonts w:hint="eastAsia" w:ascii="仿宋" w:hAnsi="仿宋" w:eastAsia="仿宋" w:cs="仿宋"/>
          <w:color w:val="auto"/>
          <w:spacing w:val="-30"/>
          <w:sz w:val="24"/>
          <w:szCs w:val="24"/>
          <w:highlight w:val="none"/>
        </w:rPr>
        <w:t xml:space="preserve"> </w:t>
      </w:r>
      <w:r>
        <w:rPr>
          <w:rFonts w:hint="eastAsia" w:ascii="仿宋" w:hAnsi="仿宋" w:eastAsia="仿宋" w:cs="仿宋"/>
          <w:color w:val="auto"/>
          <w:spacing w:val="8"/>
          <w:sz w:val="24"/>
          <w:szCs w:val="24"/>
          <w:highlight w:val="none"/>
        </w:rPr>
        <w:t>天内将履约担保款项退还给承包人或者解除履约担保。</w:t>
      </w:r>
    </w:p>
    <w:p w14:paraId="6427D097">
      <w:pPr>
        <w:pStyle w:val="2"/>
        <w:keepNext w:val="0"/>
        <w:keepLines w:val="0"/>
        <w:pageBreakBefore w:val="0"/>
        <w:widowControl/>
        <w:kinsoku w:val="0"/>
        <w:wordWrap/>
        <w:overflowPunct/>
        <w:topLinePunct w:val="0"/>
        <w:autoSpaceDE w:val="0"/>
        <w:autoSpaceDN w:val="0"/>
        <w:bidi w:val="0"/>
        <w:adjustRightInd w:val="0"/>
        <w:snapToGrid w:val="0"/>
        <w:spacing w:before="26" w:line="239" w:lineRule="auto"/>
        <w:ind w:left="22" w:right="54" w:firstLine="6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因承包人原因导致工期延长的，继续提供履</w:t>
      </w:r>
      <w:r>
        <w:rPr>
          <w:rFonts w:hint="eastAsia" w:ascii="仿宋" w:hAnsi="仿宋" w:eastAsia="仿宋" w:cs="仿宋"/>
          <w:color w:val="auto"/>
          <w:spacing w:val="7"/>
          <w:sz w:val="24"/>
          <w:szCs w:val="24"/>
          <w:highlight w:val="none"/>
        </w:rPr>
        <w:t>约担保所增加的费用由承包人承担；非因</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承包人原因导致工期延长的，继续提供履约担保所增加的费用由发包人承担。</w:t>
      </w:r>
    </w:p>
    <w:p w14:paraId="5CFE087C">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4.3 工程总承包项目经理</w:t>
      </w:r>
    </w:p>
    <w:p w14:paraId="2F913A0D">
      <w:pPr>
        <w:pStyle w:val="2"/>
        <w:keepNext w:val="0"/>
        <w:keepLines w:val="0"/>
        <w:pageBreakBefore w:val="0"/>
        <w:widowControl/>
        <w:kinsoku w:val="0"/>
        <w:wordWrap/>
        <w:overflowPunct/>
        <w:topLinePunct w:val="0"/>
        <w:autoSpaceDE w:val="0"/>
        <w:autoSpaceDN w:val="0"/>
        <w:bidi w:val="0"/>
        <w:adjustRightInd w:val="0"/>
        <w:snapToGrid w:val="0"/>
        <w:spacing w:before="145" w:line="248"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4.3.1 工程总承包项目经理应为合同当事人所确认的人选，并在专用合同条件</w:t>
      </w:r>
      <w:r>
        <w:rPr>
          <w:rFonts w:hint="eastAsia" w:ascii="仿宋" w:hAnsi="仿宋" w:eastAsia="仿宋" w:cs="仿宋"/>
          <w:color w:val="auto"/>
          <w:spacing w:val="6"/>
          <w:sz w:val="24"/>
          <w:szCs w:val="24"/>
          <w:highlight w:val="none"/>
        </w:rPr>
        <w:t>中明确工程总</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承包项目经理的姓名、注册执业资格或职称、联系方式及授权范围等事项。工程总承包项目</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经理应具备履行其职责所需的资格、经验和能力，并为承包人正式聘用的员工，承包人应向</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发包人提交工程总承包项目经理与承包人之间的劳动合同，以及承包人为工程总承包项目经</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4"/>
          <w:sz w:val="24"/>
          <w:szCs w:val="24"/>
          <w:highlight w:val="none"/>
        </w:rPr>
        <w:t>理缴纳社会保险的有效证明。承包人不提交上述文件的，工</w:t>
      </w:r>
      <w:r>
        <w:rPr>
          <w:rFonts w:hint="eastAsia" w:ascii="仿宋" w:hAnsi="仿宋" w:eastAsia="仿宋" w:cs="仿宋"/>
          <w:color w:val="auto"/>
          <w:spacing w:val="3"/>
          <w:sz w:val="24"/>
          <w:szCs w:val="24"/>
          <w:highlight w:val="none"/>
        </w:rPr>
        <w:t>程总承包项目经理无权履行职责，</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发包人有权要求更换工程总承包项目经理，由此增加的费用和（或）延误的工期由承包人承</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9"/>
          <w:sz w:val="24"/>
          <w:szCs w:val="24"/>
          <w:highlight w:val="none"/>
        </w:rPr>
        <w:t>担。同时，发包人有权根据专用合同条件约定要求承包人承担违约责任。</w:t>
      </w:r>
    </w:p>
    <w:p w14:paraId="3FF7E0DA">
      <w:pPr>
        <w:pStyle w:val="2"/>
        <w:keepNext w:val="0"/>
        <w:keepLines w:val="0"/>
        <w:pageBreakBefore w:val="0"/>
        <w:widowControl/>
        <w:kinsoku w:val="0"/>
        <w:wordWrap/>
        <w:overflowPunct/>
        <w:topLinePunct w:val="0"/>
        <w:autoSpaceDE w:val="0"/>
        <w:autoSpaceDN w:val="0"/>
        <w:bidi w:val="0"/>
        <w:adjustRightInd w:val="0"/>
        <w:snapToGrid w:val="0"/>
        <w:spacing w:before="150" w:line="248" w:lineRule="auto"/>
        <w:ind w:left="21" w:right="5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4.3.2 承包人应按合同协议书的约定指派工程总承包项目经理，并在约定的期</w:t>
      </w:r>
      <w:r>
        <w:rPr>
          <w:rFonts w:hint="eastAsia" w:ascii="仿宋" w:hAnsi="仿宋" w:eastAsia="仿宋" w:cs="仿宋"/>
          <w:color w:val="auto"/>
          <w:spacing w:val="6"/>
          <w:sz w:val="24"/>
          <w:szCs w:val="24"/>
          <w:highlight w:val="none"/>
        </w:rPr>
        <w:t>限内到职。工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3"/>
          <w:sz w:val="24"/>
          <w:szCs w:val="24"/>
          <w:highlight w:val="none"/>
        </w:rPr>
        <w:t>程总承包项目经理不得同时担任其他工程项目的工程总承包项</w:t>
      </w:r>
      <w:r>
        <w:rPr>
          <w:rFonts w:hint="eastAsia" w:ascii="仿宋" w:hAnsi="仿宋" w:eastAsia="仿宋" w:cs="仿宋"/>
          <w:color w:val="auto"/>
          <w:spacing w:val="12"/>
          <w:sz w:val="24"/>
          <w:szCs w:val="24"/>
          <w:highlight w:val="none"/>
        </w:rPr>
        <w:t>目经理或施工工程总承包项</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目经理（含施工总承包工程、专业承包工程）。工程在现场实施的全部时间内，工程总承包</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项目经理每月在施工现场时间不得少于专用合同条件约定的天数。工程总承包项目经理确需</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离开施工现场时，应事先通知工程师，并取得发包人的书面同意。工程总承包项目经理未经</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批准擅自离开施工现场的，承包人应按照专用合同条件的约定承担违约责任。工程总承包项</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目经理的通知中应当载明临时代行其职责的人员的注册执业资格、管理经验等资料，该人员</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应具备履行相应职责的资格、经验和能力。</w:t>
      </w:r>
    </w:p>
    <w:p w14:paraId="465AB769">
      <w:pPr>
        <w:pStyle w:val="2"/>
        <w:keepNext w:val="0"/>
        <w:keepLines w:val="0"/>
        <w:pageBreakBefore w:val="0"/>
        <w:widowControl/>
        <w:kinsoku w:val="0"/>
        <w:wordWrap/>
        <w:overflowPunct/>
        <w:topLinePunct w:val="0"/>
        <w:autoSpaceDE w:val="0"/>
        <w:autoSpaceDN w:val="0"/>
        <w:bidi w:val="0"/>
        <w:adjustRightInd w:val="0"/>
        <w:snapToGrid w:val="0"/>
        <w:spacing w:before="147" w:line="247" w:lineRule="auto"/>
        <w:ind w:left="20" w:right="5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4.3.3 承包人应根据本合同的约定授予工程总承包项目经理代表承包</w:t>
      </w:r>
      <w:r>
        <w:rPr>
          <w:rFonts w:hint="eastAsia" w:ascii="仿宋" w:hAnsi="仿宋" w:eastAsia="仿宋" w:cs="仿宋"/>
          <w:color w:val="auto"/>
          <w:spacing w:val="11"/>
          <w:sz w:val="24"/>
          <w:szCs w:val="24"/>
          <w:highlight w:val="none"/>
        </w:rPr>
        <w:t>人履行合同所需的权</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利，工程总承包项目经理权限以专用合同条件中约定的权限为准。经承包人授权后，工程总</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7"/>
          <w:sz w:val="24"/>
          <w:szCs w:val="24"/>
          <w:highlight w:val="none"/>
        </w:rPr>
        <w:t>承包项目经理应按合同约定以及工程师按第</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6"/>
          <w:sz w:val="24"/>
          <w:szCs w:val="24"/>
          <w:highlight w:val="none"/>
        </w:rPr>
        <w:t>3.5</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6"/>
          <w:sz w:val="24"/>
          <w:szCs w:val="24"/>
          <w:highlight w:val="none"/>
        </w:rPr>
        <w:t>款[指示]作出的指示，代表承包人负责组织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合同的实施。在紧急情况下，且无法与发包人和工程师取得联系时，工程总承包项目经理有</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9"/>
          <w:sz w:val="24"/>
          <w:szCs w:val="24"/>
          <w:highlight w:val="none"/>
        </w:rPr>
        <w:t>权采取必要的措施保证人身、工程和财产的安全，但须在事后</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9"/>
          <w:sz w:val="24"/>
          <w:szCs w:val="24"/>
          <w:highlight w:val="none"/>
        </w:rPr>
        <w:t>48</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9"/>
          <w:sz w:val="24"/>
          <w:szCs w:val="24"/>
          <w:highlight w:val="none"/>
        </w:rPr>
        <w:t>小时内向工程师送交书面</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报告。</w:t>
      </w:r>
    </w:p>
    <w:p w14:paraId="06128979">
      <w:pPr>
        <w:pStyle w:val="2"/>
        <w:keepNext w:val="0"/>
        <w:keepLines w:val="0"/>
        <w:pageBreakBefore w:val="0"/>
        <w:widowControl/>
        <w:kinsoku w:val="0"/>
        <w:wordWrap/>
        <w:overflowPunct/>
        <w:topLinePunct w:val="0"/>
        <w:autoSpaceDE w:val="0"/>
        <w:autoSpaceDN w:val="0"/>
        <w:bidi w:val="0"/>
        <w:adjustRightInd w:val="0"/>
        <w:snapToGrid w:val="0"/>
        <w:spacing w:before="147" w:line="243" w:lineRule="auto"/>
        <w:ind w:left="23" w:hanging="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4.3.4 承包人需要更换工程总承包项目经理的，应提前</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5"/>
          <w:sz w:val="24"/>
          <w:szCs w:val="24"/>
          <w:highlight w:val="none"/>
        </w:rPr>
        <w:t>14</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5"/>
          <w:sz w:val="24"/>
          <w:szCs w:val="24"/>
          <w:highlight w:val="none"/>
        </w:rPr>
        <w:t>天书</w:t>
      </w:r>
      <w:r>
        <w:rPr>
          <w:rFonts w:hint="eastAsia" w:ascii="仿宋" w:hAnsi="仿宋" w:eastAsia="仿宋" w:cs="仿宋"/>
          <w:color w:val="auto"/>
          <w:spacing w:val="4"/>
          <w:sz w:val="24"/>
          <w:szCs w:val="24"/>
          <w:highlight w:val="none"/>
        </w:rPr>
        <w:t>面通知发包人并抄送工程师，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征得发包人书面同意。通知中应当载明继任工程总承包项目经理的注册执业资格、管理经验</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7"/>
          <w:sz w:val="24"/>
          <w:szCs w:val="24"/>
          <w:highlight w:val="none"/>
        </w:rPr>
        <w:t>等资料，继任工程总承包项目经理继续履行本合同约定的职责。未经发包人书面同意，承包</w:t>
      </w:r>
    </w:p>
    <w:p w14:paraId="468F3B82">
      <w:pPr>
        <w:pStyle w:val="2"/>
        <w:keepNext w:val="0"/>
        <w:keepLines w:val="0"/>
        <w:pageBreakBefore w:val="0"/>
        <w:widowControl/>
        <w:kinsoku w:val="0"/>
        <w:wordWrap/>
        <w:overflowPunct/>
        <w:topLinePunct w:val="0"/>
        <w:autoSpaceDE w:val="0"/>
        <w:autoSpaceDN w:val="0"/>
        <w:bidi w:val="0"/>
        <w:adjustRightInd w:val="0"/>
        <w:snapToGrid w:val="0"/>
        <w:spacing w:before="40" w:line="247" w:lineRule="auto"/>
        <w:ind w:right="114"/>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人不得擅自更换工程总承包项目经理，在发包人未予以书面回复期间内，工程总承包项目经</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7"/>
          <w:sz w:val="24"/>
          <w:szCs w:val="24"/>
          <w:highlight w:val="none"/>
        </w:rPr>
        <w:t>理将继续履行其职责。工程总承包项目经理突发丧失履行职务能力的，承包人应当及时委派</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7"/>
          <w:sz w:val="24"/>
          <w:szCs w:val="24"/>
          <w:highlight w:val="none"/>
        </w:rPr>
        <w:t>一位具有相应资格能力的人员担任临时工程总承包项目经理，履行工程总承包项目经理的职</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7"/>
          <w:sz w:val="24"/>
          <w:szCs w:val="24"/>
          <w:highlight w:val="none"/>
        </w:rPr>
        <w:t>责，临时工程总承包项目经理将履行职责直至发包人同意新的工程总承包项目经理的任命之</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9"/>
          <w:sz w:val="24"/>
          <w:szCs w:val="24"/>
          <w:highlight w:val="none"/>
        </w:rPr>
        <w:t>日止。承包人擅自更换工程总承包项目经理的，应按照专用合同条件的</w:t>
      </w:r>
      <w:r>
        <w:rPr>
          <w:rFonts w:hint="eastAsia" w:ascii="仿宋" w:hAnsi="仿宋" w:eastAsia="仿宋" w:cs="仿宋"/>
          <w:color w:val="auto"/>
          <w:spacing w:val="8"/>
          <w:sz w:val="24"/>
          <w:szCs w:val="24"/>
          <w:highlight w:val="none"/>
        </w:rPr>
        <w:t>约定承担违约责任。</w:t>
      </w:r>
    </w:p>
    <w:p w14:paraId="3DCFBA26">
      <w:pPr>
        <w:pStyle w:val="2"/>
        <w:keepNext w:val="0"/>
        <w:keepLines w:val="0"/>
        <w:pageBreakBefore w:val="0"/>
        <w:widowControl/>
        <w:kinsoku w:val="0"/>
        <w:wordWrap/>
        <w:overflowPunct/>
        <w:topLinePunct w:val="0"/>
        <w:autoSpaceDE w:val="0"/>
        <w:autoSpaceDN w:val="0"/>
        <w:bidi w:val="0"/>
        <w:adjustRightInd w:val="0"/>
        <w:snapToGrid w:val="0"/>
        <w:spacing w:before="144" w:line="248" w:lineRule="auto"/>
        <w:ind w:left="20" w:right="1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4.3.5 发包人有权书面通知承包人要求更换</w:t>
      </w:r>
      <w:r>
        <w:rPr>
          <w:rFonts w:hint="eastAsia" w:ascii="仿宋" w:hAnsi="仿宋" w:eastAsia="仿宋" w:cs="仿宋"/>
          <w:color w:val="auto"/>
          <w:spacing w:val="6"/>
          <w:sz w:val="24"/>
          <w:szCs w:val="24"/>
          <w:highlight w:val="none"/>
        </w:rPr>
        <w:t xml:space="preserve">其认为不称职的工程总承包项目经理，通知中应 </w:t>
      </w:r>
      <w:r>
        <w:rPr>
          <w:rFonts w:hint="eastAsia" w:ascii="仿宋" w:hAnsi="仿宋" w:eastAsia="仿宋" w:cs="仿宋"/>
          <w:color w:val="auto"/>
          <w:spacing w:val="5"/>
          <w:sz w:val="24"/>
          <w:szCs w:val="24"/>
          <w:highlight w:val="none"/>
        </w:rPr>
        <w:t>当载明要求更换的理由。承包人应在接到更换通知后</w:t>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5"/>
          <w:sz w:val="24"/>
          <w:szCs w:val="24"/>
          <w:highlight w:val="none"/>
        </w:rPr>
        <w:t>14</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5"/>
          <w:sz w:val="24"/>
          <w:szCs w:val="24"/>
          <w:highlight w:val="none"/>
        </w:rPr>
        <w:t>天内向发包人提出书面的改进报告。</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如承包人没有提出改进报告，应在收到更换通知后</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天内更换项</w:t>
      </w:r>
      <w:r>
        <w:rPr>
          <w:rFonts w:hint="eastAsia" w:ascii="仿宋" w:hAnsi="仿宋" w:eastAsia="仿宋" w:cs="仿宋"/>
          <w:color w:val="auto"/>
          <w:spacing w:val="8"/>
          <w:sz w:val="24"/>
          <w:szCs w:val="24"/>
          <w:highlight w:val="none"/>
        </w:rPr>
        <w:t xml:space="preserve">目经理。发包人收到改进 </w:t>
      </w:r>
      <w:r>
        <w:rPr>
          <w:rFonts w:hint="eastAsia" w:ascii="仿宋" w:hAnsi="仿宋" w:eastAsia="仿宋" w:cs="仿宋"/>
          <w:color w:val="auto"/>
          <w:spacing w:val="9"/>
          <w:sz w:val="24"/>
          <w:szCs w:val="24"/>
          <w:highlight w:val="none"/>
        </w:rPr>
        <w:t>报告后仍要求更换的，承包人应在接到第二次更换通知的</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天内</w:t>
      </w:r>
      <w:r>
        <w:rPr>
          <w:rFonts w:hint="eastAsia" w:ascii="仿宋" w:hAnsi="仿宋" w:eastAsia="仿宋" w:cs="仿宋"/>
          <w:color w:val="auto"/>
          <w:spacing w:val="8"/>
          <w:sz w:val="24"/>
          <w:szCs w:val="24"/>
          <w:highlight w:val="none"/>
        </w:rPr>
        <w:t xml:space="preserve">进行更换，并将新任命的 </w:t>
      </w:r>
      <w:r>
        <w:rPr>
          <w:rFonts w:hint="eastAsia" w:ascii="仿宋" w:hAnsi="仿宋" w:eastAsia="仿宋" w:cs="仿宋"/>
          <w:color w:val="auto"/>
          <w:spacing w:val="7"/>
          <w:sz w:val="24"/>
          <w:szCs w:val="24"/>
          <w:highlight w:val="none"/>
        </w:rPr>
        <w:t xml:space="preserve">工程总承包项目经理的注册执业资格、管理经验等资料书面通知发包人。继任工程总承包项 目经理继续履行本合同约定的职责。承包人无正当理由拒绝更换工程总承包项目经理的，应 </w:t>
      </w:r>
      <w:r>
        <w:rPr>
          <w:rFonts w:hint="eastAsia" w:ascii="仿宋" w:hAnsi="仿宋" w:eastAsia="仿宋" w:cs="仿宋"/>
          <w:color w:val="auto"/>
          <w:spacing w:val="9"/>
          <w:sz w:val="24"/>
          <w:szCs w:val="24"/>
          <w:highlight w:val="none"/>
        </w:rPr>
        <w:t>按照专用合同条件的约定承担违约责任。</w:t>
      </w:r>
    </w:p>
    <w:p w14:paraId="00D162BC">
      <w:pPr>
        <w:pStyle w:val="2"/>
        <w:keepNext w:val="0"/>
        <w:keepLines w:val="0"/>
        <w:pageBreakBefore w:val="0"/>
        <w:widowControl/>
        <w:kinsoku w:val="0"/>
        <w:wordWrap/>
        <w:overflowPunct/>
        <w:topLinePunct w:val="0"/>
        <w:autoSpaceDE w:val="0"/>
        <w:autoSpaceDN w:val="0"/>
        <w:bidi w:val="0"/>
        <w:adjustRightInd w:val="0"/>
        <w:snapToGrid w:val="0"/>
        <w:spacing w:before="147" w:line="243" w:lineRule="auto"/>
        <w:ind w:left="21" w:right="17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4.3.6 工程总承包项目经理因特殊情况授权其下属人员履行其某项工作职责的</w:t>
      </w:r>
      <w:r>
        <w:rPr>
          <w:rFonts w:hint="eastAsia" w:ascii="仿宋" w:hAnsi="仿宋" w:eastAsia="仿宋" w:cs="仿宋"/>
          <w:color w:val="auto"/>
          <w:spacing w:val="6"/>
          <w:sz w:val="24"/>
          <w:szCs w:val="24"/>
          <w:highlight w:val="none"/>
        </w:rPr>
        <w:t>，该下属人员</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应具备履行相应职责的能力，并应事先将上述人员的姓名、注册执业资格、管理经验等信息</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和授权范围书面通知发包人并抄送工程师，征得发包人书面同意。</w:t>
      </w:r>
    </w:p>
    <w:p w14:paraId="2E0DCBB5">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4.4 承包人人员</w:t>
      </w:r>
    </w:p>
    <w:p w14:paraId="3265B615">
      <w:pPr>
        <w:pStyle w:val="2"/>
        <w:keepNext w:val="0"/>
        <w:keepLines w:val="0"/>
        <w:pageBreakBefore w:val="0"/>
        <w:widowControl/>
        <w:kinsoku w:val="0"/>
        <w:wordWrap/>
        <w:overflowPunct/>
        <w:topLinePunct w:val="0"/>
        <w:autoSpaceDE w:val="0"/>
        <w:autoSpaceDN w:val="0"/>
        <w:bidi w:val="0"/>
        <w:adjustRightInd w:val="0"/>
        <w:snapToGrid w:val="0"/>
        <w:spacing w:before="144" w:line="229"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4.4.1 人员安排</w:t>
      </w:r>
    </w:p>
    <w:p w14:paraId="22B60ABA">
      <w:pPr>
        <w:pStyle w:val="2"/>
        <w:keepNext w:val="0"/>
        <w:keepLines w:val="0"/>
        <w:pageBreakBefore w:val="0"/>
        <w:widowControl/>
        <w:kinsoku w:val="0"/>
        <w:wordWrap/>
        <w:overflowPunct/>
        <w:topLinePunct w:val="0"/>
        <w:autoSpaceDE w:val="0"/>
        <w:autoSpaceDN w:val="0"/>
        <w:bidi w:val="0"/>
        <w:adjustRightInd w:val="0"/>
        <w:snapToGrid w:val="0"/>
        <w:spacing w:before="142" w:line="247" w:lineRule="auto"/>
        <w:ind w:left="21" w:right="173"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承包人人员的资质、数量、配置和管理应能满足工程实施的需要。除专用合同条件另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有约定外，承包人应在接到开始工作通知之日起</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9"/>
          <w:sz w:val="24"/>
          <w:szCs w:val="24"/>
          <w:highlight w:val="none"/>
        </w:rPr>
        <w:t>14</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天内，向工程师提交承</w:t>
      </w:r>
      <w:r>
        <w:rPr>
          <w:rFonts w:hint="eastAsia" w:ascii="仿宋" w:hAnsi="仿宋" w:eastAsia="仿宋" w:cs="仿宋"/>
          <w:color w:val="auto"/>
          <w:spacing w:val="8"/>
          <w:sz w:val="24"/>
          <w:szCs w:val="24"/>
          <w:highlight w:val="none"/>
        </w:rPr>
        <w:t>包人的项目管理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机构以及人员安排的报告，其内容应包括管理机构的设置、各主要岗位的关键人员名单及注</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册执业资格等证明其具备担任关键人员能力的相关文件，以及设计人员和各工种技术负责人</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6"/>
          <w:sz w:val="24"/>
          <w:szCs w:val="24"/>
          <w:highlight w:val="none"/>
        </w:rPr>
        <w:t>的安排状况。</w:t>
      </w:r>
    </w:p>
    <w:p w14:paraId="575DE74E">
      <w:pPr>
        <w:pStyle w:val="2"/>
        <w:keepNext w:val="0"/>
        <w:keepLines w:val="0"/>
        <w:pageBreakBefore w:val="0"/>
        <w:widowControl/>
        <w:kinsoku w:val="0"/>
        <w:wordWrap/>
        <w:overflowPunct/>
        <w:topLinePunct w:val="0"/>
        <w:autoSpaceDE w:val="0"/>
        <w:autoSpaceDN w:val="0"/>
        <w:bidi w:val="0"/>
        <w:adjustRightInd w:val="0"/>
        <w:snapToGrid w:val="0"/>
        <w:spacing w:before="26" w:line="244" w:lineRule="auto"/>
        <w:ind w:left="24" w:right="173"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4"/>
          <w:sz w:val="24"/>
          <w:szCs w:val="24"/>
          <w:highlight w:val="none"/>
        </w:rPr>
        <w:t>关键人员是发包人及承包人一致认为对工程建设起重</w:t>
      </w:r>
      <w:r>
        <w:rPr>
          <w:rFonts w:hint="eastAsia" w:ascii="仿宋" w:hAnsi="仿宋" w:eastAsia="仿宋" w:cs="仿宋"/>
          <w:color w:val="auto"/>
          <w:spacing w:val="13"/>
          <w:sz w:val="24"/>
          <w:szCs w:val="24"/>
          <w:highlight w:val="none"/>
        </w:rPr>
        <w:t>要作用的承包人主要管理人员</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或技术人员。关键人员的具体范围由发包人及承包人在附件</w:t>
      </w:r>
      <w:r>
        <w:rPr>
          <w:rFonts w:hint="eastAsia" w:ascii="仿宋" w:hAnsi="仿宋" w:eastAsia="仿宋" w:cs="仿宋"/>
          <w:color w:val="auto"/>
          <w:spacing w:val="-30"/>
          <w:sz w:val="24"/>
          <w:szCs w:val="24"/>
          <w:highlight w:val="none"/>
        </w:rPr>
        <w:t xml:space="preserve"> </w:t>
      </w:r>
      <w:r>
        <w:rPr>
          <w:rFonts w:hint="eastAsia" w:ascii="仿宋" w:hAnsi="仿宋" w:eastAsia="仿宋" w:cs="仿宋"/>
          <w:color w:val="auto"/>
          <w:spacing w:val="8"/>
          <w:sz w:val="24"/>
          <w:szCs w:val="24"/>
          <w:highlight w:val="none"/>
        </w:rPr>
        <w:t>5[承包人主要管理</w:t>
      </w:r>
      <w:r>
        <w:rPr>
          <w:rFonts w:hint="eastAsia" w:ascii="仿宋" w:hAnsi="仿宋" w:eastAsia="仿宋" w:cs="仿宋"/>
          <w:color w:val="auto"/>
          <w:spacing w:val="7"/>
          <w:sz w:val="24"/>
          <w:szCs w:val="24"/>
          <w:highlight w:val="none"/>
        </w:rPr>
        <w:t>人员表]中另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行约定。</w:t>
      </w:r>
    </w:p>
    <w:p w14:paraId="44267DD4">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4.4.2 关键人员更换</w:t>
      </w:r>
    </w:p>
    <w:p w14:paraId="32A16FC6">
      <w:pPr>
        <w:pStyle w:val="2"/>
        <w:keepNext w:val="0"/>
        <w:keepLines w:val="0"/>
        <w:pageBreakBefore w:val="0"/>
        <w:widowControl/>
        <w:kinsoku w:val="0"/>
        <w:wordWrap/>
        <w:overflowPunct/>
        <w:topLinePunct w:val="0"/>
        <w:autoSpaceDE w:val="0"/>
        <w:autoSpaceDN w:val="0"/>
        <w:bidi w:val="0"/>
        <w:adjustRightInd w:val="0"/>
        <w:snapToGrid w:val="0"/>
        <w:spacing w:before="142" w:line="248" w:lineRule="auto"/>
        <w:ind w:left="21" w:right="172"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承包人派驻到施工现场的关键人员应相对稳定。承包人更换关键人员时，应提前</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11"/>
          <w:sz w:val="24"/>
          <w:szCs w:val="24"/>
          <w:highlight w:val="none"/>
        </w:rPr>
        <w:t>14</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天将继任关键人员信息及相关证明文件提交给工程师，并由工程师报发包人征求同意。在发</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包人未予以书面回复期间内，关键人员将继续履行其职务。关键人员突发丧失履行职务能力</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的，承包人应当及时委派一位具有相应资格能力的人员临时继任该关键人员职位，履行该关</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键人员职责，临时继任关键人员将履行职责直至发包人同意新的关键人员任命之日止。承包</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人擅自更换关键人员，应按照专用合同条件约定承担违约责任。</w:t>
      </w:r>
    </w:p>
    <w:p w14:paraId="196E52EA">
      <w:pPr>
        <w:pStyle w:val="2"/>
        <w:keepNext w:val="0"/>
        <w:keepLines w:val="0"/>
        <w:pageBreakBefore w:val="0"/>
        <w:widowControl/>
        <w:kinsoku w:val="0"/>
        <w:wordWrap/>
        <w:overflowPunct/>
        <w:topLinePunct w:val="0"/>
        <w:autoSpaceDE w:val="0"/>
        <w:autoSpaceDN w:val="0"/>
        <w:bidi w:val="0"/>
        <w:adjustRightInd w:val="0"/>
        <w:snapToGrid w:val="0"/>
        <w:spacing w:before="28" w:line="245" w:lineRule="auto"/>
        <w:ind w:left="22" w:right="131" w:firstLine="60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工程师对于承包人关键人员的资格或能力有异议的，承包人应提供资料证明</w:t>
      </w:r>
      <w:r>
        <w:rPr>
          <w:rFonts w:hint="eastAsia" w:ascii="仿宋" w:hAnsi="仿宋" w:eastAsia="仿宋" w:cs="仿宋"/>
          <w:color w:val="auto"/>
          <w:spacing w:val="7"/>
          <w:sz w:val="24"/>
          <w:szCs w:val="24"/>
          <w:highlight w:val="none"/>
        </w:rPr>
        <w:t>被质疑人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员有能力完成其岗位工作或不存在工程师所质疑的情形。工程师指示撤换不能按照合同约定</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履行职责及义务的主要施工管理人员的，承包人应当撤换。承包人无正当理由拒绝撤换的，</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8"/>
          <w:sz w:val="24"/>
          <w:szCs w:val="24"/>
          <w:highlight w:val="none"/>
        </w:rPr>
        <w:t>应按照专用合同条件的约定承担违约责任。</w:t>
      </w:r>
    </w:p>
    <w:p w14:paraId="117F5D37">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4.4.3 现场管理关键人员在岗要求</w:t>
      </w:r>
    </w:p>
    <w:p w14:paraId="45647DBB">
      <w:pPr>
        <w:pStyle w:val="2"/>
        <w:keepNext w:val="0"/>
        <w:keepLines w:val="0"/>
        <w:pageBreakBefore w:val="0"/>
        <w:widowControl/>
        <w:kinsoku w:val="0"/>
        <w:wordWrap/>
        <w:overflowPunct/>
        <w:topLinePunct w:val="0"/>
        <w:autoSpaceDE w:val="0"/>
        <w:autoSpaceDN w:val="0"/>
        <w:bidi w:val="0"/>
        <w:adjustRightInd w:val="0"/>
        <w:snapToGrid w:val="0"/>
        <w:spacing w:before="149" w:line="247" w:lineRule="auto"/>
        <w:ind w:left="22" w:firstLine="61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 xml:space="preserve">除专用合同条件另有约定外，承包人的现场管理关键人员离开施工现场每月累计不超  </w:t>
      </w:r>
      <w:r>
        <w:rPr>
          <w:rFonts w:hint="eastAsia" w:ascii="仿宋" w:hAnsi="仿宋" w:eastAsia="仿宋" w:cs="仿宋"/>
          <w:color w:val="auto"/>
          <w:spacing w:val="5"/>
          <w:sz w:val="24"/>
          <w:szCs w:val="24"/>
          <w:highlight w:val="none"/>
        </w:rPr>
        <w:t>过</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5"/>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5"/>
          <w:sz w:val="24"/>
          <w:szCs w:val="24"/>
          <w:highlight w:val="none"/>
        </w:rPr>
        <w:t>天的，应报工程师同意；离开施工现场每月累计超过</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5"/>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5"/>
          <w:sz w:val="24"/>
          <w:szCs w:val="24"/>
          <w:highlight w:val="none"/>
        </w:rPr>
        <w:t xml:space="preserve">天的，应书面通知发包人并抄送  </w:t>
      </w:r>
      <w:r>
        <w:rPr>
          <w:rFonts w:hint="eastAsia" w:ascii="仿宋" w:hAnsi="仿宋" w:eastAsia="仿宋" w:cs="仿宋"/>
          <w:color w:val="auto"/>
          <w:spacing w:val="7"/>
          <w:sz w:val="24"/>
          <w:szCs w:val="24"/>
          <w:highlight w:val="none"/>
        </w:rPr>
        <w:t>工程师，征得发包人书面同意。现场管理关键人员因故离开施工现场的，可授权有</w:t>
      </w:r>
      <w:r>
        <w:rPr>
          <w:rFonts w:hint="eastAsia" w:ascii="仿宋" w:hAnsi="仿宋" w:eastAsia="仿宋" w:cs="仿宋"/>
          <w:color w:val="auto"/>
          <w:spacing w:val="6"/>
          <w:sz w:val="24"/>
          <w:szCs w:val="24"/>
          <w:highlight w:val="none"/>
        </w:rPr>
        <w:t xml:space="preserve">经验的人  </w:t>
      </w:r>
      <w:r>
        <w:rPr>
          <w:rFonts w:hint="eastAsia" w:ascii="仿宋" w:hAnsi="仿宋" w:eastAsia="仿宋" w:cs="仿宋"/>
          <w:color w:val="auto"/>
          <w:spacing w:val="7"/>
          <w:sz w:val="24"/>
          <w:szCs w:val="24"/>
          <w:highlight w:val="none"/>
        </w:rPr>
        <w:t>员临时代行其职责，但承包人应将被授权人员信息</w:t>
      </w:r>
      <w:r>
        <w:rPr>
          <w:rFonts w:hint="eastAsia" w:ascii="仿宋" w:hAnsi="仿宋" w:eastAsia="仿宋" w:cs="仿宋"/>
          <w:color w:val="auto"/>
          <w:spacing w:val="6"/>
          <w:sz w:val="24"/>
          <w:szCs w:val="24"/>
          <w:highlight w:val="none"/>
        </w:rPr>
        <w:t>及授权范围书面通知发包人并取得其同意。</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现场管理关键人员未经工程师或发包人同意擅自离开施工现场的，应按照专用合同</w:t>
      </w:r>
      <w:r>
        <w:rPr>
          <w:rFonts w:hint="eastAsia" w:ascii="仿宋" w:hAnsi="仿宋" w:eastAsia="仿宋" w:cs="仿宋"/>
          <w:color w:val="auto"/>
          <w:spacing w:val="6"/>
          <w:sz w:val="24"/>
          <w:szCs w:val="24"/>
          <w:highlight w:val="none"/>
        </w:rPr>
        <w:t xml:space="preserve">条件约定  </w:t>
      </w:r>
      <w:r>
        <w:rPr>
          <w:rFonts w:hint="eastAsia" w:ascii="仿宋" w:hAnsi="仿宋" w:eastAsia="仿宋" w:cs="仿宋"/>
          <w:color w:val="auto"/>
          <w:spacing w:val="7"/>
          <w:sz w:val="24"/>
          <w:szCs w:val="24"/>
          <w:highlight w:val="none"/>
        </w:rPr>
        <w:t>承担违约责任。</w:t>
      </w:r>
    </w:p>
    <w:p w14:paraId="09F4AF47">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4.5</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3"/>
          <w:sz w:val="24"/>
          <w:szCs w:val="24"/>
          <w:highlight w:val="none"/>
        </w:rPr>
        <w:t>分包</w:t>
      </w:r>
    </w:p>
    <w:p w14:paraId="65E1EBB3">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4.5.1 一般约定</w:t>
      </w:r>
    </w:p>
    <w:p w14:paraId="6E69C524">
      <w:pPr>
        <w:pStyle w:val="2"/>
        <w:keepNext w:val="0"/>
        <w:keepLines w:val="0"/>
        <w:pageBreakBefore w:val="0"/>
        <w:widowControl/>
        <w:kinsoku w:val="0"/>
        <w:wordWrap/>
        <w:overflowPunct/>
        <w:topLinePunct w:val="0"/>
        <w:autoSpaceDE w:val="0"/>
        <w:autoSpaceDN w:val="0"/>
        <w:bidi w:val="0"/>
        <w:adjustRightInd w:val="0"/>
        <w:snapToGrid w:val="0"/>
        <w:spacing w:before="41" w:line="228" w:lineRule="auto"/>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承包人不得将其承包的全部工程转包给第三人，或将其承包的全部工程支解后以</w:t>
      </w:r>
      <w:r>
        <w:rPr>
          <w:rFonts w:hint="eastAsia" w:ascii="仿宋" w:hAnsi="仿宋" w:eastAsia="仿宋" w:cs="仿宋"/>
          <w:color w:val="auto"/>
          <w:spacing w:val="7"/>
          <w:sz w:val="24"/>
          <w:szCs w:val="24"/>
          <w:highlight w:val="none"/>
        </w:rPr>
        <w:t>分包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的名义转包给第三人。承包人不得将法律或专用合同条件中禁止分包的工作事项分包</w:t>
      </w:r>
      <w:r>
        <w:rPr>
          <w:rFonts w:hint="eastAsia" w:ascii="仿宋" w:hAnsi="仿宋" w:eastAsia="仿宋" w:cs="仿宋"/>
          <w:color w:val="auto"/>
          <w:spacing w:val="6"/>
          <w:sz w:val="24"/>
          <w:szCs w:val="24"/>
          <w:highlight w:val="none"/>
        </w:rPr>
        <w:t>给第三</w:t>
      </w:r>
      <w:r>
        <w:rPr>
          <w:rFonts w:hint="eastAsia" w:ascii="仿宋" w:hAnsi="仿宋" w:eastAsia="仿宋" w:cs="仿宋"/>
          <w:color w:val="auto"/>
          <w:spacing w:val="9"/>
          <w:sz w:val="24"/>
          <w:szCs w:val="24"/>
          <w:highlight w:val="none"/>
        </w:rPr>
        <w:t>人，不得以劳务分包的名义转包或违法分包工程。</w:t>
      </w:r>
    </w:p>
    <w:p w14:paraId="7AC594D1">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4.5.2 分包的确定</w:t>
      </w:r>
    </w:p>
    <w:p w14:paraId="7170F169">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39" w:right="173" w:firstLine="582"/>
        <w:textAlignment w:val="baseline"/>
        <w:outlineLvl w:val="9"/>
        <w:rPr>
          <w:rFonts w:hint="eastAsia" w:ascii="仿宋" w:hAnsi="仿宋" w:eastAsia="仿宋" w:cs="仿宋"/>
          <w:color w:val="auto"/>
          <w:sz w:val="24"/>
          <w:szCs w:val="24"/>
          <w:highlight w:val="none"/>
        </w:rPr>
      </w:pPr>
    </w:p>
    <w:p w14:paraId="0F135F1B">
      <w:pPr>
        <w:pStyle w:val="2"/>
        <w:keepNext w:val="0"/>
        <w:keepLines w:val="0"/>
        <w:pageBreakBefore w:val="0"/>
        <w:widowControl/>
        <w:kinsoku w:val="0"/>
        <w:wordWrap/>
        <w:overflowPunct/>
        <w:topLinePunct w:val="0"/>
        <w:autoSpaceDE w:val="0"/>
        <w:autoSpaceDN w:val="0"/>
        <w:bidi w:val="0"/>
        <w:adjustRightInd w:val="0"/>
        <w:snapToGrid w:val="0"/>
        <w:spacing w:before="143"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承包人应按照专用合同条件约定对工作事项进行分包，确定分包人。</w:t>
      </w:r>
    </w:p>
    <w:p w14:paraId="54376AD7">
      <w:pPr>
        <w:pStyle w:val="2"/>
        <w:keepNext w:val="0"/>
        <w:keepLines w:val="0"/>
        <w:pageBreakBefore w:val="0"/>
        <w:widowControl/>
        <w:kinsoku w:val="0"/>
        <w:wordWrap/>
        <w:overflowPunct/>
        <w:topLinePunct w:val="0"/>
        <w:autoSpaceDE w:val="0"/>
        <w:autoSpaceDN w:val="0"/>
        <w:bidi w:val="0"/>
        <w:adjustRightInd w:val="0"/>
        <w:snapToGrid w:val="0"/>
        <w:spacing w:before="27" w:line="245" w:lineRule="auto"/>
        <w:ind w:left="22" w:right="58"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专用合同条件未列出的分包事项，承包人可在工程实施阶段分批分期就分包事项</w:t>
      </w:r>
      <w:r>
        <w:rPr>
          <w:rFonts w:hint="eastAsia" w:ascii="仿宋" w:hAnsi="仿宋" w:eastAsia="仿宋" w:cs="仿宋"/>
          <w:color w:val="auto"/>
          <w:spacing w:val="7"/>
          <w:sz w:val="24"/>
          <w:szCs w:val="24"/>
          <w:highlight w:val="none"/>
        </w:rPr>
        <w:t>向发</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包人提交申请，发包人在接到分包事项申请后的</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9"/>
          <w:sz w:val="24"/>
          <w:szCs w:val="24"/>
          <w:highlight w:val="none"/>
        </w:rPr>
        <w:t>14</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9"/>
          <w:sz w:val="24"/>
          <w:szCs w:val="24"/>
          <w:highlight w:val="none"/>
        </w:rPr>
        <w:t>天内，予以批准或提</w:t>
      </w:r>
      <w:r>
        <w:rPr>
          <w:rFonts w:hint="eastAsia" w:ascii="仿宋" w:hAnsi="仿宋" w:eastAsia="仿宋" w:cs="仿宋"/>
          <w:color w:val="auto"/>
          <w:spacing w:val="8"/>
          <w:sz w:val="24"/>
          <w:szCs w:val="24"/>
          <w:highlight w:val="none"/>
        </w:rPr>
        <w:t>出意见。未经发包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人同意，承包人不得将提出的拟分包事项对外分包。发包人未能在</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9"/>
          <w:sz w:val="24"/>
          <w:szCs w:val="24"/>
          <w:highlight w:val="none"/>
        </w:rPr>
        <w:t>14</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w:t>
      </w:r>
      <w:r>
        <w:rPr>
          <w:rFonts w:hint="eastAsia" w:ascii="仿宋" w:hAnsi="仿宋" w:eastAsia="仿宋" w:cs="仿宋"/>
          <w:color w:val="auto"/>
          <w:spacing w:val="8"/>
          <w:sz w:val="24"/>
          <w:szCs w:val="24"/>
          <w:highlight w:val="none"/>
        </w:rPr>
        <w:t>内批准亦未提出意</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见的，承包人有权将提出的拟分包事项对外分包，但应在分包人确定后通知发包人。</w:t>
      </w:r>
    </w:p>
    <w:p w14:paraId="55E090C9">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4.5.3 分包人资质</w:t>
      </w:r>
    </w:p>
    <w:p w14:paraId="47CAE7FB">
      <w:pPr>
        <w:pStyle w:val="2"/>
        <w:keepNext w:val="0"/>
        <w:keepLines w:val="0"/>
        <w:pageBreakBefore w:val="0"/>
        <w:widowControl/>
        <w:kinsoku w:val="0"/>
        <w:wordWrap/>
        <w:overflowPunct/>
        <w:topLinePunct w:val="0"/>
        <w:autoSpaceDE w:val="0"/>
        <w:autoSpaceDN w:val="0"/>
        <w:bidi w:val="0"/>
        <w:adjustRightInd w:val="0"/>
        <w:snapToGrid w:val="0"/>
        <w:spacing w:before="144"/>
        <w:ind w:left="23" w:right="58"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分包人应符合国家法律规定的资质等级，否则不能作为分包人。承包人有义</w:t>
      </w:r>
      <w:r>
        <w:rPr>
          <w:rFonts w:hint="eastAsia" w:ascii="仿宋" w:hAnsi="仿宋" w:eastAsia="仿宋" w:cs="仿宋"/>
          <w:color w:val="auto"/>
          <w:spacing w:val="7"/>
          <w:sz w:val="24"/>
          <w:szCs w:val="24"/>
          <w:highlight w:val="none"/>
        </w:rPr>
        <w:t>务对分包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人的资质进行审查。</w:t>
      </w:r>
    </w:p>
    <w:p w14:paraId="43AB4058">
      <w:pPr>
        <w:pStyle w:val="2"/>
        <w:keepNext w:val="0"/>
        <w:keepLines w:val="0"/>
        <w:pageBreakBefore w:val="0"/>
        <w:widowControl/>
        <w:kinsoku w:val="0"/>
        <w:wordWrap/>
        <w:overflowPunct/>
        <w:topLinePunct w:val="0"/>
        <w:autoSpaceDE w:val="0"/>
        <w:autoSpaceDN w:val="0"/>
        <w:bidi w:val="0"/>
        <w:adjustRightInd w:val="0"/>
        <w:snapToGrid w:val="0"/>
        <w:spacing w:before="23" w:line="228"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4.5.4 分包管理</w:t>
      </w:r>
    </w:p>
    <w:p w14:paraId="5CBE8D7C">
      <w:pPr>
        <w:pStyle w:val="2"/>
        <w:keepNext w:val="0"/>
        <w:keepLines w:val="0"/>
        <w:pageBreakBefore w:val="0"/>
        <w:widowControl/>
        <w:kinsoku w:val="0"/>
        <w:wordWrap/>
        <w:overflowPunct/>
        <w:topLinePunct w:val="0"/>
        <w:autoSpaceDE w:val="0"/>
        <w:autoSpaceDN w:val="0"/>
        <w:bidi w:val="0"/>
        <w:adjustRightInd w:val="0"/>
        <w:snapToGrid w:val="0"/>
        <w:spacing w:before="143" w:line="244" w:lineRule="auto"/>
        <w:ind w:left="22" w:right="58"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承包人应当对分包人的工作进行必要的协调与管理，确保分包人严格执行国家有</w:t>
      </w:r>
      <w:r>
        <w:rPr>
          <w:rFonts w:hint="eastAsia" w:ascii="仿宋" w:hAnsi="仿宋" w:eastAsia="仿宋" w:cs="仿宋"/>
          <w:color w:val="auto"/>
          <w:spacing w:val="7"/>
          <w:sz w:val="24"/>
          <w:szCs w:val="24"/>
          <w:highlight w:val="none"/>
        </w:rPr>
        <w:t>关分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包事项的管理规定。承包人应向工程师提交分包人的主要管理人员表，并对分包人的工作人</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员进行实名制管理，包括但不限于进出场管理、登记造册以及各种证照的办理。</w:t>
      </w:r>
    </w:p>
    <w:p w14:paraId="34A4193F">
      <w:pPr>
        <w:pStyle w:val="2"/>
        <w:keepNext w:val="0"/>
        <w:keepLines w:val="0"/>
        <w:pageBreakBefore w:val="0"/>
        <w:widowControl/>
        <w:kinsoku w:val="0"/>
        <w:wordWrap/>
        <w:overflowPunct/>
        <w:topLinePunct w:val="0"/>
        <w:autoSpaceDE w:val="0"/>
        <w:autoSpaceDN w:val="0"/>
        <w:bidi w:val="0"/>
        <w:adjustRightInd w:val="0"/>
        <w:snapToGrid w:val="0"/>
        <w:spacing w:before="27" w:line="226"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4.5.5 分包合同价款支付</w:t>
      </w:r>
    </w:p>
    <w:p w14:paraId="79EA5D46">
      <w:pPr>
        <w:pStyle w:val="2"/>
        <w:keepNext w:val="0"/>
        <w:keepLines w:val="0"/>
        <w:pageBreakBefore w:val="0"/>
        <w:widowControl/>
        <w:kinsoku w:val="0"/>
        <w:wordWrap/>
        <w:overflowPunct/>
        <w:topLinePunct w:val="0"/>
        <w:autoSpaceDE w:val="0"/>
        <w:autoSpaceDN w:val="0"/>
        <w:bidi w:val="0"/>
        <w:adjustRightInd w:val="0"/>
        <w:snapToGrid w:val="0"/>
        <w:spacing w:before="150" w:line="238" w:lineRule="auto"/>
        <w:ind w:left="22" w:right="59"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8"/>
          <w:sz w:val="24"/>
          <w:szCs w:val="24"/>
          <w:highlight w:val="none"/>
        </w:rPr>
        <w:t>除本项第（2）</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8"/>
          <w:sz w:val="24"/>
          <w:szCs w:val="24"/>
          <w:highlight w:val="none"/>
        </w:rPr>
        <w:t>目约定的情况或专用合同条件另有约</w:t>
      </w:r>
      <w:r>
        <w:rPr>
          <w:rFonts w:hint="eastAsia" w:ascii="仿宋" w:hAnsi="仿宋" w:eastAsia="仿宋" w:cs="仿宋"/>
          <w:color w:val="auto"/>
          <w:spacing w:val="7"/>
          <w:sz w:val="24"/>
          <w:szCs w:val="24"/>
          <w:highlight w:val="none"/>
        </w:rPr>
        <w:t>定外，分包合同价款由承</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包人与分包人结算，未经承包人同意，发包人不得向分包人支付分包合同价款；</w:t>
      </w:r>
    </w:p>
    <w:p w14:paraId="0E8BA741">
      <w:pPr>
        <w:pStyle w:val="2"/>
        <w:keepNext w:val="0"/>
        <w:keepLines w:val="0"/>
        <w:pageBreakBefore w:val="0"/>
        <w:widowControl/>
        <w:kinsoku w:val="0"/>
        <w:wordWrap/>
        <w:overflowPunct/>
        <w:topLinePunct w:val="0"/>
        <w:autoSpaceDE w:val="0"/>
        <w:autoSpaceDN w:val="0"/>
        <w:bidi w:val="0"/>
        <w:adjustRightInd w:val="0"/>
        <w:snapToGrid w:val="0"/>
        <w:spacing w:before="25"/>
        <w:ind w:left="22" w:right="58"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生效法律文书要求发包人向分包人支付分包合同价款的，发包人有权从应付承</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包人工程款中扣除该部分款项，将扣款直接支付给分包人，并书面通知承包人。</w:t>
      </w:r>
    </w:p>
    <w:p w14:paraId="2BB17485">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4.5.6</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4"/>
          <w:sz w:val="24"/>
          <w:szCs w:val="24"/>
          <w:highlight w:val="none"/>
        </w:rPr>
        <w:t>责任承担</w:t>
      </w:r>
    </w:p>
    <w:p w14:paraId="351B666E">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29" w:right="58" w:firstLine="59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承包人对分包人的行为向发包人负责，承包人和分包人就分包工作向发包人承担</w:t>
      </w:r>
      <w:r>
        <w:rPr>
          <w:rFonts w:hint="eastAsia" w:ascii="仿宋" w:hAnsi="仿宋" w:eastAsia="仿宋" w:cs="仿宋"/>
          <w:color w:val="auto"/>
          <w:spacing w:val="7"/>
          <w:sz w:val="24"/>
          <w:szCs w:val="24"/>
          <w:highlight w:val="none"/>
        </w:rPr>
        <w:t>连带</w:t>
      </w:r>
      <w:r>
        <w:rPr>
          <w:rFonts w:hint="eastAsia" w:ascii="仿宋" w:hAnsi="仿宋" w:eastAsia="仿宋" w:cs="仿宋"/>
          <w:color w:val="auto"/>
          <w:sz w:val="24"/>
          <w:szCs w:val="24"/>
          <w:highlight w:val="none"/>
        </w:rPr>
        <w:t xml:space="preserve"> 责任。</w:t>
      </w:r>
    </w:p>
    <w:p w14:paraId="5E11E7E6">
      <w:pPr>
        <w:pStyle w:val="2"/>
        <w:keepNext w:val="0"/>
        <w:keepLines w:val="0"/>
        <w:pageBreakBefore w:val="0"/>
        <w:widowControl/>
        <w:kinsoku w:val="0"/>
        <w:wordWrap/>
        <w:overflowPunct/>
        <w:topLinePunct w:val="0"/>
        <w:autoSpaceDE w:val="0"/>
        <w:autoSpaceDN w:val="0"/>
        <w:bidi w:val="0"/>
        <w:adjustRightInd w:val="0"/>
        <w:snapToGrid w:val="0"/>
        <w:spacing w:before="27" w:line="229"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4.6</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4"/>
          <w:sz w:val="24"/>
          <w:szCs w:val="24"/>
          <w:highlight w:val="none"/>
        </w:rPr>
        <w:t>联合体</w:t>
      </w:r>
    </w:p>
    <w:p w14:paraId="3C71E9DE">
      <w:pPr>
        <w:pStyle w:val="2"/>
        <w:keepNext w:val="0"/>
        <w:keepLines w:val="0"/>
        <w:pageBreakBefore w:val="0"/>
        <w:widowControl/>
        <w:kinsoku w:val="0"/>
        <w:wordWrap/>
        <w:overflowPunct/>
        <w:topLinePunct w:val="0"/>
        <w:autoSpaceDE w:val="0"/>
        <w:autoSpaceDN w:val="0"/>
        <w:bidi w:val="0"/>
        <w:adjustRightInd w:val="0"/>
        <w:snapToGrid w:val="0"/>
        <w:spacing w:before="143"/>
        <w:ind w:left="26" w:right="58" w:hanging="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4.6.1 经发包人同意，以联合体方式承包工程的，联合体各方应共同与发包人</w:t>
      </w:r>
      <w:r>
        <w:rPr>
          <w:rFonts w:hint="eastAsia" w:ascii="仿宋" w:hAnsi="仿宋" w:eastAsia="仿宋" w:cs="仿宋"/>
          <w:color w:val="auto"/>
          <w:spacing w:val="6"/>
          <w:sz w:val="24"/>
          <w:szCs w:val="24"/>
          <w:highlight w:val="none"/>
        </w:rPr>
        <w:t>订立合同协议</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书。联合体各方应为履行合同向发包人承担连带责任。</w:t>
      </w:r>
    </w:p>
    <w:p w14:paraId="1F6892C4">
      <w:pPr>
        <w:pStyle w:val="2"/>
        <w:keepNext w:val="0"/>
        <w:keepLines w:val="0"/>
        <w:pageBreakBefore w:val="0"/>
        <w:widowControl/>
        <w:kinsoku w:val="0"/>
        <w:wordWrap/>
        <w:overflowPunct/>
        <w:topLinePunct w:val="0"/>
        <w:autoSpaceDE w:val="0"/>
        <w:autoSpaceDN w:val="0"/>
        <w:bidi w:val="0"/>
        <w:adjustRightInd w:val="0"/>
        <w:snapToGrid w:val="0"/>
        <w:spacing w:before="144" w:line="246"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4.6.2 承包人应在专用合同条件中明确联合体各成员的分工、费用收取、发票开具等事项。</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7"/>
          <w:sz w:val="24"/>
          <w:szCs w:val="24"/>
          <w:highlight w:val="none"/>
        </w:rPr>
        <w:t>联合体各成员分工承担的工作内容必须与适用法律规定的该成员的资质资格相适应，并应具</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有相应的项目管理体系和项目管理能力，且不应根据其就承包工作的分工而减免对发包人的</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任何合同责任。</w:t>
      </w:r>
    </w:p>
    <w:p w14:paraId="63E72A32">
      <w:pPr>
        <w:pStyle w:val="2"/>
        <w:keepNext w:val="0"/>
        <w:keepLines w:val="0"/>
        <w:pageBreakBefore w:val="0"/>
        <w:widowControl/>
        <w:kinsoku w:val="0"/>
        <w:wordWrap/>
        <w:overflowPunct/>
        <w:topLinePunct w:val="0"/>
        <w:autoSpaceDE w:val="0"/>
        <w:autoSpaceDN w:val="0"/>
        <w:bidi w:val="0"/>
        <w:adjustRightInd w:val="0"/>
        <w:snapToGrid w:val="0"/>
        <w:spacing w:before="144"/>
        <w:ind w:left="22" w:hanging="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4.6.3 联合体协议经发包人确认后作为合同附件。在履行合同过程中，未经发</w:t>
      </w:r>
      <w:r>
        <w:rPr>
          <w:rFonts w:hint="eastAsia" w:ascii="仿宋" w:hAnsi="仿宋" w:eastAsia="仿宋" w:cs="仿宋"/>
          <w:color w:val="auto"/>
          <w:spacing w:val="6"/>
          <w:sz w:val="24"/>
          <w:szCs w:val="24"/>
          <w:highlight w:val="none"/>
        </w:rPr>
        <w:t>包人同意，不</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得变更联合体成员和其负责的工作范围，或者修改联合体协议中与本合同履</w:t>
      </w:r>
      <w:r>
        <w:rPr>
          <w:rFonts w:hint="eastAsia" w:ascii="仿宋" w:hAnsi="仿宋" w:eastAsia="仿宋" w:cs="仿宋"/>
          <w:color w:val="auto"/>
          <w:spacing w:val="8"/>
          <w:sz w:val="24"/>
          <w:szCs w:val="24"/>
          <w:highlight w:val="none"/>
        </w:rPr>
        <w:t>行相关的内容。</w:t>
      </w:r>
    </w:p>
    <w:p w14:paraId="3E48B486">
      <w:pPr>
        <w:pStyle w:val="2"/>
        <w:keepNext w:val="0"/>
        <w:keepLines w:val="0"/>
        <w:pageBreakBefore w:val="0"/>
        <w:widowControl/>
        <w:kinsoku w:val="0"/>
        <w:wordWrap/>
        <w:overflowPunct/>
        <w:topLinePunct w:val="0"/>
        <w:autoSpaceDE w:val="0"/>
        <w:autoSpaceDN w:val="0"/>
        <w:bidi w:val="0"/>
        <w:adjustRightInd w:val="0"/>
        <w:snapToGrid w:val="0"/>
        <w:spacing w:before="145" w:line="228"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4.7 承包人现场查勘</w:t>
      </w:r>
    </w:p>
    <w:p w14:paraId="5897FF66">
      <w:pPr>
        <w:pStyle w:val="2"/>
        <w:keepNext w:val="0"/>
        <w:keepLines w:val="0"/>
        <w:pageBreakBefore w:val="0"/>
        <w:widowControl/>
        <w:kinsoku w:val="0"/>
        <w:wordWrap/>
        <w:overflowPunct/>
        <w:topLinePunct w:val="0"/>
        <w:autoSpaceDE w:val="0"/>
        <w:autoSpaceDN w:val="0"/>
        <w:bidi w:val="0"/>
        <w:adjustRightInd w:val="0"/>
        <w:snapToGrid w:val="0"/>
        <w:spacing w:before="149" w:line="245" w:lineRule="auto"/>
        <w:ind w:left="21" w:right="5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4.7.1 除专用合同条件另有约定外，承包人应对基于发包人提交的基础资料所</w:t>
      </w:r>
      <w:r>
        <w:rPr>
          <w:rFonts w:hint="eastAsia" w:ascii="仿宋" w:hAnsi="仿宋" w:eastAsia="仿宋" w:cs="仿宋"/>
          <w:color w:val="auto"/>
          <w:spacing w:val="6"/>
          <w:sz w:val="24"/>
          <w:szCs w:val="24"/>
          <w:highlight w:val="none"/>
        </w:rPr>
        <w:t>做出的解释和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推断负责，因基础资料存在错误、遗漏导致承包人解释或推断失实的，按照第</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2.3</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9"/>
          <w:sz w:val="24"/>
          <w:szCs w:val="24"/>
          <w:highlight w:val="none"/>
        </w:rPr>
        <w:t>项</w:t>
      </w:r>
      <w:r>
        <w:rPr>
          <w:rFonts w:hint="eastAsia" w:ascii="仿宋" w:hAnsi="仿宋" w:eastAsia="仿宋" w:cs="仿宋"/>
          <w:color w:val="auto"/>
          <w:spacing w:val="8"/>
          <w:sz w:val="24"/>
          <w:szCs w:val="24"/>
          <w:highlight w:val="none"/>
        </w:rPr>
        <w:t>[提供</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基础资料]的规定承担责任。承包人发现基础资料中存在明显错误或疏忽的，</w:t>
      </w:r>
      <w:r>
        <w:rPr>
          <w:rFonts w:hint="eastAsia" w:ascii="仿宋" w:hAnsi="仿宋" w:eastAsia="仿宋" w:cs="仿宋"/>
          <w:color w:val="auto"/>
          <w:spacing w:val="9"/>
          <w:sz w:val="24"/>
          <w:szCs w:val="24"/>
          <w:highlight w:val="none"/>
        </w:rPr>
        <w:t>应及时书面通</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知发包人。</w:t>
      </w:r>
    </w:p>
    <w:p w14:paraId="594835ED">
      <w:pPr>
        <w:pStyle w:val="2"/>
        <w:keepNext w:val="0"/>
        <w:keepLines w:val="0"/>
        <w:pageBreakBefore w:val="0"/>
        <w:widowControl/>
        <w:kinsoku w:val="0"/>
        <w:wordWrap/>
        <w:overflowPunct/>
        <w:topLinePunct w:val="0"/>
        <w:autoSpaceDE w:val="0"/>
        <w:autoSpaceDN w:val="0"/>
        <w:bidi w:val="0"/>
        <w:adjustRightInd w:val="0"/>
        <w:snapToGrid w:val="0"/>
        <w:spacing w:before="142" w:line="247" w:lineRule="auto"/>
        <w:ind w:left="21" w:right="5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4.7.2 承包人应对现场和工程实施条件进行查勘，并充分了解工程所在地的气</w:t>
      </w:r>
      <w:r>
        <w:rPr>
          <w:rFonts w:hint="eastAsia" w:ascii="仿宋" w:hAnsi="仿宋" w:eastAsia="仿宋" w:cs="仿宋"/>
          <w:color w:val="auto"/>
          <w:spacing w:val="6"/>
          <w:sz w:val="24"/>
          <w:szCs w:val="24"/>
          <w:highlight w:val="none"/>
        </w:rPr>
        <w:t>象条件、交通</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条件、风俗习惯以及其他与完成合同工作有关的其他资料。承包人提交投标文件，视为承包</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人已对施工现场及周围环境进行了踏勘，并已充分了解评估施工现场及周围环境对工程可能</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产生的影响，自愿承担相应风险与责任。在全部合同工作中，视为承包人已充分估计了应承</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担的责任和风险，但属于</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8"/>
          <w:sz w:val="24"/>
          <w:szCs w:val="24"/>
          <w:highlight w:val="none"/>
        </w:rPr>
        <w:t>4.8</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8"/>
          <w:sz w:val="24"/>
          <w:szCs w:val="24"/>
          <w:highlight w:val="none"/>
        </w:rPr>
        <w:t>款[不可预见的困难]约定的情形除外。</w:t>
      </w:r>
    </w:p>
    <w:p w14:paraId="0F7D03E6">
      <w:pPr>
        <w:pStyle w:val="2"/>
        <w:keepNext w:val="0"/>
        <w:keepLines w:val="0"/>
        <w:pageBreakBefore w:val="0"/>
        <w:widowControl/>
        <w:kinsoku w:val="0"/>
        <w:wordWrap/>
        <w:overflowPunct/>
        <w:topLinePunct w:val="0"/>
        <w:autoSpaceDE w:val="0"/>
        <w:autoSpaceDN w:val="0"/>
        <w:bidi w:val="0"/>
        <w:adjustRightInd w:val="0"/>
        <w:snapToGrid w:val="0"/>
        <w:spacing w:before="146" w:line="228"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4.8 不可预见的困难</w:t>
      </w:r>
    </w:p>
    <w:p w14:paraId="05C20DE4">
      <w:pPr>
        <w:pStyle w:val="2"/>
        <w:keepNext w:val="0"/>
        <w:keepLines w:val="0"/>
        <w:pageBreakBefore w:val="0"/>
        <w:widowControl/>
        <w:kinsoku w:val="0"/>
        <w:wordWrap/>
        <w:overflowPunct/>
        <w:topLinePunct w:val="0"/>
        <w:autoSpaceDE w:val="0"/>
        <w:autoSpaceDN w:val="0"/>
        <w:bidi w:val="0"/>
        <w:adjustRightInd w:val="0"/>
        <w:snapToGrid w:val="0"/>
        <w:spacing w:before="143" w:line="244" w:lineRule="auto"/>
        <w:ind w:left="23" w:right="58" w:firstLine="60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不可预见的困难是指有经验的承包人在施工现场遇到的不可预见的自然物</w:t>
      </w:r>
      <w:r>
        <w:rPr>
          <w:rFonts w:hint="eastAsia" w:ascii="仿宋" w:hAnsi="仿宋" w:eastAsia="仿宋" w:cs="仿宋"/>
          <w:color w:val="auto"/>
          <w:spacing w:val="7"/>
          <w:sz w:val="24"/>
          <w:szCs w:val="24"/>
          <w:highlight w:val="none"/>
        </w:rPr>
        <w:t>质条件、非</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自然的物质障碍和污染物，包括地表以下物质条件和水文条件以及专用合同条件约定的其他</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情形，但不包括气候条件。</w:t>
      </w:r>
    </w:p>
    <w:p w14:paraId="26C2BE64">
      <w:pPr>
        <w:pStyle w:val="2"/>
        <w:keepNext w:val="0"/>
        <w:keepLines w:val="0"/>
        <w:pageBreakBefore w:val="0"/>
        <w:widowControl/>
        <w:kinsoku w:val="0"/>
        <w:wordWrap/>
        <w:overflowPunct/>
        <w:topLinePunct w:val="0"/>
        <w:autoSpaceDE w:val="0"/>
        <w:autoSpaceDN w:val="0"/>
        <w:bidi w:val="0"/>
        <w:adjustRightInd w:val="0"/>
        <w:snapToGrid w:val="0"/>
        <w:spacing w:before="40" w:line="247" w:lineRule="auto"/>
        <w:ind w:right="176" w:firstLine="512"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承包人遇到不可预见的困难时，应采取克服不可预见的困难的合理措施继续施工，并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及时通知工程师并抄送发包人。通知应载明不可预见的困难的内容、承包人认为不可预见的</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1"/>
          <w:sz w:val="24"/>
          <w:szCs w:val="24"/>
          <w:highlight w:val="none"/>
        </w:rPr>
        <w:t>理由以及承包人制定的处理方案。工程师应当及时发出指示，指示构成变更的，按第</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1"/>
          <w:sz w:val="24"/>
          <w:szCs w:val="24"/>
          <w:highlight w:val="none"/>
        </w:rPr>
        <w:t>13</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1"/>
          <w:sz w:val="24"/>
          <w:szCs w:val="24"/>
          <w:highlight w:val="none"/>
        </w:rPr>
        <w:t>条[变</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更与调整]约定执行。承包人因采取合理措施而增加的费用和（或）延误的工期</w:t>
      </w:r>
      <w:r>
        <w:rPr>
          <w:rFonts w:hint="eastAsia" w:ascii="仿宋" w:hAnsi="仿宋" w:eastAsia="仿宋" w:cs="仿宋"/>
          <w:color w:val="auto"/>
          <w:spacing w:val="9"/>
          <w:sz w:val="24"/>
          <w:szCs w:val="24"/>
          <w:highlight w:val="none"/>
        </w:rPr>
        <w:t>由发包人承</w:t>
      </w:r>
      <w:r>
        <w:rPr>
          <w:rFonts w:hint="eastAsia" w:ascii="仿宋" w:hAnsi="仿宋" w:eastAsia="仿宋" w:cs="仿宋"/>
          <w:color w:val="auto"/>
          <w:sz w:val="24"/>
          <w:szCs w:val="24"/>
          <w:highlight w:val="none"/>
        </w:rPr>
        <w:t xml:space="preserve"> 担。</w:t>
      </w:r>
    </w:p>
    <w:p w14:paraId="3AF7E8BD">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4.9 工程质量管理</w:t>
      </w:r>
    </w:p>
    <w:p w14:paraId="45C6661E">
      <w:pPr>
        <w:pStyle w:val="2"/>
        <w:keepNext w:val="0"/>
        <w:keepLines w:val="0"/>
        <w:pageBreakBefore w:val="0"/>
        <w:widowControl/>
        <w:kinsoku w:val="0"/>
        <w:wordWrap/>
        <w:overflowPunct/>
        <w:topLinePunct w:val="0"/>
        <w:autoSpaceDE w:val="0"/>
        <w:autoSpaceDN w:val="0"/>
        <w:bidi w:val="0"/>
        <w:adjustRightInd w:val="0"/>
        <w:snapToGrid w:val="0"/>
        <w:spacing w:before="142" w:line="244" w:lineRule="auto"/>
        <w:ind w:left="21" w:right="11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4.9.1 承包人应按合同约定的质量标准规范，建立有效的质量管理系统，确保设计、采购、</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7"/>
          <w:sz w:val="24"/>
          <w:szCs w:val="24"/>
          <w:highlight w:val="none"/>
        </w:rPr>
        <w:t>加工制造、施工、竣工试验等各项工作的质量，并按照国家有关规定，通过质量保修责任书</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的形式约定保修范围、保修期限和保修责任。</w:t>
      </w:r>
    </w:p>
    <w:p w14:paraId="381C1082">
      <w:pPr>
        <w:pStyle w:val="2"/>
        <w:keepNext w:val="0"/>
        <w:keepLines w:val="0"/>
        <w:pageBreakBefore w:val="0"/>
        <w:widowControl/>
        <w:kinsoku w:val="0"/>
        <w:wordWrap/>
        <w:overflowPunct/>
        <w:topLinePunct w:val="0"/>
        <w:autoSpaceDE w:val="0"/>
        <w:autoSpaceDN w:val="0"/>
        <w:bidi w:val="0"/>
        <w:adjustRightInd w:val="0"/>
        <w:snapToGrid w:val="0"/>
        <w:spacing w:before="146" w:line="243" w:lineRule="auto"/>
        <w:ind w:left="21" w:right="17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4.9.2 承包人按照第</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11"/>
          <w:sz w:val="24"/>
          <w:szCs w:val="24"/>
          <w:highlight w:val="none"/>
        </w:rPr>
        <w:t>8.4</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11"/>
          <w:sz w:val="24"/>
          <w:szCs w:val="24"/>
          <w:highlight w:val="none"/>
        </w:rPr>
        <w:t>款[项目进度计划]约定</w:t>
      </w:r>
      <w:r>
        <w:rPr>
          <w:rFonts w:hint="eastAsia" w:ascii="仿宋" w:hAnsi="仿宋" w:eastAsia="仿宋" w:cs="仿宋"/>
          <w:color w:val="auto"/>
          <w:spacing w:val="10"/>
          <w:sz w:val="24"/>
          <w:szCs w:val="24"/>
          <w:highlight w:val="none"/>
        </w:rPr>
        <w:t>向工程师提交工程质量保证体系及措施文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件，建立完善的质量检查制度，并提交相应的工程质量文件。对于发包人和工程师违反法律</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规定和合同约定的错误指示，承包人有权拒绝实施。</w:t>
      </w:r>
    </w:p>
    <w:p w14:paraId="58AE182D">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25" w:right="176" w:hanging="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4.9.3 承包人应对其人员进行质量教育和技术培训，定期考核人员的劳动技能</w:t>
      </w:r>
      <w:r>
        <w:rPr>
          <w:rFonts w:hint="eastAsia" w:ascii="仿宋" w:hAnsi="仿宋" w:eastAsia="仿宋" w:cs="仿宋"/>
          <w:color w:val="auto"/>
          <w:spacing w:val="6"/>
          <w:sz w:val="24"/>
          <w:szCs w:val="24"/>
          <w:highlight w:val="none"/>
        </w:rPr>
        <w:t>，严格执行相</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关规范和操作规程。</w:t>
      </w:r>
    </w:p>
    <w:p w14:paraId="1130B57F">
      <w:pPr>
        <w:pStyle w:val="2"/>
        <w:keepNext w:val="0"/>
        <w:keepLines w:val="0"/>
        <w:pageBreakBefore w:val="0"/>
        <w:widowControl/>
        <w:kinsoku w:val="0"/>
        <w:wordWrap/>
        <w:overflowPunct/>
        <w:topLinePunct w:val="0"/>
        <w:autoSpaceDE w:val="0"/>
        <w:autoSpaceDN w:val="0"/>
        <w:bidi w:val="0"/>
        <w:adjustRightInd w:val="0"/>
        <w:snapToGrid w:val="0"/>
        <w:spacing w:before="147" w:line="245" w:lineRule="auto"/>
        <w:ind w:left="21" w:right="17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4.9.4 承包人应按照法律规定和合同约定，对设计、材料、工程设备以及</w:t>
      </w:r>
      <w:r>
        <w:rPr>
          <w:rFonts w:hint="eastAsia" w:ascii="仿宋" w:hAnsi="仿宋" w:eastAsia="仿宋" w:cs="仿宋"/>
          <w:color w:val="auto"/>
          <w:spacing w:val="6"/>
          <w:sz w:val="24"/>
          <w:szCs w:val="24"/>
          <w:highlight w:val="none"/>
        </w:rPr>
        <w:t>全部工程内容及其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施工工艺进行全过程的质量检查和检验，并作详细记录，编制工程质量报表，报送工程师审</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查。此外，承包人还应按照法律规定和合同约定，进行施工现场取样试验、工程复核测量和</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设备性能检测，提供试验样品、提交试验报告和测量成果以及其他工作。</w:t>
      </w:r>
    </w:p>
    <w:p w14:paraId="628ABDB0">
      <w:pPr>
        <w:pStyle w:val="2"/>
        <w:keepNext w:val="0"/>
        <w:keepLines w:val="0"/>
        <w:pageBreakBefore w:val="0"/>
        <w:widowControl/>
        <w:kinsoku w:val="0"/>
        <w:wordWrap/>
        <w:overflowPunct/>
        <w:topLinePunct w:val="0"/>
        <w:autoSpaceDE w:val="0"/>
        <w:autoSpaceDN w:val="0"/>
        <w:bidi w:val="0"/>
        <w:adjustRightInd w:val="0"/>
        <w:snapToGrid w:val="0"/>
        <w:spacing w:before="148" w:line="228" w:lineRule="auto"/>
        <w:ind w:left="365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第5条</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4"/>
          <w:sz w:val="24"/>
          <w:szCs w:val="24"/>
          <w:highlight w:val="none"/>
        </w:rPr>
        <w:t>设计</w:t>
      </w:r>
    </w:p>
    <w:p w14:paraId="6FC13631">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5.1 承包人的设计义务</w:t>
      </w:r>
    </w:p>
    <w:p w14:paraId="0FE36FC0">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5.1.1 设计义务的一般要求</w:t>
      </w:r>
    </w:p>
    <w:p w14:paraId="249B9456">
      <w:pPr>
        <w:pStyle w:val="2"/>
        <w:keepNext w:val="0"/>
        <w:keepLines w:val="0"/>
        <w:pageBreakBefore w:val="0"/>
        <w:widowControl/>
        <w:kinsoku w:val="0"/>
        <w:wordWrap/>
        <w:overflowPunct/>
        <w:topLinePunct w:val="0"/>
        <w:autoSpaceDE w:val="0"/>
        <w:autoSpaceDN w:val="0"/>
        <w:bidi w:val="0"/>
        <w:adjustRightInd w:val="0"/>
        <w:snapToGrid w:val="0"/>
        <w:spacing w:before="143" w:line="244" w:lineRule="auto"/>
        <w:ind w:left="21" w:right="176"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承包人应当按照法律规定，国家、行业和地方的规范和标准，以及《发包人要求》和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合同约定完成设计工作和设计相关的其他服务，并对工程的设计负责。承包人应根据工程实</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施的需要及时向发包人和工程师说明设计文件的意图，解释设计文件。</w:t>
      </w:r>
    </w:p>
    <w:p w14:paraId="2518AAFC">
      <w:pPr>
        <w:pStyle w:val="2"/>
        <w:keepNext w:val="0"/>
        <w:keepLines w:val="0"/>
        <w:pageBreakBefore w:val="0"/>
        <w:widowControl/>
        <w:kinsoku w:val="0"/>
        <w:wordWrap/>
        <w:overflowPunct/>
        <w:topLinePunct w:val="0"/>
        <w:autoSpaceDE w:val="0"/>
        <w:autoSpaceDN w:val="0"/>
        <w:bidi w:val="0"/>
        <w:adjustRightInd w:val="0"/>
        <w:snapToGrid w:val="0"/>
        <w:spacing w:before="27" w:line="229"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5.1.2 对设计人员的要求</w:t>
      </w:r>
    </w:p>
    <w:p w14:paraId="65ED0709">
      <w:pPr>
        <w:pStyle w:val="2"/>
        <w:keepNext w:val="0"/>
        <w:keepLines w:val="0"/>
        <w:pageBreakBefore w:val="0"/>
        <w:widowControl/>
        <w:kinsoku w:val="0"/>
        <w:wordWrap/>
        <w:overflowPunct/>
        <w:topLinePunct w:val="0"/>
        <w:autoSpaceDE w:val="0"/>
        <w:autoSpaceDN w:val="0"/>
        <w:bidi w:val="0"/>
        <w:adjustRightInd w:val="0"/>
        <w:snapToGrid w:val="0"/>
        <w:spacing w:before="141" w:line="246" w:lineRule="auto"/>
        <w:ind w:left="23" w:right="176" w:firstLine="598"/>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承包人应保证其或其设计分包人的设计资质在合同有效期内满足法律法规、行业标准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或合同约定的相关要求，并指派符合法律法规、行业标准或合同约定的资质要求并具有从事</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7"/>
          <w:sz w:val="24"/>
          <w:szCs w:val="24"/>
          <w:highlight w:val="none"/>
        </w:rPr>
        <w:t>设计所必需的经验与能力的的设计人员完成设计工作。承包人应保证其设计人员（包括分包</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9"/>
          <w:sz w:val="24"/>
          <w:szCs w:val="24"/>
          <w:highlight w:val="none"/>
        </w:rPr>
        <w:t>人的设计人员）在合同期限内，都能按时参加发包人或工程师组织的工作会议。</w:t>
      </w:r>
    </w:p>
    <w:p w14:paraId="1C1EB21E">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5.1.3 法律和标准的变化</w:t>
      </w:r>
    </w:p>
    <w:p w14:paraId="539ACA10">
      <w:pPr>
        <w:pStyle w:val="2"/>
        <w:keepNext w:val="0"/>
        <w:keepLines w:val="0"/>
        <w:pageBreakBefore w:val="0"/>
        <w:widowControl/>
        <w:kinsoku w:val="0"/>
        <w:wordWrap/>
        <w:overflowPunct/>
        <w:topLinePunct w:val="0"/>
        <w:autoSpaceDE w:val="0"/>
        <w:autoSpaceDN w:val="0"/>
        <w:bidi w:val="0"/>
        <w:adjustRightInd w:val="0"/>
        <w:snapToGrid w:val="0"/>
        <w:spacing w:before="148" w:line="246" w:lineRule="auto"/>
        <w:ind w:left="23" w:firstLine="6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 xml:space="preserve">除合同另有约定外，承包人完成设计工作所应遵守的法律规定，以及国家、行业和地  </w:t>
      </w:r>
      <w:r>
        <w:rPr>
          <w:rFonts w:hint="eastAsia" w:ascii="仿宋" w:hAnsi="仿宋" w:eastAsia="仿宋" w:cs="仿宋"/>
          <w:color w:val="auto"/>
          <w:spacing w:val="5"/>
          <w:sz w:val="24"/>
          <w:szCs w:val="24"/>
          <w:highlight w:val="none"/>
        </w:rPr>
        <w:t>方的规范和标准，均应视为在基准日期适用的版本。基准日期之后，前述版本发生重大变化，</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7"/>
          <w:sz w:val="24"/>
          <w:szCs w:val="24"/>
          <w:highlight w:val="none"/>
        </w:rPr>
        <w:t>或者有新的法律，以及国家、行业和地方的规范和标准实施的，承包人应向工程师提出</w:t>
      </w:r>
      <w:r>
        <w:rPr>
          <w:rFonts w:hint="eastAsia" w:ascii="仿宋" w:hAnsi="仿宋" w:eastAsia="仿宋" w:cs="仿宋"/>
          <w:color w:val="auto"/>
          <w:spacing w:val="6"/>
          <w:sz w:val="24"/>
          <w:szCs w:val="24"/>
          <w:highlight w:val="none"/>
        </w:rPr>
        <w:t>遵守  新规定的建议。发包人或其委托的工程师应在收到建议后</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6"/>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天内发出</w:t>
      </w:r>
      <w:r>
        <w:rPr>
          <w:rFonts w:hint="eastAsia" w:ascii="仿宋" w:hAnsi="仿宋" w:eastAsia="仿宋" w:cs="仿宋"/>
          <w:color w:val="auto"/>
          <w:spacing w:val="5"/>
          <w:sz w:val="24"/>
          <w:szCs w:val="24"/>
          <w:highlight w:val="none"/>
        </w:rPr>
        <w:t>是否遵守新规定的指示。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如果该项建议构成变更的，按照第</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8"/>
          <w:sz w:val="24"/>
          <w:szCs w:val="24"/>
          <w:highlight w:val="none"/>
        </w:rPr>
        <w:t>13.2</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8"/>
          <w:sz w:val="24"/>
          <w:szCs w:val="24"/>
          <w:highlight w:val="none"/>
        </w:rPr>
        <w:t>款[承包人的合理化</w:t>
      </w:r>
      <w:r>
        <w:rPr>
          <w:rFonts w:hint="eastAsia" w:ascii="仿宋" w:hAnsi="仿宋" w:eastAsia="仿宋" w:cs="仿宋"/>
          <w:color w:val="auto"/>
          <w:spacing w:val="7"/>
          <w:sz w:val="24"/>
          <w:szCs w:val="24"/>
          <w:highlight w:val="none"/>
        </w:rPr>
        <w:t>建议]的约定执行。</w:t>
      </w:r>
    </w:p>
    <w:p w14:paraId="6B75FBC6">
      <w:pPr>
        <w:pStyle w:val="2"/>
        <w:keepNext w:val="0"/>
        <w:keepLines w:val="0"/>
        <w:pageBreakBefore w:val="0"/>
        <w:widowControl/>
        <w:kinsoku w:val="0"/>
        <w:wordWrap/>
        <w:overflowPunct/>
        <w:topLinePunct w:val="0"/>
        <w:autoSpaceDE w:val="0"/>
        <w:autoSpaceDN w:val="0"/>
        <w:bidi w:val="0"/>
        <w:adjustRightInd w:val="0"/>
        <w:snapToGrid w:val="0"/>
        <w:spacing w:before="28" w:line="238" w:lineRule="auto"/>
        <w:ind w:left="23" w:right="176" w:firstLine="59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在基准日期之后，因国家颁布新的强制性规范、标准导致承包人的费用变化的，发包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人应合理调整合同价格；导致工期延误的，发包人应合理延长工期。</w:t>
      </w:r>
    </w:p>
    <w:p w14:paraId="24A40E04">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5.2 承包人文件审查</w:t>
      </w:r>
    </w:p>
    <w:p w14:paraId="1285F68D">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28" w:right="176" w:hanging="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5.2.1 根据《发包人要求》应当通过工程师报发包人审查同意的承</w:t>
      </w:r>
      <w:r>
        <w:rPr>
          <w:rFonts w:hint="eastAsia" w:ascii="仿宋" w:hAnsi="仿宋" w:eastAsia="仿宋" w:cs="仿宋"/>
          <w:color w:val="auto"/>
          <w:spacing w:val="6"/>
          <w:sz w:val="24"/>
          <w:szCs w:val="24"/>
          <w:highlight w:val="none"/>
        </w:rPr>
        <w:t>包人文件，承包人应当按</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照《发包人要求》约定的范围和内容及时报送审查。</w:t>
      </w:r>
    </w:p>
    <w:p w14:paraId="1404B55B">
      <w:pPr>
        <w:pStyle w:val="2"/>
        <w:keepNext w:val="0"/>
        <w:keepLines w:val="0"/>
        <w:pageBreakBefore w:val="0"/>
        <w:widowControl/>
        <w:kinsoku w:val="0"/>
        <w:wordWrap/>
        <w:overflowPunct/>
        <w:topLinePunct w:val="0"/>
        <w:autoSpaceDE w:val="0"/>
        <w:autoSpaceDN w:val="0"/>
        <w:bidi w:val="0"/>
        <w:adjustRightInd w:val="0"/>
        <w:snapToGrid w:val="0"/>
        <w:spacing w:before="144" w:line="246" w:lineRule="auto"/>
        <w:ind w:left="22" w:right="176" w:firstLine="61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除专用合同条件另有约定外，自工程师收到承包人文</w:t>
      </w:r>
      <w:r>
        <w:rPr>
          <w:rFonts w:hint="eastAsia" w:ascii="仿宋" w:hAnsi="仿宋" w:eastAsia="仿宋" w:cs="仿宋"/>
          <w:color w:val="auto"/>
          <w:spacing w:val="7"/>
          <w:sz w:val="24"/>
          <w:szCs w:val="24"/>
          <w:highlight w:val="none"/>
        </w:rPr>
        <w:t>件以及承包人的通知之日起，发</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包人对承包人文件审查期不超过</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9"/>
          <w:sz w:val="24"/>
          <w:szCs w:val="24"/>
          <w:highlight w:val="none"/>
        </w:rPr>
        <w:t>21</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天。承包人的设计文件对于合同约定有偏离的，应在通</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知中说明。承包人需要修改已提交的承包人文件的，应立即通知工程师，并向工程师提交修</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改后的承包人文件，审查期重新起算。</w:t>
      </w:r>
    </w:p>
    <w:p w14:paraId="491FC020">
      <w:pPr>
        <w:pStyle w:val="2"/>
        <w:keepNext w:val="0"/>
        <w:keepLines w:val="0"/>
        <w:pageBreakBefore w:val="0"/>
        <w:widowControl/>
        <w:kinsoku w:val="0"/>
        <w:wordWrap/>
        <w:overflowPunct/>
        <w:topLinePunct w:val="0"/>
        <w:autoSpaceDE w:val="0"/>
        <w:autoSpaceDN w:val="0"/>
        <w:bidi w:val="0"/>
        <w:adjustRightInd w:val="0"/>
        <w:snapToGrid w:val="0"/>
        <w:spacing w:before="24"/>
        <w:ind w:left="24" w:right="176"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发包人同意承包人文件的，应及时通知承包人，发包人不同意承包人文件</w:t>
      </w:r>
      <w:r>
        <w:rPr>
          <w:rFonts w:hint="eastAsia" w:ascii="仿宋" w:hAnsi="仿宋" w:eastAsia="仿宋" w:cs="仿宋"/>
          <w:color w:val="auto"/>
          <w:spacing w:val="7"/>
          <w:sz w:val="24"/>
          <w:szCs w:val="24"/>
          <w:highlight w:val="none"/>
        </w:rPr>
        <w:t>的，应在审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查期限内通过工程师以书面形式通知承包人，并说明不同意的具体内容和理由。</w:t>
      </w:r>
    </w:p>
    <w:p w14:paraId="3695E504">
      <w:pPr>
        <w:pStyle w:val="2"/>
        <w:keepNext w:val="0"/>
        <w:keepLines w:val="0"/>
        <w:pageBreakBefore w:val="0"/>
        <w:widowControl/>
        <w:kinsoku w:val="0"/>
        <w:wordWrap/>
        <w:overflowPunct/>
        <w:topLinePunct w:val="0"/>
        <w:autoSpaceDE w:val="0"/>
        <w:autoSpaceDN w:val="0"/>
        <w:bidi w:val="0"/>
        <w:adjustRightInd w:val="0"/>
        <w:snapToGrid w:val="0"/>
        <w:spacing w:before="41" w:line="228" w:lineRule="auto"/>
        <w:ind w:firstLine="512" w:firstLineChars="2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承包人对发包人的意见按以下方式处理：</w:t>
      </w:r>
    </w:p>
    <w:p w14:paraId="3DACB1B9">
      <w:pPr>
        <w:pStyle w:val="2"/>
        <w:keepNext w:val="0"/>
        <w:keepLines w:val="0"/>
        <w:pageBreakBefore w:val="0"/>
        <w:widowControl/>
        <w:kinsoku w:val="0"/>
        <w:wordWrap/>
        <w:overflowPunct/>
        <w:topLinePunct w:val="0"/>
        <w:autoSpaceDE w:val="0"/>
        <w:autoSpaceDN w:val="0"/>
        <w:bidi w:val="0"/>
        <w:adjustRightInd w:val="0"/>
        <w:snapToGrid w:val="0"/>
        <w:spacing w:before="25" w:line="244" w:lineRule="auto"/>
        <w:ind w:left="23" w:right="69"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 发包人的意见构成变更的，承包人应在</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5"/>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5"/>
          <w:sz w:val="24"/>
          <w:szCs w:val="24"/>
          <w:highlight w:val="none"/>
        </w:rPr>
        <w:t>天内通知发包人按照第</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5"/>
          <w:sz w:val="24"/>
          <w:szCs w:val="24"/>
          <w:highlight w:val="none"/>
        </w:rPr>
        <w:t>13</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5"/>
          <w:sz w:val="24"/>
          <w:szCs w:val="24"/>
          <w:highlight w:val="none"/>
        </w:rPr>
        <w:t>条[变更与</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调整]中关于发包人指示变更的约定执行，双方对是否构成变更无法达成一致的，按照第</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20</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条[争议解决]的约定执行；</w:t>
      </w:r>
    </w:p>
    <w:p w14:paraId="62C7F9DB">
      <w:pPr>
        <w:pStyle w:val="2"/>
        <w:keepNext w:val="0"/>
        <w:keepLines w:val="0"/>
        <w:pageBreakBefore w:val="0"/>
        <w:widowControl/>
        <w:kinsoku w:val="0"/>
        <w:wordWrap/>
        <w:overflowPunct/>
        <w:topLinePunct w:val="0"/>
        <w:autoSpaceDE w:val="0"/>
        <w:autoSpaceDN w:val="0"/>
        <w:bidi w:val="0"/>
        <w:adjustRightInd w:val="0"/>
        <w:snapToGrid w:val="0"/>
        <w:spacing w:before="22" w:line="244" w:lineRule="auto"/>
        <w:ind w:left="21" w:right="70"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因承包人原因导致无法通过审查的，承包人应根据发包人的书面说明，对承包</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人文件进行修改后重新报送发包人审查，审查期重新起算。因此引起的工期延长和必要的工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5"/>
          <w:sz w:val="24"/>
          <w:szCs w:val="24"/>
          <w:highlight w:val="none"/>
        </w:rPr>
        <w:t>程费用增加，</w:t>
      </w:r>
      <w:r>
        <w:rPr>
          <w:rFonts w:hint="eastAsia" w:ascii="仿宋" w:hAnsi="仿宋" w:eastAsia="仿宋" w:cs="仿宋"/>
          <w:color w:val="auto"/>
          <w:spacing w:val="-56"/>
          <w:sz w:val="24"/>
          <w:szCs w:val="24"/>
          <w:highlight w:val="none"/>
        </w:rPr>
        <w:t xml:space="preserve"> </w:t>
      </w:r>
      <w:r>
        <w:rPr>
          <w:rFonts w:hint="eastAsia" w:ascii="仿宋" w:hAnsi="仿宋" w:eastAsia="仿宋" w:cs="仿宋"/>
          <w:color w:val="auto"/>
          <w:spacing w:val="5"/>
          <w:sz w:val="24"/>
          <w:szCs w:val="24"/>
          <w:highlight w:val="none"/>
        </w:rPr>
        <w:t>由承包人负责。</w:t>
      </w:r>
    </w:p>
    <w:p w14:paraId="46236EB5">
      <w:pPr>
        <w:pStyle w:val="2"/>
        <w:keepNext w:val="0"/>
        <w:keepLines w:val="0"/>
        <w:pageBreakBefore w:val="0"/>
        <w:widowControl/>
        <w:kinsoku w:val="0"/>
        <w:wordWrap/>
        <w:overflowPunct/>
        <w:topLinePunct w:val="0"/>
        <w:autoSpaceDE w:val="0"/>
        <w:autoSpaceDN w:val="0"/>
        <w:bidi w:val="0"/>
        <w:adjustRightInd w:val="0"/>
        <w:snapToGrid w:val="0"/>
        <w:spacing w:before="26" w:line="239" w:lineRule="auto"/>
        <w:ind w:left="45" w:right="70" w:firstLine="57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合同约定的审查期满，发包人没有做出审查结论也没有提出异议的，视为承包人</w:t>
      </w:r>
      <w:r>
        <w:rPr>
          <w:rFonts w:hint="eastAsia" w:ascii="仿宋" w:hAnsi="仿宋" w:eastAsia="仿宋" w:cs="仿宋"/>
          <w:color w:val="auto"/>
          <w:spacing w:val="7"/>
          <w:sz w:val="24"/>
          <w:szCs w:val="24"/>
          <w:highlight w:val="none"/>
        </w:rPr>
        <w:t>文件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已获发包人同意。</w:t>
      </w:r>
    </w:p>
    <w:p w14:paraId="638EAB2A">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27" w:right="70" w:firstLine="5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发包人对承包人文件的审查和同意不得被理解为对合同的修改或改变，也</w:t>
      </w:r>
      <w:r>
        <w:rPr>
          <w:rFonts w:hint="eastAsia" w:ascii="仿宋" w:hAnsi="仿宋" w:eastAsia="仿宋" w:cs="仿宋"/>
          <w:color w:val="auto"/>
          <w:spacing w:val="7"/>
          <w:sz w:val="24"/>
          <w:szCs w:val="24"/>
          <w:highlight w:val="none"/>
        </w:rPr>
        <w:t>并不减轻或</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免除承包人任何的责任和义务。</w:t>
      </w:r>
    </w:p>
    <w:p w14:paraId="2036D479">
      <w:pPr>
        <w:pStyle w:val="2"/>
        <w:keepNext w:val="0"/>
        <w:keepLines w:val="0"/>
        <w:pageBreakBefore w:val="0"/>
        <w:widowControl/>
        <w:kinsoku w:val="0"/>
        <w:wordWrap/>
        <w:overflowPunct/>
        <w:topLinePunct w:val="0"/>
        <w:autoSpaceDE w:val="0"/>
        <w:autoSpaceDN w:val="0"/>
        <w:bidi w:val="0"/>
        <w:adjustRightInd w:val="0"/>
        <w:snapToGrid w:val="0"/>
        <w:spacing w:before="25"/>
        <w:ind w:left="38" w:right="71" w:hanging="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5.2.2 承包人文件不需要政府有关部门或专用合同条件约</w:t>
      </w:r>
      <w:r>
        <w:rPr>
          <w:rFonts w:hint="eastAsia" w:ascii="仿宋" w:hAnsi="仿宋" w:eastAsia="仿宋" w:cs="仿宋"/>
          <w:color w:val="auto"/>
          <w:spacing w:val="11"/>
          <w:sz w:val="24"/>
          <w:szCs w:val="24"/>
          <w:highlight w:val="none"/>
        </w:rPr>
        <w:t>定的第三方审查单位审查或批准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的，承包人应当严格按照经发包人审查同意的承包人文件设计</w:t>
      </w:r>
      <w:r>
        <w:rPr>
          <w:rFonts w:hint="eastAsia" w:ascii="仿宋" w:hAnsi="仿宋" w:eastAsia="仿宋" w:cs="仿宋"/>
          <w:color w:val="auto"/>
          <w:spacing w:val="8"/>
          <w:sz w:val="24"/>
          <w:szCs w:val="24"/>
          <w:highlight w:val="none"/>
        </w:rPr>
        <w:t>和实施工程。</w:t>
      </w:r>
    </w:p>
    <w:p w14:paraId="18C638CA">
      <w:pPr>
        <w:pStyle w:val="2"/>
        <w:keepNext w:val="0"/>
        <w:keepLines w:val="0"/>
        <w:pageBreakBefore w:val="0"/>
        <w:widowControl/>
        <w:tabs>
          <w:tab w:val="left" w:pos="625"/>
        </w:tabs>
        <w:kinsoku w:val="0"/>
        <w:wordWrap/>
        <w:overflowPunct/>
        <w:topLinePunct w:val="0"/>
        <w:autoSpaceDE w:val="0"/>
        <w:autoSpaceDN w:val="0"/>
        <w:bidi w:val="0"/>
        <w:adjustRightInd w:val="0"/>
        <w:snapToGrid w:val="0"/>
        <w:spacing w:before="142" w:line="248" w:lineRule="auto"/>
        <w:ind w:left="21" w:firstLine="60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发包人需要组织审查会议对承包人文件进行审查的，审查会议的审查形式、时间安排、</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7"/>
          <w:sz w:val="24"/>
          <w:szCs w:val="24"/>
          <w:highlight w:val="none"/>
        </w:rPr>
        <w:t xml:space="preserve">费用承担，在专用合同条件中约定。发包人负责组织承包人文件审查会议，承包人有义务参 </w:t>
      </w:r>
      <w:r>
        <w:rPr>
          <w:rFonts w:hint="eastAsia" w:ascii="仿宋" w:hAnsi="仿宋" w:eastAsia="仿宋" w:cs="仿宋"/>
          <w:color w:val="auto"/>
          <w:spacing w:val="9"/>
          <w:sz w:val="24"/>
          <w:szCs w:val="24"/>
          <w:highlight w:val="none"/>
        </w:rPr>
        <w:t>加发包人组织的审查会议，向审查者介绍、解答、解释承包人文件，并提供有关补充资料。</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z w:val="24"/>
          <w:szCs w:val="24"/>
          <w:highlight w:val="none"/>
        </w:rPr>
        <w:tab/>
      </w:r>
      <w:r>
        <w:rPr>
          <w:rFonts w:hint="eastAsia" w:ascii="仿宋" w:hAnsi="仿宋" w:eastAsia="仿宋" w:cs="仿宋"/>
          <w:color w:val="auto"/>
          <w:spacing w:val="7"/>
          <w:sz w:val="24"/>
          <w:szCs w:val="24"/>
          <w:highlight w:val="none"/>
        </w:rPr>
        <w:t xml:space="preserve">发包人有义务向承包人提供审查会议的批准文件和纪要。承包人有义务按照相关审查 会议批准的文件和纪要，并依据合同约定及相关技术标准，对承包人文件进行修改、补充和 </w:t>
      </w:r>
      <w:r>
        <w:rPr>
          <w:rFonts w:hint="eastAsia" w:ascii="仿宋" w:hAnsi="仿宋" w:eastAsia="仿宋" w:cs="仿宋"/>
          <w:color w:val="auto"/>
          <w:spacing w:val="3"/>
          <w:sz w:val="24"/>
          <w:szCs w:val="24"/>
          <w:highlight w:val="none"/>
        </w:rPr>
        <w:t>完善。</w:t>
      </w:r>
    </w:p>
    <w:p w14:paraId="733B6FCC">
      <w:pPr>
        <w:pStyle w:val="2"/>
        <w:keepNext w:val="0"/>
        <w:keepLines w:val="0"/>
        <w:pageBreakBefore w:val="0"/>
        <w:widowControl/>
        <w:kinsoku w:val="0"/>
        <w:wordWrap/>
        <w:overflowPunct/>
        <w:topLinePunct w:val="0"/>
        <w:autoSpaceDE w:val="0"/>
        <w:autoSpaceDN w:val="0"/>
        <w:bidi w:val="0"/>
        <w:adjustRightInd w:val="0"/>
        <w:snapToGrid w:val="0"/>
        <w:spacing w:before="23" w:line="244" w:lineRule="auto"/>
        <w:ind w:left="22" w:right="28" w:firstLine="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5.2.3 承包人文件需政府有关部门或专用合同条件约定的第三方审</w:t>
      </w:r>
      <w:r>
        <w:rPr>
          <w:rFonts w:hint="eastAsia" w:ascii="仿宋" w:hAnsi="仿宋" w:eastAsia="仿宋" w:cs="仿宋"/>
          <w:color w:val="auto"/>
          <w:spacing w:val="6"/>
          <w:sz w:val="24"/>
          <w:szCs w:val="24"/>
          <w:highlight w:val="none"/>
        </w:rPr>
        <w:t>查单位审查或批准的，发</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包人应在发包人审查同意承包人文件后</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天内，向政府有</w:t>
      </w:r>
      <w:r>
        <w:rPr>
          <w:rFonts w:hint="eastAsia" w:ascii="仿宋" w:hAnsi="仿宋" w:eastAsia="仿宋" w:cs="仿宋"/>
          <w:color w:val="auto"/>
          <w:spacing w:val="7"/>
          <w:sz w:val="24"/>
          <w:szCs w:val="24"/>
          <w:highlight w:val="none"/>
        </w:rPr>
        <w:t>关部门或第三方报送承包人文件，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承包人应予以协助。</w:t>
      </w:r>
    </w:p>
    <w:p w14:paraId="00F73B5B">
      <w:pPr>
        <w:pStyle w:val="2"/>
        <w:keepNext w:val="0"/>
        <w:keepLines w:val="0"/>
        <w:pageBreakBefore w:val="0"/>
        <w:widowControl/>
        <w:kinsoku w:val="0"/>
        <w:wordWrap/>
        <w:overflowPunct/>
        <w:topLinePunct w:val="0"/>
        <w:autoSpaceDE w:val="0"/>
        <w:autoSpaceDN w:val="0"/>
        <w:bidi w:val="0"/>
        <w:adjustRightInd w:val="0"/>
        <w:snapToGrid w:val="0"/>
        <w:spacing w:before="148" w:line="245" w:lineRule="auto"/>
        <w:ind w:left="22" w:right="69" w:firstLine="599"/>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对于政府有关部门或第三方审查单位的审查意见，不需要修改《发包人要求》的，承</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2"/>
          <w:sz w:val="24"/>
          <w:szCs w:val="24"/>
          <w:highlight w:val="none"/>
        </w:rPr>
        <w:t>包人需按该审查意见修改承包人的设计文件；需要</w:t>
      </w:r>
      <w:r>
        <w:rPr>
          <w:rFonts w:hint="eastAsia" w:ascii="仿宋" w:hAnsi="仿宋" w:eastAsia="仿宋" w:cs="仿宋"/>
          <w:color w:val="auto"/>
          <w:spacing w:val="11"/>
          <w:sz w:val="24"/>
          <w:szCs w:val="24"/>
          <w:highlight w:val="none"/>
        </w:rPr>
        <w:t>修改《发包人要求》</w:t>
      </w:r>
      <w:r>
        <w:rPr>
          <w:rFonts w:hint="eastAsia" w:ascii="仿宋" w:hAnsi="仿宋" w:eastAsia="仿宋" w:cs="仿宋"/>
          <w:color w:val="auto"/>
          <w:spacing w:val="-56"/>
          <w:sz w:val="24"/>
          <w:szCs w:val="24"/>
          <w:highlight w:val="none"/>
        </w:rPr>
        <w:t xml:space="preserve"> </w:t>
      </w:r>
      <w:r>
        <w:rPr>
          <w:rFonts w:hint="eastAsia" w:ascii="仿宋" w:hAnsi="仿宋" w:eastAsia="仿宋" w:cs="仿宋"/>
          <w:color w:val="auto"/>
          <w:spacing w:val="11"/>
          <w:sz w:val="24"/>
          <w:szCs w:val="24"/>
          <w:highlight w:val="none"/>
        </w:rPr>
        <w:t>的，承包人应按第</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13.2</w:t>
      </w:r>
      <w:r>
        <w:rPr>
          <w:rFonts w:hint="eastAsia" w:ascii="仿宋" w:hAnsi="仿宋" w:eastAsia="仿宋" w:cs="仿宋"/>
          <w:color w:val="auto"/>
          <w:spacing w:val="-51"/>
          <w:sz w:val="24"/>
          <w:szCs w:val="24"/>
          <w:highlight w:val="none"/>
        </w:rPr>
        <w:t xml:space="preserve"> </w:t>
      </w:r>
      <w:r>
        <w:rPr>
          <w:rFonts w:hint="eastAsia" w:ascii="仿宋" w:hAnsi="仿宋" w:eastAsia="仿宋" w:cs="仿宋"/>
          <w:color w:val="auto"/>
          <w:spacing w:val="6"/>
          <w:sz w:val="24"/>
          <w:szCs w:val="24"/>
          <w:highlight w:val="none"/>
        </w:rPr>
        <w:t>款[承包人的合理化建议]的约定执行。上</w:t>
      </w:r>
      <w:r>
        <w:rPr>
          <w:rFonts w:hint="eastAsia" w:ascii="仿宋" w:hAnsi="仿宋" w:eastAsia="仿宋" w:cs="仿宋"/>
          <w:color w:val="auto"/>
          <w:spacing w:val="5"/>
          <w:sz w:val="24"/>
          <w:szCs w:val="24"/>
          <w:highlight w:val="none"/>
        </w:rPr>
        <w:t>述情形还应适用第</w:t>
      </w:r>
      <w:r>
        <w:rPr>
          <w:rFonts w:hint="eastAsia" w:ascii="仿宋" w:hAnsi="仿宋" w:eastAsia="仿宋" w:cs="仿宋"/>
          <w:color w:val="auto"/>
          <w:spacing w:val="-50"/>
          <w:sz w:val="24"/>
          <w:szCs w:val="24"/>
          <w:highlight w:val="none"/>
        </w:rPr>
        <w:t xml:space="preserve"> </w:t>
      </w:r>
      <w:r>
        <w:rPr>
          <w:rFonts w:hint="eastAsia" w:ascii="仿宋" w:hAnsi="仿宋" w:eastAsia="仿宋" w:cs="仿宋"/>
          <w:color w:val="auto"/>
          <w:spacing w:val="5"/>
          <w:sz w:val="24"/>
          <w:szCs w:val="24"/>
          <w:highlight w:val="none"/>
        </w:rPr>
        <w:t>5.1</w:t>
      </w:r>
      <w:r>
        <w:rPr>
          <w:rFonts w:hint="eastAsia" w:ascii="仿宋" w:hAnsi="仿宋" w:eastAsia="仿宋" w:cs="仿宋"/>
          <w:color w:val="auto"/>
          <w:spacing w:val="-51"/>
          <w:sz w:val="24"/>
          <w:szCs w:val="24"/>
          <w:highlight w:val="none"/>
        </w:rPr>
        <w:t xml:space="preserve"> </w:t>
      </w:r>
      <w:r>
        <w:rPr>
          <w:rFonts w:hint="eastAsia" w:ascii="仿宋" w:hAnsi="仿宋" w:eastAsia="仿宋" w:cs="仿宋"/>
          <w:color w:val="auto"/>
          <w:spacing w:val="5"/>
          <w:sz w:val="24"/>
          <w:szCs w:val="24"/>
          <w:highlight w:val="none"/>
        </w:rPr>
        <w:t>款[承包人的设计义务]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和第</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5"/>
          <w:sz w:val="24"/>
          <w:szCs w:val="24"/>
          <w:highlight w:val="none"/>
        </w:rPr>
        <w:t>13</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5"/>
          <w:sz w:val="24"/>
          <w:szCs w:val="24"/>
          <w:highlight w:val="none"/>
        </w:rPr>
        <w:t>条[变更与调整]的有关约定。</w:t>
      </w:r>
    </w:p>
    <w:p w14:paraId="4A1C7CFE">
      <w:pPr>
        <w:pStyle w:val="2"/>
        <w:keepNext w:val="0"/>
        <w:keepLines w:val="0"/>
        <w:pageBreakBefore w:val="0"/>
        <w:widowControl/>
        <w:kinsoku w:val="0"/>
        <w:wordWrap/>
        <w:overflowPunct/>
        <w:topLinePunct w:val="0"/>
        <w:autoSpaceDE w:val="0"/>
        <w:autoSpaceDN w:val="0"/>
        <w:bidi w:val="0"/>
        <w:adjustRightInd w:val="0"/>
        <w:snapToGrid w:val="0"/>
        <w:spacing w:before="26" w:line="244" w:lineRule="auto"/>
        <w:ind w:left="21" w:right="70"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政府有关部门或第三方审查单位审查批准后，承包人应当严格按照批准后的承包人文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件实施工程。政府有关部门或第三方审查单位批准时间较合同约定时间延长的，竣工日期相</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应顺延。因此给双方带来的费用增加，由双方在负责的范围内各自承担。</w:t>
      </w:r>
    </w:p>
    <w:p w14:paraId="00E745DD">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5.3</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2"/>
          <w:sz w:val="24"/>
          <w:szCs w:val="24"/>
          <w:highlight w:val="none"/>
        </w:rPr>
        <w:t>培训</w:t>
      </w:r>
    </w:p>
    <w:p w14:paraId="497E0C32">
      <w:pPr>
        <w:pStyle w:val="2"/>
        <w:keepNext w:val="0"/>
        <w:keepLines w:val="0"/>
        <w:pageBreakBefore w:val="0"/>
        <w:widowControl/>
        <w:kinsoku w:val="0"/>
        <w:wordWrap/>
        <w:overflowPunct/>
        <w:topLinePunct w:val="0"/>
        <w:autoSpaceDE w:val="0"/>
        <w:autoSpaceDN w:val="0"/>
        <w:bidi w:val="0"/>
        <w:adjustRightInd w:val="0"/>
        <w:snapToGrid w:val="0"/>
        <w:spacing w:before="144" w:line="244" w:lineRule="auto"/>
        <w:ind w:left="23" w:right="70" w:firstLine="599"/>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承包人应按照《发包人要求》，对发包人的雇员或其它发包人指定的人员进行工</w:t>
      </w:r>
      <w:r>
        <w:rPr>
          <w:rFonts w:hint="eastAsia" w:ascii="仿宋" w:hAnsi="仿宋" w:eastAsia="仿宋" w:cs="仿宋"/>
          <w:color w:val="auto"/>
          <w:spacing w:val="7"/>
          <w:sz w:val="24"/>
          <w:szCs w:val="24"/>
          <w:highlight w:val="none"/>
        </w:rPr>
        <w:t>程操</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作、维修或其它合同中约定的培训。合同约定接收之前进行培训的，应在第</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6"/>
          <w:sz w:val="24"/>
          <w:szCs w:val="24"/>
          <w:highlight w:val="none"/>
        </w:rPr>
        <w:t>10.1</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6"/>
          <w:sz w:val="24"/>
          <w:szCs w:val="24"/>
          <w:highlight w:val="none"/>
        </w:rPr>
        <w:t>款[竣工验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收]约定的竣工验收前或试运行结束前完成培训。</w:t>
      </w:r>
    </w:p>
    <w:p w14:paraId="0809861A">
      <w:pPr>
        <w:pStyle w:val="2"/>
        <w:keepNext w:val="0"/>
        <w:keepLines w:val="0"/>
        <w:pageBreakBefore w:val="0"/>
        <w:widowControl/>
        <w:kinsoku w:val="0"/>
        <w:wordWrap/>
        <w:overflowPunct/>
        <w:topLinePunct w:val="0"/>
        <w:autoSpaceDE w:val="0"/>
        <w:autoSpaceDN w:val="0"/>
        <w:bidi w:val="0"/>
        <w:adjustRightInd w:val="0"/>
        <w:snapToGrid w:val="0"/>
        <w:spacing w:before="25" w:line="239" w:lineRule="auto"/>
        <w:ind w:left="21" w:right="70" w:firstLine="6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培训的时长应由双方在专用合同条件中约定，承包人应为培训提供有经验的人员</w:t>
      </w:r>
      <w:r>
        <w:rPr>
          <w:rFonts w:hint="eastAsia" w:ascii="仿宋" w:hAnsi="仿宋" w:eastAsia="仿宋" w:cs="仿宋"/>
          <w:color w:val="auto"/>
          <w:spacing w:val="7"/>
          <w:sz w:val="24"/>
          <w:szCs w:val="24"/>
          <w:highlight w:val="none"/>
        </w:rPr>
        <w:t>、设</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施和其它必要条件。</w:t>
      </w:r>
    </w:p>
    <w:p w14:paraId="112D0647">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5.4 竣工文件</w:t>
      </w:r>
    </w:p>
    <w:p w14:paraId="6608A5F5">
      <w:pPr>
        <w:pStyle w:val="2"/>
        <w:keepNext w:val="0"/>
        <w:keepLines w:val="0"/>
        <w:pageBreakBefore w:val="0"/>
        <w:widowControl/>
        <w:kinsoku w:val="0"/>
        <w:wordWrap/>
        <w:overflowPunct/>
        <w:topLinePunct w:val="0"/>
        <w:autoSpaceDE w:val="0"/>
        <w:autoSpaceDN w:val="0"/>
        <w:bidi w:val="0"/>
        <w:adjustRightInd w:val="0"/>
        <w:snapToGrid w:val="0"/>
        <w:spacing w:before="144" w:line="246" w:lineRule="auto"/>
        <w:ind w:left="20" w:right="70" w:firstLine="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5.4.1 承包人应编制并及时更新反映工程实施结果的竣工记录，如</w:t>
      </w:r>
      <w:r>
        <w:rPr>
          <w:rFonts w:hint="eastAsia" w:ascii="仿宋" w:hAnsi="仿宋" w:eastAsia="仿宋" w:cs="仿宋"/>
          <w:color w:val="auto"/>
          <w:spacing w:val="6"/>
          <w:sz w:val="24"/>
          <w:szCs w:val="24"/>
          <w:highlight w:val="none"/>
        </w:rPr>
        <w:t>实记载竣工工程的确切位</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置、尺寸和已实施工作的详细说明。竣工文件的形式、技术标准以及其它相关内容应按照相</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7"/>
          <w:sz w:val="24"/>
          <w:szCs w:val="24"/>
          <w:highlight w:val="none"/>
        </w:rPr>
        <w:t>关法律法规、行业标准与《发包人要求》执行。竣工记录应保存在施工现场，并在竣工试验</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9"/>
          <w:sz w:val="24"/>
          <w:szCs w:val="24"/>
          <w:highlight w:val="none"/>
        </w:rPr>
        <w:t>开始前，按照专用合同条件约定的份数提交给工程师。</w:t>
      </w:r>
    </w:p>
    <w:p w14:paraId="3E7656CC">
      <w:pPr>
        <w:pStyle w:val="2"/>
        <w:keepNext w:val="0"/>
        <w:keepLines w:val="0"/>
        <w:pageBreakBefore w:val="0"/>
        <w:widowControl/>
        <w:kinsoku w:val="0"/>
        <w:wordWrap/>
        <w:overflowPunct/>
        <w:topLinePunct w:val="0"/>
        <w:autoSpaceDE w:val="0"/>
        <w:autoSpaceDN w:val="0"/>
        <w:bidi w:val="0"/>
        <w:adjustRightInd w:val="0"/>
        <w:snapToGrid w:val="0"/>
        <w:spacing w:before="143" w:line="244" w:lineRule="auto"/>
        <w:ind w:left="22" w:right="70" w:firstLine="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5.4.2 在颁发工程接收证书之前，承包人应按照《发包人要求</w:t>
      </w:r>
      <w:r>
        <w:rPr>
          <w:rFonts w:hint="eastAsia" w:ascii="仿宋" w:hAnsi="仿宋" w:eastAsia="仿宋" w:cs="仿宋"/>
          <w:color w:val="auto"/>
          <w:spacing w:val="6"/>
          <w:sz w:val="24"/>
          <w:szCs w:val="24"/>
          <w:highlight w:val="none"/>
        </w:rPr>
        <w:t>》的份数和形式向工程师提交</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3"/>
          <w:sz w:val="24"/>
          <w:szCs w:val="24"/>
          <w:highlight w:val="none"/>
        </w:rPr>
        <w:t>相应竣工图纸，并取得工程师对尺寸、参照系统及其他有关细</w:t>
      </w:r>
      <w:r>
        <w:rPr>
          <w:rFonts w:hint="eastAsia" w:ascii="仿宋" w:hAnsi="仿宋" w:eastAsia="仿宋" w:cs="仿宋"/>
          <w:color w:val="auto"/>
          <w:spacing w:val="12"/>
          <w:sz w:val="24"/>
          <w:szCs w:val="24"/>
          <w:highlight w:val="none"/>
        </w:rPr>
        <w:t>节的认可。工程师应按照第</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5.2</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7"/>
          <w:sz w:val="24"/>
          <w:szCs w:val="24"/>
          <w:highlight w:val="none"/>
        </w:rPr>
        <w:t>款[承包人文件审查]的约定进行审查。</w:t>
      </w:r>
    </w:p>
    <w:p w14:paraId="58C8F9A4">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37" w:right="70" w:hanging="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5.4.3 除专用合同条件另有约定外，在工程师收到本款下的文件前</w:t>
      </w:r>
      <w:r>
        <w:rPr>
          <w:rFonts w:hint="eastAsia" w:ascii="仿宋" w:hAnsi="仿宋" w:eastAsia="仿宋" w:cs="仿宋"/>
          <w:color w:val="auto"/>
          <w:spacing w:val="6"/>
          <w:sz w:val="24"/>
          <w:szCs w:val="24"/>
          <w:highlight w:val="none"/>
        </w:rPr>
        <w:t>，不应认为工程已根据第</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10.1</w:t>
      </w:r>
      <w:r>
        <w:rPr>
          <w:rFonts w:hint="eastAsia" w:ascii="仿宋" w:hAnsi="仿宋" w:eastAsia="仿宋" w:cs="仿宋"/>
          <w:color w:val="auto"/>
          <w:spacing w:val="-30"/>
          <w:sz w:val="24"/>
          <w:szCs w:val="24"/>
          <w:highlight w:val="none"/>
        </w:rPr>
        <w:t xml:space="preserve"> </w:t>
      </w:r>
      <w:r>
        <w:rPr>
          <w:rFonts w:hint="eastAsia" w:ascii="仿宋" w:hAnsi="仿宋" w:eastAsia="仿宋" w:cs="仿宋"/>
          <w:color w:val="auto"/>
          <w:spacing w:val="6"/>
          <w:sz w:val="24"/>
          <w:szCs w:val="24"/>
          <w:highlight w:val="none"/>
        </w:rPr>
        <w:t>款[竣工验收]和第</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6"/>
          <w:sz w:val="24"/>
          <w:szCs w:val="24"/>
          <w:highlight w:val="none"/>
        </w:rPr>
        <w:t>10.2</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6"/>
          <w:sz w:val="24"/>
          <w:szCs w:val="24"/>
          <w:highlight w:val="none"/>
        </w:rPr>
        <w:t>款[单位/区段工程的验收]的约定完成验收。</w:t>
      </w:r>
    </w:p>
    <w:p w14:paraId="48DE591B">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5.5 操作和维修手册</w:t>
      </w:r>
    </w:p>
    <w:p w14:paraId="57BF331D">
      <w:pPr>
        <w:pStyle w:val="2"/>
        <w:keepNext w:val="0"/>
        <w:keepLines w:val="0"/>
        <w:pageBreakBefore w:val="0"/>
        <w:widowControl/>
        <w:kinsoku w:val="0"/>
        <w:wordWrap/>
        <w:overflowPunct/>
        <w:topLinePunct w:val="0"/>
        <w:autoSpaceDE w:val="0"/>
        <w:autoSpaceDN w:val="0"/>
        <w:bidi w:val="0"/>
        <w:adjustRightInd w:val="0"/>
        <w:snapToGrid w:val="0"/>
        <w:spacing w:before="40" w:line="244" w:lineRule="auto"/>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5.5.1 在竣工试验开始前，承包人应向工程师提交暂行的操作和维修手册并负责及时更新，</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7"/>
          <w:sz w:val="24"/>
          <w:szCs w:val="24"/>
          <w:highlight w:val="none"/>
        </w:rPr>
        <w:t>该手册应足够详细，以便发包人能够对工程设备进行操作、维修、拆卸、重新安装、调整</w:t>
      </w:r>
      <w:r>
        <w:rPr>
          <w:rFonts w:hint="eastAsia" w:ascii="仿宋" w:hAnsi="仿宋" w:eastAsia="仿宋" w:cs="仿宋"/>
          <w:color w:val="auto"/>
          <w:spacing w:val="6"/>
          <w:sz w:val="24"/>
          <w:szCs w:val="24"/>
          <w:highlight w:val="none"/>
        </w:rPr>
        <w:t xml:space="preserve">及 </w:t>
      </w:r>
      <w:r>
        <w:rPr>
          <w:rFonts w:hint="eastAsia" w:ascii="仿宋" w:hAnsi="仿宋" w:eastAsia="仿宋" w:cs="仿宋"/>
          <w:color w:val="auto"/>
          <w:spacing w:val="4"/>
          <w:sz w:val="24"/>
          <w:szCs w:val="24"/>
          <w:highlight w:val="none"/>
        </w:rPr>
        <w:t>修理，以及实现《发包人要求》。同时，手册还应包含发包人未来可能需要的备品备件清单。</w:t>
      </w:r>
    </w:p>
    <w:p w14:paraId="505EE23C">
      <w:pPr>
        <w:pStyle w:val="2"/>
        <w:keepNext w:val="0"/>
        <w:keepLines w:val="0"/>
        <w:pageBreakBefore w:val="0"/>
        <w:widowControl/>
        <w:kinsoku w:val="0"/>
        <w:wordWrap/>
        <w:overflowPunct/>
        <w:topLinePunct w:val="0"/>
        <w:autoSpaceDE w:val="0"/>
        <w:autoSpaceDN w:val="0"/>
        <w:bidi w:val="0"/>
        <w:adjustRightInd w:val="0"/>
        <w:snapToGrid w:val="0"/>
        <w:spacing w:before="145" w:line="244" w:lineRule="auto"/>
        <w:ind w:left="23" w:right="70" w:firstLine="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5.5.2 工程师收到承包人提交的文件后，应依据第</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6"/>
          <w:sz w:val="24"/>
          <w:szCs w:val="24"/>
          <w:highlight w:val="none"/>
        </w:rPr>
        <w:t>5.2</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6"/>
          <w:sz w:val="24"/>
          <w:szCs w:val="24"/>
          <w:highlight w:val="none"/>
        </w:rPr>
        <w:t>款[承包人文件审查</w:t>
      </w:r>
      <w:r>
        <w:rPr>
          <w:rFonts w:hint="eastAsia" w:ascii="仿宋" w:hAnsi="仿宋" w:eastAsia="仿宋" w:cs="仿宋"/>
          <w:color w:val="auto"/>
          <w:spacing w:val="5"/>
          <w:sz w:val="24"/>
          <w:szCs w:val="24"/>
          <w:highlight w:val="none"/>
        </w:rPr>
        <w:t>]的约定对操作和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维修手册进行审查，竣工试验工程中，承包人应为任何因操作和维修手册错误或遗漏引起的</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风险或损失承担责任。</w:t>
      </w:r>
    </w:p>
    <w:p w14:paraId="6DAB6129">
      <w:pPr>
        <w:pStyle w:val="2"/>
        <w:keepNext w:val="0"/>
        <w:keepLines w:val="0"/>
        <w:pageBreakBefore w:val="0"/>
        <w:widowControl/>
        <w:kinsoku w:val="0"/>
        <w:wordWrap/>
        <w:overflowPunct/>
        <w:topLinePunct w:val="0"/>
        <w:autoSpaceDE w:val="0"/>
        <w:autoSpaceDN w:val="0"/>
        <w:bidi w:val="0"/>
        <w:adjustRightInd w:val="0"/>
        <w:snapToGrid w:val="0"/>
        <w:spacing w:before="143" w:line="246" w:lineRule="auto"/>
        <w:ind w:left="23" w:right="69" w:firstLine="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5.5.3 除专用合同条件另有约定外，承包人应提交足够详细的最终</w:t>
      </w:r>
      <w:r>
        <w:rPr>
          <w:rFonts w:hint="eastAsia" w:ascii="仿宋" w:hAnsi="仿宋" w:eastAsia="仿宋" w:cs="仿宋"/>
          <w:color w:val="auto"/>
          <w:spacing w:val="6"/>
          <w:sz w:val="24"/>
          <w:szCs w:val="24"/>
          <w:highlight w:val="none"/>
        </w:rPr>
        <w:t>操作和维修手册，以及在</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《发包人要求》中明确的相关操作和维修手册。除专用合同条件另有约定外，在工程师收到</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6"/>
          <w:sz w:val="24"/>
          <w:szCs w:val="24"/>
          <w:highlight w:val="none"/>
        </w:rPr>
        <w:t>上述文件前，不应认为工程已根据第</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10.1款[竣工验收]和第</w:t>
      </w:r>
      <w:r>
        <w:rPr>
          <w:rFonts w:hint="eastAsia" w:ascii="仿宋" w:hAnsi="仿宋" w:eastAsia="仿宋" w:cs="仿宋"/>
          <w:color w:val="auto"/>
          <w:spacing w:val="-48"/>
          <w:sz w:val="24"/>
          <w:szCs w:val="24"/>
          <w:highlight w:val="none"/>
        </w:rPr>
        <w:t xml:space="preserve"> </w:t>
      </w:r>
      <w:r>
        <w:rPr>
          <w:rFonts w:hint="eastAsia" w:ascii="仿宋" w:hAnsi="仿宋" w:eastAsia="仿宋" w:cs="仿宋"/>
          <w:color w:val="auto"/>
          <w:spacing w:val="6"/>
          <w:sz w:val="24"/>
          <w:szCs w:val="24"/>
          <w:highlight w:val="none"/>
        </w:rPr>
        <w:t>10.2款[单位/区段工程的验收]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的约定完成验收。</w:t>
      </w:r>
    </w:p>
    <w:p w14:paraId="45E594C7">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5.6 承包人文件错误</w:t>
      </w:r>
    </w:p>
    <w:p w14:paraId="4CA4A3A4">
      <w:pPr>
        <w:pStyle w:val="2"/>
        <w:keepNext w:val="0"/>
        <w:keepLines w:val="0"/>
        <w:pageBreakBefore w:val="0"/>
        <w:widowControl/>
        <w:kinsoku w:val="0"/>
        <w:wordWrap/>
        <w:overflowPunct/>
        <w:topLinePunct w:val="0"/>
        <w:autoSpaceDE w:val="0"/>
        <w:autoSpaceDN w:val="0"/>
        <w:bidi w:val="0"/>
        <w:adjustRightInd w:val="0"/>
        <w:snapToGrid w:val="0"/>
        <w:spacing w:before="144" w:line="247" w:lineRule="auto"/>
        <w:ind w:left="22" w:right="70"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承包人文件存在错误、遗漏、含混、矛盾、不充分之处或其他缺陷，无论承包人</w:t>
      </w:r>
      <w:r>
        <w:rPr>
          <w:rFonts w:hint="eastAsia" w:ascii="仿宋" w:hAnsi="仿宋" w:eastAsia="仿宋" w:cs="仿宋"/>
          <w:color w:val="auto"/>
          <w:spacing w:val="7"/>
          <w:sz w:val="24"/>
          <w:szCs w:val="24"/>
          <w:highlight w:val="none"/>
        </w:rPr>
        <w:t>是否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根据本款获得了同意，承包人均应自费对前述问题带来的缺陷和工程问题进行改正，并按照</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6"/>
          <w:sz w:val="24"/>
          <w:szCs w:val="24"/>
          <w:highlight w:val="none"/>
        </w:rPr>
        <w:t>第</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6"/>
          <w:sz w:val="24"/>
          <w:szCs w:val="24"/>
          <w:highlight w:val="none"/>
        </w:rPr>
        <w:t>5.2</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6"/>
          <w:sz w:val="24"/>
          <w:szCs w:val="24"/>
          <w:highlight w:val="none"/>
        </w:rPr>
        <w:t>款[承包人文件审查]的要求，重新送工程师审查，审查日期从工程师收到文件开始重</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新计算。因此款原因重新提交审查文件导致的工程延误和必要费用增加由承包人承担。《发</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包人要求》的错误导致承包人文件错误、遗漏、含混、矛盾、不充分或其他缺陷的除外。</w:t>
      </w:r>
    </w:p>
    <w:p w14:paraId="6620E950">
      <w:pPr>
        <w:pStyle w:val="2"/>
        <w:keepNext w:val="0"/>
        <w:keepLines w:val="0"/>
        <w:pageBreakBefore w:val="0"/>
        <w:widowControl/>
        <w:kinsoku w:val="0"/>
        <w:wordWrap/>
        <w:overflowPunct/>
        <w:topLinePunct w:val="0"/>
        <w:autoSpaceDE w:val="0"/>
        <w:autoSpaceDN w:val="0"/>
        <w:bidi w:val="0"/>
        <w:adjustRightInd w:val="0"/>
        <w:snapToGrid w:val="0"/>
        <w:spacing w:before="145" w:line="227" w:lineRule="auto"/>
        <w:ind w:left="31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第6条 材料、工程设备</w:t>
      </w:r>
    </w:p>
    <w:p w14:paraId="02686C1B">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6.1</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4"/>
          <w:sz w:val="24"/>
          <w:szCs w:val="24"/>
          <w:highlight w:val="none"/>
        </w:rPr>
        <w:t>实施方法</w:t>
      </w:r>
    </w:p>
    <w:p w14:paraId="11B91084">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23" w:right="70" w:firstLine="5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承包人应按以下方法进行材料的加工、工程设备的采购、制造和安装、以及工程的所</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有其他实施作业：</w:t>
      </w:r>
    </w:p>
    <w:p w14:paraId="77569C45">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按照法律规定和合同约定的方法；</w:t>
      </w:r>
    </w:p>
    <w:p w14:paraId="3649A547">
      <w:pPr>
        <w:pStyle w:val="2"/>
        <w:keepNext w:val="0"/>
        <w:keepLines w:val="0"/>
        <w:pageBreakBefore w:val="0"/>
        <w:widowControl/>
        <w:kinsoku w:val="0"/>
        <w:wordWrap/>
        <w:overflowPunct/>
        <w:topLinePunct w:val="0"/>
        <w:autoSpaceDE w:val="0"/>
        <w:autoSpaceDN w:val="0"/>
        <w:bidi w:val="0"/>
        <w:adjustRightInd w:val="0"/>
        <w:snapToGrid w:val="0"/>
        <w:spacing w:before="25"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（2） 按照公认的良好行业习惯，使用恰当、审慎、先进的方法；</w:t>
      </w:r>
    </w:p>
    <w:p w14:paraId="2799A51D">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33" w:right="70" w:firstLine="5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除专用合同条件另有规定外，应使用适当配备的实施方法、设备、设施和无危</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3"/>
          <w:sz w:val="24"/>
          <w:szCs w:val="24"/>
          <w:highlight w:val="none"/>
        </w:rPr>
        <w:t>险的材料。</w:t>
      </w:r>
    </w:p>
    <w:p w14:paraId="1E3B642B">
      <w:pPr>
        <w:pStyle w:val="2"/>
        <w:keepNext w:val="0"/>
        <w:keepLines w:val="0"/>
        <w:pageBreakBefore w:val="0"/>
        <w:widowControl/>
        <w:kinsoku w:val="0"/>
        <w:wordWrap/>
        <w:overflowPunct/>
        <w:topLinePunct w:val="0"/>
        <w:autoSpaceDE w:val="0"/>
        <w:autoSpaceDN w:val="0"/>
        <w:bidi w:val="0"/>
        <w:adjustRightInd w:val="0"/>
        <w:snapToGrid w:val="0"/>
        <w:spacing w:before="27" w:line="227"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6.2 材料和工程设备</w:t>
      </w:r>
    </w:p>
    <w:p w14:paraId="3F3217D0">
      <w:pPr>
        <w:pStyle w:val="2"/>
        <w:keepNext w:val="0"/>
        <w:keepLines w:val="0"/>
        <w:pageBreakBefore w:val="0"/>
        <w:widowControl/>
        <w:kinsoku w:val="0"/>
        <w:wordWrap/>
        <w:overflowPunct/>
        <w:topLinePunct w:val="0"/>
        <w:autoSpaceDE w:val="0"/>
        <w:autoSpaceDN w:val="0"/>
        <w:bidi w:val="0"/>
        <w:adjustRightInd w:val="0"/>
        <w:snapToGrid w:val="0"/>
        <w:spacing w:before="146" w:line="227"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6.2.1 发包人提供的材料和工程设备</w:t>
      </w:r>
    </w:p>
    <w:p w14:paraId="18D1FC79">
      <w:pPr>
        <w:pStyle w:val="2"/>
        <w:keepNext w:val="0"/>
        <w:keepLines w:val="0"/>
        <w:pageBreakBefore w:val="0"/>
        <w:widowControl/>
        <w:kinsoku w:val="0"/>
        <w:wordWrap/>
        <w:overflowPunct/>
        <w:topLinePunct w:val="0"/>
        <w:autoSpaceDE w:val="0"/>
        <w:autoSpaceDN w:val="0"/>
        <w:bidi w:val="0"/>
        <w:adjustRightInd w:val="0"/>
        <w:snapToGrid w:val="0"/>
        <w:spacing w:before="146" w:line="244" w:lineRule="auto"/>
        <w:ind w:left="22" w:firstLine="60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 xml:space="preserve">发包人自行供应材料、工程设备的，应在订立合同时在专用合同条件的附件《发包人 </w:t>
      </w:r>
      <w:r>
        <w:rPr>
          <w:rFonts w:hint="eastAsia" w:ascii="仿宋" w:hAnsi="仿宋" w:eastAsia="仿宋" w:cs="仿宋"/>
          <w:color w:val="auto"/>
          <w:spacing w:val="4"/>
          <w:sz w:val="24"/>
          <w:szCs w:val="24"/>
          <w:highlight w:val="none"/>
        </w:rPr>
        <w:t>供应材料设备一览表》中明确材料、工程设备的品种、规格、型号、主要参数、数量、单价、</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8"/>
          <w:sz w:val="24"/>
          <w:szCs w:val="24"/>
          <w:highlight w:val="none"/>
        </w:rPr>
        <w:t>质量等级和交接地点等。</w:t>
      </w:r>
    </w:p>
    <w:p w14:paraId="248A3650">
      <w:pPr>
        <w:pStyle w:val="2"/>
        <w:keepNext w:val="0"/>
        <w:keepLines w:val="0"/>
        <w:pageBreakBefore w:val="0"/>
        <w:widowControl/>
        <w:kinsoku w:val="0"/>
        <w:wordWrap/>
        <w:overflowPunct/>
        <w:topLinePunct w:val="0"/>
        <w:autoSpaceDE w:val="0"/>
        <w:autoSpaceDN w:val="0"/>
        <w:bidi w:val="0"/>
        <w:adjustRightInd w:val="0"/>
        <w:snapToGrid w:val="0"/>
        <w:spacing w:before="23" w:line="246" w:lineRule="auto"/>
        <w:ind w:left="21" w:right="70"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承包人应根据项目进度计划的安排，提前</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10"/>
          <w:sz w:val="24"/>
          <w:szCs w:val="24"/>
          <w:highlight w:val="none"/>
        </w:rPr>
        <w:t>28</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10"/>
          <w:sz w:val="24"/>
          <w:szCs w:val="24"/>
          <w:highlight w:val="none"/>
        </w:rPr>
        <w:t>天以书面形式通知工程师供</w:t>
      </w:r>
      <w:r>
        <w:rPr>
          <w:rFonts w:hint="eastAsia" w:ascii="仿宋" w:hAnsi="仿宋" w:eastAsia="仿宋" w:cs="仿宋"/>
          <w:color w:val="auto"/>
          <w:spacing w:val="9"/>
          <w:sz w:val="24"/>
          <w:szCs w:val="24"/>
          <w:highlight w:val="none"/>
        </w:rPr>
        <w:t>应材料与工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程设备的进场计划。承包人按照第</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7"/>
          <w:sz w:val="24"/>
          <w:szCs w:val="24"/>
          <w:highlight w:val="none"/>
        </w:rPr>
        <w:t>8.4</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7"/>
          <w:sz w:val="24"/>
          <w:szCs w:val="24"/>
          <w:highlight w:val="none"/>
        </w:rPr>
        <w:t>款</w:t>
      </w:r>
      <w:r>
        <w:rPr>
          <w:rFonts w:hint="eastAsia" w:ascii="仿宋" w:hAnsi="仿宋" w:eastAsia="仿宋" w:cs="仿宋"/>
          <w:color w:val="auto"/>
          <w:spacing w:val="6"/>
          <w:sz w:val="24"/>
          <w:szCs w:val="24"/>
          <w:highlight w:val="none"/>
        </w:rPr>
        <w:t>[项目进度计划]约定修订项目进度计划时，需同时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提交经修订后的发包人供应材料与工程设备的进场计划。发包人应按照上述进场计划，向承</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包人提交材料和工程设备。</w:t>
      </w:r>
    </w:p>
    <w:p w14:paraId="46543DDF">
      <w:pPr>
        <w:pStyle w:val="2"/>
        <w:keepNext w:val="0"/>
        <w:keepLines w:val="0"/>
        <w:pageBreakBefore w:val="0"/>
        <w:widowControl/>
        <w:kinsoku w:val="0"/>
        <w:wordWrap/>
        <w:overflowPunct/>
        <w:topLinePunct w:val="0"/>
        <w:autoSpaceDE w:val="0"/>
        <w:autoSpaceDN w:val="0"/>
        <w:bidi w:val="0"/>
        <w:adjustRightInd w:val="0"/>
        <w:snapToGrid w:val="0"/>
        <w:spacing w:before="23" w:line="244" w:lineRule="auto"/>
        <w:ind w:left="24" w:right="70"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发包人应在材料和工程设备到货</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7"/>
          <w:sz w:val="24"/>
          <w:szCs w:val="24"/>
          <w:highlight w:val="none"/>
        </w:rPr>
        <w:t>天前通知承包人，承包人应会同工程师在约定的时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间内，赴交货地点共同进行验收。除专用合同条件另有约定外，发包人提供的材料和工程设</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8"/>
          <w:sz w:val="24"/>
          <w:szCs w:val="24"/>
          <w:highlight w:val="none"/>
        </w:rPr>
        <w:t>备验收后，由承包人负责接收、运输和保管。</w:t>
      </w:r>
    </w:p>
    <w:p w14:paraId="23C941E1">
      <w:pPr>
        <w:pStyle w:val="2"/>
        <w:keepNext w:val="0"/>
        <w:keepLines w:val="0"/>
        <w:pageBreakBefore w:val="0"/>
        <w:widowControl/>
        <w:kinsoku w:val="0"/>
        <w:wordWrap/>
        <w:overflowPunct/>
        <w:topLinePunct w:val="0"/>
        <w:autoSpaceDE w:val="0"/>
        <w:autoSpaceDN w:val="0"/>
        <w:bidi w:val="0"/>
        <w:adjustRightInd w:val="0"/>
        <w:snapToGrid w:val="0"/>
        <w:spacing w:before="24" w:line="246" w:lineRule="auto"/>
        <w:ind w:left="20" w:right="69" w:firstLine="605"/>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发包人需要对进场计划进行变更的，承包人不得拒绝，应根据第</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9"/>
          <w:sz w:val="24"/>
          <w:szCs w:val="24"/>
          <w:highlight w:val="none"/>
        </w:rPr>
        <w:t>13</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9"/>
          <w:sz w:val="24"/>
          <w:szCs w:val="24"/>
          <w:highlight w:val="none"/>
        </w:rPr>
        <w:t>条[变更与调整]</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的规定执行，并由发包人承担承包人由此增加的费用，以及引起的工期延误。承包人需要对</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7"/>
          <w:sz w:val="24"/>
          <w:szCs w:val="24"/>
          <w:highlight w:val="none"/>
        </w:rPr>
        <w:t>进场计划进行变更的，应事先报请工程师批准，由此增加的费用和（或）工期延误由承包人</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3"/>
          <w:sz w:val="24"/>
          <w:szCs w:val="24"/>
          <w:highlight w:val="none"/>
        </w:rPr>
        <w:t>承担。</w:t>
      </w:r>
    </w:p>
    <w:p w14:paraId="0CAC443C">
      <w:pPr>
        <w:pStyle w:val="2"/>
        <w:keepNext w:val="0"/>
        <w:keepLines w:val="0"/>
        <w:pageBreakBefore w:val="0"/>
        <w:widowControl/>
        <w:kinsoku w:val="0"/>
        <w:wordWrap/>
        <w:overflowPunct/>
        <w:topLinePunct w:val="0"/>
        <w:autoSpaceDE w:val="0"/>
        <w:autoSpaceDN w:val="0"/>
        <w:bidi w:val="0"/>
        <w:adjustRightInd w:val="0"/>
        <w:snapToGrid w:val="0"/>
        <w:spacing w:before="23" w:line="244" w:lineRule="auto"/>
        <w:ind w:left="23" w:right="70" w:firstLine="60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发包人提供的材料和工程设备的规格、数量或质量不符合合同要求，或由</w:t>
      </w:r>
      <w:r>
        <w:rPr>
          <w:rFonts w:hint="eastAsia" w:ascii="仿宋" w:hAnsi="仿宋" w:eastAsia="仿宋" w:cs="仿宋"/>
          <w:color w:val="auto"/>
          <w:spacing w:val="7"/>
          <w:sz w:val="24"/>
          <w:szCs w:val="24"/>
          <w:highlight w:val="none"/>
        </w:rPr>
        <w:t>于发包人原</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因发生交货日期延误及交货地点变更等情况的，发包人应承担由此增加的费用和（或）工期</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延误，并向承包人支付合理利润。</w:t>
      </w:r>
    </w:p>
    <w:p w14:paraId="2A09F7AC">
      <w:pPr>
        <w:pStyle w:val="2"/>
        <w:keepNext w:val="0"/>
        <w:keepLines w:val="0"/>
        <w:pageBreakBefore w:val="0"/>
        <w:widowControl/>
        <w:kinsoku w:val="0"/>
        <w:wordWrap/>
        <w:overflowPunct/>
        <w:topLinePunct w:val="0"/>
        <w:autoSpaceDE w:val="0"/>
        <w:autoSpaceDN w:val="0"/>
        <w:bidi w:val="0"/>
        <w:adjustRightInd w:val="0"/>
        <w:snapToGrid w:val="0"/>
        <w:spacing w:before="27" w:line="227"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6.2.2 承包人提供的材料和工程设备</w:t>
      </w:r>
    </w:p>
    <w:p w14:paraId="08A4BE7A">
      <w:pPr>
        <w:pStyle w:val="2"/>
        <w:keepNext w:val="0"/>
        <w:keepLines w:val="0"/>
        <w:pageBreakBefore w:val="0"/>
        <w:widowControl/>
        <w:kinsoku w:val="0"/>
        <w:wordWrap/>
        <w:overflowPunct/>
        <w:topLinePunct w:val="0"/>
        <w:autoSpaceDE w:val="0"/>
        <w:autoSpaceDN w:val="0"/>
        <w:bidi w:val="0"/>
        <w:adjustRightInd w:val="0"/>
        <w:snapToGrid w:val="0"/>
        <w:spacing w:before="40" w:line="247" w:lineRule="auto"/>
        <w:ind w:left="21" w:right="70"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承包人应按照专用合同条件的约定，将各项材料和工程设备的供货人及品种、技术要</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求、规格、数量和供货时间等报送工程师批准。承包人应向工程师提交其负责提供的材料和</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9"/>
          <w:sz w:val="24"/>
          <w:szCs w:val="24"/>
          <w:highlight w:val="none"/>
        </w:rPr>
        <w:t>工程设备的质量证明文件，并根据合同约定的质量标准，对材料、工程设备质量负责。</w:t>
      </w:r>
      <w:r>
        <w:rPr>
          <w:rFonts w:hint="eastAsia" w:ascii="仿宋" w:hAnsi="仿宋" w:eastAsia="仿宋" w:cs="仿宋"/>
          <w:color w:val="auto"/>
          <w:spacing w:val="7"/>
          <w:sz w:val="24"/>
          <w:szCs w:val="24"/>
          <w:highlight w:val="none"/>
        </w:rPr>
        <w:t>承包人应按照已被批准的第</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7"/>
          <w:sz w:val="24"/>
          <w:szCs w:val="24"/>
          <w:highlight w:val="none"/>
        </w:rPr>
        <w:t>8.4</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7"/>
          <w:sz w:val="24"/>
          <w:szCs w:val="24"/>
          <w:highlight w:val="none"/>
        </w:rPr>
        <w:t>款[项目进度计划]规定的数量要求及时间要求</w:t>
      </w:r>
      <w:r>
        <w:rPr>
          <w:rFonts w:hint="eastAsia" w:ascii="仿宋" w:hAnsi="仿宋" w:eastAsia="仿宋" w:cs="仿宋"/>
          <w:color w:val="auto"/>
          <w:spacing w:val="6"/>
          <w:sz w:val="24"/>
          <w:szCs w:val="24"/>
          <w:highlight w:val="none"/>
        </w:rPr>
        <w:t>，负责</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组织材料和工程设备采购（包括备品备件、专用工具及厂商提供的技术文件</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8"/>
          <w:sz w:val="24"/>
          <w:szCs w:val="24"/>
          <w:highlight w:val="none"/>
        </w:rPr>
        <w:t>负责运抵现</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7"/>
          <w:sz w:val="24"/>
          <w:szCs w:val="24"/>
          <w:highlight w:val="none"/>
        </w:rPr>
        <w:t>场。合同约定由承包人采购的材料、工程设备，除专用合同条件另有约定外，发包人不得指</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定生产厂家或供应商，发包人违反本款约定指定生产厂家或供应商的，承包人有权拒绝，并</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由发包人承担相应责任。</w:t>
      </w:r>
    </w:p>
    <w:p w14:paraId="7B5C94FE">
      <w:pPr>
        <w:pStyle w:val="2"/>
        <w:keepNext w:val="0"/>
        <w:keepLines w:val="0"/>
        <w:pageBreakBefore w:val="0"/>
        <w:widowControl/>
        <w:kinsoku w:val="0"/>
        <w:wordWrap/>
        <w:overflowPunct/>
        <w:topLinePunct w:val="0"/>
        <w:autoSpaceDE w:val="0"/>
        <w:autoSpaceDN w:val="0"/>
        <w:bidi w:val="0"/>
        <w:adjustRightInd w:val="0"/>
        <w:snapToGrid w:val="0"/>
        <w:spacing w:before="25" w:line="244" w:lineRule="auto"/>
        <w:ind w:left="22" w:right="70" w:firstLine="599"/>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对承包人提供的材料和工程设备，承包人应会同工程师进行检验和交货验收，查验材</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料合格证明和产品合格证书，并按合同约定和工程师指示，进行材料的抽样检验和工程设备</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的检验测试，检验和测试结果应提交工程师，所需费用由承包人承担。</w:t>
      </w:r>
    </w:p>
    <w:p w14:paraId="57B07F97">
      <w:pPr>
        <w:pStyle w:val="2"/>
        <w:keepNext w:val="0"/>
        <w:keepLines w:val="0"/>
        <w:pageBreakBefore w:val="0"/>
        <w:widowControl/>
        <w:kinsoku w:val="0"/>
        <w:wordWrap/>
        <w:overflowPunct/>
        <w:topLinePunct w:val="0"/>
        <w:autoSpaceDE w:val="0"/>
        <w:autoSpaceDN w:val="0"/>
        <w:bidi w:val="0"/>
        <w:adjustRightInd w:val="0"/>
        <w:snapToGrid w:val="0"/>
        <w:spacing w:before="22" w:line="247" w:lineRule="auto"/>
        <w:ind w:left="23" w:right="16" w:firstLine="614"/>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因承包人提供的材料和工程设备不符合国家</w:t>
      </w:r>
      <w:r>
        <w:rPr>
          <w:rFonts w:hint="eastAsia" w:ascii="仿宋" w:hAnsi="仿宋" w:eastAsia="仿宋" w:cs="仿宋"/>
          <w:color w:val="auto"/>
          <w:spacing w:val="7"/>
          <w:sz w:val="24"/>
          <w:szCs w:val="24"/>
          <w:highlight w:val="none"/>
        </w:rPr>
        <w:t>强制性标准、规范的规定或合同约定的标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准、规范，所造成的质量缺陷，由承包人自费修复，竣</w:t>
      </w:r>
      <w:r>
        <w:rPr>
          <w:rFonts w:hint="eastAsia" w:ascii="仿宋" w:hAnsi="仿宋" w:eastAsia="仿宋" w:cs="仿宋"/>
          <w:color w:val="auto"/>
          <w:spacing w:val="3"/>
          <w:sz w:val="24"/>
          <w:szCs w:val="24"/>
          <w:highlight w:val="none"/>
        </w:rPr>
        <w:t>工日期不予延长。在履行合同过程中，</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由于国家新颁布的强制性标准、规范，造成承包人负责提供的材料和工程设备，虽符合合同</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7"/>
          <w:sz w:val="24"/>
          <w:szCs w:val="24"/>
          <w:highlight w:val="none"/>
        </w:rPr>
        <w:t>约定的标准，但不符合新颁布的强制性标准时，由承包人负责修复或重新订货，相关费用支</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8"/>
          <w:sz w:val="24"/>
          <w:szCs w:val="24"/>
          <w:highlight w:val="none"/>
        </w:rPr>
        <w:t>出及导致的工期延长由发包人负责。</w:t>
      </w:r>
    </w:p>
    <w:p w14:paraId="259CB3C9">
      <w:pPr>
        <w:pStyle w:val="2"/>
        <w:keepNext w:val="0"/>
        <w:keepLines w:val="0"/>
        <w:pageBreakBefore w:val="0"/>
        <w:widowControl/>
        <w:kinsoku w:val="0"/>
        <w:wordWrap/>
        <w:overflowPunct/>
        <w:topLinePunct w:val="0"/>
        <w:autoSpaceDE w:val="0"/>
        <w:autoSpaceDN w:val="0"/>
        <w:bidi w:val="0"/>
        <w:adjustRightInd w:val="0"/>
        <w:snapToGrid w:val="0"/>
        <w:spacing w:before="24" w:line="227"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6.2.3 材料和工程设备的保管</w:t>
      </w:r>
    </w:p>
    <w:p w14:paraId="0EDDA350">
      <w:pPr>
        <w:pStyle w:val="2"/>
        <w:keepNext w:val="0"/>
        <w:keepLines w:val="0"/>
        <w:pageBreakBefore w:val="0"/>
        <w:widowControl/>
        <w:kinsoku w:val="0"/>
        <w:wordWrap/>
        <w:overflowPunct/>
        <w:topLinePunct w:val="0"/>
        <w:autoSpaceDE w:val="0"/>
        <w:autoSpaceDN w:val="0"/>
        <w:bidi w:val="0"/>
        <w:adjustRightInd w:val="0"/>
        <w:snapToGrid w:val="0"/>
        <w:spacing w:before="147"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 发包人供应材料与工程设备的保管与使用</w:t>
      </w:r>
    </w:p>
    <w:p w14:paraId="27080E79">
      <w:pPr>
        <w:pStyle w:val="2"/>
        <w:keepNext w:val="0"/>
        <w:keepLines w:val="0"/>
        <w:pageBreakBefore w:val="0"/>
        <w:widowControl/>
        <w:kinsoku w:val="0"/>
        <w:wordWrap/>
        <w:overflowPunct/>
        <w:topLinePunct w:val="0"/>
        <w:autoSpaceDE w:val="0"/>
        <w:autoSpaceDN w:val="0"/>
        <w:bidi w:val="0"/>
        <w:adjustRightInd w:val="0"/>
        <w:snapToGrid w:val="0"/>
        <w:spacing w:before="27" w:line="243" w:lineRule="auto"/>
        <w:ind w:left="22" w:right="70" w:firstLine="60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发包人供应的材料和工程设备，承包人清点并接收后由承包人妥善保管，</w:t>
      </w:r>
      <w:r>
        <w:rPr>
          <w:rFonts w:hint="eastAsia" w:ascii="仿宋" w:hAnsi="仿宋" w:eastAsia="仿宋" w:cs="仿宋"/>
          <w:color w:val="auto"/>
          <w:spacing w:val="7"/>
          <w:sz w:val="24"/>
          <w:szCs w:val="24"/>
          <w:highlight w:val="none"/>
        </w:rPr>
        <w:t>保管费用由</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承包人承担，但专用合同条件另有约定除外。因承包人原因发生丢失毁损的，由承包人负责</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3"/>
          <w:sz w:val="24"/>
          <w:szCs w:val="24"/>
          <w:highlight w:val="none"/>
        </w:rPr>
        <w:t>赔偿。</w:t>
      </w:r>
    </w:p>
    <w:p w14:paraId="3DDE73D5">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22" w:right="70" w:firstLine="60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发包人供应的材料和工程设备使用前，由承包人负责必要的检验，检验费</w:t>
      </w:r>
      <w:r>
        <w:rPr>
          <w:rFonts w:hint="eastAsia" w:ascii="仿宋" w:hAnsi="仿宋" w:eastAsia="仿宋" w:cs="仿宋"/>
          <w:color w:val="auto"/>
          <w:spacing w:val="7"/>
          <w:sz w:val="24"/>
          <w:szCs w:val="24"/>
          <w:highlight w:val="none"/>
        </w:rPr>
        <w:t>用由发包人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承担，不合格的不得使用。</w:t>
      </w:r>
    </w:p>
    <w:p w14:paraId="472F19A0">
      <w:pPr>
        <w:pStyle w:val="2"/>
        <w:keepNext w:val="0"/>
        <w:keepLines w:val="0"/>
        <w:pageBreakBefore w:val="0"/>
        <w:widowControl/>
        <w:kinsoku w:val="0"/>
        <w:wordWrap/>
        <w:overflowPunct/>
        <w:topLinePunct w:val="0"/>
        <w:autoSpaceDE w:val="0"/>
        <w:autoSpaceDN w:val="0"/>
        <w:bidi w:val="0"/>
        <w:adjustRightInd w:val="0"/>
        <w:snapToGrid w:val="0"/>
        <w:spacing w:before="27"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（2） 承包人采购材料与工程设备的保管与使用</w:t>
      </w:r>
    </w:p>
    <w:p w14:paraId="773E4A7D">
      <w:pPr>
        <w:pStyle w:val="2"/>
        <w:keepNext w:val="0"/>
        <w:keepLines w:val="0"/>
        <w:pageBreakBefore w:val="0"/>
        <w:widowControl/>
        <w:kinsoku w:val="0"/>
        <w:wordWrap/>
        <w:overflowPunct/>
        <w:topLinePunct w:val="0"/>
        <w:autoSpaceDE w:val="0"/>
        <w:autoSpaceDN w:val="0"/>
        <w:bidi w:val="0"/>
        <w:adjustRightInd w:val="0"/>
        <w:snapToGrid w:val="0"/>
        <w:spacing w:before="24" w:line="244" w:lineRule="auto"/>
        <w:ind w:left="21" w:right="70"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承包人采购的材料和工程设备由承包人妥善保管，保管费用由承包人承担。合同约定</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或法律规定材料和工程设备使用前必须进行检验或试验的，承包人应按工程师的指示进行检</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验或试验，检验或试验费用由承包人承担，不合格的不得使用。</w:t>
      </w:r>
    </w:p>
    <w:p w14:paraId="4734E538">
      <w:pPr>
        <w:pStyle w:val="2"/>
        <w:keepNext w:val="0"/>
        <w:keepLines w:val="0"/>
        <w:pageBreakBefore w:val="0"/>
        <w:widowControl/>
        <w:kinsoku w:val="0"/>
        <w:wordWrap/>
        <w:overflowPunct/>
        <w:topLinePunct w:val="0"/>
        <w:autoSpaceDE w:val="0"/>
        <w:autoSpaceDN w:val="0"/>
        <w:bidi w:val="0"/>
        <w:adjustRightInd w:val="0"/>
        <w:snapToGrid w:val="0"/>
        <w:spacing w:before="26" w:line="239" w:lineRule="auto"/>
        <w:ind w:left="22" w:right="70" w:firstLine="6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工程师发现承包人使用不符合设计或有关标准要求的材料和工程设备时，有</w:t>
      </w:r>
      <w:r>
        <w:rPr>
          <w:rFonts w:hint="eastAsia" w:ascii="仿宋" w:hAnsi="仿宋" w:eastAsia="仿宋" w:cs="仿宋"/>
          <w:color w:val="auto"/>
          <w:spacing w:val="7"/>
          <w:sz w:val="24"/>
          <w:szCs w:val="24"/>
          <w:highlight w:val="none"/>
        </w:rPr>
        <w:t>权要求承</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包人进行修复、拆除或重新采购，由此增加的费用和（或）延误的工期，</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8"/>
          <w:sz w:val="24"/>
          <w:szCs w:val="24"/>
          <w:highlight w:val="none"/>
        </w:rPr>
        <w:t>由承包人承担。</w:t>
      </w:r>
    </w:p>
    <w:p w14:paraId="2EBF5E07">
      <w:pPr>
        <w:pStyle w:val="2"/>
        <w:keepNext w:val="0"/>
        <w:keepLines w:val="0"/>
        <w:pageBreakBefore w:val="0"/>
        <w:widowControl/>
        <w:kinsoku w:val="0"/>
        <w:wordWrap/>
        <w:overflowPunct/>
        <w:topLinePunct w:val="0"/>
        <w:autoSpaceDE w:val="0"/>
        <w:autoSpaceDN w:val="0"/>
        <w:bidi w:val="0"/>
        <w:adjustRightInd w:val="0"/>
        <w:snapToGrid w:val="0"/>
        <w:spacing w:before="25" w:line="227"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6.2.4 材料和工程设备的所有权</w:t>
      </w:r>
    </w:p>
    <w:p w14:paraId="15A203F1">
      <w:pPr>
        <w:pStyle w:val="2"/>
        <w:keepNext w:val="0"/>
        <w:keepLines w:val="0"/>
        <w:pageBreakBefore w:val="0"/>
        <w:widowControl/>
        <w:kinsoku w:val="0"/>
        <w:wordWrap/>
        <w:overflowPunct/>
        <w:topLinePunct w:val="0"/>
        <w:autoSpaceDE w:val="0"/>
        <w:autoSpaceDN w:val="0"/>
        <w:bidi w:val="0"/>
        <w:adjustRightInd w:val="0"/>
        <w:snapToGrid w:val="0"/>
        <w:spacing w:before="147" w:line="247" w:lineRule="auto"/>
        <w:ind w:left="21" w:right="70" w:firstLine="61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除本合同另有约定外，承包人根据第</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6"/>
          <w:sz w:val="24"/>
          <w:szCs w:val="24"/>
          <w:highlight w:val="none"/>
        </w:rPr>
        <w:t>6.2.2</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6"/>
          <w:sz w:val="24"/>
          <w:szCs w:val="24"/>
          <w:highlight w:val="none"/>
        </w:rPr>
        <w:t>项[承包人提供的材料和工程设备]约定提</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供的材料和工程设备后，材料及工程设备的价款应列入第</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6"/>
          <w:sz w:val="24"/>
          <w:szCs w:val="24"/>
          <w:highlight w:val="none"/>
        </w:rPr>
        <w:t>14.3.1</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6"/>
          <w:sz w:val="24"/>
          <w:szCs w:val="24"/>
          <w:highlight w:val="none"/>
        </w:rPr>
        <w:t>项第（2）目的进</w:t>
      </w:r>
      <w:r>
        <w:rPr>
          <w:rFonts w:hint="eastAsia" w:ascii="仿宋" w:hAnsi="仿宋" w:eastAsia="仿宋" w:cs="仿宋"/>
          <w:color w:val="auto"/>
          <w:spacing w:val="5"/>
          <w:sz w:val="24"/>
          <w:szCs w:val="24"/>
          <w:highlight w:val="none"/>
        </w:rPr>
        <w:t>度款金额</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中，发包人支付当期进度款之后，其所有权转为发包人所有（周转性材料除外</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8"/>
          <w:sz w:val="24"/>
          <w:szCs w:val="24"/>
          <w:highlight w:val="none"/>
        </w:rPr>
        <w:t>在发包人</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7"/>
          <w:sz w:val="24"/>
          <w:szCs w:val="24"/>
          <w:highlight w:val="none"/>
        </w:rPr>
        <w:t>接收工程前，承包人有义务对材料和工程设备进行保管、维护和保养，未经发包人批准不得</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6"/>
          <w:sz w:val="24"/>
          <w:szCs w:val="24"/>
          <w:highlight w:val="none"/>
        </w:rPr>
        <w:t>运出现场。</w:t>
      </w:r>
    </w:p>
    <w:p w14:paraId="77DCBB98">
      <w:pPr>
        <w:pStyle w:val="2"/>
        <w:keepNext w:val="0"/>
        <w:keepLines w:val="0"/>
        <w:pageBreakBefore w:val="0"/>
        <w:widowControl/>
        <w:kinsoku w:val="0"/>
        <w:wordWrap/>
        <w:overflowPunct/>
        <w:topLinePunct w:val="0"/>
        <w:autoSpaceDE w:val="0"/>
        <w:autoSpaceDN w:val="0"/>
        <w:bidi w:val="0"/>
        <w:adjustRightInd w:val="0"/>
        <w:snapToGrid w:val="0"/>
        <w:spacing w:before="25" w:line="243" w:lineRule="auto"/>
        <w:ind w:left="22" w:right="70"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承包人按第</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7"/>
          <w:sz w:val="24"/>
          <w:szCs w:val="24"/>
          <w:highlight w:val="none"/>
        </w:rPr>
        <w:t>6.2.2</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7"/>
          <w:sz w:val="24"/>
          <w:szCs w:val="24"/>
          <w:highlight w:val="none"/>
        </w:rPr>
        <w:t>项提供的材料和工程设备，承包人应确保发包人取得</w:t>
      </w:r>
      <w:r>
        <w:rPr>
          <w:rFonts w:hint="eastAsia" w:ascii="仿宋" w:hAnsi="仿宋" w:eastAsia="仿宋" w:cs="仿宋"/>
          <w:color w:val="auto"/>
          <w:spacing w:val="6"/>
          <w:sz w:val="24"/>
          <w:szCs w:val="24"/>
          <w:highlight w:val="none"/>
        </w:rPr>
        <w:t>无权利负担的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材料及工程设备所有权，因承包人与第三人的物权争议导致的增加的费用和（或）延误的工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3"/>
          <w:sz w:val="24"/>
          <w:szCs w:val="24"/>
          <w:highlight w:val="none"/>
        </w:rPr>
        <w:t>期，</w:t>
      </w:r>
      <w:r>
        <w:rPr>
          <w:rFonts w:hint="eastAsia" w:ascii="仿宋" w:hAnsi="仿宋" w:eastAsia="仿宋" w:cs="仿宋"/>
          <w:color w:val="auto"/>
          <w:spacing w:val="-58"/>
          <w:sz w:val="24"/>
          <w:szCs w:val="24"/>
          <w:highlight w:val="none"/>
        </w:rPr>
        <w:t xml:space="preserve"> </w:t>
      </w:r>
      <w:r>
        <w:rPr>
          <w:rFonts w:hint="eastAsia" w:ascii="仿宋" w:hAnsi="仿宋" w:eastAsia="仿宋" w:cs="仿宋"/>
          <w:color w:val="auto"/>
          <w:spacing w:val="3"/>
          <w:sz w:val="24"/>
          <w:szCs w:val="24"/>
          <w:highlight w:val="none"/>
        </w:rPr>
        <w:t>由承包人承担。</w:t>
      </w:r>
    </w:p>
    <w:p w14:paraId="303EC644">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6.3</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3"/>
          <w:sz w:val="24"/>
          <w:szCs w:val="24"/>
          <w:highlight w:val="none"/>
        </w:rPr>
        <w:t>样品</w:t>
      </w:r>
    </w:p>
    <w:p w14:paraId="20EA63DF">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6.3.1 样品的报送与封存</w:t>
      </w:r>
    </w:p>
    <w:p w14:paraId="28BF6C43">
      <w:pPr>
        <w:pStyle w:val="2"/>
        <w:keepNext w:val="0"/>
        <w:keepLines w:val="0"/>
        <w:pageBreakBefore w:val="0"/>
        <w:widowControl/>
        <w:kinsoku w:val="0"/>
        <w:wordWrap/>
        <w:overflowPunct/>
        <w:topLinePunct w:val="0"/>
        <w:autoSpaceDE w:val="0"/>
        <w:autoSpaceDN w:val="0"/>
        <w:bidi w:val="0"/>
        <w:adjustRightInd w:val="0"/>
        <w:snapToGrid w:val="0"/>
        <w:spacing w:before="147"/>
        <w:ind w:left="21" w:right="70" w:firstLine="6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需要承包人报送样品的材料或工程设备，样品的种类、</w:t>
      </w:r>
      <w:r>
        <w:rPr>
          <w:rFonts w:hint="eastAsia" w:ascii="仿宋" w:hAnsi="仿宋" w:eastAsia="仿宋" w:cs="仿宋"/>
          <w:color w:val="auto"/>
          <w:spacing w:val="7"/>
          <w:sz w:val="24"/>
          <w:szCs w:val="24"/>
          <w:highlight w:val="none"/>
        </w:rPr>
        <w:t>名称、规格、数量等要求均应</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在专用合同条件中约定。样品的报送程序如下：</w:t>
      </w:r>
    </w:p>
    <w:p w14:paraId="20D24AFC">
      <w:pPr>
        <w:pStyle w:val="2"/>
        <w:keepNext w:val="0"/>
        <w:keepLines w:val="0"/>
        <w:pageBreakBefore w:val="0"/>
        <w:widowControl/>
        <w:kinsoku w:val="0"/>
        <w:wordWrap/>
        <w:overflowPunct/>
        <w:topLinePunct w:val="0"/>
        <w:autoSpaceDE w:val="0"/>
        <w:autoSpaceDN w:val="0"/>
        <w:bidi w:val="0"/>
        <w:adjustRightInd w:val="0"/>
        <w:snapToGrid w:val="0"/>
        <w:spacing w:before="23" w:line="244" w:lineRule="auto"/>
        <w:ind w:left="21"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 承包人应在计划采购前</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天向工程师报送样品。承包人报送</w:t>
      </w:r>
      <w:r>
        <w:rPr>
          <w:rFonts w:hint="eastAsia" w:ascii="仿宋" w:hAnsi="仿宋" w:eastAsia="仿宋" w:cs="仿宋"/>
          <w:color w:val="auto"/>
          <w:spacing w:val="8"/>
          <w:sz w:val="24"/>
          <w:szCs w:val="24"/>
          <w:highlight w:val="none"/>
        </w:rPr>
        <w:t xml:space="preserve">的样品均应来自 </w:t>
      </w:r>
      <w:r>
        <w:rPr>
          <w:rFonts w:hint="eastAsia" w:ascii="仿宋" w:hAnsi="仿宋" w:eastAsia="仿宋" w:cs="仿宋"/>
          <w:color w:val="auto"/>
          <w:spacing w:val="4"/>
          <w:sz w:val="24"/>
          <w:szCs w:val="24"/>
          <w:highlight w:val="none"/>
        </w:rPr>
        <w:t>供应材料的实际生产地，且提供的样品的规格、数量足以表明材料或工程设备的质量、型号、</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9"/>
          <w:sz w:val="24"/>
          <w:szCs w:val="24"/>
          <w:highlight w:val="none"/>
        </w:rPr>
        <w:t>颜色、表面处理、质地、误差和其他要求的特征。</w:t>
      </w:r>
    </w:p>
    <w:p w14:paraId="52D0A6B5">
      <w:pPr>
        <w:pStyle w:val="2"/>
        <w:keepNext w:val="0"/>
        <w:keepLines w:val="0"/>
        <w:pageBreakBefore w:val="0"/>
        <w:widowControl/>
        <w:kinsoku w:val="0"/>
        <w:wordWrap/>
        <w:overflowPunct/>
        <w:topLinePunct w:val="0"/>
        <w:autoSpaceDE w:val="0"/>
        <w:autoSpaceDN w:val="0"/>
        <w:bidi w:val="0"/>
        <w:adjustRightInd w:val="0"/>
        <w:snapToGrid w:val="0"/>
        <w:spacing w:before="23" w:line="244" w:lineRule="auto"/>
        <w:ind w:left="21" w:right="70"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承包人每次报送样品时应随附申报单，申报单应载明报送样品的相关数据和资</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料，并标明每件样品对应的图纸号，预留工程师审批意见栏。工程师应在收到承包人报送的</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样品后</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天向承包人回复经发包人签认的样品审批</w:t>
      </w:r>
      <w:r>
        <w:rPr>
          <w:rFonts w:hint="eastAsia" w:ascii="仿宋" w:hAnsi="仿宋" w:eastAsia="仿宋" w:cs="仿宋"/>
          <w:color w:val="auto"/>
          <w:spacing w:val="7"/>
          <w:sz w:val="24"/>
          <w:szCs w:val="24"/>
          <w:highlight w:val="none"/>
        </w:rPr>
        <w:t>意见。</w:t>
      </w:r>
    </w:p>
    <w:p w14:paraId="17F9EB21">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24" w:right="70" w:firstLine="60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经工程师审批确认的样品应按约定的方法封样，封存的样品作为检验工程相关</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部分的标准之一。承包人在施工过程中不得使用与样品不符的材料或工程设备。</w:t>
      </w:r>
    </w:p>
    <w:p w14:paraId="3BEBCEFF">
      <w:pPr>
        <w:pStyle w:val="2"/>
        <w:keepNext w:val="0"/>
        <w:keepLines w:val="0"/>
        <w:pageBreakBefore w:val="0"/>
        <w:widowControl/>
        <w:kinsoku w:val="0"/>
        <w:wordWrap/>
        <w:overflowPunct/>
        <w:topLinePunct w:val="0"/>
        <w:autoSpaceDE w:val="0"/>
        <w:autoSpaceDN w:val="0"/>
        <w:bidi w:val="0"/>
        <w:adjustRightInd w:val="0"/>
        <w:snapToGrid w:val="0"/>
        <w:spacing w:before="146" w:line="243" w:lineRule="auto"/>
        <w:ind w:left="23" w:right="70" w:firstLine="598"/>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 工程师对样品的审批确认仅为确认相关材料或工程设备的特征或用途，不得被</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理解为对合同的修改或改变，也并不减轻或免除承包人任何的责任和义务。如果封存的样品</w:t>
      </w:r>
    </w:p>
    <w:p w14:paraId="6AF26603">
      <w:pPr>
        <w:pStyle w:val="2"/>
        <w:keepNext w:val="0"/>
        <w:keepLines w:val="0"/>
        <w:pageBreakBefore w:val="0"/>
        <w:widowControl/>
        <w:kinsoku w:val="0"/>
        <w:wordWrap/>
        <w:overflowPunct/>
        <w:topLinePunct w:val="0"/>
        <w:autoSpaceDE w:val="0"/>
        <w:autoSpaceDN w:val="0"/>
        <w:bidi w:val="0"/>
        <w:adjustRightInd w:val="0"/>
        <w:snapToGrid w:val="0"/>
        <w:spacing w:before="41" w:line="227" w:lineRule="auto"/>
        <w:ind w:left="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修改或改变了合同约定，合同当事人应当以书面协议予以确认。</w:t>
      </w:r>
    </w:p>
    <w:p w14:paraId="20BEFAA8">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6.3.2 样品的保管</w:t>
      </w:r>
    </w:p>
    <w:p w14:paraId="3FE3174F">
      <w:pPr>
        <w:pStyle w:val="2"/>
        <w:keepNext w:val="0"/>
        <w:keepLines w:val="0"/>
        <w:pageBreakBefore w:val="0"/>
        <w:widowControl/>
        <w:kinsoku w:val="0"/>
        <w:wordWrap/>
        <w:overflowPunct/>
        <w:topLinePunct w:val="0"/>
        <w:autoSpaceDE w:val="0"/>
        <w:autoSpaceDN w:val="0"/>
        <w:bidi w:val="0"/>
        <w:adjustRightInd w:val="0"/>
        <w:snapToGrid w:val="0"/>
        <w:spacing w:before="144"/>
        <w:ind w:left="27" w:right="75" w:firstLine="59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经批准的样品应由工程师负责封存于现场，承包人应在现场为保存样品提供适</w:t>
      </w:r>
      <w:r>
        <w:rPr>
          <w:rFonts w:hint="eastAsia" w:ascii="仿宋" w:hAnsi="仿宋" w:eastAsia="仿宋" w:cs="仿宋"/>
          <w:color w:val="auto"/>
          <w:spacing w:val="7"/>
          <w:sz w:val="24"/>
          <w:szCs w:val="24"/>
          <w:highlight w:val="none"/>
        </w:rPr>
        <w:t>当和固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定的场所并保持适当和良好的存储环境条件。</w:t>
      </w:r>
    </w:p>
    <w:p w14:paraId="5499A11A">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6.4 质量检查</w:t>
      </w:r>
    </w:p>
    <w:p w14:paraId="599AB238">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6.4.1 工程质量要求</w:t>
      </w:r>
    </w:p>
    <w:p w14:paraId="0C65DDE1">
      <w:pPr>
        <w:pStyle w:val="2"/>
        <w:keepNext w:val="0"/>
        <w:keepLines w:val="0"/>
        <w:pageBreakBefore w:val="0"/>
        <w:widowControl/>
        <w:kinsoku w:val="0"/>
        <w:wordWrap/>
        <w:overflowPunct/>
        <w:topLinePunct w:val="0"/>
        <w:autoSpaceDE w:val="0"/>
        <w:autoSpaceDN w:val="0"/>
        <w:bidi w:val="0"/>
        <w:adjustRightInd w:val="0"/>
        <w:snapToGrid w:val="0"/>
        <w:spacing w:before="144"/>
        <w:ind w:left="23" w:right="75" w:firstLine="6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工程质量标准必须符合现行国家有关工程施工质量验收规范和标准的要求。</w:t>
      </w:r>
      <w:r>
        <w:rPr>
          <w:rFonts w:hint="eastAsia" w:ascii="仿宋" w:hAnsi="仿宋" w:eastAsia="仿宋" w:cs="仿宋"/>
          <w:color w:val="auto"/>
          <w:spacing w:val="7"/>
          <w:sz w:val="24"/>
          <w:szCs w:val="24"/>
          <w:highlight w:val="none"/>
        </w:rPr>
        <w:t>有关工程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质量的特殊标准或要求由合同当事人在专用合同条件中约定。</w:t>
      </w:r>
    </w:p>
    <w:p w14:paraId="40370971">
      <w:pPr>
        <w:pStyle w:val="2"/>
        <w:keepNext w:val="0"/>
        <w:keepLines w:val="0"/>
        <w:pageBreakBefore w:val="0"/>
        <w:widowControl/>
        <w:kinsoku w:val="0"/>
        <w:wordWrap/>
        <w:overflowPunct/>
        <w:topLinePunct w:val="0"/>
        <w:autoSpaceDE w:val="0"/>
        <w:autoSpaceDN w:val="0"/>
        <w:bidi w:val="0"/>
        <w:adjustRightInd w:val="0"/>
        <w:snapToGrid w:val="0"/>
        <w:spacing w:before="25" w:line="245" w:lineRule="auto"/>
        <w:ind w:left="23" w:firstLine="6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 xml:space="preserve">因承包人原因造成工程质量未达到合同约定标准的，发包人有权要求承包人返工直至 </w:t>
      </w:r>
      <w:r>
        <w:rPr>
          <w:rFonts w:hint="eastAsia" w:ascii="仿宋" w:hAnsi="仿宋" w:eastAsia="仿宋" w:cs="仿宋"/>
          <w:color w:val="auto"/>
          <w:spacing w:val="9"/>
          <w:sz w:val="24"/>
          <w:szCs w:val="24"/>
          <w:highlight w:val="none"/>
        </w:rPr>
        <w:t xml:space="preserve">工程质量达到合同约定的标准为止，并由承包人承担由此增加的费用和（或）延误的工期。 因发包人原因造成工程质量未达到合同约定标准的，由发包人承担由此增加的费用和（或） </w:t>
      </w:r>
      <w:r>
        <w:rPr>
          <w:rFonts w:hint="eastAsia" w:ascii="仿宋" w:hAnsi="仿宋" w:eastAsia="仿宋" w:cs="仿宋"/>
          <w:color w:val="auto"/>
          <w:spacing w:val="8"/>
          <w:sz w:val="24"/>
          <w:szCs w:val="24"/>
          <w:highlight w:val="none"/>
        </w:rPr>
        <w:t>延误的工期，并支付承包人合理的利润。</w:t>
      </w:r>
    </w:p>
    <w:p w14:paraId="3C05EC13">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6.4.2 质量检查</w:t>
      </w:r>
    </w:p>
    <w:p w14:paraId="3C565212">
      <w:pPr>
        <w:pStyle w:val="2"/>
        <w:keepNext w:val="0"/>
        <w:keepLines w:val="0"/>
        <w:pageBreakBefore w:val="0"/>
        <w:widowControl/>
        <w:kinsoku w:val="0"/>
        <w:wordWrap/>
        <w:overflowPunct/>
        <w:topLinePunct w:val="0"/>
        <w:autoSpaceDE w:val="0"/>
        <w:autoSpaceDN w:val="0"/>
        <w:bidi w:val="0"/>
        <w:adjustRightInd w:val="0"/>
        <w:snapToGrid w:val="0"/>
        <w:spacing w:before="142" w:line="248" w:lineRule="auto"/>
        <w:ind w:left="21" w:right="16" w:firstLine="604"/>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发包人有权通过工程师或自行对全部工程内容及其施工工艺、材料和工程</w:t>
      </w:r>
      <w:r>
        <w:rPr>
          <w:rFonts w:hint="eastAsia" w:ascii="仿宋" w:hAnsi="仿宋" w:eastAsia="仿宋" w:cs="仿宋"/>
          <w:color w:val="auto"/>
          <w:spacing w:val="7"/>
          <w:sz w:val="24"/>
          <w:szCs w:val="24"/>
          <w:highlight w:val="none"/>
        </w:rPr>
        <w:t>设备进行检</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查和检验。承包人应为工程师或发包人的检查和检验提供方便，包括到施工现</w:t>
      </w:r>
      <w:r>
        <w:rPr>
          <w:rFonts w:hint="eastAsia" w:ascii="仿宋" w:hAnsi="仿宋" w:eastAsia="仿宋" w:cs="仿宋"/>
          <w:color w:val="auto"/>
          <w:spacing w:val="8"/>
          <w:sz w:val="24"/>
          <w:szCs w:val="24"/>
          <w:highlight w:val="none"/>
        </w:rPr>
        <w:t>场，或制造、</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加工地点，或专用合同条件约定的其他地方进行察看和查阅施工原始记录。承包人还应按工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程师或发包人指示，进行施工现场的取样试验，工程复核测量和设备性能检测，提供试验样</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品、提交试验报告和测量成果以及工程师或发包人指示进行的其他工作。工程师或发包人的</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检查和检验，不免除承包人按合同约定应负的责任。</w:t>
      </w:r>
    </w:p>
    <w:p w14:paraId="39D50BA2">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6.4.3</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4"/>
          <w:sz w:val="24"/>
          <w:szCs w:val="24"/>
          <w:highlight w:val="none"/>
        </w:rPr>
        <w:t>隐蔽工程检查</w:t>
      </w:r>
    </w:p>
    <w:p w14:paraId="1C1302DB">
      <w:pPr>
        <w:pStyle w:val="2"/>
        <w:keepNext w:val="0"/>
        <w:keepLines w:val="0"/>
        <w:pageBreakBefore w:val="0"/>
        <w:widowControl/>
        <w:kinsoku w:val="0"/>
        <w:wordWrap/>
        <w:overflowPunct/>
        <w:topLinePunct w:val="0"/>
        <w:autoSpaceDE w:val="0"/>
        <w:autoSpaceDN w:val="0"/>
        <w:bidi w:val="0"/>
        <w:adjustRightInd w:val="0"/>
        <w:snapToGrid w:val="0"/>
        <w:spacing w:before="148" w:line="243" w:lineRule="auto"/>
        <w:ind w:left="22" w:right="75" w:firstLine="61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除专用合同条件另有约定外，工程隐蔽部位经承包人</w:t>
      </w:r>
      <w:r>
        <w:rPr>
          <w:rFonts w:hint="eastAsia" w:ascii="仿宋" w:hAnsi="仿宋" w:eastAsia="仿宋" w:cs="仿宋"/>
          <w:color w:val="auto"/>
          <w:spacing w:val="7"/>
          <w:sz w:val="24"/>
          <w:szCs w:val="24"/>
          <w:highlight w:val="none"/>
        </w:rPr>
        <w:t>自检确认具备覆盖条件的，承包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人应书面通知工程师在约定的期限内检查，通知中应载明隐蔽检查的内容、时间和地点，并</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应附有自检记录和必要的检查资料。</w:t>
      </w:r>
    </w:p>
    <w:p w14:paraId="43D0CC62">
      <w:pPr>
        <w:pStyle w:val="2"/>
        <w:keepNext w:val="0"/>
        <w:keepLines w:val="0"/>
        <w:pageBreakBefore w:val="0"/>
        <w:widowControl/>
        <w:kinsoku w:val="0"/>
        <w:wordWrap/>
        <w:overflowPunct/>
        <w:topLinePunct w:val="0"/>
        <w:autoSpaceDE w:val="0"/>
        <w:autoSpaceDN w:val="0"/>
        <w:bidi w:val="0"/>
        <w:adjustRightInd w:val="0"/>
        <w:snapToGrid w:val="0"/>
        <w:spacing w:before="26" w:line="245" w:lineRule="auto"/>
        <w:ind w:left="22" w:right="75" w:firstLine="60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工程师应按时到场并对隐蔽工程及其施工工艺、材料和工程设备进行检查。</w:t>
      </w:r>
      <w:r>
        <w:rPr>
          <w:rFonts w:hint="eastAsia" w:ascii="仿宋" w:hAnsi="仿宋" w:eastAsia="仿宋" w:cs="仿宋"/>
          <w:color w:val="auto"/>
          <w:spacing w:val="7"/>
          <w:sz w:val="24"/>
          <w:szCs w:val="24"/>
          <w:highlight w:val="none"/>
        </w:rPr>
        <w:t>经工程师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检查确认质量符合隐蔽要求，并在验收记录上签字后，承包人才能进行覆盖。经工程师检查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质量不合格的，承包人应在工程师指示的时间内完成修复，并由工程师重新检查，由此增加</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的费用和（或）延误的工期由承包人承担。</w:t>
      </w:r>
    </w:p>
    <w:p w14:paraId="5F1AE60F">
      <w:pPr>
        <w:pStyle w:val="2"/>
        <w:keepNext w:val="0"/>
        <w:keepLines w:val="0"/>
        <w:pageBreakBefore w:val="0"/>
        <w:widowControl/>
        <w:kinsoku w:val="0"/>
        <w:wordWrap/>
        <w:overflowPunct/>
        <w:topLinePunct w:val="0"/>
        <w:autoSpaceDE w:val="0"/>
        <w:autoSpaceDN w:val="0"/>
        <w:bidi w:val="0"/>
        <w:adjustRightInd w:val="0"/>
        <w:snapToGrid w:val="0"/>
        <w:spacing w:before="25" w:line="247" w:lineRule="auto"/>
        <w:ind w:left="21" w:right="75" w:firstLine="61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除专用合同条件另有约定外，工程师不能按时进行检</w:t>
      </w:r>
      <w:r>
        <w:rPr>
          <w:rFonts w:hint="eastAsia" w:ascii="仿宋" w:hAnsi="仿宋" w:eastAsia="仿宋" w:cs="仿宋"/>
          <w:color w:val="auto"/>
          <w:spacing w:val="7"/>
          <w:sz w:val="24"/>
          <w:szCs w:val="24"/>
          <w:highlight w:val="none"/>
        </w:rPr>
        <w:t>查的，应提前向承包人提交书面</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延期要求，顺延时间不得超过</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9"/>
          <w:sz w:val="24"/>
          <w:szCs w:val="24"/>
          <w:highlight w:val="none"/>
        </w:rPr>
        <w:t>48</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9"/>
          <w:sz w:val="24"/>
          <w:szCs w:val="24"/>
          <w:highlight w:val="none"/>
        </w:rPr>
        <w:t>小时，由此导致工期延误的，工期应予以顺延，顺延</w:t>
      </w:r>
      <w:r>
        <w:rPr>
          <w:rFonts w:hint="eastAsia" w:ascii="仿宋" w:hAnsi="仿宋" w:eastAsia="仿宋" w:cs="仿宋"/>
          <w:color w:val="auto"/>
          <w:spacing w:val="8"/>
          <w:sz w:val="24"/>
          <w:szCs w:val="24"/>
          <w:highlight w:val="none"/>
        </w:rPr>
        <w:t>超过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48</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10"/>
          <w:sz w:val="24"/>
          <w:szCs w:val="24"/>
          <w:highlight w:val="none"/>
        </w:rPr>
        <w:t>小时的，</w:t>
      </w:r>
      <w:r>
        <w:rPr>
          <w:rFonts w:hint="eastAsia" w:ascii="仿宋" w:hAnsi="仿宋" w:eastAsia="仿宋" w:cs="仿宋"/>
          <w:color w:val="auto"/>
          <w:spacing w:val="-58"/>
          <w:sz w:val="24"/>
          <w:szCs w:val="24"/>
          <w:highlight w:val="none"/>
        </w:rPr>
        <w:t xml:space="preserve"> </w:t>
      </w:r>
      <w:r>
        <w:rPr>
          <w:rFonts w:hint="eastAsia" w:ascii="仿宋" w:hAnsi="仿宋" w:eastAsia="仿宋" w:cs="仿宋"/>
          <w:color w:val="auto"/>
          <w:spacing w:val="10"/>
          <w:sz w:val="24"/>
          <w:szCs w:val="24"/>
          <w:highlight w:val="none"/>
        </w:rPr>
        <w:t>由此导致的工期延误及费用增加由发包人承</w:t>
      </w:r>
      <w:r>
        <w:rPr>
          <w:rFonts w:hint="eastAsia" w:ascii="仿宋" w:hAnsi="仿宋" w:eastAsia="仿宋" w:cs="仿宋"/>
          <w:color w:val="auto"/>
          <w:spacing w:val="9"/>
          <w:sz w:val="24"/>
          <w:szCs w:val="24"/>
          <w:highlight w:val="none"/>
        </w:rPr>
        <w:t>担。工程师未按时进行检查，也未</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提出延期要求的，视为隐蔽工程检查合格，承包人可自行完成覆盖工作，并作相应记录报送</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工程师，工程师应签字确认。工程师事后对检查记录有疑问的，可按下列约定重新检查。</w:t>
      </w:r>
    </w:p>
    <w:p w14:paraId="0B646407">
      <w:pPr>
        <w:pStyle w:val="2"/>
        <w:keepNext w:val="0"/>
        <w:keepLines w:val="0"/>
        <w:pageBreakBefore w:val="0"/>
        <w:widowControl/>
        <w:kinsoku w:val="0"/>
        <w:wordWrap/>
        <w:overflowPunct/>
        <w:topLinePunct w:val="0"/>
        <w:autoSpaceDE w:val="0"/>
        <w:autoSpaceDN w:val="0"/>
        <w:bidi w:val="0"/>
        <w:adjustRightInd w:val="0"/>
        <w:snapToGrid w:val="0"/>
        <w:spacing w:before="28" w:line="246" w:lineRule="auto"/>
        <w:ind w:left="20" w:right="75" w:firstLine="601"/>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承包人覆盖工程隐蔽部位后，工程师对质量有疑问的，可要求承包人对已覆盖的</w:t>
      </w:r>
      <w:r>
        <w:rPr>
          <w:rFonts w:hint="eastAsia" w:ascii="仿宋" w:hAnsi="仿宋" w:eastAsia="仿宋" w:cs="仿宋"/>
          <w:color w:val="auto"/>
          <w:spacing w:val="7"/>
          <w:sz w:val="24"/>
          <w:szCs w:val="24"/>
          <w:highlight w:val="none"/>
        </w:rPr>
        <w:t>部位</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进行钻孔探测或揭开重新检查，承包人应遵照执行，并在检查后重新覆盖恢复原状。经检查</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7"/>
          <w:sz w:val="24"/>
          <w:szCs w:val="24"/>
          <w:highlight w:val="none"/>
        </w:rPr>
        <w:t>证明工程质量符合合同要求的，由发包人承担由此增加的费用和（或）延误的工期，并支付</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7"/>
          <w:sz w:val="24"/>
          <w:szCs w:val="24"/>
          <w:highlight w:val="none"/>
        </w:rPr>
        <w:t>承包人合理的利润；经检查证明工程质量不符合合同要求的，由此增加的费用和（或）延误</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8"/>
          <w:sz w:val="24"/>
          <w:szCs w:val="24"/>
          <w:highlight w:val="none"/>
        </w:rPr>
        <w:t>的工期由承包人承担。</w:t>
      </w:r>
    </w:p>
    <w:p w14:paraId="0DF56873">
      <w:pPr>
        <w:pStyle w:val="2"/>
        <w:keepNext w:val="0"/>
        <w:keepLines w:val="0"/>
        <w:pageBreakBefore w:val="0"/>
        <w:widowControl/>
        <w:kinsoku w:val="0"/>
        <w:wordWrap/>
        <w:overflowPunct/>
        <w:topLinePunct w:val="0"/>
        <w:autoSpaceDE w:val="0"/>
        <w:autoSpaceDN w:val="0"/>
        <w:bidi w:val="0"/>
        <w:adjustRightInd w:val="0"/>
        <w:snapToGrid w:val="0"/>
        <w:spacing w:before="26" w:line="244" w:lineRule="auto"/>
        <w:ind w:left="22" w:right="75"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承包人未通知工程师到场检查，私自将工程隐蔽部位覆盖的，工程师有权指示承</w:t>
      </w:r>
      <w:r>
        <w:rPr>
          <w:rFonts w:hint="eastAsia" w:ascii="仿宋" w:hAnsi="仿宋" w:eastAsia="仿宋" w:cs="仿宋"/>
          <w:color w:val="auto"/>
          <w:spacing w:val="7"/>
          <w:sz w:val="24"/>
          <w:szCs w:val="24"/>
          <w:highlight w:val="none"/>
        </w:rPr>
        <w:t>包人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钻孔探测或揭开检查，无论工程隐蔽部位质量是否合格，由此增加的费用和（或）延误的工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期均由承包人承担。</w:t>
      </w:r>
    </w:p>
    <w:p w14:paraId="7C0E5F0C">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6.5</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5"/>
          <w:sz w:val="24"/>
          <w:szCs w:val="24"/>
          <w:highlight w:val="none"/>
        </w:rPr>
        <w:t>由承包人试验和检验</w:t>
      </w:r>
    </w:p>
    <w:p w14:paraId="685EE761">
      <w:pPr>
        <w:pStyle w:val="2"/>
        <w:keepNext w:val="0"/>
        <w:keepLines w:val="0"/>
        <w:pageBreakBefore w:val="0"/>
        <w:widowControl/>
        <w:kinsoku w:val="0"/>
        <w:wordWrap/>
        <w:overflowPunct/>
        <w:topLinePunct w:val="0"/>
        <w:autoSpaceDE w:val="0"/>
        <w:autoSpaceDN w:val="0"/>
        <w:bidi w:val="0"/>
        <w:adjustRightInd w:val="0"/>
        <w:snapToGrid w:val="0"/>
        <w:spacing w:before="147" w:line="229"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6.5.1 试验设备与试验人员</w:t>
      </w:r>
    </w:p>
    <w:p w14:paraId="52016982">
      <w:pPr>
        <w:pStyle w:val="2"/>
        <w:keepNext w:val="0"/>
        <w:keepLines w:val="0"/>
        <w:pageBreakBefore w:val="0"/>
        <w:widowControl/>
        <w:kinsoku w:val="0"/>
        <w:wordWrap/>
        <w:overflowPunct/>
        <w:topLinePunct w:val="0"/>
        <w:autoSpaceDE w:val="0"/>
        <w:autoSpaceDN w:val="0"/>
        <w:bidi w:val="0"/>
        <w:adjustRightInd w:val="0"/>
        <w:snapToGrid w:val="0"/>
        <w:spacing w:before="143" w:line="246" w:lineRule="auto"/>
        <w:ind w:left="21" w:right="75" w:firstLine="61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承包人根据合同约定或工程师指示进行的现场材料试验，应由承包人提供试验</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场所、试验人员、试验设备以及其他必要的试验条件。工程师在必要时可以使用承包人提供</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的试验场所、试验设备以及其他试验条件，进行以工程质量检查为目的的材料复核试验，承</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包人应予以协助。</w:t>
      </w:r>
    </w:p>
    <w:p w14:paraId="75349281">
      <w:pPr>
        <w:pStyle w:val="2"/>
        <w:keepNext w:val="0"/>
        <w:keepLines w:val="0"/>
        <w:pageBreakBefore w:val="0"/>
        <w:widowControl/>
        <w:kinsoku w:val="0"/>
        <w:wordWrap/>
        <w:overflowPunct/>
        <w:topLinePunct w:val="0"/>
        <w:autoSpaceDE w:val="0"/>
        <w:autoSpaceDN w:val="0"/>
        <w:bidi w:val="0"/>
        <w:adjustRightInd w:val="0"/>
        <w:snapToGrid w:val="0"/>
        <w:spacing w:before="24"/>
        <w:ind w:left="20" w:right="75" w:firstLine="6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承包人应按专用合同条件约定的试验内容、时间和地点提供试验设备、取样装</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置、试验场所和试验条件，并向工程师提交相应进场计划表。</w:t>
      </w:r>
    </w:p>
    <w:p w14:paraId="543A3669">
      <w:pPr>
        <w:pStyle w:val="2"/>
        <w:keepNext w:val="0"/>
        <w:keepLines w:val="0"/>
        <w:pageBreakBefore w:val="0"/>
        <w:widowControl/>
        <w:kinsoku w:val="0"/>
        <w:wordWrap/>
        <w:overflowPunct/>
        <w:topLinePunct w:val="0"/>
        <w:autoSpaceDE w:val="0"/>
        <w:autoSpaceDN w:val="0"/>
        <w:bidi w:val="0"/>
        <w:adjustRightInd w:val="0"/>
        <w:snapToGrid w:val="0"/>
        <w:spacing w:before="41"/>
        <w:ind w:right="162" w:firstLine="512" w:firstLineChars="2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承包人配置的试验设备要符合相应试验规程的要求并经过具有资质的检测单位检测，</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9"/>
          <w:sz w:val="24"/>
          <w:szCs w:val="24"/>
          <w:highlight w:val="none"/>
        </w:rPr>
        <w:t>且在正式使用该试验设备前，需要经过工程师与承包人共同校定。</w:t>
      </w:r>
    </w:p>
    <w:p w14:paraId="59EFDA5E">
      <w:pPr>
        <w:pStyle w:val="2"/>
        <w:keepNext w:val="0"/>
        <w:keepLines w:val="0"/>
        <w:pageBreakBefore w:val="0"/>
        <w:widowControl/>
        <w:kinsoku w:val="0"/>
        <w:wordWrap/>
        <w:overflowPunct/>
        <w:topLinePunct w:val="0"/>
        <w:autoSpaceDE w:val="0"/>
        <w:autoSpaceDN w:val="0"/>
        <w:bidi w:val="0"/>
        <w:adjustRightInd w:val="0"/>
        <w:snapToGrid w:val="0"/>
        <w:spacing w:before="24"/>
        <w:ind w:left="25" w:firstLine="60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承包人应向工程师提交试验人员的名单及其岗位、资格等证明资料，试验人员  必须能够熟练进行相应的检测试验，承包人对试</w:t>
      </w:r>
      <w:r>
        <w:rPr>
          <w:rFonts w:hint="eastAsia" w:ascii="仿宋" w:hAnsi="仿宋" w:eastAsia="仿宋" w:cs="仿宋"/>
          <w:color w:val="auto"/>
          <w:spacing w:val="6"/>
          <w:sz w:val="24"/>
          <w:szCs w:val="24"/>
          <w:highlight w:val="none"/>
        </w:rPr>
        <w:t>验人员的试验程序和试验结果的正确性负责。</w:t>
      </w:r>
    </w:p>
    <w:p w14:paraId="6372B396">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6.5.2</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3"/>
          <w:sz w:val="24"/>
          <w:szCs w:val="24"/>
          <w:highlight w:val="none"/>
        </w:rPr>
        <w:t>取样</w:t>
      </w:r>
    </w:p>
    <w:p w14:paraId="42D05ABA">
      <w:pPr>
        <w:pStyle w:val="2"/>
        <w:keepNext w:val="0"/>
        <w:keepLines w:val="0"/>
        <w:pageBreakBefore w:val="0"/>
        <w:widowControl/>
        <w:kinsoku w:val="0"/>
        <w:wordWrap/>
        <w:overflowPunct/>
        <w:topLinePunct w:val="0"/>
        <w:autoSpaceDE w:val="0"/>
        <w:autoSpaceDN w:val="0"/>
        <w:bidi w:val="0"/>
        <w:adjustRightInd w:val="0"/>
        <w:snapToGrid w:val="0"/>
        <w:spacing w:before="146" w:line="239" w:lineRule="auto"/>
        <w:ind w:left="25" w:right="176" w:firstLine="59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试验属于自检性质的，承包人可以单独取样。试验属于工程师抽检性质的，可由工程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师取样，也可由承包人的试验人员在工程师的监督下取样。</w:t>
      </w:r>
    </w:p>
    <w:p w14:paraId="51014643">
      <w:pPr>
        <w:pStyle w:val="2"/>
        <w:keepNext w:val="0"/>
        <w:keepLines w:val="0"/>
        <w:pageBreakBefore w:val="0"/>
        <w:widowControl/>
        <w:kinsoku w:val="0"/>
        <w:wordWrap/>
        <w:overflowPunct/>
        <w:topLinePunct w:val="0"/>
        <w:autoSpaceDE w:val="0"/>
        <w:autoSpaceDN w:val="0"/>
        <w:bidi w:val="0"/>
        <w:adjustRightInd w:val="0"/>
        <w:snapToGrid w:val="0"/>
        <w:spacing w:before="27" w:line="227"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6.5.3 材料、工程设备和工程的试验和检验</w:t>
      </w:r>
    </w:p>
    <w:p w14:paraId="5CB8F52E">
      <w:pPr>
        <w:pStyle w:val="2"/>
        <w:keepNext w:val="0"/>
        <w:keepLines w:val="0"/>
        <w:pageBreakBefore w:val="0"/>
        <w:widowControl/>
        <w:kinsoku w:val="0"/>
        <w:wordWrap/>
        <w:overflowPunct/>
        <w:topLinePunct w:val="0"/>
        <w:autoSpaceDE w:val="0"/>
        <w:autoSpaceDN w:val="0"/>
        <w:bidi w:val="0"/>
        <w:adjustRightInd w:val="0"/>
        <w:snapToGrid w:val="0"/>
        <w:spacing w:before="147" w:line="243" w:lineRule="auto"/>
        <w:ind w:left="22" w:right="176" w:firstLine="61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承包人应按合同约定进行材料和工程设备的试验和检验，并为工程师对上述材</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料、工程设备和工程的质量检查提供必要的试验资料和原始记录。按合同约定应由工程师与</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承包人共同进行试验和检验的，</w:t>
      </w:r>
      <w:r>
        <w:rPr>
          <w:rFonts w:hint="eastAsia" w:ascii="仿宋" w:hAnsi="仿宋" w:eastAsia="仿宋" w:cs="仿宋"/>
          <w:color w:val="auto"/>
          <w:spacing w:val="-52"/>
          <w:sz w:val="24"/>
          <w:szCs w:val="24"/>
          <w:highlight w:val="none"/>
        </w:rPr>
        <w:t xml:space="preserve"> </w:t>
      </w:r>
      <w:r>
        <w:rPr>
          <w:rFonts w:hint="eastAsia" w:ascii="仿宋" w:hAnsi="仿宋" w:eastAsia="仿宋" w:cs="仿宋"/>
          <w:color w:val="auto"/>
          <w:spacing w:val="8"/>
          <w:sz w:val="24"/>
          <w:szCs w:val="24"/>
          <w:highlight w:val="none"/>
        </w:rPr>
        <w:t>由承包人负责提供必要的试验资料和原始记录。</w:t>
      </w:r>
    </w:p>
    <w:p w14:paraId="6B5BB1D3">
      <w:pPr>
        <w:pStyle w:val="2"/>
        <w:keepNext w:val="0"/>
        <w:keepLines w:val="0"/>
        <w:pageBreakBefore w:val="0"/>
        <w:widowControl/>
        <w:kinsoku w:val="0"/>
        <w:wordWrap/>
        <w:overflowPunct/>
        <w:topLinePunct w:val="0"/>
        <w:autoSpaceDE w:val="0"/>
        <w:autoSpaceDN w:val="0"/>
        <w:bidi w:val="0"/>
        <w:adjustRightInd w:val="0"/>
        <w:snapToGrid w:val="0"/>
        <w:spacing w:before="24" w:line="246" w:lineRule="auto"/>
        <w:ind w:left="22" w:right="121" w:firstLine="61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（2）</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4"/>
          <w:sz w:val="24"/>
          <w:szCs w:val="24"/>
          <w:highlight w:val="none"/>
        </w:rPr>
        <w:t>试验属于自检性质的，承包人可以单独进行试验。试验属于工程师抽检性质的，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工程师可以单独进行试验，也可由承包人与工程师共同进行。承包人对由工程师单独进行的</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试验结果有异议的，可以申请重新共同进行试验。约定共同进行试验的，工程师未按照约定</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参加试验的，承包人可自行试验，并将试验结果报送工程师，工程师应承认该试验结果。</w:t>
      </w:r>
    </w:p>
    <w:p w14:paraId="58102157">
      <w:pPr>
        <w:pStyle w:val="2"/>
        <w:keepNext w:val="0"/>
        <w:keepLines w:val="0"/>
        <w:pageBreakBefore w:val="0"/>
        <w:widowControl/>
        <w:kinsoku w:val="0"/>
        <w:wordWrap/>
        <w:overflowPunct/>
        <w:topLinePunct w:val="0"/>
        <w:autoSpaceDE w:val="0"/>
        <w:autoSpaceDN w:val="0"/>
        <w:bidi w:val="0"/>
        <w:adjustRightInd w:val="0"/>
        <w:snapToGrid w:val="0"/>
        <w:spacing w:before="28" w:line="246" w:lineRule="auto"/>
        <w:ind w:left="24" w:right="176" w:firstLine="607"/>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工程师对承包人的试验和检验结果有异议的，或为查清承包人试验和检验成果</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的可靠性要求承包人重新试验和检验的，可由工程师与承包人共同进行。重新试验和检验的</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7"/>
          <w:sz w:val="24"/>
          <w:szCs w:val="24"/>
          <w:highlight w:val="none"/>
        </w:rPr>
        <w:t>结果证明该项材料、工程设备或工程的质量不符合合同要求的，由此增加的费用和（或）延</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7"/>
          <w:sz w:val="24"/>
          <w:szCs w:val="24"/>
          <w:highlight w:val="none"/>
        </w:rPr>
        <w:t>误的工期由承包人承担；重新试验和检验结果证明该项材料、工程设备和工程符合合同要求</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7"/>
          <w:sz w:val="24"/>
          <w:szCs w:val="24"/>
          <w:highlight w:val="none"/>
        </w:rPr>
        <w:t>的，</w:t>
      </w:r>
      <w:r>
        <w:rPr>
          <w:rFonts w:hint="eastAsia" w:ascii="仿宋" w:hAnsi="仿宋" w:eastAsia="仿宋" w:cs="仿宋"/>
          <w:color w:val="auto"/>
          <w:spacing w:val="-50"/>
          <w:sz w:val="24"/>
          <w:szCs w:val="24"/>
          <w:highlight w:val="none"/>
        </w:rPr>
        <w:t xml:space="preserve"> </w:t>
      </w:r>
      <w:r>
        <w:rPr>
          <w:rFonts w:hint="eastAsia" w:ascii="仿宋" w:hAnsi="仿宋" w:eastAsia="仿宋" w:cs="仿宋"/>
          <w:color w:val="auto"/>
          <w:spacing w:val="7"/>
          <w:sz w:val="24"/>
          <w:szCs w:val="24"/>
          <w:highlight w:val="none"/>
        </w:rPr>
        <w:t>由此增加的费用和（或）延误的工期由发包人承担。</w:t>
      </w:r>
    </w:p>
    <w:p w14:paraId="305359A8">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6.5.4 现场工艺试验</w:t>
      </w:r>
    </w:p>
    <w:p w14:paraId="76070CFF">
      <w:pPr>
        <w:pStyle w:val="2"/>
        <w:keepNext w:val="0"/>
        <w:keepLines w:val="0"/>
        <w:pageBreakBefore w:val="0"/>
        <w:widowControl/>
        <w:kinsoku w:val="0"/>
        <w:wordWrap/>
        <w:overflowPunct/>
        <w:topLinePunct w:val="0"/>
        <w:autoSpaceDE w:val="0"/>
        <w:autoSpaceDN w:val="0"/>
        <w:bidi w:val="0"/>
        <w:adjustRightInd w:val="0"/>
        <w:snapToGrid w:val="0"/>
        <w:spacing w:before="144"/>
        <w:ind w:left="22" w:right="121"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承包人应按合同约定进行现场工艺试验。对大型的现场工艺试验，发包人认为必</w:t>
      </w:r>
      <w:r>
        <w:rPr>
          <w:rFonts w:hint="eastAsia" w:ascii="仿宋" w:hAnsi="仿宋" w:eastAsia="仿宋" w:cs="仿宋"/>
          <w:color w:val="auto"/>
          <w:spacing w:val="3"/>
          <w:sz w:val="24"/>
          <w:szCs w:val="24"/>
          <w:highlight w:val="none"/>
        </w:rPr>
        <w:t>要时，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承包人应根据发包人提出的工艺试验要求，编制工艺试验措施计划，报送发包人审查。</w:t>
      </w:r>
    </w:p>
    <w:p w14:paraId="2873E099">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6.6 缺陷和修补</w:t>
      </w:r>
    </w:p>
    <w:p w14:paraId="4CD0855A">
      <w:pPr>
        <w:pStyle w:val="2"/>
        <w:keepNext w:val="0"/>
        <w:keepLines w:val="0"/>
        <w:pageBreakBefore w:val="0"/>
        <w:widowControl/>
        <w:kinsoku w:val="0"/>
        <w:wordWrap/>
        <w:overflowPunct/>
        <w:topLinePunct w:val="0"/>
        <w:autoSpaceDE w:val="0"/>
        <w:autoSpaceDN w:val="0"/>
        <w:bidi w:val="0"/>
        <w:adjustRightInd w:val="0"/>
        <w:snapToGrid w:val="0"/>
        <w:spacing w:before="147" w:line="227"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6.6.1 发包人可在颁发接收证书前随时指示承包</w:t>
      </w:r>
      <w:r>
        <w:rPr>
          <w:rFonts w:hint="eastAsia" w:ascii="仿宋" w:hAnsi="仿宋" w:eastAsia="仿宋" w:cs="仿宋"/>
          <w:color w:val="auto"/>
          <w:spacing w:val="7"/>
          <w:sz w:val="24"/>
          <w:szCs w:val="24"/>
          <w:highlight w:val="none"/>
        </w:rPr>
        <w:t>人：</w:t>
      </w:r>
    </w:p>
    <w:p w14:paraId="2FC2B2E7">
      <w:pPr>
        <w:pStyle w:val="2"/>
        <w:keepNext w:val="0"/>
        <w:keepLines w:val="0"/>
        <w:pageBreakBefore w:val="0"/>
        <w:widowControl/>
        <w:kinsoku w:val="0"/>
        <w:wordWrap/>
        <w:overflowPunct/>
        <w:topLinePunct w:val="0"/>
        <w:autoSpaceDE w:val="0"/>
        <w:autoSpaceDN w:val="0"/>
        <w:bidi w:val="0"/>
        <w:adjustRightInd w:val="0"/>
        <w:snapToGrid w:val="0"/>
        <w:spacing w:before="146" w:line="239" w:lineRule="auto"/>
        <w:ind w:left="24" w:right="176" w:firstLine="60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对不符合合同要求的任何工程设备或材料进行修补，或者将其移出现场并进行</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2"/>
          <w:sz w:val="24"/>
          <w:szCs w:val="24"/>
          <w:highlight w:val="none"/>
        </w:rPr>
        <w:t>更换；</w:t>
      </w:r>
    </w:p>
    <w:p w14:paraId="176A2B13">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（2） 对不符合合同的其他工作进行修补，或者</w:t>
      </w:r>
      <w:r>
        <w:rPr>
          <w:rFonts w:hint="eastAsia" w:ascii="仿宋" w:hAnsi="仿宋" w:eastAsia="仿宋" w:cs="仿宋"/>
          <w:color w:val="auto"/>
          <w:spacing w:val="8"/>
          <w:sz w:val="24"/>
          <w:szCs w:val="24"/>
          <w:highlight w:val="none"/>
        </w:rPr>
        <w:t>将其去除并重新实施；</w:t>
      </w:r>
    </w:p>
    <w:p w14:paraId="57CF008C">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25" w:right="176" w:firstLine="60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实施因意外、不可预见的事件或其他原因引起的、为工程的安全迫切需要的任</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6"/>
          <w:sz w:val="24"/>
          <w:szCs w:val="24"/>
          <w:highlight w:val="none"/>
        </w:rPr>
        <w:t>何修补工作。</w:t>
      </w:r>
    </w:p>
    <w:p w14:paraId="071FABA8">
      <w:pPr>
        <w:pStyle w:val="2"/>
        <w:keepNext w:val="0"/>
        <w:keepLines w:val="0"/>
        <w:pageBreakBefore w:val="0"/>
        <w:widowControl/>
        <w:kinsoku w:val="0"/>
        <w:wordWrap/>
        <w:overflowPunct/>
        <w:topLinePunct w:val="0"/>
        <w:autoSpaceDE w:val="0"/>
        <w:autoSpaceDN w:val="0"/>
        <w:bidi w:val="0"/>
        <w:adjustRightInd w:val="0"/>
        <w:snapToGrid w:val="0"/>
        <w:spacing w:before="25" w:line="244" w:lineRule="auto"/>
        <w:ind w:left="23" w:right="17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6.6.2 承包人应遵守第</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6"/>
          <w:sz w:val="24"/>
          <w:szCs w:val="24"/>
          <w:highlight w:val="none"/>
        </w:rPr>
        <w:t>6.6.1</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6"/>
          <w:sz w:val="24"/>
          <w:szCs w:val="24"/>
          <w:highlight w:val="none"/>
        </w:rPr>
        <w:t>项下指示，并在合理可行的情况下，根据上述指示</w:t>
      </w:r>
      <w:r>
        <w:rPr>
          <w:rFonts w:hint="eastAsia" w:ascii="仿宋" w:hAnsi="仿宋" w:eastAsia="仿宋" w:cs="仿宋"/>
          <w:color w:val="auto"/>
          <w:spacing w:val="5"/>
          <w:sz w:val="24"/>
          <w:szCs w:val="24"/>
          <w:highlight w:val="none"/>
        </w:rPr>
        <w:t>中规定的时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间完成修补工作。除因下列原因引起的第</w:t>
      </w:r>
      <w:r>
        <w:rPr>
          <w:rFonts w:hint="eastAsia" w:ascii="仿宋" w:hAnsi="仿宋" w:eastAsia="仿宋" w:cs="仿宋"/>
          <w:color w:val="auto"/>
          <w:spacing w:val="-26"/>
          <w:sz w:val="24"/>
          <w:szCs w:val="24"/>
          <w:highlight w:val="none"/>
        </w:rPr>
        <w:t xml:space="preserve"> </w:t>
      </w:r>
      <w:r>
        <w:rPr>
          <w:rFonts w:hint="eastAsia" w:ascii="仿宋" w:hAnsi="仿宋" w:eastAsia="仿宋" w:cs="仿宋"/>
          <w:color w:val="auto"/>
          <w:spacing w:val="7"/>
          <w:sz w:val="24"/>
          <w:szCs w:val="24"/>
          <w:highlight w:val="none"/>
        </w:rPr>
        <w:t>6.6.1</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7"/>
          <w:sz w:val="24"/>
          <w:szCs w:val="24"/>
          <w:highlight w:val="none"/>
        </w:rPr>
        <w:t>项第（3）</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7"/>
          <w:sz w:val="24"/>
          <w:szCs w:val="24"/>
          <w:highlight w:val="none"/>
        </w:rPr>
        <w:t>目下的情形外，承包人应承担所</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有修补工作的费用：</w:t>
      </w:r>
    </w:p>
    <w:p w14:paraId="2F48949F">
      <w:pPr>
        <w:pStyle w:val="2"/>
        <w:keepNext w:val="0"/>
        <w:keepLines w:val="0"/>
        <w:pageBreakBefore w:val="0"/>
        <w:widowControl/>
        <w:kinsoku w:val="0"/>
        <w:wordWrap/>
        <w:overflowPunct/>
        <w:topLinePunct w:val="0"/>
        <w:autoSpaceDE w:val="0"/>
        <w:autoSpaceDN w:val="0"/>
        <w:bidi w:val="0"/>
        <w:adjustRightInd w:val="0"/>
        <w:snapToGrid w:val="0"/>
        <w:spacing w:before="145" w:line="239" w:lineRule="auto"/>
        <w:ind w:left="23" w:right="176" w:firstLine="60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因发包人或其人员的任何行为导致的情形，且在此情况下发包人应承担因此引</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起的工期延误和承包人费用损失，并向承包人支付合理的利润。</w:t>
      </w:r>
    </w:p>
    <w:p w14:paraId="42A21D4C">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第</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7"/>
          <w:sz w:val="24"/>
          <w:szCs w:val="24"/>
          <w:highlight w:val="none"/>
        </w:rPr>
        <w:t>17.4</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7"/>
          <w:sz w:val="24"/>
          <w:szCs w:val="24"/>
          <w:highlight w:val="none"/>
        </w:rPr>
        <w:t>款[不可抗力后果的承担]中适用的不可抗力事件的</w:t>
      </w:r>
      <w:r>
        <w:rPr>
          <w:rFonts w:hint="eastAsia" w:ascii="仿宋" w:hAnsi="仿宋" w:eastAsia="仿宋" w:cs="仿宋"/>
          <w:color w:val="auto"/>
          <w:spacing w:val="6"/>
          <w:sz w:val="24"/>
          <w:szCs w:val="24"/>
          <w:highlight w:val="none"/>
        </w:rPr>
        <w:t>情形。</w:t>
      </w:r>
    </w:p>
    <w:p w14:paraId="662614EB">
      <w:pPr>
        <w:pStyle w:val="2"/>
        <w:keepNext w:val="0"/>
        <w:keepLines w:val="0"/>
        <w:pageBreakBefore w:val="0"/>
        <w:widowControl/>
        <w:kinsoku w:val="0"/>
        <w:wordWrap/>
        <w:overflowPunct/>
        <w:topLinePunct w:val="0"/>
        <w:autoSpaceDE w:val="0"/>
        <w:autoSpaceDN w:val="0"/>
        <w:bidi w:val="0"/>
        <w:adjustRightInd w:val="0"/>
        <w:snapToGrid w:val="0"/>
        <w:spacing w:before="26" w:line="244" w:lineRule="auto"/>
        <w:ind w:left="22" w:right="18" w:firstLine="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6.6.3 如果承包人未能遵守发包人的指示，发包人可以自行决</w:t>
      </w:r>
      <w:r>
        <w:rPr>
          <w:rFonts w:hint="eastAsia" w:ascii="仿宋" w:hAnsi="仿宋" w:eastAsia="仿宋" w:cs="仿宋"/>
          <w:color w:val="auto"/>
          <w:spacing w:val="5"/>
          <w:sz w:val="24"/>
          <w:szCs w:val="24"/>
          <w:highlight w:val="none"/>
        </w:rPr>
        <w:t>定请第三方完成上述修补工作，</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并有权要求承包人支付因未履行指示而产生的所有费用</w:t>
      </w:r>
      <w:r>
        <w:rPr>
          <w:rFonts w:hint="eastAsia" w:ascii="仿宋" w:hAnsi="仿宋" w:eastAsia="仿宋" w:cs="仿宋"/>
          <w:color w:val="auto"/>
          <w:spacing w:val="5"/>
          <w:sz w:val="24"/>
          <w:szCs w:val="24"/>
          <w:highlight w:val="none"/>
        </w:rPr>
        <w:t>，但承包人根据第</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5"/>
          <w:sz w:val="24"/>
          <w:szCs w:val="24"/>
          <w:highlight w:val="none"/>
        </w:rPr>
        <w:t>6.6.2</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5"/>
          <w:sz w:val="24"/>
          <w:szCs w:val="24"/>
          <w:highlight w:val="none"/>
        </w:rPr>
        <w:t xml:space="preserve">项有权就修  </w:t>
      </w:r>
      <w:r>
        <w:rPr>
          <w:rFonts w:hint="eastAsia" w:ascii="仿宋" w:hAnsi="仿宋" w:eastAsia="仿宋" w:cs="仿宋"/>
          <w:color w:val="auto"/>
          <w:spacing w:val="8"/>
          <w:sz w:val="24"/>
          <w:szCs w:val="24"/>
          <w:highlight w:val="none"/>
        </w:rPr>
        <w:t>补工作获得支付的情况除外。</w:t>
      </w:r>
    </w:p>
    <w:p w14:paraId="711BCC99">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365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第7条</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5"/>
          <w:sz w:val="24"/>
          <w:szCs w:val="24"/>
          <w:highlight w:val="none"/>
        </w:rPr>
        <w:t>施工</w:t>
      </w:r>
    </w:p>
    <w:p w14:paraId="4AB6B4A5">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7.1</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3"/>
          <w:sz w:val="24"/>
          <w:szCs w:val="24"/>
          <w:highlight w:val="none"/>
        </w:rPr>
        <w:t>交通运输</w:t>
      </w:r>
    </w:p>
    <w:p w14:paraId="27B034B0">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7.1.1</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4"/>
          <w:sz w:val="24"/>
          <w:szCs w:val="24"/>
          <w:highlight w:val="none"/>
        </w:rPr>
        <w:t>出入现场的权利</w:t>
      </w:r>
    </w:p>
    <w:p w14:paraId="7E27A9CF">
      <w:pPr>
        <w:pStyle w:val="2"/>
        <w:keepNext w:val="0"/>
        <w:keepLines w:val="0"/>
        <w:pageBreakBefore w:val="0"/>
        <w:widowControl/>
        <w:kinsoku w:val="0"/>
        <w:wordWrap/>
        <w:overflowPunct/>
        <w:topLinePunct w:val="0"/>
        <w:autoSpaceDE w:val="0"/>
        <w:autoSpaceDN w:val="0"/>
        <w:bidi w:val="0"/>
        <w:adjustRightInd w:val="0"/>
        <w:snapToGrid w:val="0"/>
        <w:spacing w:before="144" w:line="246" w:lineRule="auto"/>
        <w:ind w:left="23" w:right="176" w:firstLine="611"/>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除专用合同条件另有约定外，发包人应根据工程实施</w:t>
      </w:r>
      <w:r>
        <w:rPr>
          <w:rFonts w:hint="eastAsia" w:ascii="仿宋" w:hAnsi="仿宋" w:eastAsia="仿宋" w:cs="仿宋"/>
          <w:color w:val="auto"/>
          <w:spacing w:val="7"/>
          <w:sz w:val="24"/>
          <w:szCs w:val="24"/>
          <w:highlight w:val="none"/>
        </w:rPr>
        <w:t>需要，负责取得出入施工现场所</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需的批准手续和全部权利，以及取得因工程实施所需修建道路、桥梁以及其他基础设施的权</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利，并承担相关手续费用和建设费用。承包人应协助发包人办理修建场内外道路、桥梁以及</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其他基础设施的手续。</w:t>
      </w:r>
    </w:p>
    <w:p w14:paraId="6D9812B0">
      <w:pPr>
        <w:rPr>
          <w:rFonts w:hint="eastAsia" w:ascii="仿宋" w:hAnsi="仿宋" w:eastAsia="仿宋" w:cs="仿宋"/>
          <w:sz w:val="24"/>
          <w:szCs w:val="24"/>
        </w:rPr>
      </w:pPr>
      <w:r>
        <w:rPr>
          <w:rFonts w:hint="eastAsia" w:ascii="仿宋" w:hAnsi="仿宋" w:eastAsia="仿宋" w:cs="仿宋"/>
          <w:color w:val="auto"/>
          <w:spacing w:val="5"/>
          <w:sz w:val="24"/>
          <w:szCs w:val="24"/>
          <w:highlight w:val="none"/>
        </w:rPr>
        <w:t>7.1.2 场外交通</w:t>
      </w:r>
    </w:p>
    <w:p w14:paraId="010F8F94">
      <w:pPr>
        <w:pStyle w:val="2"/>
        <w:keepNext w:val="0"/>
        <w:keepLines w:val="0"/>
        <w:pageBreakBefore w:val="0"/>
        <w:widowControl/>
        <w:kinsoku w:val="0"/>
        <w:wordWrap/>
        <w:overflowPunct/>
        <w:topLinePunct w:val="0"/>
        <w:autoSpaceDE w:val="0"/>
        <w:autoSpaceDN w:val="0"/>
        <w:bidi w:val="0"/>
        <w:adjustRightInd w:val="0"/>
        <w:snapToGrid w:val="0"/>
        <w:spacing w:before="40" w:line="247" w:lineRule="auto"/>
        <w:ind w:right="159"/>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除专用合同条件另有约定外，发包人应提供场外交通</w:t>
      </w:r>
      <w:r>
        <w:rPr>
          <w:rFonts w:hint="eastAsia" w:ascii="仿宋" w:hAnsi="仿宋" w:eastAsia="仿宋" w:cs="仿宋"/>
          <w:color w:val="auto"/>
          <w:spacing w:val="7"/>
          <w:sz w:val="24"/>
          <w:szCs w:val="24"/>
          <w:highlight w:val="none"/>
        </w:rPr>
        <w:t>设施的技术参数和具体条件，场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外交通设施无法满足工程施工需要的，由发包人负责承担由此产生的相关费用。承包人应遵</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守有关交通法规，严格按照道路和桥梁的限制荷载行驶，执行有关道路限速、限行、禁止超</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载的规定，并配合交通管理部门的监督和检查。承包人车辆外出行驶所需的场外公共道路的</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通行费、养路费和税款等由承包人承担。</w:t>
      </w:r>
    </w:p>
    <w:p w14:paraId="07C3BFD5">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7.1.3 场内交通</w:t>
      </w:r>
    </w:p>
    <w:p w14:paraId="78A71C3F">
      <w:pPr>
        <w:pStyle w:val="2"/>
        <w:keepNext w:val="0"/>
        <w:keepLines w:val="0"/>
        <w:pageBreakBefore w:val="0"/>
        <w:widowControl/>
        <w:kinsoku w:val="0"/>
        <w:wordWrap/>
        <w:overflowPunct/>
        <w:topLinePunct w:val="0"/>
        <w:autoSpaceDE w:val="0"/>
        <w:autoSpaceDN w:val="0"/>
        <w:bidi w:val="0"/>
        <w:adjustRightInd w:val="0"/>
        <w:snapToGrid w:val="0"/>
        <w:spacing w:before="143" w:line="246" w:lineRule="auto"/>
        <w:ind w:left="21" w:right="101" w:firstLine="61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除专用合同条件另有约定外，承包人应负责修建</w:t>
      </w:r>
      <w:r>
        <w:rPr>
          <w:rFonts w:hint="eastAsia" w:ascii="仿宋" w:hAnsi="仿宋" w:eastAsia="仿宋" w:cs="仿宋"/>
          <w:color w:val="auto"/>
          <w:spacing w:val="7"/>
          <w:sz w:val="24"/>
          <w:szCs w:val="24"/>
          <w:highlight w:val="none"/>
        </w:rPr>
        <w:t>、维修、养护和管理施工所需的临时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道路和交通设施，包括维修、养护和管理发包人提供的道路和交通设施，并承</w:t>
      </w:r>
      <w:r>
        <w:rPr>
          <w:rFonts w:hint="eastAsia" w:ascii="仿宋" w:hAnsi="仿宋" w:eastAsia="仿宋" w:cs="仿宋"/>
          <w:color w:val="auto"/>
          <w:spacing w:val="8"/>
          <w:sz w:val="24"/>
          <w:szCs w:val="24"/>
          <w:highlight w:val="none"/>
        </w:rPr>
        <w:t>担相应费用。</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承包人修建的临时道路和交通设施应免费提供发包人和工程师为实现合同目的使用。场内交</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通与场外交通的边界由合同当事人在专用合同条件中约定。</w:t>
      </w:r>
    </w:p>
    <w:p w14:paraId="57A29103">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7.1.4 超大件和超重件的运输</w:t>
      </w:r>
    </w:p>
    <w:p w14:paraId="53C4DA64">
      <w:pPr>
        <w:pStyle w:val="2"/>
        <w:keepNext w:val="0"/>
        <w:keepLines w:val="0"/>
        <w:pageBreakBefore w:val="0"/>
        <w:widowControl/>
        <w:kinsoku w:val="0"/>
        <w:wordWrap/>
        <w:overflowPunct/>
        <w:topLinePunct w:val="0"/>
        <w:autoSpaceDE w:val="0"/>
        <w:autoSpaceDN w:val="0"/>
        <w:bidi w:val="0"/>
        <w:adjustRightInd w:val="0"/>
        <w:snapToGrid w:val="0"/>
        <w:spacing w:before="142" w:line="244" w:lineRule="auto"/>
        <w:ind w:left="25" w:firstLine="621"/>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由承包人负责运输的超大件或超重件，应由承包人负责向交通管理部门办理申请手续，</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6"/>
          <w:sz w:val="24"/>
          <w:szCs w:val="24"/>
          <w:highlight w:val="none"/>
        </w:rPr>
        <w:t>发包人给予协助。运输超大件或超重件所需的道路和桥梁临时加固改造费用和其他有关费用，</w:t>
      </w:r>
      <w:r>
        <w:rPr>
          <w:rFonts w:hint="eastAsia" w:ascii="仿宋" w:hAnsi="仿宋" w:eastAsia="仿宋" w:cs="仿宋"/>
          <w:color w:val="auto"/>
          <w:spacing w:val="5"/>
          <w:sz w:val="24"/>
          <w:szCs w:val="24"/>
          <w:highlight w:val="none"/>
        </w:rPr>
        <w:t xml:space="preserve"> </w:t>
      </w:r>
      <w:r>
        <w:rPr>
          <w:rFonts w:hint="eastAsia" w:ascii="仿宋" w:hAnsi="仿宋" w:eastAsia="仿宋" w:cs="仿宋"/>
          <w:color w:val="auto"/>
          <w:spacing w:val="9"/>
          <w:sz w:val="24"/>
          <w:szCs w:val="24"/>
          <w:highlight w:val="none"/>
        </w:rPr>
        <w:t>由承包人承担，但专用合同条件另有约定的除</w:t>
      </w:r>
      <w:r>
        <w:rPr>
          <w:rFonts w:hint="eastAsia" w:ascii="仿宋" w:hAnsi="仿宋" w:eastAsia="仿宋" w:cs="仿宋"/>
          <w:color w:val="auto"/>
          <w:spacing w:val="8"/>
          <w:sz w:val="24"/>
          <w:szCs w:val="24"/>
          <w:highlight w:val="none"/>
        </w:rPr>
        <w:t>外。</w:t>
      </w:r>
    </w:p>
    <w:p w14:paraId="542FEFD6">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7.1.5 道路和桥梁的损坏责任</w:t>
      </w:r>
    </w:p>
    <w:p w14:paraId="220643A7">
      <w:pPr>
        <w:pStyle w:val="2"/>
        <w:keepNext w:val="0"/>
        <w:keepLines w:val="0"/>
        <w:pageBreakBefore w:val="0"/>
        <w:widowControl/>
        <w:kinsoku w:val="0"/>
        <w:wordWrap/>
        <w:overflowPunct/>
        <w:topLinePunct w:val="0"/>
        <w:autoSpaceDE w:val="0"/>
        <w:autoSpaceDN w:val="0"/>
        <w:bidi w:val="0"/>
        <w:adjustRightInd w:val="0"/>
        <w:snapToGrid w:val="0"/>
        <w:spacing w:before="146" w:line="239" w:lineRule="auto"/>
        <w:ind w:left="24" w:right="160" w:firstLine="61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因承包人运输造成施工现场内外公共道路和</w:t>
      </w:r>
      <w:r>
        <w:rPr>
          <w:rFonts w:hint="eastAsia" w:ascii="仿宋" w:hAnsi="仿宋" w:eastAsia="仿宋" w:cs="仿宋"/>
          <w:color w:val="auto"/>
          <w:spacing w:val="7"/>
          <w:sz w:val="24"/>
          <w:szCs w:val="24"/>
          <w:highlight w:val="none"/>
        </w:rPr>
        <w:t>桥梁损坏的，由承包人承担修复损坏的全</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部费用和可能引起的赔偿。</w:t>
      </w:r>
    </w:p>
    <w:p w14:paraId="604E512C">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7.1.6 水路和航空运输</w:t>
      </w:r>
    </w:p>
    <w:p w14:paraId="5F3C106C">
      <w:pPr>
        <w:pStyle w:val="2"/>
        <w:keepNext w:val="0"/>
        <w:keepLines w:val="0"/>
        <w:pageBreakBefore w:val="0"/>
        <w:widowControl/>
        <w:kinsoku w:val="0"/>
        <w:wordWrap/>
        <w:overflowPunct/>
        <w:topLinePunct w:val="0"/>
        <w:autoSpaceDE w:val="0"/>
        <w:autoSpaceDN w:val="0"/>
        <w:bidi w:val="0"/>
        <w:adjustRightInd w:val="0"/>
        <w:snapToGrid w:val="0"/>
        <w:spacing w:before="148" w:line="243" w:lineRule="auto"/>
        <w:ind w:left="22" w:right="89"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本条上述各款的内容适用于水路运输和航空运输</w:t>
      </w:r>
      <w:r>
        <w:rPr>
          <w:rFonts w:hint="eastAsia" w:ascii="仿宋" w:hAnsi="仿宋" w:eastAsia="仿宋" w:cs="仿宋"/>
          <w:color w:val="auto"/>
          <w:spacing w:val="3"/>
          <w:sz w:val="24"/>
          <w:szCs w:val="24"/>
          <w:highlight w:val="none"/>
        </w:rPr>
        <w:t>，其中“道路</w:t>
      </w:r>
      <w:r>
        <w:rPr>
          <w:rFonts w:hint="eastAsia" w:ascii="仿宋" w:hAnsi="仿宋" w:eastAsia="仿宋" w:cs="仿宋"/>
          <w:color w:val="auto"/>
          <w:spacing w:val="-70"/>
          <w:sz w:val="24"/>
          <w:szCs w:val="24"/>
          <w:highlight w:val="none"/>
        </w:rPr>
        <w:t xml:space="preserve"> </w:t>
      </w:r>
      <w:r>
        <w:rPr>
          <w:rFonts w:hint="eastAsia" w:ascii="仿宋" w:hAnsi="仿宋" w:eastAsia="仿宋" w:cs="仿宋"/>
          <w:color w:val="auto"/>
          <w:spacing w:val="3"/>
          <w:sz w:val="24"/>
          <w:szCs w:val="24"/>
          <w:highlight w:val="none"/>
        </w:rPr>
        <w:t>”一词的涵义包括河道、</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航线、船闸、机场、码头、堤防以及水路或航空运输中其他相似结构物；“车辆</w:t>
      </w:r>
      <w:r>
        <w:rPr>
          <w:rFonts w:hint="eastAsia" w:ascii="仿宋" w:hAnsi="仿宋" w:eastAsia="仿宋" w:cs="仿宋"/>
          <w:color w:val="auto"/>
          <w:spacing w:val="-61"/>
          <w:sz w:val="24"/>
          <w:szCs w:val="24"/>
          <w:highlight w:val="none"/>
        </w:rPr>
        <w:t xml:space="preserve"> </w:t>
      </w:r>
      <w:r>
        <w:rPr>
          <w:rFonts w:hint="eastAsia" w:ascii="仿宋" w:hAnsi="仿宋" w:eastAsia="仿宋" w:cs="仿宋"/>
          <w:color w:val="auto"/>
          <w:spacing w:val="6"/>
          <w:sz w:val="24"/>
          <w:szCs w:val="24"/>
          <w:highlight w:val="none"/>
        </w:rPr>
        <w:t xml:space="preserve">”一词的涵 </w:t>
      </w:r>
      <w:r>
        <w:rPr>
          <w:rFonts w:hint="eastAsia" w:ascii="仿宋" w:hAnsi="仿宋" w:eastAsia="仿宋" w:cs="仿宋"/>
          <w:color w:val="auto"/>
          <w:spacing w:val="8"/>
          <w:sz w:val="24"/>
          <w:szCs w:val="24"/>
          <w:highlight w:val="none"/>
        </w:rPr>
        <w:t>义包括船舶和飞机等。</w:t>
      </w:r>
    </w:p>
    <w:p w14:paraId="04BD71C9">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7.2 施工设备和临时设施</w:t>
      </w:r>
    </w:p>
    <w:p w14:paraId="150A5E63">
      <w:pPr>
        <w:pStyle w:val="2"/>
        <w:keepNext w:val="0"/>
        <w:keepLines w:val="0"/>
        <w:pageBreakBefore w:val="0"/>
        <w:widowControl/>
        <w:kinsoku w:val="0"/>
        <w:wordWrap/>
        <w:overflowPunct/>
        <w:topLinePunct w:val="0"/>
        <w:autoSpaceDE w:val="0"/>
        <w:autoSpaceDN w:val="0"/>
        <w:bidi w:val="0"/>
        <w:adjustRightInd w:val="0"/>
        <w:snapToGrid w:val="0"/>
        <w:spacing w:before="146" w:line="227"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7.2.1 承包人提供的施工设备和临时设施</w:t>
      </w:r>
    </w:p>
    <w:p w14:paraId="43543BA9">
      <w:pPr>
        <w:pStyle w:val="2"/>
        <w:keepNext w:val="0"/>
        <w:keepLines w:val="0"/>
        <w:pageBreakBefore w:val="0"/>
        <w:widowControl/>
        <w:kinsoku w:val="0"/>
        <w:wordWrap/>
        <w:overflowPunct/>
        <w:topLinePunct w:val="0"/>
        <w:autoSpaceDE w:val="0"/>
        <w:autoSpaceDN w:val="0"/>
        <w:bidi w:val="0"/>
        <w:adjustRightInd w:val="0"/>
        <w:snapToGrid w:val="0"/>
        <w:spacing w:before="147" w:line="243" w:lineRule="auto"/>
        <w:ind w:left="22" w:right="159"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承包人应按项目进度计划的要求，及时配置施工设备和修建临时设施。进入施工现场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的承包人提供的施工设备需经工程师核查后才能投入使用。承包人更换合同约定由承包人提</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供的施工设备的，应报工程师批准。</w:t>
      </w:r>
    </w:p>
    <w:p w14:paraId="1AB16F8F">
      <w:pPr>
        <w:pStyle w:val="2"/>
        <w:keepNext w:val="0"/>
        <w:keepLines w:val="0"/>
        <w:pageBreakBefore w:val="0"/>
        <w:widowControl/>
        <w:kinsoku w:val="0"/>
        <w:wordWrap/>
        <w:overflowPunct/>
        <w:topLinePunct w:val="0"/>
        <w:autoSpaceDE w:val="0"/>
        <w:autoSpaceDN w:val="0"/>
        <w:bidi w:val="0"/>
        <w:adjustRightInd w:val="0"/>
        <w:snapToGrid w:val="0"/>
        <w:spacing w:before="24" w:line="246" w:lineRule="auto"/>
        <w:ind w:left="33" w:right="159"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除专用合同条件另有约定外，承包人应自行承担修建</w:t>
      </w:r>
      <w:r>
        <w:rPr>
          <w:rFonts w:hint="eastAsia" w:ascii="仿宋" w:hAnsi="仿宋" w:eastAsia="仿宋" w:cs="仿宋"/>
          <w:color w:val="auto"/>
          <w:spacing w:val="7"/>
          <w:sz w:val="24"/>
          <w:szCs w:val="24"/>
          <w:highlight w:val="none"/>
        </w:rPr>
        <w:t>临时设施的费用，需要临时占地</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的，应由发包人办理申请手续并承担相应费用。承包人应在专用合同条件</w:t>
      </w:r>
      <w:r>
        <w:rPr>
          <w:rFonts w:hint="eastAsia" w:ascii="仿宋" w:hAnsi="仿宋" w:eastAsia="仿宋" w:cs="仿宋"/>
          <w:color w:val="auto"/>
          <w:spacing w:val="-26"/>
          <w:sz w:val="24"/>
          <w:szCs w:val="24"/>
          <w:highlight w:val="none"/>
        </w:rPr>
        <w:t xml:space="preserve"> </w:t>
      </w:r>
      <w:r>
        <w:rPr>
          <w:rFonts w:hint="eastAsia" w:ascii="仿宋" w:hAnsi="仿宋" w:eastAsia="仿宋" w:cs="仿宋"/>
          <w:color w:val="auto"/>
          <w:spacing w:val="6"/>
          <w:sz w:val="24"/>
          <w:szCs w:val="24"/>
          <w:highlight w:val="none"/>
        </w:rPr>
        <w:t>7.2</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6"/>
          <w:sz w:val="24"/>
          <w:szCs w:val="24"/>
          <w:highlight w:val="none"/>
        </w:rPr>
        <w:t>款约定的时间</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内向发包人提交临时占地资料，因承包人未能按时提交资料，导致工期延误的，由此增加的</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8"/>
          <w:sz w:val="24"/>
          <w:szCs w:val="24"/>
          <w:highlight w:val="none"/>
        </w:rPr>
        <w:t>费用和（或）竣工日期延误，由承包人负责。</w:t>
      </w:r>
    </w:p>
    <w:p w14:paraId="70CE8A08">
      <w:pPr>
        <w:pStyle w:val="2"/>
        <w:keepNext w:val="0"/>
        <w:keepLines w:val="0"/>
        <w:pageBreakBefore w:val="0"/>
        <w:widowControl/>
        <w:kinsoku w:val="0"/>
        <w:wordWrap/>
        <w:overflowPunct/>
        <w:topLinePunct w:val="0"/>
        <w:autoSpaceDE w:val="0"/>
        <w:autoSpaceDN w:val="0"/>
        <w:bidi w:val="0"/>
        <w:adjustRightInd w:val="0"/>
        <w:snapToGrid w:val="0"/>
        <w:spacing w:before="27" w:line="227"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7.2.2 发包人提供的施工设备和临时设施</w:t>
      </w:r>
    </w:p>
    <w:p w14:paraId="681437E8">
      <w:pPr>
        <w:pStyle w:val="2"/>
        <w:keepNext w:val="0"/>
        <w:keepLines w:val="0"/>
        <w:pageBreakBefore w:val="0"/>
        <w:widowControl/>
        <w:kinsoku w:val="0"/>
        <w:wordWrap/>
        <w:overflowPunct/>
        <w:topLinePunct w:val="0"/>
        <w:autoSpaceDE w:val="0"/>
        <w:autoSpaceDN w:val="0"/>
        <w:bidi w:val="0"/>
        <w:adjustRightInd w:val="0"/>
        <w:snapToGrid w:val="0"/>
        <w:spacing w:before="145" w:line="227"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发包人提供的施工设备或临时设施在专用合同条件中约定。</w:t>
      </w:r>
    </w:p>
    <w:p w14:paraId="4D0A4F3D">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7.2.3 要求承包人增加或更换施工设备</w:t>
      </w:r>
    </w:p>
    <w:p w14:paraId="478A78B6">
      <w:pPr>
        <w:pStyle w:val="2"/>
        <w:keepNext w:val="0"/>
        <w:keepLines w:val="0"/>
        <w:pageBreakBefore w:val="0"/>
        <w:widowControl/>
        <w:kinsoku w:val="0"/>
        <w:wordWrap/>
        <w:overflowPunct/>
        <w:topLinePunct w:val="0"/>
        <w:autoSpaceDE w:val="0"/>
        <w:autoSpaceDN w:val="0"/>
        <w:bidi w:val="0"/>
        <w:adjustRightInd w:val="0"/>
        <w:snapToGrid w:val="0"/>
        <w:spacing w:before="143" w:line="244" w:lineRule="auto"/>
        <w:ind w:left="22" w:right="159"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承包人使用的施工设备不能满足项目进度计划和（或）质量要求时，工程师有权</w:t>
      </w:r>
      <w:r>
        <w:rPr>
          <w:rFonts w:hint="eastAsia" w:ascii="仿宋" w:hAnsi="仿宋" w:eastAsia="仿宋" w:cs="仿宋"/>
          <w:color w:val="auto"/>
          <w:spacing w:val="7"/>
          <w:sz w:val="24"/>
          <w:szCs w:val="24"/>
          <w:highlight w:val="none"/>
        </w:rPr>
        <w:t>要求</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承包人增加或更换施工设备，承包人应及时增加或更换，由此增加的费用和（或）延误的工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期由承包人承担。</w:t>
      </w:r>
    </w:p>
    <w:p w14:paraId="5957D052">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7.2.4 施工设备和临时设施专用于合同工程</w:t>
      </w:r>
    </w:p>
    <w:p w14:paraId="0E44A761">
      <w:pPr>
        <w:pStyle w:val="2"/>
        <w:keepNext w:val="0"/>
        <w:keepLines w:val="0"/>
        <w:pageBreakBefore w:val="0"/>
        <w:widowControl/>
        <w:kinsoku w:val="0"/>
        <w:wordWrap/>
        <w:overflowPunct/>
        <w:topLinePunct w:val="0"/>
        <w:autoSpaceDE w:val="0"/>
        <w:autoSpaceDN w:val="0"/>
        <w:bidi w:val="0"/>
        <w:adjustRightInd w:val="0"/>
        <w:snapToGrid w:val="0"/>
        <w:spacing w:before="146" w:line="244" w:lineRule="auto"/>
        <w:ind w:left="20" w:right="159" w:firstLine="601"/>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承包人运入施工现场的施工设备以及在施工现场建设的临时设施必须专用于工程。未</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经发包人批准，承包人不得运出施工现场或挪作他用；经发包人批准，承包人可以根据施工</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9"/>
          <w:sz w:val="24"/>
          <w:szCs w:val="24"/>
          <w:highlight w:val="none"/>
        </w:rPr>
        <w:t>进度计划撤走闲置的施工设备和其他物品。</w:t>
      </w:r>
    </w:p>
    <w:p w14:paraId="2843FE48">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7.3</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4"/>
          <w:sz w:val="24"/>
          <w:szCs w:val="24"/>
          <w:highlight w:val="none"/>
        </w:rPr>
        <w:t>现场合作</w:t>
      </w:r>
    </w:p>
    <w:p w14:paraId="7FD591FC">
      <w:pPr>
        <w:pStyle w:val="2"/>
        <w:keepNext w:val="0"/>
        <w:keepLines w:val="0"/>
        <w:pageBreakBefore w:val="0"/>
        <w:widowControl/>
        <w:kinsoku w:val="0"/>
        <w:wordWrap/>
        <w:overflowPunct/>
        <w:topLinePunct w:val="0"/>
        <w:autoSpaceDE w:val="0"/>
        <w:autoSpaceDN w:val="0"/>
        <w:bidi w:val="0"/>
        <w:adjustRightInd w:val="0"/>
        <w:snapToGrid w:val="0"/>
        <w:spacing w:before="145" w:line="244" w:lineRule="auto"/>
        <w:ind w:left="21" w:right="101"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承包人应按合同约定或发包人的指示，与发包人人员、发包人的其他承包人等人</w:t>
      </w:r>
      <w:r>
        <w:rPr>
          <w:rFonts w:hint="eastAsia" w:ascii="仿宋" w:hAnsi="仿宋" w:eastAsia="仿宋" w:cs="仿宋"/>
          <w:color w:val="auto"/>
          <w:spacing w:val="7"/>
          <w:sz w:val="24"/>
          <w:szCs w:val="24"/>
          <w:highlight w:val="none"/>
        </w:rPr>
        <w:t>员就</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在现场或附近实施与工程有关的各项工作进行合作并提供适当条件，包括使用</w:t>
      </w:r>
      <w:r>
        <w:rPr>
          <w:rFonts w:hint="eastAsia" w:ascii="仿宋" w:hAnsi="仿宋" w:eastAsia="仿宋" w:cs="仿宋"/>
          <w:color w:val="auto"/>
          <w:spacing w:val="8"/>
          <w:sz w:val="24"/>
          <w:szCs w:val="24"/>
          <w:highlight w:val="none"/>
        </w:rPr>
        <w:t>承包人设备、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临时工程或进入现场等。</w:t>
      </w:r>
    </w:p>
    <w:p w14:paraId="6BBCFBEC">
      <w:pPr>
        <w:pStyle w:val="2"/>
        <w:keepNext w:val="0"/>
        <w:keepLines w:val="0"/>
        <w:pageBreakBefore w:val="0"/>
        <w:widowControl/>
        <w:kinsoku w:val="0"/>
        <w:wordWrap/>
        <w:overflowPunct/>
        <w:topLinePunct w:val="0"/>
        <w:autoSpaceDE w:val="0"/>
        <w:autoSpaceDN w:val="0"/>
        <w:bidi w:val="0"/>
        <w:adjustRightInd w:val="0"/>
        <w:snapToGrid w:val="0"/>
        <w:spacing w:before="25"/>
        <w:ind w:left="23" w:right="146" w:firstLine="5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承包人应对其在现场的施工活动负责，并应尽合理努力按合同约定或发包人的指示，</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9"/>
          <w:sz w:val="24"/>
          <w:szCs w:val="24"/>
          <w:highlight w:val="none"/>
        </w:rPr>
        <w:t>协调自身与发包人人员、发包人的其他承包人等人员的活动。</w:t>
      </w:r>
    </w:p>
    <w:p w14:paraId="73755368">
      <w:pPr>
        <w:pStyle w:val="2"/>
        <w:keepNext w:val="0"/>
        <w:keepLines w:val="0"/>
        <w:pageBreakBefore w:val="0"/>
        <w:widowControl/>
        <w:kinsoku w:val="0"/>
        <w:wordWrap/>
        <w:overflowPunct/>
        <w:topLinePunct w:val="0"/>
        <w:autoSpaceDE w:val="0"/>
        <w:autoSpaceDN w:val="0"/>
        <w:bidi w:val="0"/>
        <w:adjustRightInd w:val="0"/>
        <w:snapToGrid w:val="0"/>
        <w:spacing w:before="40" w:line="244" w:lineRule="auto"/>
        <w:ind w:right="173" w:firstLine="512"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除专用合同条件另有约定外，如果承包人提供上述合</w:t>
      </w:r>
      <w:r>
        <w:rPr>
          <w:rFonts w:hint="eastAsia" w:ascii="仿宋" w:hAnsi="仿宋" w:eastAsia="仿宋" w:cs="仿宋"/>
          <w:color w:val="auto"/>
          <w:spacing w:val="7"/>
          <w:sz w:val="24"/>
          <w:szCs w:val="24"/>
          <w:highlight w:val="none"/>
        </w:rPr>
        <w:t>作、条件或协调在考虑到《发包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人要求》所列内容的情况下是不可预见的，则承包人有权就额外费用和合理利润从发包人处</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8"/>
          <w:sz w:val="24"/>
          <w:szCs w:val="24"/>
          <w:highlight w:val="none"/>
        </w:rPr>
        <w:t>获得支付，且因此延误的工期应相应顺延。</w:t>
      </w:r>
    </w:p>
    <w:p w14:paraId="186CA6EA">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7.4 测量放线</w:t>
      </w:r>
    </w:p>
    <w:p w14:paraId="341ECAFB">
      <w:pPr>
        <w:pStyle w:val="2"/>
        <w:keepNext w:val="0"/>
        <w:keepLines w:val="0"/>
        <w:pageBreakBefore w:val="0"/>
        <w:widowControl/>
        <w:kinsoku w:val="0"/>
        <w:wordWrap/>
        <w:overflowPunct/>
        <w:topLinePunct w:val="0"/>
        <w:autoSpaceDE w:val="0"/>
        <w:autoSpaceDN w:val="0"/>
        <w:bidi w:val="0"/>
        <w:adjustRightInd w:val="0"/>
        <w:snapToGrid w:val="0"/>
        <w:spacing w:before="142" w:line="244" w:lineRule="auto"/>
        <w:ind w:left="23" w:right="173" w:firstLine="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7.4.1 除专用合同条件另有约定外，承包人应根据国家测绘基准</w:t>
      </w:r>
      <w:r>
        <w:rPr>
          <w:rFonts w:hint="eastAsia" w:ascii="仿宋" w:hAnsi="仿宋" w:eastAsia="仿宋" w:cs="仿宋"/>
          <w:color w:val="auto"/>
          <w:spacing w:val="6"/>
          <w:sz w:val="24"/>
          <w:szCs w:val="24"/>
          <w:highlight w:val="none"/>
        </w:rPr>
        <w:t>、测绘系统和工程测量技术</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规范，按基准点（线）以及合同工程精度要求，测设施工控制网，并在专用合同条件约定的</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期限内，将施工控制网资料报送工程师。</w:t>
      </w:r>
    </w:p>
    <w:p w14:paraId="74BCF91A">
      <w:pPr>
        <w:pStyle w:val="2"/>
        <w:keepNext w:val="0"/>
        <w:keepLines w:val="0"/>
        <w:pageBreakBefore w:val="0"/>
        <w:widowControl/>
        <w:kinsoku w:val="0"/>
        <w:wordWrap/>
        <w:overflowPunct/>
        <w:topLinePunct w:val="0"/>
        <w:autoSpaceDE w:val="0"/>
        <w:autoSpaceDN w:val="0"/>
        <w:bidi w:val="0"/>
        <w:adjustRightInd w:val="0"/>
        <w:snapToGrid w:val="0"/>
        <w:spacing w:before="145" w:line="244" w:lineRule="auto"/>
        <w:ind w:left="22" w:firstLine="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7.4.2 承包人应负责管理施工控制网点。施工控制网点丢失或损坏的，承包人应及时修复。</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7"/>
          <w:sz w:val="24"/>
          <w:szCs w:val="24"/>
          <w:highlight w:val="none"/>
        </w:rPr>
        <w:t>承包人应承担施工控制网点的管理与修复费用，并</w:t>
      </w:r>
      <w:r>
        <w:rPr>
          <w:rFonts w:hint="eastAsia" w:ascii="仿宋" w:hAnsi="仿宋" w:eastAsia="仿宋" w:cs="仿宋"/>
          <w:color w:val="auto"/>
          <w:spacing w:val="6"/>
          <w:sz w:val="24"/>
          <w:szCs w:val="24"/>
          <w:highlight w:val="none"/>
        </w:rPr>
        <w:t>在工程竣工后将施工控制网点移交发包人。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承包人负责对工程、单位/区段工程、施工部位放线，并对放线的准确性负责。</w:t>
      </w:r>
    </w:p>
    <w:p w14:paraId="6591E686">
      <w:pPr>
        <w:pStyle w:val="2"/>
        <w:keepNext w:val="0"/>
        <w:keepLines w:val="0"/>
        <w:pageBreakBefore w:val="0"/>
        <w:widowControl/>
        <w:kinsoku w:val="0"/>
        <w:wordWrap/>
        <w:overflowPunct/>
        <w:topLinePunct w:val="0"/>
        <w:autoSpaceDE w:val="0"/>
        <w:autoSpaceDN w:val="0"/>
        <w:bidi w:val="0"/>
        <w:adjustRightInd w:val="0"/>
        <w:snapToGrid w:val="0"/>
        <w:spacing w:before="145" w:line="245" w:lineRule="auto"/>
        <w:ind w:left="22" w:right="173" w:firstLine="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7.4.3 承包人负责施工过程中的全部施工测量放线工作，并配置具</w:t>
      </w:r>
      <w:r>
        <w:rPr>
          <w:rFonts w:hint="eastAsia" w:ascii="仿宋" w:hAnsi="仿宋" w:eastAsia="仿宋" w:cs="仿宋"/>
          <w:color w:val="auto"/>
          <w:spacing w:val="6"/>
          <w:sz w:val="24"/>
          <w:szCs w:val="24"/>
          <w:highlight w:val="none"/>
        </w:rPr>
        <w:t>有相应资质的人员、合格</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的仪器、设备和其他物品。承包人应矫正工程的位置、标高、尺寸或基准线中出现的任何差</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错，并对工程各部分的定位负责。施工过程中对施工现场内水准点等测量标志物的保护工作</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由承包人负责。</w:t>
      </w:r>
    </w:p>
    <w:p w14:paraId="4FC03407">
      <w:pPr>
        <w:pStyle w:val="2"/>
        <w:keepNext w:val="0"/>
        <w:keepLines w:val="0"/>
        <w:pageBreakBefore w:val="0"/>
        <w:widowControl/>
        <w:kinsoku w:val="0"/>
        <w:wordWrap/>
        <w:overflowPunct/>
        <w:topLinePunct w:val="0"/>
        <w:autoSpaceDE w:val="0"/>
        <w:autoSpaceDN w:val="0"/>
        <w:bidi w:val="0"/>
        <w:adjustRightInd w:val="0"/>
        <w:snapToGrid w:val="0"/>
        <w:spacing w:before="146"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7.5 现场劳动用工</w:t>
      </w:r>
    </w:p>
    <w:p w14:paraId="0F2680F5">
      <w:pPr>
        <w:pStyle w:val="2"/>
        <w:keepNext w:val="0"/>
        <w:keepLines w:val="0"/>
        <w:pageBreakBefore w:val="0"/>
        <w:widowControl/>
        <w:kinsoku w:val="0"/>
        <w:wordWrap/>
        <w:overflowPunct/>
        <w:topLinePunct w:val="0"/>
        <w:autoSpaceDE w:val="0"/>
        <w:autoSpaceDN w:val="0"/>
        <w:bidi w:val="0"/>
        <w:adjustRightInd w:val="0"/>
        <w:snapToGrid w:val="0"/>
        <w:spacing w:before="146" w:line="243" w:lineRule="auto"/>
        <w:ind w:left="21" w:right="173" w:firstLine="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7.5.1 承包人及其分包人招用建筑工人的，应当依法与所招用的建</w:t>
      </w:r>
      <w:r>
        <w:rPr>
          <w:rFonts w:hint="eastAsia" w:ascii="仿宋" w:hAnsi="仿宋" w:eastAsia="仿宋" w:cs="仿宋"/>
          <w:color w:val="auto"/>
          <w:spacing w:val="6"/>
          <w:sz w:val="24"/>
          <w:szCs w:val="24"/>
          <w:highlight w:val="none"/>
        </w:rPr>
        <w:t>筑工人订立劳动合同，实</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行建筑工人劳动用工实名制管理，承包人应当按照有关规定开设建筑工人工资专用账户、存</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储工资保证金，专项用于支付和保障该工程建设项目建筑工人工资。</w:t>
      </w:r>
    </w:p>
    <w:p w14:paraId="5FB56B22">
      <w:pPr>
        <w:pStyle w:val="2"/>
        <w:keepNext w:val="0"/>
        <w:keepLines w:val="0"/>
        <w:pageBreakBefore w:val="0"/>
        <w:widowControl/>
        <w:kinsoku w:val="0"/>
        <w:wordWrap/>
        <w:overflowPunct/>
        <w:topLinePunct w:val="0"/>
        <w:autoSpaceDE w:val="0"/>
        <w:autoSpaceDN w:val="0"/>
        <w:bidi w:val="0"/>
        <w:adjustRightInd w:val="0"/>
        <w:snapToGrid w:val="0"/>
        <w:spacing w:before="145" w:line="247" w:lineRule="auto"/>
        <w:ind w:left="21" w:right="173" w:firstLine="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7.5.2 承包人应当在工程项目部配备劳资专管员，对分包单位劳</w:t>
      </w:r>
      <w:r>
        <w:rPr>
          <w:rFonts w:hint="eastAsia" w:ascii="仿宋" w:hAnsi="仿宋" w:eastAsia="仿宋" w:cs="仿宋"/>
          <w:color w:val="auto"/>
          <w:spacing w:val="6"/>
          <w:sz w:val="24"/>
          <w:szCs w:val="24"/>
          <w:highlight w:val="none"/>
        </w:rPr>
        <w:t>动用工及工资发放实施监督</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管理。承包人拖欠建筑工人工资的,应当依法予以清偿。分包人拖欠建筑工人工资的,由承包</w:t>
      </w:r>
      <w:r>
        <w:rPr>
          <w:rFonts w:hint="eastAsia" w:ascii="仿宋" w:hAnsi="仿宋" w:eastAsia="仿宋" w:cs="仿宋"/>
          <w:color w:val="auto"/>
          <w:spacing w:val="8"/>
          <w:sz w:val="24"/>
          <w:szCs w:val="24"/>
          <w:highlight w:val="none"/>
        </w:rPr>
        <w:t xml:space="preserve"> </w:t>
      </w:r>
      <w:r>
        <w:rPr>
          <w:rFonts w:hint="eastAsia" w:ascii="仿宋" w:hAnsi="仿宋" w:eastAsia="仿宋" w:cs="仿宋"/>
          <w:color w:val="auto"/>
          <w:spacing w:val="10"/>
          <w:sz w:val="24"/>
          <w:szCs w:val="24"/>
          <w:highlight w:val="none"/>
        </w:rPr>
        <w:t>人先行清偿,再依法进行追偿。因发包人未按照合同约定及时拨付工程款导致建</w:t>
      </w:r>
      <w:r>
        <w:rPr>
          <w:rFonts w:hint="eastAsia" w:ascii="仿宋" w:hAnsi="仿宋" w:eastAsia="仿宋" w:cs="仿宋"/>
          <w:color w:val="auto"/>
          <w:spacing w:val="9"/>
          <w:sz w:val="24"/>
          <w:szCs w:val="24"/>
          <w:highlight w:val="none"/>
        </w:rPr>
        <w:t>筑工人工资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拖欠的，发包人应当以未结清的工程款为限先行垫付被拖欠的建筑工人工资。合同当事人可</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在专用合同条件中约定具体的清偿事宜和违约责任。</w:t>
      </w:r>
    </w:p>
    <w:p w14:paraId="35BB25A7">
      <w:pPr>
        <w:pStyle w:val="2"/>
        <w:keepNext w:val="0"/>
        <w:keepLines w:val="0"/>
        <w:pageBreakBefore w:val="0"/>
        <w:widowControl/>
        <w:kinsoku w:val="0"/>
        <w:wordWrap/>
        <w:overflowPunct/>
        <w:topLinePunct w:val="0"/>
        <w:autoSpaceDE w:val="0"/>
        <w:autoSpaceDN w:val="0"/>
        <w:bidi w:val="0"/>
        <w:adjustRightInd w:val="0"/>
        <w:snapToGrid w:val="0"/>
        <w:spacing w:before="145"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7.5.3 承包人应当按照相关法律法规的要求，进</w:t>
      </w:r>
      <w:r>
        <w:rPr>
          <w:rFonts w:hint="eastAsia" w:ascii="仿宋" w:hAnsi="仿宋" w:eastAsia="仿宋" w:cs="仿宋"/>
          <w:color w:val="auto"/>
          <w:spacing w:val="8"/>
          <w:sz w:val="24"/>
          <w:szCs w:val="24"/>
          <w:highlight w:val="none"/>
        </w:rPr>
        <w:t>行劳动用工管理和建筑工人工资支付。</w:t>
      </w:r>
    </w:p>
    <w:p w14:paraId="137B42C7">
      <w:pPr>
        <w:pStyle w:val="2"/>
        <w:keepNext w:val="0"/>
        <w:keepLines w:val="0"/>
        <w:pageBreakBefore w:val="0"/>
        <w:widowControl/>
        <w:kinsoku w:val="0"/>
        <w:wordWrap/>
        <w:overflowPunct/>
        <w:topLinePunct w:val="0"/>
        <w:autoSpaceDE w:val="0"/>
        <w:autoSpaceDN w:val="0"/>
        <w:bidi w:val="0"/>
        <w:adjustRightInd w:val="0"/>
        <w:snapToGrid w:val="0"/>
        <w:spacing w:before="146"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7.6 安全文明施工</w:t>
      </w:r>
    </w:p>
    <w:p w14:paraId="2FCD6F5B">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7.6.1 安全生产要求</w:t>
      </w:r>
    </w:p>
    <w:p w14:paraId="54CE6E35">
      <w:pPr>
        <w:pStyle w:val="2"/>
        <w:keepNext w:val="0"/>
        <w:keepLines w:val="0"/>
        <w:pageBreakBefore w:val="0"/>
        <w:widowControl/>
        <w:kinsoku w:val="0"/>
        <w:wordWrap/>
        <w:overflowPunct/>
        <w:topLinePunct w:val="0"/>
        <w:autoSpaceDE w:val="0"/>
        <w:autoSpaceDN w:val="0"/>
        <w:bidi w:val="0"/>
        <w:adjustRightInd w:val="0"/>
        <w:snapToGrid w:val="0"/>
        <w:spacing w:before="145" w:line="244" w:lineRule="auto"/>
        <w:ind w:left="21" w:right="173" w:firstLine="601"/>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合同履行期间，合同当事人均应当遵守国家和工程所在地有关安全生产的要求，</w:t>
      </w:r>
      <w:r>
        <w:rPr>
          <w:rFonts w:hint="eastAsia" w:ascii="仿宋" w:hAnsi="仿宋" w:eastAsia="仿宋" w:cs="仿宋"/>
          <w:color w:val="auto"/>
          <w:spacing w:val="7"/>
          <w:sz w:val="24"/>
          <w:szCs w:val="24"/>
          <w:highlight w:val="none"/>
        </w:rPr>
        <w:t>合同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当事人有特别要求的，应在专用合同条件中明确安全生产标准化目标及相应事项。承包人有</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权拒绝发包人及工程师强令承包人违章作业、冒险施工的任何指示。</w:t>
      </w:r>
    </w:p>
    <w:p w14:paraId="325106DD">
      <w:pPr>
        <w:pStyle w:val="2"/>
        <w:keepNext w:val="0"/>
        <w:keepLines w:val="0"/>
        <w:pageBreakBefore w:val="0"/>
        <w:widowControl/>
        <w:kinsoku w:val="0"/>
        <w:wordWrap/>
        <w:overflowPunct/>
        <w:topLinePunct w:val="0"/>
        <w:autoSpaceDE w:val="0"/>
        <w:autoSpaceDN w:val="0"/>
        <w:bidi w:val="0"/>
        <w:adjustRightInd w:val="0"/>
        <w:snapToGrid w:val="0"/>
        <w:spacing w:before="26" w:line="243" w:lineRule="auto"/>
        <w:ind w:left="21" w:right="173"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在工程实施过程中，如遇到突发的地质变动、事先未知的地下施工障碍等影响施工安</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全的紧急情况，承包人应及时报告工程师和发包人，发包人应当及时下令停工并采取应急措</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施，按照相关法律法规的要求需上报政府有关行政管理部门的，应依法上报。</w:t>
      </w:r>
    </w:p>
    <w:p w14:paraId="6016F35F">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63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因安全生产需要暂停施工的，按照第</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7"/>
          <w:sz w:val="24"/>
          <w:szCs w:val="24"/>
          <w:highlight w:val="none"/>
        </w:rPr>
        <w:t>8.9</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7"/>
          <w:sz w:val="24"/>
          <w:szCs w:val="24"/>
          <w:highlight w:val="none"/>
        </w:rPr>
        <w:t>款[暂停工作]的约定执行。</w:t>
      </w:r>
    </w:p>
    <w:p w14:paraId="7687CCFE">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7.6.2 安全生产保证措施</w:t>
      </w:r>
    </w:p>
    <w:p w14:paraId="026C831E">
      <w:pPr>
        <w:pStyle w:val="2"/>
        <w:keepNext w:val="0"/>
        <w:keepLines w:val="0"/>
        <w:pageBreakBefore w:val="0"/>
        <w:widowControl/>
        <w:kinsoku w:val="0"/>
        <w:wordWrap/>
        <w:overflowPunct/>
        <w:topLinePunct w:val="0"/>
        <w:autoSpaceDE w:val="0"/>
        <w:autoSpaceDN w:val="0"/>
        <w:bidi w:val="0"/>
        <w:adjustRightInd w:val="0"/>
        <w:snapToGrid w:val="0"/>
        <w:spacing w:before="143" w:line="244" w:lineRule="auto"/>
        <w:ind w:left="21" w:right="173"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承包人应当按照法律、法规和工程建设强制性标准进行设计、在设计文件中注明</w:t>
      </w:r>
      <w:r>
        <w:rPr>
          <w:rFonts w:hint="eastAsia" w:ascii="仿宋" w:hAnsi="仿宋" w:eastAsia="仿宋" w:cs="仿宋"/>
          <w:color w:val="auto"/>
          <w:spacing w:val="7"/>
          <w:sz w:val="24"/>
          <w:szCs w:val="24"/>
          <w:highlight w:val="none"/>
        </w:rPr>
        <w:t>涉及</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施工安全的重点部位和环节，提出保障施工作业人员和预防安全事故的措施建议，防止因设</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计不合理导致生产安全事故的发生。</w:t>
      </w:r>
    </w:p>
    <w:p w14:paraId="2BE8BD28">
      <w:pPr>
        <w:pStyle w:val="2"/>
        <w:keepNext w:val="0"/>
        <w:keepLines w:val="0"/>
        <w:pageBreakBefore w:val="0"/>
        <w:widowControl/>
        <w:kinsoku w:val="0"/>
        <w:wordWrap/>
        <w:overflowPunct/>
        <w:topLinePunct w:val="0"/>
        <w:autoSpaceDE w:val="0"/>
        <w:autoSpaceDN w:val="0"/>
        <w:bidi w:val="0"/>
        <w:adjustRightInd w:val="0"/>
        <w:snapToGrid w:val="0"/>
        <w:spacing w:before="25" w:line="246" w:lineRule="auto"/>
        <w:ind w:left="21" w:right="173"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承包人应当按照有关规定编制安全技术措施或者专项施工方案，建立安全生产责</w:t>
      </w:r>
      <w:r>
        <w:rPr>
          <w:rFonts w:hint="eastAsia" w:ascii="仿宋" w:hAnsi="仿宋" w:eastAsia="仿宋" w:cs="仿宋"/>
          <w:color w:val="auto"/>
          <w:spacing w:val="7"/>
          <w:sz w:val="24"/>
          <w:szCs w:val="24"/>
          <w:highlight w:val="none"/>
        </w:rPr>
        <w:t>任制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度、治安保卫制度及安全生产教育培训制度，并按安全生产法律规定及合同约定履行安全职</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责，如实编制工程安全生产的有关记录，接受发包人、工程师及政府安全监督部门的检查与</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3"/>
          <w:sz w:val="24"/>
          <w:szCs w:val="24"/>
          <w:highlight w:val="none"/>
        </w:rPr>
        <w:t>监督。</w:t>
      </w:r>
    </w:p>
    <w:p w14:paraId="233F9F1A">
      <w:pPr>
        <w:pStyle w:val="2"/>
        <w:keepNext w:val="0"/>
        <w:keepLines w:val="0"/>
        <w:pageBreakBefore w:val="0"/>
        <w:widowControl/>
        <w:kinsoku w:val="0"/>
        <w:wordWrap/>
        <w:overflowPunct/>
        <w:topLinePunct w:val="0"/>
        <w:autoSpaceDE w:val="0"/>
        <w:autoSpaceDN w:val="0"/>
        <w:bidi w:val="0"/>
        <w:adjustRightInd w:val="0"/>
        <w:snapToGrid w:val="0"/>
        <w:spacing w:before="24" w:line="247" w:lineRule="auto"/>
        <w:ind w:left="21" w:right="115"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承包人应按照法律规定进行施工，开工前做好安全技术交底工作，施工过程中做好各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项安全防护措施。承包人为实施合同而雇用的特殊工种的人员应受过专门的培训并已取得政</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府有关管理机构颁发的上岗证书。承包人应加强施工作业安全管理，特别应加</w:t>
      </w:r>
      <w:r>
        <w:rPr>
          <w:rFonts w:hint="eastAsia" w:ascii="仿宋" w:hAnsi="仿宋" w:eastAsia="仿宋" w:cs="仿宋"/>
          <w:color w:val="auto"/>
          <w:spacing w:val="8"/>
          <w:sz w:val="24"/>
          <w:szCs w:val="24"/>
          <w:highlight w:val="none"/>
        </w:rPr>
        <w:t>强对于易燃、</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易爆材料、火工器材、有毒与腐蚀性材料和其他危险品的管理，以及对爆破作业和地下工程</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施工等危险作业的管理。</w:t>
      </w:r>
    </w:p>
    <w:p w14:paraId="3B2E1863">
      <w:pPr>
        <w:pStyle w:val="2"/>
        <w:keepNext w:val="0"/>
        <w:keepLines w:val="0"/>
        <w:pageBreakBefore w:val="0"/>
        <w:widowControl/>
        <w:kinsoku w:val="0"/>
        <w:wordWrap/>
        <w:overflowPunct/>
        <w:topLinePunct w:val="0"/>
        <w:autoSpaceDE w:val="0"/>
        <w:autoSpaceDN w:val="0"/>
        <w:bidi w:val="0"/>
        <w:adjustRightInd w:val="0"/>
        <w:snapToGrid w:val="0"/>
        <w:spacing w:before="41" w:line="228" w:lineRule="auto"/>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7.6.3 文明施工</w:t>
      </w:r>
    </w:p>
    <w:p w14:paraId="5E365E75">
      <w:pPr>
        <w:pStyle w:val="2"/>
        <w:keepNext w:val="0"/>
        <w:keepLines w:val="0"/>
        <w:pageBreakBefore w:val="0"/>
        <w:widowControl/>
        <w:kinsoku w:val="0"/>
        <w:wordWrap/>
        <w:overflowPunct/>
        <w:topLinePunct w:val="0"/>
        <w:autoSpaceDE w:val="0"/>
        <w:autoSpaceDN w:val="0"/>
        <w:bidi w:val="0"/>
        <w:adjustRightInd w:val="0"/>
        <w:snapToGrid w:val="0"/>
        <w:spacing w:before="145" w:line="244" w:lineRule="auto"/>
        <w:ind w:left="22" w:right="70"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承包人在工程施工期间，应当采取措施保持施工现场平整，物料堆放整齐。工程所在</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地有关政府行政管理部门有特殊要求的，按照其要求执行。合同当事人对文明施工有其他要</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求的，可以在专用合同条件中明确。</w:t>
      </w:r>
    </w:p>
    <w:p w14:paraId="368B7F51">
      <w:pPr>
        <w:pStyle w:val="2"/>
        <w:keepNext w:val="0"/>
        <w:keepLines w:val="0"/>
        <w:pageBreakBefore w:val="0"/>
        <w:widowControl/>
        <w:kinsoku w:val="0"/>
        <w:wordWrap/>
        <w:overflowPunct/>
        <w:topLinePunct w:val="0"/>
        <w:autoSpaceDE w:val="0"/>
        <w:autoSpaceDN w:val="0"/>
        <w:bidi w:val="0"/>
        <w:adjustRightInd w:val="0"/>
        <w:snapToGrid w:val="0"/>
        <w:spacing w:before="25" w:line="243" w:lineRule="auto"/>
        <w:ind w:left="23" w:right="70" w:firstLine="598"/>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在工程移交之前，承包人应当从施工现场清除承包人的全部工程设备、多余材料、垃</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圾和各种临时工程，并保持施工现场清洁整齐。经发包人书面同意，承包人可在发包人指定</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的地点保留承包人履行保修期内的各项义务所需要的材料、施工设备和临时工程。</w:t>
      </w:r>
    </w:p>
    <w:p w14:paraId="0404664E">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7.6.4 事故处理</w:t>
      </w:r>
    </w:p>
    <w:p w14:paraId="42EFE253">
      <w:pPr>
        <w:pStyle w:val="2"/>
        <w:keepNext w:val="0"/>
        <w:keepLines w:val="0"/>
        <w:pageBreakBefore w:val="0"/>
        <w:widowControl/>
        <w:kinsoku w:val="0"/>
        <w:wordWrap/>
        <w:overflowPunct/>
        <w:topLinePunct w:val="0"/>
        <w:autoSpaceDE w:val="0"/>
        <w:autoSpaceDN w:val="0"/>
        <w:bidi w:val="0"/>
        <w:adjustRightInd w:val="0"/>
        <w:snapToGrid w:val="0"/>
        <w:spacing w:before="143" w:line="245" w:lineRule="auto"/>
        <w:ind w:left="21" w:firstLine="60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 xml:space="preserve">工程实施过程中发生事故的，承包人应立即通知工程师。发包人和承包人应立即组织 人员和设备进行紧急抢救和抢修，减少人员伤亡和财产损失，防止事故扩大，并保护事故现 场。需要移动现场物品时，应作出标记和书面记录，妥善保管有关证据。发包人和承包人应 </w:t>
      </w:r>
      <w:r>
        <w:rPr>
          <w:rFonts w:hint="eastAsia" w:ascii="仿宋" w:hAnsi="仿宋" w:eastAsia="仿宋" w:cs="仿宋"/>
          <w:color w:val="auto"/>
          <w:spacing w:val="4"/>
          <w:sz w:val="24"/>
          <w:szCs w:val="24"/>
          <w:highlight w:val="none"/>
        </w:rPr>
        <w:t>按国家有关规定，及时如实地向有关部门报告事故发生的情况，以及正在采取的紧急措施等。</w:t>
      </w:r>
    </w:p>
    <w:p w14:paraId="75B86323">
      <w:pPr>
        <w:pStyle w:val="2"/>
        <w:keepNext w:val="0"/>
        <w:keepLines w:val="0"/>
        <w:pageBreakBefore w:val="0"/>
        <w:widowControl/>
        <w:kinsoku w:val="0"/>
        <w:wordWrap/>
        <w:overflowPunct/>
        <w:topLinePunct w:val="0"/>
        <w:autoSpaceDE w:val="0"/>
        <w:autoSpaceDN w:val="0"/>
        <w:bidi w:val="0"/>
        <w:adjustRightInd w:val="0"/>
        <w:snapToGrid w:val="0"/>
        <w:spacing w:before="27" w:line="246" w:lineRule="auto"/>
        <w:ind w:left="23" w:firstLine="598"/>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在工程实施期间或缺陷责任期内发生危及工程</w:t>
      </w:r>
      <w:r>
        <w:rPr>
          <w:rFonts w:hint="eastAsia" w:ascii="仿宋" w:hAnsi="仿宋" w:eastAsia="仿宋" w:cs="仿宋"/>
          <w:color w:val="auto"/>
          <w:spacing w:val="7"/>
          <w:sz w:val="24"/>
          <w:szCs w:val="24"/>
          <w:highlight w:val="none"/>
        </w:rPr>
        <w:t xml:space="preserve">安全的事件，工程师通知承包人进行抢 </w:t>
      </w:r>
      <w:r>
        <w:rPr>
          <w:rFonts w:hint="eastAsia" w:ascii="仿宋" w:hAnsi="仿宋" w:eastAsia="仿宋" w:cs="仿宋"/>
          <w:color w:val="auto"/>
          <w:spacing w:val="4"/>
          <w:sz w:val="24"/>
          <w:szCs w:val="24"/>
          <w:highlight w:val="none"/>
        </w:rPr>
        <w:t>救和抢修，承包人声明无能力或不愿立即执行的，发包人有权雇佣其他人员进行抢救和抢修。</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7"/>
          <w:sz w:val="24"/>
          <w:szCs w:val="24"/>
          <w:highlight w:val="none"/>
        </w:rPr>
        <w:t>此类抢救和抢修按合同约定属于承包人义务的，由此增加的费用和（或）延误的工期由承</w:t>
      </w:r>
      <w:r>
        <w:rPr>
          <w:rFonts w:hint="eastAsia" w:ascii="仿宋" w:hAnsi="仿宋" w:eastAsia="仿宋" w:cs="仿宋"/>
          <w:color w:val="auto"/>
          <w:spacing w:val="6"/>
          <w:sz w:val="24"/>
          <w:szCs w:val="24"/>
          <w:highlight w:val="none"/>
        </w:rPr>
        <w:t xml:space="preserve">包 </w:t>
      </w:r>
      <w:r>
        <w:rPr>
          <w:rFonts w:hint="eastAsia" w:ascii="仿宋" w:hAnsi="仿宋" w:eastAsia="仿宋" w:cs="仿宋"/>
          <w:color w:val="auto"/>
          <w:spacing w:val="4"/>
          <w:sz w:val="24"/>
          <w:szCs w:val="24"/>
          <w:highlight w:val="none"/>
        </w:rPr>
        <w:t>人承担。</w:t>
      </w:r>
    </w:p>
    <w:p w14:paraId="45F893A9">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7.6.5 安全生产责任</w:t>
      </w:r>
    </w:p>
    <w:p w14:paraId="454F8DAF">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发包人应负责赔偿以下各种情况造成的损失：</w:t>
      </w:r>
    </w:p>
    <w:p w14:paraId="2489E94E">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 工程或工程的任何部分对土地的占用所造</w:t>
      </w:r>
      <w:r>
        <w:rPr>
          <w:rFonts w:hint="eastAsia" w:ascii="仿宋" w:hAnsi="仿宋" w:eastAsia="仿宋" w:cs="仿宋"/>
          <w:color w:val="auto"/>
          <w:spacing w:val="8"/>
          <w:sz w:val="24"/>
          <w:szCs w:val="24"/>
          <w:highlight w:val="none"/>
        </w:rPr>
        <w:t>成的第三者财产损失；</w:t>
      </w:r>
    </w:p>
    <w:p w14:paraId="034F0B0A">
      <w:pPr>
        <w:pStyle w:val="2"/>
        <w:keepNext w:val="0"/>
        <w:keepLines w:val="0"/>
        <w:pageBreakBefore w:val="0"/>
        <w:widowControl/>
        <w:kinsoku w:val="0"/>
        <w:wordWrap/>
        <w:overflowPunct/>
        <w:topLinePunct w:val="0"/>
        <w:autoSpaceDE w:val="0"/>
        <w:autoSpaceDN w:val="0"/>
        <w:bidi w:val="0"/>
        <w:adjustRightInd w:val="0"/>
        <w:snapToGrid w:val="0"/>
        <w:spacing w:before="24"/>
        <w:ind w:left="22" w:right="70"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由于发包人原因在施工现场及其毗邻地带、履行合同工作中造成的第三者人身</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伤亡和财产损失；</w:t>
      </w:r>
    </w:p>
    <w:p w14:paraId="5A8F57D3">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right="17"/>
        <w:jc w:val="right"/>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（3）</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8"/>
          <w:sz w:val="24"/>
          <w:szCs w:val="24"/>
          <w:highlight w:val="none"/>
        </w:rPr>
        <w:t>由于发包人原因对发包人自身、承包人、工程师造成的人身伤</w:t>
      </w:r>
      <w:r>
        <w:rPr>
          <w:rFonts w:hint="eastAsia" w:ascii="仿宋" w:hAnsi="仿宋" w:eastAsia="仿宋" w:cs="仿宋"/>
          <w:color w:val="auto"/>
          <w:spacing w:val="7"/>
          <w:sz w:val="24"/>
          <w:szCs w:val="24"/>
          <w:highlight w:val="none"/>
        </w:rPr>
        <w:t>害和财产损失。</w:t>
      </w:r>
    </w:p>
    <w:p w14:paraId="68AA551D">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22" w:right="70"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承包人应负责赔偿由于承包人原因在施工现场及其毗邻地带、履行合同工作中造</w:t>
      </w:r>
      <w:r>
        <w:rPr>
          <w:rFonts w:hint="eastAsia" w:ascii="仿宋" w:hAnsi="仿宋" w:eastAsia="仿宋" w:cs="仿宋"/>
          <w:color w:val="auto"/>
          <w:spacing w:val="7"/>
          <w:sz w:val="24"/>
          <w:szCs w:val="24"/>
          <w:highlight w:val="none"/>
        </w:rPr>
        <w:t>成的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第三者人身伤亡和财产损失。</w:t>
      </w:r>
    </w:p>
    <w:p w14:paraId="5C4457AA">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22" w:right="70" w:firstLine="60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如果上述损失是由于发包人和承包人共同原因导致的，则双方应根据过错</w:t>
      </w:r>
      <w:r>
        <w:rPr>
          <w:rFonts w:hint="eastAsia" w:ascii="仿宋" w:hAnsi="仿宋" w:eastAsia="仿宋" w:cs="仿宋"/>
          <w:color w:val="auto"/>
          <w:spacing w:val="7"/>
          <w:sz w:val="24"/>
          <w:szCs w:val="24"/>
          <w:highlight w:val="none"/>
        </w:rPr>
        <w:t>情况按比例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承担。</w:t>
      </w:r>
    </w:p>
    <w:p w14:paraId="49CBB395">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7.7 职业健康</w:t>
      </w:r>
    </w:p>
    <w:p w14:paraId="1923D0AD">
      <w:pPr>
        <w:pStyle w:val="2"/>
        <w:keepNext w:val="0"/>
        <w:keepLines w:val="0"/>
        <w:pageBreakBefore w:val="0"/>
        <w:widowControl/>
        <w:kinsoku w:val="0"/>
        <w:wordWrap/>
        <w:overflowPunct/>
        <w:topLinePunct w:val="0"/>
        <w:autoSpaceDE w:val="0"/>
        <w:autoSpaceDN w:val="0"/>
        <w:bidi w:val="0"/>
        <w:adjustRightInd w:val="0"/>
        <w:snapToGrid w:val="0"/>
        <w:spacing w:before="147"/>
        <w:ind w:left="23" w:right="70" w:firstLine="5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承包人应遵守适用的职业健康的法律和合同约定（包括对雇用、职业健康、安全、福</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利等方面的规定</w:t>
      </w:r>
      <w:r>
        <w:rPr>
          <w:rFonts w:hint="eastAsia" w:ascii="仿宋" w:hAnsi="仿宋" w:eastAsia="仿宋" w:cs="仿宋"/>
          <w:color w:val="auto"/>
          <w:spacing w:val="18"/>
          <w:sz w:val="24"/>
          <w:szCs w:val="24"/>
          <w:highlight w:val="none"/>
        </w:rPr>
        <w:t>），</w:t>
      </w:r>
      <w:r>
        <w:rPr>
          <w:rFonts w:hint="eastAsia" w:ascii="仿宋" w:hAnsi="仿宋" w:eastAsia="仿宋" w:cs="仿宋"/>
          <w:color w:val="auto"/>
          <w:spacing w:val="9"/>
          <w:sz w:val="24"/>
          <w:szCs w:val="24"/>
          <w:highlight w:val="none"/>
        </w:rPr>
        <w:t>负责现场实施过程中其人员的职业健</w:t>
      </w:r>
      <w:r>
        <w:rPr>
          <w:rFonts w:hint="eastAsia" w:ascii="仿宋" w:hAnsi="仿宋" w:eastAsia="仿宋" w:cs="仿宋"/>
          <w:color w:val="auto"/>
          <w:spacing w:val="8"/>
          <w:sz w:val="24"/>
          <w:szCs w:val="24"/>
          <w:highlight w:val="none"/>
        </w:rPr>
        <w:t>康和保护，包括：</w:t>
      </w:r>
    </w:p>
    <w:p w14:paraId="720702C7">
      <w:pPr>
        <w:pStyle w:val="2"/>
        <w:keepNext w:val="0"/>
        <w:keepLines w:val="0"/>
        <w:pageBreakBefore w:val="0"/>
        <w:widowControl/>
        <w:kinsoku w:val="0"/>
        <w:wordWrap/>
        <w:overflowPunct/>
        <w:topLinePunct w:val="0"/>
        <w:autoSpaceDE w:val="0"/>
        <w:autoSpaceDN w:val="0"/>
        <w:bidi w:val="0"/>
        <w:adjustRightInd w:val="0"/>
        <w:snapToGrid w:val="0"/>
        <w:spacing w:before="24" w:line="246" w:lineRule="auto"/>
        <w:ind w:left="20" w:right="16" w:firstLine="6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承包人应遵守适用的劳动法规，保护承包人员工及承包人聘用的第三方人员的</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合法休假权等合法权益，按照法律规定安排现场施工人员的劳动和休息时间，保障劳动者的</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4"/>
          <w:sz w:val="24"/>
          <w:szCs w:val="24"/>
          <w:highlight w:val="none"/>
        </w:rPr>
        <w:t>休息时间，并支付合理的报酬和费用。因工程施工的特殊需要占</w:t>
      </w:r>
      <w:r>
        <w:rPr>
          <w:rFonts w:hint="eastAsia" w:ascii="仿宋" w:hAnsi="仿宋" w:eastAsia="仿宋" w:cs="仿宋"/>
          <w:color w:val="auto"/>
          <w:spacing w:val="3"/>
          <w:sz w:val="24"/>
          <w:szCs w:val="24"/>
          <w:highlight w:val="none"/>
        </w:rPr>
        <w:t>用休假日或延长工作时间的，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应不超过法律规定的限度，并按法律规定给予补休或酬劳。</w:t>
      </w:r>
    </w:p>
    <w:p w14:paraId="70D40AE7">
      <w:pPr>
        <w:pStyle w:val="2"/>
        <w:keepNext w:val="0"/>
        <w:keepLines w:val="0"/>
        <w:pageBreakBefore w:val="0"/>
        <w:widowControl/>
        <w:kinsoku w:val="0"/>
        <w:wordWrap/>
        <w:overflowPunct/>
        <w:topLinePunct w:val="0"/>
        <w:autoSpaceDE w:val="0"/>
        <w:autoSpaceDN w:val="0"/>
        <w:bidi w:val="0"/>
        <w:adjustRightInd w:val="0"/>
        <w:snapToGrid w:val="0"/>
        <w:spacing w:before="25" w:line="245" w:lineRule="auto"/>
        <w:ind w:left="22"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（2）承包人应依法为承包人员工及承包人聘用的第三方人员</w:t>
      </w:r>
      <w:r>
        <w:rPr>
          <w:rFonts w:hint="eastAsia" w:ascii="仿宋" w:hAnsi="仿宋" w:eastAsia="仿宋" w:cs="仿宋"/>
          <w:color w:val="auto"/>
          <w:spacing w:val="6"/>
          <w:sz w:val="24"/>
          <w:szCs w:val="24"/>
          <w:highlight w:val="none"/>
        </w:rPr>
        <w:t>办理必要的证件、许可、</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保险和注册等，承包人应督促其分包人为分包人员工及分包人聘用的第三方人员办理必要</w:t>
      </w:r>
      <w:r>
        <w:rPr>
          <w:rFonts w:hint="eastAsia" w:ascii="仿宋" w:hAnsi="仿宋" w:eastAsia="仿宋" w:cs="仿宋"/>
          <w:color w:val="auto"/>
          <w:spacing w:val="6"/>
          <w:sz w:val="24"/>
          <w:szCs w:val="24"/>
          <w:highlight w:val="none"/>
        </w:rPr>
        <w:t xml:space="preserve">的 </w:t>
      </w:r>
      <w:r>
        <w:rPr>
          <w:rFonts w:hint="eastAsia" w:ascii="仿宋" w:hAnsi="仿宋" w:eastAsia="仿宋" w:cs="仿宋"/>
          <w:color w:val="auto"/>
          <w:spacing w:val="7"/>
          <w:sz w:val="24"/>
          <w:szCs w:val="24"/>
          <w:highlight w:val="none"/>
        </w:rPr>
        <w:t>证件、许可、保险和注册等。承包人应为其履行合同所雇用的人员提供必要的膳宿条件和</w:t>
      </w:r>
      <w:r>
        <w:rPr>
          <w:rFonts w:hint="eastAsia" w:ascii="仿宋" w:hAnsi="仿宋" w:eastAsia="仿宋" w:cs="仿宋"/>
          <w:color w:val="auto"/>
          <w:spacing w:val="6"/>
          <w:sz w:val="24"/>
          <w:szCs w:val="24"/>
          <w:highlight w:val="none"/>
        </w:rPr>
        <w:t xml:space="preserve">生 </w:t>
      </w:r>
      <w:r>
        <w:rPr>
          <w:rFonts w:hint="eastAsia" w:ascii="仿宋" w:hAnsi="仿宋" w:eastAsia="仿宋" w:cs="仿宋"/>
          <w:color w:val="auto"/>
          <w:spacing w:val="8"/>
          <w:sz w:val="24"/>
          <w:szCs w:val="24"/>
          <w:highlight w:val="none"/>
        </w:rPr>
        <w:t>活环境，必要的现场食宿条件。</w:t>
      </w:r>
    </w:p>
    <w:p w14:paraId="69773D0B">
      <w:pPr>
        <w:pStyle w:val="2"/>
        <w:keepNext w:val="0"/>
        <w:keepLines w:val="0"/>
        <w:pageBreakBefore w:val="0"/>
        <w:widowControl/>
        <w:kinsoku w:val="0"/>
        <w:wordWrap/>
        <w:overflowPunct/>
        <w:topLinePunct w:val="0"/>
        <w:autoSpaceDE w:val="0"/>
        <w:autoSpaceDN w:val="0"/>
        <w:bidi w:val="0"/>
        <w:adjustRightInd w:val="0"/>
        <w:snapToGrid w:val="0"/>
        <w:spacing w:before="28" w:line="245" w:lineRule="auto"/>
        <w:ind w:left="21" w:right="70"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承包人应对其施工人员进行相关作业的职业健康知识培训、危险及危害因素交</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底、安全操作规程交底、采取有效措施，按有关规定为其现场人员提供劳动保护用品、防护</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器具、防暑降温用品和安全生产设施。采取有效的防止粉尘、降低噪声、控制有害气体和保</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障高温、高寒、高空作业安全等劳动保护措施。</w:t>
      </w:r>
    </w:p>
    <w:p w14:paraId="5C773B0B">
      <w:pPr>
        <w:pStyle w:val="2"/>
        <w:keepNext w:val="0"/>
        <w:keepLines w:val="0"/>
        <w:pageBreakBefore w:val="0"/>
        <w:widowControl/>
        <w:kinsoku w:val="0"/>
        <w:wordWrap/>
        <w:overflowPunct/>
        <w:topLinePunct w:val="0"/>
        <w:autoSpaceDE w:val="0"/>
        <w:autoSpaceDN w:val="0"/>
        <w:bidi w:val="0"/>
        <w:adjustRightInd w:val="0"/>
        <w:snapToGrid w:val="0"/>
        <w:spacing w:before="28" w:line="245" w:lineRule="auto"/>
        <w:ind w:left="22" w:right="70"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 承包人应在有毒有害作业区域设置警示标志和说明，对有毒有害岗位进行防治</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检查，对不合格的防护设施、器具、搭设等及时整改，消除危害职业健康的隐患。发包人人</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员和工程师人员未经承包人允许、未配备相关保护器具，进入该作业区域所造成的伤害，由</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发包人承担责任和费用。</w:t>
      </w:r>
    </w:p>
    <w:p w14:paraId="06EFFBD2">
      <w:pPr>
        <w:rPr>
          <w:rFonts w:hint="eastAsia" w:ascii="仿宋" w:hAnsi="仿宋" w:eastAsia="仿宋" w:cs="仿宋"/>
          <w:color w:val="auto"/>
          <w:spacing w:val="9"/>
          <w:sz w:val="24"/>
          <w:szCs w:val="24"/>
          <w:highlight w:val="none"/>
        </w:rPr>
      </w:pPr>
      <w:r>
        <w:rPr>
          <w:rFonts w:hint="eastAsia" w:ascii="仿宋" w:hAnsi="仿宋" w:eastAsia="仿宋" w:cs="仿宋"/>
          <w:color w:val="auto"/>
          <w:spacing w:val="7"/>
          <w:sz w:val="24"/>
          <w:szCs w:val="24"/>
          <w:highlight w:val="none"/>
        </w:rPr>
        <w:t>（5） 承包人应采取有效措施预防传染病，保持食堂的饮食卫生，保证施工人员的健</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康，并定期对施工现场、施工人员生活基地和工程进行防疫和卫生的专业检查和处理, 在远</w:t>
      </w:r>
      <w:r>
        <w:rPr>
          <w:rFonts w:hint="eastAsia" w:ascii="仿宋" w:hAnsi="仿宋" w:eastAsia="仿宋" w:cs="仿宋"/>
          <w:color w:val="auto"/>
          <w:spacing w:val="8"/>
          <w:sz w:val="24"/>
          <w:szCs w:val="24"/>
          <w:highlight w:val="none"/>
        </w:rPr>
        <w:t xml:space="preserve"> </w:t>
      </w:r>
      <w:r>
        <w:rPr>
          <w:rFonts w:hint="eastAsia" w:ascii="仿宋" w:hAnsi="仿宋" w:eastAsia="仿宋" w:cs="仿宋"/>
          <w:color w:val="auto"/>
          <w:spacing w:val="7"/>
          <w:sz w:val="24"/>
          <w:szCs w:val="24"/>
          <w:highlight w:val="none"/>
        </w:rPr>
        <w:t>离城镇的施工现场，还应配备必要的伤病防治和急救的医务人员与医疗设施。承包人雇佣人</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员在施工中受到伤害的，承包人应立即采取有效措施进行抢救和治疗。</w:t>
      </w:r>
    </w:p>
    <w:p w14:paraId="526BD825">
      <w:pPr>
        <w:pStyle w:val="2"/>
        <w:rPr>
          <w:rFonts w:hint="eastAsia" w:ascii="仿宋" w:hAnsi="仿宋" w:eastAsia="仿宋" w:cs="仿宋"/>
          <w:color w:val="auto"/>
          <w:spacing w:val="9"/>
          <w:sz w:val="24"/>
          <w:szCs w:val="24"/>
          <w:highlight w:val="none"/>
        </w:rPr>
      </w:pPr>
    </w:p>
    <w:p w14:paraId="46F2145C">
      <w:pPr>
        <w:pStyle w:val="2"/>
        <w:keepNext w:val="0"/>
        <w:keepLines w:val="0"/>
        <w:pageBreakBefore w:val="0"/>
        <w:widowControl/>
        <w:kinsoku w:val="0"/>
        <w:wordWrap/>
        <w:overflowPunct/>
        <w:topLinePunct w:val="0"/>
        <w:autoSpaceDE w:val="0"/>
        <w:autoSpaceDN w:val="0"/>
        <w:bidi w:val="0"/>
        <w:adjustRightInd w:val="0"/>
        <w:snapToGrid w:val="0"/>
        <w:spacing w:before="42"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7.8 环境保护</w:t>
      </w:r>
    </w:p>
    <w:p w14:paraId="02BD6BD5">
      <w:pPr>
        <w:pStyle w:val="2"/>
        <w:keepNext w:val="0"/>
        <w:keepLines w:val="0"/>
        <w:pageBreakBefore w:val="0"/>
        <w:widowControl/>
        <w:kinsoku w:val="0"/>
        <w:wordWrap/>
        <w:overflowPunct/>
        <w:topLinePunct w:val="0"/>
        <w:autoSpaceDE w:val="0"/>
        <w:autoSpaceDN w:val="0"/>
        <w:bidi w:val="0"/>
        <w:adjustRightInd w:val="0"/>
        <w:snapToGrid w:val="0"/>
        <w:spacing w:before="144" w:line="247" w:lineRule="auto"/>
        <w:ind w:left="21" w:firstLine="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7.8.1 承包人负责在现场施工过程中对现场周围的建筑物、构筑物、</w:t>
      </w:r>
      <w:r>
        <w:rPr>
          <w:rFonts w:hint="eastAsia" w:ascii="仿宋" w:hAnsi="仿宋" w:eastAsia="仿宋" w:cs="仿宋"/>
          <w:color w:val="auto"/>
          <w:spacing w:val="3"/>
          <w:sz w:val="24"/>
          <w:szCs w:val="24"/>
          <w:highlight w:val="none"/>
        </w:rPr>
        <w:t>文物建筑、古树、名木，</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 xml:space="preserve">及地下管线、线缆、构筑物、文物、化石和坟墓等进行保护。因承包人未能通知发包人，并 </w:t>
      </w:r>
      <w:r>
        <w:rPr>
          <w:rFonts w:hint="eastAsia" w:ascii="仿宋" w:hAnsi="仿宋" w:eastAsia="仿宋" w:cs="仿宋"/>
          <w:color w:val="auto"/>
          <w:spacing w:val="9"/>
          <w:sz w:val="24"/>
          <w:szCs w:val="24"/>
          <w:highlight w:val="none"/>
        </w:rPr>
        <w:t>在未能得到发包人进一步指示的情况下，所造成的损害、损失、赔偿等费用增加，和（或）</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9"/>
          <w:sz w:val="24"/>
          <w:szCs w:val="24"/>
          <w:highlight w:val="none"/>
        </w:rPr>
        <w:t>竣工日期延误，由承包人负责。如承包人已及时通知发包人，发包人未能及时作出指示的，</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9"/>
          <w:sz w:val="24"/>
          <w:szCs w:val="24"/>
          <w:highlight w:val="none"/>
        </w:rPr>
        <w:t>所造成的损害、损失、赔偿等费用增加，和（或）竣工日期延误，由发包人负责。</w:t>
      </w:r>
    </w:p>
    <w:p w14:paraId="2563176E">
      <w:pPr>
        <w:pStyle w:val="2"/>
        <w:keepNext w:val="0"/>
        <w:keepLines w:val="0"/>
        <w:pageBreakBefore w:val="0"/>
        <w:widowControl/>
        <w:kinsoku w:val="0"/>
        <w:wordWrap/>
        <w:overflowPunct/>
        <w:topLinePunct w:val="0"/>
        <w:autoSpaceDE w:val="0"/>
        <w:autoSpaceDN w:val="0"/>
        <w:bidi w:val="0"/>
        <w:adjustRightInd w:val="0"/>
        <w:snapToGrid w:val="0"/>
        <w:spacing w:before="142" w:line="244" w:lineRule="auto"/>
        <w:ind w:left="24" w:right="75" w:firstLine="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7.8.2 承包人应采取措施，并负责控制和（或）处理现场的粉尘</w:t>
      </w:r>
      <w:r>
        <w:rPr>
          <w:rFonts w:hint="eastAsia" w:ascii="仿宋" w:hAnsi="仿宋" w:eastAsia="仿宋" w:cs="仿宋"/>
          <w:color w:val="auto"/>
          <w:spacing w:val="6"/>
          <w:sz w:val="24"/>
          <w:szCs w:val="24"/>
          <w:highlight w:val="none"/>
        </w:rPr>
        <w:t>、废气、废水、固体废物和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噪声对环境的污染和危害。因此发生的伤害、赔偿、罚款等费用增加，和（或）竣工日期延</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2"/>
          <w:sz w:val="24"/>
          <w:szCs w:val="24"/>
          <w:highlight w:val="none"/>
        </w:rPr>
        <w:t>误，</w:t>
      </w:r>
      <w:r>
        <w:rPr>
          <w:rFonts w:hint="eastAsia" w:ascii="仿宋" w:hAnsi="仿宋" w:eastAsia="仿宋" w:cs="仿宋"/>
          <w:color w:val="auto"/>
          <w:spacing w:val="-52"/>
          <w:sz w:val="24"/>
          <w:szCs w:val="24"/>
          <w:highlight w:val="none"/>
        </w:rPr>
        <w:t xml:space="preserve"> </w:t>
      </w:r>
      <w:r>
        <w:rPr>
          <w:rFonts w:hint="eastAsia" w:ascii="仿宋" w:hAnsi="仿宋" w:eastAsia="仿宋" w:cs="仿宋"/>
          <w:color w:val="auto"/>
          <w:spacing w:val="2"/>
          <w:sz w:val="24"/>
          <w:szCs w:val="24"/>
          <w:highlight w:val="none"/>
        </w:rPr>
        <w:t>由承包人负责。</w:t>
      </w:r>
    </w:p>
    <w:p w14:paraId="28AC0A1E">
      <w:pPr>
        <w:pStyle w:val="2"/>
        <w:keepNext w:val="0"/>
        <w:keepLines w:val="0"/>
        <w:pageBreakBefore w:val="0"/>
        <w:widowControl/>
        <w:kinsoku w:val="0"/>
        <w:wordWrap/>
        <w:overflowPunct/>
        <w:topLinePunct w:val="0"/>
        <w:autoSpaceDE w:val="0"/>
        <w:autoSpaceDN w:val="0"/>
        <w:bidi w:val="0"/>
        <w:adjustRightInd w:val="0"/>
        <w:snapToGrid w:val="0"/>
        <w:spacing w:before="148" w:line="246" w:lineRule="auto"/>
        <w:ind w:left="23" w:right="32" w:firstLine="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7.8.3 承包人及时或定期将施工现场残留、废弃的垃圾分类后运</w:t>
      </w:r>
      <w:r>
        <w:rPr>
          <w:rFonts w:hint="eastAsia" w:ascii="仿宋" w:hAnsi="仿宋" w:eastAsia="仿宋" w:cs="仿宋"/>
          <w:color w:val="auto"/>
          <w:spacing w:val="6"/>
          <w:sz w:val="24"/>
          <w:szCs w:val="24"/>
          <w:highlight w:val="none"/>
        </w:rPr>
        <w:t>到发包人或当地有关行政部</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门指定的地点，防止对周围环境的污染及对作业的影响。承包人应当承担因其原因引起的环</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境污染侵权损害赔偿责任，因违反上述约定导致当地行政部门的罚款、赔偿等增加的费用，</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7"/>
          <w:sz w:val="24"/>
          <w:szCs w:val="24"/>
          <w:highlight w:val="none"/>
        </w:rPr>
        <w:t>由承包人承担；因上述环境污染引起纠纷而导致暂停施工的，由此增加的费用和（或）延误</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的工期由承包人承担。</w:t>
      </w:r>
    </w:p>
    <w:p w14:paraId="11D6DA58">
      <w:pPr>
        <w:pStyle w:val="2"/>
        <w:keepNext w:val="0"/>
        <w:keepLines w:val="0"/>
        <w:pageBreakBefore w:val="0"/>
        <w:widowControl/>
        <w:kinsoku w:val="0"/>
        <w:wordWrap/>
        <w:overflowPunct/>
        <w:topLinePunct w:val="0"/>
        <w:autoSpaceDE w:val="0"/>
        <w:autoSpaceDN w:val="0"/>
        <w:bidi w:val="0"/>
        <w:adjustRightInd w:val="0"/>
        <w:snapToGrid w:val="0"/>
        <w:spacing w:before="146"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7.9</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5"/>
          <w:sz w:val="24"/>
          <w:szCs w:val="24"/>
          <w:highlight w:val="none"/>
        </w:rPr>
        <w:t>临时性公用设施</w:t>
      </w:r>
    </w:p>
    <w:p w14:paraId="247EB9EE">
      <w:pPr>
        <w:pStyle w:val="2"/>
        <w:keepNext w:val="0"/>
        <w:keepLines w:val="0"/>
        <w:pageBreakBefore w:val="0"/>
        <w:widowControl/>
        <w:kinsoku w:val="0"/>
        <w:wordWrap/>
        <w:overflowPunct/>
        <w:topLinePunct w:val="0"/>
        <w:autoSpaceDE w:val="0"/>
        <w:autoSpaceDN w:val="0"/>
        <w:bidi w:val="0"/>
        <w:adjustRightInd w:val="0"/>
        <w:snapToGrid w:val="0"/>
        <w:spacing w:before="147" w:line="227"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7.9.1 提供临时用水、用电等和节点铺设</w:t>
      </w:r>
    </w:p>
    <w:p w14:paraId="21A5EE9C">
      <w:pPr>
        <w:pStyle w:val="2"/>
        <w:keepNext w:val="0"/>
        <w:keepLines w:val="0"/>
        <w:pageBreakBefore w:val="0"/>
        <w:widowControl/>
        <w:kinsoku w:val="0"/>
        <w:wordWrap/>
        <w:overflowPunct/>
        <w:topLinePunct w:val="0"/>
        <w:autoSpaceDE w:val="0"/>
        <w:autoSpaceDN w:val="0"/>
        <w:bidi w:val="0"/>
        <w:adjustRightInd w:val="0"/>
        <w:snapToGrid w:val="0"/>
        <w:spacing w:before="145" w:line="245" w:lineRule="auto"/>
        <w:ind w:left="21" w:right="20" w:firstLine="61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除专用合同条件另有约定外，发包人应在承包人进场</w:t>
      </w:r>
      <w:r>
        <w:rPr>
          <w:rFonts w:hint="eastAsia" w:ascii="仿宋" w:hAnsi="仿宋" w:eastAsia="仿宋" w:cs="仿宋"/>
          <w:color w:val="auto"/>
          <w:spacing w:val="7"/>
          <w:sz w:val="24"/>
          <w:szCs w:val="24"/>
          <w:highlight w:val="none"/>
        </w:rPr>
        <w:t>前将施工临时用水、用电等接至</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约定的节点位置，并保证其需要。上述临时使用的水、电等的类别、取费单价在专用合同条</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4"/>
          <w:sz w:val="24"/>
          <w:szCs w:val="24"/>
          <w:highlight w:val="none"/>
        </w:rPr>
        <w:t>件中约定，发包人按实际计量结果收费。发包人无法提供的水</w:t>
      </w:r>
      <w:r>
        <w:rPr>
          <w:rFonts w:hint="eastAsia" w:ascii="仿宋" w:hAnsi="仿宋" w:eastAsia="仿宋" w:cs="仿宋"/>
          <w:color w:val="auto"/>
          <w:spacing w:val="3"/>
          <w:sz w:val="24"/>
          <w:szCs w:val="24"/>
          <w:highlight w:val="none"/>
        </w:rPr>
        <w:t>、电等在专用合同条件中约定，</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相关费用由承包人纳入报价并承担相关责任。</w:t>
      </w:r>
    </w:p>
    <w:p w14:paraId="3DFBDFF6">
      <w:pPr>
        <w:pStyle w:val="2"/>
        <w:keepNext w:val="0"/>
        <w:keepLines w:val="0"/>
        <w:pageBreakBefore w:val="0"/>
        <w:widowControl/>
        <w:kinsoku w:val="0"/>
        <w:wordWrap/>
        <w:overflowPunct/>
        <w:topLinePunct w:val="0"/>
        <w:autoSpaceDE w:val="0"/>
        <w:autoSpaceDN w:val="0"/>
        <w:bidi w:val="0"/>
        <w:adjustRightInd w:val="0"/>
        <w:snapToGrid w:val="0"/>
        <w:spacing w:before="27" w:line="244" w:lineRule="auto"/>
        <w:ind w:left="21" w:right="4" w:firstLine="604"/>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发包人未能按约定的类别和时间完成节点铺设，使开工时间延误，竣工日期相应顺延。</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7"/>
          <w:sz w:val="24"/>
          <w:szCs w:val="24"/>
          <w:highlight w:val="none"/>
        </w:rPr>
        <w:t xml:space="preserve">未能按约定的品质、数量和时间提供水、电等，给承包人造成的损失由发包人承担，导致工 </w:t>
      </w:r>
      <w:r>
        <w:rPr>
          <w:rFonts w:hint="eastAsia" w:ascii="仿宋" w:hAnsi="仿宋" w:eastAsia="仿宋" w:cs="仿宋"/>
          <w:color w:val="auto"/>
          <w:spacing w:val="8"/>
          <w:sz w:val="24"/>
          <w:szCs w:val="24"/>
          <w:highlight w:val="none"/>
        </w:rPr>
        <w:t>程关键路径延误的，竣工日期相应顺延。</w:t>
      </w:r>
    </w:p>
    <w:p w14:paraId="20218CF9">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7.9.2</w:t>
      </w:r>
      <w:r>
        <w:rPr>
          <w:rFonts w:hint="eastAsia" w:ascii="仿宋" w:hAnsi="仿宋" w:eastAsia="仿宋" w:cs="仿宋"/>
          <w:color w:val="auto"/>
          <w:spacing w:val="27"/>
          <w:sz w:val="24"/>
          <w:szCs w:val="24"/>
          <w:highlight w:val="none"/>
        </w:rPr>
        <w:t xml:space="preserve"> </w:t>
      </w:r>
      <w:r>
        <w:rPr>
          <w:rFonts w:hint="eastAsia" w:ascii="仿宋" w:hAnsi="仿宋" w:eastAsia="仿宋" w:cs="仿宋"/>
          <w:color w:val="auto"/>
          <w:spacing w:val="5"/>
          <w:sz w:val="24"/>
          <w:szCs w:val="24"/>
          <w:highlight w:val="none"/>
        </w:rPr>
        <w:t>临时用水、用电等</w:t>
      </w:r>
    </w:p>
    <w:p w14:paraId="4EBD8B6E">
      <w:pPr>
        <w:pStyle w:val="2"/>
        <w:keepNext w:val="0"/>
        <w:keepLines w:val="0"/>
        <w:pageBreakBefore w:val="0"/>
        <w:widowControl/>
        <w:kinsoku w:val="0"/>
        <w:wordWrap/>
        <w:overflowPunct/>
        <w:topLinePunct w:val="0"/>
        <w:autoSpaceDE w:val="0"/>
        <w:autoSpaceDN w:val="0"/>
        <w:bidi w:val="0"/>
        <w:adjustRightInd w:val="0"/>
        <w:snapToGrid w:val="0"/>
        <w:spacing w:before="145" w:line="247" w:lineRule="auto"/>
        <w:ind w:left="22"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承包人应在计划开始现场施工日期</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天前或双方约定的其它时间，按专用合同条件 中约定的发包人能够提供的临时用水、用电等类别，向发包人提交施工（含工程物资保管）</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7"/>
          <w:sz w:val="24"/>
          <w:szCs w:val="24"/>
          <w:highlight w:val="none"/>
        </w:rPr>
        <w:t xml:space="preserve">所需的临时用水、用电等的品质、正常用量、高峰用量、使用时间和节点位置等资料。承包 </w:t>
      </w:r>
      <w:r>
        <w:rPr>
          <w:rFonts w:hint="eastAsia" w:ascii="仿宋" w:hAnsi="仿宋" w:eastAsia="仿宋" w:cs="仿宋"/>
          <w:color w:val="auto"/>
          <w:spacing w:val="4"/>
          <w:sz w:val="24"/>
          <w:szCs w:val="24"/>
          <w:highlight w:val="none"/>
        </w:rPr>
        <w:t>人自费负责计量仪器的购买、安装和维护，并依据专用合同条件中约定的单价向发包人交费，</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8"/>
          <w:sz w:val="24"/>
          <w:szCs w:val="24"/>
          <w:highlight w:val="none"/>
        </w:rPr>
        <w:t>合同当事人另有约定时除外。</w:t>
      </w:r>
    </w:p>
    <w:p w14:paraId="1BF0FB5C">
      <w:pPr>
        <w:pStyle w:val="2"/>
        <w:keepNext w:val="0"/>
        <w:keepLines w:val="0"/>
        <w:pageBreakBefore w:val="0"/>
        <w:widowControl/>
        <w:kinsoku w:val="0"/>
        <w:wordWrap/>
        <w:overflowPunct/>
        <w:topLinePunct w:val="0"/>
        <w:autoSpaceDE w:val="0"/>
        <w:autoSpaceDN w:val="0"/>
        <w:bidi w:val="0"/>
        <w:adjustRightInd w:val="0"/>
        <w:snapToGrid w:val="0"/>
        <w:spacing w:before="25"/>
        <w:ind w:left="22" w:right="75" w:firstLine="6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因承包人未能按合同约定提交上述资料，造</w:t>
      </w:r>
      <w:r>
        <w:rPr>
          <w:rFonts w:hint="eastAsia" w:ascii="仿宋" w:hAnsi="仿宋" w:eastAsia="仿宋" w:cs="仿宋"/>
          <w:color w:val="auto"/>
          <w:spacing w:val="7"/>
          <w:sz w:val="24"/>
          <w:szCs w:val="24"/>
          <w:highlight w:val="none"/>
        </w:rPr>
        <w:t>成发包人费用增加和竣工日期延误时，由</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承包人负责。</w:t>
      </w:r>
    </w:p>
    <w:p w14:paraId="36AFB4E7">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7.10 现场安保</w:t>
      </w:r>
    </w:p>
    <w:p w14:paraId="058A662A">
      <w:pPr>
        <w:pStyle w:val="2"/>
        <w:keepNext w:val="0"/>
        <w:keepLines w:val="0"/>
        <w:pageBreakBefore w:val="0"/>
        <w:widowControl/>
        <w:kinsoku w:val="0"/>
        <w:wordWrap/>
        <w:overflowPunct/>
        <w:topLinePunct w:val="0"/>
        <w:autoSpaceDE w:val="0"/>
        <w:autoSpaceDN w:val="0"/>
        <w:bidi w:val="0"/>
        <w:adjustRightInd w:val="0"/>
        <w:snapToGrid w:val="0"/>
        <w:spacing w:before="147" w:line="246" w:lineRule="auto"/>
        <w:ind w:left="21" w:right="20"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承包人承担自发包人向其移交施工现场、进入占有施工现</w:t>
      </w:r>
      <w:r>
        <w:rPr>
          <w:rFonts w:hint="eastAsia" w:ascii="仿宋" w:hAnsi="仿宋" w:eastAsia="仿宋" w:cs="仿宋"/>
          <w:color w:val="auto"/>
          <w:spacing w:val="10"/>
          <w:sz w:val="24"/>
          <w:szCs w:val="24"/>
          <w:highlight w:val="none"/>
        </w:rPr>
        <w:t>场至发包人接收单位/区段</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工程或（和）工程之前的现场安保责任，并负责编制相关的安</w:t>
      </w:r>
      <w:r>
        <w:rPr>
          <w:rFonts w:hint="eastAsia" w:ascii="仿宋" w:hAnsi="仿宋" w:eastAsia="仿宋" w:cs="仿宋"/>
          <w:color w:val="auto"/>
          <w:spacing w:val="3"/>
          <w:sz w:val="24"/>
          <w:szCs w:val="24"/>
          <w:highlight w:val="none"/>
        </w:rPr>
        <w:t>保制度、责任制度和报告制度，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提交给发包人。除专用合同条件另有约定外，承包人的该等义务不因其与他人共同合法占有</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施工现场而减免。承包人有权要求发包人负责协调他人就共同合法占有现场的安保事宜接受</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承包人的管理。</w:t>
      </w:r>
    </w:p>
    <w:p w14:paraId="5C588DED">
      <w:pPr>
        <w:pStyle w:val="2"/>
        <w:keepNext w:val="0"/>
        <w:keepLines w:val="0"/>
        <w:pageBreakBefore w:val="0"/>
        <w:widowControl/>
        <w:kinsoku w:val="0"/>
        <w:wordWrap/>
        <w:overflowPunct/>
        <w:topLinePunct w:val="0"/>
        <w:autoSpaceDE w:val="0"/>
        <w:autoSpaceDN w:val="0"/>
        <w:bidi w:val="0"/>
        <w:adjustRightInd w:val="0"/>
        <w:snapToGrid w:val="0"/>
        <w:spacing w:before="27" w:line="244" w:lineRule="auto"/>
        <w:ind w:left="21" w:right="75"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承包人应将其作业限制在现场区域、合同约定的区域或为履行合同所需的区域内。承</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包人应采取一切必要的预防措施，以保持承包人的设备和人员处于现场区域内，避免其进入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6"/>
          <w:sz w:val="24"/>
          <w:szCs w:val="24"/>
          <w:highlight w:val="none"/>
        </w:rPr>
        <w:t>邻近地区。</w:t>
      </w:r>
    </w:p>
    <w:p w14:paraId="1994E13F">
      <w:pPr>
        <w:pStyle w:val="2"/>
        <w:keepNext w:val="0"/>
        <w:keepLines w:val="0"/>
        <w:pageBreakBefore w:val="0"/>
        <w:widowControl/>
        <w:kinsoku w:val="0"/>
        <w:wordWrap/>
        <w:overflowPunct/>
        <w:topLinePunct w:val="0"/>
        <w:autoSpaceDE w:val="0"/>
        <w:autoSpaceDN w:val="0"/>
        <w:bidi w:val="0"/>
        <w:adjustRightInd w:val="0"/>
        <w:snapToGrid w:val="0"/>
        <w:spacing w:before="23"/>
        <w:ind w:left="26" w:right="75" w:firstLine="595"/>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承包人为履行合同义务而占用的其他场所（如预制加工场所</w:t>
      </w:r>
      <w:r>
        <w:rPr>
          <w:rFonts w:hint="eastAsia" w:ascii="仿宋" w:hAnsi="仿宋" w:eastAsia="仿宋" w:cs="仿宋"/>
          <w:color w:val="auto"/>
          <w:spacing w:val="9"/>
          <w:sz w:val="24"/>
          <w:szCs w:val="24"/>
          <w:highlight w:val="none"/>
        </w:rPr>
        <w:t>、办公及生活营区）</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9"/>
          <w:sz w:val="24"/>
          <w:szCs w:val="24"/>
          <w:highlight w:val="none"/>
        </w:rPr>
        <w:t>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安保适用本款前述关于现场安保的规定。</w:t>
      </w:r>
    </w:p>
    <w:p w14:paraId="0A36CAE5">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7.11</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4"/>
          <w:sz w:val="24"/>
          <w:szCs w:val="24"/>
          <w:highlight w:val="none"/>
        </w:rPr>
        <w:t>工程照管</w:t>
      </w:r>
    </w:p>
    <w:p w14:paraId="55358915">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25" w:right="4" w:firstLine="63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自开始现场施工日期起至发包人应当接收工程之日止，承包人应承担工程现场、材料、</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8"/>
          <w:sz w:val="24"/>
          <w:szCs w:val="24"/>
          <w:highlight w:val="none"/>
        </w:rPr>
        <w:t>设备及承包人文件的照管和维护工作。</w:t>
      </w:r>
    </w:p>
    <w:p w14:paraId="519DA0CB">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23" w:right="75" w:firstLine="6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如部分工程于竣工验收前提前交付发包人的，则自交付之日起，该部分工</w:t>
      </w:r>
      <w:r>
        <w:rPr>
          <w:rFonts w:hint="eastAsia" w:ascii="仿宋" w:hAnsi="仿宋" w:eastAsia="仿宋" w:cs="仿宋"/>
          <w:color w:val="auto"/>
          <w:spacing w:val="7"/>
          <w:sz w:val="24"/>
          <w:szCs w:val="24"/>
          <w:highlight w:val="none"/>
        </w:rPr>
        <w:t>程照管及维</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护职责由发包人承担。</w:t>
      </w:r>
    </w:p>
    <w:p w14:paraId="7FB724E6">
      <w:pPr>
        <w:pStyle w:val="2"/>
        <w:keepNext w:val="0"/>
        <w:keepLines w:val="0"/>
        <w:pageBreakBefore w:val="0"/>
        <w:widowControl/>
        <w:kinsoku w:val="0"/>
        <w:wordWrap/>
        <w:overflowPunct/>
        <w:topLinePunct w:val="0"/>
        <w:autoSpaceDE w:val="0"/>
        <w:autoSpaceDN w:val="0"/>
        <w:bidi w:val="0"/>
        <w:adjustRightInd w:val="0"/>
        <w:snapToGrid w:val="0"/>
        <w:spacing w:before="41"/>
        <w:ind w:right="70" w:firstLine="768" w:firstLineChars="3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如发包人及承包人进行竣工验收时尚有部分未竣工工程的，承包人应负责</w:t>
      </w:r>
      <w:r>
        <w:rPr>
          <w:rFonts w:hint="eastAsia" w:ascii="仿宋" w:hAnsi="仿宋" w:eastAsia="仿宋" w:cs="仿宋"/>
          <w:color w:val="auto"/>
          <w:spacing w:val="7"/>
          <w:sz w:val="24"/>
          <w:szCs w:val="24"/>
          <w:highlight w:val="none"/>
        </w:rPr>
        <w:t>该未竣工工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程的照管和维护工作，直至竣工后移交给发包人。</w:t>
      </w:r>
    </w:p>
    <w:p w14:paraId="2CAD0A9C">
      <w:pPr>
        <w:pStyle w:val="2"/>
        <w:keepNext w:val="0"/>
        <w:keepLines w:val="0"/>
        <w:pageBreakBefore w:val="0"/>
        <w:widowControl/>
        <w:kinsoku w:val="0"/>
        <w:wordWrap/>
        <w:overflowPunct/>
        <w:topLinePunct w:val="0"/>
        <w:autoSpaceDE w:val="0"/>
        <w:autoSpaceDN w:val="0"/>
        <w:bidi w:val="0"/>
        <w:adjustRightInd w:val="0"/>
        <w:snapToGrid w:val="0"/>
        <w:spacing w:before="24"/>
        <w:ind w:left="23" w:right="71" w:firstLine="6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如合同解除或终止的，承包人自合同解除或终止之日起不再对工程承担照</w:t>
      </w:r>
      <w:r>
        <w:rPr>
          <w:rFonts w:hint="eastAsia" w:ascii="仿宋" w:hAnsi="仿宋" w:eastAsia="仿宋" w:cs="仿宋"/>
          <w:color w:val="auto"/>
          <w:spacing w:val="7"/>
          <w:sz w:val="24"/>
          <w:szCs w:val="24"/>
          <w:highlight w:val="none"/>
        </w:rPr>
        <w:t>管和维护义</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务。</w:t>
      </w:r>
    </w:p>
    <w:p w14:paraId="2A658CB7">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33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第8条 工期和进度</w:t>
      </w:r>
    </w:p>
    <w:p w14:paraId="520895B5">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8.1 开始工作</w:t>
      </w:r>
    </w:p>
    <w:p w14:paraId="3AFC1081">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8.1.1 开始工作准备</w:t>
      </w:r>
    </w:p>
    <w:p w14:paraId="011E638B">
      <w:pPr>
        <w:pStyle w:val="2"/>
        <w:keepNext w:val="0"/>
        <w:keepLines w:val="0"/>
        <w:pageBreakBefore w:val="0"/>
        <w:widowControl/>
        <w:kinsoku w:val="0"/>
        <w:wordWrap/>
        <w:overflowPunct/>
        <w:topLinePunct w:val="0"/>
        <w:autoSpaceDE w:val="0"/>
        <w:autoSpaceDN w:val="0"/>
        <w:bidi w:val="0"/>
        <w:adjustRightInd w:val="0"/>
        <w:snapToGrid w:val="0"/>
        <w:spacing w:before="146"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合同当事人应按专用合同条件约定完成开始工作准备工作。</w:t>
      </w:r>
    </w:p>
    <w:p w14:paraId="73F6BA36">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8.1.2 开始工作通知</w:t>
      </w:r>
    </w:p>
    <w:p w14:paraId="3A7ABC56">
      <w:pPr>
        <w:pStyle w:val="2"/>
        <w:keepNext w:val="0"/>
        <w:keepLines w:val="0"/>
        <w:pageBreakBefore w:val="0"/>
        <w:widowControl/>
        <w:kinsoku w:val="0"/>
        <w:wordWrap/>
        <w:overflowPunct/>
        <w:topLinePunct w:val="0"/>
        <w:autoSpaceDE w:val="0"/>
        <w:autoSpaceDN w:val="0"/>
        <w:bidi w:val="0"/>
        <w:adjustRightInd w:val="0"/>
        <w:snapToGrid w:val="0"/>
        <w:spacing w:before="146" w:line="239" w:lineRule="auto"/>
        <w:ind w:left="24" w:right="70" w:firstLine="5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经发包人同意后，工程师应提前</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天向承包人发出经发包人签认的开始工作通知，工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期自开始工作通知中载明的开始工作日期起算。</w:t>
      </w:r>
    </w:p>
    <w:p w14:paraId="5E9BA79E">
      <w:pPr>
        <w:pStyle w:val="2"/>
        <w:keepNext w:val="0"/>
        <w:keepLines w:val="0"/>
        <w:pageBreakBefore w:val="0"/>
        <w:widowControl/>
        <w:kinsoku w:val="0"/>
        <w:wordWrap/>
        <w:overflowPunct/>
        <w:topLinePunct w:val="0"/>
        <w:autoSpaceDE w:val="0"/>
        <w:autoSpaceDN w:val="0"/>
        <w:bidi w:val="0"/>
        <w:adjustRightInd w:val="0"/>
        <w:snapToGrid w:val="0"/>
        <w:spacing w:before="23" w:line="244" w:lineRule="auto"/>
        <w:ind w:left="23" w:right="70" w:firstLine="6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除专用合同条件另有约定外，因发包人原因造成实际</w:t>
      </w:r>
      <w:r>
        <w:rPr>
          <w:rFonts w:hint="eastAsia" w:ascii="仿宋" w:hAnsi="仿宋" w:eastAsia="仿宋" w:cs="仿宋"/>
          <w:color w:val="auto"/>
          <w:spacing w:val="7"/>
          <w:sz w:val="24"/>
          <w:szCs w:val="24"/>
          <w:highlight w:val="none"/>
        </w:rPr>
        <w:t>开始现场施工日期迟于计划开始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现场施工日期后第</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9"/>
          <w:sz w:val="24"/>
          <w:szCs w:val="24"/>
          <w:highlight w:val="none"/>
        </w:rPr>
        <w:t>84</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天的，承包人有权提出价格调整要求，或者解除合同。发包人应当承</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担由此增加的费用和（或）延误的工期，并向承包人支付合理利润。</w:t>
      </w:r>
    </w:p>
    <w:p w14:paraId="12E06CD1">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8.2 竣工日期</w:t>
      </w:r>
    </w:p>
    <w:p w14:paraId="59D4DD24">
      <w:pPr>
        <w:pStyle w:val="2"/>
        <w:keepNext w:val="0"/>
        <w:keepLines w:val="0"/>
        <w:pageBreakBefore w:val="0"/>
        <w:widowControl/>
        <w:kinsoku w:val="0"/>
        <w:wordWrap/>
        <w:overflowPunct/>
        <w:topLinePunct w:val="0"/>
        <w:autoSpaceDE w:val="0"/>
        <w:autoSpaceDN w:val="0"/>
        <w:bidi w:val="0"/>
        <w:adjustRightInd w:val="0"/>
        <w:snapToGrid w:val="0"/>
        <w:spacing w:before="146" w:line="239" w:lineRule="auto"/>
        <w:ind w:left="21" w:right="70"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承包人应在合同协议书约定的工期内完成合同工作。除专用合同条件另有约定外，工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程的竣工日期以第</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8"/>
          <w:sz w:val="24"/>
          <w:szCs w:val="24"/>
          <w:highlight w:val="none"/>
        </w:rPr>
        <w:t>10.1</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8"/>
          <w:sz w:val="24"/>
          <w:szCs w:val="24"/>
          <w:highlight w:val="none"/>
        </w:rPr>
        <w:t>条[竣工验收]的约定为准</w:t>
      </w:r>
      <w:r>
        <w:rPr>
          <w:rFonts w:hint="eastAsia" w:ascii="仿宋" w:hAnsi="仿宋" w:eastAsia="仿宋" w:cs="仿宋"/>
          <w:color w:val="auto"/>
          <w:spacing w:val="7"/>
          <w:sz w:val="24"/>
          <w:szCs w:val="24"/>
          <w:highlight w:val="none"/>
        </w:rPr>
        <w:t>，并在工程接收证书中写明。</w:t>
      </w:r>
    </w:p>
    <w:p w14:paraId="3CB4C46F">
      <w:pPr>
        <w:pStyle w:val="2"/>
        <w:keepNext w:val="0"/>
        <w:keepLines w:val="0"/>
        <w:pageBreakBefore w:val="0"/>
        <w:widowControl/>
        <w:kinsoku w:val="0"/>
        <w:wordWrap/>
        <w:overflowPunct/>
        <w:topLinePunct w:val="0"/>
        <w:autoSpaceDE w:val="0"/>
        <w:autoSpaceDN w:val="0"/>
        <w:bidi w:val="0"/>
        <w:adjustRightInd w:val="0"/>
        <w:snapToGrid w:val="0"/>
        <w:spacing w:before="24" w:line="244" w:lineRule="auto"/>
        <w:ind w:left="20" w:right="70" w:firstLine="61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因发包人原因，在工程师收到承包人竣工验</w:t>
      </w:r>
      <w:r>
        <w:rPr>
          <w:rFonts w:hint="eastAsia" w:ascii="仿宋" w:hAnsi="仿宋" w:eastAsia="仿宋" w:cs="仿宋"/>
          <w:color w:val="auto"/>
          <w:spacing w:val="9"/>
          <w:sz w:val="24"/>
          <w:szCs w:val="24"/>
          <w:highlight w:val="none"/>
        </w:rPr>
        <w:t>收申请报告</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9"/>
          <w:sz w:val="24"/>
          <w:szCs w:val="24"/>
          <w:highlight w:val="none"/>
        </w:rPr>
        <w:t>42</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天后未进行验收的，视为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验收合格，实际竣工日期以提交竣工验收申请报告的日期为准，但发包人由于不可抗力不能</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7"/>
          <w:sz w:val="24"/>
          <w:szCs w:val="24"/>
          <w:highlight w:val="none"/>
        </w:rPr>
        <w:t>进行验收的除外。</w:t>
      </w:r>
    </w:p>
    <w:p w14:paraId="0B863ABA">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8.3 项目实施计划</w:t>
      </w:r>
    </w:p>
    <w:p w14:paraId="77B7AE8A">
      <w:pPr>
        <w:pStyle w:val="2"/>
        <w:keepNext w:val="0"/>
        <w:keepLines w:val="0"/>
        <w:pageBreakBefore w:val="0"/>
        <w:widowControl/>
        <w:kinsoku w:val="0"/>
        <w:wordWrap/>
        <w:overflowPunct/>
        <w:topLinePunct w:val="0"/>
        <w:autoSpaceDE w:val="0"/>
        <w:autoSpaceDN w:val="0"/>
        <w:bidi w:val="0"/>
        <w:adjustRightInd w:val="0"/>
        <w:snapToGrid w:val="0"/>
        <w:spacing w:before="143"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8.3.1 项目实施计划的内容</w:t>
      </w:r>
    </w:p>
    <w:p w14:paraId="4071F515">
      <w:pPr>
        <w:pStyle w:val="2"/>
        <w:keepNext w:val="0"/>
        <w:keepLines w:val="0"/>
        <w:pageBreakBefore w:val="0"/>
        <w:widowControl/>
        <w:kinsoku w:val="0"/>
        <w:wordWrap/>
        <w:overflowPunct/>
        <w:topLinePunct w:val="0"/>
        <w:autoSpaceDE w:val="0"/>
        <w:autoSpaceDN w:val="0"/>
        <w:bidi w:val="0"/>
        <w:adjustRightInd w:val="0"/>
        <w:snapToGrid w:val="0"/>
        <w:spacing w:before="146" w:line="244" w:lineRule="auto"/>
        <w:ind w:left="27" w:right="70" w:firstLine="598"/>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4"/>
          <w:sz w:val="24"/>
          <w:szCs w:val="24"/>
          <w:highlight w:val="none"/>
        </w:rPr>
        <w:t>项目实施计划是依据合同和经批准的项目管理计划进</w:t>
      </w:r>
      <w:r>
        <w:rPr>
          <w:rFonts w:hint="eastAsia" w:ascii="仿宋" w:hAnsi="仿宋" w:eastAsia="仿宋" w:cs="仿宋"/>
          <w:color w:val="auto"/>
          <w:spacing w:val="13"/>
          <w:sz w:val="24"/>
          <w:szCs w:val="24"/>
          <w:highlight w:val="none"/>
        </w:rPr>
        <w:t>行编制并用于对项目实施进行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管理和控制的文件，应包含概述、总体实施方案、项目实施要点、项目初步进度计划以及合</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8"/>
          <w:sz w:val="24"/>
          <w:szCs w:val="24"/>
          <w:highlight w:val="none"/>
        </w:rPr>
        <w:t>同当事人在专用合同条件中约定的其他内容。</w:t>
      </w:r>
    </w:p>
    <w:p w14:paraId="35040742">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8.3.2 项目实施计划的提交和修改</w:t>
      </w:r>
    </w:p>
    <w:p w14:paraId="3B47EB7A">
      <w:pPr>
        <w:pStyle w:val="2"/>
        <w:keepNext w:val="0"/>
        <w:keepLines w:val="0"/>
        <w:pageBreakBefore w:val="0"/>
        <w:widowControl/>
        <w:kinsoku w:val="0"/>
        <w:wordWrap/>
        <w:overflowPunct/>
        <w:topLinePunct w:val="0"/>
        <w:autoSpaceDE w:val="0"/>
        <w:autoSpaceDN w:val="0"/>
        <w:bidi w:val="0"/>
        <w:adjustRightInd w:val="0"/>
        <w:snapToGrid w:val="0"/>
        <w:spacing w:before="144" w:line="246" w:lineRule="auto"/>
        <w:ind w:left="21" w:right="16" w:firstLine="61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除专用合同条件另有约定外，承包人应在合同订立后</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9"/>
          <w:sz w:val="24"/>
          <w:szCs w:val="24"/>
          <w:highlight w:val="none"/>
        </w:rPr>
        <w:t>14</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天内，向工程师提交项目实</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施计划，工程师应在收到项目实施计划后</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9"/>
          <w:sz w:val="24"/>
          <w:szCs w:val="24"/>
          <w:highlight w:val="none"/>
        </w:rPr>
        <w:t>21</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天内确认或提出修改意见。对工程师提出的合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理意见和要求，承包人应自费修改完善。根据工程实施的实际</w:t>
      </w:r>
      <w:r>
        <w:rPr>
          <w:rFonts w:hint="eastAsia" w:ascii="仿宋" w:hAnsi="仿宋" w:eastAsia="仿宋" w:cs="仿宋"/>
          <w:color w:val="auto"/>
          <w:spacing w:val="3"/>
          <w:sz w:val="24"/>
          <w:szCs w:val="24"/>
          <w:highlight w:val="none"/>
        </w:rPr>
        <w:t>情况需要修改项目实施计划的，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承包人应向工程师提交修改后的项目实施计划。</w:t>
      </w:r>
    </w:p>
    <w:p w14:paraId="2FBFD1C7">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项目进度计划的编制和修改按照第</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8"/>
          <w:sz w:val="24"/>
          <w:szCs w:val="24"/>
          <w:highlight w:val="none"/>
        </w:rPr>
        <w:t>8.4</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8"/>
          <w:sz w:val="24"/>
          <w:szCs w:val="24"/>
          <w:highlight w:val="none"/>
        </w:rPr>
        <w:t>款[项</w:t>
      </w:r>
      <w:r>
        <w:rPr>
          <w:rFonts w:hint="eastAsia" w:ascii="仿宋" w:hAnsi="仿宋" w:eastAsia="仿宋" w:cs="仿宋"/>
          <w:color w:val="auto"/>
          <w:spacing w:val="7"/>
          <w:sz w:val="24"/>
          <w:szCs w:val="24"/>
          <w:highlight w:val="none"/>
        </w:rPr>
        <w:t>目进度计划]执行。</w:t>
      </w:r>
    </w:p>
    <w:p w14:paraId="3D226905">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8.4 项目进度计划</w:t>
      </w:r>
    </w:p>
    <w:p w14:paraId="4EB31DAE">
      <w:pPr>
        <w:pStyle w:val="2"/>
        <w:keepNext w:val="0"/>
        <w:keepLines w:val="0"/>
        <w:pageBreakBefore w:val="0"/>
        <w:widowControl/>
        <w:kinsoku w:val="0"/>
        <w:wordWrap/>
        <w:overflowPunct/>
        <w:topLinePunct w:val="0"/>
        <w:autoSpaceDE w:val="0"/>
        <w:autoSpaceDN w:val="0"/>
        <w:bidi w:val="0"/>
        <w:adjustRightInd w:val="0"/>
        <w:snapToGrid w:val="0"/>
        <w:spacing w:before="146"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8.4.1 项目进度计划的提交和修改</w:t>
      </w:r>
    </w:p>
    <w:p w14:paraId="19E90FE3">
      <w:pPr>
        <w:pStyle w:val="2"/>
        <w:keepNext w:val="0"/>
        <w:keepLines w:val="0"/>
        <w:pageBreakBefore w:val="0"/>
        <w:widowControl/>
        <w:kinsoku w:val="0"/>
        <w:wordWrap/>
        <w:overflowPunct/>
        <w:topLinePunct w:val="0"/>
        <w:autoSpaceDE w:val="0"/>
        <w:autoSpaceDN w:val="0"/>
        <w:bidi w:val="0"/>
        <w:adjustRightInd w:val="0"/>
        <w:snapToGrid w:val="0"/>
        <w:spacing w:before="146" w:line="245" w:lineRule="auto"/>
        <w:ind w:left="23" w:right="57" w:firstLine="598"/>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承包人应按照第</w:t>
      </w:r>
      <w:r>
        <w:rPr>
          <w:rFonts w:hint="eastAsia" w:ascii="仿宋" w:hAnsi="仿宋" w:eastAsia="仿宋" w:cs="仿宋"/>
          <w:color w:val="auto"/>
          <w:spacing w:val="-25"/>
          <w:sz w:val="24"/>
          <w:szCs w:val="24"/>
          <w:highlight w:val="none"/>
        </w:rPr>
        <w:t xml:space="preserve"> </w:t>
      </w:r>
      <w:r>
        <w:rPr>
          <w:rFonts w:hint="eastAsia" w:ascii="仿宋" w:hAnsi="仿宋" w:eastAsia="仿宋" w:cs="仿宋"/>
          <w:color w:val="auto"/>
          <w:spacing w:val="7"/>
          <w:sz w:val="24"/>
          <w:szCs w:val="24"/>
          <w:highlight w:val="none"/>
        </w:rPr>
        <w:t>8.3</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7"/>
          <w:sz w:val="24"/>
          <w:szCs w:val="24"/>
          <w:highlight w:val="none"/>
        </w:rPr>
        <w:t>款[项目实施计划]约定编制并向工程师提交项目初步进度计划，</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经工程师批准后实施。除专用合同条件另有约定外，工程师应在</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9"/>
          <w:sz w:val="24"/>
          <w:szCs w:val="24"/>
          <w:highlight w:val="none"/>
        </w:rPr>
        <w:t>21</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天内批复或提出修改意</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见，否则该项目初步进度计划视为已得到批准。对工程师提出的合理意见和要求，承包人应</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6"/>
          <w:sz w:val="24"/>
          <w:szCs w:val="24"/>
          <w:highlight w:val="none"/>
        </w:rPr>
        <w:t>自费修改完善。</w:t>
      </w:r>
    </w:p>
    <w:p w14:paraId="4BEF5F53">
      <w:pPr>
        <w:pStyle w:val="2"/>
        <w:keepNext w:val="0"/>
        <w:keepLines w:val="0"/>
        <w:pageBreakBefore w:val="0"/>
        <w:widowControl/>
        <w:kinsoku w:val="0"/>
        <w:wordWrap/>
        <w:overflowPunct/>
        <w:topLinePunct w:val="0"/>
        <w:autoSpaceDE w:val="0"/>
        <w:autoSpaceDN w:val="0"/>
        <w:bidi w:val="0"/>
        <w:adjustRightInd w:val="0"/>
        <w:snapToGrid w:val="0"/>
        <w:spacing w:before="25" w:line="244" w:lineRule="auto"/>
        <w:ind w:left="24" w:right="57" w:firstLine="599"/>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经工程师批准的项目初步进度计划称为项目进度计划，是控制合同工程进度的依据，</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7"/>
          <w:sz w:val="24"/>
          <w:szCs w:val="24"/>
          <w:highlight w:val="none"/>
        </w:rPr>
        <w:t>工程师有权按照进度计划检查工程进度情况。承包人还应根据项目进度计划，编制更为详细</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8"/>
          <w:sz w:val="24"/>
          <w:szCs w:val="24"/>
          <w:highlight w:val="none"/>
        </w:rPr>
        <w:t>的分阶段或分项的进度计划，由工程师批准。</w:t>
      </w:r>
    </w:p>
    <w:p w14:paraId="6B182E53">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8.4.2 项目进度计划的内容</w:t>
      </w:r>
    </w:p>
    <w:p w14:paraId="4A1FD167">
      <w:pPr>
        <w:pStyle w:val="2"/>
        <w:keepNext w:val="0"/>
        <w:keepLines w:val="0"/>
        <w:pageBreakBefore w:val="0"/>
        <w:widowControl/>
        <w:kinsoku w:val="0"/>
        <w:wordWrap/>
        <w:overflowPunct/>
        <w:topLinePunct w:val="0"/>
        <w:autoSpaceDE w:val="0"/>
        <w:autoSpaceDN w:val="0"/>
        <w:bidi w:val="0"/>
        <w:adjustRightInd w:val="0"/>
        <w:snapToGrid w:val="0"/>
        <w:spacing w:before="148" w:line="245" w:lineRule="auto"/>
        <w:ind w:left="22" w:firstLine="60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项目进度计划应当包括设计、承包人文件提交、采购、制造、检验、运达现场、施工、</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7"/>
          <w:sz w:val="24"/>
          <w:szCs w:val="24"/>
          <w:highlight w:val="none"/>
        </w:rPr>
        <w:t>安装、试验的各个阶段的预期时间以及设计和施工组织方案说明等，其编制应当符合国家</w:t>
      </w:r>
      <w:r>
        <w:rPr>
          <w:rFonts w:hint="eastAsia" w:ascii="仿宋" w:hAnsi="仿宋" w:eastAsia="仿宋" w:cs="仿宋"/>
          <w:color w:val="auto"/>
          <w:spacing w:val="6"/>
          <w:sz w:val="24"/>
          <w:szCs w:val="24"/>
          <w:highlight w:val="none"/>
        </w:rPr>
        <w:t xml:space="preserve">法 </w:t>
      </w:r>
      <w:r>
        <w:rPr>
          <w:rFonts w:hint="eastAsia" w:ascii="仿宋" w:hAnsi="仿宋" w:eastAsia="仿宋" w:cs="仿宋"/>
          <w:color w:val="auto"/>
          <w:spacing w:val="7"/>
          <w:sz w:val="24"/>
          <w:szCs w:val="24"/>
          <w:highlight w:val="none"/>
        </w:rPr>
        <w:t>律规定和一般工程实践惯例。项目进度计划的具体要求、关键路径及关键路径变化的确定</w:t>
      </w:r>
      <w:r>
        <w:rPr>
          <w:rFonts w:hint="eastAsia" w:ascii="仿宋" w:hAnsi="仿宋" w:eastAsia="仿宋" w:cs="仿宋"/>
          <w:color w:val="auto"/>
          <w:spacing w:val="6"/>
          <w:sz w:val="24"/>
          <w:szCs w:val="24"/>
          <w:highlight w:val="none"/>
        </w:rPr>
        <w:t xml:space="preserve">原 </w:t>
      </w:r>
      <w:r>
        <w:rPr>
          <w:rFonts w:hint="eastAsia" w:ascii="仿宋" w:hAnsi="仿宋" w:eastAsia="仿宋" w:cs="仿宋"/>
          <w:color w:val="auto"/>
          <w:spacing w:val="9"/>
          <w:sz w:val="24"/>
          <w:szCs w:val="24"/>
          <w:highlight w:val="none"/>
        </w:rPr>
        <w:t>则、承包人提交的份数和时间等，在专用合同条件约定。</w:t>
      </w:r>
    </w:p>
    <w:p w14:paraId="249169B4">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8.4.3 项目进度计划的修订</w:t>
      </w:r>
    </w:p>
    <w:p w14:paraId="0FB67AF9">
      <w:pPr>
        <w:pStyle w:val="2"/>
        <w:keepNext w:val="0"/>
        <w:keepLines w:val="0"/>
        <w:pageBreakBefore w:val="0"/>
        <w:widowControl/>
        <w:kinsoku w:val="0"/>
        <w:wordWrap/>
        <w:overflowPunct/>
        <w:topLinePunct w:val="0"/>
        <w:autoSpaceDE w:val="0"/>
        <w:autoSpaceDN w:val="0"/>
        <w:bidi w:val="0"/>
        <w:adjustRightInd w:val="0"/>
        <w:snapToGrid w:val="0"/>
        <w:spacing w:before="40" w:line="246" w:lineRule="auto"/>
        <w:ind w:firstLine="508"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项目进度计划不符合合同要求或与工程的实际进度不一致的，承包人应向工程师提交 修订的项目进度计划，并附具有关措施和相关资料。工程师也可以直接向承包人发出修订</w:t>
      </w:r>
      <w:r>
        <w:rPr>
          <w:rFonts w:hint="eastAsia" w:ascii="仿宋" w:hAnsi="仿宋" w:eastAsia="仿宋" w:cs="仿宋"/>
          <w:color w:val="auto"/>
          <w:spacing w:val="6"/>
          <w:sz w:val="24"/>
          <w:szCs w:val="24"/>
          <w:highlight w:val="none"/>
        </w:rPr>
        <w:t xml:space="preserve">项 </w:t>
      </w:r>
      <w:r>
        <w:rPr>
          <w:rFonts w:hint="eastAsia" w:ascii="仿宋" w:hAnsi="仿宋" w:eastAsia="仿宋" w:cs="仿宋"/>
          <w:color w:val="auto"/>
          <w:spacing w:val="7"/>
          <w:sz w:val="24"/>
          <w:szCs w:val="24"/>
          <w:highlight w:val="none"/>
        </w:rPr>
        <w:t>目进度计划的通知，承包人如接受，应按该通知修订项目进度计划，报工程师批准。承包</w:t>
      </w:r>
      <w:r>
        <w:rPr>
          <w:rFonts w:hint="eastAsia" w:ascii="仿宋" w:hAnsi="仿宋" w:eastAsia="仿宋" w:cs="仿宋"/>
          <w:color w:val="auto"/>
          <w:spacing w:val="6"/>
          <w:sz w:val="24"/>
          <w:szCs w:val="24"/>
          <w:highlight w:val="none"/>
        </w:rPr>
        <w:t xml:space="preserve">人 </w:t>
      </w:r>
      <w:r>
        <w:rPr>
          <w:rFonts w:hint="eastAsia" w:ascii="仿宋" w:hAnsi="仿宋" w:eastAsia="仿宋" w:cs="仿宋"/>
          <w:color w:val="auto"/>
          <w:spacing w:val="5"/>
          <w:sz w:val="24"/>
          <w:szCs w:val="24"/>
          <w:highlight w:val="none"/>
        </w:rPr>
        <w:t>如不接受，应当在</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5"/>
          <w:sz w:val="24"/>
          <w:szCs w:val="24"/>
          <w:highlight w:val="none"/>
        </w:rPr>
        <w:t>14</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5"/>
          <w:sz w:val="24"/>
          <w:szCs w:val="24"/>
          <w:highlight w:val="none"/>
        </w:rPr>
        <w:t>天内答复，如未按时答复视作已接受修订项目进度计划通知中的内容。</w:t>
      </w:r>
    </w:p>
    <w:p w14:paraId="5061F3D7">
      <w:pPr>
        <w:pStyle w:val="2"/>
        <w:keepNext w:val="0"/>
        <w:keepLines w:val="0"/>
        <w:pageBreakBefore w:val="0"/>
        <w:widowControl/>
        <w:kinsoku w:val="0"/>
        <w:wordWrap/>
        <w:overflowPunct/>
        <w:topLinePunct w:val="0"/>
        <w:autoSpaceDE w:val="0"/>
        <w:autoSpaceDN w:val="0"/>
        <w:bidi w:val="0"/>
        <w:adjustRightInd w:val="0"/>
        <w:snapToGrid w:val="0"/>
        <w:spacing w:before="23" w:line="246" w:lineRule="auto"/>
        <w:ind w:left="21" w:right="70" w:firstLine="61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除专用合同条件另有约定外，工程师应在收到修订的项目进度计划后</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9"/>
          <w:sz w:val="24"/>
          <w:szCs w:val="24"/>
          <w:highlight w:val="none"/>
        </w:rPr>
        <w:t>14</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天内完成审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批或提出修改意见，如未按时答复视作已批准承包人修订后的项目进度计划。工程师对承包</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人提交的项目进度计划的确认，不能减轻或免除承包人根据法律规定和合同约定应承担的任</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何责任或义务。</w:t>
      </w:r>
    </w:p>
    <w:p w14:paraId="1AAED4AD">
      <w:pPr>
        <w:pStyle w:val="2"/>
        <w:keepNext w:val="0"/>
        <w:keepLines w:val="0"/>
        <w:pageBreakBefore w:val="0"/>
        <w:widowControl/>
        <w:kinsoku w:val="0"/>
        <w:wordWrap/>
        <w:overflowPunct/>
        <w:topLinePunct w:val="0"/>
        <w:autoSpaceDE w:val="0"/>
        <w:autoSpaceDN w:val="0"/>
        <w:bidi w:val="0"/>
        <w:adjustRightInd w:val="0"/>
        <w:snapToGrid w:val="0"/>
        <w:spacing w:before="24"/>
        <w:ind w:left="54" w:right="70" w:firstLine="57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除合同当事人另有约定外，项目进度计划的修订并不能减轻或者免除</w:t>
      </w:r>
      <w:r>
        <w:rPr>
          <w:rFonts w:hint="eastAsia" w:ascii="仿宋" w:hAnsi="仿宋" w:eastAsia="仿宋" w:cs="仿宋"/>
          <w:color w:val="auto"/>
          <w:spacing w:val="6"/>
          <w:sz w:val="24"/>
          <w:szCs w:val="24"/>
          <w:highlight w:val="none"/>
        </w:rPr>
        <w:t>双方按第</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6"/>
          <w:sz w:val="24"/>
          <w:szCs w:val="24"/>
          <w:highlight w:val="none"/>
        </w:rPr>
        <w:t>8.7</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6"/>
          <w:sz w:val="24"/>
          <w:szCs w:val="24"/>
          <w:highlight w:val="none"/>
        </w:rPr>
        <w:t>款</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[工期延误]、第</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6"/>
          <w:sz w:val="24"/>
          <w:szCs w:val="24"/>
          <w:highlight w:val="none"/>
        </w:rPr>
        <w:t>8.8</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6"/>
          <w:sz w:val="24"/>
          <w:szCs w:val="24"/>
          <w:highlight w:val="none"/>
        </w:rPr>
        <w:t>款[工期提前]、第</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6"/>
          <w:sz w:val="24"/>
          <w:szCs w:val="24"/>
          <w:highlight w:val="none"/>
        </w:rPr>
        <w:t>8.9</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6"/>
          <w:sz w:val="24"/>
          <w:szCs w:val="24"/>
          <w:highlight w:val="none"/>
        </w:rPr>
        <w:t>款[暂停工作]应承担的合同责任。</w:t>
      </w:r>
    </w:p>
    <w:p w14:paraId="06B3EA27">
      <w:pPr>
        <w:pStyle w:val="2"/>
        <w:keepNext w:val="0"/>
        <w:keepLines w:val="0"/>
        <w:pageBreakBefore w:val="0"/>
        <w:widowControl/>
        <w:kinsoku w:val="0"/>
        <w:wordWrap/>
        <w:overflowPunct/>
        <w:topLinePunct w:val="0"/>
        <w:autoSpaceDE w:val="0"/>
        <w:autoSpaceDN w:val="0"/>
        <w:bidi w:val="0"/>
        <w:adjustRightInd w:val="0"/>
        <w:snapToGrid w:val="0"/>
        <w:spacing w:before="24" w:line="226"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8.5 进度报告</w:t>
      </w:r>
    </w:p>
    <w:p w14:paraId="18241938">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27" w:right="16" w:firstLine="5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项目实施过程中，承包人应进行实际进度记录，并根据工程师的要求编制</w:t>
      </w:r>
      <w:r>
        <w:rPr>
          <w:rFonts w:hint="eastAsia" w:ascii="仿宋" w:hAnsi="仿宋" w:eastAsia="仿宋" w:cs="仿宋"/>
          <w:color w:val="auto"/>
          <w:spacing w:val="3"/>
          <w:sz w:val="24"/>
          <w:szCs w:val="24"/>
          <w:highlight w:val="none"/>
        </w:rPr>
        <w:t>月进度报告，</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并提交给工程师。进度报告应包含以下主要内容：</w:t>
      </w:r>
    </w:p>
    <w:p w14:paraId="67086783">
      <w:pPr>
        <w:pStyle w:val="2"/>
        <w:keepNext w:val="0"/>
        <w:keepLines w:val="0"/>
        <w:pageBreakBefore w:val="0"/>
        <w:widowControl/>
        <w:kinsoku w:val="0"/>
        <w:wordWrap/>
        <w:overflowPunct/>
        <w:topLinePunct w:val="0"/>
        <w:autoSpaceDE w:val="0"/>
        <w:autoSpaceDN w:val="0"/>
        <w:bidi w:val="0"/>
        <w:adjustRightInd w:val="0"/>
        <w:snapToGrid w:val="0"/>
        <w:spacing w:before="27" w:line="273" w:lineRule="exact"/>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（1） 工程设计、采购、施工等各个工作内容的进展报告；</w:t>
      </w:r>
    </w:p>
    <w:p w14:paraId="4AD2DC19">
      <w:pPr>
        <w:pStyle w:val="2"/>
        <w:keepNext w:val="0"/>
        <w:keepLines w:val="0"/>
        <w:pageBreakBefore w:val="0"/>
        <w:widowControl/>
        <w:kinsoku w:val="0"/>
        <w:wordWrap/>
        <w:overflowPunct/>
        <w:topLinePunct w:val="0"/>
        <w:autoSpaceDE w:val="0"/>
        <w:autoSpaceDN w:val="0"/>
        <w:bidi w:val="0"/>
        <w:adjustRightInd w:val="0"/>
        <w:snapToGrid w:val="0"/>
        <w:spacing w:before="1"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工程施工方法的一般说明；</w:t>
      </w:r>
    </w:p>
    <w:p w14:paraId="287BE02B">
      <w:pPr>
        <w:pStyle w:val="2"/>
        <w:keepNext w:val="0"/>
        <w:keepLines w:val="0"/>
        <w:pageBreakBefore w:val="0"/>
        <w:widowControl/>
        <w:kinsoku w:val="0"/>
        <w:wordWrap/>
        <w:overflowPunct/>
        <w:topLinePunct w:val="0"/>
        <w:autoSpaceDE w:val="0"/>
        <w:autoSpaceDN w:val="0"/>
        <w:bidi w:val="0"/>
        <w:adjustRightInd w:val="0"/>
        <w:snapToGrid w:val="0"/>
        <w:spacing w:before="27" w:line="226"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（3）</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8"/>
          <w:sz w:val="24"/>
          <w:szCs w:val="24"/>
          <w:highlight w:val="none"/>
        </w:rPr>
        <w:t>当月工程实施介入的项目人员、设备和</w:t>
      </w:r>
      <w:r>
        <w:rPr>
          <w:rFonts w:hint="eastAsia" w:ascii="仿宋" w:hAnsi="仿宋" w:eastAsia="仿宋" w:cs="仿宋"/>
          <w:color w:val="auto"/>
          <w:spacing w:val="7"/>
          <w:sz w:val="24"/>
          <w:szCs w:val="24"/>
          <w:highlight w:val="none"/>
        </w:rPr>
        <w:t>材料的预估明细报告；</w:t>
      </w:r>
    </w:p>
    <w:p w14:paraId="40DF376B">
      <w:pPr>
        <w:pStyle w:val="2"/>
        <w:keepNext w:val="0"/>
        <w:keepLines w:val="0"/>
        <w:pageBreakBefore w:val="0"/>
        <w:widowControl/>
        <w:kinsoku w:val="0"/>
        <w:wordWrap/>
        <w:overflowPunct/>
        <w:topLinePunct w:val="0"/>
        <w:autoSpaceDE w:val="0"/>
        <w:autoSpaceDN w:val="0"/>
        <w:bidi w:val="0"/>
        <w:adjustRightInd w:val="0"/>
        <w:snapToGrid w:val="0"/>
        <w:spacing w:before="26" w:line="239" w:lineRule="auto"/>
        <w:ind w:left="42" w:right="57" w:firstLine="58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（4）</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6"/>
          <w:sz w:val="24"/>
          <w:szCs w:val="24"/>
          <w:highlight w:val="none"/>
        </w:rPr>
        <w:t>当月实际进度与进度计划对比分析，</w:t>
      </w:r>
      <w:r>
        <w:rPr>
          <w:rFonts w:hint="eastAsia" w:ascii="仿宋" w:hAnsi="仿宋" w:eastAsia="仿宋" w:cs="仿宋"/>
          <w:color w:val="auto"/>
          <w:spacing w:val="-60"/>
          <w:sz w:val="24"/>
          <w:szCs w:val="24"/>
          <w:highlight w:val="none"/>
        </w:rPr>
        <w:t xml:space="preserve"> </w:t>
      </w:r>
      <w:r>
        <w:rPr>
          <w:rFonts w:hint="eastAsia" w:ascii="仿宋" w:hAnsi="仿宋" w:eastAsia="仿宋" w:cs="仿宋"/>
          <w:color w:val="auto"/>
          <w:spacing w:val="6"/>
          <w:sz w:val="24"/>
          <w:szCs w:val="24"/>
          <w:highlight w:val="none"/>
        </w:rPr>
        <w:t>以及提出未来可能引起工期延误的情形，</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同时提出应对措施；需要修订项目进度计划的，应对项目进度计划的修订部分进</w:t>
      </w:r>
      <w:r>
        <w:rPr>
          <w:rFonts w:hint="eastAsia" w:ascii="仿宋" w:hAnsi="仿宋" w:eastAsia="仿宋" w:cs="仿宋"/>
          <w:color w:val="auto"/>
          <w:spacing w:val="8"/>
          <w:sz w:val="24"/>
          <w:szCs w:val="24"/>
          <w:highlight w:val="none"/>
        </w:rPr>
        <w:t>行说明；</w:t>
      </w:r>
    </w:p>
    <w:p w14:paraId="23A26BC3">
      <w:pPr>
        <w:pStyle w:val="2"/>
        <w:keepNext w:val="0"/>
        <w:keepLines w:val="0"/>
        <w:pageBreakBefore w:val="0"/>
        <w:widowControl/>
        <w:kinsoku w:val="0"/>
        <w:wordWrap/>
        <w:overflowPunct/>
        <w:topLinePunct w:val="0"/>
        <w:autoSpaceDE w:val="0"/>
        <w:autoSpaceDN w:val="0"/>
        <w:bidi w:val="0"/>
        <w:adjustRightInd w:val="0"/>
        <w:snapToGrid w:val="0"/>
        <w:spacing w:before="27" w:line="271" w:lineRule="exact"/>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（5） 承包人对于解决工期延误所提出的建议；</w:t>
      </w:r>
    </w:p>
    <w:p w14:paraId="4C4E2342">
      <w:pPr>
        <w:pStyle w:val="2"/>
        <w:keepNext w:val="0"/>
        <w:keepLines w:val="0"/>
        <w:pageBreakBefore w:val="0"/>
        <w:widowControl/>
        <w:kinsoku w:val="0"/>
        <w:wordWrap/>
        <w:overflowPunct/>
        <w:topLinePunct w:val="0"/>
        <w:autoSpaceDE w:val="0"/>
        <w:autoSpaceDN w:val="0"/>
        <w:bidi w:val="0"/>
        <w:adjustRightInd w:val="0"/>
        <w:snapToGrid w:val="0"/>
        <w:spacing w:before="1"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（6） 其他与工程有关的重大事项。</w:t>
      </w:r>
    </w:p>
    <w:p w14:paraId="13AA52BE">
      <w:pPr>
        <w:pStyle w:val="2"/>
        <w:keepNext w:val="0"/>
        <w:keepLines w:val="0"/>
        <w:pageBreakBefore w:val="0"/>
        <w:widowControl/>
        <w:kinsoku w:val="0"/>
        <w:wordWrap/>
        <w:overflowPunct/>
        <w:topLinePunct w:val="0"/>
        <w:autoSpaceDE w:val="0"/>
        <w:autoSpaceDN w:val="0"/>
        <w:bidi w:val="0"/>
        <w:adjustRightInd w:val="0"/>
        <w:snapToGrid w:val="0"/>
        <w:spacing w:before="26" w:line="226" w:lineRule="auto"/>
        <w:ind w:left="62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进度报告的具体要求等，在专用合同条件约定。</w:t>
      </w:r>
    </w:p>
    <w:p w14:paraId="1180DC13">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8.6 提前预警</w:t>
      </w:r>
    </w:p>
    <w:p w14:paraId="07C0B491">
      <w:pPr>
        <w:pStyle w:val="2"/>
        <w:keepNext w:val="0"/>
        <w:keepLines w:val="0"/>
        <w:pageBreakBefore w:val="0"/>
        <w:widowControl/>
        <w:kinsoku w:val="0"/>
        <w:wordWrap/>
        <w:overflowPunct/>
        <w:topLinePunct w:val="0"/>
        <w:autoSpaceDE w:val="0"/>
        <w:autoSpaceDN w:val="0"/>
        <w:bidi w:val="0"/>
        <w:adjustRightInd w:val="0"/>
        <w:snapToGrid w:val="0"/>
        <w:spacing w:before="146" w:line="227"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任何一方应当在下列情形发生时尽快书面通知另一方：</w:t>
      </w:r>
    </w:p>
    <w:p w14:paraId="2CDDA454">
      <w:pPr>
        <w:pStyle w:val="2"/>
        <w:keepNext w:val="0"/>
        <w:keepLines w:val="0"/>
        <w:pageBreakBefore w:val="0"/>
        <w:widowControl/>
        <w:kinsoku w:val="0"/>
        <w:wordWrap/>
        <w:overflowPunct/>
        <w:topLinePunct w:val="0"/>
        <w:autoSpaceDE w:val="0"/>
        <w:autoSpaceDN w:val="0"/>
        <w:bidi w:val="0"/>
        <w:adjustRightInd w:val="0"/>
        <w:snapToGrid w:val="0"/>
        <w:spacing w:before="25" w:line="274" w:lineRule="exact"/>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（1） 该情形可能对合同的履行或实现合同目的产生不利影响；</w:t>
      </w:r>
    </w:p>
    <w:p w14:paraId="2B773EF9">
      <w:pPr>
        <w:pStyle w:val="2"/>
        <w:keepNext w:val="0"/>
        <w:keepLines w:val="0"/>
        <w:pageBreakBefore w:val="0"/>
        <w:widowControl/>
        <w:kinsoku w:val="0"/>
        <w:wordWrap/>
        <w:overflowPunct/>
        <w:topLinePunct w:val="0"/>
        <w:autoSpaceDE w:val="0"/>
        <w:autoSpaceDN w:val="0"/>
        <w:bidi w:val="0"/>
        <w:adjustRightInd w:val="0"/>
        <w:snapToGrid w:val="0"/>
        <w:spacing w:before="1"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（2） 该情形可能对工程完成后的使用产生不利影响；</w:t>
      </w:r>
    </w:p>
    <w:p w14:paraId="018D5FB6">
      <w:pPr>
        <w:pStyle w:val="2"/>
        <w:keepNext w:val="0"/>
        <w:keepLines w:val="0"/>
        <w:pageBreakBefore w:val="0"/>
        <w:widowControl/>
        <w:kinsoku w:val="0"/>
        <w:wordWrap/>
        <w:overflowPunct/>
        <w:topLinePunct w:val="0"/>
        <w:autoSpaceDE w:val="0"/>
        <w:autoSpaceDN w:val="0"/>
        <w:bidi w:val="0"/>
        <w:adjustRightInd w:val="0"/>
        <w:snapToGrid w:val="0"/>
        <w:spacing w:before="24" w:line="226"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该情形可能导致合同价款增加；</w:t>
      </w:r>
    </w:p>
    <w:p w14:paraId="01729F71">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（4） 该情形可能导致整个工程或单位/区段工程的工期延长。</w:t>
      </w:r>
    </w:p>
    <w:p w14:paraId="05D7F9B1">
      <w:pPr>
        <w:pStyle w:val="2"/>
        <w:keepNext w:val="0"/>
        <w:keepLines w:val="0"/>
        <w:pageBreakBefore w:val="0"/>
        <w:widowControl/>
        <w:kinsoku w:val="0"/>
        <w:wordWrap/>
        <w:overflowPunct/>
        <w:topLinePunct w:val="0"/>
        <w:autoSpaceDE w:val="0"/>
        <w:autoSpaceDN w:val="0"/>
        <w:bidi w:val="0"/>
        <w:adjustRightInd w:val="0"/>
        <w:snapToGrid w:val="0"/>
        <w:spacing w:before="27"/>
        <w:ind w:left="21" w:right="122" w:firstLine="60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发包人有权要求承包人根据第</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8"/>
          <w:sz w:val="24"/>
          <w:szCs w:val="24"/>
          <w:highlight w:val="none"/>
        </w:rPr>
        <w:t>13.2</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8"/>
          <w:sz w:val="24"/>
          <w:szCs w:val="24"/>
          <w:highlight w:val="none"/>
        </w:rPr>
        <w:t>款[承包人的合理化建议</w:t>
      </w:r>
      <w:r>
        <w:rPr>
          <w:rFonts w:hint="eastAsia" w:ascii="仿宋" w:hAnsi="仿宋" w:eastAsia="仿宋" w:cs="仿宋"/>
          <w:color w:val="auto"/>
          <w:spacing w:val="7"/>
          <w:sz w:val="24"/>
          <w:szCs w:val="24"/>
          <w:highlight w:val="none"/>
        </w:rPr>
        <w:t>]的约定提交变更建议，</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采取措施尽量避免或最小化上述情形的发生或影响。</w:t>
      </w:r>
    </w:p>
    <w:p w14:paraId="262027B0">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8.7</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4"/>
          <w:sz w:val="24"/>
          <w:szCs w:val="24"/>
          <w:highlight w:val="none"/>
        </w:rPr>
        <w:t>工期延误</w:t>
      </w:r>
    </w:p>
    <w:p w14:paraId="68780C9F">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8.7.1 因发包人原因导致工期延误</w:t>
      </w:r>
    </w:p>
    <w:p w14:paraId="3817D009">
      <w:pPr>
        <w:pStyle w:val="2"/>
        <w:keepNext w:val="0"/>
        <w:keepLines w:val="0"/>
        <w:pageBreakBefore w:val="0"/>
        <w:widowControl/>
        <w:kinsoku w:val="0"/>
        <w:wordWrap/>
        <w:overflowPunct/>
        <w:topLinePunct w:val="0"/>
        <w:autoSpaceDE w:val="0"/>
        <w:autoSpaceDN w:val="0"/>
        <w:bidi w:val="0"/>
        <w:adjustRightInd w:val="0"/>
        <w:snapToGrid w:val="0"/>
        <w:spacing w:before="144"/>
        <w:ind w:left="23" w:right="70" w:firstLine="5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在合同履行过程中，因下列情况导致工期延误和（或）费用增加的，由发包人承担由</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此延误的工期和（或）增加的费用，且发包人应支付承包人合理的利润：</w:t>
      </w:r>
    </w:p>
    <w:p w14:paraId="05664122">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 根据第</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6"/>
          <w:sz w:val="24"/>
          <w:szCs w:val="24"/>
          <w:highlight w:val="none"/>
        </w:rPr>
        <w:t>13</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6"/>
          <w:sz w:val="24"/>
          <w:szCs w:val="24"/>
          <w:highlight w:val="none"/>
        </w:rPr>
        <w:t>条[变更与调整]的约定构成一项变更的；</w:t>
      </w:r>
    </w:p>
    <w:p w14:paraId="74C4AAEE">
      <w:pPr>
        <w:pStyle w:val="2"/>
        <w:keepNext w:val="0"/>
        <w:keepLines w:val="0"/>
        <w:pageBreakBefore w:val="0"/>
        <w:widowControl/>
        <w:kinsoku w:val="0"/>
        <w:wordWrap/>
        <w:overflowPunct/>
        <w:topLinePunct w:val="0"/>
        <w:autoSpaceDE w:val="0"/>
        <w:autoSpaceDN w:val="0"/>
        <w:bidi w:val="0"/>
        <w:adjustRightInd w:val="0"/>
        <w:snapToGrid w:val="0"/>
        <w:spacing w:before="25"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（2） 发包人违反本合同约定，导致工期</w:t>
      </w:r>
      <w:r>
        <w:rPr>
          <w:rFonts w:hint="eastAsia" w:ascii="仿宋" w:hAnsi="仿宋" w:eastAsia="仿宋" w:cs="仿宋"/>
          <w:color w:val="auto"/>
          <w:spacing w:val="8"/>
          <w:sz w:val="24"/>
          <w:szCs w:val="24"/>
          <w:highlight w:val="none"/>
        </w:rPr>
        <w:t>延误和（或）费用增加的；</w:t>
      </w:r>
    </w:p>
    <w:p w14:paraId="257D802A">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24" w:right="70" w:firstLine="60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发包人、发包人代表、工程师或发包人聘请的任意第三方造成或引起的任何延</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误、妨碍和阻碍；</w:t>
      </w:r>
    </w:p>
    <w:p w14:paraId="2D9BD20E">
      <w:pPr>
        <w:pStyle w:val="2"/>
        <w:keepNext w:val="0"/>
        <w:keepLines w:val="0"/>
        <w:pageBreakBefore w:val="0"/>
        <w:widowControl/>
        <w:kinsoku w:val="0"/>
        <w:wordWrap/>
        <w:overflowPunct/>
        <w:topLinePunct w:val="0"/>
        <w:autoSpaceDE w:val="0"/>
        <w:autoSpaceDN w:val="0"/>
        <w:bidi w:val="0"/>
        <w:adjustRightInd w:val="0"/>
        <w:snapToGrid w:val="0"/>
        <w:spacing w:before="28"/>
        <w:ind w:left="24" w:right="70" w:firstLine="60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7"/>
          <w:sz w:val="24"/>
          <w:szCs w:val="24"/>
          <w:highlight w:val="none"/>
        </w:rPr>
        <w:t>发包人未能依据第</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7"/>
          <w:sz w:val="24"/>
          <w:szCs w:val="24"/>
          <w:highlight w:val="none"/>
        </w:rPr>
        <w:t>6.2.1</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7"/>
          <w:sz w:val="24"/>
          <w:szCs w:val="24"/>
          <w:highlight w:val="none"/>
        </w:rPr>
        <w:t>项[发包人提供的材料和工程设备]的约定提供材料和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工程设备导致工期延误和（或）费用增加的；</w:t>
      </w:r>
    </w:p>
    <w:p w14:paraId="031F55D6">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（5）</w:t>
      </w:r>
      <w:r>
        <w:rPr>
          <w:rFonts w:hint="eastAsia" w:ascii="仿宋" w:hAnsi="仿宋" w:eastAsia="仿宋" w:cs="仿宋"/>
          <w:color w:val="auto"/>
          <w:spacing w:val="53"/>
          <w:sz w:val="24"/>
          <w:szCs w:val="24"/>
          <w:highlight w:val="none"/>
        </w:rPr>
        <w:t xml:space="preserve"> </w:t>
      </w:r>
      <w:r>
        <w:rPr>
          <w:rFonts w:hint="eastAsia" w:ascii="仿宋" w:hAnsi="仿宋" w:eastAsia="仿宋" w:cs="仿宋"/>
          <w:color w:val="auto"/>
          <w:spacing w:val="5"/>
          <w:sz w:val="24"/>
          <w:szCs w:val="24"/>
          <w:highlight w:val="none"/>
        </w:rPr>
        <w:t>因发包人原因导致的暂停施工；</w:t>
      </w:r>
    </w:p>
    <w:p w14:paraId="12119BCA">
      <w:pPr>
        <w:pStyle w:val="2"/>
        <w:keepNext w:val="0"/>
        <w:keepLines w:val="0"/>
        <w:pageBreakBefore w:val="0"/>
        <w:widowControl/>
        <w:kinsoku w:val="0"/>
        <w:wordWrap/>
        <w:overflowPunct/>
        <w:topLinePunct w:val="0"/>
        <w:autoSpaceDE w:val="0"/>
        <w:autoSpaceDN w:val="0"/>
        <w:bidi w:val="0"/>
        <w:adjustRightInd w:val="0"/>
        <w:snapToGrid w:val="0"/>
        <w:spacing w:before="23"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（6） 发包人未及时履行相关合同义务，</w:t>
      </w:r>
      <w:r>
        <w:rPr>
          <w:rFonts w:hint="eastAsia" w:ascii="仿宋" w:hAnsi="仿宋" w:eastAsia="仿宋" w:cs="仿宋"/>
          <w:color w:val="auto"/>
          <w:spacing w:val="8"/>
          <w:sz w:val="24"/>
          <w:szCs w:val="24"/>
          <w:highlight w:val="none"/>
        </w:rPr>
        <w:t>造成工期延误的其他原因。</w:t>
      </w:r>
    </w:p>
    <w:p w14:paraId="3CB52285">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8.7.2 因承包人原因导致工期延误</w:t>
      </w:r>
    </w:p>
    <w:p w14:paraId="58FDFBAA">
      <w:pPr>
        <w:pStyle w:val="2"/>
        <w:keepNext w:val="0"/>
        <w:keepLines w:val="0"/>
        <w:pageBreakBefore w:val="0"/>
        <w:widowControl/>
        <w:kinsoku w:val="0"/>
        <w:wordWrap/>
        <w:overflowPunct/>
        <w:topLinePunct w:val="0"/>
        <w:autoSpaceDE w:val="0"/>
        <w:autoSpaceDN w:val="0"/>
        <w:bidi w:val="0"/>
        <w:adjustRightInd w:val="0"/>
        <w:snapToGrid w:val="0"/>
        <w:spacing w:before="144"/>
        <w:ind w:left="22" w:right="70" w:firstLine="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由于承包人的原因，未能按项目进度计划完成工作，承包人应采取措施加快进度，并</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8"/>
          <w:sz w:val="24"/>
          <w:szCs w:val="24"/>
          <w:highlight w:val="none"/>
        </w:rPr>
        <w:t>承担加快进度所增加的费用。</w:t>
      </w:r>
    </w:p>
    <w:p w14:paraId="20047713">
      <w:pPr>
        <w:pStyle w:val="2"/>
        <w:keepNext w:val="0"/>
        <w:keepLines w:val="0"/>
        <w:pageBreakBefore w:val="0"/>
        <w:widowControl/>
        <w:kinsoku w:val="0"/>
        <w:wordWrap/>
        <w:overflowPunct/>
        <w:topLinePunct w:val="0"/>
        <w:autoSpaceDE w:val="0"/>
        <w:autoSpaceDN w:val="0"/>
        <w:bidi w:val="0"/>
        <w:adjustRightInd w:val="0"/>
        <w:snapToGrid w:val="0"/>
        <w:spacing w:before="24" w:line="246" w:lineRule="auto"/>
        <w:ind w:left="23" w:right="28" w:firstLine="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由于承包人原因造成工期延误并导致逾期竣工的，承包人应支付逾期竣工违约金。逾</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8"/>
          <w:sz w:val="24"/>
          <w:szCs w:val="24"/>
          <w:highlight w:val="none"/>
        </w:rPr>
        <w:t>期竣工违约金的计算方法和最高限额在专用合同条件中约定。承包人支付逾期竣工违约金，</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7"/>
          <w:sz w:val="24"/>
          <w:szCs w:val="24"/>
          <w:highlight w:val="none"/>
        </w:rPr>
        <w:t>不免除承包人完成工作及修补缺陷的义务，且发包人有权从工程进度款、竣工结算款或约定</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提交的履约担保中扣除相当于逾期竣工违约金的金额。</w:t>
      </w:r>
    </w:p>
    <w:p w14:paraId="0EA6E556">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8.7.3 行政审批迟延</w:t>
      </w:r>
    </w:p>
    <w:p w14:paraId="5CC01B28">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仿宋" w:hAnsi="仿宋" w:eastAsia="仿宋" w:cs="仿宋"/>
          <w:color w:val="auto"/>
          <w:sz w:val="24"/>
          <w:szCs w:val="24"/>
          <w:highlight w:val="none"/>
        </w:rPr>
      </w:pPr>
    </w:p>
    <w:p w14:paraId="6EE6F38F">
      <w:pPr>
        <w:pStyle w:val="2"/>
        <w:keepNext w:val="0"/>
        <w:keepLines w:val="0"/>
        <w:pageBreakBefore w:val="0"/>
        <w:widowControl/>
        <w:kinsoku w:val="0"/>
        <w:wordWrap/>
        <w:overflowPunct/>
        <w:topLinePunct w:val="0"/>
        <w:autoSpaceDE w:val="0"/>
        <w:autoSpaceDN w:val="0"/>
        <w:bidi w:val="0"/>
        <w:adjustRightInd w:val="0"/>
        <w:snapToGrid w:val="0"/>
        <w:spacing w:before="40" w:line="244" w:lineRule="auto"/>
        <w:ind w:left="42" w:right="157" w:firstLine="58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合同约定范围内的工作需国家有关部门审批的，发包人和（或）承包人应按照专</w:t>
      </w:r>
      <w:r>
        <w:rPr>
          <w:rFonts w:hint="eastAsia" w:ascii="仿宋" w:hAnsi="仿宋" w:eastAsia="仿宋" w:cs="仿宋"/>
          <w:color w:val="auto"/>
          <w:spacing w:val="7"/>
          <w:sz w:val="24"/>
          <w:szCs w:val="24"/>
          <w:highlight w:val="none"/>
        </w:rPr>
        <w:t>用合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同条件约定的职责分工完成行政审批报送。因国家有关部门审批迟延造成工期</w:t>
      </w:r>
      <w:r>
        <w:rPr>
          <w:rFonts w:hint="eastAsia" w:ascii="仿宋" w:hAnsi="仿宋" w:eastAsia="仿宋" w:cs="仿宋"/>
          <w:color w:val="auto"/>
          <w:spacing w:val="6"/>
          <w:sz w:val="24"/>
          <w:szCs w:val="24"/>
          <w:highlight w:val="none"/>
        </w:rPr>
        <w:t>延误的，竣工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日期相应顺延。造成费用增加的，由双方在</w:t>
      </w:r>
      <w:r>
        <w:rPr>
          <w:rFonts w:hint="eastAsia" w:ascii="仿宋" w:hAnsi="仿宋" w:eastAsia="仿宋" w:cs="仿宋"/>
          <w:color w:val="auto"/>
          <w:spacing w:val="8"/>
          <w:sz w:val="24"/>
          <w:szCs w:val="24"/>
          <w:highlight w:val="none"/>
        </w:rPr>
        <w:t>负责的范围内各自承担。</w:t>
      </w:r>
    </w:p>
    <w:p w14:paraId="103C1E40">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8.7.4 异常恶劣的气候条件</w:t>
      </w:r>
    </w:p>
    <w:p w14:paraId="0098A3CF">
      <w:pPr>
        <w:pStyle w:val="2"/>
        <w:keepNext w:val="0"/>
        <w:keepLines w:val="0"/>
        <w:pageBreakBefore w:val="0"/>
        <w:widowControl/>
        <w:kinsoku w:val="0"/>
        <w:wordWrap/>
        <w:overflowPunct/>
        <w:topLinePunct w:val="0"/>
        <w:autoSpaceDE w:val="0"/>
        <w:autoSpaceDN w:val="0"/>
        <w:bidi w:val="0"/>
        <w:adjustRightInd w:val="0"/>
        <w:snapToGrid w:val="0"/>
        <w:spacing w:before="142" w:line="244" w:lineRule="auto"/>
        <w:ind w:left="23" w:right="157"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异常恶劣的气候条件是指在施工过程中遇到的，有经验的承包人在订立合同</w:t>
      </w:r>
      <w:r>
        <w:rPr>
          <w:rFonts w:hint="eastAsia" w:ascii="仿宋" w:hAnsi="仿宋" w:eastAsia="仿宋" w:cs="仿宋"/>
          <w:color w:val="auto"/>
          <w:spacing w:val="7"/>
          <w:sz w:val="24"/>
          <w:szCs w:val="24"/>
          <w:highlight w:val="none"/>
        </w:rPr>
        <w:t>时不可预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见的，对合同履行造成实质性影响的，但尚未构成不可抗力事件的恶劣气候条件。合同当事</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9"/>
          <w:sz w:val="24"/>
          <w:szCs w:val="24"/>
          <w:highlight w:val="none"/>
        </w:rPr>
        <w:t>人可以在专用合同条件中约定异常恶劣的气候条件的具体情形。</w:t>
      </w:r>
    </w:p>
    <w:p w14:paraId="7FCCD31D">
      <w:pPr>
        <w:pStyle w:val="2"/>
        <w:keepNext w:val="0"/>
        <w:keepLines w:val="0"/>
        <w:pageBreakBefore w:val="0"/>
        <w:widowControl/>
        <w:kinsoku w:val="0"/>
        <w:wordWrap/>
        <w:overflowPunct/>
        <w:topLinePunct w:val="0"/>
        <w:autoSpaceDE w:val="0"/>
        <w:autoSpaceDN w:val="0"/>
        <w:bidi w:val="0"/>
        <w:adjustRightInd w:val="0"/>
        <w:snapToGrid w:val="0"/>
        <w:spacing w:before="25" w:line="244" w:lineRule="auto"/>
        <w:ind w:left="21" w:right="155"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承包人应采取克服异常恶劣的气候条件的合理措施继续施工，并及时通知工程师。工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程师应当及时发出指示，指示构成变更的，按第</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9"/>
          <w:sz w:val="24"/>
          <w:szCs w:val="24"/>
          <w:highlight w:val="none"/>
        </w:rPr>
        <w:t>13</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9"/>
          <w:sz w:val="24"/>
          <w:szCs w:val="24"/>
          <w:highlight w:val="none"/>
        </w:rPr>
        <w:t>条[变更与调整</w:t>
      </w:r>
      <w:r>
        <w:rPr>
          <w:rFonts w:hint="eastAsia" w:ascii="仿宋" w:hAnsi="仿宋" w:eastAsia="仿宋" w:cs="仿宋"/>
          <w:color w:val="auto"/>
          <w:spacing w:val="8"/>
          <w:sz w:val="24"/>
          <w:szCs w:val="24"/>
          <w:highlight w:val="none"/>
        </w:rPr>
        <w:t>]约定办理。承包人因采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取合理措施而延误的工期由发包人承担。</w:t>
      </w:r>
    </w:p>
    <w:p w14:paraId="4FB2F8FB">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8.8</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4"/>
          <w:sz w:val="24"/>
          <w:szCs w:val="24"/>
          <w:highlight w:val="none"/>
        </w:rPr>
        <w:t>工期提前</w:t>
      </w:r>
    </w:p>
    <w:p w14:paraId="0968BC47">
      <w:pPr>
        <w:pStyle w:val="2"/>
        <w:keepNext w:val="0"/>
        <w:keepLines w:val="0"/>
        <w:pageBreakBefore w:val="0"/>
        <w:widowControl/>
        <w:kinsoku w:val="0"/>
        <w:wordWrap/>
        <w:overflowPunct/>
        <w:topLinePunct w:val="0"/>
        <w:autoSpaceDE w:val="0"/>
        <w:autoSpaceDN w:val="0"/>
        <w:bidi w:val="0"/>
        <w:adjustRightInd w:val="0"/>
        <w:snapToGrid w:val="0"/>
        <w:spacing w:before="142" w:line="246" w:lineRule="auto"/>
        <w:ind w:left="21" w:right="156" w:firstLine="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8.8.1 发包人指示承包人提前竣工且被承包人接受的，应与承包人共同协商</w:t>
      </w:r>
      <w:r>
        <w:rPr>
          <w:rFonts w:hint="eastAsia" w:ascii="仿宋" w:hAnsi="仿宋" w:eastAsia="仿宋" w:cs="仿宋"/>
          <w:color w:val="auto"/>
          <w:spacing w:val="6"/>
          <w:sz w:val="24"/>
          <w:szCs w:val="24"/>
          <w:highlight w:val="none"/>
        </w:rPr>
        <w:t>采取加快工程进</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度的措施和修订项目进度计划。发包人应承担承包人由此增加的费用，增加的费用按第</w:t>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10"/>
          <w:sz w:val="24"/>
          <w:szCs w:val="24"/>
          <w:highlight w:val="none"/>
        </w:rPr>
        <w:t>13</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条[变更与调整]的约定执行；发包人不得以任何理由要求承包人超过合理限度压缩工期。承</w:t>
      </w:r>
      <w:r>
        <w:rPr>
          <w:rFonts w:hint="eastAsia" w:ascii="仿宋" w:hAnsi="仿宋" w:eastAsia="仿宋" w:cs="仿宋"/>
          <w:color w:val="auto"/>
          <w:spacing w:val="8"/>
          <w:sz w:val="24"/>
          <w:szCs w:val="24"/>
          <w:highlight w:val="none"/>
        </w:rPr>
        <w:t xml:space="preserve"> </w:t>
      </w:r>
      <w:r>
        <w:rPr>
          <w:rFonts w:hint="eastAsia" w:ascii="仿宋" w:hAnsi="仿宋" w:eastAsia="仿宋" w:cs="仿宋"/>
          <w:color w:val="auto"/>
          <w:spacing w:val="9"/>
          <w:sz w:val="24"/>
          <w:szCs w:val="24"/>
          <w:highlight w:val="none"/>
        </w:rPr>
        <w:t>包人有权不接受提前竣工的指示，工期按照合同约定执行。</w:t>
      </w:r>
    </w:p>
    <w:p w14:paraId="73441ECC">
      <w:pPr>
        <w:pStyle w:val="2"/>
        <w:keepNext w:val="0"/>
        <w:keepLines w:val="0"/>
        <w:pageBreakBefore w:val="0"/>
        <w:widowControl/>
        <w:kinsoku w:val="0"/>
        <w:wordWrap/>
        <w:overflowPunct/>
        <w:topLinePunct w:val="0"/>
        <w:autoSpaceDE w:val="0"/>
        <w:autoSpaceDN w:val="0"/>
        <w:bidi w:val="0"/>
        <w:adjustRightInd w:val="0"/>
        <w:snapToGrid w:val="0"/>
        <w:spacing w:before="147" w:line="243" w:lineRule="auto"/>
        <w:ind w:left="39" w:right="157" w:hanging="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8.8.2 承包人提出提前竣工的建议且发包人接受的，应与发包人共同协商采</w:t>
      </w:r>
      <w:r>
        <w:rPr>
          <w:rFonts w:hint="eastAsia" w:ascii="仿宋" w:hAnsi="仿宋" w:eastAsia="仿宋" w:cs="仿宋"/>
          <w:color w:val="auto"/>
          <w:spacing w:val="6"/>
          <w:sz w:val="24"/>
          <w:szCs w:val="24"/>
          <w:highlight w:val="none"/>
        </w:rPr>
        <w:t>取加快工程进度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的措施和修订项目进度计划。发包人应承担承包人由此增加的费用，增加的费用按第</w:t>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8"/>
          <w:sz w:val="24"/>
          <w:szCs w:val="24"/>
          <w:highlight w:val="none"/>
        </w:rPr>
        <w:t>13</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8"/>
          <w:sz w:val="24"/>
          <w:szCs w:val="24"/>
          <w:highlight w:val="none"/>
        </w:rPr>
        <w:t>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[变更与调整]的约定执行，并向承包人支付专用</w:t>
      </w:r>
      <w:r>
        <w:rPr>
          <w:rFonts w:hint="eastAsia" w:ascii="仿宋" w:hAnsi="仿宋" w:eastAsia="仿宋" w:cs="仿宋"/>
          <w:color w:val="auto"/>
          <w:spacing w:val="8"/>
          <w:sz w:val="24"/>
          <w:szCs w:val="24"/>
          <w:highlight w:val="none"/>
        </w:rPr>
        <w:t>合同条件约定的相应奖励金。</w:t>
      </w:r>
    </w:p>
    <w:p w14:paraId="51D584CF">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8.9</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4"/>
          <w:sz w:val="24"/>
          <w:szCs w:val="24"/>
          <w:highlight w:val="none"/>
        </w:rPr>
        <w:t>暂停工作</w:t>
      </w:r>
    </w:p>
    <w:p w14:paraId="11D47E69">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8.9.1</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4"/>
          <w:sz w:val="24"/>
          <w:szCs w:val="24"/>
          <w:highlight w:val="none"/>
        </w:rPr>
        <w:t>由发包人暂停工作</w:t>
      </w:r>
    </w:p>
    <w:p w14:paraId="7BAFF32A">
      <w:pPr>
        <w:pStyle w:val="2"/>
        <w:keepNext w:val="0"/>
        <w:keepLines w:val="0"/>
        <w:pageBreakBefore w:val="0"/>
        <w:widowControl/>
        <w:kinsoku w:val="0"/>
        <w:wordWrap/>
        <w:overflowPunct/>
        <w:topLinePunct w:val="0"/>
        <w:autoSpaceDE w:val="0"/>
        <w:autoSpaceDN w:val="0"/>
        <w:bidi w:val="0"/>
        <w:adjustRightInd w:val="0"/>
        <w:snapToGrid w:val="0"/>
        <w:spacing w:before="146" w:line="239" w:lineRule="auto"/>
        <w:ind w:left="41" w:right="157" w:firstLine="58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发包人认为必要时，可通过工程师向承包人发出经发包人签认的暂停工作</w:t>
      </w:r>
      <w:r>
        <w:rPr>
          <w:rFonts w:hint="eastAsia" w:ascii="仿宋" w:hAnsi="仿宋" w:eastAsia="仿宋" w:cs="仿宋"/>
          <w:color w:val="auto"/>
          <w:spacing w:val="7"/>
          <w:sz w:val="24"/>
          <w:szCs w:val="24"/>
          <w:highlight w:val="none"/>
        </w:rPr>
        <w:t>通知，应列</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明暂停原因、暂停的日期及预计暂停的期限。承包人应</w:t>
      </w:r>
      <w:r>
        <w:rPr>
          <w:rFonts w:hint="eastAsia" w:ascii="仿宋" w:hAnsi="仿宋" w:eastAsia="仿宋" w:cs="仿宋"/>
          <w:color w:val="auto"/>
          <w:spacing w:val="8"/>
          <w:sz w:val="24"/>
          <w:szCs w:val="24"/>
          <w:highlight w:val="none"/>
        </w:rPr>
        <w:t>按该通知暂停工作。</w:t>
      </w:r>
    </w:p>
    <w:p w14:paraId="23119ADB">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21" w:right="157"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承包人因执行暂停工作通知而造成费用的增加和（或）工期延误由发包人承担，并有</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权要求发包人支付合理利润，但由于承包人原因造成发包人暂停工作的除外。</w:t>
      </w:r>
    </w:p>
    <w:p w14:paraId="528B3CA9">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8.9.2</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4"/>
          <w:sz w:val="24"/>
          <w:szCs w:val="24"/>
          <w:highlight w:val="none"/>
        </w:rPr>
        <w:t>由承包人暂停工作</w:t>
      </w:r>
    </w:p>
    <w:p w14:paraId="6B3CF77E">
      <w:pPr>
        <w:pStyle w:val="2"/>
        <w:keepNext w:val="0"/>
        <w:keepLines w:val="0"/>
        <w:pageBreakBefore w:val="0"/>
        <w:widowControl/>
        <w:kinsoku w:val="0"/>
        <w:wordWrap/>
        <w:overflowPunct/>
        <w:topLinePunct w:val="0"/>
        <w:autoSpaceDE w:val="0"/>
        <w:autoSpaceDN w:val="0"/>
        <w:bidi w:val="0"/>
        <w:adjustRightInd w:val="0"/>
        <w:snapToGrid w:val="0"/>
        <w:spacing w:before="143" w:line="244" w:lineRule="auto"/>
        <w:ind w:left="25" w:firstLine="6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因承包人原因所造成部分或全部工程的暂停，承包人应采取措施尽快复工并赶上进度，</w:t>
      </w:r>
      <w:r>
        <w:rPr>
          <w:rFonts w:hint="eastAsia" w:ascii="仿宋" w:hAnsi="仿宋" w:eastAsia="仿宋" w:cs="仿宋"/>
          <w:color w:val="auto"/>
          <w:spacing w:val="8"/>
          <w:sz w:val="24"/>
          <w:szCs w:val="24"/>
          <w:highlight w:val="none"/>
        </w:rPr>
        <w:t xml:space="preserve"> </w:t>
      </w:r>
      <w:r>
        <w:rPr>
          <w:rFonts w:hint="eastAsia" w:ascii="仿宋" w:hAnsi="仿宋" w:eastAsia="仿宋" w:cs="仿宋"/>
          <w:color w:val="auto"/>
          <w:spacing w:val="7"/>
          <w:sz w:val="24"/>
          <w:szCs w:val="24"/>
          <w:highlight w:val="none"/>
        </w:rPr>
        <w:t>由此造成费用的增加或工期延误由承包人承担。因此造成逾期竣工的，承包人应按第</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7"/>
          <w:sz w:val="24"/>
          <w:szCs w:val="24"/>
          <w:highlight w:val="none"/>
        </w:rPr>
        <w:t>8.7.</w:t>
      </w:r>
      <w:r>
        <w:rPr>
          <w:rFonts w:hint="eastAsia" w:ascii="仿宋" w:hAnsi="仿宋" w:eastAsia="仿宋" w:cs="仿宋"/>
          <w:color w:val="auto"/>
          <w:spacing w:val="6"/>
          <w:sz w:val="24"/>
          <w:szCs w:val="24"/>
          <w:highlight w:val="none"/>
        </w:rPr>
        <w:t xml:space="preserve">2  </w:t>
      </w:r>
      <w:r>
        <w:rPr>
          <w:rFonts w:hint="eastAsia" w:ascii="仿宋" w:hAnsi="仿宋" w:eastAsia="仿宋" w:cs="仿宋"/>
          <w:color w:val="auto"/>
          <w:spacing w:val="8"/>
          <w:sz w:val="24"/>
          <w:szCs w:val="24"/>
          <w:highlight w:val="none"/>
        </w:rPr>
        <w:t>项[因承包人原因导致工期延误]承担逾期竣工违约责任。</w:t>
      </w:r>
    </w:p>
    <w:p w14:paraId="5160541A">
      <w:pPr>
        <w:pStyle w:val="2"/>
        <w:keepNext w:val="0"/>
        <w:keepLines w:val="0"/>
        <w:pageBreakBefore w:val="0"/>
        <w:widowControl/>
        <w:tabs>
          <w:tab w:val="left" w:pos="632"/>
        </w:tabs>
        <w:kinsoku w:val="0"/>
        <w:wordWrap/>
        <w:overflowPunct/>
        <w:topLinePunct w:val="0"/>
        <w:autoSpaceDE w:val="0"/>
        <w:autoSpaceDN w:val="0"/>
        <w:bidi w:val="0"/>
        <w:adjustRightInd w:val="0"/>
        <w:snapToGrid w:val="0"/>
        <w:spacing w:before="25" w:line="247" w:lineRule="auto"/>
        <w:ind w:left="22" w:right="116"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合同履行过程中发生下列情形之一的，承包人可向发包人发出通知，要求发包人</w:t>
      </w:r>
      <w:r>
        <w:rPr>
          <w:rFonts w:hint="eastAsia" w:ascii="仿宋" w:hAnsi="仿宋" w:eastAsia="仿宋" w:cs="仿宋"/>
          <w:color w:val="auto"/>
          <w:spacing w:val="7"/>
          <w:sz w:val="24"/>
          <w:szCs w:val="24"/>
          <w:highlight w:val="none"/>
        </w:rPr>
        <w:t>采取</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有效措施予以纠正。发包人收到承包人通知后的</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9"/>
          <w:sz w:val="24"/>
          <w:szCs w:val="24"/>
          <w:highlight w:val="none"/>
        </w:rPr>
        <w:t>天内仍不予以纠正，承包人有权暂停施</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工，并通知工程师。承包人有权要求发包人延长工期和（或）增加费用，并支付合理利润：</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z w:val="24"/>
          <w:szCs w:val="24"/>
          <w:highlight w:val="none"/>
        </w:rPr>
        <w:tab/>
      </w:r>
      <w:r>
        <w:rPr>
          <w:rFonts w:hint="eastAsia" w:ascii="仿宋" w:hAnsi="仿宋" w:eastAsia="仿宋" w:cs="仿宋"/>
          <w:color w:val="auto"/>
          <w:spacing w:val="8"/>
          <w:sz w:val="24"/>
          <w:szCs w:val="24"/>
          <w:highlight w:val="none"/>
        </w:rPr>
        <w:t>（1） 发包人拖延、拒绝批准付款申请和</w:t>
      </w:r>
      <w:r>
        <w:rPr>
          <w:rFonts w:hint="eastAsia" w:ascii="仿宋" w:hAnsi="仿宋" w:eastAsia="仿宋" w:cs="仿宋"/>
          <w:color w:val="auto"/>
          <w:spacing w:val="7"/>
          <w:sz w:val="24"/>
          <w:szCs w:val="24"/>
          <w:highlight w:val="none"/>
        </w:rPr>
        <w:t>支付证书，或未能按合同约定支付价款，导</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致付款延误的；</w:t>
      </w:r>
    </w:p>
    <w:p w14:paraId="7D618E02">
      <w:pPr>
        <w:pStyle w:val="2"/>
        <w:keepNext w:val="0"/>
        <w:keepLines w:val="0"/>
        <w:pageBreakBefore w:val="0"/>
        <w:widowControl/>
        <w:kinsoku w:val="0"/>
        <w:wordWrap/>
        <w:overflowPunct/>
        <w:topLinePunct w:val="0"/>
        <w:autoSpaceDE w:val="0"/>
        <w:autoSpaceDN w:val="0"/>
        <w:bidi w:val="0"/>
        <w:adjustRightInd w:val="0"/>
        <w:snapToGrid w:val="0"/>
        <w:spacing w:before="25" w:line="239" w:lineRule="auto"/>
        <w:ind w:left="23" w:right="157"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发包人未按约定履行合同其他义务导致承包人无法继续履行合同的，或者发包</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8"/>
          <w:sz w:val="24"/>
          <w:szCs w:val="24"/>
          <w:highlight w:val="none"/>
        </w:rPr>
        <w:t>人明确表示暂停或实质上已暂停履行合同的。</w:t>
      </w:r>
    </w:p>
    <w:p w14:paraId="3C7B7C6F">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8.9.3 除上述原因以外的暂停工作，双方应遵守第</w:t>
      </w:r>
      <w:r>
        <w:rPr>
          <w:rFonts w:hint="eastAsia" w:ascii="仿宋" w:hAnsi="仿宋" w:eastAsia="仿宋" w:cs="仿宋"/>
          <w:color w:val="auto"/>
          <w:spacing w:val="-8"/>
          <w:sz w:val="24"/>
          <w:szCs w:val="24"/>
          <w:highlight w:val="none"/>
        </w:rPr>
        <w:t xml:space="preserve"> </w:t>
      </w:r>
      <w:r>
        <w:rPr>
          <w:rFonts w:hint="eastAsia" w:ascii="仿宋" w:hAnsi="仿宋" w:eastAsia="仿宋" w:cs="仿宋"/>
          <w:color w:val="auto"/>
          <w:spacing w:val="7"/>
          <w:sz w:val="24"/>
          <w:szCs w:val="24"/>
          <w:highlight w:val="none"/>
        </w:rPr>
        <w:t>17</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7"/>
          <w:sz w:val="24"/>
          <w:szCs w:val="24"/>
          <w:highlight w:val="none"/>
        </w:rPr>
        <w:t>条[不可抗力]的相关约定。</w:t>
      </w:r>
    </w:p>
    <w:p w14:paraId="49B514C4">
      <w:pPr>
        <w:pStyle w:val="2"/>
        <w:keepNext w:val="0"/>
        <w:keepLines w:val="0"/>
        <w:pageBreakBefore w:val="0"/>
        <w:widowControl/>
        <w:kinsoku w:val="0"/>
        <w:wordWrap/>
        <w:overflowPunct/>
        <w:topLinePunct w:val="0"/>
        <w:autoSpaceDE w:val="0"/>
        <w:autoSpaceDN w:val="0"/>
        <w:bidi w:val="0"/>
        <w:adjustRightInd w:val="0"/>
        <w:snapToGrid w:val="0"/>
        <w:spacing w:before="145"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8.9.4 暂停工作期间的工程照管</w:t>
      </w:r>
    </w:p>
    <w:p w14:paraId="659F016A">
      <w:pPr>
        <w:pStyle w:val="2"/>
        <w:keepNext w:val="0"/>
        <w:keepLines w:val="0"/>
        <w:pageBreakBefore w:val="0"/>
        <w:widowControl/>
        <w:kinsoku w:val="0"/>
        <w:wordWrap/>
        <w:overflowPunct/>
        <w:topLinePunct w:val="0"/>
        <w:autoSpaceDE w:val="0"/>
        <w:autoSpaceDN w:val="0"/>
        <w:bidi w:val="0"/>
        <w:adjustRightInd w:val="0"/>
        <w:snapToGrid w:val="0"/>
        <w:spacing w:before="145" w:line="244" w:lineRule="auto"/>
        <w:ind w:left="21" w:right="157" w:firstLine="604"/>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不论由于何种原因引起暂停工作的，暂停工作期间，承包人应负责对工程</w:t>
      </w:r>
      <w:r>
        <w:rPr>
          <w:rFonts w:hint="eastAsia" w:ascii="仿宋" w:hAnsi="仿宋" w:eastAsia="仿宋" w:cs="仿宋"/>
          <w:color w:val="auto"/>
          <w:spacing w:val="7"/>
          <w:sz w:val="24"/>
          <w:szCs w:val="24"/>
          <w:highlight w:val="none"/>
        </w:rPr>
        <w:t>、工程物资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及文件等进行照管和保护，并提供安全保障，由此增加的费用按第</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8.9</w:t>
      </w:r>
      <w:r>
        <w:rPr>
          <w:rFonts w:hint="eastAsia" w:ascii="仿宋" w:hAnsi="仿宋" w:eastAsia="仿宋" w:cs="仿宋"/>
          <w:color w:val="auto"/>
          <w:spacing w:val="8"/>
          <w:sz w:val="24"/>
          <w:szCs w:val="24"/>
          <w:highlight w:val="none"/>
        </w:rPr>
        <w:t>.1</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8"/>
          <w:sz w:val="24"/>
          <w:szCs w:val="24"/>
          <w:highlight w:val="none"/>
        </w:rPr>
        <w:t>项[由发包人暂停</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工作]和第</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7"/>
          <w:sz w:val="24"/>
          <w:szCs w:val="24"/>
          <w:highlight w:val="none"/>
        </w:rPr>
        <w:t>8.9.2</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7"/>
          <w:sz w:val="24"/>
          <w:szCs w:val="24"/>
          <w:highlight w:val="none"/>
        </w:rPr>
        <w:t>项[由承包人暂停工作]的约定承担。</w:t>
      </w:r>
    </w:p>
    <w:p w14:paraId="4A6C2613">
      <w:pPr>
        <w:pStyle w:val="2"/>
        <w:keepNext w:val="0"/>
        <w:keepLines w:val="0"/>
        <w:pageBreakBefore w:val="0"/>
        <w:widowControl/>
        <w:kinsoku w:val="0"/>
        <w:wordWrap/>
        <w:overflowPunct/>
        <w:topLinePunct w:val="0"/>
        <w:autoSpaceDE w:val="0"/>
        <w:autoSpaceDN w:val="0"/>
        <w:bidi w:val="0"/>
        <w:adjustRightInd w:val="0"/>
        <w:snapToGrid w:val="0"/>
        <w:spacing w:before="24"/>
        <w:ind w:left="58" w:right="157" w:firstLine="58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因承包人未能尽到照管、保护的责任造成损失的，使发包</w:t>
      </w:r>
      <w:r>
        <w:rPr>
          <w:rFonts w:hint="eastAsia" w:ascii="仿宋" w:hAnsi="仿宋" w:eastAsia="仿宋" w:cs="仿宋"/>
          <w:color w:val="auto"/>
          <w:spacing w:val="9"/>
          <w:sz w:val="24"/>
          <w:szCs w:val="24"/>
          <w:highlight w:val="none"/>
        </w:rPr>
        <w:t>人的费用增加</w:t>
      </w:r>
      <w:r>
        <w:rPr>
          <w:rFonts w:hint="eastAsia" w:ascii="仿宋" w:hAnsi="仿宋" w:eastAsia="仿宋" w:cs="仿宋"/>
          <w:color w:val="auto"/>
          <w:spacing w:val="-31"/>
          <w:sz w:val="24"/>
          <w:szCs w:val="24"/>
          <w:highlight w:val="none"/>
        </w:rPr>
        <w:t>，（</w:t>
      </w:r>
      <w:r>
        <w:rPr>
          <w:rFonts w:hint="eastAsia" w:ascii="仿宋" w:hAnsi="仿宋" w:eastAsia="仿宋" w:cs="仿宋"/>
          <w:color w:val="auto"/>
          <w:spacing w:val="9"/>
          <w:sz w:val="24"/>
          <w:szCs w:val="24"/>
          <w:highlight w:val="none"/>
        </w:rPr>
        <w:t>或）竣工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日期延误的，</w:t>
      </w:r>
      <w:r>
        <w:rPr>
          <w:rFonts w:hint="eastAsia" w:ascii="仿宋" w:hAnsi="仿宋" w:eastAsia="仿宋" w:cs="仿宋"/>
          <w:color w:val="auto"/>
          <w:spacing w:val="-53"/>
          <w:sz w:val="24"/>
          <w:szCs w:val="24"/>
          <w:highlight w:val="none"/>
        </w:rPr>
        <w:t xml:space="preserve"> </w:t>
      </w:r>
      <w:r>
        <w:rPr>
          <w:rFonts w:hint="eastAsia" w:ascii="仿宋" w:hAnsi="仿宋" w:eastAsia="仿宋" w:cs="仿宋"/>
          <w:color w:val="auto"/>
          <w:spacing w:val="5"/>
          <w:sz w:val="24"/>
          <w:szCs w:val="24"/>
          <w:highlight w:val="none"/>
        </w:rPr>
        <w:t>由承包人按本合同约定承担责任。</w:t>
      </w:r>
    </w:p>
    <w:p w14:paraId="459DE23B">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8.9.5 拖长的暂停</w:t>
      </w:r>
    </w:p>
    <w:p w14:paraId="495DE979">
      <w:pPr>
        <w:pStyle w:val="2"/>
        <w:keepNext w:val="0"/>
        <w:keepLines w:val="0"/>
        <w:pageBreakBefore w:val="0"/>
        <w:widowControl/>
        <w:kinsoku w:val="0"/>
        <w:wordWrap/>
        <w:overflowPunct/>
        <w:topLinePunct w:val="0"/>
        <w:autoSpaceDE w:val="0"/>
        <w:autoSpaceDN w:val="0"/>
        <w:bidi w:val="0"/>
        <w:adjustRightInd w:val="0"/>
        <w:snapToGrid w:val="0"/>
        <w:spacing w:before="144" w:line="244" w:lineRule="auto"/>
        <w:ind w:left="24" w:right="157" w:firstLine="597"/>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根据第</w:t>
      </w:r>
      <w:r>
        <w:rPr>
          <w:rFonts w:hint="eastAsia" w:ascii="仿宋" w:hAnsi="仿宋" w:eastAsia="仿宋" w:cs="仿宋"/>
          <w:color w:val="auto"/>
          <w:spacing w:val="-25"/>
          <w:sz w:val="24"/>
          <w:szCs w:val="24"/>
          <w:highlight w:val="none"/>
        </w:rPr>
        <w:t xml:space="preserve"> </w:t>
      </w:r>
      <w:r>
        <w:rPr>
          <w:rFonts w:hint="eastAsia" w:ascii="仿宋" w:hAnsi="仿宋" w:eastAsia="仿宋" w:cs="仿宋"/>
          <w:color w:val="auto"/>
          <w:spacing w:val="8"/>
          <w:sz w:val="24"/>
          <w:szCs w:val="24"/>
          <w:highlight w:val="none"/>
        </w:rPr>
        <w:t>8.9.1</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项[由发包人暂停工作]暂停工作持续超过</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8"/>
          <w:sz w:val="24"/>
          <w:szCs w:val="24"/>
          <w:highlight w:val="none"/>
        </w:rPr>
        <w:t>56</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天的，承包人可向发包人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发出要求复工的通知。如果发包人没有在收到书面通知后</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天内准许已暂停工作的全部或</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部分继续工作，承包人有权根据第</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9"/>
          <w:sz w:val="24"/>
          <w:szCs w:val="24"/>
          <w:highlight w:val="none"/>
        </w:rPr>
        <w:t>13</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9"/>
          <w:sz w:val="24"/>
          <w:szCs w:val="24"/>
          <w:highlight w:val="none"/>
        </w:rPr>
        <w:t>条[变更与调整]的</w:t>
      </w:r>
      <w:r>
        <w:rPr>
          <w:rFonts w:hint="eastAsia" w:ascii="仿宋" w:hAnsi="仿宋" w:eastAsia="仿宋" w:cs="仿宋"/>
          <w:color w:val="auto"/>
          <w:spacing w:val="8"/>
          <w:sz w:val="24"/>
          <w:szCs w:val="24"/>
          <w:highlight w:val="none"/>
        </w:rPr>
        <w:t>约定，要求以变更方式调减受暂停</w:t>
      </w:r>
      <w:r>
        <w:rPr>
          <w:rFonts w:hint="eastAsia" w:ascii="仿宋" w:hAnsi="仿宋" w:eastAsia="仿宋" w:cs="仿宋"/>
          <w:color w:val="auto"/>
          <w:spacing w:val="3"/>
          <w:sz w:val="24"/>
          <w:szCs w:val="24"/>
          <w:highlight w:val="none"/>
        </w:rPr>
        <w:t>影响的部分工程。发包人的暂停超过</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3"/>
          <w:sz w:val="24"/>
          <w:szCs w:val="24"/>
          <w:highlight w:val="none"/>
        </w:rPr>
        <w:t>56</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3"/>
          <w:sz w:val="24"/>
          <w:szCs w:val="24"/>
          <w:highlight w:val="none"/>
        </w:rPr>
        <w:t>天且暂停影响到整个工程的，承包人有权根据第</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3"/>
          <w:sz w:val="24"/>
          <w:szCs w:val="24"/>
          <w:highlight w:val="none"/>
        </w:rPr>
        <w:t>16.2</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款[由承包人解除合同]的约定，发出解除合同的通知。</w:t>
      </w:r>
    </w:p>
    <w:p w14:paraId="3D2AFEAD">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8.10</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2"/>
          <w:sz w:val="24"/>
          <w:szCs w:val="24"/>
          <w:highlight w:val="none"/>
        </w:rPr>
        <w:t>复工</w:t>
      </w:r>
    </w:p>
    <w:p w14:paraId="542ED769">
      <w:pPr>
        <w:pStyle w:val="2"/>
        <w:keepNext w:val="0"/>
        <w:keepLines w:val="0"/>
        <w:pageBreakBefore w:val="0"/>
        <w:widowControl/>
        <w:kinsoku w:val="0"/>
        <w:wordWrap/>
        <w:overflowPunct/>
        <w:topLinePunct w:val="0"/>
        <w:autoSpaceDE w:val="0"/>
        <w:autoSpaceDN w:val="0"/>
        <w:bidi w:val="0"/>
        <w:adjustRightInd w:val="0"/>
        <w:snapToGrid w:val="0"/>
        <w:spacing w:before="146" w:line="239" w:lineRule="auto"/>
        <w:ind w:left="23" w:right="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8.10.1 收到发包人的复工通知后，承包人应按通知时间复工；发包人通知的复工时间应当</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8"/>
          <w:sz w:val="24"/>
          <w:szCs w:val="24"/>
          <w:highlight w:val="none"/>
        </w:rPr>
        <w:t>给予承包人必要的准备复工时间。</w:t>
      </w:r>
    </w:p>
    <w:p w14:paraId="6CC0B52E">
      <w:pPr>
        <w:pStyle w:val="2"/>
        <w:keepNext w:val="0"/>
        <w:keepLines w:val="0"/>
        <w:pageBreakBefore w:val="0"/>
        <w:widowControl/>
        <w:kinsoku w:val="0"/>
        <w:wordWrap/>
        <w:overflowPunct/>
        <w:topLinePunct w:val="0"/>
        <w:autoSpaceDE w:val="0"/>
        <w:autoSpaceDN w:val="0"/>
        <w:bidi w:val="0"/>
        <w:adjustRightInd w:val="0"/>
        <w:snapToGrid w:val="0"/>
        <w:spacing w:before="148" w:line="244" w:lineRule="auto"/>
        <w:ind w:left="21" w:right="15" w:firstLine="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8.10.2 不论由于何种原因引起暂停工作，双方均可要求对方一同对受暂停影响的工程、工</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7"/>
          <w:sz w:val="24"/>
          <w:szCs w:val="24"/>
          <w:highlight w:val="none"/>
        </w:rPr>
        <w:t>程设备和工程物资进行检查，承包人应将检查结果及需要恢复、修复的内容和估算通知发包</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z w:val="24"/>
          <w:szCs w:val="24"/>
          <w:highlight w:val="none"/>
        </w:rPr>
        <w:t>人。</w:t>
      </w:r>
    </w:p>
    <w:p w14:paraId="6866B636">
      <w:pPr>
        <w:pStyle w:val="2"/>
        <w:keepNext w:val="0"/>
        <w:keepLines w:val="0"/>
        <w:pageBreakBefore w:val="0"/>
        <w:widowControl/>
        <w:kinsoku w:val="0"/>
        <w:wordWrap/>
        <w:overflowPunct/>
        <w:topLinePunct w:val="0"/>
        <w:autoSpaceDE w:val="0"/>
        <w:autoSpaceDN w:val="0"/>
        <w:bidi w:val="0"/>
        <w:adjustRightInd w:val="0"/>
        <w:snapToGrid w:val="0"/>
        <w:spacing w:before="142"/>
        <w:ind w:left="23" w:right="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8.10.3 除第</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6"/>
          <w:sz w:val="24"/>
          <w:szCs w:val="24"/>
          <w:highlight w:val="none"/>
        </w:rPr>
        <w:t>17</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6"/>
          <w:sz w:val="24"/>
          <w:szCs w:val="24"/>
          <w:highlight w:val="none"/>
        </w:rPr>
        <w:t>条[不可抗力]另有约定外，发生的恢复</w:t>
      </w:r>
      <w:r>
        <w:rPr>
          <w:rFonts w:hint="eastAsia" w:ascii="仿宋" w:hAnsi="仿宋" w:eastAsia="仿宋" w:cs="仿宋"/>
          <w:color w:val="auto"/>
          <w:spacing w:val="5"/>
          <w:sz w:val="24"/>
          <w:szCs w:val="24"/>
          <w:highlight w:val="none"/>
        </w:rPr>
        <w:t>、修复价款及工期延误的后果由责任</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方承担。</w:t>
      </w:r>
    </w:p>
    <w:p w14:paraId="160D877C">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343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第9条</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6"/>
          <w:sz w:val="24"/>
          <w:szCs w:val="24"/>
          <w:highlight w:val="none"/>
        </w:rPr>
        <w:t>竣工试验</w:t>
      </w:r>
    </w:p>
    <w:p w14:paraId="3B7DA9F3">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9.1 竣工试验的义务</w:t>
      </w:r>
    </w:p>
    <w:p w14:paraId="7CB4976C">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23" w:right="1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9.1.1 承包人完成工程或区段工程进行竣工试验</w:t>
      </w:r>
      <w:r>
        <w:rPr>
          <w:rFonts w:hint="eastAsia" w:ascii="仿宋" w:hAnsi="仿宋" w:eastAsia="仿宋" w:cs="仿宋"/>
          <w:color w:val="auto"/>
          <w:spacing w:val="10"/>
          <w:sz w:val="24"/>
          <w:szCs w:val="24"/>
          <w:highlight w:val="none"/>
        </w:rPr>
        <w:t>所需的作业，并根据第</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10"/>
          <w:sz w:val="24"/>
          <w:szCs w:val="24"/>
          <w:highlight w:val="none"/>
        </w:rPr>
        <w:t>5.4</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10"/>
          <w:sz w:val="24"/>
          <w:szCs w:val="24"/>
          <w:highlight w:val="none"/>
        </w:rPr>
        <w:t>款[竣工文件]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和第</w:t>
      </w:r>
      <w:r>
        <w:rPr>
          <w:rFonts w:hint="eastAsia" w:ascii="仿宋" w:hAnsi="仿宋" w:eastAsia="仿宋" w:cs="仿宋"/>
          <w:color w:val="auto"/>
          <w:spacing w:val="-20"/>
          <w:sz w:val="24"/>
          <w:szCs w:val="24"/>
          <w:highlight w:val="none"/>
        </w:rPr>
        <w:t xml:space="preserve"> </w:t>
      </w:r>
      <w:r>
        <w:rPr>
          <w:rFonts w:hint="eastAsia" w:ascii="仿宋" w:hAnsi="仿宋" w:eastAsia="仿宋" w:cs="仿宋"/>
          <w:color w:val="auto"/>
          <w:spacing w:val="7"/>
          <w:sz w:val="24"/>
          <w:szCs w:val="24"/>
          <w:highlight w:val="none"/>
        </w:rPr>
        <w:t>5.5</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7"/>
          <w:sz w:val="24"/>
          <w:szCs w:val="24"/>
          <w:highlight w:val="none"/>
        </w:rPr>
        <w:t>款[操作和维修手册]提交文件后，进行竣工试验。</w:t>
      </w:r>
    </w:p>
    <w:p w14:paraId="6F2BCE63">
      <w:pPr>
        <w:pStyle w:val="2"/>
        <w:keepNext w:val="0"/>
        <w:keepLines w:val="0"/>
        <w:pageBreakBefore w:val="0"/>
        <w:widowControl/>
        <w:kinsoku w:val="0"/>
        <w:wordWrap/>
        <w:overflowPunct/>
        <w:topLinePunct w:val="0"/>
        <w:autoSpaceDE w:val="0"/>
        <w:autoSpaceDN w:val="0"/>
        <w:bidi w:val="0"/>
        <w:adjustRightInd w:val="0"/>
        <w:snapToGrid w:val="0"/>
        <w:spacing w:before="149" w:line="247" w:lineRule="auto"/>
        <w:ind w:left="21" w:right="13" w:firstLine="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9.1.2 承包人应在进行竣工试验之前，至少提前</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9"/>
          <w:sz w:val="24"/>
          <w:szCs w:val="24"/>
          <w:highlight w:val="none"/>
        </w:rPr>
        <w:t>42</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8"/>
          <w:sz w:val="24"/>
          <w:szCs w:val="24"/>
          <w:highlight w:val="none"/>
        </w:rPr>
        <w:t>天向工程师提交详细的竣工试验计划，</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该计划应载明竣工试验的内容、地点、拟开展时间和需要发包人提供的资源条件。工程师应</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在收到计划后的</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9"/>
          <w:sz w:val="24"/>
          <w:szCs w:val="24"/>
          <w:highlight w:val="none"/>
        </w:rPr>
        <w:t>14</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9"/>
          <w:sz w:val="24"/>
          <w:szCs w:val="24"/>
          <w:highlight w:val="none"/>
        </w:rPr>
        <w:t>天内进行审查，并就该计划不符合合同的部分提出意见，承</w:t>
      </w:r>
      <w:r>
        <w:rPr>
          <w:rFonts w:hint="eastAsia" w:ascii="仿宋" w:hAnsi="仿宋" w:eastAsia="仿宋" w:cs="仿宋"/>
          <w:color w:val="auto"/>
          <w:spacing w:val="8"/>
          <w:sz w:val="24"/>
          <w:szCs w:val="24"/>
          <w:highlight w:val="none"/>
        </w:rPr>
        <w:t>包人应在收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到意见后的</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9"/>
          <w:sz w:val="24"/>
          <w:szCs w:val="24"/>
          <w:highlight w:val="none"/>
        </w:rPr>
        <w:t>14</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天内自费对计划进行修正。工程师逾期未提出意见的，视为</w:t>
      </w:r>
      <w:r>
        <w:rPr>
          <w:rFonts w:hint="eastAsia" w:ascii="仿宋" w:hAnsi="仿宋" w:eastAsia="仿宋" w:cs="仿宋"/>
          <w:color w:val="auto"/>
          <w:spacing w:val="8"/>
          <w:sz w:val="24"/>
          <w:szCs w:val="24"/>
          <w:highlight w:val="none"/>
        </w:rPr>
        <w:t>竣工试验计划已</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得到确认。除提交竣工试验计划外，承包人还应提前</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9"/>
          <w:sz w:val="24"/>
          <w:szCs w:val="24"/>
          <w:highlight w:val="none"/>
        </w:rPr>
        <w:t>21</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天将可以开始进行各项竣工试验的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日期通知工程师，并在该日期后的</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8"/>
          <w:sz w:val="24"/>
          <w:szCs w:val="24"/>
          <w:highlight w:val="none"/>
        </w:rPr>
        <w:t>14</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8"/>
          <w:sz w:val="24"/>
          <w:szCs w:val="24"/>
          <w:highlight w:val="none"/>
        </w:rPr>
        <w:t>天内或工程师指示的日期进行竣工试验。</w:t>
      </w:r>
    </w:p>
    <w:p w14:paraId="07FD82B6">
      <w:pPr>
        <w:pStyle w:val="2"/>
        <w:keepNext w:val="0"/>
        <w:keepLines w:val="0"/>
        <w:pageBreakBefore w:val="0"/>
        <w:widowControl/>
        <w:kinsoku w:val="0"/>
        <w:wordWrap/>
        <w:overflowPunct/>
        <w:topLinePunct w:val="0"/>
        <w:autoSpaceDE w:val="0"/>
        <w:autoSpaceDN w:val="0"/>
        <w:bidi w:val="0"/>
        <w:adjustRightInd w:val="0"/>
        <w:snapToGrid w:val="0"/>
        <w:spacing w:before="148" w:line="243" w:lineRule="auto"/>
        <w:ind w:left="22" w:right="1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9.1.3 承包人应根据经确认的竣工试验计划以及第</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11"/>
          <w:sz w:val="24"/>
          <w:szCs w:val="24"/>
          <w:highlight w:val="none"/>
        </w:rPr>
        <w:t>6</w:t>
      </w:r>
      <w:r>
        <w:rPr>
          <w:rFonts w:hint="eastAsia" w:ascii="仿宋" w:hAnsi="仿宋" w:eastAsia="仿宋" w:cs="仿宋"/>
          <w:color w:val="auto"/>
          <w:spacing w:val="10"/>
          <w:sz w:val="24"/>
          <w:szCs w:val="24"/>
          <w:highlight w:val="none"/>
        </w:rPr>
        <w:t>.5</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10"/>
          <w:sz w:val="24"/>
          <w:szCs w:val="24"/>
          <w:highlight w:val="none"/>
        </w:rPr>
        <w:t>款[由承包人试验和检验]进行竣工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试验。除《发包人要求》中另有说明外，竣工试验应按以下顺序分阶段进行，即只有在工程</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或区段工程已通过上一阶段试验的情况下，才可进行下一阶段试验：</w:t>
      </w:r>
    </w:p>
    <w:p w14:paraId="06EC5B15">
      <w:pPr>
        <w:pStyle w:val="2"/>
        <w:keepNext w:val="0"/>
        <w:keepLines w:val="0"/>
        <w:pageBreakBefore w:val="0"/>
        <w:widowControl/>
        <w:kinsoku w:val="0"/>
        <w:wordWrap/>
        <w:overflowPunct/>
        <w:topLinePunct w:val="0"/>
        <w:autoSpaceDE w:val="0"/>
        <w:autoSpaceDN w:val="0"/>
        <w:bidi w:val="0"/>
        <w:adjustRightInd w:val="0"/>
        <w:snapToGrid w:val="0"/>
        <w:spacing w:before="146"/>
        <w:ind w:left="21" w:right="15"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承包人进行启动前试验，包括适当的检查和功能性试验，以证明工程或区段工</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程的每一部分均能够安全地承受下一阶段试验；</w:t>
      </w:r>
    </w:p>
    <w:p w14:paraId="7F045F98">
      <w:pPr>
        <w:pStyle w:val="2"/>
        <w:keepNext w:val="0"/>
        <w:keepLines w:val="0"/>
        <w:pageBreakBefore w:val="0"/>
        <w:widowControl/>
        <w:kinsoku w:val="0"/>
        <w:wordWrap/>
        <w:overflowPunct/>
        <w:topLinePunct w:val="0"/>
        <w:autoSpaceDE w:val="0"/>
        <w:autoSpaceDN w:val="0"/>
        <w:bidi w:val="0"/>
        <w:adjustRightInd w:val="0"/>
        <w:snapToGrid w:val="0"/>
        <w:spacing w:before="24" w:line="239" w:lineRule="auto"/>
        <w:ind w:left="26" w:right="16" w:firstLine="60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承包人进行启动试验，以证明工程或区段工程能够在所有可利用的操作条件下</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安全运行，并按照专用合同条件和《发包人要求》中的规定操作；</w:t>
      </w:r>
    </w:p>
    <w:p w14:paraId="565E9D67">
      <w:pPr>
        <w:pStyle w:val="2"/>
        <w:keepNext w:val="0"/>
        <w:keepLines w:val="0"/>
        <w:pageBreakBefore w:val="0"/>
        <w:widowControl/>
        <w:kinsoku w:val="0"/>
        <w:wordWrap/>
        <w:overflowPunct/>
        <w:topLinePunct w:val="0"/>
        <w:autoSpaceDE w:val="0"/>
        <w:autoSpaceDN w:val="0"/>
        <w:bidi w:val="0"/>
        <w:adjustRightInd w:val="0"/>
        <w:snapToGrid w:val="0"/>
        <w:spacing w:before="25" w:line="244" w:lineRule="auto"/>
        <w:ind w:left="23" w:right="15" w:firstLine="60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承包人进行试运行试验。当工程或区段工程能稳定安全运行时，承包人应通知</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工程师，可以进行其他竣工试验，包括各种性能测试，以证明工程或区段工程符合《发包人</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要求》中列明的性能保证指标。</w:t>
      </w:r>
    </w:p>
    <w:p w14:paraId="1F21B2B1">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22" w:right="13" w:firstLine="5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进行上述试验不应构成第</w:t>
      </w:r>
      <w:r>
        <w:rPr>
          <w:rFonts w:hint="eastAsia" w:ascii="仿宋" w:hAnsi="仿宋" w:eastAsia="仿宋" w:cs="仿宋"/>
          <w:color w:val="auto"/>
          <w:spacing w:val="-5"/>
          <w:sz w:val="24"/>
          <w:szCs w:val="24"/>
          <w:highlight w:val="none"/>
        </w:rPr>
        <w:t xml:space="preserve"> </w:t>
      </w:r>
      <w:r>
        <w:rPr>
          <w:rFonts w:hint="eastAsia" w:ascii="仿宋" w:hAnsi="仿宋" w:eastAsia="仿宋" w:cs="仿宋"/>
          <w:color w:val="auto"/>
          <w:spacing w:val="9"/>
          <w:sz w:val="24"/>
          <w:szCs w:val="24"/>
          <w:highlight w:val="none"/>
        </w:rPr>
        <w:t>10</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9"/>
          <w:sz w:val="24"/>
          <w:szCs w:val="24"/>
          <w:highlight w:val="none"/>
        </w:rPr>
        <w:t>条[验收和工程接收]规定的接收，但试验所产生的任何</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产品或其他收益均应归属于发包人。</w:t>
      </w:r>
    </w:p>
    <w:p w14:paraId="60E020D2">
      <w:pPr>
        <w:pStyle w:val="2"/>
        <w:keepNext w:val="0"/>
        <w:keepLines w:val="0"/>
        <w:pageBreakBefore w:val="0"/>
        <w:widowControl/>
        <w:kinsoku w:val="0"/>
        <w:wordWrap/>
        <w:overflowPunct/>
        <w:topLinePunct w:val="0"/>
        <w:autoSpaceDE w:val="0"/>
        <w:autoSpaceDN w:val="0"/>
        <w:bidi w:val="0"/>
        <w:adjustRightInd w:val="0"/>
        <w:snapToGrid w:val="0"/>
        <w:spacing w:before="28" w:line="245" w:lineRule="auto"/>
        <w:ind w:left="21" w:right="15" w:firstLine="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9.1.4 完成上述各阶段竣工试验后，承包人应向工程师提交试验结果报告，</w:t>
      </w:r>
      <w:r>
        <w:rPr>
          <w:rFonts w:hint="eastAsia" w:ascii="仿宋" w:hAnsi="仿宋" w:eastAsia="仿宋" w:cs="仿宋"/>
          <w:color w:val="auto"/>
          <w:spacing w:val="6"/>
          <w:sz w:val="24"/>
          <w:szCs w:val="24"/>
          <w:highlight w:val="none"/>
        </w:rPr>
        <w:t>试验结果须符合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约定的标准、规范和数据。工程师应在收到报告后</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9"/>
          <w:sz w:val="24"/>
          <w:szCs w:val="24"/>
          <w:highlight w:val="none"/>
        </w:rPr>
        <w:t>14</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天内予以回复，逾期</w:t>
      </w:r>
      <w:r>
        <w:rPr>
          <w:rFonts w:hint="eastAsia" w:ascii="仿宋" w:hAnsi="仿宋" w:eastAsia="仿宋" w:cs="仿宋"/>
          <w:color w:val="auto"/>
          <w:spacing w:val="8"/>
          <w:sz w:val="24"/>
          <w:szCs w:val="24"/>
          <w:highlight w:val="none"/>
        </w:rPr>
        <w:t>未回复的，视为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认可竣工试验结果。但在考虑工程或区段工程是否通过竣工试验时，应适当考虑发包人对工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程或其任何部分的使用，对工程或区段工程的性能、特性和试验结果产生的影响。</w:t>
      </w:r>
    </w:p>
    <w:p w14:paraId="30A88A43">
      <w:pPr>
        <w:pStyle w:val="2"/>
        <w:keepNext w:val="0"/>
        <w:keepLines w:val="0"/>
        <w:pageBreakBefore w:val="0"/>
        <w:widowControl/>
        <w:kinsoku w:val="0"/>
        <w:wordWrap/>
        <w:overflowPunct/>
        <w:topLinePunct w:val="0"/>
        <w:autoSpaceDE w:val="0"/>
        <w:autoSpaceDN w:val="0"/>
        <w:bidi w:val="0"/>
        <w:adjustRightInd w:val="0"/>
        <w:snapToGrid w:val="0"/>
        <w:spacing w:before="145" w:line="229"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9.2 延误的试验</w:t>
      </w:r>
    </w:p>
    <w:p w14:paraId="434406FA">
      <w:pPr>
        <w:pStyle w:val="2"/>
        <w:keepNext w:val="0"/>
        <w:keepLines w:val="0"/>
        <w:pageBreakBefore w:val="0"/>
        <w:widowControl/>
        <w:kinsoku w:val="0"/>
        <w:wordWrap/>
        <w:overflowPunct/>
        <w:topLinePunct w:val="0"/>
        <w:autoSpaceDE w:val="0"/>
        <w:autoSpaceDN w:val="0"/>
        <w:bidi w:val="0"/>
        <w:adjustRightInd w:val="0"/>
        <w:snapToGrid w:val="0"/>
        <w:spacing w:before="148" w:line="246" w:lineRule="auto"/>
        <w:ind w:left="21" w:right="13" w:firstLine="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9.2.1 如果承包人已根据第</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11"/>
          <w:sz w:val="24"/>
          <w:szCs w:val="24"/>
          <w:highlight w:val="none"/>
        </w:rPr>
        <w:t>9.1</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11"/>
          <w:sz w:val="24"/>
          <w:szCs w:val="24"/>
          <w:highlight w:val="none"/>
        </w:rPr>
        <w:t>款[竣工试验</w:t>
      </w:r>
      <w:r>
        <w:rPr>
          <w:rFonts w:hint="eastAsia" w:ascii="仿宋" w:hAnsi="仿宋" w:eastAsia="仿宋" w:cs="仿宋"/>
          <w:color w:val="auto"/>
          <w:spacing w:val="10"/>
          <w:sz w:val="24"/>
          <w:szCs w:val="24"/>
          <w:highlight w:val="none"/>
        </w:rPr>
        <w:t>的义务]就可以开始进行各项竣工试验的日期</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通知工程师，但该等试验因发包人原因被延误</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9"/>
          <w:sz w:val="24"/>
          <w:szCs w:val="24"/>
          <w:highlight w:val="none"/>
        </w:rPr>
        <w:t>14</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9"/>
          <w:sz w:val="24"/>
          <w:szCs w:val="24"/>
          <w:highlight w:val="none"/>
        </w:rPr>
        <w:t>天以上的，发包人应承担由此</w:t>
      </w:r>
      <w:r>
        <w:rPr>
          <w:rFonts w:hint="eastAsia" w:ascii="仿宋" w:hAnsi="仿宋" w:eastAsia="仿宋" w:cs="仿宋"/>
          <w:color w:val="auto"/>
          <w:spacing w:val="8"/>
          <w:sz w:val="24"/>
          <w:szCs w:val="24"/>
          <w:highlight w:val="none"/>
        </w:rPr>
        <w:t>增加的费用</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和工期延误，并支付承包人合理利润。同时，承包人应在合理可行的情况下尽快进行竣工试</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z w:val="24"/>
          <w:szCs w:val="24"/>
          <w:highlight w:val="none"/>
        </w:rPr>
        <w:t>验。</w:t>
      </w:r>
    </w:p>
    <w:p w14:paraId="05EF64B8">
      <w:pPr>
        <w:pStyle w:val="2"/>
        <w:keepNext w:val="0"/>
        <w:keepLines w:val="0"/>
        <w:pageBreakBefore w:val="0"/>
        <w:widowControl/>
        <w:kinsoku w:val="0"/>
        <w:wordWrap/>
        <w:overflowPunct/>
        <w:topLinePunct w:val="0"/>
        <w:autoSpaceDE w:val="0"/>
        <w:autoSpaceDN w:val="0"/>
        <w:bidi w:val="0"/>
        <w:adjustRightInd w:val="0"/>
        <w:snapToGrid w:val="0"/>
        <w:spacing w:before="140" w:line="244" w:lineRule="auto"/>
        <w:ind w:left="23" w:right="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9.2.2 承包人无正当理由延误进行竣工试验的，工程师可向其发出通知，要</w:t>
      </w:r>
      <w:r>
        <w:rPr>
          <w:rFonts w:hint="eastAsia" w:ascii="仿宋" w:hAnsi="仿宋" w:eastAsia="仿宋" w:cs="仿宋"/>
          <w:color w:val="auto"/>
          <w:spacing w:val="6"/>
          <w:sz w:val="24"/>
          <w:szCs w:val="24"/>
          <w:highlight w:val="none"/>
        </w:rPr>
        <w:t>求其在收到通知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后的</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6"/>
          <w:sz w:val="24"/>
          <w:szCs w:val="24"/>
          <w:highlight w:val="none"/>
        </w:rPr>
        <w:t>21</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6"/>
          <w:sz w:val="24"/>
          <w:szCs w:val="24"/>
          <w:highlight w:val="none"/>
        </w:rPr>
        <w:t>天内进行该项竣工试验。承包人应在该</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21</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6"/>
          <w:sz w:val="24"/>
          <w:szCs w:val="24"/>
          <w:highlight w:val="none"/>
        </w:rPr>
        <w:t>天的期限内确定</w:t>
      </w:r>
      <w:r>
        <w:rPr>
          <w:rFonts w:hint="eastAsia" w:ascii="仿宋" w:hAnsi="仿宋" w:eastAsia="仿宋" w:cs="仿宋"/>
          <w:color w:val="auto"/>
          <w:spacing w:val="5"/>
          <w:sz w:val="24"/>
          <w:szCs w:val="24"/>
          <w:highlight w:val="none"/>
        </w:rPr>
        <w:t>进行试验的日期，并至少</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提前</w:t>
      </w:r>
      <w:r>
        <w:rPr>
          <w:rFonts w:hint="eastAsia" w:ascii="仿宋" w:hAnsi="仿宋" w:eastAsia="仿宋" w:cs="仿宋"/>
          <w:color w:val="auto"/>
          <w:spacing w:val="-28"/>
          <w:sz w:val="24"/>
          <w:szCs w:val="24"/>
          <w:highlight w:val="none"/>
        </w:rPr>
        <w:t xml:space="preserve"> </w:t>
      </w:r>
      <w:r>
        <w:rPr>
          <w:rFonts w:hint="eastAsia" w:ascii="仿宋" w:hAnsi="仿宋" w:eastAsia="仿宋" w:cs="仿宋"/>
          <w:color w:val="auto"/>
          <w:spacing w:val="4"/>
          <w:sz w:val="24"/>
          <w:szCs w:val="24"/>
          <w:highlight w:val="none"/>
        </w:rPr>
        <w:t>7</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4"/>
          <w:sz w:val="24"/>
          <w:szCs w:val="24"/>
          <w:highlight w:val="none"/>
        </w:rPr>
        <w:t>天通知工程师。</w:t>
      </w:r>
    </w:p>
    <w:p w14:paraId="710D1B2C">
      <w:pPr>
        <w:pStyle w:val="2"/>
        <w:keepNext w:val="0"/>
        <w:keepLines w:val="0"/>
        <w:pageBreakBefore w:val="0"/>
        <w:widowControl/>
        <w:kinsoku w:val="0"/>
        <w:wordWrap/>
        <w:overflowPunct/>
        <w:topLinePunct w:val="0"/>
        <w:autoSpaceDE w:val="0"/>
        <w:autoSpaceDN w:val="0"/>
        <w:bidi w:val="0"/>
        <w:adjustRightInd w:val="0"/>
        <w:snapToGrid w:val="0"/>
        <w:spacing w:before="41"/>
        <w:ind w:right="5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9.2.3 如果承包人未在该期限内进行竣工试验，则发包人有权自行组织该项</w:t>
      </w:r>
      <w:r>
        <w:rPr>
          <w:rFonts w:hint="eastAsia" w:ascii="仿宋" w:hAnsi="仿宋" w:eastAsia="仿宋" w:cs="仿宋"/>
          <w:color w:val="auto"/>
          <w:spacing w:val="6"/>
          <w:sz w:val="24"/>
          <w:szCs w:val="24"/>
          <w:highlight w:val="none"/>
        </w:rPr>
        <w:t>竣工试验，由此</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产生的合理费用由承包人承担。发包人应在试验</w:t>
      </w:r>
      <w:r>
        <w:rPr>
          <w:rFonts w:hint="eastAsia" w:ascii="仿宋" w:hAnsi="仿宋" w:eastAsia="仿宋" w:cs="仿宋"/>
          <w:color w:val="auto"/>
          <w:spacing w:val="8"/>
          <w:sz w:val="24"/>
          <w:szCs w:val="24"/>
          <w:highlight w:val="none"/>
        </w:rPr>
        <w:t>完成后</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28</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8"/>
          <w:sz w:val="24"/>
          <w:szCs w:val="24"/>
          <w:highlight w:val="none"/>
        </w:rPr>
        <w:t>天内向承包人发送试验结果。</w:t>
      </w:r>
    </w:p>
    <w:p w14:paraId="265E2C14">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9.3 重新试验</w:t>
      </w:r>
    </w:p>
    <w:p w14:paraId="48624C49">
      <w:pPr>
        <w:pStyle w:val="2"/>
        <w:keepNext w:val="0"/>
        <w:keepLines w:val="0"/>
        <w:pageBreakBefore w:val="0"/>
        <w:widowControl/>
        <w:kinsoku w:val="0"/>
        <w:wordWrap/>
        <w:overflowPunct/>
        <w:topLinePunct w:val="0"/>
        <w:autoSpaceDE w:val="0"/>
        <w:autoSpaceDN w:val="0"/>
        <w:bidi w:val="0"/>
        <w:adjustRightInd w:val="0"/>
        <w:snapToGrid w:val="0"/>
        <w:spacing w:before="147" w:line="243" w:lineRule="auto"/>
        <w:ind w:left="21" w:right="54" w:firstLine="604"/>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如果工程或区段工程未能通过竣工试验，则承包人应根据第</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7"/>
          <w:sz w:val="24"/>
          <w:szCs w:val="24"/>
          <w:highlight w:val="none"/>
        </w:rPr>
        <w:t>6.6</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7"/>
          <w:sz w:val="24"/>
          <w:szCs w:val="24"/>
          <w:highlight w:val="none"/>
        </w:rPr>
        <w:t>款[缺</w:t>
      </w:r>
      <w:r>
        <w:rPr>
          <w:rFonts w:hint="eastAsia" w:ascii="仿宋" w:hAnsi="仿宋" w:eastAsia="仿宋" w:cs="仿宋"/>
          <w:color w:val="auto"/>
          <w:spacing w:val="6"/>
          <w:sz w:val="24"/>
          <w:szCs w:val="24"/>
          <w:highlight w:val="none"/>
        </w:rPr>
        <w:t>陷和修补]修补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缺陷。发包人或承包人可要求按相同的条件，重新进行未通过的试验以及相关工程或区段工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程的竣工试验。该等重新进行的试验仍应适用本条对于竣工试验的规定。</w:t>
      </w:r>
    </w:p>
    <w:p w14:paraId="03C89536">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9.4 未能通过竣工试验</w:t>
      </w:r>
    </w:p>
    <w:p w14:paraId="2F041079">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23" w:right="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9.4.1 因发包人原因导致竣工试验未能通过的，承包人进行竣工试验的费</w:t>
      </w:r>
      <w:r>
        <w:rPr>
          <w:rFonts w:hint="eastAsia" w:ascii="仿宋" w:hAnsi="仿宋" w:eastAsia="仿宋" w:cs="仿宋"/>
          <w:color w:val="auto"/>
          <w:spacing w:val="7"/>
          <w:sz w:val="24"/>
          <w:szCs w:val="24"/>
          <w:highlight w:val="none"/>
        </w:rPr>
        <w:t>用由发包人承担，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竣工日期相应顺延。</w:t>
      </w:r>
    </w:p>
    <w:p w14:paraId="34116885">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jc w:val="right"/>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9.4.2 如果工程或区段工程未能通过根据第</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7"/>
          <w:sz w:val="24"/>
          <w:szCs w:val="24"/>
          <w:highlight w:val="none"/>
        </w:rPr>
        <w:t>9.3</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7"/>
          <w:sz w:val="24"/>
          <w:szCs w:val="24"/>
          <w:highlight w:val="none"/>
        </w:rPr>
        <w:t>款[重新试验]重新进行的竣工试</w:t>
      </w:r>
      <w:r>
        <w:rPr>
          <w:rFonts w:hint="eastAsia" w:ascii="仿宋" w:hAnsi="仿宋" w:eastAsia="仿宋" w:cs="仿宋"/>
          <w:color w:val="auto"/>
          <w:spacing w:val="6"/>
          <w:sz w:val="24"/>
          <w:szCs w:val="24"/>
          <w:highlight w:val="none"/>
        </w:rPr>
        <w:t>验的，则：</w:t>
      </w:r>
    </w:p>
    <w:p w14:paraId="38529C74">
      <w:pPr>
        <w:pStyle w:val="2"/>
        <w:keepNext w:val="0"/>
        <w:keepLines w:val="0"/>
        <w:pageBreakBefore w:val="0"/>
        <w:widowControl/>
        <w:kinsoku w:val="0"/>
        <w:wordWrap/>
        <w:overflowPunct/>
        <w:topLinePunct w:val="0"/>
        <w:autoSpaceDE w:val="0"/>
        <w:autoSpaceDN w:val="0"/>
        <w:bidi w:val="0"/>
        <w:adjustRightInd w:val="0"/>
        <w:snapToGrid w:val="0"/>
        <w:spacing w:before="145" w:line="239" w:lineRule="auto"/>
        <w:ind w:left="21" w:right="54"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发包人有权要求承包人根据第</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7"/>
          <w:sz w:val="24"/>
          <w:szCs w:val="24"/>
          <w:highlight w:val="none"/>
        </w:rPr>
        <w:t>6.</w:t>
      </w:r>
      <w:r>
        <w:rPr>
          <w:rFonts w:hint="eastAsia" w:ascii="仿宋" w:hAnsi="仿宋" w:eastAsia="仿宋" w:cs="仿宋"/>
          <w:color w:val="auto"/>
          <w:spacing w:val="6"/>
          <w:sz w:val="24"/>
          <w:szCs w:val="24"/>
          <w:highlight w:val="none"/>
        </w:rPr>
        <w:t>6</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6"/>
          <w:sz w:val="24"/>
          <w:szCs w:val="24"/>
          <w:highlight w:val="none"/>
        </w:rPr>
        <w:t>款[缺陷和修补]继续进行修补和改正，并根</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据第</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6"/>
          <w:sz w:val="24"/>
          <w:szCs w:val="24"/>
          <w:highlight w:val="none"/>
        </w:rPr>
        <w:t>9.3</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6"/>
          <w:sz w:val="24"/>
          <w:szCs w:val="24"/>
          <w:highlight w:val="none"/>
        </w:rPr>
        <w:t>款[重新试验]再次进行竣工试验；</w:t>
      </w:r>
    </w:p>
    <w:p w14:paraId="4F03DEBE">
      <w:pPr>
        <w:pStyle w:val="2"/>
        <w:keepNext w:val="0"/>
        <w:keepLines w:val="0"/>
        <w:pageBreakBefore w:val="0"/>
        <w:widowControl/>
        <w:kinsoku w:val="0"/>
        <w:wordWrap/>
        <w:overflowPunct/>
        <w:topLinePunct w:val="0"/>
        <w:autoSpaceDE w:val="0"/>
        <w:autoSpaceDN w:val="0"/>
        <w:bidi w:val="0"/>
        <w:adjustRightInd w:val="0"/>
        <w:snapToGrid w:val="0"/>
        <w:spacing w:before="25" w:line="244" w:lineRule="auto"/>
        <w:ind w:left="22" w:right="54"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未能通过竣工试验，对工程或区段工程的操作或使用未产生实质性影响的，发</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包人有权要求承包人自费修复，承担因此增加的费用和误期损害赔偿责任，并赔偿发包人的</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相应损失；无法修复时，发包人有权扣减该部分的相应付款，同时视为通过竣工验收；</w:t>
      </w:r>
    </w:p>
    <w:p w14:paraId="0F811DAF">
      <w:pPr>
        <w:pStyle w:val="2"/>
        <w:keepNext w:val="0"/>
        <w:keepLines w:val="0"/>
        <w:pageBreakBefore w:val="0"/>
        <w:widowControl/>
        <w:kinsoku w:val="0"/>
        <w:wordWrap/>
        <w:overflowPunct/>
        <w:topLinePunct w:val="0"/>
        <w:autoSpaceDE w:val="0"/>
        <w:autoSpaceDN w:val="0"/>
        <w:bidi w:val="0"/>
        <w:adjustRightInd w:val="0"/>
        <w:snapToGrid w:val="0"/>
        <w:spacing w:before="26" w:line="243" w:lineRule="auto"/>
        <w:ind w:left="21" w:right="54"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未能通过竣工试验，使工程或区段工程的任何主要部分丧失了生产、使用功能</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时，发包人有权指令承包人更换相关部分，承包人应承担因此增加的费用和误期损害赔偿责</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任，并赔偿发包人的相应损失；</w:t>
      </w:r>
    </w:p>
    <w:p w14:paraId="4E72CFBC">
      <w:pPr>
        <w:pStyle w:val="2"/>
        <w:keepNext w:val="0"/>
        <w:keepLines w:val="0"/>
        <w:pageBreakBefore w:val="0"/>
        <w:widowControl/>
        <w:kinsoku w:val="0"/>
        <w:wordWrap/>
        <w:overflowPunct/>
        <w:topLinePunct w:val="0"/>
        <w:autoSpaceDE w:val="0"/>
        <w:autoSpaceDN w:val="0"/>
        <w:bidi w:val="0"/>
        <w:adjustRightInd w:val="0"/>
        <w:snapToGrid w:val="0"/>
        <w:spacing w:before="28" w:line="245" w:lineRule="auto"/>
        <w:ind w:left="22" w:right="54"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 未能通过竣工试验，使整个工程或区段工程丧失了生产、使用功能时，发包人</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可拒收工程或区段工程，或指令承包人重新设计、重置相关部分，承包人应承担因此增加的</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6"/>
          <w:sz w:val="24"/>
          <w:szCs w:val="24"/>
          <w:highlight w:val="none"/>
        </w:rPr>
        <w:t>费用和误期损害赔偿责任，并赔偿发包人的相应损失。同时发包人有权根据第</w:t>
      </w:r>
      <w:r>
        <w:rPr>
          <w:rFonts w:hint="eastAsia" w:ascii="仿宋" w:hAnsi="仿宋" w:eastAsia="仿宋" w:cs="仿宋"/>
          <w:color w:val="auto"/>
          <w:spacing w:val="-20"/>
          <w:sz w:val="24"/>
          <w:szCs w:val="24"/>
          <w:highlight w:val="none"/>
        </w:rPr>
        <w:t xml:space="preserve"> </w:t>
      </w:r>
      <w:r>
        <w:rPr>
          <w:rFonts w:hint="eastAsia" w:ascii="仿宋" w:hAnsi="仿宋" w:eastAsia="仿宋" w:cs="仿宋"/>
          <w:color w:val="auto"/>
          <w:spacing w:val="6"/>
          <w:sz w:val="24"/>
          <w:szCs w:val="24"/>
          <w:highlight w:val="none"/>
        </w:rPr>
        <w:t>16.1</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6"/>
          <w:sz w:val="24"/>
          <w:szCs w:val="24"/>
          <w:highlight w:val="none"/>
        </w:rPr>
        <w:t>款[由发</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包人解除合同]的约定解除合同。</w:t>
      </w:r>
    </w:p>
    <w:p w14:paraId="628B1EE6">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307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第10条 验收和工程接收</w:t>
      </w:r>
    </w:p>
    <w:p w14:paraId="42F51E04">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10.1 竣工验收</w:t>
      </w:r>
    </w:p>
    <w:p w14:paraId="1931A85B">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10.1.1 竣工验收条件</w:t>
      </w:r>
    </w:p>
    <w:p w14:paraId="7DA1A14A">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工程具备以下条件的，承包人可以申请竣工验收：</w:t>
      </w:r>
    </w:p>
    <w:p w14:paraId="5E075CF0">
      <w:pPr>
        <w:pStyle w:val="2"/>
        <w:keepNext w:val="0"/>
        <w:keepLines w:val="0"/>
        <w:pageBreakBefore w:val="0"/>
        <w:widowControl/>
        <w:kinsoku w:val="0"/>
        <w:wordWrap/>
        <w:overflowPunct/>
        <w:topLinePunct w:val="0"/>
        <w:autoSpaceDE w:val="0"/>
        <w:autoSpaceDN w:val="0"/>
        <w:bidi w:val="0"/>
        <w:adjustRightInd w:val="0"/>
        <w:snapToGrid w:val="0"/>
        <w:spacing w:before="25" w:line="244" w:lineRule="auto"/>
        <w:ind w:left="21" w:right="53"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w:t>
      </w:r>
      <w:r>
        <w:rPr>
          <w:rFonts w:hint="eastAsia" w:ascii="仿宋" w:hAnsi="仿宋" w:eastAsia="仿宋" w:cs="仿宋"/>
          <w:color w:val="auto"/>
          <w:spacing w:val="57"/>
          <w:sz w:val="24"/>
          <w:szCs w:val="24"/>
          <w:highlight w:val="none"/>
        </w:rPr>
        <w:t xml:space="preserve"> </w:t>
      </w:r>
      <w:r>
        <w:rPr>
          <w:rFonts w:hint="eastAsia" w:ascii="仿宋" w:hAnsi="仿宋" w:eastAsia="仿宋" w:cs="仿宋"/>
          <w:color w:val="auto"/>
          <w:spacing w:val="8"/>
          <w:sz w:val="24"/>
          <w:szCs w:val="24"/>
          <w:highlight w:val="none"/>
        </w:rPr>
        <w:t>除因第</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8"/>
          <w:sz w:val="24"/>
          <w:szCs w:val="24"/>
          <w:highlight w:val="none"/>
        </w:rPr>
        <w:t>13</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条[变更与调整]导致的工程量删减和第</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8"/>
          <w:sz w:val="24"/>
          <w:szCs w:val="24"/>
          <w:highlight w:val="none"/>
        </w:rPr>
        <w:t>14.5.3</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8"/>
          <w:sz w:val="24"/>
          <w:szCs w:val="24"/>
          <w:highlight w:val="none"/>
        </w:rPr>
        <w:t>项[扫尾工作清单]</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列入缺陷责任期内完成的扫尾工程和缺陷修补工作外，合同范围内的全部单</w:t>
      </w:r>
      <w:r>
        <w:rPr>
          <w:rFonts w:hint="eastAsia" w:ascii="仿宋" w:hAnsi="仿宋" w:eastAsia="仿宋" w:cs="仿宋"/>
          <w:color w:val="auto"/>
          <w:spacing w:val="9"/>
          <w:sz w:val="24"/>
          <w:szCs w:val="24"/>
          <w:highlight w:val="none"/>
        </w:rPr>
        <w:t>位/区段工程以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及有关工作，包括合同要求的试验和竣工试验均已完成，并符合合同要求；</w:t>
      </w:r>
    </w:p>
    <w:p w14:paraId="0AC6DBFC">
      <w:pPr>
        <w:pStyle w:val="2"/>
        <w:keepNext w:val="0"/>
        <w:keepLines w:val="0"/>
        <w:pageBreakBefore w:val="0"/>
        <w:widowControl/>
        <w:kinsoku w:val="0"/>
        <w:wordWrap/>
        <w:overflowPunct/>
        <w:topLinePunct w:val="0"/>
        <w:autoSpaceDE w:val="0"/>
        <w:autoSpaceDN w:val="0"/>
        <w:bidi w:val="0"/>
        <w:adjustRightInd w:val="0"/>
        <w:snapToGrid w:val="0"/>
        <w:spacing w:before="25"/>
        <w:ind w:left="632" w:right="67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w:t>
      </w:r>
      <w:r>
        <w:rPr>
          <w:rFonts w:hint="eastAsia" w:ascii="仿宋" w:hAnsi="仿宋" w:eastAsia="仿宋" w:cs="仿宋"/>
          <w:color w:val="auto"/>
          <w:spacing w:val="60"/>
          <w:sz w:val="24"/>
          <w:szCs w:val="24"/>
          <w:highlight w:val="none"/>
        </w:rPr>
        <w:t xml:space="preserve"> </w:t>
      </w:r>
      <w:r>
        <w:rPr>
          <w:rFonts w:hint="eastAsia" w:ascii="仿宋" w:hAnsi="仿宋" w:eastAsia="仿宋" w:cs="仿宋"/>
          <w:color w:val="auto"/>
          <w:spacing w:val="6"/>
          <w:sz w:val="24"/>
          <w:szCs w:val="24"/>
          <w:highlight w:val="none"/>
        </w:rPr>
        <w:t>已按合同约定编制了扫尾工作和缺陷修补工作清单以及相应实施计划；</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（3）</w:t>
      </w:r>
      <w:r>
        <w:rPr>
          <w:rFonts w:hint="eastAsia" w:ascii="仿宋" w:hAnsi="仿宋" w:eastAsia="仿宋" w:cs="仿宋"/>
          <w:color w:val="auto"/>
          <w:spacing w:val="55"/>
          <w:sz w:val="24"/>
          <w:szCs w:val="24"/>
          <w:highlight w:val="none"/>
        </w:rPr>
        <w:t xml:space="preserve"> </w:t>
      </w:r>
      <w:r>
        <w:rPr>
          <w:rFonts w:hint="eastAsia" w:ascii="仿宋" w:hAnsi="仿宋" w:eastAsia="仿宋" w:cs="仿宋"/>
          <w:color w:val="auto"/>
          <w:spacing w:val="6"/>
          <w:sz w:val="24"/>
          <w:szCs w:val="24"/>
          <w:highlight w:val="none"/>
        </w:rPr>
        <w:t>已按合同约定的内容和份数备齐竣工资料；</w:t>
      </w:r>
    </w:p>
    <w:p w14:paraId="09F86345">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（4） 合同约定要求在竣工验收前应完成的其他工作。</w:t>
      </w:r>
    </w:p>
    <w:p w14:paraId="4479EC2D">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10.1.2 竣工验收程序</w:t>
      </w:r>
    </w:p>
    <w:p w14:paraId="7B292225">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除专用合同条件另有约定外，承包人申请竣工验收的，应当按照以下程序进行：</w:t>
      </w:r>
    </w:p>
    <w:p w14:paraId="44BEDABE">
      <w:pPr>
        <w:pStyle w:val="2"/>
        <w:keepNext w:val="0"/>
        <w:keepLines w:val="0"/>
        <w:pageBreakBefore w:val="0"/>
        <w:widowControl/>
        <w:kinsoku w:val="0"/>
        <w:wordWrap/>
        <w:overflowPunct/>
        <w:topLinePunct w:val="0"/>
        <w:autoSpaceDE w:val="0"/>
        <w:autoSpaceDN w:val="0"/>
        <w:bidi w:val="0"/>
        <w:adjustRightInd w:val="0"/>
        <w:snapToGrid w:val="0"/>
        <w:spacing w:before="27" w:line="247" w:lineRule="auto"/>
        <w:ind w:left="24" w:right="54" w:firstLine="60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承包人向工程师报送竣工验收申请报告，工程师应在收到竣工验收申请报告后</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11"/>
          <w:sz w:val="24"/>
          <w:szCs w:val="24"/>
          <w:highlight w:val="none"/>
        </w:rPr>
        <w:t>14</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11"/>
          <w:sz w:val="24"/>
          <w:szCs w:val="24"/>
          <w:highlight w:val="none"/>
        </w:rPr>
        <w:t>天内完成审查并报送发包人。工程师审查后认为尚不</w:t>
      </w:r>
      <w:r>
        <w:rPr>
          <w:rFonts w:hint="eastAsia" w:ascii="仿宋" w:hAnsi="仿宋" w:eastAsia="仿宋" w:cs="仿宋"/>
          <w:color w:val="auto"/>
          <w:spacing w:val="10"/>
          <w:sz w:val="24"/>
          <w:szCs w:val="24"/>
          <w:highlight w:val="none"/>
        </w:rPr>
        <w:t>具备竣工验收条件的，应在收到竣</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工验收申请报告后的</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9"/>
          <w:sz w:val="24"/>
          <w:szCs w:val="24"/>
          <w:highlight w:val="none"/>
        </w:rPr>
        <w:t>14</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天内通知承包人，指出在颁发接收证书前</w:t>
      </w:r>
      <w:r>
        <w:rPr>
          <w:rFonts w:hint="eastAsia" w:ascii="仿宋" w:hAnsi="仿宋" w:eastAsia="仿宋" w:cs="仿宋"/>
          <w:color w:val="auto"/>
          <w:spacing w:val="8"/>
          <w:sz w:val="24"/>
          <w:szCs w:val="24"/>
          <w:highlight w:val="none"/>
        </w:rPr>
        <w:t>承包人还需进行的工作内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容。承包人完成工程师通知的全部工作内容后，应再次提交竣工验收申请报告，直至工程师</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5"/>
          <w:sz w:val="24"/>
          <w:szCs w:val="24"/>
          <w:highlight w:val="none"/>
        </w:rPr>
        <w:t>同意为止。</w:t>
      </w:r>
    </w:p>
    <w:p w14:paraId="006D8A71">
      <w:pPr>
        <w:pStyle w:val="2"/>
        <w:keepNext w:val="0"/>
        <w:keepLines w:val="0"/>
        <w:pageBreakBefore w:val="0"/>
        <w:widowControl/>
        <w:kinsoku w:val="0"/>
        <w:wordWrap/>
        <w:overflowPunct/>
        <w:topLinePunct w:val="0"/>
        <w:autoSpaceDE w:val="0"/>
        <w:autoSpaceDN w:val="0"/>
        <w:bidi w:val="0"/>
        <w:adjustRightInd w:val="0"/>
        <w:snapToGrid w:val="0"/>
        <w:spacing w:before="20" w:line="247" w:lineRule="auto"/>
        <w:ind w:left="22" w:right="54"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工程师同意承包人提交的竣工验收申请报告的，或工程师收到竣工验收申请报</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告后</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9"/>
          <w:sz w:val="24"/>
          <w:szCs w:val="24"/>
          <w:highlight w:val="none"/>
        </w:rPr>
        <w:t>14</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天内不予答复的，视为发包人收到并同意承包人的竣工验收申请，发</w:t>
      </w:r>
      <w:r>
        <w:rPr>
          <w:rFonts w:hint="eastAsia" w:ascii="仿宋" w:hAnsi="仿宋" w:eastAsia="仿宋" w:cs="仿宋"/>
          <w:color w:val="auto"/>
          <w:spacing w:val="8"/>
          <w:sz w:val="24"/>
          <w:szCs w:val="24"/>
          <w:highlight w:val="none"/>
        </w:rPr>
        <w:t>包人应在收到</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该竣工验收申请报告后的</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天内进行竣工验收。工程经竣工验收合格的，以竣工验收合格</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之日为实际竣工日期，并在工程接收证书中载明；完成竣工验收但发包人不予签发工程接收</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证书的，视为竣工验收合格，以完成竣工验收之日为实际竣工日期。</w:t>
      </w:r>
    </w:p>
    <w:p w14:paraId="27BBD439">
      <w:pPr>
        <w:pStyle w:val="2"/>
        <w:keepNext w:val="0"/>
        <w:keepLines w:val="0"/>
        <w:pageBreakBefore w:val="0"/>
        <w:widowControl/>
        <w:kinsoku w:val="0"/>
        <w:wordWrap/>
        <w:overflowPunct/>
        <w:topLinePunct w:val="0"/>
        <w:autoSpaceDE w:val="0"/>
        <w:autoSpaceDN w:val="0"/>
        <w:bidi w:val="0"/>
        <w:adjustRightInd w:val="0"/>
        <w:snapToGrid w:val="0"/>
        <w:spacing w:before="41" w:line="227"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竣工验收不合格的，工程师应按照验收意见发出指示，要求承包人对不合格工</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程返工、修复或采取其他补救措施，由此增加的费用和（或）延误的工期由承包人承担。承</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4"/>
          <w:sz w:val="24"/>
          <w:szCs w:val="24"/>
          <w:highlight w:val="none"/>
        </w:rPr>
        <w:t>包人在完成不合格工程的返工、修复或采取其他补救措施后，</w:t>
      </w:r>
      <w:r>
        <w:rPr>
          <w:rFonts w:hint="eastAsia" w:ascii="仿宋" w:hAnsi="仿宋" w:eastAsia="仿宋" w:cs="仿宋"/>
          <w:color w:val="auto"/>
          <w:spacing w:val="3"/>
          <w:sz w:val="24"/>
          <w:szCs w:val="24"/>
          <w:highlight w:val="none"/>
        </w:rPr>
        <w:t>应重新提交竣工验收申请报告</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8"/>
          <w:sz w:val="24"/>
          <w:szCs w:val="24"/>
          <w:highlight w:val="none"/>
        </w:rPr>
        <w:t>并按本项约定的程序重新进行验收。</w:t>
      </w:r>
    </w:p>
    <w:p w14:paraId="6FC9C09F">
      <w:pPr>
        <w:pStyle w:val="2"/>
        <w:keepNext w:val="0"/>
        <w:keepLines w:val="0"/>
        <w:pageBreakBefore w:val="0"/>
        <w:widowControl/>
        <w:kinsoku w:val="0"/>
        <w:wordWrap/>
        <w:overflowPunct/>
        <w:topLinePunct w:val="0"/>
        <w:autoSpaceDE w:val="0"/>
        <w:autoSpaceDN w:val="0"/>
        <w:bidi w:val="0"/>
        <w:adjustRightInd w:val="0"/>
        <w:snapToGrid w:val="0"/>
        <w:spacing w:before="28" w:line="238" w:lineRule="auto"/>
        <w:ind w:left="23" w:right="70" w:firstLine="60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（4）</w:t>
      </w:r>
      <w:r>
        <w:rPr>
          <w:rFonts w:hint="eastAsia" w:ascii="仿宋" w:hAnsi="仿宋" w:eastAsia="仿宋" w:cs="仿宋"/>
          <w:color w:val="auto"/>
          <w:spacing w:val="60"/>
          <w:sz w:val="24"/>
          <w:szCs w:val="24"/>
          <w:highlight w:val="none"/>
        </w:rPr>
        <w:t xml:space="preserve"> </w:t>
      </w:r>
      <w:r>
        <w:rPr>
          <w:rFonts w:hint="eastAsia" w:ascii="仿宋" w:hAnsi="仿宋" w:eastAsia="仿宋" w:cs="仿宋"/>
          <w:color w:val="auto"/>
          <w:spacing w:val="8"/>
          <w:sz w:val="24"/>
          <w:szCs w:val="24"/>
          <w:highlight w:val="none"/>
        </w:rPr>
        <w:t>因发包人原因，未在工程师收到承包人竣工验收申请报告之日起</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8"/>
          <w:sz w:val="24"/>
          <w:szCs w:val="24"/>
          <w:highlight w:val="none"/>
        </w:rPr>
        <w:t>42</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天内完成</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竣工验收的，</w:t>
      </w:r>
      <w:r>
        <w:rPr>
          <w:rFonts w:hint="eastAsia" w:ascii="仿宋" w:hAnsi="仿宋" w:eastAsia="仿宋" w:cs="仿宋"/>
          <w:color w:val="auto"/>
          <w:spacing w:val="-57"/>
          <w:sz w:val="24"/>
          <w:szCs w:val="24"/>
          <w:highlight w:val="none"/>
        </w:rPr>
        <w:t xml:space="preserve"> </w:t>
      </w:r>
      <w:r>
        <w:rPr>
          <w:rFonts w:hint="eastAsia" w:ascii="仿宋" w:hAnsi="仿宋" w:eastAsia="仿宋" w:cs="仿宋"/>
          <w:color w:val="auto"/>
          <w:spacing w:val="8"/>
          <w:sz w:val="24"/>
          <w:szCs w:val="24"/>
          <w:highlight w:val="none"/>
        </w:rPr>
        <w:t>以承包人提交竣工验收申请报告之日作为工程实际竣工日期。</w:t>
      </w:r>
    </w:p>
    <w:p w14:paraId="3DBB8E83">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jc w:val="right"/>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（5）</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5"/>
          <w:sz w:val="24"/>
          <w:szCs w:val="24"/>
          <w:highlight w:val="none"/>
        </w:rPr>
        <w:t>工程未经竣工验收，发包人擅自使用的，以转移占有工程之日为实</w:t>
      </w:r>
      <w:r>
        <w:rPr>
          <w:rFonts w:hint="eastAsia" w:ascii="仿宋" w:hAnsi="仿宋" w:eastAsia="仿宋" w:cs="仿宋"/>
          <w:color w:val="auto"/>
          <w:spacing w:val="4"/>
          <w:sz w:val="24"/>
          <w:szCs w:val="24"/>
          <w:highlight w:val="none"/>
        </w:rPr>
        <w:t>际竣工日期。</w:t>
      </w:r>
    </w:p>
    <w:p w14:paraId="712004D1">
      <w:pPr>
        <w:pStyle w:val="2"/>
        <w:keepNext w:val="0"/>
        <w:keepLines w:val="0"/>
        <w:pageBreakBefore w:val="0"/>
        <w:widowControl/>
        <w:kinsoku w:val="0"/>
        <w:wordWrap/>
        <w:overflowPunct/>
        <w:topLinePunct w:val="0"/>
        <w:autoSpaceDE w:val="0"/>
        <w:autoSpaceDN w:val="0"/>
        <w:bidi w:val="0"/>
        <w:adjustRightInd w:val="0"/>
        <w:snapToGrid w:val="0"/>
        <w:spacing w:before="22" w:line="244" w:lineRule="auto"/>
        <w:ind w:left="23" w:right="70"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除专用合同条件另有约定外，发包人不按照本项和第</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9"/>
          <w:sz w:val="24"/>
          <w:szCs w:val="24"/>
          <w:highlight w:val="none"/>
        </w:rPr>
        <w:t>10.4</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9"/>
          <w:sz w:val="24"/>
          <w:szCs w:val="24"/>
          <w:highlight w:val="none"/>
        </w:rPr>
        <w:t>款[接收</w:t>
      </w:r>
      <w:r>
        <w:rPr>
          <w:rFonts w:hint="eastAsia" w:ascii="仿宋" w:hAnsi="仿宋" w:eastAsia="仿宋" w:cs="仿宋"/>
          <w:color w:val="auto"/>
          <w:spacing w:val="8"/>
          <w:sz w:val="24"/>
          <w:szCs w:val="24"/>
          <w:highlight w:val="none"/>
        </w:rPr>
        <w:t>证书]约定组织竣</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工验收、颁发工程接收证书的，每逾期一天，应以签约合同价为基数，按照贷款市场报价利</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9"/>
          <w:sz w:val="24"/>
          <w:szCs w:val="24"/>
          <w:highlight w:val="none"/>
        </w:rPr>
        <w:t>率（</w:t>
      </w:r>
      <w:r>
        <w:rPr>
          <w:rFonts w:hint="eastAsia" w:ascii="仿宋" w:hAnsi="仿宋" w:eastAsia="仿宋" w:cs="仿宋"/>
          <w:color w:val="auto"/>
          <w:sz w:val="24"/>
          <w:szCs w:val="24"/>
          <w:highlight w:val="none"/>
        </w:rPr>
        <w:t>LPR</w:t>
      </w:r>
      <w:r>
        <w:rPr>
          <w:rFonts w:hint="eastAsia" w:ascii="仿宋" w:hAnsi="仿宋" w:eastAsia="仿宋" w:cs="仿宋"/>
          <w:color w:val="auto"/>
          <w:spacing w:val="9"/>
          <w:sz w:val="24"/>
          <w:szCs w:val="24"/>
          <w:highlight w:val="none"/>
        </w:rPr>
        <w:t>）支付违约金。</w:t>
      </w:r>
    </w:p>
    <w:p w14:paraId="3A03033A">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10.2 单位/区段工程的验收</w:t>
      </w:r>
    </w:p>
    <w:p w14:paraId="3FD162AE">
      <w:pPr>
        <w:pStyle w:val="2"/>
        <w:keepNext w:val="0"/>
        <w:keepLines w:val="0"/>
        <w:pageBreakBefore w:val="0"/>
        <w:widowControl/>
        <w:kinsoku w:val="0"/>
        <w:wordWrap/>
        <w:overflowPunct/>
        <w:topLinePunct w:val="0"/>
        <w:autoSpaceDE w:val="0"/>
        <w:autoSpaceDN w:val="0"/>
        <w:bidi w:val="0"/>
        <w:adjustRightInd w:val="0"/>
        <w:snapToGrid w:val="0"/>
        <w:spacing w:before="144" w:line="245" w:lineRule="auto"/>
        <w:ind w:left="21" w:right="69" w:firstLine="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10.2.1 发包人根据项目进度计划安排，在全部工程竣工前需要使用已经竣工的单位/区段工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3"/>
          <w:sz w:val="24"/>
          <w:szCs w:val="24"/>
          <w:highlight w:val="none"/>
        </w:rPr>
        <w:t>程时，或承包人提出经发包人同意时，可进行单位/区段工程验收。验收</w:t>
      </w:r>
      <w:r>
        <w:rPr>
          <w:rFonts w:hint="eastAsia" w:ascii="仿宋" w:hAnsi="仿宋" w:eastAsia="仿宋" w:cs="仿宋"/>
          <w:color w:val="auto"/>
          <w:spacing w:val="2"/>
          <w:sz w:val="24"/>
          <w:szCs w:val="24"/>
          <w:highlight w:val="none"/>
        </w:rPr>
        <w:t>的程序可参照第</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2"/>
          <w:sz w:val="24"/>
          <w:szCs w:val="24"/>
          <w:highlight w:val="none"/>
        </w:rPr>
        <w:t>10.1</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款[竣工验收]的约定进行。验收合格后，由工程师向承包</w:t>
      </w:r>
      <w:r>
        <w:rPr>
          <w:rFonts w:hint="eastAsia" w:ascii="仿宋" w:hAnsi="仿宋" w:eastAsia="仿宋" w:cs="仿宋"/>
          <w:color w:val="auto"/>
          <w:spacing w:val="9"/>
          <w:sz w:val="24"/>
          <w:szCs w:val="24"/>
          <w:highlight w:val="none"/>
        </w:rPr>
        <w:t>人出具经发包人签认的单位/区段</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工程验收证书。单位/区段工程的验收成果和结论作为全部工程竣工验收申请报告的附件。</w:t>
      </w:r>
    </w:p>
    <w:p w14:paraId="12F14687">
      <w:pPr>
        <w:pStyle w:val="2"/>
        <w:keepNext w:val="0"/>
        <w:keepLines w:val="0"/>
        <w:pageBreakBefore w:val="0"/>
        <w:widowControl/>
        <w:kinsoku w:val="0"/>
        <w:wordWrap/>
        <w:overflowPunct/>
        <w:topLinePunct w:val="0"/>
        <w:autoSpaceDE w:val="0"/>
        <w:autoSpaceDN w:val="0"/>
        <w:bidi w:val="0"/>
        <w:adjustRightInd w:val="0"/>
        <w:snapToGrid w:val="0"/>
        <w:spacing w:before="149" w:line="239" w:lineRule="auto"/>
        <w:ind w:left="22" w:right="70" w:firstLine="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10.2.2 发包人在全部工程竣工前，使用已接收的单位/区段工程导致承包人费用增加的，发</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包人应承担由此增加的费用和（或）工期延误，并支付承包人合理利润。</w:t>
      </w:r>
    </w:p>
    <w:p w14:paraId="5FE985F5">
      <w:pPr>
        <w:pStyle w:val="2"/>
        <w:keepNext w:val="0"/>
        <w:keepLines w:val="0"/>
        <w:pageBreakBefore w:val="0"/>
        <w:widowControl/>
        <w:kinsoku w:val="0"/>
        <w:wordWrap/>
        <w:overflowPunct/>
        <w:topLinePunct w:val="0"/>
        <w:autoSpaceDE w:val="0"/>
        <w:autoSpaceDN w:val="0"/>
        <w:bidi w:val="0"/>
        <w:adjustRightInd w:val="0"/>
        <w:snapToGrid w:val="0"/>
        <w:spacing w:before="14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10.3 工程的接收</w:t>
      </w:r>
    </w:p>
    <w:p w14:paraId="09320AF8">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42" w:right="70" w:hanging="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10.3.1 根据工程项目的具体情况和特点，可按工程或单位/区段工程进行接收，并在专用合</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同条件约定接收的先后顺序、时间安排和其他要求。</w:t>
      </w:r>
    </w:p>
    <w:p w14:paraId="705B4075">
      <w:pPr>
        <w:pStyle w:val="2"/>
        <w:keepNext w:val="0"/>
        <w:keepLines w:val="0"/>
        <w:pageBreakBefore w:val="0"/>
        <w:widowControl/>
        <w:kinsoku w:val="0"/>
        <w:wordWrap/>
        <w:overflowPunct/>
        <w:topLinePunct w:val="0"/>
        <w:autoSpaceDE w:val="0"/>
        <w:autoSpaceDN w:val="0"/>
        <w:bidi w:val="0"/>
        <w:adjustRightInd w:val="0"/>
        <w:snapToGrid w:val="0"/>
        <w:spacing w:before="145"/>
        <w:ind w:left="46" w:right="105" w:hanging="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10.3.2 除按本条约定已经提交的资料外，接收工程时承包人需提交竣工验收资料的类别、</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内容、份数和提交时间，在专用合同条件中约</w:t>
      </w:r>
      <w:r>
        <w:rPr>
          <w:rFonts w:hint="eastAsia" w:ascii="仿宋" w:hAnsi="仿宋" w:eastAsia="仿宋" w:cs="仿宋"/>
          <w:color w:val="auto"/>
          <w:spacing w:val="7"/>
          <w:sz w:val="24"/>
          <w:szCs w:val="24"/>
          <w:highlight w:val="none"/>
        </w:rPr>
        <w:t>定。</w:t>
      </w:r>
    </w:p>
    <w:p w14:paraId="18941F8E">
      <w:pPr>
        <w:pStyle w:val="2"/>
        <w:keepNext w:val="0"/>
        <w:keepLines w:val="0"/>
        <w:pageBreakBefore w:val="0"/>
        <w:widowControl/>
        <w:kinsoku w:val="0"/>
        <w:wordWrap/>
        <w:overflowPunct/>
        <w:topLinePunct w:val="0"/>
        <w:autoSpaceDE w:val="0"/>
        <w:autoSpaceDN w:val="0"/>
        <w:bidi w:val="0"/>
        <w:adjustRightInd w:val="0"/>
        <w:snapToGrid w:val="0"/>
        <w:spacing w:before="143" w:line="244" w:lineRule="auto"/>
        <w:ind w:left="23" w:right="70" w:firstLine="1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10.3.3 发包人无正当理由不接收工程的，发包人自应当接收工程之日起</w:t>
      </w:r>
      <w:r>
        <w:rPr>
          <w:rFonts w:hint="eastAsia" w:ascii="仿宋" w:hAnsi="仿宋" w:eastAsia="仿宋" w:cs="仿宋"/>
          <w:color w:val="auto"/>
          <w:spacing w:val="8"/>
          <w:sz w:val="24"/>
          <w:szCs w:val="24"/>
          <w:highlight w:val="none"/>
        </w:rPr>
        <w:t>，承担工程照管、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成品保护、保管等与工程有关的各项费用，合同当事人可以在专用合同条件中另行约定发包</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8"/>
          <w:sz w:val="24"/>
          <w:szCs w:val="24"/>
          <w:highlight w:val="none"/>
        </w:rPr>
        <w:t>人逾期接收工程的违约责任。</w:t>
      </w:r>
    </w:p>
    <w:p w14:paraId="6DD3C3CE">
      <w:pPr>
        <w:pStyle w:val="2"/>
        <w:keepNext w:val="0"/>
        <w:keepLines w:val="0"/>
        <w:pageBreakBefore w:val="0"/>
        <w:widowControl/>
        <w:kinsoku w:val="0"/>
        <w:wordWrap/>
        <w:overflowPunct/>
        <w:topLinePunct w:val="0"/>
        <w:autoSpaceDE w:val="0"/>
        <w:autoSpaceDN w:val="0"/>
        <w:bidi w:val="0"/>
        <w:adjustRightInd w:val="0"/>
        <w:snapToGrid w:val="0"/>
        <w:spacing w:before="146" w:line="244" w:lineRule="auto"/>
        <w:ind w:left="21" w:right="71" w:firstLine="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10.3.4 承包人无正当理由不移交工程的，承包人应承担工程照管、成品</w:t>
      </w:r>
      <w:r>
        <w:rPr>
          <w:rFonts w:hint="eastAsia" w:ascii="仿宋" w:hAnsi="仿宋" w:eastAsia="仿宋" w:cs="仿宋"/>
          <w:color w:val="auto"/>
          <w:spacing w:val="8"/>
          <w:sz w:val="24"/>
          <w:szCs w:val="24"/>
          <w:highlight w:val="none"/>
        </w:rPr>
        <w:t>保护、保管等与工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程有关的各项费用，合同当事人可以在专用合同条件中另行约定承包人无正当理由不移交工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程的违约责任。</w:t>
      </w:r>
    </w:p>
    <w:p w14:paraId="1165787E">
      <w:pPr>
        <w:pStyle w:val="2"/>
        <w:keepNext w:val="0"/>
        <w:keepLines w:val="0"/>
        <w:pageBreakBefore w:val="0"/>
        <w:widowControl/>
        <w:kinsoku w:val="0"/>
        <w:wordWrap/>
        <w:overflowPunct/>
        <w:topLinePunct w:val="0"/>
        <w:autoSpaceDE w:val="0"/>
        <w:autoSpaceDN w:val="0"/>
        <w:bidi w:val="0"/>
        <w:adjustRightInd w:val="0"/>
        <w:snapToGrid w:val="0"/>
        <w:spacing w:before="144" w:line="227"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10.4 接收证书</w:t>
      </w:r>
    </w:p>
    <w:p w14:paraId="46AD7D38">
      <w:pPr>
        <w:pStyle w:val="2"/>
        <w:keepNext w:val="0"/>
        <w:keepLines w:val="0"/>
        <w:pageBreakBefore w:val="0"/>
        <w:widowControl/>
        <w:kinsoku w:val="0"/>
        <w:wordWrap/>
        <w:overflowPunct/>
        <w:topLinePunct w:val="0"/>
        <w:autoSpaceDE w:val="0"/>
        <w:autoSpaceDN w:val="0"/>
        <w:bidi w:val="0"/>
        <w:adjustRightInd w:val="0"/>
        <w:snapToGrid w:val="0"/>
        <w:spacing w:before="145" w:line="247" w:lineRule="auto"/>
        <w:ind w:left="23" w:right="70" w:firstLine="1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10.4.1 除专用合同条件另有约定外，承包人应在竣工验收合格后向发包人提交第</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9"/>
          <w:sz w:val="24"/>
          <w:szCs w:val="24"/>
          <w:highlight w:val="none"/>
        </w:rPr>
        <w:t>14.6</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9"/>
          <w:sz w:val="24"/>
          <w:szCs w:val="24"/>
          <w:highlight w:val="none"/>
        </w:rPr>
        <w:t>款</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[质量保证金]约定的质量保证金，发包人应在竣</w:t>
      </w:r>
      <w:r>
        <w:rPr>
          <w:rFonts w:hint="eastAsia" w:ascii="仿宋" w:hAnsi="仿宋" w:eastAsia="仿宋" w:cs="仿宋"/>
          <w:color w:val="auto"/>
          <w:spacing w:val="8"/>
          <w:sz w:val="24"/>
          <w:szCs w:val="24"/>
          <w:highlight w:val="none"/>
        </w:rPr>
        <w:t>工验收合格且工程具备接收条件后的</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8"/>
          <w:sz w:val="24"/>
          <w:szCs w:val="24"/>
          <w:highlight w:val="none"/>
        </w:rPr>
        <w:t>14</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8"/>
          <w:sz w:val="24"/>
          <w:szCs w:val="24"/>
          <w:highlight w:val="none"/>
        </w:rPr>
        <w:t>天</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内向承包人颁发工程接收证书，但承包人未提交质量保证金的，发包人有权拒绝颁发。发包</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7"/>
          <w:sz w:val="24"/>
          <w:szCs w:val="24"/>
          <w:highlight w:val="none"/>
        </w:rPr>
        <w:t>人拒绝颁发工程接收证书的，应向承包人发出通知，说明理由并指出在颁发接收证书前承包</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9"/>
          <w:sz w:val="24"/>
          <w:szCs w:val="24"/>
          <w:highlight w:val="none"/>
        </w:rPr>
        <w:t>人需要做的工作，需要修补的缺陷和承包人需要提供的文件。</w:t>
      </w:r>
    </w:p>
    <w:p w14:paraId="5894ECDE">
      <w:pPr>
        <w:pStyle w:val="2"/>
        <w:keepNext w:val="0"/>
        <w:keepLines w:val="0"/>
        <w:pageBreakBefore w:val="0"/>
        <w:widowControl/>
        <w:kinsoku w:val="0"/>
        <w:wordWrap/>
        <w:overflowPunct/>
        <w:topLinePunct w:val="0"/>
        <w:autoSpaceDE w:val="0"/>
        <w:autoSpaceDN w:val="0"/>
        <w:bidi w:val="0"/>
        <w:adjustRightInd w:val="0"/>
        <w:snapToGrid w:val="0"/>
        <w:spacing w:before="144" w:line="244" w:lineRule="auto"/>
        <w:ind w:left="21" w:right="70" w:firstLine="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10.4.2 发包人向承包人颁发的接收证书，应注明工程或单位/区段工程经验收合格的实际竣</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10"/>
          <w:sz w:val="24"/>
          <w:szCs w:val="24"/>
          <w:highlight w:val="none"/>
        </w:rPr>
        <w:t>工日期，并列明不在接收范围内的，在收尾工作和缺陷修补完成之前对工程或单</w:t>
      </w:r>
      <w:r>
        <w:rPr>
          <w:rFonts w:hint="eastAsia" w:ascii="仿宋" w:hAnsi="仿宋" w:eastAsia="仿宋" w:cs="仿宋"/>
          <w:color w:val="auto"/>
          <w:spacing w:val="9"/>
          <w:sz w:val="24"/>
          <w:szCs w:val="24"/>
          <w:highlight w:val="none"/>
        </w:rPr>
        <w:t>位/区段工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程预期使用目的没有实质影响的少量收尾工作和缺陷。</w:t>
      </w:r>
    </w:p>
    <w:p w14:paraId="6D54BE3D">
      <w:pPr>
        <w:pStyle w:val="2"/>
        <w:keepNext w:val="0"/>
        <w:keepLines w:val="0"/>
        <w:pageBreakBefore w:val="0"/>
        <w:widowControl/>
        <w:kinsoku w:val="0"/>
        <w:wordWrap/>
        <w:overflowPunct/>
        <w:topLinePunct w:val="0"/>
        <w:autoSpaceDE w:val="0"/>
        <w:autoSpaceDN w:val="0"/>
        <w:bidi w:val="0"/>
        <w:adjustRightInd w:val="0"/>
        <w:snapToGrid w:val="0"/>
        <w:spacing w:before="144"/>
        <w:ind w:left="26" w:right="69" w:firstLine="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10.4.3 竣工验收合格而发包人无正当理由逾期不颁发工程接收证书的，自验收合格</w:t>
      </w:r>
      <w:r>
        <w:rPr>
          <w:rFonts w:hint="eastAsia" w:ascii="仿宋" w:hAnsi="仿宋" w:eastAsia="仿宋" w:cs="仿宋"/>
          <w:color w:val="auto"/>
          <w:spacing w:val="6"/>
          <w:sz w:val="24"/>
          <w:szCs w:val="24"/>
          <w:highlight w:val="none"/>
        </w:rPr>
        <w:t>后第</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6"/>
          <w:sz w:val="24"/>
          <w:szCs w:val="24"/>
          <w:highlight w:val="none"/>
        </w:rPr>
        <w:t>15</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天起视为已颁发工程接收证书。</w:t>
      </w:r>
    </w:p>
    <w:p w14:paraId="19864C6B">
      <w:pPr>
        <w:pStyle w:val="2"/>
        <w:keepNext w:val="0"/>
        <w:keepLines w:val="0"/>
        <w:pageBreakBefore w:val="0"/>
        <w:widowControl/>
        <w:kinsoku w:val="0"/>
        <w:wordWrap/>
        <w:overflowPunct/>
        <w:topLinePunct w:val="0"/>
        <w:autoSpaceDE w:val="0"/>
        <w:autoSpaceDN w:val="0"/>
        <w:bidi w:val="0"/>
        <w:adjustRightInd w:val="0"/>
        <w:snapToGrid w:val="0"/>
        <w:spacing w:before="146" w:line="244" w:lineRule="auto"/>
        <w:ind w:left="22" w:right="70" w:firstLine="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10.4.4 工程未经验收或验收不合格，发包人擅自使用的，应在转移占有工程后</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8"/>
          <w:sz w:val="24"/>
          <w:szCs w:val="24"/>
          <w:highlight w:val="none"/>
        </w:rPr>
        <w:t>7</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8"/>
          <w:sz w:val="24"/>
          <w:szCs w:val="24"/>
          <w:highlight w:val="none"/>
        </w:rPr>
        <w:t>天内向承</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1"/>
          <w:sz w:val="24"/>
          <w:szCs w:val="24"/>
          <w:highlight w:val="none"/>
        </w:rPr>
        <w:t>包人颁发工程接收证书；发包人无正当理由逾期不颁发工程接收证书的，</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11"/>
          <w:sz w:val="24"/>
          <w:szCs w:val="24"/>
          <w:highlight w:val="none"/>
        </w:rPr>
        <w:t>自转移占有后第</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15</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7"/>
          <w:sz w:val="24"/>
          <w:szCs w:val="24"/>
          <w:highlight w:val="none"/>
        </w:rPr>
        <w:t>天起视为已颁发工程接收证书。</w:t>
      </w:r>
    </w:p>
    <w:p w14:paraId="2B7D7640">
      <w:pPr>
        <w:pStyle w:val="2"/>
        <w:keepNext w:val="0"/>
        <w:keepLines w:val="0"/>
        <w:pageBreakBefore w:val="0"/>
        <w:widowControl/>
        <w:kinsoku w:val="0"/>
        <w:wordWrap/>
        <w:overflowPunct/>
        <w:topLinePunct w:val="0"/>
        <w:autoSpaceDE w:val="0"/>
        <w:autoSpaceDN w:val="0"/>
        <w:bidi w:val="0"/>
        <w:adjustRightInd w:val="0"/>
        <w:snapToGrid w:val="0"/>
        <w:spacing w:before="144" w:line="239" w:lineRule="auto"/>
        <w:ind w:left="24" w:right="70" w:firstLine="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10.4.5 存在扫尾工作的，工程接收证书中应当将第</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5"/>
          <w:sz w:val="24"/>
          <w:szCs w:val="24"/>
          <w:highlight w:val="none"/>
        </w:rPr>
        <w:t>14.5.3</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5"/>
          <w:sz w:val="24"/>
          <w:szCs w:val="24"/>
          <w:highlight w:val="none"/>
        </w:rPr>
        <w:t>项[扫尾工作清单]中约定的扫尾</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工作清单作为工程接收证书附件。</w:t>
      </w:r>
    </w:p>
    <w:p w14:paraId="6AB33EC7">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10.5 竣工退场</w:t>
      </w:r>
    </w:p>
    <w:p w14:paraId="4BEBA490">
      <w:pPr>
        <w:pStyle w:val="2"/>
        <w:keepNext w:val="0"/>
        <w:keepLines w:val="0"/>
        <w:pageBreakBefore w:val="0"/>
        <w:widowControl/>
        <w:kinsoku w:val="0"/>
        <w:wordWrap/>
        <w:overflowPunct/>
        <w:topLinePunct w:val="0"/>
        <w:autoSpaceDE w:val="0"/>
        <w:autoSpaceDN w:val="0"/>
        <w:bidi w:val="0"/>
        <w:adjustRightInd w:val="0"/>
        <w:snapToGrid w:val="0"/>
        <w:spacing w:before="14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10.5.1 竣工退场</w:t>
      </w:r>
    </w:p>
    <w:p w14:paraId="79EBC827">
      <w:pPr>
        <w:pStyle w:val="2"/>
        <w:keepNext w:val="0"/>
        <w:keepLines w:val="0"/>
        <w:pageBreakBefore w:val="0"/>
        <w:widowControl/>
        <w:kinsoku w:val="0"/>
        <w:wordWrap/>
        <w:overflowPunct/>
        <w:topLinePunct w:val="0"/>
        <w:autoSpaceDE w:val="0"/>
        <w:autoSpaceDN w:val="0"/>
        <w:bidi w:val="0"/>
        <w:adjustRightInd w:val="0"/>
        <w:snapToGrid w:val="0"/>
        <w:spacing w:before="41" w:line="228"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颁发工程接收证书后，承包人应对施工现场进行清理，并撤离相关人员，使得施</w:t>
      </w:r>
      <w:r>
        <w:rPr>
          <w:rFonts w:hint="eastAsia" w:ascii="仿宋" w:hAnsi="仿宋" w:eastAsia="仿宋" w:cs="仿宋"/>
          <w:color w:val="auto"/>
          <w:spacing w:val="7"/>
          <w:sz w:val="24"/>
          <w:szCs w:val="24"/>
          <w:highlight w:val="none"/>
        </w:rPr>
        <w:t>工现</w:t>
      </w:r>
      <w:r>
        <w:rPr>
          <w:rFonts w:hint="eastAsia" w:ascii="仿宋" w:hAnsi="仿宋" w:eastAsia="仿宋" w:cs="仿宋"/>
          <w:color w:val="auto"/>
          <w:spacing w:val="9"/>
          <w:sz w:val="24"/>
          <w:szCs w:val="24"/>
          <w:highlight w:val="none"/>
        </w:rPr>
        <w:t>场处于以下状态，直至工程师检验合格为止：</w:t>
      </w:r>
    </w:p>
    <w:p w14:paraId="6B811E6B">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 施工现场内残留的垃圾已全部清除出场；</w:t>
      </w:r>
    </w:p>
    <w:p w14:paraId="13819D87">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（2）</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8"/>
          <w:sz w:val="24"/>
          <w:szCs w:val="24"/>
          <w:highlight w:val="none"/>
        </w:rPr>
        <w:t>临时工程已拆除，场地已按合同约定进行</w:t>
      </w:r>
      <w:r>
        <w:rPr>
          <w:rFonts w:hint="eastAsia" w:ascii="仿宋" w:hAnsi="仿宋" w:eastAsia="仿宋" w:cs="仿宋"/>
          <w:color w:val="auto"/>
          <w:spacing w:val="7"/>
          <w:sz w:val="24"/>
          <w:szCs w:val="24"/>
          <w:highlight w:val="none"/>
        </w:rPr>
        <w:t>清理、平整或复原；</w:t>
      </w:r>
    </w:p>
    <w:p w14:paraId="66E8850E">
      <w:pPr>
        <w:pStyle w:val="2"/>
        <w:keepNext w:val="0"/>
        <w:keepLines w:val="0"/>
        <w:pageBreakBefore w:val="0"/>
        <w:widowControl/>
        <w:kinsoku w:val="0"/>
        <w:wordWrap/>
        <w:overflowPunct/>
        <w:topLinePunct w:val="0"/>
        <w:autoSpaceDE w:val="0"/>
        <w:autoSpaceDN w:val="0"/>
        <w:bidi w:val="0"/>
        <w:adjustRightInd w:val="0"/>
        <w:snapToGrid w:val="0"/>
        <w:spacing w:before="26" w:line="239" w:lineRule="auto"/>
        <w:ind w:left="21" w:right="160"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按合同约定应撤离的人员、承包人提供的施工设备和剩余的材料，包括废弃的</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8"/>
          <w:sz w:val="24"/>
          <w:szCs w:val="24"/>
          <w:highlight w:val="none"/>
        </w:rPr>
        <w:t>施工设备和材料，已按计划撤离施工现场；</w:t>
      </w:r>
    </w:p>
    <w:p w14:paraId="3CB9932E">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632" w:right="14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 施工现场周边及其附近道路、河道的施工堆积物，已全部清理；</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8"/>
          <w:sz w:val="24"/>
          <w:szCs w:val="24"/>
          <w:highlight w:val="none"/>
        </w:rPr>
        <w:t>（5） 施工现场其他竣工退场工作已全部完成。</w:t>
      </w:r>
    </w:p>
    <w:p w14:paraId="10D12589">
      <w:pPr>
        <w:pStyle w:val="2"/>
        <w:keepNext w:val="0"/>
        <w:keepLines w:val="0"/>
        <w:pageBreakBefore w:val="0"/>
        <w:widowControl/>
        <w:kinsoku w:val="0"/>
        <w:wordWrap/>
        <w:overflowPunct/>
        <w:topLinePunct w:val="0"/>
        <w:autoSpaceDE w:val="0"/>
        <w:autoSpaceDN w:val="0"/>
        <w:bidi w:val="0"/>
        <w:adjustRightInd w:val="0"/>
        <w:snapToGrid w:val="0"/>
        <w:spacing w:before="25" w:line="244" w:lineRule="auto"/>
        <w:ind w:left="23" w:right="160" w:firstLine="598"/>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施工现场的竣工退场费用由承包人承担。承包人应在专用合同条件约定的期限内完成</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竣工退场，逾期未完成的，发包人有权出售或另行处理承包人遗留的物品，由此支出的费用</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由承包人承担，发包人出售承包人遗留物品所得款项在扣除必要费用后应返还承包人。</w:t>
      </w:r>
    </w:p>
    <w:p w14:paraId="0A90F8A8">
      <w:pPr>
        <w:pStyle w:val="2"/>
        <w:keepNext w:val="0"/>
        <w:keepLines w:val="0"/>
        <w:pageBreakBefore w:val="0"/>
        <w:widowControl/>
        <w:kinsoku w:val="0"/>
        <w:wordWrap/>
        <w:overflowPunct/>
        <w:topLinePunct w:val="0"/>
        <w:autoSpaceDE w:val="0"/>
        <w:autoSpaceDN w:val="0"/>
        <w:bidi w:val="0"/>
        <w:adjustRightInd w:val="0"/>
        <w:snapToGrid w:val="0"/>
        <w:spacing w:before="25" w:line="229"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10.5.2 地表还原</w:t>
      </w:r>
    </w:p>
    <w:p w14:paraId="33D5E689">
      <w:pPr>
        <w:pStyle w:val="2"/>
        <w:keepNext w:val="0"/>
        <w:keepLines w:val="0"/>
        <w:pageBreakBefore w:val="0"/>
        <w:widowControl/>
        <w:kinsoku w:val="0"/>
        <w:wordWrap/>
        <w:overflowPunct/>
        <w:topLinePunct w:val="0"/>
        <w:autoSpaceDE w:val="0"/>
        <w:autoSpaceDN w:val="0"/>
        <w:bidi w:val="0"/>
        <w:adjustRightInd w:val="0"/>
        <w:snapToGrid w:val="0"/>
        <w:spacing w:before="143"/>
        <w:ind w:left="23" w:right="160" w:firstLine="5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承包人应按合同约定和工程师的要求恢复临时占地及清理场地，否则发包人有权</w:t>
      </w:r>
      <w:r>
        <w:rPr>
          <w:rFonts w:hint="eastAsia" w:ascii="仿宋" w:hAnsi="仿宋" w:eastAsia="仿宋" w:cs="仿宋"/>
          <w:color w:val="auto"/>
          <w:spacing w:val="7"/>
          <w:sz w:val="24"/>
          <w:szCs w:val="24"/>
          <w:highlight w:val="none"/>
        </w:rPr>
        <w:t>委托</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其他人恢复或清理，所发生的费用由承包人承担。</w:t>
      </w:r>
    </w:p>
    <w:p w14:paraId="08517F74">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10.5.3 人员撤离</w:t>
      </w:r>
    </w:p>
    <w:p w14:paraId="1E4FD8AE">
      <w:pPr>
        <w:pStyle w:val="2"/>
        <w:keepNext w:val="0"/>
        <w:keepLines w:val="0"/>
        <w:pageBreakBefore w:val="0"/>
        <w:widowControl/>
        <w:kinsoku w:val="0"/>
        <w:wordWrap/>
        <w:overflowPunct/>
        <w:topLinePunct w:val="0"/>
        <w:autoSpaceDE w:val="0"/>
        <w:autoSpaceDN w:val="0"/>
        <w:bidi w:val="0"/>
        <w:adjustRightInd w:val="0"/>
        <w:snapToGrid w:val="0"/>
        <w:spacing w:before="147" w:line="245" w:lineRule="auto"/>
        <w:ind w:left="22" w:firstLine="61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除了经工程师同意需在缺陷责任期内继续工作和使用的人员、施工设备和临时工程外，</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承包人应按专用合同条件约定和工程师的要求将其余</w:t>
      </w:r>
      <w:r>
        <w:rPr>
          <w:rFonts w:hint="eastAsia" w:ascii="仿宋" w:hAnsi="仿宋" w:eastAsia="仿宋" w:cs="仿宋"/>
          <w:color w:val="auto"/>
          <w:spacing w:val="6"/>
          <w:sz w:val="24"/>
          <w:szCs w:val="24"/>
          <w:highlight w:val="none"/>
        </w:rPr>
        <w:t xml:space="preserve">的人员、施工设备和临时工程撤离施工  </w:t>
      </w:r>
      <w:r>
        <w:rPr>
          <w:rFonts w:hint="eastAsia" w:ascii="仿宋" w:hAnsi="仿宋" w:eastAsia="仿宋" w:cs="仿宋"/>
          <w:color w:val="auto"/>
          <w:spacing w:val="7"/>
          <w:sz w:val="24"/>
          <w:szCs w:val="24"/>
          <w:highlight w:val="none"/>
        </w:rPr>
        <w:t>现场或拆除。除专用合同条件另有约定外，缺陷责任</w:t>
      </w:r>
      <w:r>
        <w:rPr>
          <w:rFonts w:hint="eastAsia" w:ascii="仿宋" w:hAnsi="仿宋" w:eastAsia="仿宋" w:cs="仿宋"/>
          <w:color w:val="auto"/>
          <w:spacing w:val="6"/>
          <w:sz w:val="24"/>
          <w:szCs w:val="24"/>
          <w:highlight w:val="none"/>
        </w:rPr>
        <w:t xml:space="preserve">期满时，承包人的人员和施工设备应全  </w:t>
      </w:r>
      <w:r>
        <w:rPr>
          <w:rFonts w:hint="eastAsia" w:ascii="仿宋" w:hAnsi="仿宋" w:eastAsia="仿宋" w:cs="仿宋"/>
          <w:color w:val="auto"/>
          <w:spacing w:val="7"/>
          <w:sz w:val="24"/>
          <w:szCs w:val="24"/>
          <w:highlight w:val="none"/>
        </w:rPr>
        <w:t>部撤离施工现场。</w:t>
      </w:r>
    </w:p>
    <w:p w14:paraId="4601D649">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307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第11条 缺陷责任与保修</w:t>
      </w:r>
    </w:p>
    <w:p w14:paraId="5B82B029">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11.1 工程保修的原则</w:t>
      </w:r>
    </w:p>
    <w:p w14:paraId="3A3FAA8C">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23" w:right="101" w:firstLine="5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在工程移交发包人后，因承包人原因产生的质量缺陷，承包人应承担质量缺陷责任和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保修义务。缺陷责任期届满，承包人仍应按合同约定的工程各部位保修年限</w:t>
      </w:r>
      <w:r>
        <w:rPr>
          <w:rFonts w:hint="eastAsia" w:ascii="仿宋" w:hAnsi="仿宋" w:eastAsia="仿宋" w:cs="仿宋"/>
          <w:color w:val="auto"/>
          <w:spacing w:val="8"/>
          <w:sz w:val="24"/>
          <w:szCs w:val="24"/>
          <w:highlight w:val="none"/>
        </w:rPr>
        <w:t>承担保修义务。</w:t>
      </w:r>
    </w:p>
    <w:p w14:paraId="3A0E9230">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11.2 缺陷责任期</w:t>
      </w:r>
    </w:p>
    <w:p w14:paraId="428773A9">
      <w:pPr>
        <w:pStyle w:val="2"/>
        <w:keepNext w:val="0"/>
        <w:keepLines w:val="0"/>
        <w:pageBreakBefore w:val="0"/>
        <w:widowControl/>
        <w:kinsoku w:val="0"/>
        <w:wordWrap/>
        <w:overflowPunct/>
        <w:topLinePunct w:val="0"/>
        <w:autoSpaceDE w:val="0"/>
        <w:autoSpaceDN w:val="0"/>
        <w:bidi w:val="0"/>
        <w:adjustRightInd w:val="0"/>
        <w:snapToGrid w:val="0"/>
        <w:spacing w:before="145"/>
        <w:ind w:left="27" w:right="160" w:firstLine="59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缺陷责任期原则上从工程竣工验收合格之日起计算，合同当事人应在专用合同条</w:t>
      </w:r>
      <w:r>
        <w:rPr>
          <w:rFonts w:hint="eastAsia" w:ascii="仿宋" w:hAnsi="仿宋" w:eastAsia="仿宋" w:cs="仿宋"/>
          <w:color w:val="auto"/>
          <w:spacing w:val="7"/>
          <w:sz w:val="24"/>
          <w:szCs w:val="24"/>
          <w:highlight w:val="none"/>
        </w:rPr>
        <w:t>件约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定缺陷责任期的具体期限，但该期限最长不超过</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7"/>
          <w:sz w:val="24"/>
          <w:szCs w:val="24"/>
          <w:highlight w:val="none"/>
        </w:rPr>
        <w:t>24</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7"/>
          <w:sz w:val="24"/>
          <w:szCs w:val="24"/>
          <w:highlight w:val="none"/>
        </w:rPr>
        <w:t>个月。</w:t>
      </w:r>
    </w:p>
    <w:p w14:paraId="5DF8524D">
      <w:pPr>
        <w:pStyle w:val="2"/>
        <w:keepNext w:val="0"/>
        <w:keepLines w:val="0"/>
        <w:pageBreakBefore w:val="0"/>
        <w:widowControl/>
        <w:kinsoku w:val="0"/>
        <w:wordWrap/>
        <w:overflowPunct/>
        <w:topLinePunct w:val="0"/>
        <w:autoSpaceDE w:val="0"/>
        <w:autoSpaceDN w:val="0"/>
        <w:bidi w:val="0"/>
        <w:adjustRightInd w:val="0"/>
        <w:snapToGrid w:val="0"/>
        <w:spacing w:before="23" w:line="247" w:lineRule="auto"/>
        <w:ind w:left="20" w:right="107" w:firstLine="60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单位/区段工程先于全部工程进行验收，经验收合格并交付使</w:t>
      </w:r>
      <w:r>
        <w:rPr>
          <w:rFonts w:hint="eastAsia" w:ascii="仿宋" w:hAnsi="仿宋" w:eastAsia="仿宋" w:cs="仿宋"/>
          <w:color w:val="auto"/>
          <w:spacing w:val="7"/>
          <w:sz w:val="24"/>
          <w:szCs w:val="24"/>
          <w:highlight w:val="none"/>
        </w:rPr>
        <w:t>用的，该单位/区段工程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缺陷责任期自单位/区段工程验收合格之日起算。因发包人原因导致工程未在合同约定</w:t>
      </w:r>
      <w:r>
        <w:rPr>
          <w:rFonts w:hint="eastAsia" w:ascii="仿宋" w:hAnsi="仿宋" w:eastAsia="仿宋" w:cs="仿宋"/>
          <w:color w:val="auto"/>
          <w:spacing w:val="9"/>
          <w:sz w:val="24"/>
          <w:szCs w:val="24"/>
          <w:highlight w:val="none"/>
        </w:rPr>
        <w:t>期限</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进行验收，但工程经验收合格的，以承包人提交竣工验收报告之日起算；因发包人原因导致</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5"/>
          <w:sz w:val="24"/>
          <w:szCs w:val="24"/>
          <w:highlight w:val="none"/>
        </w:rPr>
        <w:t>工程未能进行竣工验收的，在承包人提交竣工验收报告</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5"/>
          <w:sz w:val="24"/>
          <w:szCs w:val="24"/>
          <w:highlight w:val="none"/>
        </w:rPr>
        <w:t>90</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5"/>
          <w:sz w:val="24"/>
          <w:szCs w:val="24"/>
          <w:highlight w:val="none"/>
        </w:rPr>
        <w:t>天后，工程自动进入缺陷责任期；</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发包人未经竣工验收擅自使用工程的，缺陷责任期自工程转移占有之日起开始计算。</w:t>
      </w:r>
    </w:p>
    <w:p w14:paraId="41638A20">
      <w:pPr>
        <w:pStyle w:val="2"/>
        <w:keepNext w:val="0"/>
        <w:keepLines w:val="0"/>
        <w:pageBreakBefore w:val="0"/>
        <w:widowControl/>
        <w:kinsoku w:val="0"/>
        <w:wordWrap/>
        <w:overflowPunct/>
        <w:topLinePunct w:val="0"/>
        <w:autoSpaceDE w:val="0"/>
        <w:autoSpaceDN w:val="0"/>
        <w:bidi w:val="0"/>
        <w:adjustRightInd w:val="0"/>
        <w:snapToGrid w:val="0"/>
        <w:spacing w:before="25" w:line="244" w:lineRule="auto"/>
        <w:ind w:left="24" w:right="160" w:firstLine="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3"/>
          <w:sz w:val="24"/>
          <w:szCs w:val="24"/>
          <w:highlight w:val="none"/>
        </w:rPr>
        <w:t>由于承包人原因造成某项缺陷或损坏使某项工程或工程设备不能按原定目标使用而</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7"/>
          <w:sz w:val="24"/>
          <w:szCs w:val="24"/>
          <w:highlight w:val="none"/>
        </w:rPr>
        <w:t>需要再次检查、检验和修复的，发包人有权要求承包人延长该项工程或工程设备的缺陷责任</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8"/>
          <w:sz w:val="24"/>
          <w:szCs w:val="24"/>
          <w:highlight w:val="none"/>
        </w:rPr>
        <w:t>期，并应在原缺陷责任期届满前发出延长通知。但缺陷责任期最长不超过</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8"/>
          <w:sz w:val="24"/>
          <w:szCs w:val="24"/>
          <w:highlight w:val="none"/>
        </w:rPr>
        <w:t>24</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8"/>
          <w:sz w:val="24"/>
          <w:szCs w:val="24"/>
          <w:highlight w:val="none"/>
        </w:rPr>
        <w:t>个月。</w:t>
      </w:r>
    </w:p>
    <w:p w14:paraId="0AE17396">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11.3 缺陷调查</w:t>
      </w:r>
    </w:p>
    <w:p w14:paraId="525680DE">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11.3.1 承包人缺陷调查</w:t>
      </w:r>
    </w:p>
    <w:p w14:paraId="6006DB98">
      <w:pPr>
        <w:pStyle w:val="2"/>
        <w:keepNext w:val="0"/>
        <w:keepLines w:val="0"/>
        <w:pageBreakBefore w:val="0"/>
        <w:widowControl/>
        <w:kinsoku w:val="0"/>
        <w:wordWrap/>
        <w:overflowPunct/>
        <w:topLinePunct w:val="0"/>
        <w:autoSpaceDE w:val="0"/>
        <w:autoSpaceDN w:val="0"/>
        <w:bidi w:val="0"/>
        <w:adjustRightInd w:val="0"/>
        <w:snapToGrid w:val="0"/>
        <w:spacing w:before="148" w:line="243" w:lineRule="auto"/>
        <w:ind w:left="22" w:right="130" w:firstLine="60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如果发包人指示承包人调查任何缺陷的原因，承包人应在</w:t>
      </w:r>
      <w:r>
        <w:rPr>
          <w:rFonts w:hint="eastAsia" w:ascii="仿宋" w:hAnsi="仿宋" w:eastAsia="仿宋" w:cs="仿宋"/>
          <w:color w:val="auto"/>
          <w:spacing w:val="8"/>
          <w:sz w:val="24"/>
          <w:szCs w:val="24"/>
          <w:highlight w:val="none"/>
        </w:rPr>
        <w:t>发包人的指导下进行调查。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承包人应在发包人指示中说明的日期或与发包人达成一致的其他日期开展调查。除非该缺陷</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应由承包人负责自费进行修补，承包人有权就调查的成本和利润获得支付。</w:t>
      </w:r>
    </w:p>
    <w:p w14:paraId="61368C88">
      <w:pPr>
        <w:pStyle w:val="2"/>
        <w:keepNext w:val="0"/>
        <w:keepLines w:val="0"/>
        <w:pageBreakBefore w:val="0"/>
        <w:widowControl/>
        <w:kinsoku w:val="0"/>
        <w:wordWrap/>
        <w:overflowPunct/>
        <w:topLinePunct w:val="0"/>
        <w:autoSpaceDE w:val="0"/>
        <w:autoSpaceDN w:val="0"/>
        <w:bidi w:val="0"/>
        <w:adjustRightInd w:val="0"/>
        <w:snapToGrid w:val="0"/>
        <w:spacing w:before="27" w:line="243" w:lineRule="auto"/>
        <w:ind w:left="23" w:right="160" w:firstLine="60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如果承包人未能根据本款开展调查，该调查可由发包人开展。但应将上述</w:t>
      </w:r>
      <w:r>
        <w:rPr>
          <w:rFonts w:hint="eastAsia" w:ascii="仿宋" w:hAnsi="仿宋" w:eastAsia="仿宋" w:cs="仿宋"/>
          <w:color w:val="auto"/>
          <w:spacing w:val="7"/>
          <w:sz w:val="24"/>
          <w:szCs w:val="24"/>
          <w:highlight w:val="none"/>
        </w:rPr>
        <w:t>调查开展的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日期通知承包人，承包人可自费参加调查。如果该缺陷应由承包人自费进行修补，则发包人</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有权要求承包人支付发包人因调查产生的合理费用。</w:t>
      </w:r>
    </w:p>
    <w:p w14:paraId="08ED33D6">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11.3.2 缺陷责任</w:t>
      </w:r>
    </w:p>
    <w:p w14:paraId="77EE88A5">
      <w:pPr>
        <w:pStyle w:val="2"/>
        <w:keepNext w:val="0"/>
        <w:keepLines w:val="0"/>
        <w:pageBreakBefore w:val="0"/>
        <w:widowControl/>
        <w:kinsoku w:val="0"/>
        <w:wordWrap/>
        <w:overflowPunct/>
        <w:topLinePunct w:val="0"/>
        <w:autoSpaceDE w:val="0"/>
        <w:autoSpaceDN w:val="0"/>
        <w:bidi w:val="0"/>
        <w:adjustRightInd w:val="0"/>
        <w:snapToGrid w:val="0"/>
        <w:spacing w:before="143" w:line="247" w:lineRule="auto"/>
        <w:ind w:left="22" w:right="117" w:firstLine="600"/>
        <w:jc w:val="both"/>
        <w:textAlignment w:val="baseline"/>
        <w:outlineLvl w:val="9"/>
        <w:rPr>
          <w:rFonts w:hint="eastAsia" w:ascii="仿宋" w:hAnsi="仿宋" w:eastAsia="仿宋" w:cs="仿宋"/>
          <w:color w:val="auto"/>
          <w:spacing w:val="9"/>
          <w:sz w:val="24"/>
          <w:szCs w:val="24"/>
          <w:highlight w:val="none"/>
        </w:rPr>
      </w:pPr>
      <w:r>
        <w:rPr>
          <w:rFonts w:hint="eastAsia" w:ascii="仿宋" w:hAnsi="仿宋" w:eastAsia="仿宋" w:cs="仿宋"/>
          <w:color w:val="auto"/>
          <w:spacing w:val="8"/>
          <w:sz w:val="24"/>
          <w:szCs w:val="24"/>
          <w:highlight w:val="none"/>
        </w:rPr>
        <w:t>缺陷责任期内，由承包人原因造成的缺陷，承包人应负责维修，并承担鉴定及维</w:t>
      </w:r>
      <w:r>
        <w:rPr>
          <w:rFonts w:hint="eastAsia" w:ascii="仿宋" w:hAnsi="仿宋" w:eastAsia="仿宋" w:cs="仿宋"/>
          <w:color w:val="auto"/>
          <w:spacing w:val="7"/>
          <w:sz w:val="24"/>
          <w:szCs w:val="24"/>
          <w:highlight w:val="none"/>
        </w:rPr>
        <w:t>修费</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用。如承包人不维修也不承担费用，发包人可按合同约定从质量保证金中扣除，费用超出质</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量保证金金额的，发包人可按合同约定向承包人进行索赔。承包人维修并承担相应费用后，</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7"/>
          <w:sz w:val="24"/>
          <w:szCs w:val="24"/>
          <w:highlight w:val="none"/>
        </w:rPr>
        <w:t>不免除对工程的损失赔偿责任。发包人在使用过程中，发现已修补的缺陷部位或部件还存在</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质量缺陷的，承包人应负责修复，直至检验合格为止。</w:t>
      </w:r>
    </w:p>
    <w:p w14:paraId="31D18168">
      <w:pPr>
        <w:pStyle w:val="2"/>
        <w:keepNext w:val="0"/>
        <w:keepLines w:val="0"/>
        <w:pageBreakBefore w:val="0"/>
        <w:widowControl/>
        <w:kinsoku w:val="0"/>
        <w:wordWrap/>
        <w:overflowPunct/>
        <w:topLinePunct w:val="0"/>
        <w:autoSpaceDE w:val="0"/>
        <w:autoSpaceDN w:val="0"/>
        <w:bidi w:val="0"/>
        <w:adjustRightInd w:val="0"/>
        <w:snapToGrid w:val="0"/>
        <w:spacing w:before="41"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11.3.3 修复费用</w:t>
      </w:r>
    </w:p>
    <w:p w14:paraId="72DCA938">
      <w:pPr>
        <w:pStyle w:val="2"/>
        <w:keepNext w:val="0"/>
        <w:keepLines w:val="0"/>
        <w:pageBreakBefore w:val="0"/>
        <w:widowControl/>
        <w:kinsoku w:val="0"/>
        <w:wordWrap/>
        <w:overflowPunct/>
        <w:topLinePunct w:val="0"/>
        <w:autoSpaceDE w:val="0"/>
        <w:autoSpaceDN w:val="0"/>
        <w:bidi w:val="0"/>
        <w:adjustRightInd w:val="0"/>
        <w:snapToGrid w:val="0"/>
        <w:spacing w:before="146" w:line="244" w:lineRule="auto"/>
        <w:ind w:left="22" w:right="70" w:firstLine="60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发包人和承包人应共同查清缺陷或损坏的原因。经查明属承包人原因造成</w:t>
      </w:r>
      <w:r>
        <w:rPr>
          <w:rFonts w:hint="eastAsia" w:ascii="仿宋" w:hAnsi="仿宋" w:eastAsia="仿宋" w:cs="仿宋"/>
          <w:color w:val="auto"/>
          <w:spacing w:val="7"/>
          <w:sz w:val="24"/>
          <w:szCs w:val="24"/>
          <w:highlight w:val="none"/>
        </w:rPr>
        <w:t>的，应由承</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包人承担修复的费用。经查验非承包人原因造成的，发包人应承担修复的费用，并支付承包</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6"/>
          <w:sz w:val="24"/>
          <w:szCs w:val="24"/>
          <w:highlight w:val="none"/>
        </w:rPr>
        <w:t>人合理利润。</w:t>
      </w:r>
    </w:p>
    <w:p w14:paraId="2C5FB931">
      <w:pPr>
        <w:pStyle w:val="2"/>
        <w:keepNext w:val="0"/>
        <w:keepLines w:val="0"/>
        <w:pageBreakBefore w:val="0"/>
        <w:widowControl/>
        <w:kinsoku w:val="0"/>
        <w:wordWrap/>
        <w:overflowPunct/>
        <w:topLinePunct w:val="0"/>
        <w:autoSpaceDE w:val="0"/>
        <w:autoSpaceDN w:val="0"/>
        <w:bidi w:val="0"/>
        <w:adjustRightInd w:val="0"/>
        <w:snapToGrid w:val="0"/>
        <w:spacing w:before="23"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11.3.4 修复通知</w:t>
      </w:r>
    </w:p>
    <w:p w14:paraId="61E6118D">
      <w:pPr>
        <w:pStyle w:val="2"/>
        <w:keepNext w:val="0"/>
        <w:keepLines w:val="0"/>
        <w:pageBreakBefore w:val="0"/>
        <w:widowControl/>
        <w:kinsoku w:val="0"/>
        <w:wordWrap/>
        <w:overflowPunct/>
        <w:topLinePunct w:val="0"/>
        <w:autoSpaceDE w:val="0"/>
        <w:autoSpaceDN w:val="0"/>
        <w:bidi w:val="0"/>
        <w:adjustRightInd w:val="0"/>
        <w:snapToGrid w:val="0"/>
        <w:spacing w:before="147" w:line="245" w:lineRule="auto"/>
        <w:ind w:left="21" w:right="70"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在缺陷责任期内，发包人在使用过程中，发现已接收的工程存在缺陷或损坏的，应书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面通知承包人予以修复，但情况紧急必须立即修复缺陷或损坏的，发包人可以口头通知承包</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人并在口头通知后</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9"/>
          <w:sz w:val="24"/>
          <w:szCs w:val="24"/>
          <w:highlight w:val="none"/>
        </w:rPr>
        <w:t>48</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9"/>
          <w:sz w:val="24"/>
          <w:szCs w:val="24"/>
          <w:highlight w:val="none"/>
        </w:rPr>
        <w:t>小时内书面确认，承包人应在专用合同条件约定的合理期限内到达工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程现场并修复缺陷或损坏。</w:t>
      </w:r>
    </w:p>
    <w:p w14:paraId="16AB3BB4">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11.3.5 在现场外修复</w:t>
      </w:r>
    </w:p>
    <w:p w14:paraId="69CDF1D9">
      <w:pPr>
        <w:pStyle w:val="2"/>
        <w:keepNext w:val="0"/>
        <w:keepLines w:val="0"/>
        <w:pageBreakBefore w:val="0"/>
        <w:widowControl/>
        <w:kinsoku w:val="0"/>
        <w:wordWrap/>
        <w:overflowPunct/>
        <w:topLinePunct w:val="0"/>
        <w:autoSpaceDE w:val="0"/>
        <w:autoSpaceDN w:val="0"/>
        <w:bidi w:val="0"/>
        <w:adjustRightInd w:val="0"/>
        <w:snapToGrid w:val="0"/>
        <w:spacing w:before="145" w:line="245" w:lineRule="auto"/>
        <w:ind w:left="22" w:right="28" w:firstLine="599"/>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在缺陷责任期内，承包人认为设备中的缺陷或损害不能在现场得到迅速修复，承包人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应当向发包人发出通知，请求发包人同意把这些有缺陷或者损害的设备移出现场进行修复，</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7"/>
          <w:sz w:val="24"/>
          <w:szCs w:val="24"/>
          <w:highlight w:val="none"/>
        </w:rPr>
        <w:t>通知应当注明有缺陷或者损害的设备及维修的相关内容，发包人可要求承包人按移出设备的</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全部重置成本增加质量保证金的数额。</w:t>
      </w:r>
    </w:p>
    <w:p w14:paraId="5FBEE771">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11.3.6 未能修复</w:t>
      </w:r>
    </w:p>
    <w:p w14:paraId="3F585160">
      <w:pPr>
        <w:pStyle w:val="2"/>
        <w:keepNext w:val="0"/>
        <w:keepLines w:val="0"/>
        <w:pageBreakBefore w:val="0"/>
        <w:widowControl/>
        <w:kinsoku w:val="0"/>
        <w:wordWrap/>
        <w:overflowPunct/>
        <w:topLinePunct w:val="0"/>
        <w:autoSpaceDE w:val="0"/>
        <w:autoSpaceDN w:val="0"/>
        <w:bidi w:val="0"/>
        <w:adjustRightInd w:val="0"/>
        <w:snapToGrid w:val="0"/>
        <w:spacing w:before="148" w:line="245" w:lineRule="auto"/>
        <w:ind w:left="22" w:right="70" w:firstLine="616"/>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因承包人原因造成工程的缺陷或损坏，承包</w:t>
      </w:r>
      <w:r>
        <w:rPr>
          <w:rFonts w:hint="eastAsia" w:ascii="仿宋" w:hAnsi="仿宋" w:eastAsia="仿宋" w:cs="仿宋"/>
          <w:color w:val="auto"/>
          <w:spacing w:val="7"/>
          <w:sz w:val="24"/>
          <w:szCs w:val="24"/>
          <w:highlight w:val="none"/>
        </w:rPr>
        <w:t>人拒绝维修或未能在合理期限内修复缺陷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或损坏，且经发包人书面催告后仍未修复的，发包人有权自行修复或委托第三方修复，所需</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费用由承包人承担。但修复范围超出缺陷或损坏范围的，超出范围部分的修复费用由发包人</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3"/>
          <w:sz w:val="24"/>
          <w:szCs w:val="24"/>
          <w:highlight w:val="none"/>
        </w:rPr>
        <w:t>承担。</w:t>
      </w:r>
    </w:p>
    <w:p w14:paraId="5870825C">
      <w:pPr>
        <w:pStyle w:val="2"/>
        <w:keepNext w:val="0"/>
        <w:keepLines w:val="0"/>
        <w:pageBreakBefore w:val="0"/>
        <w:widowControl/>
        <w:kinsoku w:val="0"/>
        <w:wordWrap/>
        <w:overflowPunct/>
        <w:topLinePunct w:val="0"/>
        <w:autoSpaceDE w:val="0"/>
        <w:autoSpaceDN w:val="0"/>
        <w:bidi w:val="0"/>
        <w:adjustRightInd w:val="0"/>
        <w:snapToGrid w:val="0"/>
        <w:spacing w:before="25"/>
        <w:ind w:left="21" w:right="70" w:firstLine="60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如果工程或工程设备的缺陷或损害使发包人实质上失去了工程的整体功能</w:t>
      </w:r>
      <w:r>
        <w:rPr>
          <w:rFonts w:hint="eastAsia" w:ascii="仿宋" w:hAnsi="仿宋" w:eastAsia="仿宋" w:cs="仿宋"/>
          <w:color w:val="auto"/>
          <w:spacing w:val="7"/>
          <w:sz w:val="24"/>
          <w:szCs w:val="24"/>
          <w:highlight w:val="none"/>
        </w:rPr>
        <w:t>，发包人有</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权向承包人追回已支付的工程款项，并要求其赔偿发包人相应损失。</w:t>
      </w:r>
    </w:p>
    <w:p w14:paraId="60D74F96">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11.4 缺陷修复后的进一步试验</w:t>
      </w:r>
    </w:p>
    <w:p w14:paraId="0ABF794C">
      <w:pPr>
        <w:pStyle w:val="2"/>
        <w:keepNext w:val="0"/>
        <w:keepLines w:val="0"/>
        <w:pageBreakBefore w:val="0"/>
        <w:widowControl/>
        <w:kinsoku w:val="0"/>
        <w:wordWrap/>
        <w:overflowPunct/>
        <w:topLinePunct w:val="0"/>
        <w:autoSpaceDE w:val="0"/>
        <w:autoSpaceDN w:val="0"/>
        <w:bidi w:val="0"/>
        <w:adjustRightInd w:val="0"/>
        <w:snapToGrid w:val="0"/>
        <w:spacing w:before="148" w:line="246" w:lineRule="auto"/>
        <w:ind w:left="22" w:firstLine="599"/>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任何一项缺陷修补后的</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7"/>
          <w:sz w:val="24"/>
          <w:szCs w:val="24"/>
          <w:highlight w:val="none"/>
        </w:rPr>
        <w:t>天内，承包人应向发包人发出通知</w:t>
      </w:r>
      <w:r>
        <w:rPr>
          <w:rFonts w:hint="eastAsia" w:ascii="仿宋" w:hAnsi="仿宋" w:eastAsia="仿宋" w:cs="仿宋"/>
          <w:color w:val="auto"/>
          <w:spacing w:val="6"/>
          <w:sz w:val="24"/>
          <w:szCs w:val="24"/>
          <w:highlight w:val="none"/>
        </w:rPr>
        <w:t xml:space="preserve">，告知已修补的情况。如 </w:t>
      </w:r>
      <w:r>
        <w:rPr>
          <w:rFonts w:hint="eastAsia" w:ascii="仿宋" w:hAnsi="仿宋" w:eastAsia="仿宋" w:cs="仿宋"/>
          <w:color w:val="auto"/>
          <w:spacing w:val="5"/>
          <w:sz w:val="24"/>
          <w:szCs w:val="24"/>
          <w:highlight w:val="none"/>
        </w:rPr>
        <w:t>根据第</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5"/>
          <w:sz w:val="24"/>
          <w:szCs w:val="24"/>
          <w:highlight w:val="none"/>
        </w:rPr>
        <w:t>9</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5"/>
          <w:sz w:val="24"/>
          <w:szCs w:val="24"/>
          <w:highlight w:val="none"/>
        </w:rPr>
        <w:t>条[竣工试验]或第</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5"/>
          <w:sz w:val="24"/>
          <w:szCs w:val="24"/>
          <w:highlight w:val="none"/>
        </w:rPr>
        <w:t>12</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5"/>
          <w:sz w:val="24"/>
          <w:szCs w:val="24"/>
          <w:highlight w:val="none"/>
        </w:rPr>
        <w:t>条[竣工后试验]的规定适用</w:t>
      </w:r>
      <w:r>
        <w:rPr>
          <w:rFonts w:hint="eastAsia" w:ascii="仿宋" w:hAnsi="仿宋" w:eastAsia="仿宋" w:cs="仿宋"/>
          <w:color w:val="auto"/>
          <w:spacing w:val="4"/>
          <w:sz w:val="24"/>
          <w:szCs w:val="24"/>
          <w:highlight w:val="none"/>
        </w:rPr>
        <w:t>重新试验的，还应建议重新试验。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发包人应在收到重新试验的通知后</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8"/>
          <w:sz w:val="24"/>
          <w:szCs w:val="24"/>
          <w:highlight w:val="none"/>
        </w:rPr>
        <w:t>14</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8"/>
          <w:sz w:val="24"/>
          <w:szCs w:val="24"/>
          <w:highlight w:val="none"/>
        </w:rPr>
        <w:t xml:space="preserve">天内答复，逾期未进行答复的视为同意重新试验。承 </w:t>
      </w:r>
      <w:r>
        <w:rPr>
          <w:rFonts w:hint="eastAsia" w:ascii="仿宋" w:hAnsi="仿宋" w:eastAsia="仿宋" w:cs="仿宋"/>
          <w:color w:val="auto"/>
          <w:spacing w:val="7"/>
          <w:sz w:val="24"/>
          <w:szCs w:val="24"/>
          <w:highlight w:val="none"/>
        </w:rPr>
        <w:t>包人未建议重新试验的，发包人也可在缺陷修补后的</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7"/>
          <w:sz w:val="24"/>
          <w:szCs w:val="24"/>
          <w:highlight w:val="none"/>
        </w:rPr>
        <w:t>14</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7"/>
          <w:sz w:val="24"/>
          <w:szCs w:val="24"/>
          <w:highlight w:val="none"/>
        </w:rPr>
        <w:t>天内指示进行必要的重新试验，</w:t>
      </w:r>
      <w:r>
        <w:rPr>
          <w:rFonts w:hint="eastAsia" w:ascii="仿宋" w:hAnsi="仿宋" w:eastAsia="仿宋" w:cs="仿宋"/>
          <w:color w:val="auto"/>
          <w:spacing w:val="-60"/>
          <w:sz w:val="24"/>
          <w:szCs w:val="24"/>
          <w:highlight w:val="none"/>
        </w:rPr>
        <w:t xml:space="preserve"> </w:t>
      </w:r>
      <w:r>
        <w:rPr>
          <w:rFonts w:hint="eastAsia" w:ascii="仿宋" w:hAnsi="仿宋" w:eastAsia="仿宋" w:cs="仿宋"/>
          <w:color w:val="auto"/>
          <w:spacing w:val="7"/>
          <w:sz w:val="24"/>
          <w:szCs w:val="24"/>
          <w:highlight w:val="none"/>
        </w:rPr>
        <w:t xml:space="preserve">以 </w:t>
      </w:r>
      <w:r>
        <w:rPr>
          <w:rFonts w:hint="eastAsia" w:ascii="仿宋" w:hAnsi="仿宋" w:eastAsia="仿宋" w:cs="仿宋"/>
          <w:color w:val="auto"/>
          <w:spacing w:val="8"/>
          <w:sz w:val="24"/>
          <w:szCs w:val="24"/>
          <w:highlight w:val="none"/>
        </w:rPr>
        <w:t>证明已修复的部分符合合同要求。</w:t>
      </w:r>
    </w:p>
    <w:p w14:paraId="00760D6D">
      <w:pPr>
        <w:pStyle w:val="2"/>
        <w:keepNext w:val="0"/>
        <w:keepLines w:val="0"/>
        <w:pageBreakBefore w:val="0"/>
        <w:widowControl/>
        <w:kinsoku w:val="0"/>
        <w:wordWrap/>
        <w:overflowPunct/>
        <w:topLinePunct w:val="0"/>
        <w:autoSpaceDE w:val="0"/>
        <w:autoSpaceDN w:val="0"/>
        <w:bidi w:val="0"/>
        <w:adjustRightInd w:val="0"/>
        <w:snapToGrid w:val="0"/>
        <w:spacing w:before="27"/>
        <w:ind w:left="23" w:right="70" w:firstLine="5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所有的重复试验应按照适用于先前试验的条款进行，但应由责任方承担修补工作</w:t>
      </w:r>
      <w:r>
        <w:rPr>
          <w:rFonts w:hint="eastAsia" w:ascii="仿宋" w:hAnsi="仿宋" w:eastAsia="仿宋" w:cs="仿宋"/>
          <w:color w:val="auto"/>
          <w:spacing w:val="7"/>
          <w:sz w:val="24"/>
          <w:szCs w:val="24"/>
          <w:highlight w:val="none"/>
        </w:rPr>
        <w:t>的成</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本和重新试验的风险和费用。</w:t>
      </w:r>
    </w:p>
    <w:p w14:paraId="1C0F827A">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11.5 承包人出入权</w:t>
      </w:r>
    </w:p>
    <w:p w14:paraId="28E4A0F2">
      <w:pPr>
        <w:pStyle w:val="2"/>
        <w:keepNext w:val="0"/>
        <w:keepLines w:val="0"/>
        <w:pageBreakBefore w:val="0"/>
        <w:widowControl/>
        <w:kinsoku w:val="0"/>
        <w:wordWrap/>
        <w:overflowPunct/>
        <w:topLinePunct w:val="0"/>
        <w:autoSpaceDE w:val="0"/>
        <w:autoSpaceDN w:val="0"/>
        <w:bidi w:val="0"/>
        <w:adjustRightInd w:val="0"/>
        <w:snapToGrid w:val="0"/>
        <w:spacing w:before="148" w:line="245" w:lineRule="auto"/>
        <w:ind w:left="21" w:right="70"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在缺陷责任期内，为了修复缺陷或损坏，承包人有权出入工程现场，除情况紧急必须</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立即修复缺陷或损坏外，承包人应提前</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9"/>
          <w:sz w:val="24"/>
          <w:szCs w:val="24"/>
          <w:highlight w:val="none"/>
        </w:rPr>
        <w:t>24</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9"/>
          <w:sz w:val="24"/>
          <w:szCs w:val="24"/>
          <w:highlight w:val="none"/>
        </w:rPr>
        <w:t>小时通知发包人进场修复的时间。承包人进入工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程现场前应获得发包人同意，且不应影响发包人正常的生产经营，并应遵守发包人有关安保</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和保密等规定。</w:t>
      </w:r>
    </w:p>
    <w:p w14:paraId="09E9A897">
      <w:pPr>
        <w:pStyle w:val="2"/>
        <w:keepNext w:val="0"/>
        <w:keepLines w:val="0"/>
        <w:pageBreakBefore w:val="0"/>
        <w:widowControl/>
        <w:kinsoku w:val="0"/>
        <w:wordWrap/>
        <w:overflowPunct/>
        <w:topLinePunct w:val="0"/>
        <w:autoSpaceDE w:val="0"/>
        <w:autoSpaceDN w:val="0"/>
        <w:bidi w:val="0"/>
        <w:adjustRightInd w:val="0"/>
        <w:snapToGrid w:val="0"/>
        <w:spacing w:before="24" w:line="227"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11.6 缺陷责任期终止证书</w:t>
      </w:r>
    </w:p>
    <w:p w14:paraId="1A0F5C85">
      <w:pPr>
        <w:pStyle w:val="2"/>
        <w:keepNext w:val="0"/>
        <w:keepLines w:val="0"/>
        <w:pageBreakBefore w:val="0"/>
        <w:widowControl/>
        <w:kinsoku w:val="0"/>
        <w:wordWrap/>
        <w:overflowPunct/>
        <w:topLinePunct w:val="0"/>
        <w:autoSpaceDE w:val="0"/>
        <w:autoSpaceDN w:val="0"/>
        <w:bidi w:val="0"/>
        <w:adjustRightInd w:val="0"/>
        <w:snapToGrid w:val="0"/>
        <w:spacing w:before="147" w:line="247" w:lineRule="auto"/>
        <w:ind w:left="21" w:right="70" w:firstLine="61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除专用合同条件另有约定外，承包人应于缺陷责任期届满前</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天</w:t>
      </w:r>
      <w:r>
        <w:rPr>
          <w:rFonts w:hint="eastAsia" w:ascii="仿宋" w:hAnsi="仿宋" w:eastAsia="仿宋" w:cs="仿宋"/>
          <w:color w:val="auto"/>
          <w:spacing w:val="6"/>
          <w:sz w:val="24"/>
          <w:szCs w:val="24"/>
          <w:highlight w:val="none"/>
        </w:rPr>
        <w:t>内向发包人发出缺陷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责任期即将届满通知，发包人应在收到通知后</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天内核实承包人是否履行缺陷修复义务，承</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包人未能履行缺陷修复义务的，发包人有权扣除相应金额的维修费用。发包人应在缺陷责任</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期届满之日，向承包人颁发缺陷责任期终止证书，并按第</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14.6.3</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8"/>
          <w:sz w:val="24"/>
          <w:szCs w:val="24"/>
          <w:highlight w:val="none"/>
        </w:rPr>
        <w:t>项[质量保证金的返还]返</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还质量保证金。</w:t>
      </w:r>
    </w:p>
    <w:p w14:paraId="13A81C3D">
      <w:pPr>
        <w:pStyle w:val="2"/>
        <w:keepNext w:val="0"/>
        <w:keepLines w:val="0"/>
        <w:pageBreakBefore w:val="0"/>
        <w:widowControl/>
        <w:kinsoku w:val="0"/>
        <w:wordWrap/>
        <w:overflowPunct/>
        <w:topLinePunct w:val="0"/>
        <w:autoSpaceDE w:val="0"/>
        <w:autoSpaceDN w:val="0"/>
        <w:bidi w:val="0"/>
        <w:adjustRightInd w:val="0"/>
        <w:snapToGrid w:val="0"/>
        <w:spacing w:before="23" w:line="244" w:lineRule="auto"/>
        <w:ind w:left="21" w:right="68" w:firstLine="604"/>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如根据第</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9"/>
          <w:sz w:val="24"/>
          <w:szCs w:val="24"/>
          <w:highlight w:val="none"/>
        </w:rPr>
        <w:t>10.5.3</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9"/>
          <w:sz w:val="24"/>
          <w:szCs w:val="24"/>
          <w:highlight w:val="none"/>
        </w:rPr>
        <w:t>项[人员撤离]承包人在施工现场还留</w:t>
      </w:r>
      <w:r>
        <w:rPr>
          <w:rFonts w:hint="eastAsia" w:ascii="仿宋" w:hAnsi="仿宋" w:eastAsia="仿宋" w:cs="仿宋"/>
          <w:color w:val="auto"/>
          <w:spacing w:val="8"/>
          <w:sz w:val="24"/>
          <w:szCs w:val="24"/>
          <w:highlight w:val="none"/>
        </w:rPr>
        <w:t>有人员、施工设备和临时工程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的，承包人应当在收到缺陷责任期终止证书后</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9"/>
          <w:sz w:val="24"/>
          <w:szCs w:val="24"/>
          <w:highlight w:val="none"/>
        </w:rPr>
        <w:t>天内，将上述人员、施工设备和临时工程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撤离施工现场。</w:t>
      </w:r>
    </w:p>
    <w:p w14:paraId="08A783AA">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11.7 保修责任</w:t>
      </w:r>
    </w:p>
    <w:p w14:paraId="42708E09">
      <w:pPr>
        <w:pStyle w:val="2"/>
        <w:keepNext w:val="0"/>
        <w:keepLines w:val="0"/>
        <w:pageBreakBefore w:val="0"/>
        <w:widowControl/>
        <w:kinsoku w:val="0"/>
        <w:wordWrap/>
        <w:overflowPunct/>
        <w:topLinePunct w:val="0"/>
        <w:autoSpaceDE w:val="0"/>
        <w:autoSpaceDN w:val="0"/>
        <w:bidi w:val="0"/>
        <w:adjustRightInd w:val="0"/>
        <w:snapToGrid w:val="0"/>
        <w:spacing w:before="144"/>
        <w:ind w:left="21" w:right="70" w:firstLine="61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因承包人原因导致的质量缺陷责任，由合同</w:t>
      </w:r>
      <w:r>
        <w:rPr>
          <w:rFonts w:hint="eastAsia" w:ascii="仿宋" w:hAnsi="仿宋" w:eastAsia="仿宋" w:cs="仿宋"/>
          <w:color w:val="auto"/>
          <w:spacing w:val="7"/>
          <w:sz w:val="24"/>
          <w:szCs w:val="24"/>
          <w:highlight w:val="none"/>
        </w:rPr>
        <w:t>当事人根据有关法律规定，在专用合同条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件和工程质量保修书中约定工程质量保修范围、期限和责任。</w:t>
      </w:r>
    </w:p>
    <w:p w14:paraId="7D120021">
      <w:pPr>
        <w:pStyle w:val="2"/>
        <w:keepNext w:val="0"/>
        <w:keepLines w:val="0"/>
        <w:pageBreakBefore w:val="0"/>
        <w:widowControl/>
        <w:numPr>
          <w:ilvl w:val="0"/>
          <w:numId w:val="9"/>
        </w:numPr>
        <w:kinsoku w:val="0"/>
        <w:wordWrap/>
        <w:overflowPunct/>
        <w:topLinePunct w:val="0"/>
        <w:autoSpaceDE w:val="0"/>
        <w:autoSpaceDN w:val="0"/>
        <w:bidi w:val="0"/>
        <w:adjustRightInd w:val="0"/>
        <w:snapToGrid w:val="0"/>
        <w:spacing w:before="145" w:line="228" w:lineRule="auto"/>
        <w:ind w:left="3281"/>
        <w:textAlignment w:val="baseline"/>
        <w:outlineLvl w:val="9"/>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竣工后试验</w:t>
      </w:r>
    </w:p>
    <w:p w14:paraId="51CE81BE">
      <w:pPr>
        <w:numPr>
          <w:ilvl w:val="0"/>
          <w:numId w:val="0"/>
        </w:numPr>
        <w:kinsoku w:val="0"/>
        <w:autoSpaceDE w:val="0"/>
        <w:autoSpaceDN w:val="0"/>
        <w:adjustRightInd w:val="0"/>
        <w:snapToGrid w:val="0"/>
        <w:spacing w:line="240" w:lineRule="auto"/>
        <w:jc w:val="left"/>
        <w:textAlignment w:val="baseline"/>
        <w:rPr>
          <w:rFonts w:hint="eastAsia" w:ascii="仿宋" w:hAnsi="仿宋" w:eastAsia="仿宋" w:cs="仿宋"/>
          <w:sz w:val="24"/>
          <w:szCs w:val="24"/>
        </w:rPr>
      </w:pPr>
    </w:p>
    <w:p w14:paraId="781C909B">
      <w:pPr>
        <w:pStyle w:val="2"/>
        <w:keepNext w:val="0"/>
        <w:keepLines w:val="0"/>
        <w:pageBreakBefore w:val="0"/>
        <w:widowControl/>
        <w:kinsoku w:val="0"/>
        <w:wordWrap/>
        <w:overflowPunct/>
        <w:topLinePunct w:val="0"/>
        <w:autoSpaceDE w:val="0"/>
        <w:autoSpaceDN w:val="0"/>
        <w:bidi w:val="0"/>
        <w:adjustRightInd w:val="0"/>
        <w:snapToGrid w:val="0"/>
        <w:spacing w:before="41" w:line="227" w:lineRule="auto"/>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本合同工程包含竣工后试验的，遵守本条约</w:t>
      </w:r>
      <w:r>
        <w:rPr>
          <w:rFonts w:hint="eastAsia" w:ascii="仿宋" w:hAnsi="仿宋" w:eastAsia="仿宋" w:cs="仿宋"/>
          <w:color w:val="auto"/>
          <w:spacing w:val="8"/>
          <w:sz w:val="24"/>
          <w:szCs w:val="24"/>
          <w:highlight w:val="none"/>
        </w:rPr>
        <w:t>定。</w:t>
      </w:r>
    </w:p>
    <w:p w14:paraId="67ADC660">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12.1 竣工后试验的程序</w:t>
      </w:r>
    </w:p>
    <w:p w14:paraId="202CBD06">
      <w:pPr>
        <w:pStyle w:val="2"/>
        <w:keepNext w:val="0"/>
        <w:keepLines w:val="0"/>
        <w:pageBreakBefore w:val="0"/>
        <w:widowControl/>
        <w:kinsoku w:val="0"/>
        <w:wordWrap/>
        <w:overflowPunct/>
        <w:topLinePunct w:val="0"/>
        <w:autoSpaceDE w:val="0"/>
        <w:autoSpaceDN w:val="0"/>
        <w:bidi w:val="0"/>
        <w:adjustRightInd w:val="0"/>
        <w:snapToGrid w:val="0"/>
        <w:spacing w:before="145"/>
        <w:ind w:left="24" w:right="71" w:firstLine="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12.1.1 工程或区段工程被发包人接收后，在合理可行的情况下应根据合</w:t>
      </w:r>
      <w:r>
        <w:rPr>
          <w:rFonts w:hint="eastAsia" w:ascii="仿宋" w:hAnsi="仿宋" w:eastAsia="仿宋" w:cs="仿宋"/>
          <w:color w:val="auto"/>
          <w:spacing w:val="8"/>
          <w:sz w:val="24"/>
          <w:szCs w:val="24"/>
          <w:highlight w:val="none"/>
        </w:rPr>
        <w:t>同约定尽早进行竣</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工后试验。</w:t>
      </w:r>
    </w:p>
    <w:p w14:paraId="4D8BE383">
      <w:pPr>
        <w:pStyle w:val="2"/>
        <w:keepNext w:val="0"/>
        <w:keepLines w:val="0"/>
        <w:pageBreakBefore w:val="0"/>
        <w:widowControl/>
        <w:kinsoku w:val="0"/>
        <w:wordWrap/>
        <w:overflowPunct/>
        <w:topLinePunct w:val="0"/>
        <w:autoSpaceDE w:val="0"/>
        <w:autoSpaceDN w:val="0"/>
        <w:bidi w:val="0"/>
        <w:adjustRightInd w:val="0"/>
        <w:snapToGrid w:val="0"/>
        <w:spacing w:before="142" w:line="244" w:lineRule="auto"/>
        <w:ind w:left="27" w:right="16" w:firstLine="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12.1.2 除专用合同条件另有约定外，发包人应提供全部电力、水、污水</w:t>
      </w:r>
      <w:r>
        <w:rPr>
          <w:rFonts w:hint="eastAsia" w:ascii="仿宋" w:hAnsi="仿宋" w:eastAsia="仿宋" w:cs="仿宋"/>
          <w:color w:val="auto"/>
          <w:spacing w:val="8"/>
          <w:sz w:val="24"/>
          <w:szCs w:val="24"/>
          <w:highlight w:val="none"/>
        </w:rPr>
        <w:t>处理、燃料、消耗</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品和材料，以及全部其他仪器、协助、文件或其</w:t>
      </w:r>
      <w:r>
        <w:rPr>
          <w:rFonts w:hint="eastAsia" w:ascii="仿宋" w:hAnsi="仿宋" w:eastAsia="仿宋" w:cs="仿宋"/>
          <w:color w:val="auto"/>
          <w:spacing w:val="3"/>
          <w:sz w:val="24"/>
          <w:szCs w:val="24"/>
          <w:highlight w:val="none"/>
        </w:rPr>
        <w:t>他信息、设备、工具、劳力，启动工程设备，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并组织安排有适当资质、经验和能力的工作人员实施竣工后试验。</w:t>
      </w:r>
    </w:p>
    <w:p w14:paraId="7021136E">
      <w:pPr>
        <w:pStyle w:val="2"/>
        <w:keepNext w:val="0"/>
        <w:keepLines w:val="0"/>
        <w:pageBreakBefore w:val="0"/>
        <w:widowControl/>
        <w:kinsoku w:val="0"/>
        <w:wordWrap/>
        <w:overflowPunct/>
        <w:topLinePunct w:val="0"/>
        <w:autoSpaceDE w:val="0"/>
        <w:autoSpaceDN w:val="0"/>
        <w:bidi w:val="0"/>
        <w:adjustRightInd w:val="0"/>
        <w:snapToGrid w:val="0"/>
        <w:spacing w:before="147" w:line="243" w:lineRule="auto"/>
        <w:ind w:left="22" w:right="71" w:firstLine="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12.1.3 除《发包人要求》另有约定外，发包人应在合理可行的情况下尽</w:t>
      </w:r>
      <w:r>
        <w:rPr>
          <w:rFonts w:hint="eastAsia" w:ascii="仿宋" w:hAnsi="仿宋" w:eastAsia="仿宋" w:cs="仿宋"/>
          <w:color w:val="auto"/>
          <w:spacing w:val="8"/>
          <w:sz w:val="24"/>
          <w:szCs w:val="24"/>
          <w:highlight w:val="none"/>
        </w:rPr>
        <w:t>快进行每项竣工后</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试验，并至少提前</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8"/>
          <w:sz w:val="24"/>
          <w:szCs w:val="24"/>
          <w:highlight w:val="none"/>
        </w:rPr>
        <w:t>21</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天将该项竣工后试验的内容、地点和时间，</w:t>
      </w:r>
      <w:r>
        <w:rPr>
          <w:rFonts w:hint="eastAsia" w:ascii="仿宋" w:hAnsi="仿宋" w:eastAsia="仿宋" w:cs="仿宋"/>
          <w:color w:val="auto"/>
          <w:spacing w:val="-60"/>
          <w:sz w:val="24"/>
          <w:szCs w:val="24"/>
          <w:highlight w:val="none"/>
        </w:rPr>
        <w:t xml:space="preserve"> </w:t>
      </w:r>
      <w:r>
        <w:rPr>
          <w:rFonts w:hint="eastAsia" w:ascii="仿宋" w:hAnsi="仿宋" w:eastAsia="仿宋" w:cs="仿宋"/>
          <w:color w:val="auto"/>
          <w:spacing w:val="8"/>
          <w:sz w:val="24"/>
          <w:szCs w:val="24"/>
          <w:highlight w:val="none"/>
        </w:rPr>
        <w:t>以及显示其他竣工后试验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拟开展时间的竣工后试验计划通知承包人。</w:t>
      </w:r>
    </w:p>
    <w:p w14:paraId="19D5956F">
      <w:pPr>
        <w:pStyle w:val="2"/>
        <w:keepNext w:val="0"/>
        <w:keepLines w:val="0"/>
        <w:pageBreakBefore w:val="0"/>
        <w:widowControl/>
        <w:kinsoku w:val="0"/>
        <w:wordWrap/>
        <w:overflowPunct/>
        <w:topLinePunct w:val="0"/>
        <w:autoSpaceDE w:val="0"/>
        <w:autoSpaceDN w:val="0"/>
        <w:bidi w:val="0"/>
        <w:adjustRightInd w:val="0"/>
        <w:snapToGrid w:val="0"/>
        <w:spacing w:before="147" w:line="245" w:lineRule="auto"/>
        <w:ind w:left="22" w:right="16" w:firstLine="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12.1.4 发包人应根据《发包人要求》、承</w:t>
      </w:r>
      <w:r>
        <w:rPr>
          <w:rFonts w:hint="eastAsia" w:ascii="仿宋" w:hAnsi="仿宋" w:eastAsia="仿宋" w:cs="仿宋"/>
          <w:color w:val="auto"/>
          <w:spacing w:val="4"/>
          <w:sz w:val="24"/>
          <w:szCs w:val="24"/>
          <w:highlight w:val="none"/>
        </w:rPr>
        <w:t>包人按照第</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4"/>
          <w:sz w:val="24"/>
          <w:szCs w:val="24"/>
          <w:highlight w:val="none"/>
        </w:rPr>
        <w:t>5.5</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4"/>
          <w:sz w:val="24"/>
          <w:szCs w:val="24"/>
          <w:highlight w:val="none"/>
        </w:rPr>
        <w:t>款[操作和维修手册]提交的文件，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以及承包人被要求提供的指导进行竣工后试验。如承包人未在发包人通知的时间和地点参加</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竣工后试验，发包人可自行进行，该试验应被视为是承包人在场的情况下进行的，且承包人</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应视为认可试验数据。</w:t>
      </w:r>
    </w:p>
    <w:p w14:paraId="5EAF6039">
      <w:pPr>
        <w:pStyle w:val="2"/>
        <w:keepNext w:val="0"/>
        <w:keepLines w:val="0"/>
        <w:pageBreakBefore w:val="0"/>
        <w:widowControl/>
        <w:kinsoku w:val="0"/>
        <w:wordWrap/>
        <w:overflowPunct/>
        <w:topLinePunct w:val="0"/>
        <w:autoSpaceDE w:val="0"/>
        <w:autoSpaceDN w:val="0"/>
        <w:bidi w:val="0"/>
        <w:adjustRightInd w:val="0"/>
        <w:snapToGrid w:val="0"/>
        <w:spacing w:before="147"/>
        <w:ind w:left="24" w:right="71" w:firstLine="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12.1.5 竣工后试验的结果应由双方进行整理和评价，并应适当考虑发包</w:t>
      </w:r>
      <w:r>
        <w:rPr>
          <w:rFonts w:hint="eastAsia" w:ascii="仿宋" w:hAnsi="仿宋" w:eastAsia="仿宋" w:cs="仿宋"/>
          <w:color w:val="auto"/>
          <w:spacing w:val="8"/>
          <w:sz w:val="24"/>
          <w:szCs w:val="24"/>
          <w:highlight w:val="none"/>
        </w:rPr>
        <w:t>人对工程或其任何</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部分的使用，对工程或区段工程的性能、特性和试验结果产生的影响。</w:t>
      </w:r>
    </w:p>
    <w:p w14:paraId="080FD393">
      <w:pPr>
        <w:pStyle w:val="2"/>
        <w:keepNext w:val="0"/>
        <w:keepLines w:val="0"/>
        <w:pageBreakBefore w:val="0"/>
        <w:widowControl/>
        <w:kinsoku w:val="0"/>
        <w:wordWrap/>
        <w:overflowPunct/>
        <w:topLinePunct w:val="0"/>
        <w:autoSpaceDE w:val="0"/>
        <w:autoSpaceDN w:val="0"/>
        <w:bidi w:val="0"/>
        <w:adjustRightInd w:val="0"/>
        <w:snapToGrid w:val="0"/>
        <w:spacing w:before="144" w:line="229"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12.2 延误的试验</w:t>
      </w:r>
    </w:p>
    <w:p w14:paraId="28D1A697">
      <w:pPr>
        <w:pStyle w:val="2"/>
        <w:keepNext w:val="0"/>
        <w:keepLines w:val="0"/>
        <w:pageBreakBefore w:val="0"/>
        <w:widowControl/>
        <w:kinsoku w:val="0"/>
        <w:wordWrap/>
        <w:overflowPunct/>
        <w:topLinePunct w:val="0"/>
        <w:autoSpaceDE w:val="0"/>
        <w:autoSpaceDN w:val="0"/>
        <w:bidi w:val="0"/>
        <w:adjustRightInd w:val="0"/>
        <w:snapToGrid w:val="0"/>
        <w:spacing w:before="144"/>
        <w:ind w:left="22" w:right="71" w:firstLine="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12.2.1 如果竣工后试验因发包人原因被延误的，发包人应承担承包人由</w:t>
      </w:r>
      <w:r>
        <w:rPr>
          <w:rFonts w:hint="eastAsia" w:ascii="仿宋" w:hAnsi="仿宋" w:eastAsia="仿宋" w:cs="仿宋"/>
          <w:color w:val="auto"/>
          <w:spacing w:val="8"/>
          <w:sz w:val="24"/>
          <w:szCs w:val="24"/>
          <w:highlight w:val="none"/>
        </w:rPr>
        <w:t>此增加的费用并支</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付承包人合理利润。</w:t>
      </w:r>
    </w:p>
    <w:p w14:paraId="1E500417">
      <w:pPr>
        <w:pStyle w:val="2"/>
        <w:keepNext w:val="0"/>
        <w:keepLines w:val="0"/>
        <w:pageBreakBefore w:val="0"/>
        <w:widowControl/>
        <w:kinsoku w:val="0"/>
        <w:wordWrap/>
        <w:overflowPunct/>
        <w:topLinePunct w:val="0"/>
        <w:autoSpaceDE w:val="0"/>
        <w:autoSpaceDN w:val="0"/>
        <w:bidi w:val="0"/>
        <w:adjustRightInd w:val="0"/>
        <w:snapToGrid w:val="0"/>
        <w:spacing w:before="144"/>
        <w:ind w:left="22" w:right="71" w:firstLine="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12.2.2 如果因承包人以外的原因，导致竣工后试验未能在缺陷责任期或</w:t>
      </w:r>
      <w:r>
        <w:rPr>
          <w:rFonts w:hint="eastAsia" w:ascii="仿宋" w:hAnsi="仿宋" w:eastAsia="仿宋" w:cs="仿宋"/>
          <w:color w:val="auto"/>
          <w:spacing w:val="8"/>
          <w:sz w:val="24"/>
          <w:szCs w:val="24"/>
          <w:highlight w:val="none"/>
        </w:rPr>
        <w:t>双方另行同意的其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他期限内完成，则相关工程或区段工程应视为已通过该竣工后试验。</w:t>
      </w:r>
    </w:p>
    <w:p w14:paraId="2FDF23E6">
      <w:pPr>
        <w:pStyle w:val="2"/>
        <w:keepNext w:val="0"/>
        <w:keepLines w:val="0"/>
        <w:pageBreakBefore w:val="0"/>
        <w:widowControl/>
        <w:kinsoku w:val="0"/>
        <w:wordWrap/>
        <w:overflowPunct/>
        <w:topLinePunct w:val="0"/>
        <w:autoSpaceDE w:val="0"/>
        <w:autoSpaceDN w:val="0"/>
        <w:bidi w:val="0"/>
        <w:adjustRightInd w:val="0"/>
        <w:snapToGrid w:val="0"/>
        <w:spacing w:before="14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12.3 重新试验</w:t>
      </w:r>
    </w:p>
    <w:p w14:paraId="5B9ECE0D">
      <w:pPr>
        <w:pStyle w:val="2"/>
        <w:keepNext w:val="0"/>
        <w:keepLines w:val="0"/>
        <w:pageBreakBefore w:val="0"/>
        <w:widowControl/>
        <w:kinsoku w:val="0"/>
        <w:wordWrap/>
        <w:overflowPunct/>
        <w:topLinePunct w:val="0"/>
        <w:autoSpaceDE w:val="0"/>
        <w:autoSpaceDN w:val="0"/>
        <w:bidi w:val="0"/>
        <w:adjustRightInd w:val="0"/>
        <w:snapToGrid w:val="0"/>
        <w:spacing w:before="148" w:line="245" w:lineRule="auto"/>
        <w:ind w:left="23" w:right="70" w:firstLine="601"/>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如工程或区段工程未能通过竣工后试验，则承包人应根据第</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9"/>
          <w:sz w:val="24"/>
          <w:szCs w:val="24"/>
          <w:highlight w:val="none"/>
        </w:rPr>
        <w:t>11.3</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9"/>
          <w:sz w:val="24"/>
          <w:szCs w:val="24"/>
          <w:highlight w:val="none"/>
        </w:rPr>
        <w:t>款[缺陷调查]的规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定修补缺陷，</w:t>
      </w:r>
      <w:r>
        <w:rPr>
          <w:rFonts w:hint="eastAsia" w:ascii="仿宋" w:hAnsi="仿宋" w:eastAsia="仿宋" w:cs="仿宋"/>
          <w:color w:val="auto"/>
          <w:spacing w:val="-43"/>
          <w:sz w:val="24"/>
          <w:szCs w:val="24"/>
          <w:highlight w:val="none"/>
        </w:rPr>
        <w:t xml:space="preserve"> </w:t>
      </w:r>
      <w:r>
        <w:rPr>
          <w:rFonts w:hint="eastAsia" w:ascii="仿宋" w:hAnsi="仿宋" w:eastAsia="仿宋" w:cs="仿宋"/>
          <w:color w:val="auto"/>
          <w:spacing w:val="7"/>
          <w:sz w:val="24"/>
          <w:szCs w:val="24"/>
          <w:highlight w:val="none"/>
        </w:rPr>
        <w:t>以达到合同约定的要求；并按照第</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7"/>
          <w:sz w:val="24"/>
          <w:szCs w:val="24"/>
          <w:highlight w:val="none"/>
        </w:rPr>
        <w:t>11.4</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7"/>
          <w:sz w:val="24"/>
          <w:szCs w:val="24"/>
          <w:highlight w:val="none"/>
        </w:rPr>
        <w:t>款[缺陷修复后的进一步试验]重新进</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行竣工后试验以及承担风险和费用。如未通过试验和重新试验是承包人原因造成的，则承包</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8"/>
          <w:sz w:val="24"/>
          <w:szCs w:val="24"/>
          <w:highlight w:val="none"/>
        </w:rPr>
        <w:t>人还应承担发包人因此增加的费用。</w:t>
      </w:r>
    </w:p>
    <w:p w14:paraId="502534F4">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12.4 未能通过竣工后试验</w:t>
      </w:r>
    </w:p>
    <w:p w14:paraId="7C767727">
      <w:pPr>
        <w:pStyle w:val="2"/>
        <w:keepNext w:val="0"/>
        <w:keepLines w:val="0"/>
        <w:pageBreakBefore w:val="0"/>
        <w:widowControl/>
        <w:kinsoku w:val="0"/>
        <w:wordWrap/>
        <w:overflowPunct/>
        <w:topLinePunct w:val="0"/>
        <w:autoSpaceDE w:val="0"/>
        <w:autoSpaceDN w:val="0"/>
        <w:bidi w:val="0"/>
        <w:adjustRightInd w:val="0"/>
        <w:snapToGrid w:val="0"/>
        <w:spacing w:before="145" w:line="244" w:lineRule="auto"/>
        <w:ind w:left="26" w:right="70" w:firstLine="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12.4.1 工程或区段工程未能通过竣工后试验，且合同中就该项未通过的</w:t>
      </w:r>
      <w:r>
        <w:rPr>
          <w:rFonts w:hint="eastAsia" w:ascii="仿宋" w:hAnsi="仿宋" w:eastAsia="仿宋" w:cs="仿宋"/>
          <w:color w:val="auto"/>
          <w:spacing w:val="8"/>
          <w:sz w:val="24"/>
          <w:szCs w:val="24"/>
          <w:highlight w:val="none"/>
        </w:rPr>
        <w:t>试验约定了性能损</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害赔偿违约金及其计算方法的，或者就该项未通过的试验另行达成补充协议的，承包人在缺</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9"/>
          <w:sz w:val="24"/>
          <w:szCs w:val="24"/>
          <w:highlight w:val="none"/>
        </w:rPr>
        <w:t>陷责任期内向发包人支付相应违约金或按补充协议履行后，视为通过竣工后试验。</w:t>
      </w:r>
    </w:p>
    <w:p w14:paraId="62C0943F">
      <w:pPr>
        <w:pStyle w:val="2"/>
        <w:keepNext w:val="0"/>
        <w:keepLines w:val="0"/>
        <w:pageBreakBefore w:val="0"/>
        <w:widowControl/>
        <w:kinsoku w:val="0"/>
        <w:wordWrap/>
        <w:overflowPunct/>
        <w:topLinePunct w:val="0"/>
        <w:autoSpaceDE w:val="0"/>
        <w:autoSpaceDN w:val="0"/>
        <w:bidi w:val="0"/>
        <w:adjustRightInd w:val="0"/>
        <w:snapToGrid w:val="0"/>
        <w:spacing w:before="148" w:line="246" w:lineRule="auto"/>
        <w:ind w:left="22" w:firstLine="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12.4.2 对未能通过竣工后试验的工程</w:t>
      </w:r>
      <w:r>
        <w:rPr>
          <w:rFonts w:hint="eastAsia" w:ascii="仿宋" w:hAnsi="仿宋" w:eastAsia="仿宋" w:cs="仿宋"/>
          <w:color w:val="auto"/>
          <w:spacing w:val="7"/>
          <w:sz w:val="24"/>
          <w:szCs w:val="24"/>
          <w:highlight w:val="none"/>
        </w:rPr>
        <w:t>或区段工程，承包人可向发包人建议，</w:t>
      </w:r>
      <w:r>
        <w:rPr>
          <w:rFonts w:hint="eastAsia" w:ascii="仿宋" w:hAnsi="仿宋" w:eastAsia="仿宋" w:cs="仿宋"/>
          <w:color w:val="auto"/>
          <w:spacing w:val="-58"/>
          <w:sz w:val="24"/>
          <w:szCs w:val="24"/>
          <w:highlight w:val="none"/>
        </w:rPr>
        <w:t xml:space="preserve"> </w:t>
      </w:r>
      <w:r>
        <w:rPr>
          <w:rFonts w:hint="eastAsia" w:ascii="仿宋" w:hAnsi="仿宋" w:eastAsia="仿宋" w:cs="仿宋"/>
          <w:color w:val="auto"/>
          <w:spacing w:val="7"/>
          <w:sz w:val="24"/>
          <w:szCs w:val="24"/>
          <w:highlight w:val="none"/>
        </w:rPr>
        <w:t>由承包人对该 工程或区段工程进行调整或修补。发包人收到建议后，可向承包人发出通知，指示其在发</w:t>
      </w:r>
      <w:r>
        <w:rPr>
          <w:rFonts w:hint="eastAsia" w:ascii="仿宋" w:hAnsi="仿宋" w:eastAsia="仿宋" w:cs="仿宋"/>
          <w:color w:val="auto"/>
          <w:spacing w:val="6"/>
          <w:sz w:val="24"/>
          <w:szCs w:val="24"/>
          <w:highlight w:val="none"/>
        </w:rPr>
        <w:t xml:space="preserve">包 </w:t>
      </w:r>
      <w:r>
        <w:rPr>
          <w:rFonts w:hint="eastAsia" w:ascii="仿宋" w:hAnsi="仿宋" w:eastAsia="仿宋" w:cs="仿宋"/>
          <w:color w:val="auto"/>
          <w:spacing w:val="4"/>
          <w:sz w:val="24"/>
          <w:szCs w:val="24"/>
          <w:highlight w:val="none"/>
        </w:rPr>
        <w:t>人方便的合理时间进入工程或区段工程进行调查、调整或修补，并为承包人的进入提供方便。</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7"/>
          <w:sz w:val="24"/>
          <w:szCs w:val="24"/>
          <w:highlight w:val="none"/>
        </w:rPr>
        <w:t>承包人提出建议，但未在缺陷责任期内收到上述发包人通知的，相关工程或区段工程应视</w:t>
      </w:r>
      <w:r>
        <w:rPr>
          <w:rFonts w:hint="eastAsia" w:ascii="仿宋" w:hAnsi="仿宋" w:eastAsia="仿宋" w:cs="仿宋"/>
          <w:color w:val="auto"/>
          <w:spacing w:val="6"/>
          <w:sz w:val="24"/>
          <w:szCs w:val="24"/>
          <w:highlight w:val="none"/>
        </w:rPr>
        <w:t xml:space="preserve">为 </w:t>
      </w:r>
      <w:r>
        <w:rPr>
          <w:rFonts w:hint="eastAsia" w:ascii="仿宋" w:hAnsi="仿宋" w:eastAsia="仿宋" w:cs="仿宋"/>
          <w:color w:val="auto"/>
          <w:spacing w:val="8"/>
          <w:sz w:val="24"/>
          <w:szCs w:val="24"/>
          <w:highlight w:val="none"/>
        </w:rPr>
        <w:t>已通过该竣工后试验。</w:t>
      </w:r>
    </w:p>
    <w:p w14:paraId="5291B9F8">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23" w:right="71" w:firstLine="1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12.4.3 发包人无故拖延给予承包人进行调查、调整或修补所需的进入工</w:t>
      </w:r>
      <w:r>
        <w:rPr>
          <w:rFonts w:hint="eastAsia" w:ascii="仿宋" w:hAnsi="仿宋" w:eastAsia="仿宋" w:cs="仿宋"/>
          <w:color w:val="auto"/>
          <w:spacing w:val="8"/>
          <w:sz w:val="24"/>
          <w:szCs w:val="24"/>
          <w:highlight w:val="none"/>
        </w:rPr>
        <w:t>程或区段工程的许</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可，并造成承包人费用增加的，应承担由此增加的费用并支付承包人合理利润。</w:t>
      </w:r>
    </w:p>
    <w:p w14:paraId="4096FBF7">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328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第13条 变更与调整</w:t>
      </w:r>
    </w:p>
    <w:p w14:paraId="680035AA">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13.1 发包人变更权</w:t>
      </w:r>
    </w:p>
    <w:p w14:paraId="4AA62805">
      <w:pPr>
        <w:pStyle w:val="2"/>
        <w:keepNext w:val="0"/>
        <w:keepLines w:val="0"/>
        <w:pageBreakBefore w:val="0"/>
        <w:widowControl/>
        <w:kinsoku w:val="0"/>
        <w:wordWrap/>
        <w:overflowPunct/>
        <w:topLinePunct w:val="0"/>
        <w:autoSpaceDE w:val="0"/>
        <w:autoSpaceDN w:val="0"/>
        <w:bidi w:val="0"/>
        <w:adjustRightInd w:val="0"/>
        <w:snapToGrid w:val="0"/>
        <w:spacing w:before="143" w:line="247" w:lineRule="auto"/>
        <w:ind w:left="21" w:right="69" w:firstLine="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13.1.1 变更指示应经发包人同意，并由工程师发出</w:t>
      </w:r>
      <w:r>
        <w:rPr>
          <w:rFonts w:hint="eastAsia" w:ascii="仿宋" w:hAnsi="仿宋" w:eastAsia="仿宋" w:cs="仿宋"/>
          <w:color w:val="auto"/>
          <w:spacing w:val="6"/>
          <w:sz w:val="24"/>
          <w:szCs w:val="24"/>
          <w:highlight w:val="none"/>
        </w:rPr>
        <w:t>经发包人签认的变更指示。除第</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6"/>
          <w:sz w:val="24"/>
          <w:szCs w:val="24"/>
          <w:highlight w:val="none"/>
        </w:rPr>
        <w:t>11.3.6</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项[未能修复]约定的情况外，变更不应包括准备将任何工作删减并交由他人或发包人自行实</w:t>
      </w:r>
      <w:r>
        <w:rPr>
          <w:rFonts w:hint="eastAsia" w:ascii="仿宋" w:hAnsi="仿宋" w:eastAsia="仿宋" w:cs="仿宋"/>
          <w:color w:val="auto"/>
          <w:spacing w:val="8"/>
          <w:sz w:val="24"/>
          <w:szCs w:val="24"/>
          <w:highlight w:val="none"/>
        </w:rPr>
        <w:t xml:space="preserve"> </w:t>
      </w:r>
      <w:r>
        <w:rPr>
          <w:rFonts w:hint="eastAsia" w:ascii="仿宋" w:hAnsi="仿宋" w:eastAsia="仿宋" w:cs="仿宋"/>
          <w:color w:val="auto"/>
          <w:spacing w:val="7"/>
          <w:sz w:val="24"/>
          <w:szCs w:val="24"/>
          <w:highlight w:val="none"/>
        </w:rPr>
        <w:t>施的情况。承包人收到变更指示后，方可实施变更。未经许可，承包人不得擅自对工程的任</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何部分进行变更。发包人与承包人对某项指示或批准是否构成变更产生争议的，按第</w:t>
      </w:r>
      <w:r>
        <w:rPr>
          <w:rFonts w:hint="eastAsia" w:ascii="仿宋" w:hAnsi="仿宋" w:eastAsia="仿宋" w:cs="仿宋"/>
          <w:color w:val="auto"/>
          <w:spacing w:val="-26"/>
          <w:sz w:val="24"/>
          <w:szCs w:val="24"/>
          <w:highlight w:val="none"/>
        </w:rPr>
        <w:t xml:space="preserve"> </w:t>
      </w:r>
      <w:r>
        <w:rPr>
          <w:rFonts w:hint="eastAsia" w:ascii="仿宋" w:hAnsi="仿宋" w:eastAsia="仿宋" w:cs="仿宋"/>
          <w:color w:val="auto"/>
          <w:spacing w:val="9"/>
          <w:sz w:val="24"/>
          <w:szCs w:val="24"/>
          <w:highlight w:val="none"/>
        </w:rPr>
        <w:t>20</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9"/>
          <w:sz w:val="24"/>
          <w:szCs w:val="24"/>
          <w:highlight w:val="none"/>
        </w:rPr>
        <w:t>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[争议解决]处理。</w:t>
      </w:r>
    </w:p>
    <w:p w14:paraId="34039C48">
      <w:pPr>
        <w:pStyle w:val="2"/>
        <w:keepNext w:val="0"/>
        <w:keepLines w:val="0"/>
        <w:pageBreakBefore w:val="0"/>
        <w:widowControl/>
        <w:kinsoku w:val="0"/>
        <w:wordWrap/>
        <w:overflowPunct/>
        <w:topLinePunct w:val="0"/>
        <w:autoSpaceDE w:val="0"/>
        <w:autoSpaceDN w:val="0"/>
        <w:bidi w:val="0"/>
        <w:adjustRightInd w:val="0"/>
        <w:snapToGrid w:val="0"/>
        <w:spacing w:before="38" w:line="248" w:lineRule="auto"/>
        <w:ind w:right="15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13.1.2 承包人应按照变更指示执行，除非承包人及时向工程师发出通知</w:t>
      </w:r>
      <w:r>
        <w:rPr>
          <w:rFonts w:hint="eastAsia" w:ascii="仿宋" w:hAnsi="仿宋" w:eastAsia="仿宋" w:cs="仿宋"/>
          <w:color w:val="auto"/>
          <w:spacing w:val="8"/>
          <w:sz w:val="24"/>
          <w:szCs w:val="24"/>
          <w:highlight w:val="none"/>
        </w:rPr>
        <w:t>，说明该项变更指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示将降低工程的安全性、稳定性或适用性；涉及的工作内容和范围不可预见；所涉设备难以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10"/>
          <w:sz w:val="24"/>
          <w:szCs w:val="24"/>
          <w:highlight w:val="none"/>
        </w:rPr>
        <w:t>采购；导致承包人无法执行第</w:t>
      </w:r>
      <w:r>
        <w:rPr>
          <w:rFonts w:hint="eastAsia" w:ascii="仿宋" w:hAnsi="仿宋" w:eastAsia="仿宋" w:cs="仿宋"/>
          <w:color w:val="auto"/>
          <w:spacing w:val="-20"/>
          <w:sz w:val="24"/>
          <w:szCs w:val="24"/>
          <w:highlight w:val="none"/>
        </w:rPr>
        <w:t xml:space="preserve"> </w:t>
      </w:r>
      <w:r>
        <w:rPr>
          <w:rFonts w:hint="eastAsia" w:ascii="仿宋" w:hAnsi="仿宋" w:eastAsia="仿宋" w:cs="仿宋"/>
          <w:color w:val="auto"/>
          <w:spacing w:val="10"/>
          <w:sz w:val="24"/>
          <w:szCs w:val="24"/>
          <w:highlight w:val="none"/>
        </w:rPr>
        <w:t>7.5</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10"/>
          <w:sz w:val="24"/>
          <w:szCs w:val="24"/>
          <w:highlight w:val="none"/>
        </w:rPr>
        <w:t>款[现场劳动用工]、第</w:t>
      </w:r>
      <w:r>
        <w:rPr>
          <w:rFonts w:hint="eastAsia" w:ascii="仿宋" w:hAnsi="仿宋" w:eastAsia="仿宋" w:cs="仿宋"/>
          <w:color w:val="auto"/>
          <w:spacing w:val="-27"/>
          <w:sz w:val="24"/>
          <w:szCs w:val="24"/>
          <w:highlight w:val="none"/>
        </w:rPr>
        <w:t xml:space="preserve"> </w:t>
      </w:r>
      <w:r>
        <w:rPr>
          <w:rFonts w:hint="eastAsia" w:ascii="仿宋" w:hAnsi="仿宋" w:eastAsia="仿宋" w:cs="仿宋"/>
          <w:color w:val="auto"/>
          <w:spacing w:val="10"/>
          <w:sz w:val="24"/>
          <w:szCs w:val="24"/>
          <w:highlight w:val="none"/>
        </w:rPr>
        <w:t>7.6</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10"/>
          <w:sz w:val="24"/>
          <w:szCs w:val="24"/>
          <w:highlight w:val="none"/>
        </w:rPr>
        <w:t>款[安全文明施工]、第</w:t>
      </w:r>
      <w:r>
        <w:rPr>
          <w:rFonts w:hint="eastAsia" w:ascii="仿宋" w:hAnsi="仿宋" w:eastAsia="仿宋" w:cs="仿宋"/>
          <w:color w:val="auto"/>
          <w:spacing w:val="-27"/>
          <w:sz w:val="24"/>
          <w:szCs w:val="24"/>
          <w:highlight w:val="none"/>
        </w:rPr>
        <w:t xml:space="preserve"> </w:t>
      </w:r>
      <w:r>
        <w:rPr>
          <w:rFonts w:hint="eastAsia" w:ascii="仿宋" w:hAnsi="仿宋" w:eastAsia="仿宋" w:cs="仿宋"/>
          <w:color w:val="auto"/>
          <w:spacing w:val="10"/>
          <w:sz w:val="24"/>
          <w:szCs w:val="24"/>
          <w:highlight w:val="none"/>
        </w:rPr>
        <w:t>7.7</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款[职业健康]或第</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8"/>
          <w:sz w:val="24"/>
          <w:szCs w:val="24"/>
          <w:highlight w:val="none"/>
        </w:rPr>
        <w:t>7.8</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8"/>
          <w:sz w:val="24"/>
          <w:szCs w:val="24"/>
          <w:highlight w:val="none"/>
        </w:rPr>
        <w:t>款[环境保护]内容；将造成工期延误；与第</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8"/>
          <w:sz w:val="24"/>
          <w:szCs w:val="24"/>
          <w:highlight w:val="none"/>
        </w:rPr>
        <w:t>4.1</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8"/>
          <w:sz w:val="24"/>
          <w:szCs w:val="24"/>
          <w:highlight w:val="none"/>
        </w:rPr>
        <w:t>款</w:t>
      </w:r>
      <w:r>
        <w:rPr>
          <w:rFonts w:hint="eastAsia" w:ascii="仿宋" w:hAnsi="仿宋" w:eastAsia="仿宋" w:cs="仿宋"/>
          <w:color w:val="auto"/>
          <w:spacing w:val="7"/>
          <w:sz w:val="24"/>
          <w:szCs w:val="24"/>
          <w:highlight w:val="none"/>
        </w:rPr>
        <w:t>[承包人的一般义</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务]相冲突等无法执行的理由。工程师接到承包人的通知后，应作出经发包人签认</w:t>
      </w:r>
      <w:r>
        <w:rPr>
          <w:rFonts w:hint="eastAsia" w:ascii="仿宋" w:hAnsi="仿宋" w:eastAsia="仿宋" w:cs="仿宋"/>
          <w:color w:val="auto"/>
          <w:spacing w:val="9"/>
          <w:sz w:val="24"/>
          <w:szCs w:val="24"/>
          <w:highlight w:val="none"/>
        </w:rPr>
        <w:t>的取消、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确认或改变原指示的书面回复。</w:t>
      </w:r>
    </w:p>
    <w:p w14:paraId="7C408E8C">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13.2 承包人的合理化建议</w:t>
      </w:r>
    </w:p>
    <w:p w14:paraId="59B07B70">
      <w:pPr>
        <w:pStyle w:val="2"/>
        <w:keepNext w:val="0"/>
        <w:keepLines w:val="0"/>
        <w:pageBreakBefore w:val="0"/>
        <w:widowControl/>
        <w:kinsoku w:val="0"/>
        <w:wordWrap/>
        <w:overflowPunct/>
        <w:topLinePunct w:val="0"/>
        <w:autoSpaceDE w:val="0"/>
        <w:autoSpaceDN w:val="0"/>
        <w:bidi w:val="0"/>
        <w:adjustRightInd w:val="0"/>
        <w:snapToGrid w:val="0"/>
        <w:spacing w:before="147" w:line="238" w:lineRule="auto"/>
        <w:ind w:left="46" w:right="157" w:hanging="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13.2.1 承包人提出合理化建议的，应向工程师提交合理化建议说明，说</w:t>
      </w:r>
      <w:r>
        <w:rPr>
          <w:rFonts w:hint="eastAsia" w:ascii="仿宋" w:hAnsi="仿宋" w:eastAsia="仿宋" w:cs="仿宋"/>
          <w:color w:val="auto"/>
          <w:spacing w:val="8"/>
          <w:sz w:val="24"/>
          <w:szCs w:val="24"/>
          <w:highlight w:val="none"/>
        </w:rPr>
        <w:t>明建议的内容、理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由以及实施该建议对合同价格和工期的影响。</w:t>
      </w:r>
    </w:p>
    <w:p w14:paraId="02AC85BA">
      <w:pPr>
        <w:pStyle w:val="2"/>
        <w:keepNext w:val="0"/>
        <w:keepLines w:val="0"/>
        <w:pageBreakBefore w:val="0"/>
        <w:widowControl/>
        <w:kinsoku w:val="0"/>
        <w:wordWrap/>
        <w:overflowPunct/>
        <w:topLinePunct w:val="0"/>
        <w:autoSpaceDE w:val="0"/>
        <w:autoSpaceDN w:val="0"/>
        <w:bidi w:val="0"/>
        <w:adjustRightInd w:val="0"/>
        <w:snapToGrid w:val="0"/>
        <w:spacing w:before="149" w:line="246" w:lineRule="auto"/>
        <w:ind w:left="21" w:right="157" w:firstLine="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13.2.2 除专用合同条件另有约定外，工程师应在收到承包人提交的合理化建议后</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8"/>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天内审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查完毕并报送发包人，发现其中存在技术上的缺陷，应通知承包人修改。发包人应在收到工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程师报送的合理化建议后</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天内审批完毕。合理化建</w:t>
      </w:r>
      <w:r>
        <w:rPr>
          <w:rFonts w:hint="eastAsia" w:ascii="仿宋" w:hAnsi="仿宋" w:eastAsia="仿宋" w:cs="仿宋"/>
          <w:color w:val="auto"/>
          <w:spacing w:val="6"/>
          <w:sz w:val="24"/>
          <w:szCs w:val="24"/>
          <w:highlight w:val="none"/>
        </w:rPr>
        <w:t>议经发包人批准的，工程师应及时发出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变更指示，</w:t>
      </w:r>
      <w:r>
        <w:rPr>
          <w:rFonts w:hint="eastAsia" w:ascii="仿宋" w:hAnsi="仿宋" w:eastAsia="仿宋" w:cs="仿宋"/>
          <w:color w:val="auto"/>
          <w:spacing w:val="-47"/>
          <w:sz w:val="24"/>
          <w:szCs w:val="24"/>
          <w:highlight w:val="none"/>
        </w:rPr>
        <w:t xml:space="preserve"> </w:t>
      </w:r>
      <w:r>
        <w:rPr>
          <w:rFonts w:hint="eastAsia" w:ascii="仿宋" w:hAnsi="仿宋" w:eastAsia="仿宋" w:cs="仿宋"/>
          <w:color w:val="auto"/>
          <w:spacing w:val="7"/>
          <w:sz w:val="24"/>
          <w:szCs w:val="24"/>
          <w:highlight w:val="none"/>
        </w:rPr>
        <w:t>由此引起的合同价格调整按照第</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7"/>
          <w:sz w:val="24"/>
          <w:szCs w:val="24"/>
          <w:highlight w:val="none"/>
        </w:rPr>
        <w:t>13.3.3</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7"/>
          <w:sz w:val="24"/>
          <w:szCs w:val="24"/>
          <w:highlight w:val="none"/>
        </w:rPr>
        <w:t>项[变更估价]约定执行。发包人不同意</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变更的，工程师应书面通知承包人。</w:t>
      </w:r>
    </w:p>
    <w:p w14:paraId="13EA63C3">
      <w:pPr>
        <w:pStyle w:val="2"/>
        <w:keepNext w:val="0"/>
        <w:keepLines w:val="0"/>
        <w:pageBreakBefore w:val="0"/>
        <w:widowControl/>
        <w:kinsoku w:val="0"/>
        <w:wordWrap/>
        <w:overflowPunct/>
        <w:topLinePunct w:val="0"/>
        <w:autoSpaceDE w:val="0"/>
        <w:autoSpaceDN w:val="0"/>
        <w:bidi w:val="0"/>
        <w:adjustRightInd w:val="0"/>
        <w:snapToGrid w:val="0"/>
        <w:spacing w:before="148"/>
        <w:ind w:left="28" w:right="157" w:firstLine="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13.2.3 合理化建议降低了合同价格、缩短了工期或者提高了工程经济效</w:t>
      </w:r>
      <w:r>
        <w:rPr>
          <w:rFonts w:hint="eastAsia" w:ascii="仿宋" w:hAnsi="仿宋" w:eastAsia="仿宋" w:cs="仿宋"/>
          <w:color w:val="auto"/>
          <w:spacing w:val="8"/>
          <w:sz w:val="24"/>
          <w:szCs w:val="24"/>
          <w:highlight w:val="none"/>
        </w:rPr>
        <w:t>益的，双方可以按</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照专用合同条件的约定进行利益分享。</w:t>
      </w:r>
    </w:p>
    <w:p w14:paraId="12CAFFD6">
      <w:pPr>
        <w:pStyle w:val="2"/>
        <w:keepNext w:val="0"/>
        <w:keepLines w:val="0"/>
        <w:pageBreakBefore w:val="0"/>
        <w:widowControl/>
        <w:kinsoku w:val="0"/>
        <w:wordWrap/>
        <w:overflowPunct/>
        <w:topLinePunct w:val="0"/>
        <w:autoSpaceDE w:val="0"/>
        <w:autoSpaceDN w:val="0"/>
        <w:bidi w:val="0"/>
        <w:adjustRightInd w:val="0"/>
        <w:snapToGrid w:val="0"/>
        <w:spacing w:before="14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13.3 变更程序</w:t>
      </w:r>
    </w:p>
    <w:p w14:paraId="1790FE09">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13.3.1 发包人提出变更</w:t>
      </w:r>
    </w:p>
    <w:p w14:paraId="14E508E6">
      <w:pPr>
        <w:pStyle w:val="2"/>
        <w:keepNext w:val="0"/>
        <w:keepLines w:val="0"/>
        <w:pageBreakBefore w:val="0"/>
        <w:widowControl/>
        <w:kinsoku w:val="0"/>
        <w:wordWrap/>
        <w:overflowPunct/>
        <w:topLinePunct w:val="0"/>
        <w:autoSpaceDE w:val="0"/>
        <w:autoSpaceDN w:val="0"/>
        <w:bidi w:val="0"/>
        <w:adjustRightInd w:val="0"/>
        <w:snapToGrid w:val="0"/>
        <w:spacing w:before="146" w:line="239" w:lineRule="auto"/>
        <w:ind w:left="41" w:right="157" w:firstLine="58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发包人提出变更的，应通过工程师向承包人发出书面形式的变更指示，变</w:t>
      </w:r>
      <w:r>
        <w:rPr>
          <w:rFonts w:hint="eastAsia" w:ascii="仿宋" w:hAnsi="仿宋" w:eastAsia="仿宋" w:cs="仿宋"/>
          <w:color w:val="auto"/>
          <w:spacing w:val="7"/>
          <w:sz w:val="24"/>
          <w:szCs w:val="24"/>
          <w:highlight w:val="none"/>
        </w:rPr>
        <w:t>更指示应说</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明计划变更的工程范围和变更的内容。</w:t>
      </w:r>
    </w:p>
    <w:p w14:paraId="17ED8C6A">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13.3.2 变更执行</w:t>
      </w:r>
    </w:p>
    <w:p w14:paraId="377A399F">
      <w:pPr>
        <w:pStyle w:val="2"/>
        <w:keepNext w:val="0"/>
        <w:keepLines w:val="0"/>
        <w:pageBreakBefore w:val="0"/>
        <w:widowControl/>
        <w:kinsoku w:val="0"/>
        <w:wordWrap/>
        <w:overflowPunct/>
        <w:topLinePunct w:val="0"/>
        <w:autoSpaceDE w:val="0"/>
        <w:autoSpaceDN w:val="0"/>
        <w:bidi w:val="0"/>
        <w:adjustRightInd w:val="0"/>
        <w:snapToGrid w:val="0"/>
        <w:spacing w:before="146" w:line="245" w:lineRule="auto"/>
        <w:ind w:left="22" w:right="157"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承包人收到工程师下达的变更指示后，认为不能执行，应在合理期限内提出不能</w:t>
      </w:r>
      <w:r>
        <w:rPr>
          <w:rFonts w:hint="eastAsia" w:ascii="仿宋" w:hAnsi="仿宋" w:eastAsia="仿宋" w:cs="仿宋"/>
          <w:color w:val="auto"/>
          <w:spacing w:val="7"/>
          <w:sz w:val="24"/>
          <w:szCs w:val="24"/>
          <w:highlight w:val="none"/>
        </w:rPr>
        <w:t>执行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该变更指示的理由。承包人认为可以执行变更的，应当书面说明实施该变更指示需要采取的</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具体措施及对合同价格和工期的影响，且合同当事人应当按照第</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13.3.3</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项[变更估价]约定</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确定变更估价。</w:t>
      </w:r>
    </w:p>
    <w:p w14:paraId="42718EC5">
      <w:pPr>
        <w:pStyle w:val="2"/>
        <w:keepNext w:val="0"/>
        <w:keepLines w:val="0"/>
        <w:pageBreakBefore w:val="0"/>
        <w:widowControl/>
        <w:kinsoku w:val="0"/>
        <w:wordWrap/>
        <w:overflowPunct/>
        <w:topLinePunct w:val="0"/>
        <w:autoSpaceDE w:val="0"/>
        <w:autoSpaceDN w:val="0"/>
        <w:bidi w:val="0"/>
        <w:adjustRightInd w:val="0"/>
        <w:snapToGrid w:val="0"/>
        <w:spacing w:before="27" w:line="226"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13.3.3 变更估价</w:t>
      </w:r>
    </w:p>
    <w:p w14:paraId="38077D39">
      <w:pPr>
        <w:pStyle w:val="2"/>
        <w:keepNext w:val="0"/>
        <w:keepLines w:val="0"/>
        <w:pageBreakBefore w:val="0"/>
        <w:widowControl/>
        <w:kinsoku w:val="0"/>
        <w:wordWrap/>
        <w:overflowPunct/>
        <w:topLinePunct w:val="0"/>
        <w:autoSpaceDE w:val="0"/>
        <w:autoSpaceDN w:val="0"/>
        <w:bidi w:val="0"/>
        <w:adjustRightInd w:val="0"/>
        <w:snapToGrid w:val="0"/>
        <w:spacing w:before="146" w:line="226"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"13.3.3.1"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5"/>
          <w:sz w:val="24"/>
          <w:szCs w:val="24"/>
          <w:highlight w:val="none"/>
        </w:rPr>
        <w:t>13.3.3.1</w:t>
      </w:r>
      <w:r>
        <w:rPr>
          <w:rFonts w:hint="eastAsia" w:ascii="仿宋" w:hAnsi="仿宋" w:eastAsia="仿宋" w:cs="仿宋"/>
          <w:color w:val="auto"/>
          <w:spacing w:val="5"/>
          <w:sz w:val="24"/>
          <w:szCs w:val="24"/>
          <w:highlight w:val="none"/>
        </w:rPr>
        <w:fldChar w:fldCharType="end"/>
      </w:r>
      <w:r>
        <w:rPr>
          <w:rFonts w:hint="eastAsia" w:ascii="仿宋" w:hAnsi="仿宋" w:eastAsia="仿宋" w:cs="仿宋"/>
          <w:color w:val="auto"/>
          <w:spacing w:val="5"/>
          <w:sz w:val="24"/>
          <w:szCs w:val="24"/>
          <w:highlight w:val="none"/>
        </w:rPr>
        <w:t xml:space="preserve"> 变更估价原则</w:t>
      </w:r>
    </w:p>
    <w:p w14:paraId="1AF5CD0B">
      <w:pPr>
        <w:pStyle w:val="2"/>
        <w:keepNext w:val="0"/>
        <w:keepLines w:val="0"/>
        <w:pageBreakBefore w:val="0"/>
        <w:widowControl/>
        <w:kinsoku w:val="0"/>
        <w:wordWrap/>
        <w:overflowPunct/>
        <w:topLinePunct w:val="0"/>
        <w:autoSpaceDE w:val="0"/>
        <w:autoSpaceDN w:val="0"/>
        <w:bidi w:val="0"/>
        <w:adjustRightInd w:val="0"/>
        <w:snapToGrid w:val="0"/>
        <w:spacing w:before="149" w:line="226" w:lineRule="auto"/>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除专用合同条件另有约定外，变更估价按照</w:t>
      </w:r>
      <w:r>
        <w:rPr>
          <w:rFonts w:hint="eastAsia" w:ascii="仿宋" w:hAnsi="仿宋" w:eastAsia="仿宋" w:cs="仿宋"/>
          <w:color w:val="auto"/>
          <w:spacing w:val="8"/>
          <w:sz w:val="24"/>
          <w:szCs w:val="24"/>
          <w:highlight w:val="none"/>
        </w:rPr>
        <w:t>本款约定处理：</w:t>
      </w:r>
    </w:p>
    <w:p w14:paraId="1D2F011C">
      <w:pPr>
        <w:pStyle w:val="2"/>
        <w:keepNext w:val="0"/>
        <w:keepLines w:val="0"/>
        <w:pageBreakBefore w:val="0"/>
        <w:widowControl/>
        <w:kinsoku w:val="0"/>
        <w:wordWrap/>
        <w:overflowPunct/>
        <w:topLinePunct w:val="0"/>
        <w:autoSpaceDE w:val="0"/>
        <w:autoSpaceDN w:val="0"/>
        <w:bidi w:val="0"/>
        <w:adjustRightInd w:val="0"/>
        <w:snapToGrid w:val="0"/>
        <w:spacing w:before="29" w:line="238" w:lineRule="auto"/>
        <w:ind w:left="632" w:right="10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w:t>
      </w:r>
      <w:r>
        <w:rPr>
          <w:rFonts w:hint="eastAsia" w:ascii="仿宋" w:hAnsi="仿宋" w:eastAsia="仿宋" w:cs="仿宋"/>
          <w:color w:val="auto"/>
          <w:spacing w:val="-53"/>
          <w:sz w:val="24"/>
          <w:szCs w:val="24"/>
          <w:highlight w:val="none"/>
        </w:rPr>
        <w:t xml:space="preserve"> </w:t>
      </w:r>
      <w:r>
        <w:rPr>
          <w:rFonts w:hint="eastAsia" w:ascii="仿宋" w:hAnsi="仿宋" w:eastAsia="仿宋" w:cs="仿宋"/>
          <w:color w:val="auto"/>
          <w:spacing w:val="5"/>
          <w:sz w:val="24"/>
          <w:szCs w:val="24"/>
          <w:highlight w:val="none"/>
        </w:rPr>
        <w:t>合同中未包含价格清单，合同价格应按照所执行的变更工程的成本加利润调整；</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（2） 合同中包含价格清单，合同价格按照如下规则调整：</w:t>
      </w:r>
    </w:p>
    <w:p w14:paraId="2FA364A4">
      <w:pPr>
        <w:pStyle w:val="2"/>
        <w:keepNext w:val="0"/>
        <w:keepLines w:val="0"/>
        <w:pageBreakBefore w:val="0"/>
        <w:widowControl/>
        <w:kinsoku w:val="0"/>
        <w:wordWrap/>
        <w:overflowPunct/>
        <w:topLinePunct w:val="0"/>
        <w:autoSpaceDE w:val="0"/>
        <w:autoSpaceDN w:val="0"/>
        <w:bidi w:val="0"/>
        <w:adjustRightInd w:val="0"/>
        <w:snapToGrid w:val="0"/>
        <w:spacing w:before="29" w:line="226"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 价格清单中有适用于变更工程项目的，</w:t>
      </w:r>
      <w:r>
        <w:rPr>
          <w:rFonts w:hint="eastAsia" w:ascii="仿宋" w:hAnsi="仿宋" w:eastAsia="仿宋" w:cs="仿宋"/>
          <w:color w:val="auto"/>
          <w:spacing w:val="8"/>
          <w:sz w:val="24"/>
          <w:szCs w:val="24"/>
          <w:highlight w:val="none"/>
        </w:rPr>
        <w:t>应采用该项目的费率和价格；</w:t>
      </w:r>
    </w:p>
    <w:p w14:paraId="23213813">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39" w:right="157" w:firstLine="58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2） 价格清单中没有适用但有类似于变更工程项目的，可</w:t>
      </w:r>
      <w:r>
        <w:rPr>
          <w:rFonts w:hint="eastAsia" w:ascii="仿宋" w:hAnsi="仿宋" w:eastAsia="仿宋" w:cs="仿宋"/>
          <w:color w:val="auto"/>
          <w:spacing w:val="7"/>
          <w:sz w:val="24"/>
          <w:szCs w:val="24"/>
          <w:highlight w:val="none"/>
        </w:rPr>
        <w:t>在合理范围内参照类似项目</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的费率或价格；</w:t>
      </w:r>
    </w:p>
    <w:p w14:paraId="30B24295">
      <w:pPr>
        <w:pStyle w:val="2"/>
        <w:keepNext w:val="0"/>
        <w:keepLines w:val="0"/>
        <w:pageBreakBefore w:val="0"/>
        <w:widowControl/>
        <w:kinsoku w:val="0"/>
        <w:wordWrap/>
        <w:overflowPunct/>
        <w:topLinePunct w:val="0"/>
        <w:autoSpaceDE w:val="0"/>
        <w:autoSpaceDN w:val="0"/>
        <w:bidi w:val="0"/>
        <w:adjustRightInd w:val="0"/>
        <w:snapToGrid w:val="0"/>
        <w:spacing w:before="26" w:line="238" w:lineRule="auto"/>
        <w:ind w:left="27" w:right="157" w:firstLine="5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3） 价格清单中没有适用也没有类似于变更工程项目</w:t>
      </w:r>
      <w:r>
        <w:rPr>
          <w:rFonts w:hint="eastAsia" w:ascii="仿宋" w:hAnsi="仿宋" w:eastAsia="仿宋" w:cs="仿宋"/>
          <w:color w:val="auto"/>
          <w:spacing w:val="7"/>
          <w:sz w:val="24"/>
          <w:szCs w:val="24"/>
          <w:highlight w:val="none"/>
        </w:rPr>
        <w:t>的，该工程项目应按成本加利润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原则调整适用新的费率或价格。</w:t>
      </w:r>
    </w:p>
    <w:p w14:paraId="14066522">
      <w:pPr>
        <w:pStyle w:val="2"/>
        <w:keepNext w:val="0"/>
        <w:keepLines w:val="0"/>
        <w:pageBreakBefore w:val="0"/>
        <w:widowControl/>
        <w:kinsoku w:val="0"/>
        <w:wordWrap/>
        <w:overflowPunct/>
        <w:topLinePunct w:val="0"/>
        <w:autoSpaceDE w:val="0"/>
        <w:autoSpaceDN w:val="0"/>
        <w:bidi w:val="0"/>
        <w:adjustRightInd w:val="0"/>
        <w:snapToGrid w:val="0"/>
        <w:spacing w:before="29" w:line="226"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"13.3.3.2"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5"/>
          <w:sz w:val="24"/>
          <w:szCs w:val="24"/>
          <w:highlight w:val="none"/>
        </w:rPr>
        <w:t>13.3.3.2</w:t>
      </w:r>
      <w:r>
        <w:rPr>
          <w:rFonts w:hint="eastAsia" w:ascii="仿宋" w:hAnsi="仿宋" w:eastAsia="仿宋" w:cs="仿宋"/>
          <w:color w:val="auto"/>
          <w:spacing w:val="5"/>
          <w:sz w:val="24"/>
          <w:szCs w:val="24"/>
          <w:highlight w:val="none"/>
        </w:rPr>
        <w:fldChar w:fldCharType="end"/>
      </w:r>
      <w:r>
        <w:rPr>
          <w:rFonts w:hint="eastAsia" w:ascii="仿宋" w:hAnsi="仿宋" w:eastAsia="仿宋" w:cs="仿宋"/>
          <w:color w:val="auto"/>
          <w:spacing w:val="5"/>
          <w:sz w:val="24"/>
          <w:szCs w:val="24"/>
          <w:highlight w:val="none"/>
        </w:rPr>
        <w:t xml:space="preserve"> 变更估价程序</w:t>
      </w:r>
    </w:p>
    <w:p w14:paraId="734BCF2A">
      <w:pPr>
        <w:pStyle w:val="2"/>
        <w:keepNext w:val="0"/>
        <w:keepLines w:val="0"/>
        <w:pageBreakBefore w:val="0"/>
        <w:widowControl/>
        <w:kinsoku w:val="0"/>
        <w:wordWrap/>
        <w:overflowPunct/>
        <w:topLinePunct w:val="0"/>
        <w:autoSpaceDE w:val="0"/>
        <w:autoSpaceDN w:val="0"/>
        <w:bidi w:val="0"/>
        <w:adjustRightInd w:val="0"/>
        <w:snapToGrid w:val="0"/>
        <w:spacing w:before="148" w:line="245" w:lineRule="auto"/>
        <w:ind w:left="22"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承包人应在收到变更指示后</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8"/>
          <w:sz w:val="24"/>
          <w:szCs w:val="24"/>
          <w:highlight w:val="none"/>
        </w:rPr>
        <w:t>14</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 xml:space="preserve">天内，向工程师提交变更估价申请。工程师应在收到  </w:t>
      </w:r>
      <w:r>
        <w:rPr>
          <w:rFonts w:hint="eastAsia" w:ascii="仿宋" w:hAnsi="仿宋" w:eastAsia="仿宋" w:cs="仿宋"/>
          <w:color w:val="auto"/>
          <w:spacing w:val="5"/>
          <w:sz w:val="24"/>
          <w:szCs w:val="24"/>
          <w:highlight w:val="none"/>
        </w:rPr>
        <w:t>承包人提交的变更估价申请后</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5"/>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5"/>
          <w:sz w:val="24"/>
          <w:szCs w:val="24"/>
          <w:highlight w:val="none"/>
        </w:rPr>
        <w:t>天内审查完毕并报送发包人，工程师对变更估价申请有异议，</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通知承包人修改后重新提交。发包人应在承包人提交变更估价申请后</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8"/>
          <w:sz w:val="24"/>
          <w:szCs w:val="24"/>
          <w:highlight w:val="none"/>
        </w:rPr>
        <w:t>14</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天内审</w:t>
      </w:r>
      <w:r>
        <w:rPr>
          <w:rFonts w:hint="eastAsia" w:ascii="仿宋" w:hAnsi="仿宋" w:eastAsia="仿宋" w:cs="仿宋"/>
          <w:color w:val="auto"/>
          <w:spacing w:val="7"/>
          <w:sz w:val="24"/>
          <w:szCs w:val="24"/>
          <w:highlight w:val="none"/>
        </w:rPr>
        <w:t xml:space="preserve">批完毕。发  </w:t>
      </w:r>
      <w:r>
        <w:rPr>
          <w:rFonts w:hint="eastAsia" w:ascii="仿宋" w:hAnsi="仿宋" w:eastAsia="仿宋" w:cs="仿宋"/>
          <w:color w:val="auto"/>
          <w:spacing w:val="9"/>
          <w:sz w:val="24"/>
          <w:szCs w:val="24"/>
          <w:highlight w:val="none"/>
        </w:rPr>
        <w:t>包人逾期未完成审批或未提出异议的，视为认可承包人提交的变更估价申请。</w:t>
      </w:r>
    </w:p>
    <w:p w14:paraId="53354C00">
      <w:pPr>
        <w:pStyle w:val="2"/>
        <w:keepNext w:val="0"/>
        <w:keepLines w:val="0"/>
        <w:pageBreakBefore w:val="0"/>
        <w:widowControl/>
        <w:kinsoku w:val="0"/>
        <w:wordWrap/>
        <w:overflowPunct/>
        <w:topLinePunct w:val="0"/>
        <w:autoSpaceDE w:val="0"/>
        <w:autoSpaceDN w:val="0"/>
        <w:bidi w:val="0"/>
        <w:adjustRightInd w:val="0"/>
        <w:snapToGrid w:val="0"/>
        <w:spacing w:before="26" w:line="226" w:lineRule="auto"/>
        <w:ind w:left="63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因变更引起的价格调整应计入最近一期的进度款中支付。</w:t>
      </w:r>
    </w:p>
    <w:p w14:paraId="19DEC4E1">
      <w:pPr>
        <w:pStyle w:val="2"/>
        <w:keepNext w:val="0"/>
        <w:keepLines w:val="0"/>
        <w:pageBreakBefore w:val="0"/>
        <w:widowControl/>
        <w:kinsoku w:val="0"/>
        <w:wordWrap/>
        <w:overflowPunct/>
        <w:topLinePunct w:val="0"/>
        <w:autoSpaceDE w:val="0"/>
        <w:autoSpaceDN w:val="0"/>
        <w:bidi w:val="0"/>
        <w:adjustRightInd w:val="0"/>
        <w:snapToGrid w:val="0"/>
        <w:spacing w:before="29"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13.3.4 变更引起的工期调整</w:t>
      </w:r>
    </w:p>
    <w:p w14:paraId="3331D148">
      <w:pPr>
        <w:pStyle w:val="2"/>
        <w:keepNext w:val="0"/>
        <w:keepLines w:val="0"/>
        <w:pageBreakBefore w:val="0"/>
        <w:widowControl/>
        <w:kinsoku w:val="0"/>
        <w:wordWrap/>
        <w:overflowPunct/>
        <w:topLinePunct w:val="0"/>
        <w:autoSpaceDE w:val="0"/>
        <w:autoSpaceDN w:val="0"/>
        <w:bidi w:val="0"/>
        <w:adjustRightInd w:val="0"/>
        <w:snapToGrid w:val="0"/>
        <w:spacing w:before="144"/>
        <w:ind w:left="26" w:right="157" w:firstLine="6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因变更引起工期变化的，合同当事人均可要求调整合同工期，</w:t>
      </w:r>
      <w:r>
        <w:rPr>
          <w:rFonts w:hint="eastAsia" w:ascii="仿宋" w:hAnsi="仿宋" w:eastAsia="仿宋" w:cs="仿宋"/>
          <w:color w:val="auto"/>
          <w:spacing w:val="-54"/>
          <w:sz w:val="24"/>
          <w:szCs w:val="24"/>
          <w:highlight w:val="none"/>
        </w:rPr>
        <w:t xml:space="preserve"> </w:t>
      </w:r>
      <w:r>
        <w:rPr>
          <w:rFonts w:hint="eastAsia" w:ascii="仿宋" w:hAnsi="仿宋" w:eastAsia="仿宋" w:cs="仿宋"/>
          <w:color w:val="auto"/>
          <w:spacing w:val="12"/>
          <w:sz w:val="24"/>
          <w:szCs w:val="24"/>
          <w:highlight w:val="none"/>
        </w:rPr>
        <w:t>由合同当事人按照第</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3.6</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8"/>
          <w:sz w:val="24"/>
          <w:szCs w:val="24"/>
          <w:highlight w:val="none"/>
        </w:rPr>
        <w:t>款[商定或确定]并参考工程所在地的工期定额标准确定增减工期天数。</w:t>
      </w:r>
    </w:p>
    <w:p w14:paraId="4D1A5ABD">
      <w:pPr>
        <w:pStyle w:val="2"/>
        <w:keepNext w:val="0"/>
        <w:keepLines w:val="0"/>
        <w:pageBreakBefore w:val="0"/>
        <w:widowControl/>
        <w:kinsoku w:val="0"/>
        <w:wordWrap/>
        <w:overflowPunct/>
        <w:topLinePunct w:val="0"/>
        <w:autoSpaceDE w:val="0"/>
        <w:autoSpaceDN w:val="0"/>
        <w:bidi w:val="0"/>
        <w:adjustRightInd w:val="0"/>
        <w:snapToGrid w:val="0"/>
        <w:spacing w:before="25" w:line="226"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13.4</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1"/>
          <w:sz w:val="24"/>
          <w:szCs w:val="24"/>
          <w:highlight w:val="none"/>
        </w:rPr>
        <w:t>暂估价</w:t>
      </w:r>
    </w:p>
    <w:p w14:paraId="2FECB9CA">
      <w:pPr>
        <w:keepNext w:val="0"/>
        <w:keepLines w:val="0"/>
        <w:pageBreakBefore w:val="0"/>
        <w:widowControl/>
        <w:kinsoku w:val="0"/>
        <w:wordWrap/>
        <w:overflowPunct/>
        <w:topLinePunct w:val="0"/>
        <w:autoSpaceDE w:val="0"/>
        <w:autoSpaceDN w:val="0"/>
        <w:bidi w:val="0"/>
        <w:adjustRightInd w:val="0"/>
        <w:snapToGrid w:val="0"/>
        <w:spacing w:line="226" w:lineRule="auto"/>
        <w:textAlignment w:val="baseline"/>
        <w:outlineLvl w:val="9"/>
        <w:rPr>
          <w:rFonts w:hint="eastAsia" w:ascii="仿宋" w:hAnsi="仿宋" w:eastAsia="仿宋" w:cs="仿宋"/>
          <w:color w:val="auto"/>
          <w:sz w:val="24"/>
          <w:szCs w:val="24"/>
          <w:highlight w:val="none"/>
        </w:rPr>
        <w:sectPr>
          <w:footerReference r:id="rId36" w:type="default"/>
          <w:pgSz w:w="11906" w:h="16839"/>
          <w:pgMar w:top="1428" w:right="1644" w:bottom="1171" w:left="1785" w:header="0" w:footer="992" w:gutter="0"/>
          <w:pgNumType w:fmt="decimal"/>
          <w:cols w:space="720" w:num="1"/>
        </w:sectPr>
      </w:pPr>
    </w:p>
    <w:p w14:paraId="6F152353">
      <w:pPr>
        <w:pStyle w:val="2"/>
        <w:keepNext w:val="0"/>
        <w:keepLines w:val="0"/>
        <w:pageBreakBefore w:val="0"/>
        <w:widowControl/>
        <w:kinsoku w:val="0"/>
        <w:wordWrap/>
        <w:overflowPunct/>
        <w:topLinePunct w:val="0"/>
        <w:autoSpaceDE w:val="0"/>
        <w:autoSpaceDN w:val="0"/>
        <w:bidi w:val="0"/>
        <w:adjustRightInd w:val="0"/>
        <w:snapToGrid w:val="0"/>
        <w:spacing w:before="41" w:line="226"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13.4.1 依法必须招标的暂估价项目</w:t>
      </w:r>
    </w:p>
    <w:p w14:paraId="36778E61">
      <w:pPr>
        <w:pStyle w:val="2"/>
        <w:keepNext w:val="0"/>
        <w:keepLines w:val="0"/>
        <w:pageBreakBefore w:val="0"/>
        <w:widowControl/>
        <w:kinsoku w:val="0"/>
        <w:wordWrap/>
        <w:overflowPunct/>
        <w:topLinePunct w:val="0"/>
        <w:autoSpaceDE w:val="0"/>
        <w:autoSpaceDN w:val="0"/>
        <w:bidi w:val="0"/>
        <w:adjustRightInd w:val="0"/>
        <w:snapToGrid w:val="0"/>
        <w:spacing w:before="148" w:line="243" w:lineRule="auto"/>
        <w:ind w:left="21" w:right="159"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对于依法必须招标的暂估价项目，专用合同条件约定由承包人作为招标人的，招标文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件、评标方案、评标结果应报送发包人批准。与组织招标工作有关的费用应当被认为已经包</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括在承包人的签约合同价中。</w:t>
      </w:r>
    </w:p>
    <w:p w14:paraId="5BA3CA52">
      <w:pPr>
        <w:pStyle w:val="2"/>
        <w:keepNext w:val="0"/>
        <w:keepLines w:val="0"/>
        <w:pageBreakBefore w:val="0"/>
        <w:widowControl/>
        <w:kinsoku w:val="0"/>
        <w:wordWrap/>
        <w:overflowPunct/>
        <w:topLinePunct w:val="0"/>
        <w:autoSpaceDE w:val="0"/>
        <w:autoSpaceDN w:val="0"/>
        <w:bidi w:val="0"/>
        <w:adjustRightInd w:val="0"/>
        <w:snapToGrid w:val="0"/>
        <w:spacing w:before="26"/>
        <w:ind w:left="23" w:right="160" w:firstLine="42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专用合同条件约定由发包人和承包人共同作为招标人的，与组织招标工作有关的费用在</w:t>
      </w:r>
      <w:r>
        <w:rPr>
          <w:rFonts w:hint="eastAsia" w:ascii="仿宋" w:hAnsi="仿宋" w:eastAsia="仿宋" w:cs="仿宋"/>
          <w:color w:val="auto"/>
          <w:spacing w:val="8"/>
          <w:sz w:val="24"/>
          <w:szCs w:val="24"/>
          <w:highlight w:val="none"/>
        </w:rPr>
        <w:t xml:space="preserve"> </w:t>
      </w:r>
      <w:r>
        <w:rPr>
          <w:rFonts w:hint="eastAsia" w:ascii="仿宋" w:hAnsi="仿宋" w:eastAsia="仿宋" w:cs="仿宋"/>
          <w:color w:val="auto"/>
          <w:spacing w:val="7"/>
          <w:sz w:val="24"/>
          <w:szCs w:val="24"/>
          <w:highlight w:val="none"/>
        </w:rPr>
        <w:t>专用合同条件中约定。</w:t>
      </w:r>
    </w:p>
    <w:p w14:paraId="6D4BF466">
      <w:pPr>
        <w:pStyle w:val="2"/>
        <w:keepNext w:val="0"/>
        <w:keepLines w:val="0"/>
        <w:pageBreakBefore w:val="0"/>
        <w:widowControl/>
        <w:kinsoku w:val="0"/>
        <w:wordWrap/>
        <w:overflowPunct/>
        <w:topLinePunct w:val="0"/>
        <w:autoSpaceDE w:val="0"/>
        <w:autoSpaceDN w:val="0"/>
        <w:bidi w:val="0"/>
        <w:adjustRightInd w:val="0"/>
        <w:snapToGrid w:val="0"/>
        <w:spacing w:before="24" w:line="243" w:lineRule="auto"/>
        <w:ind w:left="23" w:right="159" w:firstLine="60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具体的招标程序以及发包人和承包人权利义务关系可在专用合同条件中</w:t>
      </w:r>
      <w:r>
        <w:rPr>
          <w:rFonts w:hint="eastAsia" w:ascii="仿宋" w:hAnsi="仿宋" w:eastAsia="仿宋" w:cs="仿宋"/>
          <w:color w:val="auto"/>
          <w:spacing w:val="7"/>
          <w:sz w:val="24"/>
          <w:szCs w:val="24"/>
          <w:highlight w:val="none"/>
        </w:rPr>
        <w:t>约定。暂估价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3"/>
          <w:sz w:val="24"/>
          <w:szCs w:val="24"/>
          <w:highlight w:val="none"/>
        </w:rPr>
        <w:t>项目的中标金额与价格清单中所列暂估价的金额差以及相</w:t>
      </w:r>
      <w:r>
        <w:rPr>
          <w:rFonts w:hint="eastAsia" w:ascii="仿宋" w:hAnsi="仿宋" w:eastAsia="仿宋" w:cs="仿宋"/>
          <w:color w:val="auto"/>
          <w:spacing w:val="12"/>
          <w:sz w:val="24"/>
          <w:szCs w:val="24"/>
          <w:highlight w:val="none"/>
        </w:rPr>
        <w:t>应的税金等其他费用应列入合同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价格。</w:t>
      </w:r>
    </w:p>
    <w:p w14:paraId="065A42DD">
      <w:pPr>
        <w:pStyle w:val="2"/>
        <w:keepNext w:val="0"/>
        <w:keepLines w:val="0"/>
        <w:pageBreakBefore w:val="0"/>
        <w:widowControl/>
        <w:kinsoku w:val="0"/>
        <w:wordWrap/>
        <w:overflowPunct/>
        <w:topLinePunct w:val="0"/>
        <w:autoSpaceDE w:val="0"/>
        <w:autoSpaceDN w:val="0"/>
        <w:bidi w:val="0"/>
        <w:adjustRightInd w:val="0"/>
        <w:snapToGrid w:val="0"/>
        <w:spacing w:before="29" w:line="226"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13.4.2 不属于依法必须招标的暂估价项目</w:t>
      </w:r>
    </w:p>
    <w:p w14:paraId="53807BD2">
      <w:pPr>
        <w:pStyle w:val="2"/>
        <w:keepNext w:val="0"/>
        <w:keepLines w:val="0"/>
        <w:pageBreakBefore w:val="0"/>
        <w:widowControl/>
        <w:kinsoku w:val="0"/>
        <w:wordWrap/>
        <w:overflowPunct/>
        <w:topLinePunct w:val="0"/>
        <w:autoSpaceDE w:val="0"/>
        <w:autoSpaceDN w:val="0"/>
        <w:bidi w:val="0"/>
        <w:adjustRightInd w:val="0"/>
        <w:snapToGrid w:val="0"/>
        <w:spacing w:before="145" w:line="245" w:lineRule="auto"/>
        <w:ind w:left="21" w:right="2"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对于不属于依法必须招标的暂估价项目，承包人具备实施</w:t>
      </w:r>
      <w:r>
        <w:rPr>
          <w:rFonts w:hint="eastAsia" w:ascii="仿宋" w:hAnsi="仿宋" w:eastAsia="仿宋" w:cs="仿宋"/>
          <w:color w:val="auto"/>
          <w:spacing w:val="6"/>
          <w:sz w:val="24"/>
          <w:szCs w:val="24"/>
          <w:highlight w:val="none"/>
        </w:rPr>
        <w:t>暂估价项目的资格和条件的，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经发包人和承包人协商一致后，可由承包人自行</w:t>
      </w:r>
      <w:r>
        <w:rPr>
          <w:rFonts w:hint="eastAsia" w:ascii="仿宋" w:hAnsi="仿宋" w:eastAsia="仿宋" w:cs="仿宋"/>
          <w:color w:val="auto"/>
          <w:spacing w:val="6"/>
          <w:sz w:val="24"/>
          <w:szCs w:val="24"/>
          <w:highlight w:val="none"/>
        </w:rPr>
        <w:t xml:space="preserve">实施暂估价项目，具体的协商和估价程序以  </w:t>
      </w:r>
      <w:r>
        <w:rPr>
          <w:rFonts w:hint="eastAsia" w:ascii="仿宋" w:hAnsi="仿宋" w:eastAsia="仿宋" w:cs="仿宋"/>
          <w:color w:val="auto"/>
          <w:spacing w:val="7"/>
          <w:sz w:val="24"/>
          <w:szCs w:val="24"/>
          <w:highlight w:val="none"/>
        </w:rPr>
        <w:t>及发包人和承包人权利义务关系可在专用合同条</w:t>
      </w:r>
      <w:r>
        <w:rPr>
          <w:rFonts w:hint="eastAsia" w:ascii="仿宋" w:hAnsi="仿宋" w:eastAsia="仿宋" w:cs="仿宋"/>
          <w:color w:val="auto"/>
          <w:spacing w:val="6"/>
          <w:sz w:val="24"/>
          <w:szCs w:val="24"/>
          <w:highlight w:val="none"/>
        </w:rPr>
        <w:t xml:space="preserve">件中约定。确定后的暂估价项目金额与价格  </w:t>
      </w:r>
      <w:r>
        <w:rPr>
          <w:rFonts w:hint="eastAsia" w:ascii="仿宋" w:hAnsi="仿宋" w:eastAsia="仿宋" w:cs="仿宋"/>
          <w:color w:val="auto"/>
          <w:spacing w:val="9"/>
          <w:sz w:val="24"/>
          <w:szCs w:val="24"/>
          <w:highlight w:val="none"/>
        </w:rPr>
        <w:t>清单中所列暂估价的金额差以及相应的税金等其他费用应列入合同价格。</w:t>
      </w:r>
    </w:p>
    <w:p w14:paraId="4ABA4636">
      <w:pPr>
        <w:pStyle w:val="2"/>
        <w:keepNext w:val="0"/>
        <w:keepLines w:val="0"/>
        <w:pageBreakBefore w:val="0"/>
        <w:widowControl/>
        <w:kinsoku w:val="0"/>
        <w:wordWrap/>
        <w:overflowPunct/>
        <w:topLinePunct w:val="0"/>
        <w:autoSpaceDE w:val="0"/>
        <w:autoSpaceDN w:val="0"/>
        <w:bidi w:val="0"/>
        <w:adjustRightInd w:val="0"/>
        <w:snapToGrid w:val="0"/>
        <w:spacing w:before="27" w:line="244" w:lineRule="auto"/>
        <w:ind w:left="24" w:right="159" w:firstLine="61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因发包人原因导致暂估价合同订立和履行迟</w:t>
      </w:r>
      <w:r>
        <w:rPr>
          <w:rFonts w:hint="eastAsia" w:ascii="仿宋" w:hAnsi="仿宋" w:eastAsia="仿宋" w:cs="仿宋"/>
          <w:color w:val="auto"/>
          <w:spacing w:val="7"/>
          <w:sz w:val="24"/>
          <w:szCs w:val="24"/>
          <w:highlight w:val="none"/>
        </w:rPr>
        <w:t>延的，由此增加的费用和（或）延误的工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期由发包人承担，并支付承包人合理的利润。因承包人原因导致暂估价合同订立和履行迟延</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7"/>
          <w:sz w:val="24"/>
          <w:szCs w:val="24"/>
          <w:highlight w:val="none"/>
        </w:rPr>
        <w:t>的，</w:t>
      </w:r>
      <w:r>
        <w:rPr>
          <w:rFonts w:hint="eastAsia" w:ascii="仿宋" w:hAnsi="仿宋" w:eastAsia="仿宋" w:cs="仿宋"/>
          <w:color w:val="auto"/>
          <w:spacing w:val="-50"/>
          <w:sz w:val="24"/>
          <w:szCs w:val="24"/>
          <w:highlight w:val="none"/>
        </w:rPr>
        <w:t xml:space="preserve"> </w:t>
      </w:r>
      <w:r>
        <w:rPr>
          <w:rFonts w:hint="eastAsia" w:ascii="仿宋" w:hAnsi="仿宋" w:eastAsia="仿宋" w:cs="仿宋"/>
          <w:color w:val="auto"/>
          <w:spacing w:val="7"/>
          <w:sz w:val="24"/>
          <w:szCs w:val="24"/>
          <w:highlight w:val="none"/>
        </w:rPr>
        <w:t>由此增加的费用和（或）延误的工期由承包人承担。</w:t>
      </w:r>
    </w:p>
    <w:p w14:paraId="6E6FC39B">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13.5</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2"/>
          <w:sz w:val="24"/>
          <w:szCs w:val="24"/>
          <w:highlight w:val="none"/>
        </w:rPr>
        <w:t>暂列金额</w:t>
      </w:r>
    </w:p>
    <w:p w14:paraId="60692835">
      <w:pPr>
        <w:pStyle w:val="2"/>
        <w:keepNext w:val="0"/>
        <w:keepLines w:val="0"/>
        <w:pageBreakBefore w:val="0"/>
        <w:widowControl/>
        <w:kinsoku w:val="0"/>
        <w:wordWrap/>
        <w:overflowPunct/>
        <w:topLinePunct w:val="0"/>
        <w:autoSpaceDE w:val="0"/>
        <w:autoSpaceDN w:val="0"/>
        <w:bidi w:val="0"/>
        <w:adjustRightInd w:val="0"/>
        <w:snapToGrid w:val="0"/>
        <w:spacing w:before="147" w:line="243" w:lineRule="auto"/>
        <w:ind w:left="25"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除专用合同条件另有约定外，每一笔暂列金额只能按照发包人的指示全部或部分使用，</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并对合同价格进行相应调整。付给承包人的</w:t>
      </w:r>
      <w:r>
        <w:rPr>
          <w:rFonts w:hint="eastAsia" w:ascii="仿宋" w:hAnsi="仿宋" w:eastAsia="仿宋" w:cs="仿宋"/>
          <w:color w:val="auto"/>
          <w:spacing w:val="6"/>
          <w:sz w:val="24"/>
          <w:szCs w:val="24"/>
          <w:highlight w:val="none"/>
        </w:rPr>
        <w:t xml:space="preserve">总金额应仅包括发包人已指示的，与暂列金额相  </w:t>
      </w:r>
      <w:r>
        <w:rPr>
          <w:rFonts w:hint="eastAsia" w:ascii="仿宋" w:hAnsi="仿宋" w:eastAsia="仿宋" w:cs="仿宋"/>
          <w:color w:val="auto"/>
          <w:spacing w:val="8"/>
          <w:sz w:val="24"/>
          <w:szCs w:val="24"/>
          <w:highlight w:val="none"/>
        </w:rPr>
        <w:t>关的工作、货物或服务的应付款项。</w:t>
      </w:r>
    </w:p>
    <w:p w14:paraId="2A7FE5AB">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对于每笔暂列金额，发包人可以指示用于下列支付：</w:t>
      </w:r>
    </w:p>
    <w:p w14:paraId="4C9C1118">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21" w:right="160"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 发包人根据第</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9"/>
          <w:sz w:val="24"/>
          <w:szCs w:val="24"/>
          <w:highlight w:val="none"/>
        </w:rPr>
        <w:t>13.1</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9"/>
          <w:sz w:val="24"/>
          <w:szCs w:val="24"/>
          <w:highlight w:val="none"/>
        </w:rPr>
        <w:t>款[发包人变更权]</w:t>
      </w:r>
      <w:r>
        <w:rPr>
          <w:rFonts w:hint="eastAsia" w:ascii="仿宋" w:hAnsi="仿宋" w:eastAsia="仿宋" w:cs="仿宋"/>
          <w:color w:val="auto"/>
          <w:spacing w:val="8"/>
          <w:sz w:val="24"/>
          <w:szCs w:val="24"/>
          <w:highlight w:val="none"/>
        </w:rPr>
        <w:t>指示变更，决定对合同价格和付款计划</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表（如有）进行调整的、由承包人实施的工作（包括要提供的</w:t>
      </w:r>
      <w:r>
        <w:rPr>
          <w:rFonts w:hint="eastAsia" w:ascii="仿宋" w:hAnsi="仿宋" w:eastAsia="仿宋" w:cs="仿宋"/>
          <w:color w:val="auto"/>
          <w:spacing w:val="9"/>
          <w:sz w:val="24"/>
          <w:szCs w:val="24"/>
          <w:highlight w:val="none"/>
        </w:rPr>
        <w:t>工程设备、材料和服务</w:t>
      </w:r>
      <w:r>
        <w:rPr>
          <w:rFonts w:hint="eastAsia" w:ascii="仿宋" w:hAnsi="仿宋" w:eastAsia="仿宋" w:cs="仿宋"/>
          <w:color w:val="auto"/>
          <w:sz w:val="24"/>
          <w:szCs w:val="24"/>
          <w:highlight w:val="none"/>
        </w:rPr>
        <w:t>）；</w:t>
      </w:r>
    </w:p>
    <w:p w14:paraId="09355216">
      <w:pPr>
        <w:pStyle w:val="2"/>
        <w:keepNext w:val="0"/>
        <w:keepLines w:val="0"/>
        <w:pageBreakBefore w:val="0"/>
        <w:widowControl/>
        <w:kinsoku w:val="0"/>
        <w:wordWrap/>
        <w:overflowPunct/>
        <w:topLinePunct w:val="0"/>
        <w:autoSpaceDE w:val="0"/>
        <w:autoSpaceDN w:val="0"/>
        <w:bidi w:val="0"/>
        <w:adjustRightInd w:val="0"/>
        <w:snapToGrid w:val="0"/>
        <w:spacing w:before="27" w:line="243" w:lineRule="auto"/>
        <w:ind w:left="27" w:right="72" w:firstLine="60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（2） 承包人购买的工程设备、材料、工作或服务，应支付包括承包人已付（或应付）</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7"/>
          <w:sz w:val="24"/>
          <w:szCs w:val="24"/>
          <w:highlight w:val="none"/>
        </w:rPr>
        <w:t>的实际金额以及相应的管理费等费用和利润（管理费和利润应以实际金额为基数根据合同约</w:t>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7"/>
          <w:sz w:val="24"/>
          <w:szCs w:val="24"/>
          <w:highlight w:val="none"/>
        </w:rPr>
        <w:t>定的费率（如有）或百分比计算）。</w:t>
      </w:r>
    </w:p>
    <w:p w14:paraId="6889553B">
      <w:pPr>
        <w:pStyle w:val="2"/>
        <w:keepNext w:val="0"/>
        <w:keepLines w:val="0"/>
        <w:pageBreakBefore w:val="0"/>
        <w:widowControl/>
        <w:kinsoku w:val="0"/>
        <w:wordWrap/>
        <w:overflowPunct/>
        <w:topLinePunct w:val="0"/>
        <w:autoSpaceDE w:val="0"/>
        <w:autoSpaceDN w:val="0"/>
        <w:bidi w:val="0"/>
        <w:adjustRightInd w:val="0"/>
        <w:snapToGrid w:val="0"/>
        <w:spacing w:before="28" w:line="245" w:lineRule="auto"/>
        <w:ind w:left="22" w:right="159" w:firstLine="60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发包人根据上述(1)和（或）(2)指示支付暂列金额的，可以要求承包人提交其供应商</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7"/>
          <w:sz w:val="24"/>
          <w:szCs w:val="24"/>
          <w:highlight w:val="none"/>
        </w:rPr>
        <w:t>提供的全部或部分要实施的工程或拟购买的工程设备、材料、工作或服务的项目报价单。发</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包人可以发出通知指示承包人接受其中的一个报价或指示撤销支付，发包人在收到项目报价</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单的</w:t>
      </w:r>
      <w:r>
        <w:rPr>
          <w:rFonts w:hint="eastAsia" w:ascii="仿宋" w:hAnsi="仿宋" w:eastAsia="仿宋" w:cs="仿宋"/>
          <w:color w:val="auto"/>
          <w:spacing w:val="-27"/>
          <w:sz w:val="24"/>
          <w:szCs w:val="24"/>
          <w:highlight w:val="none"/>
        </w:rPr>
        <w:t xml:space="preserve"> </w:t>
      </w:r>
      <w:r>
        <w:rPr>
          <w:rFonts w:hint="eastAsia" w:ascii="仿宋" w:hAnsi="仿宋" w:eastAsia="仿宋" w:cs="仿宋"/>
          <w:color w:val="auto"/>
          <w:spacing w:val="8"/>
          <w:sz w:val="24"/>
          <w:szCs w:val="24"/>
          <w:highlight w:val="none"/>
        </w:rPr>
        <w:t>7</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8"/>
          <w:sz w:val="24"/>
          <w:szCs w:val="24"/>
          <w:highlight w:val="none"/>
        </w:rPr>
        <w:t>天内未作回应的，承包人应有权自行接受其中任何一个报价。</w:t>
      </w:r>
    </w:p>
    <w:p w14:paraId="284FEC7A">
      <w:pPr>
        <w:pStyle w:val="2"/>
        <w:keepNext w:val="0"/>
        <w:keepLines w:val="0"/>
        <w:pageBreakBefore w:val="0"/>
        <w:widowControl/>
        <w:kinsoku w:val="0"/>
        <w:wordWrap/>
        <w:overflowPunct/>
        <w:topLinePunct w:val="0"/>
        <w:autoSpaceDE w:val="0"/>
        <w:autoSpaceDN w:val="0"/>
        <w:bidi w:val="0"/>
        <w:adjustRightInd w:val="0"/>
        <w:snapToGrid w:val="0"/>
        <w:spacing w:before="27"/>
        <w:ind w:left="24" w:right="159" w:firstLine="59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每份包含暂列金额的文件还应包括用以证明暂列金额的所有有效的发票、凭证和</w:t>
      </w:r>
      <w:r>
        <w:rPr>
          <w:rFonts w:hint="eastAsia" w:ascii="仿宋" w:hAnsi="仿宋" w:eastAsia="仿宋" w:cs="仿宋"/>
          <w:color w:val="auto"/>
          <w:spacing w:val="7"/>
          <w:sz w:val="24"/>
          <w:szCs w:val="24"/>
          <w:highlight w:val="none"/>
        </w:rPr>
        <w:t>账户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或收据。</w:t>
      </w:r>
    </w:p>
    <w:p w14:paraId="6E7B097C">
      <w:pPr>
        <w:pStyle w:val="2"/>
        <w:keepNext w:val="0"/>
        <w:keepLines w:val="0"/>
        <w:pageBreakBefore w:val="0"/>
        <w:widowControl/>
        <w:kinsoku w:val="0"/>
        <w:wordWrap/>
        <w:overflowPunct/>
        <w:topLinePunct w:val="0"/>
        <w:autoSpaceDE w:val="0"/>
        <w:autoSpaceDN w:val="0"/>
        <w:bidi w:val="0"/>
        <w:adjustRightInd w:val="0"/>
        <w:snapToGrid w:val="0"/>
        <w:spacing w:before="25" w:line="229"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13.6</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2"/>
          <w:sz w:val="24"/>
          <w:szCs w:val="24"/>
          <w:highlight w:val="none"/>
        </w:rPr>
        <w:t>计日工</w:t>
      </w:r>
    </w:p>
    <w:p w14:paraId="572F1552">
      <w:pPr>
        <w:pStyle w:val="2"/>
        <w:keepNext w:val="0"/>
        <w:keepLines w:val="0"/>
        <w:pageBreakBefore w:val="0"/>
        <w:widowControl/>
        <w:kinsoku w:val="0"/>
        <w:wordWrap/>
        <w:overflowPunct/>
        <w:topLinePunct w:val="0"/>
        <w:autoSpaceDE w:val="0"/>
        <w:autoSpaceDN w:val="0"/>
        <w:bidi w:val="0"/>
        <w:adjustRightInd w:val="0"/>
        <w:snapToGrid w:val="0"/>
        <w:spacing w:before="144" w:line="245" w:lineRule="auto"/>
        <w:ind w:left="23" w:right="119" w:firstLine="1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13.6.1 需要采用计日工方式的，经发包人同意后，</w:t>
      </w:r>
      <w:r>
        <w:rPr>
          <w:rFonts w:hint="eastAsia" w:ascii="仿宋" w:hAnsi="仿宋" w:eastAsia="仿宋" w:cs="仿宋"/>
          <w:color w:val="auto"/>
          <w:spacing w:val="-58"/>
          <w:sz w:val="24"/>
          <w:szCs w:val="24"/>
          <w:highlight w:val="none"/>
        </w:rPr>
        <w:t xml:space="preserve"> </w:t>
      </w:r>
      <w:r>
        <w:rPr>
          <w:rFonts w:hint="eastAsia" w:ascii="仿宋" w:hAnsi="仿宋" w:eastAsia="仿宋" w:cs="仿宋"/>
          <w:color w:val="auto"/>
          <w:spacing w:val="8"/>
          <w:sz w:val="24"/>
          <w:szCs w:val="24"/>
          <w:highlight w:val="none"/>
        </w:rPr>
        <w:t>由工程师通知承包人以</w:t>
      </w:r>
      <w:r>
        <w:rPr>
          <w:rFonts w:hint="eastAsia" w:ascii="仿宋" w:hAnsi="仿宋" w:eastAsia="仿宋" w:cs="仿宋"/>
          <w:color w:val="auto"/>
          <w:spacing w:val="7"/>
          <w:sz w:val="24"/>
          <w:szCs w:val="24"/>
          <w:highlight w:val="none"/>
        </w:rPr>
        <w:t>计日工计价方式</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实施相应的工作，其价款按列入价格清单或预算书中的计日工计价项目及其单价进行计算；</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价格清单或预算书中无相应的计日工单价的，按照合理的成本与利润构成的原则，由工程师</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按照第</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3.6</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7"/>
          <w:sz w:val="24"/>
          <w:szCs w:val="24"/>
          <w:highlight w:val="none"/>
        </w:rPr>
        <w:t>款[商定或确定]确定计日工的单价。</w:t>
      </w:r>
    </w:p>
    <w:p w14:paraId="705ECE2C">
      <w:pPr>
        <w:pStyle w:val="2"/>
        <w:keepNext w:val="0"/>
        <w:keepLines w:val="0"/>
        <w:pageBreakBefore w:val="0"/>
        <w:widowControl/>
        <w:kinsoku w:val="0"/>
        <w:wordWrap/>
        <w:overflowPunct/>
        <w:topLinePunct w:val="0"/>
        <w:autoSpaceDE w:val="0"/>
        <w:autoSpaceDN w:val="0"/>
        <w:bidi w:val="0"/>
        <w:adjustRightInd w:val="0"/>
        <w:snapToGrid w:val="0"/>
        <w:spacing w:before="149" w:line="239" w:lineRule="auto"/>
        <w:ind w:left="20" w:right="160" w:firstLine="1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13.6.2 采用计日工计价的任何一项工作，承包人应在该项工作实施过程</w:t>
      </w:r>
      <w:r>
        <w:rPr>
          <w:rFonts w:hint="eastAsia" w:ascii="仿宋" w:hAnsi="仿宋" w:eastAsia="仿宋" w:cs="仿宋"/>
          <w:color w:val="auto"/>
          <w:spacing w:val="8"/>
          <w:sz w:val="24"/>
          <w:szCs w:val="24"/>
          <w:highlight w:val="none"/>
        </w:rPr>
        <w:t>中，每天提交以下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报表和有关凭证报送工程师审查：</w:t>
      </w:r>
    </w:p>
    <w:p w14:paraId="7406EC1C">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工作名称、内容和数量；</w:t>
      </w:r>
    </w:p>
    <w:p w14:paraId="061FF925">
      <w:pPr>
        <w:pStyle w:val="2"/>
        <w:keepNext w:val="0"/>
        <w:keepLines w:val="0"/>
        <w:pageBreakBefore w:val="0"/>
        <w:widowControl/>
        <w:kinsoku w:val="0"/>
        <w:wordWrap/>
        <w:overflowPunct/>
        <w:topLinePunct w:val="0"/>
        <w:autoSpaceDE w:val="0"/>
        <w:autoSpaceDN w:val="0"/>
        <w:bidi w:val="0"/>
        <w:adjustRightInd w:val="0"/>
        <w:snapToGrid w:val="0"/>
        <w:spacing w:before="26" w:line="239" w:lineRule="auto"/>
        <w:ind w:left="632" w:right="14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投入该工作的所有人员的姓名、专业、工种、级别和耗用工时；</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7"/>
          <w:sz w:val="24"/>
          <w:szCs w:val="24"/>
          <w:highlight w:val="none"/>
        </w:rPr>
        <w:t>（3） 投入该工作的材料类别和数量；</w:t>
      </w:r>
    </w:p>
    <w:p w14:paraId="72DCD762">
      <w:pPr>
        <w:pStyle w:val="2"/>
        <w:keepNext w:val="0"/>
        <w:keepLines w:val="0"/>
        <w:pageBreakBefore w:val="0"/>
        <w:widowControl/>
        <w:kinsoku w:val="0"/>
        <w:wordWrap/>
        <w:overflowPunct/>
        <w:topLinePunct w:val="0"/>
        <w:autoSpaceDE w:val="0"/>
        <w:autoSpaceDN w:val="0"/>
        <w:bidi w:val="0"/>
        <w:adjustRightInd w:val="0"/>
        <w:snapToGrid w:val="0"/>
        <w:spacing w:before="28" w:line="271" w:lineRule="exact"/>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（4） 投入该工作的施工设备型号、台数和耗用台时；</w:t>
      </w:r>
    </w:p>
    <w:p w14:paraId="26380AD4">
      <w:pPr>
        <w:pStyle w:val="2"/>
        <w:keepNext w:val="0"/>
        <w:keepLines w:val="0"/>
        <w:pageBreakBefore w:val="0"/>
        <w:widowControl/>
        <w:kinsoku w:val="0"/>
        <w:wordWrap/>
        <w:overflowPunct/>
        <w:topLinePunct w:val="0"/>
        <w:autoSpaceDE w:val="0"/>
        <w:autoSpaceDN w:val="0"/>
        <w:bidi w:val="0"/>
        <w:adjustRightInd w:val="0"/>
        <w:snapToGrid w:val="0"/>
        <w:spacing w:before="1"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（5） 其他有关资料和凭证。</w:t>
      </w:r>
    </w:p>
    <w:p w14:paraId="26991579">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23" w:right="159" w:firstLine="5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计日工由承包人汇总后，列入最近一期进度付款申请单，由工程师审查并经发包</w:t>
      </w:r>
      <w:r>
        <w:rPr>
          <w:rFonts w:hint="eastAsia" w:ascii="仿宋" w:hAnsi="仿宋" w:eastAsia="仿宋" w:cs="仿宋"/>
          <w:color w:val="auto"/>
          <w:spacing w:val="7"/>
          <w:sz w:val="24"/>
          <w:szCs w:val="24"/>
          <w:highlight w:val="none"/>
        </w:rPr>
        <w:t>人批</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准后列入进度付款。</w:t>
      </w:r>
    </w:p>
    <w:p w14:paraId="67DB7682">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13.7 法律变化引起的调整</w:t>
      </w:r>
    </w:p>
    <w:p w14:paraId="01624433">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仿宋" w:hAnsi="仿宋" w:eastAsia="仿宋" w:cs="仿宋"/>
          <w:color w:val="auto"/>
          <w:sz w:val="24"/>
          <w:szCs w:val="24"/>
          <w:highlight w:val="none"/>
        </w:rPr>
        <w:sectPr>
          <w:footerReference r:id="rId37" w:type="default"/>
          <w:pgSz w:w="11906" w:h="16839"/>
          <w:pgMar w:top="1428" w:right="1641" w:bottom="1171" w:left="1785" w:header="0" w:footer="992" w:gutter="0"/>
          <w:pgNumType w:fmt="decimal"/>
          <w:cols w:space="720" w:num="1"/>
        </w:sectPr>
      </w:pPr>
    </w:p>
    <w:p w14:paraId="71573B57">
      <w:pPr>
        <w:pStyle w:val="2"/>
        <w:keepNext w:val="0"/>
        <w:keepLines w:val="0"/>
        <w:pageBreakBefore w:val="0"/>
        <w:widowControl/>
        <w:kinsoku w:val="0"/>
        <w:wordWrap/>
        <w:overflowPunct/>
        <w:topLinePunct w:val="0"/>
        <w:autoSpaceDE w:val="0"/>
        <w:autoSpaceDN w:val="0"/>
        <w:bidi w:val="0"/>
        <w:adjustRightInd w:val="0"/>
        <w:snapToGrid w:val="0"/>
        <w:spacing w:before="41" w:line="243" w:lineRule="auto"/>
        <w:ind w:left="22" w:right="28" w:firstLine="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13.7.1 基准日期后，法律变化导致承包人在合同履行过程中所需要的费用发生除第</w:t>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11"/>
          <w:sz w:val="24"/>
          <w:szCs w:val="24"/>
          <w:highlight w:val="none"/>
        </w:rPr>
        <w:t>13.8</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款[市场价格波动引起的调整]约定以外的增加时，由发包人承担由此增加的费用；减少时，</w:t>
      </w:r>
      <w:r>
        <w:rPr>
          <w:rFonts w:hint="eastAsia" w:ascii="仿宋" w:hAnsi="仿宋" w:eastAsia="仿宋" w:cs="仿宋"/>
          <w:color w:val="auto"/>
          <w:spacing w:val="9"/>
          <w:sz w:val="24"/>
          <w:szCs w:val="24"/>
          <w:highlight w:val="none"/>
        </w:rPr>
        <w:t xml:space="preserve"> 应从合同价格中予以扣减。基准日期后，因法律变化造成工期延误时，工期应予以顺延。</w:t>
      </w:r>
    </w:p>
    <w:p w14:paraId="063CA68D">
      <w:pPr>
        <w:pStyle w:val="2"/>
        <w:keepNext w:val="0"/>
        <w:keepLines w:val="0"/>
        <w:pageBreakBefore w:val="0"/>
        <w:widowControl/>
        <w:kinsoku w:val="0"/>
        <w:wordWrap/>
        <w:overflowPunct/>
        <w:topLinePunct w:val="0"/>
        <w:autoSpaceDE w:val="0"/>
        <w:autoSpaceDN w:val="0"/>
        <w:bidi w:val="0"/>
        <w:adjustRightInd w:val="0"/>
        <w:snapToGrid w:val="0"/>
        <w:spacing w:before="148" w:line="239" w:lineRule="auto"/>
        <w:ind w:left="22" w:right="71" w:firstLine="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13.7.2 因法律变化引起的合同价格和工期调整，合同当事人无法达成一</w:t>
      </w:r>
      <w:r>
        <w:rPr>
          <w:rFonts w:hint="eastAsia" w:ascii="仿宋" w:hAnsi="仿宋" w:eastAsia="仿宋" w:cs="仿宋"/>
          <w:color w:val="auto"/>
          <w:spacing w:val="8"/>
          <w:sz w:val="24"/>
          <w:szCs w:val="24"/>
          <w:highlight w:val="none"/>
        </w:rPr>
        <w:t>致的，由工程师按</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第</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6"/>
          <w:sz w:val="24"/>
          <w:szCs w:val="24"/>
          <w:highlight w:val="none"/>
        </w:rPr>
        <w:t>3.6</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6"/>
          <w:sz w:val="24"/>
          <w:szCs w:val="24"/>
          <w:highlight w:val="none"/>
        </w:rPr>
        <w:t>款[商定或确定]的约定处理。</w:t>
      </w:r>
    </w:p>
    <w:p w14:paraId="065F2320">
      <w:pPr>
        <w:pStyle w:val="2"/>
        <w:keepNext w:val="0"/>
        <w:keepLines w:val="0"/>
        <w:pageBreakBefore w:val="0"/>
        <w:widowControl/>
        <w:kinsoku w:val="0"/>
        <w:wordWrap/>
        <w:overflowPunct/>
        <w:topLinePunct w:val="0"/>
        <w:autoSpaceDE w:val="0"/>
        <w:autoSpaceDN w:val="0"/>
        <w:bidi w:val="0"/>
        <w:adjustRightInd w:val="0"/>
        <w:snapToGrid w:val="0"/>
        <w:spacing w:before="146" w:line="239" w:lineRule="auto"/>
        <w:ind w:left="32" w:right="71" w:firstLine="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13.7.3 因承包人原因造成工期延误，在工期延误期间出现法律变化的，</w:t>
      </w:r>
      <w:r>
        <w:rPr>
          <w:rFonts w:hint="eastAsia" w:ascii="仿宋" w:hAnsi="仿宋" w:eastAsia="仿宋" w:cs="仿宋"/>
          <w:color w:val="auto"/>
          <w:spacing w:val="-58"/>
          <w:sz w:val="24"/>
          <w:szCs w:val="24"/>
          <w:highlight w:val="none"/>
        </w:rPr>
        <w:t xml:space="preserve"> </w:t>
      </w:r>
      <w:r>
        <w:rPr>
          <w:rFonts w:hint="eastAsia" w:ascii="仿宋" w:hAnsi="仿宋" w:eastAsia="仿宋" w:cs="仿宋"/>
          <w:color w:val="auto"/>
          <w:spacing w:val="8"/>
          <w:sz w:val="24"/>
          <w:szCs w:val="24"/>
          <w:highlight w:val="none"/>
        </w:rPr>
        <w:t>由</w:t>
      </w:r>
      <w:r>
        <w:rPr>
          <w:rFonts w:hint="eastAsia" w:ascii="仿宋" w:hAnsi="仿宋" w:eastAsia="仿宋" w:cs="仿宋"/>
          <w:color w:val="auto"/>
          <w:spacing w:val="7"/>
          <w:sz w:val="24"/>
          <w:szCs w:val="24"/>
          <w:highlight w:val="none"/>
        </w:rPr>
        <w:t>此增加的费用和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（或）延误的工期由承包人承担。</w:t>
      </w:r>
    </w:p>
    <w:p w14:paraId="4F1EAD88">
      <w:pPr>
        <w:pStyle w:val="2"/>
        <w:keepNext w:val="0"/>
        <w:keepLines w:val="0"/>
        <w:pageBreakBefore w:val="0"/>
        <w:widowControl/>
        <w:kinsoku w:val="0"/>
        <w:wordWrap/>
        <w:overflowPunct/>
        <w:topLinePunct w:val="0"/>
        <w:autoSpaceDE w:val="0"/>
        <w:autoSpaceDN w:val="0"/>
        <w:bidi w:val="0"/>
        <w:adjustRightInd w:val="0"/>
        <w:snapToGrid w:val="0"/>
        <w:spacing w:before="146" w:line="244" w:lineRule="auto"/>
        <w:ind w:left="24" w:right="70" w:firstLine="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13.7.4 因法律变化而需要对工程的实施进行任何调整的，承包人应迅速</w:t>
      </w:r>
      <w:r>
        <w:rPr>
          <w:rFonts w:hint="eastAsia" w:ascii="仿宋" w:hAnsi="仿宋" w:eastAsia="仿宋" w:cs="仿宋"/>
          <w:color w:val="auto"/>
          <w:spacing w:val="8"/>
          <w:sz w:val="24"/>
          <w:szCs w:val="24"/>
          <w:highlight w:val="none"/>
        </w:rPr>
        <w:t>通知发包人，或者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发包人应迅速通知承包人，并附上详细的辅助资料。发包人接到通知后，应根据第</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1"/>
          <w:sz w:val="24"/>
          <w:szCs w:val="24"/>
          <w:highlight w:val="none"/>
        </w:rPr>
        <w:t>13.3</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1"/>
          <w:sz w:val="24"/>
          <w:szCs w:val="24"/>
          <w:highlight w:val="none"/>
        </w:rPr>
        <w:t>款[变</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更程序]发出变更指示。</w:t>
      </w:r>
    </w:p>
    <w:p w14:paraId="15F7F0C3">
      <w:pPr>
        <w:pStyle w:val="2"/>
        <w:keepNext w:val="0"/>
        <w:keepLines w:val="0"/>
        <w:pageBreakBefore w:val="0"/>
        <w:widowControl/>
        <w:kinsoku w:val="0"/>
        <w:wordWrap/>
        <w:overflowPunct/>
        <w:topLinePunct w:val="0"/>
        <w:autoSpaceDE w:val="0"/>
        <w:autoSpaceDN w:val="0"/>
        <w:bidi w:val="0"/>
        <w:adjustRightInd w:val="0"/>
        <w:snapToGrid w:val="0"/>
        <w:spacing w:before="144" w:line="226"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13.8 市场价格波动引起的调整</w:t>
      </w:r>
    </w:p>
    <w:p w14:paraId="38EF0D34">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38" w:right="71" w:hanging="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13.8.1 主要工程材料、设备、人工价格与招标时基期价相比，波动幅度</w:t>
      </w:r>
      <w:r>
        <w:rPr>
          <w:rFonts w:hint="eastAsia" w:ascii="仿宋" w:hAnsi="仿宋" w:eastAsia="仿宋" w:cs="仿宋"/>
          <w:color w:val="auto"/>
          <w:spacing w:val="8"/>
          <w:sz w:val="24"/>
          <w:szCs w:val="24"/>
          <w:highlight w:val="none"/>
        </w:rPr>
        <w:t>超过合同约定幅度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的，双方按照合同约定的价格调整方式调整。</w:t>
      </w:r>
    </w:p>
    <w:p w14:paraId="1614C20D">
      <w:pPr>
        <w:pStyle w:val="2"/>
        <w:keepNext w:val="0"/>
        <w:keepLines w:val="0"/>
        <w:pageBreakBefore w:val="0"/>
        <w:widowControl/>
        <w:kinsoku w:val="0"/>
        <w:wordWrap/>
        <w:overflowPunct/>
        <w:topLinePunct w:val="0"/>
        <w:autoSpaceDE w:val="0"/>
        <w:autoSpaceDN w:val="0"/>
        <w:bidi w:val="0"/>
        <w:adjustRightInd w:val="0"/>
        <w:snapToGrid w:val="0"/>
        <w:spacing w:before="146" w:line="226" w:lineRule="auto"/>
        <w:jc w:val="right"/>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13.8.2 发包人与承包人在专用合同条件中约定采用《价格指</w:t>
      </w:r>
      <w:r>
        <w:rPr>
          <w:rFonts w:hint="eastAsia" w:ascii="仿宋" w:hAnsi="仿宋" w:eastAsia="仿宋" w:cs="仿宋"/>
          <w:color w:val="auto"/>
          <w:spacing w:val="5"/>
          <w:sz w:val="24"/>
          <w:szCs w:val="24"/>
          <w:highlight w:val="none"/>
        </w:rPr>
        <w:t>数权重表》的，适用本项约定。</w:t>
      </w:r>
    </w:p>
    <w:p w14:paraId="07E5266E">
      <w:pPr>
        <w:pStyle w:val="2"/>
        <w:keepNext w:val="0"/>
        <w:keepLines w:val="0"/>
        <w:pageBreakBefore w:val="0"/>
        <w:widowControl/>
        <w:kinsoku w:val="0"/>
        <w:wordWrap/>
        <w:overflowPunct/>
        <w:topLinePunct w:val="0"/>
        <w:autoSpaceDE w:val="0"/>
        <w:autoSpaceDN w:val="0"/>
        <w:bidi w:val="0"/>
        <w:adjustRightInd w:val="0"/>
        <w:snapToGrid w:val="0"/>
        <w:spacing w:before="149" w:line="243" w:lineRule="auto"/>
        <w:ind w:left="22" w:right="70" w:firstLine="15"/>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"13.8.2.1"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9"/>
          <w:sz w:val="24"/>
          <w:szCs w:val="24"/>
          <w:highlight w:val="none"/>
        </w:rPr>
        <w:t>13.8.2.1</w:t>
      </w:r>
      <w:r>
        <w:rPr>
          <w:rFonts w:hint="eastAsia" w:ascii="仿宋" w:hAnsi="仿宋" w:eastAsia="仿宋" w:cs="仿宋"/>
          <w:color w:val="auto"/>
          <w:spacing w:val="9"/>
          <w:sz w:val="24"/>
          <w:szCs w:val="24"/>
          <w:highlight w:val="none"/>
        </w:rPr>
        <w:fldChar w:fldCharType="end"/>
      </w:r>
      <w:r>
        <w:rPr>
          <w:rFonts w:hint="eastAsia" w:ascii="仿宋" w:hAnsi="仿宋" w:eastAsia="仿宋" w:cs="仿宋"/>
          <w:color w:val="auto"/>
          <w:spacing w:val="9"/>
          <w:sz w:val="24"/>
          <w:szCs w:val="24"/>
          <w:highlight w:val="none"/>
        </w:rPr>
        <w:t xml:space="preserve"> 双方当事人可以将部分主要工程材料、工</w:t>
      </w:r>
      <w:r>
        <w:rPr>
          <w:rFonts w:hint="eastAsia" w:ascii="仿宋" w:hAnsi="仿宋" w:eastAsia="仿宋" w:cs="仿宋"/>
          <w:color w:val="auto"/>
          <w:spacing w:val="8"/>
          <w:sz w:val="24"/>
          <w:szCs w:val="24"/>
          <w:highlight w:val="none"/>
        </w:rPr>
        <w:t>程设备、人工价格及其他双方认为应当</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根据市场价格调整的费用列入附件6[价格指数权重表]</w:t>
      </w:r>
      <w:r>
        <w:rPr>
          <w:rFonts w:hint="eastAsia" w:ascii="仿宋" w:hAnsi="仿宋" w:eastAsia="仿宋" w:cs="仿宋"/>
          <w:color w:val="auto"/>
          <w:spacing w:val="9"/>
          <w:sz w:val="24"/>
          <w:szCs w:val="24"/>
          <w:highlight w:val="none"/>
        </w:rPr>
        <w:t>，并根据以下公式计算差额并调整合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同价格：</w:t>
      </w:r>
    </w:p>
    <w:p w14:paraId="3AB654C2">
      <w:pPr>
        <w:pStyle w:val="2"/>
        <w:keepNext w:val="0"/>
        <w:keepLines w:val="0"/>
        <w:pageBreakBefore w:val="0"/>
        <w:widowControl/>
        <w:kinsoku w:val="0"/>
        <w:wordWrap/>
        <w:overflowPunct/>
        <w:topLinePunct w:val="0"/>
        <w:autoSpaceDE w:val="0"/>
        <w:autoSpaceDN w:val="0"/>
        <w:bidi w:val="0"/>
        <w:adjustRightInd w:val="0"/>
        <w:snapToGrid w:val="0"/>
        <w:spacing w:before="146" w:line="225"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4"/>
          <w:sz w:val="24"/>
          <w:szCs w:val="24"/>
          <w:highlight w:val="none"/>
        </w:rPr>
        <w:t>价格调整公式</w:t>
      </w:r>
    </w:p>
    <w:p w14:paraId="28206C78">
      <w:pPr>
        <w:keepNext w:val="0"/>
        <w:keepLines w:val="0"/>
        <w:pageBreakBefore w:val="0"/>
        <w:widowControl/>
        <w:kinsoku w:val="0"/>
        <w:wordWrap/>
        <w:overflowPunct/>
        <w:topLinePunct w:val="0"/>
        <w:autoSpaceDE w:val="0"/>
        <w:autoSpaceDN w:val="0"/>
        <w:bidi w:val="0"/>
        <w:adjustRightInd w:val="0"/>
        <w:snapToGrid w:val="0"/>
        <w:spacing w:line="1068" w:lineRule="exact"/>
        <w:ind w:firstLine="1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position w:val="-21"/>
          <w:sz w:val="24"/>
          <w:szCs w:val="24"/>
          <w:highlight w:val="none"/>
        </w:rPr>
        <w:drawing>
          <wp:inline distT="0" distB="0" distL="0" distR="0">
            <wp:extent cx="5148580" cy="677545"/>
            <wp:effectExtent l="0" t="0" r="13970" b="8255"/>
            <wp:docPr id="16" name="IM 38"/>
            <wp:cNvGraphicFramePr/>
            <a:graphic xmlns:a="http://schemas.openxmlformats.org/drawingml/2006/main">
              <a:graphicData uri="http://schemas.openxmlformats.org/drawingml/2006/picture">
                <pic:pic xmlns:pic="http://schemas.openxmlformats.org/drawingml/2006/picture">
                  <pic:nvPicPr>
                    <pic:cNvPr id="16" name="IM 38"/>
                    <pic:cNvPicPr/>
                  </pic:nvPicPr>
                  <pic:blipFill>
                    <a:blip r:embed="rId56"/>
                    <a:stretch>
                      <a:fillRect/>
                    </a:stretch>
                  </pic:blipFill>
                  <pic:spPr>
                    <a:xfrm>
                      <a:off x="0" y="0"/>
                      <a:ext cx="5148580" cy="678179"/>
                    </a:xfrm>
                    <a:prstGeom prst="rect">
                      <a:avLst/>
                    </a:prstGeom>
                  </pic:spPr>
                </pic:pic>
              </a:graphicData>
            </a:graphic>
          </wp:inline>
        </w:drawing>
      </w:r>
    </w:p>
    <w:p w14:paraId="72FD2C51">
      <w:pPr>
        <w:pStyle w:val="2"/>
        <w:keepNext w:val="0"/>
        <w:keepLines w:val="0"/>
        <w:pageBreakBefore w:val="0"/>
        <w:widowControl/>
        <w:kinsoku w:val="0"/>
        <w:wordWrap/>
        <w:overflowPunct/>
        <w:topLinePunct w:val="0"/>
        <w:autoSpaceDE w:val="0"/>
        <w:autoSpaceDN w:val="0"/>
        <w:bidi w:val="0"/>
        <w:adjustRightInd w:val="0"/>
        <w:snapToGrid w:val="0"/>
        <w:spacing w:before="42" w:line="226" w:lineRule="auto"/>
        <w:ind w:left="62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公式中：</w:t>
      </w:r>
      <w:r>
        <w:rPr>
          <w:rFonts w:hint="eastAsia" w:ascii="仿宋" w:hAnsi="仿宋" w:eastAsia="仿宋" w:cs="仿宋"/>
          <w:color w:val="auto"/>
          <w:spacing w:val="-60"/>
          <w:sz w:val="24"/>
          <w:szCs w:val="24"/>
          <w:highlight w:val="none"/>
        </w:rPr>
        <w:t xml:space="preserve"> </w:t>
      </w:r>
      <w:r>
        <w:rPr>
          <w:rFonts w:hint="eastAsia" w:ascii="仿宋" w:hAnsi="仿宋" w:eastAsia="仿宋" w:cs="仿宋"/>
          <w:color w:val="auto"/>
          <w:spacing w:val="5"/>
          <w:sz w:val="24"/>
          <w:szCs w:val="24"/>
          <w:highlight w:val="none"/>
        </w:rPr>
        <w:t>△P---需调整的价格差额；</w:t>
      </w:r>
    </w:p>
    <w:p w14:paraId="006200DE">
      <w:pPr>
        <w:pStyle w:val="2"/>
        <w:keepNext w:val="0"/>
        <w:keepLines w:val="0"/>
        <w:pageBreakBefore w:val="0"/>
        <w:widowControl/>
        <w:kinsoku w:val="0"/>
        <w:wordWrap/>
        <w:overflowPunct/>
        <w:topLinePunct w:val="0"/>
        <w:autoSpaceDE w:val="0"/>
        <w:autoSpaceDN w:val="0"/>
        <w:bidi w:val="0"/>
        <w:adjustRightInd w:val="0"/>
        <w:snapToGrid w:val="0"/>
        <w:spacing w:before="26" w:line="243" w:lineRule="auto"/>
        <w:ind w:left="23" w:firstLine="59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w:t>
      </w:r>
      <w:r>
        <w:rPr>
          <w:rFonts w:hint="eastAsia" w:ascii="仿宋" w:hAnsi="仿宋" w:eastAsia="仿宋" w:cs="仿宋"/>
          <w:color w:val="auto"/>
          <w:position w:val="-3"/>
          <w:sz w:val="24"/>
          <w:szCs w:val="24"/>
          <w:highlight w:val="none"/>
        </w:rPr>
        <w:t>O</w:t>
      </w:r>
      <w:r>
        <w:rPr>
          <w:rFonts w:hint="eastAsia" w:ascii="仿宋" w:hAnsi="仿宋" w:eastAsia="仿宋" w:cs="仿宋"/>
          <w:color w:val="auto"/>
          <w:spacing w:val="8"/>
          <w:sz w:val="24"/>
          <w:szCs w:val="24"/>
          <w:highlight w:val="none"/>
        </w:rPr>
        <w:t>---付款证书中承包人应得到的已完成工作量的金额。此项金额应不包括价格调整、</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不计质量保证金的预留和支付、预付款的支付和扣回。第</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13</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8"/>
          <w:sz w:val="24"/>
          <w:szCs w:val="24"/>
          <w:highlight w:val="none"/>
        </w:rPr>
        <w:t>条[变更与调整]约定的变更及 其他金额已按当期价格计价的，也不计在内；</w:t>
      </w:r>
    </w:p>
    <w:p w14:paraId="2A380BEA">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6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A ---定值权重（即不调部分的权重</w:t>
      </w:r>
      <w:r>
        <w:rPr>
          <w:rFonts w:hint="eastAsia" w:ascii="仿宋" w:hAnsi="仿宋" w:eastAsia="仿宋" w:cs="仿宋"/>
          <w:color w:val="auto"/>
          <w:spacing w:val="3"/>
          <w:sz w:val="24"/>
          <w:szCs w:val="24"/>
          <w:highlight w:val="none"/>
        </w:rPr>
        <w:t>）；</w:t>
      </w:r>
    </w:p>
    <w:p w14:paraId="5C6EB7E2">
      <w:pPr>
        <w:pStyle w:val="2"/>
        <w:keepNext w:val="0"/>
        <w:keepLines w:val="0"/>
        <w:pageBreakBefore w:val="0"/>
        <w:widowControl/>
        <w:kinsoku w:val="0"/>
        <w:wordWrap/>
        <w:overflowPunct/>
        <w:topLinePunct w:val="0"/>
        <w:autoSpaceDE w:val="0"/>
        <w:autoSpaceDN w:val="0"/>
        <w:bidi w:val="0"/>
        <w:adjustRightInd w:val="0"/>
        <w:snapToGrid w:val="0"/>
        <w:spacing w:before="24" w:line="239" w:lineRule="auto"/>
        <w:ind w:left="24" w:right="71" w:firstLine="59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B</w:t>
      </w:r>
      <w:r>
        <w:rPr>
          <w:rFonts w:hint="eastAsia" w:ascii="仿宋" w:hAnsi="仿宋" w:eastAsia="仿宋" w:cs="仿宋"/>
          <w:color w:val="auto"/>
          <w:spacing w:val="7"/>
          <w:position w:val="-3"/>
          <w:sz w:val="24"/>
          <w:szCs w:val="24"/>
          <w:highlight w:val="none"/>
        </w:rPr>
        <w:t>1</w:t>
      </w:r>
      <w:r>
        <w:rPr>
          <w:rFonts w:hint="eastAsia" w:ascii="仿宋" w:hAnsi="仿宋" w:eastAsia="仿宋" w:cs="仿宋"/>
          <w:color w:val="auto"/>
          <w:spacing w:val="-22"/>
          <w:position w:val="-3"/>
          <w:sz w:val="24"/>
          <w:szCs w:val="24"/>
          <w:highlight w:val="none"/>
        </w:rPr>
        <w:t xml:space="preserve"> </w:t>
      </w:r>
      <w:r>
        <w:rPr>
          <w:rFonts w:hint="eastAsia" w:ascii="仿宋" w:hAnsi="仿宋" w:eastAsia="仿宋" w:cs="仿宋"/>
          <w:color w:val="auto"/>
          <w:spacing w:val="7"/>
          <w:sz w:val="24"/>
          <w:szCs w:val="24"/>
          <w:highlight w:val="none"/>
        </w:rPr>
        <w:t>；B</w:t>
      </w:r>
      <w:r>
        <w:rPr>
          <w:rFonts w:hint="eastAsia" w:ascii="仿宋" w:hAnsi="仿宋" w:eastAsia="仿宋" w:cs="仿宋"/>
          <w:color w:val="auto"/>
          <w:spacing w:val="7"/>
          <w:position w:val="-3"/>
          <w:sz w:val="24"/>
          <w:szCs w:val="24"/>
          <w:highlight w:val="none"/>
        </w:rPr>
        <w:t>2</w:t>
      </w:r>
      <w:r>
        <w:rPr>
          <w:rFonts w:hint="eastAsia" w:ascii="仿宋" w:hAnsi="仿宋" w:eastAsia="仿宋" w:cs="仿宋"/>
          <w:color w:val="auto"/>
          <w:spacing w:val="-22"/>
          <w:position w:val="-3"/>
          <w:sz w:val="24"/>
          <w:szCs w:val="24"/>
          <w:highlight w:val="none"/>
        </w:rPr>
        <w:t xml:space="preserve"> </w:t>
      </w:r>
      <w:r>
        <w:rPr>
          <w:rFonts w:hint="eastAsia" w:ascii="仿宋" w:hAnsi="仿宋" w:eastAsia="仿宋" w:cs="仿宋"/>
          <w:color w:val="auto"/>
          <w:spacing w:val="7"/>
          <w:sz w:val="24"/>
          <w:szCs w:val="24"/>
          <w:highlight w:val="none"/>
        </w:rPr>
        <w:t>；B</w:t>
      </w:r>
      <w:r>
        <w:rPr>
          <w:rFonts w:hint="eastAsia" w:ascii="仿宋" w:hAnsi="仿宋" w:eastAsia="仿宋" w:cs="仿宋"/>
          <w:color w:val="auto"/>
          <w:spacing w:val="7"/>
          <w:position w:val="-3"/>
          <w:sz w:val="24"/>
          <w:szCs w:val="24"/>
          <w:highlight w:val="none"/>
        </w:rPr>
        <w:t>3</w:t>
      </w:r>
      <w:r>
        <w:rPr>
          <w:rFonts w:hint="eastAsia" w:ascii="仿宋" w:hAnsi="仿宋" w:eastAsia="仿宋" w:cs="仿宋"/>
          <w:color w:val="auto"/>
          <w:spacing w:val="-24"/>
          <w:position w:val="-3"/>
          <w:sz w:val="24"/>
          <w:szCs w:val="24"/>
          <w:highlight w:val="none"/>
        </w:rPr>
        <w:t xml:space="preserve"> </w:t>
      </w:r>
      <w:r>
        <w:rPr>
          <w:rFonts w:hint="eastAsia" w:ascii="仿宋" w:hAnsi="仿宋" w:eastAsia="仿宋" w:cs="仿宋"/>
          <w:color w:val="auto"/>
          <w:spacing w:val="7"/>
          <w:sz w:val="24"/>
          <w:szCs w:val="24"/>
          <w:highlight w:val="none"/>
        </w:rPr>
        <w:t>；</w:t>
      </w:r>
      <w:r>
        <w:rPr>
          <w:rFonts w:hint="eastAsia" w:ascii="仿宋" w:hAnsi="仿宋" w:eastAsia="仿宋" w:cs="仿宋"/>
          <w:color w:val="auto"/>
          <w:spacing w:val="-70"/>
          <w:sz w:val="24"/>
          <w:szCs w:val="24"/>
          <w:highlight w:val="none"/>
        </w:rPr>
        <w:t xml:space="preserve"> </w:t>
      </w:r>
      <w:r>
        <w:rPr>
          <w:rFonts w:hint="eastAsia" w:ascii="仿宋" w:hAnsi="仿宋" w:eastAsia="仿宋" w:cs="仿宋"/>
          <w:color w:val="auto"/>
          <w:spacing w:val="7"/>
          <w:sz w:val="24"/>
          <w:szCs w:val="24"/>
          <w:highlight w:val="none"/>
        </w:rPr>
        <w:t>……</w:t>
      </w:r>
      <w:r>
        <w:rPr>
          <w:rFonts w:hint="eastAsia" w:ascii="仿宋" w:hAnsi="仿宋" w:eastAsia="仿宋" w:cs="仿宋"/>
          <w:color w:val="auto"/>
          <w:sz w:val="24"/>
          <w:szCs w:val="24"/>
          <w:highlight w:val="none"/>
        </w:rPr>
        <w:t>B</w:t>
      </w:r>
      <w:r>
        <w:rPr>
          <w:rFonts w:hint="eastAsia" w:ascii="仿宋" w:hAnsi="仿宋" w:eastAsia="仿宋" w:cs="仿宋"/>
          <w:color w:val="auto"/>
          <w:position w:val="-3"/>
          <w:sz w:val="24"/>
          <w:szCs w:val="24"/>
          <w:highlight w:val="none"/>
        </w:rPr>
        <w:t>n</w:t>
      </w:r>
      <w:r>
        <w:rPr>
          <w:rFonts w:hint="eastAsia" w:ascii="仿宋" w:hAnsi="仿宋" w:eastAsia="仿宋" w:cs="仿宋"/>
          <w:color w:val="auto"/>
          <w:spacing w:val="7"/>
          <w:sz w:val="24"/>
          <w:szCs w:val="24"/>
          <w:highlight w:val="none"/>
        </w:rPr>
        <w:t>---各可调因子的变值权重（即可调部分的权重）为各可调因子在</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投标函投标总报价中所占的比例，且</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7"/>
          <w:sz w:val="24"/>
          <w:szCs w:val="24"/>
          <w:highlight w:val="none"/>
        </w:rPr>
        <w:t>A+B</w:t>
      </w:r>
      <w:r>
        <w:rPr>
          <w:rFonts w:hint="eastAsia" w:ascii="仿宋" w:hAnsi="仿宋" w:eastAsia="仿宋" w:cs="仿宋"/>
          <w:color w:val="auto"/>
          <w:spacing w:val="7"/>
          <w:position w:val="-2"/>
          <w:sz w:val="24"/>
          <w:szCs w:val="24"/>
          <w:highlight w:val="none"/>
        </w:rPr>
        <w:t>1</w:t>
      </w:r>
      <w:r>
        <w:rPr>
          <w:rFonts w:hint="eastAsia" w:ascii="仿宋" w:hAnsi="仿宋" w:eastAsia="仿宋" w:cs="仿宋"/>
          <w:color w:val="auto"/>
          <w:spacing w:val="7"/>
          <w:sz w:val="24"/>
          <w:szCs w:val="24"/>
          <w:highlight w:val="none"/>
        </w:rPr>
        <w:t>+B</w:t>
      </w:r>
      <w:r>
        <w:rPr>
          <w:rFonts w:hint="eastAsia" w:ascii="仿宋" w:hAnsi="仿宋" w:eastAsia="仿宋" w:cs="仿宋"/>
          <w:color w:val="auto"/>
          <w:spacing w:val="7"/>
          <w:position w:val="-2"/>
          <w:sz w:val="24"/>
          <w:szCs w:val="24"/>
          <w:highlight w:val="none"/>
        </w:rPr>
        <w:t>2</w:t>
      </w:r>
      <w:r>
        <w:rPr>
          <w:rFonts w:hint="eastAsia" w:ascii="仿宋" w:hAnsi="仿宋" w:eastAsia="仿宋" w:cs="仿宋"/>
          <w:color w:val="auto"/>
          <w:spacing w:val="7"/>
          <w:sz w:val="24"/>
          <w:szCs w:val="24"/>
          <w:highlight w:val="none"/>
        </w:rPr>
        <w:t>+B</w:t>
      </w:r>
      <w:r>
        <w:rPr>
          <w:rFonts w:hint="eastAsia" w:ascii="仿宋" w:hAnsi="仿宋" w:eastAsia="仿宋" w:cs="仿宋"/>
          <w:color w:val="auto"/>
          <w:spacing w:val="7"/>
          <w:position w:val="-2"/>
          <w:sz w:val="24"/>
          <w:szCs w:val="24"/>
          <w:highlight w:val="none"/>
        </w:rPr>
        <w:t>3</w:t>
      </w:r>
      <w:r>
        <w:rPr>
          <w:rFonts w:hint="eastAsia" w:ascii="仿宋" w:hAnsi="仿宋" w:eastAsia="仿宋" w:cs="仿宋"/>
          <w:color w:val="auto"/>
          <w:spacing w:val="7"/>
          <w:sz w:val="24"/>
          <w:szCs w:val="24"/>
          <w:highlight w:val="none"/>
        </w:rPr>
        <w:t>+……+</w:t>
      </w:r>
      <w:r>
        <w:rPr>
          <w:rFonts w:hint="eastAsia" w:ascii="仿宋" w:hAnsi="仿宋" w:eastAsia="仿宋" w:cs="仿宋"/>
          <w:color w:val="auto"/>
          <w:sz w:val="24"/>
          <w:szCs w:val="24"/>
          <w:highlight w:val="none"/>
        </w:rPr>
        <w:t>B</w:t>
      </w:r>
      <w:r>
        <w:rPr>
          <w:rFonts w:hint="eastAsia" w:ascii="仿宋" w:hAnsi="仿宋" w:eastAsia="仿宋" w:cs="仿宋"/>
          <w:color w:val="auto"/>
          <w:position w:val="-2"/>
          <w:sz w:val="24"/>
          <w:szCs w:val="24"/>
          <w:highlight w:val="none"/>
        </w:rPr>
        <w:t>n</w:t>
      </w:r>
      <w:r>
        <w:rPr>
          <w:rFonts w:hint="eastAsia" w:ascii="仿宋" w:hAnsi="仿宋" w:eastAsia="仿宋" w:cs="仿宋"/>
          <w:color w:val="auto"/>
          <w:spacing w:val="7"/>
          <w:sz w:val="24"/>
          <w:szCs w:val="24"/>
          <w:highlight w:val="none"/>
        </w:rPr>
        <w:t>=1；</w:t>
      </w:r>
    </w:p>
    <w:p w14:paraId="350D85D7">
      <w:pPr>
        <w:pStyle w:val="2"/>
        <w:keepNext w:val="0"/>
        <w:keepLines w:val="0"/>
        <w:pageBreakBefore w:val="0"/>
        <w:widowControl/>
        <w:kinsoku w:val="0"/>
        <w:wordWrap/>
        <w:overflowPunct/>
        <w:topLinePunct w:val="0"/>
        <w:autoSpaceDE w:val="0"/>
        <w:autoSpaceDN w:val="0"/>
        <w:bidi w:val="0"/>
        <w:adjustRightInd w:val="0"/>
        <w:snapToGrid w:val="0"/>
        <w:spacing w:before="27" w:line="238" w:lineRule="auto"/>
        <w:ind w:left="39" w:right="71" w:firstLine="57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w:t>
      </w:r>
      <w:r>
        <w:rPr>
          <w:rFonts w:hint="eastAsia" w:ascii="仿宋" w:hAnsi="仿宋" w:eastAsia="仿宋" w:cs="仿宋"/>
          <w:color w:val="auto"/>
          <w:position w:val="-2"/>
          <w:sz w:val="24"/>
          <w:szCs w:val="24"/>
          <w:highlight w:val="none"/>
        </w:rPr>
        <w:t>t</w:t>
      </w:r>
      <w:r>
        <w:rPr>
          <w:rFonts w:hint="eastAsia" w:ascii="仿宋" w:hAnsi="仿宋" w:eastAsia="仿宋" w:cs="仿宋"/>
          <w:color w:val="auto"/>
          <w:spacing w:val="10"/>
          <w:position w:val="-2"/>
          <w:sz w:val="24"/>
          <w:szCs w:val="24"/>
          <w:highlight w:val="none"/>
        </w:rPr>
        <w:t>1</w:t>
      </w:r>
      <w:r>
        <w:rPr>
          <w:rFonts w:hint="eastAsia" w:ascii="仿宋" w:hAnsi="仿宋" w:eastAsia="仿宋" w:cs="仿宋"/>
          <w:color w:val="auto"/>
          <w:spacing w:val="10"/>
          <w:sz w:val="24"/>
          <w:szCs w:val="24"/>
          <w:highlight w:val="none"/>
        </w:rPr>
        <w:t>；</w:t>
      </w:r>
      <w:r>
        <w:rPr>
          <w:rFonts w:hint="eastAsia" w:ascii="仿宋" w:hAnsi="仿宋" w:eastAsia="仿宋" w:cs="仿宋"/>
          <w:color w:val="auto"/>
          <w:sz w:val="24"/>
          <w:szCs w:val="24"/>
          <w:highlight w:val="none"/>
        </w:rPr>
        <w:t>F</w:t>
      </w:r>
      <w:r>
        <w:rPr>
          <w:rFonts w:hint="eastAsia" w:ascii="仿宋" w:hAnsi="仿宋" w:eastAsia="仿宋" w:cs="仿宋"/>
          <w:color w:val="auto"/>
          <w:position w:val="-2"/>
          <w:sz w:val="24"/>
          <w:szCs w:val="24"/>
          <w:highlight w:val="none"/>
        </w:rPr>
        <w:t>t</w:t>
      </w:r>
      <w:r>
        <w:rPr>
          <w:rFonts w:hint="eastAsia" w:ascii="仿宋" w:hAnsi="仿宋" w:eastAsia="仿宋" w:cs="仿宋"/>
          <w:color w:val="auto"/>
          <w:spacing w:val="10"/>
          <w:position w:val="-2"/>
          <w:sz w:val="24"/>
          <w:szCs w:val="24"/>
          <w:highlight w:val="none"/>
        </w:rPr>
        <w:t>2</w:t>
      </w:r>
      <w:r>
        <w:rPr>
          <w:rFonts w:hint="eastAsia" w:ascii="仿宋" w:hAnsi="仿宋" w:eastAsia="仿宋" w:cs="仿宋"/>
          <w:color w:val="auto"/>
          <w:spacing w:val="10"/>
          <w:sz w:val="24"/>
          <w:szCs w:val="24"/>
          <w:highlight w:val="none"/>
        </w:rPr>
        <w:t>；</w:t>
      </w:r>
      <w:r>
        <w:rPr>
          <w:rFonts w:hint="eastAsia" w:ascii="仿宋" w:hAnsi="仿宋" w:eastAsia="仿宋" w:cs="仿宋"/>
          <w:color w:val="auto"/>
          <w:sz w:val="24"/>
          <w:szCs w:val="24"/>
          <w:highlight w:val="none"/>
        </w:rPr>
        <w:t>F</w:t>
      </w:r>
      <w:r>
        <w:rPr>
          <w:rFonts w:hint="eastAsia" w:ascii="仿宋" w:hAnsi="仿宋" w:eastAsia="仿宋" w:cs="仿宋"/>
          <w:color w:val="auto"/>
          <w:position w:val="-2"/>
          <w:sz w:val="24"/>
          <w:szCs w:val="24"/>
          <w:highlight w:val="none"/>
        </w:rPr>
        <w:t>t</w:t>
      </w:r>
      <w:r>
        <w:rPr>
          <w:rFonts w:hint="eastAsia" w:ascii="仿宋" w:hAnsi="仿宋" w:eastAsia="仿宋" w:cs="仿宋"/>
          <w:color w:val="auto"/>
          <w:spacing w:val="10"/>
          <w:position w:val="-2"/>
          <w:sz w:val="24"/>
          <w:szCs w:val="24"/>
          <w:highlight w:val="none"/>
        </w:rPr>
        <w:t>3</w:t>
      </w:r>
      <w:r>
        <w:rPr>
          <w:rFonts w:hint="eastAsia" w:ascii="仿宋" w:hAnsi="仿宋" w:eastAsia="仿宋" w:cs="仿宋"/>
          <w:color w:val="auto"/>
          <w:spacing w:val="10"/>
          <w:sz w:val="24"/>
          <w:szCs w:val="24"/>
          <w:highlight w:val="none"/>
        </w:rPr>
        <w:t>；</w:t>
      </w:r>
      <w:r>
        <w:rPr>
          <w:rFonts w:hint="eastAsia" w:ascii="仿宋" w:hAnsi="仿宋" w:eastAsia="仿宋" w:cs="仿宋"/>
          <w:color w:val="auto"/>
          <w:spacing w:val="-65"/>
          <w:sz w:val="24"/>
          <w:szCs w:val="24"/>
          <w:highlight w:val="none"/>
        </w:rPr>
        <w:t xml:space="preserve"> </w:t>
      </w:r>
      <w:r>
        <w:rPr>
          <w:rFonts w:hint="eastAsia" w:ascii="仿宋" w:hAnsi="仿宋" w:eastAsia="仿宋" w:cs="仿宋"/>
          <w:color w:val="auto"/>
          <w:spacing w:val="10"/>
          <w:sz w:val="24"/>
          <w:szCs w:val="24"/>
          <w:highlight w:val="none"/>
        </w:rPr>
        <w:t>……</w:t>
      </w:r>
      <w:r>
        <w:rPr>
          <w:rFonts w:hint="eastAsia" w:ascii="仿宋" w:hAnsi="仿宋" w:eastAsia="仿宋" w:cs="仿宋"/>
          <w:color w:val="auto"/>
          <w:sz w:val="24"/>
          <w:szCs w:val="24"/>
          <w:highlight w:val="none"/>
        </w:rPr>
        <w:t>F</w:t>
      </w:r>
      <w:r>
        <w:rPr>
          <w:rFonts w:hint="eastAsia" w:ascii="仿宋" w:hAnsi="仿宋" w:eastAsia="仿宋" w:cs="仿宋"/>
          <w:color w:val="auto"/>
          <w:position w:val="-2"/>
          <w:sz w:val="24"/>
          <w:szCs w:val="24"/>
          <w:highlight w:val="none"/>
        </w:rPr>
        <w:t>tn</w:t>
      </w:r>
      <w:r>
        <w:rPr>
          <w:rFonts w:hint="eastAsia" w:ascii="仿宋" w:hAnsi="仿宋" w:eastAsia="仿宋" w:cs="仿宋"/>
          <w:color w:val="auto"/>
          <w:spacing w:val="10"/>
          <w:sz w:val="24"/>
          <w:szCs w:val="24"/>
          <w:highlight w:val="none"/>
        </w:rPr>
        <w:t>---各可调因子的当期价格指数，指付款证书相</w:t>
      </w:r>
      <w:r>
        <w:rPr>
          <w:rFonts w:hint="eastAsia" w:ascii="仿宋" w:hAnsi="仿宋" w:eastAsia="仿宋" w:cs="仿宋"/>
          <w:color w:val="auto"/>
          <w:spacing w:val="9"/>
          <w:sz w:val="24"/>
          <w:szCs w:val="24"/>
          <w:highlight w:val="none"/>
        </w:rPr>
        <w:t>关周期最后一天</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的前</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5"/>
          <w:sz w:val="24"/>
          <w:szCs w:val="24"/>
          <w:highlight w:val="none"/>
        </w:rPr>
        <w:t>42</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5"/>
          <w:sz w:val="24"/>
          <w:szCs w:val="24"/>
          <w:highlight w:val="none"/>
        </w:rPr>
        <w:t>天的各可调因子的价格指数；</w:t>
      </w:r>
    </w:p>
    <w:p w14:paraId="797EDC32">
      <w:pPr>
        <w:pStyle w:val="2"/>
        <w:keepNext w:val="0"/>
        <w:keepLines w:val="0"/>
        <w:pageBreakBefore w:val="0"/>
        <w:widowControl/>
        <w:kinsoku w:val="0"/>
        <w:wordWrap/>
        <w:overflowPunct/>
        <w:topLinePunct w:val="0"/>
        <w:autoSpaceDE w:val="0"/>
        <w:autoSpaceDN w:val="0"/>
        <w:bidi w:val="0"/>
        <w:adjustRightInd w:val="0"/>
        <w:snapToGrid w:val="0"/>
        <w:spacing w:before="28"/>
        <w:ind w:left="22" w:right="71" w:firstLine="59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F</w:t>
      </w:r>
      <w:r>
        <w:rPr>
          <w:rFonts w:hint="eastAsia" w:ascii="仿宋" w:hAnsi="仿宋" w:eastAsia="仿宋" w:cs="仿宋"/>
          <w:color w:val="auto"/>
          <w:spacing w:val="6"/>
          <w:position w:val="-3"/>
          <w:sz w:val="24"/>
          <w:szCs w:val="24"/>
          <w:highlight w:val="none"/>
        </w:rPr>
        <w:t>01</w:t>
      </w:r>
      <w:r>
        <w:rPr>
          <w:rFonts w:hint="eastAsia" w:ascii="仿宋" w:hAnsi="仿宋" w:eastAsia="仿宋" w:cs="仿宋"/>
          <w:color w:val="auto"/>
          <w:spacing w:val="-13"/>
          <w:position w:val="-3"/>
          <w:sz w:val="24"/>
          <w:szCs w:val="24"/>
          <w:highlight w:val="none"/>
        </w:rPr>
        <w:t xml:space="preserve"> </w:t>
      </w:r>
      <w:r>
        <w:rPr>
          <w:rFonts w:hint="eastAsia" w:ascii="仿宋" w:hAnsi="仿宋" w:eastAsia="仿宋" w:cs="仿宋"/>
          <w:color w:val="auto"/>
          <w:spacing w:val="6"/>
          <w:sz w:val="24"/>
          <w:szCs w:val="24"/>
          <w:highlight w:val="none"/>
        </w:rPr>
        <w:t>；F</w:t>
      </w:r>
      <w:r>
        <w:rPr>
          <w:rFonts w:hint="eastAsia" w:ascii="仿宋" w:hAnsi="仿宋" w:eastAsia="仿宋" w:cs="仿宋"/>
          <w:color w:val="auto"/>
          <w:spacing w:val="6"/>
          <w:position w:val="-3"/>
          <w:sz w:val="24"/>
          <w:szCs w:val="24"/>
          <w:highlight w:val="none"/>
        </w:rPr>
        <w:t>02</w:t>
      </w:r>
      <w:r>
        <w:rPr>
          <w:rFonts w:hint="eastAsia" w:ascii="仿宋" w:hAnsi="仿宋" w:eastAsia="仿宋" w:cs="仿宋"/>
          <w:color w:val="auto"/>
          <w:spacing w:val="-24"/>
          <w:position w:val="-3"/>
          <w:sz w:val="24"/>
          <w:szCs w:val="24"/>
          <w:highlight w:val="none"/>
        </w:rPr>
        <w:t xml:space="preserve"> </w:t>
      </w:r>
      <w:r>
        <w:rPr>
          <w:rFonts w:hint="eastAsia" w:ascii="仿宋" w:hAnsi="仿宋" w:eastAsia="仿宋" w:cs="仿宋"/>
          <w:color w:val="auto"/>
          <w:spacing w:val="6"/>
          <w:sz w:val="24"/>
          <w:szCs w:val="24"/>
          <w:highlight w:val="none"/>
        </w:rPr>
        <w:t>；F</w:t>
      </w:r>
      <w:r>
        <w:rPr>
          <w:rFonts w:hint="eastAsia" w:ascii="仿宋" w:hAnsi="仿宋" w:eastAsia="仿宋" w:cs="仿宋"/>
          <w:color w:val="auto"/>
          <w:spacing w:val="6"/>
          <w:position w:val="-3"/>
          <w:sz w:val="24"/>
          <w:szCs w:val="24"/>
          <w:highlight w:val="none"/>
        </w:rPr>
        <w:t>03</w:t>
      </w:r>
      <w:r>
        <w:rPr>
          <w:rFonts w:hint="eastAsia" w:ascii="仿宋" w:hAnsi="仿宋" w:eastAsia="仿宋" w:cs="仿宋"/>
          <w:color w:val="auto"/>
          <w:spacing w:val="-21"/>
          <w:position w:val="-3"/>
          <w:sz w:val="24"/>
          <w:szCs w:val="24"/>
          <w:highlight w:val="none"/>
        </w:rPr>
        <w:t xml:space="preserve"> </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70"/>
          <w:sz w:val="24"/>
          <w:szCs w:val="24"/>
          <w:highlight w:val="none"/>
        </w:rPr>
        <w:t xml:space="preserve"> </w:t>
      </w:r>
      <w:r>
        <w:rPr>
          <w:rFonts w:hint="eastAsia" w:ascii="仿宋" w:hAnsi="仿宋" w:eastAsia="仿宋" w:cs="仿宋"/>
          <w:color w:val="auto"/>
          <w:spacing w:val="6"/>
          <w:sz w:val="24"/>
          <w:szCs w:val="24"/>
          <w:highlight w:val="none"/>
        </w:rPr>
        <w:t>……F</w:t>
      </w:r>
      <w:r>
        <w:rPr>
          <w:rFonts w:hint="eastAsia" w:ascii="仿宋" w:hAnsi="仿宋" w:eastAsia="仿宋" w:cs="仿宋"/>
          <w:color w:val="auto"/>
          <w:spacing w:val="6"/>
          <w:position w:val="-3"/>
          <w:sz w:val="24"/>
          <w:szCs w:val="24"/>
          <w:highlight w:val="none"/>
        </w:rPr>
        <w:t>0n</w:t>
      </w:r>
      <w:r>
        <w:rPr>
          <w:rFonts w:hint="eastAsia" w:ascii="仿宋" w:hAnsi="仿宋" w:eastAsia="仿宋" w:cs="仿宋"/>
          <w:color w:val="auto"/>
          <w:spacing w:val="6"/>
          <w:sz w:val="24"/>
          <w:szCs w:val="24"/>
          <w:highlight w:val="none"/>
        </w:rPr>
        <w:t>---各可调因子的基本价格指数，指基准日期的各可调因子的价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格指数。</w:t>
      </w:r>
    </w:p>
    <w:p w14:paraId="7C1EEF73">
      <w:pPr>
        <w:pStyle w:val="2"/>
        <w:keepNext w:val="0"/>
        <w:keepLines w:val="0"/>
        <w:pageBreakBefore w:val="0"/>
        <w:widowControl/>
        <w:kinsoku w:val="0"/>
        <w:wordWrap/>
        <w:overflowPunct/>
        <w:topLinePunct w:val="0"/>
        <w:autoSpaceDE w:val="0"/>
        <w:autoSpaceDN w:val="0"/>
        <w:bidi w:val="0"/>
        <w:adjustRightInd w:val="0"/>
        <w:snapToGrid w:val="0"/>
        <w:spacing w:before="24" w:line="243" w:lineRule="auto"/>
        <w:ind w:left="22" w:right="70" w:firstLine="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以上价格调整公式中的各可调因子、定值和变值权重，以及基本价格指数及其来源在</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7"/>
          <w:sz w:val="24"/>
          <w:szCs w:val="24"/>
          <w:highlight w:val="none"/>
        </w:rPr>
        <w:t>投标函附录价格指数和权重表中约定。价格指数应首先采用投标函附录中载明的有关部门提</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供的价格指数，缺乏上述价格指数时，可采用有关部门提供的价格代替。</w:t>
      </w:r>
    </w:p>
    <w:p w14:paraId="2D7BD74E">
      <w:pPr>
        <w:pStyle w:val="2"/>
        <w:keepNext w:val="0"/>
        <w:keepLines w:val="0"/>
        <w:pageBreakBefore w:val="0"/>
        <w:widowControl/>
        <w:kinsoku w:val="0"/>
        <w:wordWrap/>
        <w:overflowPunct/>
        <w:topLinePunct w:val="0"/>
        <w:autoSpaceDE w:val="0"/>
        <w:autoSpaceDN w:val="0"/>
        <w:bidi w:val="0"/>
        <w:adjustRightInd w:val="0"/>
        <w:snapToGrid w:val="0"/>
        <w:spacing w:before="29"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（2）</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5"/>
          <w:sz w:val="24"/>
          <w:szCs w:val="24"/>
          <w:highlight w:val="none"/>
        </w:rPr>
        <w:t>暂时确定调整差额</w:t>
      </w:r>
    </w:p>
    <w:p w14:paraId="76560870">
      <w:pPr>
        <w:pStyle w:val="2"/>
        <w:keepNext w:val="0"/>
        <w:keepLines w:val="0"/>
        <w:pageBreakBefore w:val="0"/>
        <w:widowControl/>
        <w:kinsoku w:val="0"/>
        <w:wordWrap/>
        <w:overflowPunct/>
        <w:topLinePunct w:val="0"/>
        <w:autoSpaceDE w:val="0"/>
        <w:autoSpaceDN w:val="0"/>
        <w:bidi w:val="0"/>
        <w:adjustRightInd w:val="0"/>
        <w:snapToGrid w:val="0"/>
        <w:spacing w:before="25" w:line="238" w:lineRule="auto"/>
        <w:ind w:left="22" w:right="70" w:firstLine="5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在计算调整差额时得不到当期价格指数的，可暂用上一次价格指数计算，并在以后的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付款中再按实际价格指数进行调整。</w:t>
      </w:r>
    </w:p>
    <w:p w14:paraId="6B7E2E9B">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w:t>
      </w:r>
      <w:r>
        <w:rPr>
          <w:rFonts w:hint="eastAsia" w:ascii="仿宋" w:hAnsi="仿宋" w:eastAsia="仿宋" w:cs="仿宋"/>
          <w:color w:val="auto"/>
          <w:spacing w:val="26"/>
          <w:sz w:val="24"/>
          <w:szCs w:val="24"/>
          <w:highlight w:val="none"/>
        </w:rPr>
        <w:t xml:space="preserve"> </w:t>
      </w:r>
      <w:r>
        <w:rPr>
          <w:rFonts w:hint="eastAsia" w:ascii="仿宋" w:hAnsi="仿宋" w:eastAsia="仿宋" w:cs="仿宋"/>
          <w:color w:val="auto"/>
          <w:spacing w:val="4"/>
          <w:sz w:val="24"/>
          <w:szCs w:val="24"/>
          <w:highlight w:val="none"/>
        </w:rPr>
        <w:t>权重的调整</w:t>
      </w:r>
    </w:p>
    <w:p w14:paraId="58A44E0E">
      <w:pPr>
        <w:pStyle w:val="2"/>
        <w:keepNext w:val="0"/>
        <w:keepLines w:val="0"/>
        <w:pageBreakBefore w:val="0"/>
        <w:widowControl/>
        <w:kinsoku w:val="0"/>
        <w:wordWrap/>
        <w:overflowPunct/>
        <w:topLinePunct w:val="0"/>
        <w:autoSpaceDE w:val="0"/>
        <w:autoSpaceDN w:val="0"/>
        <w:bidi w:val="0"/>
        <w:adjustRightInd w:val="0"/>
        <w:snapToGrid w:val="0"/>
        <w:spacing w:before="25"/>
        <w:ind w:left="26" w:right="68" w:firstLine="59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按第</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8"/>
          <w:sz w:val="24"/>
          <w:szCs w:val="24"/>
          <w:highlight w:val="none"/>
        </w:rPr>
        <w:t>13.1</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8"/>
          <w:sz w:val="24"/>
          <w:szCs w:val="24"/>
          <w:highlight w:val="none"/>
        </w:rPr>
        <w:t>款[发包人变更权]约定的变更导致原定合同中的权重不合理的，</w:t>
      </w:r>
      <w:r>
        <w:rPr>
          <w:rFonts w:hint="eastAsia" w:ascii="仿宋" w:hAnsi="仿宋" w:eastAsia="仿宋" w:cs="仿宋"/>
          <w:color w:val="auto"/>
          <w:spacing w:val="-58"/>
          <w:sz w:val="24"/>
          <w:szCs w:val="24"/>
          <w:highlight w:val="none"/>
        </w:rPr>
        <w:t xml:space="preserve"> </w:t>
      </w:r>
      <w:r>
        <w:rPr>
          <w:rFonts w:hint="eastAsia" w:ascii="仿宋" w:hAnsi="仿宋" w:eastAsia="仿宋" w:cs="仿宋"/>
          <w:color w:val="auto"/>
          <w:spacing w:val="8"/>
          <w:sz w:val="24"/>
          <w:szCs w:val="24"/>
          <w:highlight w:val="none"/>
        </w:rPr>
        <w:t>由工程师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与承包人和发包人协商后进行调整。</w:t>
      </w:r>
    </w:p>
    <w:p w14:paraId="5F9617BB">
      <w:pPr>
        <w:pStyle w:val="2"/>
        <w:keepNext w:val="0"/>
        <w:keepLines w:val="0"/>
        <w:pageBreakBefore w:val="0"/>
        <w:widowControl/>
        <w:kinsoku w:val="0"/>
        <w:wordWrap/>
        <w:overflowPunct/>
        <w:topLinePunct w:val="0"/>
        <w:autoSpaceDE w:val="0"/>
        <w:autoSpaceDN w:val="0"/>
        <w:bidi w:val="0"/>
        <w:adjustRightInd w:val="0"/>
        <w:snapToGrid w:val="0"/>
        <w:spacing w:before="27" w:line="226"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（4） 承包人原因工期延误后的价格调整</w:t>
      </w:r>
    </w:p>
    <w:p w14:paraId="5B656DA7">
      <w:pPr>
        <w:pStyle w:val="2"/>
        <w:keepNext w:val="0"/>
        <w:keepLines w:val="0"/>
        <w:pageBreakBefore w:val="0"/>
        <w:widowControl/>
        <w:kinsoku w:val="0"/>
        <w:wordWrap/>
        <w:overflowPunct/>
        <w:topLinePunct w:val="0"/>
        <w:autoSpaceDE w:val="0"/>
        <w:autoSpaceDN w:val="0"/>
        <w:bidi w:val="0"/>
        <w:adjustRightInd w:val="0"/>
        <w:snapToGrid w:val="0"/>
        <w:spacing w:before="26" w:line="243" w:lineRule="auto"/>
        <w:ind w:left="23" w:right="70" w:firstLine="6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因承包人原因未在约定的工期内竣工的，则</w:t>
      </w:r>
      <w:r>
        <w:rPr>
          <w:rFonts w:hint="eastAsia" w:ascii="仿宋" w:hAnsi="仿宋" w:eastAsia="仿宋" w:cs="仿宋"/>
          <w:color w:val="auto"/>
          <w:spacing w:val="7"/>
          <w:sz w:val="24"/>
          <w:szCs w:val="24"/>
          <w:highlight w:val="none"/>
        </w:rPr>
        <w:t>对原约定竣工日期后继续施工的工程，在</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使用本款第(1)项价格调整公式时，应采用原约定竣</w:t>
      </w:r>
      <w:r>
        <w:rPr>
          <w:rFonts w:hint="eastAsia" w:ascii="仿宋" w:hAnsi="仿宋" w:eastAsia="仿宋" w:cs="仿宋"/>
          <w:color w:val="auto"/>
          <w:spacing w:val="9"/>
          <w:sz w:val="24"/>
          <w:szCs w:val="24"/>
          <w:highlight w:val="none"/>
        </w:rPr>
        <w:t>工日期与实际竣工日期的两个价格指数</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中较低的一个作为当期价格指数。</w:t>
      </w:r>
    </w:p>
    <w:p w14:paraId="3EEF6CED">
      <w:pPr>
        <w:pStyle w:val="2"/>
        <w:keepNext w:val="0"/>
        <w:keepLines w:val="0"/>
        <w:pageBreakBefore w:val="0"/>
        <w:widowControl/>
        <w:kinsoku w:val="0"/>
        <w:wordWrap/>
        <w:overflowPunct/>
        <w:topLinePunct w:val="0"/>
        <w:autoSpaceDE w:val="0"/>
        <w:autoSpaceDN w:val="0"/>
        <w:bidi w:val="0"/>
        <w:adjustRightInd w:val="0"/>
        <w:snapToGrid w:val="0"/>
        <w:spacing w:before="27" w:line="226"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（5） 发包人引起的工期延误后的价格调整</w:t>
      </w:r>
    </w:p>
    <w:p w14:paraId="7CF0A79D">
      <w:pPr>
        <w:keepNext w:val="0"/>
        <w:keepLines w:val="0"/>
        <w:pageBreakBefore w:val="0"/>
        <w:widowControl/>
        <w:kinsoku w:val="0"/>
        <w:wordWrap/>
        <w:overflowPunct/>
        <w:topLinePunct w:val="0"/>
        <w:autoSpaceDE w:val="0"/>
        <w:autoSpaceDN w:val="0"/>
        <w:bidi w:val="0"/>
        <w:adjustRightInd w:val="0"/>
        <w:snapToGrid w:val="0"/>
        <w:spacing w:line="226" w:lineRule="auto"/>
        <w:textAlignment w:val="baseline"/>
        <w:outlineLvl w:val="9"/>
        <w:rPr>
          <w:rFonts w:hint="eastAsia" w:ascii="仿宋" w:hAnsi="仿宋" w:eastAsia="仿宋" w:cs="仿宋"/>
          <w:color w:val="auto"/>
          <w:sz w:val="24"/>
          <w:szCs w:val="24"/>
          <w:highlight w:val="none"/>
        </w:rPr>
      </w:pPr>
    </w:p>
    <w:p w14:paraId="11E65620">
      <w:pPr>
        <w:pStyle w:val="2"/>
        <w:keepNext w:val="0"/>
        <w:keepLines w:val="0"/>
        <w:pageBreakBefore w:val="0"/>
        <w:widowControl/>
        <w:kinsoku w:val="0"/>
        <w:wordWrap/>
        <w:overflowPunct/>
        <w:topLinePunct w:val="0"/>
        <w:autoSpaceDE w:val="0"/>
        <w:autoSpaceDN w:val="0"/>
        <w:bidi w:val="0"/>
        <w:adjustRightInd w:val="0"/>
        <w:snapToGrid w:val="0"/>
        <w:spacing w:before="41" w:line="243" w:lineRule="auto"/>
        <w:ind w:left="21" w:right="146" w:firstLine="626"/>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由于发包人原因未在约定的工期内竣工的，则对原约定</w:t>
      </w:r>
      <w:r>
        <w:rPr>
          <w:rFonts w:hint="eastAsia" w:ascii="仿宋" w:hAnsi="仿宋" w:eastAsia="仿宋" w:cs="仿宋"/>
          <w:color w:val="auto"/>
          <w:spacing w:val="7"/>
          <w:sz w:val="24"/>
          <w:szCs w:val="24"/>
          <w:highlight w:val="none"/>
        </w:rPr>
        <w:t>竣工日期后继续施工的工程，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在使用本款第（1）</w:t>
      </w:r>
      <w:r>
        <w:rPr>
          <w:rFonts w:hint="eastAsia" w:ascii="仿宋" w:hAnsi="仿宋" w:eastAsia="仿宋" w:cs="仿宋"/>
          <w:color w:val="auto"/>
          <w:spacing w:val="-25"/>
          <w:sz w:val="24"/>
          <w:szCs w:val="24"/>
          <w:highlight w:val="none"/>
        </w:rPr>
        <w:t xml:space="preserve"> </w:t>
      </w:r>
      <w:r>
        <w:rPr>
          <w:rFonts w:hint="eastAsia" w:ascii="仿宋" w:hAnsi="仿宋" w:eastAsia="仿宋" w:cs="仿宋"/>
          <w:color w:val="auto"/>
          <w:spacing w:val="8"/>
          <w:sz w:val="24"/>
          <w:szCs w:val="24"/>
          <w:highlight w:val="none"/>
        </w:rPr>
        <w:t>目价格调整公式时，应采用原约定竣工日期与实际竣工日期的两个价格</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指数中较高的一个作为当期价格指数。</w:t>
      </w:r>
    </w:p>
    <w:p w14:paraId="0511C010">
      <w:pPr>
        <w:pStyle w:val="2"/>
        <w:keepNext w:val="0"/>
        <w:keepLines w:val="0"/>
        <w:pageBreakBefore w:val="0"/>
        <w:widowControl/>
        <w:kinsoku w:val="0"/>
        <w:wordWrap/>
        <w:overflowPunct/>
        <w:topLinePunct w:val="0"/>
        <w:autoSpaceDE w:val="0"/>
        <w:autoSpaceDN w:val="0"/>
        <w:bidi w:val="0"/>
        <w:adjustRightInd w:val="0"/>
        <w:snapToGrid w:val="0"/>
        <w:spacing w:before="28" w:line="226"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"13.8.2.2"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13.8.2.2</w:t>
      </w:r>
      <w:r>
        <w:rPr>
          <w:rFonts w:hint="eastAsia" w:ascii="仿宋" w:hAnsi="仿宋" w:eastAsia="仿宋" w:cs="仿宋"/>
          <w:color w:val="auto"/>
          <w:spacing w:val="8"/>
          <w:sz w:val="24"/>
          <w:szCs w:val="24"/>
          <w:highlight w:val="none"/>
        </w:rPr>
        <w:fldChar w:fldCharType="end"/>
      </w:r>
      <w:r>
        <w:rPr>
          <w:rFonts w:hint="eastAsia" w:ascii="仿宋" w:hAnsi="仿宋" w:eastAsia="仿宋" w:cs="仿宋"/>
          <w:color w:val="auto"/>
          <w:spacing w:val="8"/>
          <w:sz w:val="24"/>
          <w:szCs w:val="24"/>
          <w:highlight w:val="none"/>
        </w:rPr>
        <w:t xml:space="preserve"> 未列入《价格指数权重表</w:t>
      </w:r>
      <w:r>
        <w:rPr>
          <w:rFonts w:hint="eastAsia" w:ascii="仿宋" w:hAnsi="仿宋" w:eastAsia="仿宋" w:cs="仿宋"/>
          <w:color w:val="auto"/>
          <w:spacing w:val="7"/>
          <w:sz w:val="24"/>
          <w:szCs w:val="24"/>
          <w:highlight w:val="none"/>
        </w:rPr>
        <w:t>》的费用不因市场变化而调整。</w:t>
      </w:r>
    </w:p>
    <w:p w14:paraId="748FFAF9">
      <w:pPr>
        <w:pStyle w:val="2"/>
        <w:keepNext w:val="0"/>
        <w:keepLines w:val="0"/>
        <w:pageBreakBefore w:val="0"/>
        <w:widowControl/>
        <w:kinsoku w:val="0"/>
        <w:wordWrap/>
        <w:overflowPunct/>
        <w:topLinePunct w:val="0"/>
        <w:autoSpaceDE w:val="0"/>
        <w:autoSpaceDN w:val="0"/>
        <w:bidi w:val="0"/>
        <w:adjustRightInd w:val="0"/>
        <w:snapToGrid w:val="0"/>
        <w:spacing w:before="146" w:line="226"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13.8.3 双方约定采用其他方式调整合同价款的，</w:t>
      </w:r>
      <w:r>
        <w:rPr>
          <w:rFonts w:hint="eastAsia" w:ascii="仿宋" w:hAnsi="仿宋" w:eastAsia="仿宋" w:cs="仿宋"/>
          <w:color w:val="auto"/>
          <w:spacing w:val="-60"/>
          <w:sz w:val="24"/>
          <w:szCs w:val="24"/>
          <w:highlight w:val="none"/>
        </w:rPr>
        <w:t xml:space="preserve"> </w:t>
      </w:r>
      <w:r>
        <w:rPr>
          <w:rFonts w:hint="eastAsia" w:ascii="仿宋" w:hAnsi="仿宋" w:eastAsia="仿宋" w:cs="仿宋"/>
          <w:color w:val="auto"/>
          <w:spacing w:val="7"/>
          <w:sz w:val="24"/>
          <w:szCs w:val="24"/>
          <w:highlight w:val="none"/>
        </w:rPr>
        <w:t>以专用合同条件约定为准。</w:t>
      </w:r>
    </w:p>
    <w:p w14:paraId="78EC7F47">
      <w:pPr>
        <w:pStyle w:val="2"/>
        <w:keepNext w:val="0"/>
        <w:keepLines w:val="0"/>
        <w:pageBreakBefore w:val="0"/>
        <w:widowControl/>
        <w:kinsoku w:val="0"/>
        <w:wordWrap/>
        <w:overflowPunct/>
        <w:topLinePunct w:val="0"/>
        <w:autoSpaceDE w:val="0"/>
        <w:autoSpaceDN w:val="0"/>
        <w:bidi w:val="0"/>
        <w:adjustRightInd w:val="0"/>
        <w:snapToGrid w:val="0"/>
        <w:spacing w:before="148" w:line="226" w:lineRule="auto"/>
        <w:ind w:left="307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第14条 合同价格与支付</w:t>
      </w:r>
    </w:p>
    <w:p w14:paraId="6F1AF500">
      <w:pPr>
        <w:pStyle w:val="2"/>
        <w:keepNext w:val="0"/>
        <w:keepLines w:val="0"/>
        <w:pageBreakBefore w:val="0"/>
        <w:widowControl/>
        <w:kinsoku w:val="0"/>
        <w:wordWrap/>
        <w:overflowPunct/>
        <w:topLinePunct w:val="0"/>
        <w:autoSpaceDE w:val="0"/>
        <w:autoSpaceDN w:val="0"/>
        <w:bidi w:val="0"/>
        <w:adjustRightInd w:val="0"/>
        <w:snapToGrid w:val="0"/>
        <w:spacing w:before="27" w:line="226"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14.1 合同价格形式</w:t>
      </w:r>
    </w:p>
    <w:p w14:paraId="6ADCCD90">
      <w:pPr>
        <w:pStyle w:val="2"/>
        <w:keepNext w:val="0"/>
        <w:keepLines w:val="0"/>
        <w:pageBreakBefore w:val="0"/>
        <w:widowControl/>
        <w:kinsoku w:val="0"/>
        <w:wordWrap/>
        <w:overflowPunct/>
        <w:topLinePunct w:val="0"/>
        <w:autoSpaceDE w:val="0"/>
        <w:autoSpaceDN w:val="0"/>
        <w:bidi w:val="0"/>
        <w:adjustRightInd w:val="0"/>
        <w:snapToGrid w:val="0"/>
        <w:spacing w:before="149" w:line="238" w:lineRule="auto"/>
        <w:ind w:left="45" w:right="117" w:hanging="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14.1.1 除专用合同条件中另有约定外，本合同为总价合同，除根据第</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6"/>
          <w:sz w:val="24"/>
          <w:szCs w:val="24"/>
          <w:highlight w:val="none"/>
        </w:rPr>
        <w:t>13</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6"/>
          <w:sz w:val="24"/>
          <w:szCs w:val="24"/>
          <w:highlight w:val="none"/>
        </w:rPr>
        <w:t>条[变更与调整]，</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以及合同中其它相关增减金额的约定进行调整外，合同价格不做调整。</w:t>
      </w:r>
    </w:p>
    <w:p w14:paraId="6EC4B49A">
      <w:pPr>
        <w:pStyle w:val="2"/>
        <w:keepNext w:val="0"/>
        <w:keepLines w:val="0"/>
        <w:pageBreakBefore w:val="0"/>
        <w:widowControl/>
        <w:kinsoku w:val="0"/>
        <w:wordWrap/>
        <w:overflowPunct/>
        <w:topLinePunct w:val="0"/>
        <w:autoSpaceDE w:val="0"/>
        <w:autoSpaceDN w:val="0"/>
        <w:bidi w:val="0"/>
        <w:adjustRightInd w:val="0"/>
        <w:snapToGrid w:val="0"/>
        <w:spacing w:before="148"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14.1.2 除专用合同条件另有约定外：</w:t>
      </w:r>
    </w:p>
    <w:p w14:paraId="3C63F5CC">
      <w:pPr>
        <w:pStyle w:val="2"/>
        <w:keepNext w:val="0"/>
        <w:keepLines w:val="0"/>
        <w:pageBreakBefore w:val="0"/>
        <w:widowControl/>
        <w:kinsoku w:val="0"/>
        <w:wordWrap/>
        <w:overflowPunct/>
        <w:topLinePunct w:val="0"/>
        <w:autoSpaceDE w:val="0"/>
        <w:autoSpaceDN w:val="0"/>
        <w:bidi w:val="0"/>
        <w:adjustRightInd w:val="0"/>
        <w:snapToGrid w:val="0"/>
        <w:spacing w:before="145"/>
        <w:ind w:left="23" w:right="159"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工程款的支付应以合同协议书约定的签约合同价格为基础，按照合同约定进行</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2"/>
          <w:sz w:val="24"/>
          <w:szCs w:val="24"/>
          <w:highlight w:val="none"/>
        </w:rPr>
        <w:t>调整；</w:t>
      </w:r>
    </w:p>
    <w:p w14:paraId="159C6EB8">
      <w:pPr>
        <w:pStyle w:val="2"/>
        <w:keepNext w:val="0"/>
        <w:keepLines w:val="0"/>
        <w:pageBreakBefore w:val="0"/>
        <w:widowControl/>
        <w:kinsoku w:val="0"/>
        <w:wordWrap/>
        <w:overflowPunct/>
        <w:topLinePunct w:val="0"/>
        <w:autoSpaceDE w:val="0"/>
        <w:autoSpaceDN w:val="0"/>
        <w:bidi w:val="0"/>
        <w:adjustRightInd w:val="0"/>
        <w:snapToGrid w:val="0"/>
        <w:spacing w:before="25" w:line="238" w:lineRule="auto"/>
        <w:ind w:left="54" w:right="159" w:firstLine="57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（2） 承包人应支付根据法律规定或合同约定应由其支付的各项税费，除</w:t>
      </w:r>
      <w:r>
        <w:rPr>
          <w:rFonts w:hint="eastAsia" w:ascii="仿宋" w:hAnsi="仿宋" w:eastAsia="仿宋" w:cs="仿宋"/>
          <w:color w:val="auto"/>
          <w:spacing w:val="8"/>
          <w:sz w:val="24"/>
          <w:szCs w:val="24"/>
          <w:highlight w:val="none"/>
        </w:rPr>
        <w:t>第</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8"/>
          <w:sz w:val="24"/>
          <w:szCs w:val="24"/>
          <w:highlight w:val="none"/>
        </w:rPr>
        <w:t>13.7</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8"/>
          <w:sz w:val="24"/>
          <w:szCs w:val="24"/>
          <w:highlight w:val="none"/>
        </w:rPr>
        <w:t>款</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[法律变化引起的调整]约定外，合同价格不应因任何这些税费进行调整；</w:t>
      </w:r>
    </w:p>
    <w:p w14:paraId="1966F00A">
      <w:pPr>
        <w:pStyle w:val="2"/>
        <w:keepNext w:val="0"/>
        <w:keepLines w:val="0"/>
        <w:pageBreakBefore w:val="0"/>
        <w:widowControl/>
        <w:kinsoku w:val="0"/>
        <w:wordWrap/>
        <w:overflowPunct/>
        <w:topLinePunct w:val="0"/>
        <w:autoSpaceDE w:val="0"/>
        <w:autoSpaceDN w:val="0"/>
        <w:bidi w:val="0"/>
        <w:adjustRightInd w:val="0"/>
        <w:snapToGrid w:val="0"/>
        <w:spacing w:before="27" w:line="244" w:lineRule="auto"/>
        <w:ind w:left="23" w:right="160" w:firstLine="60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价格清单列出的任何数量仅为估算的工作量，不得将其视为要求承包人实施的</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工程的实际或准确的工作量。在价格清单中列出的任何工作量和价格数据应仅限用于变更和</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8"/>
          <w:sz w:val="24"/>
          <w:szCs w:val="24"/>
          <w:highlight w:val="none"/>
        </w:rPr>
        <w:t>支付的参考资料，而不能用于其他目的。</w:t>
      </w:r>
    </w:p>
    <w:p w14:paraId="035A24AA">
      <w:pPr>
        <w:pStyle w:val="2"/>
        <w:keepNext w:val="0"/>
        <w:keepLines w:val="0"/>
        <w:pageBreakBefore w:val="0"/>
        <w:widowControl/>
        <w:kinsoku w:val="0"/>
        <w:wordWrap/>
        <w:overflowPunct/>
        <w:topLinePunct w:val="0"/>
        <w:autoSpaceDE w:val="0"/>
        <w:autoSpaceDN w:val="0"/>
        <w:bidi w:val="0"/>
        <w:adjustRightInd w:val="0"/>
        <w:snapToGrid w:val="0"/>
        <w:spacing w:before="25" w:line="239" w:lineRule="auto"/>
        <w:ind w:left="27" w:right="160" w:firstLine="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14.1.3 合同约定工程的某部分按照实际完成的工程量进行支付的，应按</w:t>
      </w:r>
      <w:r>
        <w:rPr>
          <w:rFonts w:hint="eastAsia" w:ascii="仿宋" w:hAnsi="仿宋" w:eastAsia="仿宋" w:cs="仿宋"/>
          <w:color w:val="auto"/>
          <w:spacing w:val="8"/>
          <w:sz w:val="24"/>
          <w:szCs w:val="24"/>
          <w:highlight w:val="none"/>
        </w:rPr>
        <w:t>照专用合同条件的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约定进行计量和估价，并据此调整合同价格。</w:t>
      </w:r>
    </w:p>
    <w:p w14:paraId="3D470A14">
      <w:pPr>
        <w:pStyle w:val="2"/>
        <w:keepNext w:val="0"/>
        <w:keepLines w:val="0"/>
        <w:pageBreakBefore w:val="0"/>
        <w:widowControl/>
        <w:kinsoku w:val="0"/>
        <w:wordWrap/>
        <w:overflowPunct/>
        <w:topLinePunct w:val="0"/>
        <w:autoSpaceDE w:val="0"/>
        <w:autoSpaceDN w:val="0"/>
        <w:bidi w:val="0"/>
        <w:adjustRightInd w:val="0"/>
        <w:snapToGrid w:val="0"/>
        <w:spacing w:before="14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14.2</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2"/>
          <w:sz w:val="24"/>
          <w:szCs w:val="24"/>
          <w:highlight w:val="none"/>
        </w:rPr>
        <w:t>预付款</w:t>
      </w:r>
    </w:p>
    <w:p w14:paraId="5B55CA41">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14.2.1 预付款支付</w:t>
      </w:r>
    </w:p>
    <w:p w14:paraId="27AB2F94">
      <w:pPr>
        <w:pStyle w:val="2"/>
        <w:keepNext w:val="0"/>
        <w:keepLines w:val="0"/>
        <w:pageBreakBefore w:val="0"/>
        <w:widowControl/>
        <w:kinsoku w:val="0"/>
        <w:wordWrap/>
        <w:overflowPunct/>
        <w:topLinePunct w:val="0"/>
        <w:autoSpaceDE w:val="0"/>
        <w:autoSpaceDN w:val="0"/>
        <w:bidi w:val="0"/>
        <w:adjustRightInd w:val="0"/>
        <w:snapToGrid w:val="0"/>
        <w:spacing w:before="143" w:line="244" w:lineRule="auto"/>
        <w:ind w:left="21" w:right="160" w:firstLine="6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预付款的额度和支付按照专用合同条件约定执行。预付款应当专用于承包人为</w:t>
      </w:r>
      <w:r>
        <w:rPr>
          <w:rFonts w:hint="eastAsia" w:ascii="仿宋" w:hAnsi="仿宋" w:eastAsia="仿宋" w:cs="仿宋"/>
          <w:color w:val="auto"/>
          <w:spacing w:val="7"/>
          <w:sz w:val="24"/>
          <w:szCs w:val="24"/>
          <w:highlight w:val="none"/>
        </w:rPr>
        <w:t>合同工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程的设计和工程实施购置材料、工程设备、施工设备、修建临时设施以及组织施工队伍进场</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6"/>
          <w:sz w:val="24"/>
          <w:szCs w:val="24"/>
          <w:highlight w:val="none"/>
        </w:rPr>
        <w:t>等合同工作。</w:t>
      </w:r>
    </w:p>
    <w:p w14:paraId="137142AF">
      <w:pPr>
        <w:pStyle w:val="2"/>
        <w:keepNext w:val="0"/>
        <w:keepLines w:val="0"/>
        <w:pageBreakBefore w:val="0"/>
        <w:widowControl/>
        <w:kinsoku w:val="0"/>
        <w:wordWrap/>
        <w:overflowPunct/>
        <w:topLinePunct w:val="0"/>
        <w:autoSpaceDE w:val="0"/>
        <w:autoSpaceDN w:val="0"/>
        <w:bidi w:val="0"/>
        <w:adjustRightInd w:val="0"/>
        <w:snapToGrid w:val="0"/>
        <w:spacing w:before="27" w:line="238" w:lineRule="auto"/>
        <w:ind w:left="25" w:right="160"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除专用合同条件另有约定外，预付款在进度付款中同</w:t>
      </w:r>
      <w:r>
        <w:rPr>
          <w:rFonts w:hint="eastAsia" w:ascii="仿宋" w:hAnsi="仿宋" w:eastAsia="仿宋" w:cs="仿宋"/>
          <w:color w:val="auto"/>
          <w:spacing w:val="7"/>
          <w:sz w:val="24"/>
          <w:szCs w:val="24"/>
          <w:highlight w:val="none"/>
        </w:rPr>
        <w:t>比例扣回。在颁发工程接收证书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前，提前解除合同的，</w:t>
      </w:r>
      <w:r>
        <w:rPr>
          <w:rFonts w:hint="eastAsia" w:ascii="仿宋" w:hAnsi="仿宋" w:eastAsia="仿宋" w:cs="仿宋"/>
          <w:color w:val="auto"/>
          <w:spacing w:val="-59"/>
          <w:sz w:val="24"/>
          <w:szCs w:val="24"/>
          <w:highlight w:val="none"/>
        </w:rPr>
        <w:t xml:space="preserve"> </w:t>
      </w:r>
      <w:r>
        <w:rPr>
          <w:rFonts w:hint="eastAsia" w:ascii="仿宋" w:hAnsi="仿宋" w:eastAsia="仿宋" w:cs="仿宋"/>
          <w:color w:val="auto"/>
          <w:spacing w:val="8"/>
          <w:sz w:val="24"/>
          <w:szCs w:val="24"/>
          <w:highlight w:val="none"/>
        </w:rPr>
        <w:t>尚未扣完的预付款应与合</w:t>
      </w:r>
      <w:r>
        <w:rPr>
          <w:rFonts w:hint="eastAsia" w:ascii="仿宋" w:hAnsi="仿宋" w:eastAsia="仿宋" w:cs="仿宋"/>
          <w:color w:val="auto"/>
          <w:spacing w:val="7"/>
          <w:sz w:val="24"/>
          <w:szCs w:val="24"/>
          <w:highlight w:val="none"/>
        </w:rPr>
        <w:t>同价款一并结算。</w:t>
      </w:r>
    </w:p>
    <w:p w14:paraId="5C57B045">
      <w:pPr>
        <w:pStyle w:val="2"/>
        <w:keepNext w:val="0"/>
        <w:keepLines w:val="0"/>
        <w:pageBreakBefore w:val="0"/>
        <w:widowControl/>
        <w:kinsoku w:val="0"/>
        <w:wordWrap/>
        <w:overflowPunct/>
        <w:topLinePunct w:val="0"/>
        <w:autoSpaceDE w:val="0"/>
        <w:autoSpaceDN w:val="0"/>
        <w:bidi w:val="0"/>
        <w:adjustRightInd w:val="0"/>
        <w:snapToGrid w:val="0"/>
        <w:spacing w:before="27" w:line="244" w:lineRule="auto"/>
        <w:ind w:left="25" w:right="146"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发包人逾期支付预付款超过</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7"/>
          <w:sz w:val="24"/>
          <w:szCs w:val="24"/>
          <w:highlight w:val="none"/>
        </w:rPr>
        <w:t>天的，承包人有权向发包人发出要求预付的催告通知，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发包人收到通知后</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5"/>
          <w:sz w:val="24"/>
          <w:szCs w:val="24"/>
          <w:highlight w:val="none"/>
        </w:rPr>
        <w:t>7</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5"/>
          <w:sz w:val="24"/>
          <w:szCs w:val="24"/>
          <w:highlight w:val="none"/>
        </w:rPr>
        <w:t>天内仍未支付的，承包人有权暂停施工，并按第</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5"/>
          <w:sz w:val="24"/>
          <w:szCs w:val="24"/>
          <w:highlight w:val="none"/>
        </w:rPr>
        <w:t>15.1.1</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5"/>
          <w:sz w:val="24"/>
          <w:szCs w:val="24"/>
          <w:highlight w:val="none"/>
        </w:rPr>
        <w:t>项[发包人违约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的情形]执行。</w:t>
      </w:r>
    </w:p>
    <w:p w14:paraId="45F9CB2B">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14.2.2 预付款担保</w:t>
      </w:r>
    </w:p>
    <w:p w14:paraId="3B39E07F">
      <w:pPr>
        <w:pStyle w:val="2"/>
        <w:keepNext w:val="0"/>
        <w:keepLines w:val="0"/>
        <w:pageBreakBefore w:val="0"/>
        <w:widowControl/>
        <w:kinsoku w:val="0"/>
        <w:wordWrap/>
        <w:overflowPunct/>
        <w:topLinePunct w:val="0"/>
        <w:autoSpaceDE w:val="0"/>
        <w:autoSpaceDN w:val="0"/>
        <w:bidi w:val="0"/>
        <w:adjustRightInd w:val="0"/>
        <w:snapToGrid w:val="0"/>
        <w:spacing w:before="148" w:line="245" w:lineRule="auto"/>
        <w:ind w:left="23" w:right="117" w:firstLine="60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发包人指示承包人提供预付款担保的，承包人应在发包人支付预付款</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天前提供预付</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款担保，专用合同条件另有约定除外。预付款担保可采用银行保函、担保公司担保等形式，</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7"/>
          <w:sz w:val="24"/>
          <w:szCs w:val="24"/>
          <w:highlight w:val="none"/>
        </w:rPr>
        <w:t>具体由合同当事人在专用合同条件中约定。在预付款完全扣回之前，承包人应保证预付款担</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6"/>
          <w:sz w:val="24"/>
          <w:szCs w:val="24"/>
          <w:highlight w:val="none"/>
        </w:rPr>
        <w:t>保持续有效。</w:t>
      </w:r>
    </w:p>
    <w:p w14:paraId="16B7AA07">
      <w:pPr>
        <w:pStyle w:val="2"/>
        <w:keepNext w:val="0"/>
        <w:keepLines w:val="0"/>
        <w:pageBreakBefore w:val="0"/>
        <w:widowControl/>
        <w:kinsoku w:val="0"/>
        <w:wordWrap/>
        <w:overflowPunct/>
        <w:topLinePunct w:val="0"/>
        <w:autoSpaceDE w:val="0"/>
        <w:autoSpaceDN w:val="0"/>
        <w:bidi w:val="0"/>
        <w:adjustRightInd w:val="0"/>
        <w:snapToGrid w:val="0"/>
        <w:spacing w:before="25"/>
        <w:ind w:left="23" w:right="160" w:firstLine="6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发包人在工程款中逐期扣回预付款后，预付款担保额度应相应减少，但剩</w:t>
      </w:r>
      <w:r>
        <w:rPr>
          <w:rFonts w:hint="eastAsia" w:ascii="仿宋" w:hAnsi="仿宋" w:eastAsia="仿宋" w:cs="仿宋"/>
          <w:color w:val="auto"/>
          <w:spacing w:val="7"/>
          <w:sz w:val="24"/>
          <w:szCs w:val="24"/>
          <w:highlight w:val="none"/>
        </w:rPr>
        <w:t>余的预付款</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担保金额不得低于未被扣回的预付款金额。</w:t>
      </w:r>
    </w:p>
    <w:p w14:paraId="4A954445">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14.3 工程进度款</w:t>
      </w:r>
    </w:p>
    <w:p w14:paraId="6E1ECB38">
      <w:pPr>
        <w:pStyle w:val="2"/>
        <w:keepNext w:val="0"/>
        <w:keepLines w:val="0"/>
        <w:pageBreakBefore w:val="0"/>
        <w:widowControl/>
        <w:kinsoku w:val="0"/>
        <w:wordWrap/>
        <w:overflowPunct/>
        <w:topLinePunct w:val="0"/>
        <w:autoSpaceDE w:val="0"/>
        <w:autoSpaceDN w:val="0"/>
        <w:bidi w:val="0"/>
        <w:adjustRightInd w:val="0"/>
        <w:snapToGrid w:val="0"/>
        <w:spacing w:before="14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14.3.1 工程进度付款申请</w:t>
      </w:r>
    </w:p>
    <w:p w14:paraId="48553358">
      <w:pPr>
        <w:pStyle w:val="2"/>
        <w:keepNext w:val="0"/>
        <w:keepLines w:val="0"/>
        <w:pageBreakBefore w:val="0"/>
        <w:widowControl/>
        <w:kinsoku w:val="0"/>
        <w:wordWrap/>
        <w:overflowPunct/>
        <w:topLinePunct w:val="0"/>
        <w:autoSpaceDE w:val="0"/>
        <w:autoSpaceDN w:val="0"/>
        <w:bidi w:val="0"/>
        <w:adjustRightInd w:val="0"/>
        <w:snapToGrid w:val="0"/>
        <w:spacing w:before="146"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（1）人工费的申请</w:t>
      </w:r>
    </w:p>
    <w:p w14:paraId="2946E64E">
      <w:pPr>
        <w:pStyle w:val="2"/>
        <w:keepNext w:val="0"/>
        <w:keepLines w:val="0"/>
        <w:pageBreakBefore w:val="0"/>
        <w:widowControl/>
        <w:kinsoku w:val="0"/>
        <w:wordWrap/>
        <w:overflowPunct/>
        <w:topLinePunct w:val="0"/>
        <w:autoSpaceDE w:val="0"/>
        <w:autoSpaceDN w:val="0"/>
        <w:bidi w:val="0"/>
        <w:adjustRightInd w:val="0"/>
        <w:snapToGrid w:val="0"/>
        <w:spacing w:before="26" w:line="245" w:lineRule="auto"/>
        <w:ind w:left="23"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人工费应按月支付，工程师应在收到承包人人工费付款申请单以及相关资料后</w:t>
      </w:r>
      <w:r>
        <w:rPr>
          <w:rFonts w:hint="eastAsia" w:ascii="仿宋" w:hAnsi="仿宋" w:eastAsia="仿宋" w:cs="仿宋"/>
          <w:color w:val="auto"/>
          <w:spacing w:val="-27"/>
          <w:sz w:val="24"/>
          <w:szCs w:val="24"/>
          <w:highlight w:val="none"/>
        </w:rPr>
        <w:t xml:space="preserve"> </w:t>
      </w:r>
      <w:r>
        <w:rPr>
          <w:rFonts w:hint="eastAsia" w:ascii="仿宋" w:hAnsi="仿宋" w:eastAsia="仿宋" w:cs="仿宋"/>
          <w:color w:val="auto"/>
          <w:spacing w:val="6"/>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 xml:space="preserve">天内  </w:t>
      </w:r>
      <w:r>
        <w:rPr>
          <w:rFonts w:hint="eastAsia" w:ascii="仿宋" w:hAnsi="仿宋" w:eastAsia="仿宋" w:cs="仿宋"/>
          <w:color w:val="auto"/>
          <w:spacing w:val="5"/>
          <w:sz w:val="24"/>
          <w:szCs w:val="24"/>
          <w:highlight w:val="none"/>
        </w:rPr>
        <w:t>完成审查并报送发包人，发包人应在收到后</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5"/>
          <w:sz w:val="24"/>
          <w:szCs w:val="24"/>
          <w:highlight w:val="none"/>
        </w:rPr>
        <w:t>7</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5"/>
          <w:sz w:val="24"/>
          <w:szCs w:val="24"/>
          <w:highlight w:val="none"/>
        </w:rPr>
        <w:t>天内完成审批并向承包人签发人工费支付证书，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发包人应在人工费支付证书签发后</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6"/>
          <w:sz w:val="24"/>
          <w:szCs w:val="24"/>
          <w:highlight w:val="none"/>
        </w:rPr>
        <w:t>7</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6"/>
          <w:sz w:val="24"/>
          <w:szCs w:val="24"/>
          <w:highlight w:val="none"/>
        </w:rPr>
        <w:t>天内完成支付。已支付的人工费部分</w:t>
      </w:r>
      <w:r>
        <w:rPr>
          <w:rFonts w:hint="eastAsia" w:ascii="仿宋" w:hAnsi="仿宋" w:eastAsia="仿宋" w:cs="仿宋"/>
          <w:color w:val="auto"/>
          <w:spacing w:val="5"/>
          <w:sz w:val="24"/>
          <w:szCs w:val="24"/>
          <w:highlight w:val="none"/>
        </w:rPr>
        <w:t xml:space="preserve">，发包人支付进度  </w:t>
      </w:r>
      <w:r>
        <w:rPr>
          <w:rFonts w:hint="eastAsia" w:ascii="仿宋" w:hAnsi="仿宋" w:eastAsia="仿宋" w:cs="仿宋"/>
          <w:color w:val="auto"/>
          <w:spacing w:val="7"/>
          <w:sz w:val="24"/>
          <w:szCs w:val="24"/>
          <w:highlight w:val="none"/>
        </w:rPr>
        <w:t>款时予以相应扣除。</w:t>
      </w:r>
    </w:p>
    <w:p w14:paraId="37668302">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23" w:right="160"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（2）除专用合同条件另有约定外，承包人应在每月月末向工程师提交进度付款申请</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单，该进度付款申请单应包括下列内容：</w:t>
      </w:r>
    </w:p>
    <w:p w14:paraId="5405407A">
      <w:pPr>
        <w:pStyle w:val="2"/>
        <w:keepNext w:val="0"/>
        <w:keepLines w:val="0"/>
        <w:pageBreakBefore w:val="0"/>
        <w:widowControl/>
        <w:kinsoku w:val="0"/>
        <w:wordWrap/>
        <w:overflowPunct/>
        <w:topLinePunct w:val="0"/>
        <w:autoSpaceDE w:val="0"/>
        <w:autoSpaceDN w:val="0"/>
        <w:bidi w:val="0"/>
        <w:adjustRightInd w:val="0"/>
        <w:snapToGrid w:val="0"/>
        <w:spacing w:before="27" w:line="227"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 截至本次付款周期内已完成工作对应的金额；</w:t>
      </w:r>
    </w:p>
    <w:p w14:paraId="504AB626">
      <w:pPr>
        <w:keepNext w:val="0"/>
        <w:keepLines w:val="0"/>
        <w:pageBreakBefore w:val="0"/>
        <w:widowControl/>
        <w:kinsoku w:val="0"/>
        <w:wordWrap/>
        <w:overflowPunct/>
        <w:topLinePunct w:val="0"/>
        <w:autoSpaceDE w:val="0"/>
        <w:autoSpaceDN w:val="0"/>
        <w:bidi w:val="0"/>
        <w:adjustRightInd w:val="0"/>
        <w:snapToGrid w:val="0"/>
        <w:spacing w:line="227" w:lineRule="auto"/>
        <w:textAlignment w:val="baseline"/>
        <w:outlineLvl w:val="9"/>
        <w:rPr>
          <w:rFonts w:hint="eastAsia" w:ascii="仿宋" w:hAnsi="仿宋" w:eastAsia="仿宋" w:cs="仿宋"/>
          <w:color w:val="auto"/>
          <w:sz w:val="24"/>
          <w:szCs w:val="24"/>
          <w:highlight w:val="none"/>
        </w:rPr>
        <w:sectPr>
          <w:footerReference r:id="rId38" w:type="default"/>
          <w:pgSz w:w="11906" w:h="16839"/>
          <w:pgMar w:top="1428" w:right="1641" w:bottom="1171" w:left="1785" w:header="0" w:footer="992" w:gutter="0"/>
          <w:pgNumType w:fmt="decimal"/>
          <w:cols w:space="720" w:num="1"/>
        </w:sectPr>
      </w:pPr>
    </w:p>
    <w:p w14:paraId="793B6662">
      <w:pPr>
        <w:pStyle w:val="2"/>
        <w:keepNext w:val="0"/>
        <w:keepLines w:val="0"/>
        <w:pageBreakBefore w:val="0"/>
        <w:widowControl/>
        <w:kinsoku w:val="0"/>
        <w:wordWrap/>
        <w:overflowPunct/>
        <w:topLinePunct w:val="0"/>
        <w:autoSpaceDE w:val="0"/>
        <w:autoSpaceDN w:val="0"/>
        <w:bidi w:val="0"/>
        <w:adjustRightInd w:val="0"/>
        <w:snapToGrid w:val="0"/>
        <w:spacing w:before="41" w:line="274" w:lineRule="exact"/>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position w:val="4"/>
          <w:sz w:val="24"/>
          <w:szCs w:val="24"/>
          <w:highlight w:val="none"/>
        </w:rPr>
        <w:t>2） 扣除依据本款第（1）</w:t>
      </w:r>
      <w:r>
        <w:rPr>
          <w:rFonts w:hint="eastAsia" w:ascii="仿宋" w:hAnsi="仿宋" w:eastAsia="仿宋" w:cs="仿宋"/>
          <w:color w:val="auto"/>
          <w:spacing w:val="-31"/>
          <w:position w:val="4"/>
          <w:sz w:val="24"/>
          <w:szCs w:val="24"/>
          <w:highlight w:val="none"/>
        </w:rPr>
        <w:t xml:space="preserve"> </w:t>
      </w:r>
      <w:r>
        <w:rPr>
          <w:rFonts w:hint="eastAsia" w:ascii="仿宋" w:hAnsi="仿宋" w:eastAsia="仿宋" w:cs="仿宋"/>
          <w:color w:val="auto"/>
          <w:spacing w:val="6"/>
          <w:position w:val="4"/>
          <w:sz w:val="24"/>
          <w:szCs w:val="24"/>
          <w:highlight w:val="none"/>
        </w:rPr>
        <w:t>目约定中已扣除的人工费金额；</w:t>
      </w:r>
    </w:p>
    <w:p w14:paraId="51C02C50">
      <w:pPr>
        <w:pStyle w:val="2"/>
        <w:keepNext w:val="0"/>
        <w:keepLines w:val="0"/>
        <w:pageBreakBefore w:val="0"/>
        <w:widowControl/>
        <w:kinsoku w:val="0"/>
        <w:wordWrap/>
        <w:overflowPunct/>
        <w:topLinePunct w:val="0"/>
        <w:autoSpaceDE w:val="0"/>
        <w:autoSpaceDN w:val="0"/>
        <w:bidi w:val="0"/>
        <w:adjustRightInd w:val="0"/>
        <w:snapToGrid w:val="0"/>
        <w:spacing w:line="227"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根据第</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7"/>
          <w:sz w:val="24"/>
          <w:szCs w:val="24"/>
          <w:highlight w:val="none"/>
        </w:rPr>
        <w:t>13</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7"/>
          <w:sz w:val="24"/>
          <w:szCs w:val="24"/>
          <w:highlight w:val="none"/>
        </w:rPr>
        <w:t>条[变更与调整]应增加和扣减</w:t>
      </w:r>
      <w:r>
        <w:rPr>
          <w:rFonts w:hint="eastAsia" w:ascii="仿宋" w:hAnsi="仿宋" w:eastAsia="仿宋" w:cs="仿宋"/>
          <w:color w:val="auto"/>
          <w:spacing w:val="6"/>
          <w:sz w:val="24"/>
          <w:szCs w:val="24"/>
          <w:highlight w:val="none"/>
        </w:rPr>
        <w:t>的变更金额；</w:t>
      </w:r>
    </w:p>
    <w:p w14:paraId="09AFCD48">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 根据第</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7"/>
          <w:sz w:val="24"/>
          <w:szCs w:val="24"/>
          <w:highlight w:val="none"/>
        </w:rPr>
        <w:t>14.2</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7"/>
          <w:sz w:val="24"/>
          <w:szCs w:val="24"/>
          <w:highlight w:val="none"/>
        </w:rPr>
        <w:t>款[预付款]约定应支付的预付款和扣减的返还预付款；</w:t>
      </w:r>
    </w:p>
    <w:p w14:paraId="70265767">
      <w:pPr>
        <w:pStyle w:val="2"/>
        <w:keepNext w:val="0"/>
        <w:keepLines w:val="0"/>
        <w:pageBreakBefore w:val="0"/>
        <w:widowControl/>
        <w:kinsoku w:val="0"/>
        <w:wordWrap/>
        <w:overflowPunct/>
        <w:topLinePunct w:val="0"/>
        <w:autoSpaceDE w:val="0"/>
        <w:autoSpaceDN w:val="0"/>
        <w:bidi w:val="0"/>
        <w:adjustRightInd w:val="0"/>
        <w:snapToGrid w:val="0"/>
        <w:spacing w:before="26" w:line="239" w:lineRule="auto"/>
        <w:ind w:left="623" w:right="976" w:firstLine="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5） 根据第</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6"/>
          <w:sz w:val="24"/>
          <w:szCs w:val="24"/>
          <w:highlight w:val="none"/>
        </w:rPr>
        <w:t>14.6.2</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6"/>
          <w:sz w:val="24"/>
          <w:szCs w:val="24"/>
          <w:highlight w:val="none"/>
        </w:rPr>
        <w:t>项[质量保证金的预留]约定应预留的</w:t>
      </w:r>
      <w:r>
        <w:rPr>
          <w:rFonts w:hint="eastAsia" w:ascii="仿宋" w:hAnsi="仿宋" w:eastAsia="仿宋" w:cs="仿宋"/>
          <w:color w:val="auto"/>
          <w:spacing w:val="5"/>
          <w:sz w:val="24"/>
          <w:szCs w:val="24"/>
          <w:highlight w:val="none"/>
        </w:rPr>
        <w:t>质量保证金金额；</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6） 根据第</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6"/>
          <w:sz w:val="24"/>
          <w:szCs w:val="24"/>
          <w:highlight w:val="none"/>
        </w:rPr>
        <w:t>19</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6"/>
          <w:sz w:val="24"/>
          <w:szCs w:val="24"/>
          <w:highlight w:val="none"/>
        </w:rPr>
        <w:t>条[索赔]应增加和扣减的索赔金额；</w:t>
      </w:r>
    </w:p>
    <w:p w14:paraId="1A2E9260">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39" w:right="42" w:firstLine="58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7） 对已签发的进度款支付证书中出现错误的修正</w:t>
      </w:r>
      <w:r>
        <w:rPr>
          <w:rFonts w:hint="eastAsia" w:ascii="仿宋" w:hAnsi="仿宋" w:eastAsia="仿宋" w:cs="仿宋"/>
          <w:color w:val="auto"/>
          <w:spacing w:val="7"/>
          <w:sz w:val="24"/>
          <w:szCs w:val="24"/>
          <w:highlight w:val="none"/>
        </w:rPr>
        <w:t>，应在本次进度付款中支付或扣除</w:t>
      </w:r>
      <w:r>
        <w:rPr>
          <w:rFonts w:hint="eastAsia" w:ascii="仿宋" w:hAnsi="仿宋" w:eastAsia="仿宋" w:cs="仿宋"/>
          <w:color w:val="auto"/>
          <w:sz w:val="24"/>
          <w:szCs w:val="24"/>
          <w:highlight w:val="none"/>
        </w:rPr>
        <w:t xml:space="preserve"> 的金额；</w:t>
      </w:r>
    </w:p>
    <w:p w14:paraId="30FD166A">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8） 根据合同约定应增加和扣减的其他金额。</w:t>
      </w:r>
    </w:p>
    <w:p w14:paraId="7130E4FF">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14.3.2 进度付款审核和支付</w:t>
      </w:r>
    </w:p>
    <w:p w14:paraId="310E4623">
      <w:pPr>
        <w:pStyle w:val="2"/>
        <w:keepNext w:val="0"/>
        <w:keepLines w:val="0"/>
        <w:pageBreakBefore w:val="0"/>
        <w:widowControl/>
        <w:kinsoku w:val="0"/>
        <w:wordWrap/>
        <w:overflowPunct/>
        <w:topLinePunct w:val="0"/>
        <w:autoSpaceDE w:val="0"/>
        <w:autoSpaceDN w:val="0"/>
        <w:bidi w:val="0"/>
        <w:adjustRightInd w:val="0"/>
        <w:snapToGrid w:val="0"/>
        <w:spacing w:before="148" w:line="245" w:lineRule="auto"/>
        <w:ind w:left="22" w:right="41" w:firstLine="43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除专用合同条件另有约定外，工程师应在收到承包人进度付款申请</w:t>
      </w:r>
      <w:r>
        <w:rPr>
          <w:rFonts w:hint="eastAsia" w:ascii="仿宋" w:hAnsi="仿宋" w:eastAsia="仿宋" w:cs="仿宋"/>
          <w:color w:val="auto"/>
          <w:spacing w:val="7"/>
          <w:sz w:val="24"/>
          <w:szCs w:val="24"/>
          <w:highlight w:val="none"/>
        </w:rPr>
        <w:t>单以及相关资料后</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天内完成审查并报送发包人，发包人应在收到</w:t>
      </w:r>
      <w:r>
        <w:rPr>
          <w:rFonts w:hint="eastAsia" w:ascii="仿宋" w:hAnsi="仿宋" w:eastAsia="仿宋" w:cs="仿宋"/>
          <w:color w:val="auto"/>
          <w:spacing w:val="6"/>
          <w:sz w:val="24"/>
          <w:szCs w:val="24"/>
          <w:highlight w:val="none"/>
        </w:rPr>
        <w:t>后</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6"/>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天内完成审批并向承包人签发进度款支付</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证书。发包人逾期（包括因工程师原因延误报送的时间）未完成审批且未提出异议的，视为</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已签发进度款支付证书。</w:t>
      </w:r>
    </w:p>
    <w:p w14:paraId="3A85F061">
      <w:pPr>
        <w:pStyle w:val="2"/>
        <w:keepNext w:val="0"/>
        <w:keepLines w:val="0"/>
        <w:pageBreakBefore w:val="0"/>
        <w:widowControl/>
        <w:kinsoku w:val="0"/>
        <w:wordWrap/>
        <w:overflowPunct/>
        <w:topLinePunct w:val="0"/>
        <w:autoSpaceDE w:val="0"/>
        <w:autoSpaceDN w:val="0"/>
        <w:bidi w:val="0"/>
        <w:adjustRightInd w:val="0"/>
        <w:snapToGrid w:val="0"/>
        <w:spacing w:before="23" w:line="247" w:lineRule="auto"/>
        <w:ind w:left="22" w:right="28" w:firstLine="60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工程师对承包人的进度付款申请单有异议的，有权要求承包人修正和提供补充资料，</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7"/>
          <w:sz w:val="24"/>
          <w:szCs w:val="24"/>
          <w:highlight w:val="none"/>
        </w:rPr>
        <w:t>承包人应提交修正后的进度付款申请单。工程师应在收到承包人修正后的进度付款申请单及</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相关资料后</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天内完成审查并报送发包人，发包人</w:t>
      </w:r>
      <w:r>
        <w:rPr>
          <w:rFonts w:hint="eastAsia" w:ascii="仿宋" w:hAnsi="仿宋" w:eastAsia="仿宋" w:cs="仿宋"/>
          <w:color w:val="auto"/>
          <w:spacing w:val="6"/>
          <w:sz w:val="24"/>
          <w:szCs w:val="24"/>
          <w:highlight w:val="none"/>
        </w:rPr>
        <w:t>应在收到工程师报送的进度付款申请单及</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相关资料后</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7"/>
          <w:sz w:val="24"/>
          <w:szCs w:val="24"/>
          <w:highlight w:val="none"/>
        </w:rPr>
        <w:t>天内，向承包人签发无异议部分的进度</w:t>
      </w:r>
      <w:r>
        <w:rPr>
          <w:rFonts w:hint="eastAsia" w:ascii="仿宋" w:hAnsi="仿宋" w:eastAsia="仿宋" w:cs="仿宋"/>
          <w:color w:val="auto"/>
          <w:spacing w:val="6"/>
          <w:sz w:val="24"/>
          <w:szCs w:val="24"/>
          <w:highlight w:val="none"/>
        </w:rPr>
        <w:t>款支付证书。存在争议的部分，按照第</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20</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6"/>
          <w:sz w:val="24"/>
          <w:szCs w:val="24"/>
          <w:highlight w:val="none"/>
        </w:rPr>
        <w:t>条[争议解决]的约定处理。</w:t>
      </w:r>
    </w:p>
    <w:p w14:paraId="377A24CF">
      <w:pPr>
        <w:pStyle w:val="2"/>
        <w:keepNext w:val="0"/>
        <w:keepLines w:val="0"/>
        <w:pageBreakBefore w:val="0"/>
        <w:widowControl/>
        <w:kinsoku w:val="0"/>
        <w:wordWrap/>
        <w:overflowPunct/>
        <w:topLinePunct w:val="0"/>
        <w:autoSpaceDE w:val="0"/>
        <w:autoSpaceDN w:val="0"/>
        <w:bidi w:val="0"/>
        <w:adjustRightInd w:val="0"/>
        <w:snapToGrid w:val="0"/>
        <w:spacing w:before="27" w:line="243" w:lineRule="auto"/>
        <w:ind w:left="22" w:firstLine="43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除专用合同条件另有约定外，发包人应在进度款支付证书签发后</w:t>
      </w:r>
      <w:r>
        <w:rPr>
          <w:rFonts w:hint="eastAsia" w:ascii="仿宋" w:hAnsi="仿宋" w:eastAsia="仿宋" w:cs="仿宋"/>
          <w:color w:val="auto"/>
          <w:spacing w:val="-8"/>
          <w:sz w:val="24"/>
          <w:szCs w:val="24"/>
          <w:highlight w:val="none"/>
        </w:rPr>
        <w:t xml:space="preserve"> </w:t>
      </w:r>
      <w:r>
        <w:rPr>
          <w:rFonts w:hint="eastAsia" w:ascii="仿宋" w:hAnsi="仿宋" w:eastAsia="仿宋" w:cs="仿宋"/>
          <w:color w:val="auto"/>
          <w:spacing w:val="8"/>
          <w:sz w:val="24"/>
          <w:szCs w:val="24"/>
          <w:highlight w:val="none"/>
        </w:rPr>
        <w:t>14</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天内完成支付，发</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包人逾期支付进度款的，按照贷款市场报价利率（</w:t>
      </w:r>
      <w:r>
        <w:rPr>
          <w:rFonts w:hint="eastAsia" w:ascii="仿宋" w:hAnsi="仿宋" w:eastAsia="仿宋" w:cs="仿宋"/>
          <w:color w:val="auto"/>
          <w:sz w:val="24"/>
          <w:szCs w:val="24"/>
          <w:highlight w:val="none"/>
        </w:rPr>
        <w:t>LPR</w:t>
      </w:r>
      <w:r>
        <w:rPr>
          <w:rFonts w:hint="eastAsia" w:ascii="仿宋" w:hAnsi="仿宋" w:eastAsia="仿宋" w:cs="仿宋"/>
          <w:color w:val="auto"/>
          <w:spacing w:val="8"/>
          <w:sz w:val="24"/>
          <w:szCs w:val="24"/>
          <w:highlight w:val="none"/>
        </w:rPr>
        <w:t>）支付利息；逾期支付超</w:t>
      </w:r>
      <w:r>
        <w:rPr>
          <w:rFonts w:hint="eastAsia" w:ascii="仿宋" w:hAnsi="仿宋" w:eastAsia="仿宋" w:cs="仿宋"/>
          <w:color w:val="auto"/>
          <w:spacing w:val="7"/>
          <w:sz w:val="24"/>
          <w:szCs w:val="24"/>
          <w:highlight w:val="none"/>
        </w:rPr>
        <w:t>过</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7"/>
          <w:sz w:val="24"/>
          <w:szCs w:val="24"/>
          <w:highlight w:val="none"/>
        </w:rPr>
        <w:t>56</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7"/>
          <w:sz w:val="24"/>
          <w:szCs w:val="24"/>
          <w:highlight w:val="none"/>
        </w:rPr>
        <w:t>天的，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按照贷款市场报价利率（</w:t>
      </w:r>
      <w:r>
        <w:rPr>
          <w:rFonts w:hint="eastAsia" w:ascii="仿宋" w:hAnsi="仿宋" w:eastAsia="仿宋" w:cs="仿宋"/>
          <w:color w:val="auto"/>
          <w:sz w:val="24"/>
          <w:szCs w:val="24"/>
          <w:highlight w:val="none"/>
        </w:rPr>
        <w:t>LPR</w:t>
      </w:r>
      <w:r>
        <w:rPr>
          <w:rFonts w:hint="eastAsia" w:ascii="仿宋" w:hAnsi="仿宋" w:eastAsia="仿宋" w:cs="仿宋"/>
          <w:color w:val="auto"/>
          <w:spacing w:val="9"/>
          <w:sz w:val="24"/>
          <w:szCs w:val="24"/>
          <w:highlight w:val="none"/>
        </w:rPr>
        <w:t>）的两倍支付利息。</w:t>
      </w:r>
    </w:p>
    <w:p w14:paraId="699D41B8">
      <w:pPr>
        <w:pStyle w:val="2"/>
        <w:keepNext w:val="0"/>
        <w:keepLines w:val="0"/>
        <w:pageBreakBefore w:val="0"/>
        <w:widowControl/>
        <w:kinsoku w:val="0"/>
        <w:wordWrap/>
        <w:overflowPunct/>
        <w:topLinePunct w:val="0"/>
        <w:autoSpaceDE w:val="0"/>
        <w:autoSpaceDN w:val="0"/>
        <w:bidi w:val="0"/>
        <w:adjustRightInd w:val="0"/>
        <w:snapToGrid w:val="0"/>
        <w:spacing w:before="28"/>
        <w:ind w:left="24" w:right="42" w:firstLine="42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发包人签发进度款支付证书，不表明发包人已同意、批准或接受了承包人完成的相应部</w:t>
      </w:r>
      <w:r>
        <w:rPr>
          <w:rFonts w:hint="eastAsia" w:ascii="仿宋" w:hAnsi="仿宋" w:eastAsia="仿宋" w:cs="仿宋"/>
          <w:color w:val="auto"/>
          <w:spacing w:val="5"/>
          <w:sz w:val="24"/>
          <w:szCs w:val="24"/>
          <w:highlight w:val="none"/>
        </w:rPr>
        <w:t xml:space="preserve"> 分的工作。</w:t>
      </w:r>
    </w:p>
    <w:p w14:paraId="111E7E84">
      <w:pPr>
        <w:pStyle w:val="2"/>
        <w:keepNext w:val="0"/>
        <w:keepLines w:val="0"/>
        <w:pageBreakBefore w:val="0"/>
        <w:widowControl/>
        <w:kinsoku w:val="0"/>
        <w:wordWrap/>
        <w:overflowPunct/>
        <w:topLinePunct w:val="0"/>
        <w:autoSpaceDE w:val="0"/>
        <w:autoSpaceDN w:val="0"/>
        <w:bidi w:val="0"/>
        <w:adjustRightInd w:val="0"/>
        <w:snapToGrid w:val="0"/>
        <w:spacing w:before="23"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14.3.3 进度付款的修正</w:t>
      </w:r>
    </w:p>
    <w:p w14:paraId="0199715A">
      <w:pPr>
        <w:pStyle w:val="2"/>
        <w:keepNext w:val="0"/>
        <w:keepLines w:val="0"/>
        <w:pageBreakBefore w:val="0"/>
        <w:widowControl/>
        <w:kinsoku w:val="0"/>
        <w:wordWrap/>
        <w:overflowPunct/>
        <w:topLinePunct w:val="0"/>
        <w:autoSpaceDE w:val="0"/>
        <w:autoSpaceDN w:val="0"/>
        <w:bidi w:val="0"/>
        <w:adjustRightInd w:val="0"/>
        <w:snapToGrid w:val="0"/>
        <w:spacing w:before="146" w:line="243" w:lineRule="auto"/>
        <w:ind w:left="23" w:right="42" w:firstLine="597"/>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在对已签发的进度款支付证书进行阶段汇总和复核中发现错误、遗漏或重复的，发包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人和承包人均有权提出修正申请。经发包人和承包人同意的修正，应在下期进度付款中支付</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4"/>
          <w:sz w:val="24"/>
          <w:szCs w:val="24"/>
          <w:highlight w:val="none"/>
        </w:rPr>
        <w:t>或扣除。</w:t>
      </w:r>
    </w:p>
    <w:p w14:paraId="235691C9">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14.4 付款计划表</w:t>
      </w:r>
    </w:p>
    <w:p w14:paraId="7FBBA3EC">
      <w:pPr>
        <w:pStyle w:val="2"/>
        <w:keepNext w:val="0"/>
        <w:keepLines w:val="0"/>
        <w:pageBreakBefore w:val="0"/>
        <w:widowControl/>
        <w:kinsoku w:val="0"/>
        <w:wordWrap/>
        <w:overflowPunct/>
        <w:topLinePunct w:val="0"/>
        <w:autoSpaceDE w:val="0"/>
        <w:autoSpaceDN w:val="0"/>
        <w:bidi w:val="0"/>
        <w:adjustRightInd w:val="0"/>
        <w:snapToGrid w:val="0"/>
        <w:spacing w:before="14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14.4.1 付款计划表的编制要求</w:t>
      </w:r>
    </w:p>
    <w:p w14:paraId="6017C466">
      <w:pPr>
        <w:pStyle w:val="2"/>
        <w:keepNext w:val="0"/>
        <w:keepLines w:val="0"/>
        <w:pageBreakBefore w:val="0"/>
        <w:widowControl/>
        <w:kinsoku w:val="0"/>
        <w:wordWrap/>
        <w:overflowPunct/>
        <w:topLinePunct w:val="0"/>
        <w:autoSpaceDE w:val="0"/>
        <w:autoSpaceDN w:val="0"/>
        <w:bidi w:val="0"/>
        <w:adjustRightInd w:val="0"/>
        <w:snapToGrid w:val="0"/>
        <w:spacing w:before="145" w:line="228" w:lineRule="auto"/>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除专用合同条件另有约定外，付款计划表按</w:t>
      </w:r>
      <w:r>
        <w:rPr>
          <w:rFonts w:hint="eastAsia" w:ascii="仿宋" w:hAnsi="仿宋" w:eastAsia="仿宋" w:cs="仿宋"/>
          <w:color w:val="auto"/>
          <w:spacing w:val="8"/>
          <w:sz w:val="24"/>
          <w:szCs w:val="24"/>
          <w:highlight w:val="none"/>
        </w:rPr>
        <w:t>如下要求编制：</w:t>
      </w:r>
    </w:p>
    <w:p w14:paraId="660F71DA">
      <w:pPr>
        <w:pStyle w:val="2"/>
        <w:keepNext w:val="0"/>
        <w:keepLines w:val="0"/>
        <w:pageBreakBefore w:val="0"/>
        <w:widowControl/>
        <w:kinsoku w:val="0"/>
        <w:wordWrap/>
        <w:overflowPunct/>
        <w:topLinePunct w:val="0"/>
        <w:autoSpaceDE w:val="0"/>
        <w:autoSpaceDN w:val="0"/>
        <w:bidi w:val="0"/>
        <w:adjustRightInd w:val="0"/>
        <w:snapToGrid w:val="0"/>
        <w:spacing w:before="27" w:line="238" w:lineRule="auto"/>
        <w:ind w:left="24" w:right="42" w:firstLine="60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 付款计划表中所列的每期付款金额，应为第</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8"/>
          <w:sz w:val="24"/>
          <w:szCs w:val="24"/>
          <w:highlight w:val="none"/>
        </w:rPr>
        <w:t>14.3.1</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8"/>
          <w:sz w:val="24"/>
          <w:szCs w:val="24"/>
          <w:highlight w:val="none"/>
        </w:rPr>
        <w:t>项[工程进度付款申请]每</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期进度款的估算金额；</w:t>
      </w:r>
    </w:p>
    <w:p w14:paraId="353FA3C4">
      <w:pPr>
        <w:pStyle w:val="2"/>
        <w:keepNext w:val="0"/>
        <w:keepLines w:val="0"/>
        <w:pageBreakBefore w:val="0"/>
        <w:widowControl/>
        <w:kinsoku w:val="0"/>
        <w:wordWrap/>
        <w:overflowPunct/>
        <w:topLinePunct w:val="0"/>
        <w:autoSpaceDE w:val="0"/>
        <w:autoSpaceDN w:val="0"/>
        <w:bidi w:val="0"/>
        <w:adjustRightInd w:val="0"/>
        <w:snapToGrid w:val="0"/>
        <w:spacing w:before="29" w:line="239" w:lineRule="auto"/>
        <w:ind w:left="22" w:right="41"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实际进度与项目进度计划不一致的，</w:t>
      </w:r>
      <w:r>
        <w:rPr>
          <w:rFonts w:hint="eastAsia" w:ascii="仿宋" w:hAnsi="仿宋" w:eastAsia="仿宋" w:cs="仿宋"/>
          <w:color w:val="auto"/>
          <w:spacing w:val="6"/>
          <w:sz w:val="24"/>
          <w:szCs w:val="24"/>
          <w:highlight w:val="none"/>
        </w:rPr>
        <w:t>合同当事人可按照第</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6"/>
          <w:sz w:val="24"/>
          <w:szCs w:val="24"/>
          <w:highlight w:val="none"/>
        </w:rPr>
        <w:t>3.6</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6"/>
          <w:sz w:val="24"/>
          <w:szCs w:val="24"/>
          <w:highlight w:val="none"/>
        </w:rPr>
        <w:t>款[商定或确定]</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修改付款计划表；</w:t>
      </w:r>
    </w:p>
    <w:p w14:paraId="026B4093">
      <w:pPr>
        <w:pStyle w:val="2"/>
        <w:keepNext w:val="0"/>
        <w:keepLines w:val="0"/>
        <w:pageBreakBefore w:val="0"/>
        <w:widowControl/>
        <w:kinsoku w:val="0"/>
        <w:wordWrap/>
        <w:overflowPunct/>
        <w:topLinePunct w:val="0"/>
        <w:autoSpaceDE w:val="0"/>
        <w:autoSpaceDN w:val="0"/>
        <w:bidi w:val="0"/>
        <w:adjustRightInd w:val="0"/>
        <w:snapToGrid w:val="0"/>
        <w:spacing w:before="24"/>
        <w:ind w:left="21" w:right="42"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不采用付款计划表的，承包人应向工程师提交按季度编制的支付估算付款计划</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表，用于支付参考。</w:t>
      </w:r>
    </w:p>
    <w:p w14:paraId="723ACA76">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14.4.2 付款计划表的编制与审批</w:t>
      </w:r>
    </w:p>
    <w:p w14:paraId="362CEB1F">
      <w:pPr>
        <w:pStyle w:val="2"/>
        <w:keepNext w:val="0"/>
        <w:keepLines w:val="0"/>
        <w:pageBreakBefore w:val="0"/>
        <w:widowControl/>
        <w:kinsoku w:val="0"/>
        <w:wordWrap/>
        <w:overflowPunct/>
        <w:topLinePunct w:val="0"/>
        <w:autoSpaceDE w:val="0"/>
        <w:autoSpaceDN w:val="0"/>
        <w:bidi w:val="0"/>
        <w:adjustRightInd w:val="0"/>
        <w:snapToGrid w:val="0"/>
        <w:spacing w:before="149" w:line="247" w:lineRule="auto"/>
        <w:ind w:left="21" w:right="42" w:firstLine="61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除专用合同条件另有约定外，承包人</w:t>
      </w:r>
      <w:r>
        <w:rPr>
          <w:rFonts w:hint="eastAsia" w:ascii="仿宋" w:hAnsi="仿宋" w:eastAsia="仿宋" w:cs="仿宋"/>
          <w:color w:val="auto"/>
          <w:spacing w:val="6"/>
          <w:sz w:val="24"/>
          <w:szCs w:val="24"/>
          <w:highlight w:val="none"/>
        </w:rPr>
        <w:t>应根据第</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6"/>
          <w:sz w:val="24"/>
          <w:szCs w:val="24"/>
          <w:highlight w:val="none"/>
        </w:rPr>
        <w:t>8.4</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6"/>
          <w:sz w:val="24"/>
          <w:szCs w:val="24"/>
          <w:highlight w:val="none"/>
        </w:rPr>
        <w:t>款[项目进度计划]约定的项</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目进度计划、签约合同价和工程量等因素对总价合同进行分解，确定付款期数、计划每期达</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到的主要形象进度和（或）完成的主要计划工程量（含设计、采购、施工、竣工试验和竣工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后试验等）等目标任务，编制付款计划表。其中人工费应按月确定付款期和付款计划。承包</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人应当在收到工程师和发包人批准的项目进度计划后</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天内，将付款计划表及编制付款计划</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表的支持性资料报送工程师。</w:t>
      </w:r>
    </w:p>
    <w:p w14:paraId="598A195D">
      <w:pPr>
        <w:pStyle w:val="2"/>
        <w:keepNext w:val="0"/>
        <w:keepLines w:val="0"/>
        <w:pageBreakBefore w:val="0"/>
        <w:widowControl/>
        <w:kinsoku w:val="0"/>
        <w:wordWrap/>
        <w:overflowPunct/>
        <w:topLinePunct w:val="0"/>
        <w:autoSpaceDE w:val="0"/>
        <w:autoSpaceDN w:val="0"/>
        <w:bidi w:val="0"/>
        <w:adjustRightInd w:val="0"/>
        <w:snapToGrid w:val="0"/>
        <w:spacing w:before="27" w:line="244" w:lineRule="auto"/>
        <w:ind w:left="23" w:right="42" w:firstLine="609"/>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工程师应在收到付款计划表后</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天内完成审核</w:t>
      </w:r>
      <w:r>
        <w:rPr>
          <w:rFonts w:hint="eastAsia" w:ascii="仿宋" w:hAnsi="仿宋" w:eastAsia="仿宋" w:cs="仿宋"/>
          <w:color w:val="auto"/>
          <w:spacing w:val="6"/>
          <w:sz w:val="24"/>
          <w:szCs w:val="24"/>
          <w:highlight w:val="none"/>
        </w:rPr>
        <w:t>并报送发包人。发包人应在收到</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经工程师审核的付款计划表后</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7"/>
          <w:sz w:val="24"/>
          <w:szCs w:val="24"/>
          <w:highlight w:val="none"/>
        </w:rPr>
        <w:t>天内完成审批，</w:t>
      </w:r>
      <w:r>
        <w:rPr>
          <w:rFonts w:hint="eastAsia" w:ascii="仿宋" w:hAnsi="仿宋" w:eastAsia="仿宋" w:cs="仿宋"/>
          <w:color w:val="auto"/>
          <w:spacing w:val="6"/>
          <w:sz w:val="24"/>
          <w:szCs w:val="24"/>
          <w:highlight w:val="none"/>
        </w:rPr>
        <w:t>经发包人批准的付款计划表为有约束力的付</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款计划表。</w:t>
      </w:r>
    </w:p>
    <w:p w14:paraId="513281EC">
      <w:pPr>
        <w:pStyle w:val="2"/>
        <w:keepNext w:val="0"/>
        <w:keepLines w:val="0"/>
        <w:pageBreakBefore w:val="0"/>
        <w:widowControl/>
        <w:kinsoku w:val="0"/>
        <w:wordWrap/>
        <w:overflowPunct/>
        <w:topLinePunct w:val="0"/>
        <w:autoSpaceDE w:val="0"/>
        <w:autoSpaceDN w:val="0"/>
        <w:bidi w:val="0"/>
        <w:adjustRightInd w:val="0"/>
        <w:snapToGrid w:val="0"/>
        <w:spacing w:before="23"/>
        <w:ind w:left="24" w:right="42" w:firstLine="60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发包人逾期未完成付款计划表审批的，也未及时要求承包人进行修正和提供补</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充资料的，则承包人提交的付款计划表视为已经获得发包人批准。</w:t>
      </w:r>
    </w:p>
    <w:p w14:paraId="580908B3">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14.5 竣工结算</w:t>
      </w:r>
    </w:p>
    <w:p w14:paraId="05BEF6F3">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仿宋" w:hAnsi="仿宋" w:eastAsia="仿宋" w:cs="仿宋"/>
          <w:color w:val="auto"/>
          <w:sz w:val="24"/>
          <w:szCs w:val="24"/>
          <w:highlight w:val="none"/>
        </w:rPr>
        <w:sectPr>
          <w:footerReference r:id="rId39" w:type="default"/>
          <w:pgSz w:w="11906" w:h="16839"/>
          <w:pgMar w:top="1428" w:right="1759" w:bottom="1171" w:left="1785" w:header="0" w:footer="992" w:gutter="0"/>
          <w:pgNumType w:fmt="decimal"/>
          <w:cols w:space="720" w:num="1"/>
        </w:sectPr>
      </w:pPr>
    </w:p>
    <w:p w14:paraId="2027059F">
      <w:pPr>
        <w:pStyle w:val="2"/>
        <w:keepNext w:val="0"/>
        <w:keepLines w:val="0"/>
        <w:pageBreakBefore w:val="0"/>
        <w:widowControl/>
        <w:kinsoku w:val="0"/>
        <w:wordWrap/>
        <w:overflowPunct/>
        <w:topLinePunct w:val="0"/>
        <w:autoSpaceDE w:val="0"/>
        <w:autoSpaceDN w:val="0"/>
        <w:bidi w:val="0"/>
        <w:adjustRightInd w:val="0"/>
        <w:snapToGrid w:val="0"/>
        <w:spacing w:before="41"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14.5.1 竣工结算申请</w:t>
      </w:r>
    </w:p>
    <w:p w14:paraId="5953144D">
      <w:pPr>
        <w:pStyle w:val="2"/>
        <w:keepNext w:val="0"/>
        <w:keepLines w:val="0"/>
        <w:pageBreakBefore w:val="0"/>
        <w:widowControl/>
        <w:kinsoku w:val="0"/>
        <w:wordWrap/>
        <w:overflowPunct/>
        <w:topLinePunct w:val="0"/>
        <w:autoSpaceDE w:val="0"/>
        <w:autoSpaceDN w:val="0"/>
        <w:bidi w:val="0"/>
        <w:adjustRightInd w:val="0"/>
        <w:snapToGrid w:val="0"/>
        <w:spacing w:before="145" w:line="244" w:lineRule="auto"/>
        <w:ind w:left="23" w:right="15" w:firstLine="611"/>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除专用合同条件另有约定外，承包人应在工程竣工验</w:t>
      </w:r>
      <w:r>
        <w:rPr>
          <w:rFonts w:hint="eastAsia" w:ascii="仿宋" w:hAnsi="仿宋" w:eastAsia="仿宋" w:cs="仿宋"/>
          <w:color w:val="auto"/>
          <w:spacing w:val="9"/>
          <w:sz w:val="24"/>
          <w:szCs w:val="24"/>
          <w:highlight w:val="none"/>
        </w:rPr>
        <w:t>收合格后</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9"/>
          <w:sz w:val="24"/>
          <w:szCs w:val="24"/>
          <w:highlight w:val="none"/>
        </w:rPr>
        <w:t>42</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天内向工程师提交</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竣工结算申请单，并提交完整的结算资料，有关竣工结算申请单的资料清单和份数等要求由</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合同当事人在专用合同条件中约定。</w:t>
      </w:r>
    </w:p>
    <w:p w14:paraId="1131A992">
      <w:pPr>
        <w:pStyle w:val="2"/>
        <w:keepNext w:val="0"/>
        <w:keepLines w:val="0"/>
        <w:pageBreakBefore w:val="0"/>
        <w:widowControl/>
        <w:kinsoku w:val="0"/>
        <w:wordWrap/>
        <w:overflowPunct/>
        <w:topLinePunct w:val="0"/>
        <w:autoSpaceDE w:val="0"/>
        <w:autoSpaceDN w:val="0"/>
        <w:bidi w:val="0"/>
        <w:adjustRightInd w:val="0"/>
        <w:snapToGrid w:val="0"/>
        <w:spacing w:before="24" w:line="274" w:lineRule="exact"/>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position w:val="4"/>
          <w:sz w:val="24"/>
          <w:szCs w:val="24"/>
          <w:highlight w:val="none"/>
        </w:rPr>
        <w:t>除专用合同条件另有约定外，竣工结算申请单应包括</w:t>
      </w:r>
      <w:r>
        <w:rPr>
          <w:rFonts w:hint="eastAsia" w:ascii="仿宋" w:hAnsi="仿宋" w:eastAsia="仿宋" w:cs="仿宋"/>
          <w:color w:val="auto"/>
          <w:spacing w:val="8"/>
          <w:position w:val="4"/>
          <w:sz w:val="24"/>
          <w:szCs w:val="24"/>
          <w:highlight w:val="none"/>
        </w:rPr>
        <w:t>以下内容：</w:t>
      </w:r>
    </w:p>
    <w:p w14:paraId="4562343F">
      <w:pPr>
        <w:pStyle w:val="2"/>
        <w:keepNext w:val="0"/>
        <w:keepLines w:val="0"/>
        <w:pageBreakBefore w:val="0"/>
        <w:widowControl/>
        <w:kinsoku w:val="0"/>
        <w:wordWrap/>
        <w:overflowPunct/>
        <w:topLinePunct w:val="0"/>
        <w:autoSpaceDE w:val="0"/>
        <w:autoSpaceDN w:val="0"/>
        <w:bidi w:val="0"/>
        <w:adjustRightInd w:val="0"/>
        <w:snapToGrid w:val="0"/>
        <w:spacing w:line="226"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w:t>
      </w:r>
      <w:r>
        <w:rPr>
          <w:rFonts w:hint="eastAsia" w:ascii="仿宋" w:hAnsi="仿宋" w:eastAsia="仿宋" w:cs="仿宋"/>
          <w:color w:val="auto"/>
          <w:spacing w:val="27"/>
          <w:sz w:val="24"/>
          <w:szCs w:val="24"/>
          <w:highlight w:val="none"/>
        </w:rPr>
        <w:t xml:space="preserve"> </w:t>
      </w:r>
      <w:r>
        <w:rPr>
          <w:rFonts w:hint="eastAsia" w:ascii="仿宋" w:hAnsi="仿宋" w:eastAsia="仿宋" w:cs="仿宋"/>
          <w:color w:val="auto"/>
          <w:spacing w:val="5"/>
          <w:sz w:val="24"/>
          <w:szCs w:val="24"/>
          <w:highlight w:val="none"/>
        </w:rPr>
        <w:t>竣工结算合同价格；</w:t>
      </w:r>
    </w:p>
    <w:p w14:paraId="2C4F1201">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发包人已支付承包人的款项；</w:t>
      </w:r>
    </w:p>
    <w:p w14:paraId="3EF1D574">
      <w:pPr>
        <w:pStyle w:val="2"/>
        <w:keepNext w:val="0"/>
        <w:keepLines w:val="0"/>
        <w:pageBreakBefore w:val="0"/>
        <w:widowControl/>
        <w:kinsoku w:val="0"/>
        <w:wordWrap/>
        <w:overflowPunct/>
        <w:topLinePunct w:val="0"/>
        <w:autoSpaceDE w:val="0"/>
        <w:autoSpaceDN w:val="0"/>
        <w:bidi w:val="0"/>
        <w:adjustRightInd w:val="0"/>
        <w:snapToGrid w:val="0"/>
        <w:spacing w:before="27" w:line="243" w:lineRule="auto"/>
        <w:ind w:left="23" w:right="14"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（3） 采用第</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6"/>
          <w:sz w:val="24"/>
          <w:szCs w:val="24"/>
          <w:highlight w:val="none"/>
        </w:rPr>
        <w:t>14.6.1</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6"/>
          <w:sz w:val="24"/>
          <w:szCs w:val="24"/>
          <w:highlight w:val="none"/>
        </w:rPr>
        <w:t>项[承包人提供质量保证金的方式]第（2）</w:t>
      </w:r>
      <w:r>
        <w:rPr>
          <w:rFonts w:hint="eastAsia" w:ascii="仿宋" w:hAnsi="仿宋" w:eastAsia="仿宋" w:cs="仿宋"/>
          <w:color w:val="auto"/>
          <w:spacing w:val="5"/>
          <w:sz w:val="24"/>
          <w:szCs w:val="24"/>
          <w:highlight w:val="none"/>
        </w:rPr>
        <w:t>种方式提供质量保证</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金的，应当列明应预留的质量保证金金额；采用第</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4"/>
          <w:sz w:val="24"/>
          <w:szCs w:val="24"/>
          <w:highlight w:val="none"/>
        </w:rPr>
        <w:t>1</w:t>
      </w:r>
      <w:r>
        <w:rPr>
          <w:rFonts w:hint="eastAsia" w:ascii="仿宋" w:hAnsi="仿宋" w:eastAsia="仿宋" w:cs="仿宋"/>
          <w:color w:val="auto"/>
          <w:spacing w:val="3"/>
          <w:sz w:val="24"/>
          <w:szCs w:val="24"/>
          <w:highlight w:val="none"/>
        </w:rPr>
        <w:t>4.6.1</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3"/>
          <w:sz w:val="24"/>
          <w:szCs w:val="24"/>
          <w:highlight w:val="none"/>
        </w:rPr>
        <w:t>项[承包人提供质量保证金的方式]</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中其他方式提供质量保证金的，应当按第</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8"/>
          <w:sz w:val="24"/>
          <w:szCs w:val="24"/>
          <w:highlight w:val="none"/>
        </w:rPr>
        <w:t>14.6</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8"/>
          <w:sz w:val="24"/>
          <w:szCs w:val="24"/>
          <w:highlight w:val="none"/>
        </w:rPr>
        <w:t>款[质量保证金]提供</w:t>
      </w:r>
      <w:r>
        <w:rPr>
          <w:rFonts w:hint="eastAsia" w:ascii="仿宋" w:hAnsi="仿宋" w:eastAsia="仿宋" w:cs="仿宋"/>
          <w:color w:val="auto"/>
          <w:spacing w:val="7"/>
          <w:sz w:val="24"/>
          <w:szCs w:val="24"/>
          <w:highlight w:val="none"/>
        </w:rPr>
        <w:t>相关文件作为附件；</w:t>
      </w:r>
    </w:p>
    <w:p w14:paraId="496B247C">
      <w:pPr>
        <w:pStyle w:val="2"/>
        <w:keepNext w:val="0"/>
        <w:keepLines w:val="0"/>
        <w:pageBreakBefore w:val="0"/>
        <w:widowControl/>
        <w:kinsoku w:val="0"/>
        <w:wordWrap/>
        <w:overflowPunct/>
        <w:topLinePunct w:val="0"/>
        <w:autoSpaceDE w:val="0"/>
        <w:autoSpaceDN w:val="0"/>
        <w:bidi w:val="0"/>
        <w:adjustRightInd w:val="0"/>
        <w:snapToGrid w:val="0"/>
        <w:spacing w:before="26" w:line="226"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 发包人应支付承包人的合同价款。</w:t>
      </w:r>
    </w:p>
    <w:p w14:paraId="59FDA66E">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14.5.2 竣工结算审核</w:t>
      </w:r>
    </w:p>
    <w:p w14:paraId="298BD626">
      <w:pPr>
        <w:pStyle w:val="2"/>
        <w:keepNext w:val="0"/>
        <w:keepLines w:val="0"/>
        <w:pageBreakBefore w:val="0"/>
        <w:widowControl/>
        <w:kinsoku w:val="0"/>
        <w:wordWrap/>
        <w:overflowPunct/>
        <w:topLinePunct w:val="0"/>
        <w:autoSpaceDE w:val="0"/>
        <w:autoSpaceDN w:val="0"/>
        <w:bidi w:val="0"/>
        <w:adjustRightInd w:val="0"/>
        <w:snapToGrid w:val="0"/>
        <w:spacing w:before="145" w:line="247" w:lineRule="auto"/>
        <w:ind w:left="23" w:right="15" w:firstLine="608"/>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w:t>
      </w:r>
      <w:r>
        <w:rPr>
          <w:rFonts w:hint="eastAsia" w:ascii="仿宋" w:hAnsi="仿宋" w:eastAsia="仿宋" w:cs="仿宋"/>
          <w:color w:val="auto"/>
          <w:spacing w:val="43"/>
          <w:sz w:val="24"/>
          <w:szCs w:val="24"/>
          <w:highlight w:val="none"/>
        </w:rPr>
        <w:t xml:space="preserve"> </w:t>
      </w:r>
      <w:r>
        <w:rPr>
          <w:rFonts w:hint="eastAsia" w:ascii="仿宋" w:hAnsi="仿宋" w:eastAsia="仿宋" w:cs="仿宋"/>
          <w:color w:val="auto"/>
          <w:spacing w:val="8"/>
          <w:sz w:val="24"/>
          <w:szCs w:val="24"/>
          <w:highlight w:val="none"/>
        </w:rPr>
        <w:t>除专用合同条件另有约定外，工程师应在收到竣工结算申请单后</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8"/>
          <w:sz w:val="24"/>
          <w:szCs w:val="24"/>
          <w:highlight w:val="none"/>
        </w:rPr>
        <w:t>14</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天内完成</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核查并报送发包人。发包人应在收到工程师提交的经审核的竣工结算</w:t>
      </w:r>
      <w:r>
        <w:rPr>
          <w:rFonts w:hint="eastAsia" w:ascii="仿宋" w:hAnsi="仿宋" w:eastAsia="仿宋" w:cs="仿宋"/>
          <w:color w:val="auto"/>
          <w:spacing w:val="8"/>
          <w:sz w:val="24"/>
          <w:szCs w:val="24"/>
          <w:highlight w:val="none"/>
        </w:rPr>
        <w:t>申请单后</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8"/>
          <w:sz w:val="24"/>
          <w:szCs w:val="24"/>
          <w:highlight w:val="none"/>
        </w:rPr>
        <w:t>14</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8"/>
          <w:sz w:val="24"/>
          <w:szCs w:val="24"/>
          <w:highlight w:val="none"/>
        </w:rPr>
        <w:t>天内完成</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审批，并由工程师向承包人签发经发包人签认的竣工付款证书。工程师或发包人对竣工结算</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7"/>
          <w:sz w:val="24"/>
          <w:szCs w:val="24"/>
          <w:highlight w:val="none"/>
        </w:rPr>
        <w:t>申请单有异议的，有权要求承包人进行修正和提供补充资料，承包人应提交修正后的竣工结</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5"/>
          <w:sz w:val="24"/>
          <w:szCs w:val="24"/>
          <w:highlight w:val="none"/>
        </w:rPr>
        <w:t>算申请单。</w:t>
      </w:r>
    </w:p>
    <w:p w14:paraId="60B03A29">
      <w:pPr>
        <w:pStyle w:val="2"/>
        <w:keepNext w:val="0"/>
        <w:keepLines w:val="0"/>
        <w:pageBreakBefore w:val="0"/>
        <w:widowControl/>
        <w:kinsoku w:val="0"/>
        <w:wordWrap/>
        <w:overflowPunct/>
        <w:topLinePunct w:val="0"/>
        <w:autoSpaceDE w:val="0"/>
        <w:autoSpaceDN w:val="0"/>
        <w:bidi w:val="0"/>
        <w:adjustRightInd w:val="0"/>
        <w:snapToGrid w:val="0"/>
        <w:spacing w:before="25" w:line="243" w:lineRule="auto"/>
        <w:ind w:left="23" w:right="16" w:firstLine="6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发包人在收到承包人提交竣工结算申请书后</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10"/>
          <w:sz w:val="24"/>
          <w:szCs w:val="24"/>
          <w:highlight w:val="none"/>
        </w:rPr>
        <w:t>28</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10"/>
          <w:sz w:val="24"/>
          <w:szCs w:val="24"/>
          <w:highlight w:val="none"/>
        </w:rPr>
        <w:t>天内未完成审批</w:t>
      </w:r>
      <w:r>
        <w:rPr>
          <w:rFonts w:hint="eastAsia" w:ascii="仿宋" w:hAnsi="仿宋" w:eastAsia="仿宋" w:cs="仿宋"/>
          <w:color w:val="auto"/>
          <w:spacing w:val="9"/>
          <w:sz w:val="24"/>
          <w:szCs w:val="24"/>
          <w:highlight w:val="none"/>
        </w:rPr>
        <w:t>且未提出异议的，视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为发包人认可承包人提交的竣工结算申请单，并自发包人收到承包人提交的竣工结算申请单</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6"/>
          <w:sz w:val="24"/>
          <w:szCs w:val="24"/>
          <w:highlight w:val="none"/>
        </w:rPr>
        <w:t>后第</w:t>
      </w:r>
      <w:r>
        <w:rPr>
          <w:rFonts w:hint="eastAsia" w:ascii="仿宋" w:hAnsi="仿宋" w:eastAsia="仿宋" w:cs="仿宋"/>
          <w:color w:val="auto"/>
          <w:spacing w:val="-20"/>
          <w:sz w:val="24"/>
          <w:szCs w:val="24"/>
          <w:highlight w:val="none"/>
        </w:rPr>
        <w:t xml:space="preserve"> </w:t>
      </w:r>
      <w:r>
        <w:rPr>
          <w:rFonts w:hint="eastAsia" w:ascii="仿宋" w:hAnsi="仿宋" w:eastAsia="仿宋" w:cs="仿宋"/>
          <w:color w:val="auto"/>
          <w:spacing w:val="6"/>
          <w:sz w:val="24"/>
          <w:szCs w:val="24"/>
          <w:highlight w:val="none"/>
        </w:rPr>
        <w:t>29</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6"/>
          <w:sz w:val="24"/>
          <w:szCs w:val="24"/>
          <w:highlight w:val="none"/>
        </w:rPr>
        <w:t>天起视为已签发竣工付款证书。</w:t>
      </w:r>
    </w:p>
    <w:p w14:paraId="4553A042">
      <w:pPr>
        <w:pStyle w:val="2"/>
        <w:keepNext w:val="0"/>
        <w:keepLines w:val="0"/>
        <w:pageBreakBefore w:val="0"/>
        <w:widowControl/>
        <w:kinsoku w:val="0"/>
        <w:wordWrap/>
        <w:overflowPunct/>
        <w:topLinePunct w:val="0"/>
        <w:autoSpaceDE w:val="0"/>
        <w:autoSpaceDN w:val="0"/>
        <w:bidi w:val="0"/>
        <w:adjustRightInd w:val="0"/>
        <w:snapToGrid w:val="0"/>
        <w:spacing w:before="28" w:line="243" w:lineRule="auto"/>
        <w:ind w:left="20" w:right="15" w:firstLine="6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（2）</w:t>
      </w:r>
      <w:r>
        <w:rPr>
          <w:rFonts w:hint="eastAsia" w:ascii="仿宋" w:hAnsi="仿宋" w:eastAsia="仿宋" w:cs="仿宋"/>
          <w:color w:val="auto"/>
          <w:spacing w:val="43"/>
          <w:sz w:val="24"/>
          <w:szCs w:val="24"/>
          <w:highlight w:val="none"/>
        </w:rPr>
        <w:t xml:space="preserve"> </w:t>
      </w:r>
      <w:r>
        <w:rPr>
          <w:rFonts w:hint="eastAsia" w:ascii="仿宋" w:hAnsi="仿宋" w:eastAsia="仿宋" w:cs="仿宋"/>
          <w:color w:val="auto"/>
          <w:spacing w:val="8"/>
          <w:sz w:val="24"/>
          <w:szCs w:val="24"/>
          <w:highlight w:val="none"/>
        </w:rPr>
        <w:t>除专用合同条件另有约定外，发包人应在签发竣工付款证书后的</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8"/>
          <w:sz w:val="24"/>
          <w:szCs w:val="24"/>
          <w:highlight w:val="none"/>
        </w:rPr>
        <w:t>14</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天内，完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成对承包人的竣工付款。发包人逾期支付的，按照贷款市场报价利率（</w:t>
      </w:r>
      <w:r>
        <w:rPr>
          <w:rFonts w:hint="eastAsia" w:ascii="仿宋" w:hAnsi="仿宋" w:eastAsia="仿宋" w:cs="仿宋"/>
          <w:color w:val="auto"/>
          <w:sz w:val="24"/>
          <w:szCs w:val="24"/>
          <w:highlight w:val="none"/>
        </w:rPr>
        <w:t>LPR</w:t>
      </w:r>
      <w:r>
        <w:rPr>
          <w:rFonts w:hint="eastAsia" w:ascii="仿宋" w:hAnsi="仿宋" w:eastAsia="仿宋" w:cs="仿宋"/>
          <w:color w:val="auto"/>
          <w:spacing w:val="10"/>
          <w:sz w:val="24"/>
          <w:szCs w:val="24"/>
          <w:highlight w:val="none"/>
        </w:rPr>
        <w:t>）支付违约金；</w:t>
      </w:r>
      <w:r>
        <w:rPr>
          <w:rFonts w:hint="eastAsia" w:ascii="仿宋" w:hAnsi="仿宋" w:eastAsia="仿宋" w:cs="仿宋"/>
          <w:color w:val="auto"/>
          <w:spacing w:val="5"/>
          <w:sz w:val="24"/>
          <w:szCs w:val="24"/>
          <w:highlight w:val="none"/>
        </w:rPr>
        <w:t xml:space="preserve"> </w:t>
      </w:r>
      <w:r>
        <w:rPr>
          <w:rFonts w:hint="eastAsia" w:ascii="仿宋" w:hAnsi="仿宋" w:eastAsia="仿宋" w:cs="仿宋"/>
          <w:color w:val="auto"/>
          <w:spacing w:val="9"/>
          <w:sz w:val="24"/>
          <w:szCs w:val="24"/>
          <w:highlight w:val="none"/>
        </w:rPr>
        <w:t>逾期支付超过</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9"/>
          <w:sz w:val="24"/>
          <w:szCs w:val="24"/>
          <w:highlight w:val="none"/>
        </w:rPr>
        <w:t>56</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天的，按照贷款市场报价利率（</w:t>
      </w:r>
      <w:r>
        <w:rPr>
          <w:rFonts w:hint="eastAsia" w:ascii="仿宋" w:hAnsi="仿宋" w:eastAsia="仿宋" w:cs="仿宋"/>
          <w:color w:val="auto"/>
          <w:sz w:val="24"/>
          <w:szCs w:val="24"/>
          <w:highlight w:val="none"/>
        </w:rPr>
        <w:t>LPR</w:t>
      </w:r>
      <w:r>
        <w:rPr>
          <w:rFonts w:hint="eastAsia" w:ascii="仿宋" w:hAnsi="仿宋" w:eastAsia="仿宋" w:cs="仿宋"/>
          <w:color w:val="auto"/>
          <w:spacing w:val="9"/>
          <w:sz w:val="24"/>
          <w:szCs w:val="24"/>
          <w:highlight w:val="none"/>
        </w:rPr>
        <w:t>）</w:t>
      </w:r>
      <w:r>
        <w:rPr>
          <w:rFonts w:hint="eastAsia" w:ascii="仿宋" w:hAnsi="仿宋" w:eastAsia="仿宋" w:cs="仿宋"/>
          <w:color w:val="auto"/>
          <w:spacing w:val="8"/>
          <w:sz w:val="24"/>
          <w:szCs w:val="24"/>
          <w:highlight w:val="none"/>
        </w:rPr>
        <w:t>的两倍支付违约金。</w:t>
      </w:r>
    </w:p>
    <w:p w14:paraId="647A7AF8">
      <w:pPr>
        <w:pStyle w:val="2"/>
        <w:keepNext w:val="0"/>
        <w:keepLines w:val="0"/>
        <w:pageBreakBefore w:val="0"/>
        <w:widowControl/>
        <w:kinsoku w:val="0"/>
        <w:wordWrap/>
        <w:overflowPunct/>
        <w:topLinePunct w:val="0"/>
        <w:autoSpaceDE w:val="0"/>
        <w:autoSpaceDN w:val="0"/>
        <w:bidi w:val="0"/>
        <w:adjustRightInd w:val="0"/>
        <w:snapToGrid w:val="0"/>
        <w:spacing w:before="25" w:line="247" w:lineRule="auto"/>
        <w:ind w:left="21" w:right="16"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承包人对发包人签认的竣工付款证书有异议的，对于有异议部分应在收到发包</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人签认的竣工付款证书后</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天内提出异议，并由合同</w:t>
      </w:r>
      <w:r>
        <w:rPr>
          <w:rFonts w:hint="eastAsia" w:ascii="仿宋" w:hAnsi="仿宋" w:eastAsia="仿宋" w:cs="仿宋"/>
          <w:color w:val="auto"/>
          <w:spacing w:val="6"/>
          <w:sz w:val="24"/>
          <w:szCs w:val="24"/>
          <w:highlight w:val="none"/>
        </w:rPr>
        <w:t>当事人按照专用合同条件约定的方式和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程序进行复核，或按照第</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9"/>
          <w:sz w:val="24"/>
          <w:szCs w:val="24"/>
          <w:highlight w:val="none"/>
        </w:rPr>
        <w:t>20</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9"/>
          <w:sz w:val="24"/>
          <w:szCs w:val="24"/>
          <w:highlight w:val="none"/>
        </w:rPr>
        <w:t>条[争议解决]约定处理。对于无异议部分，发包人应签发临时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竣工付款证书，并按本款第（2）项完成付款。承包人逾期未提出异议的，</w:t>
      </w:r>
      <w:r>
        <w:rPr>
          <w:rFonts w:hint="eastAsia" w:ascii="仿宋" w:hAnsi="仿宋" w:eastAsia="仿宋" w:cs="仿宋"/>
          <w:color w:val="auto"/>
          <w:spacing w:val="9"/>
          <w:sz w:val="24"/>
          <w:szCs w:val="24"/>
          <w:highlight w:val="none"/>
        </w:rPr>
        <w:t>视为认可发包人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的审批结果。</w:t>
      </w:r>
    </w:p>
    <w:p w14:paraId="77A7759A">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14.5.3 扫尾工作清单</w:t>
      </w:r>
    </w:p>
    <w:p w14:paraId="0533CED3">
      <w:pPr>
        <w:pStyle w:val="2"/>
        <w:keepNext w:val="0"/>
        <w:keepLines w:val="0"/>
        <w:pageBreakBefore w:val="0"/>
        <w:widowControl/>
        <w:kinsoku w:val="0"/>
        <w:wordWrap/>
        <w:overflowPunct/>
        <w:topLinePunct w:val="0"/>
        <w:autoSpaceDE w:val="0"/>
        <w:autoSpaceDN w:val="0"/>
        <w:bidi w:val="0"/>
        <w:adjustRightInd w:val="0"/>
        <w:snapToGrid w:val="0"/>
        <w:spacing w:before="144"/>
        <w:ind w:left="22" w:right="15" w:firstLine="6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经双方协商，部分工作在工程竣工验收后进行的，承包人应当编制扫尾工作清</w:t>
      </w:r>
      <w:r>
        <w:rPr>
          <w:rFonts w:hint="eastAsia" w:ascii="仿宋" w:hAnsi="仿宋" w:eastAsia="仿宋" w:cs="仿宋"/>
          <w:color w:val="auto"/>
          <w:spacing w:val="7"/>
          <w:sz w:val="24"/>
          <w:szCs w:val="24"/>
          <w:highlight w:val="none"/>
        </w:rPr>
        <w:t>单，扫</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尾工作清单中应当列明承包人应当完成的扫尾工作的内容及完成时间。</w:t>
      </w:r>
    </w:p>
    <w:p w14:paraId="1AABD91C">
      <w:pPr>
        <w:pStyle w:val="2"/>
        <w:keepNext w:val="0"/>
        <w:keepLines w:val="0"/>
        <w:pageBreakBefore w:val="0"/>
        <w:widowControl/>
        <w:kinsoku w:val="0"/>
        <w:wordWrap/>
        <w:overflowPunct/>
        <w:topLinePunct w:val="0"/>
        <w:autoSpaceDE w:val="0"/>
        <w:autoSpaceDN w:val="0"/>
        <w:bidi w:val="0"/>
        <w:adjustRightInd w:val="0"/>
        <w:snapToGrid w:val="0"/>
        <w:spacing w:before="25"/>
        <w:ind w:left="21" w:right="14"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承包人完成扫尾工作清单中的内容应取得的费用包含在第</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9"/>
          <w:sz w:val="24"/>
          <w:szCs w:val="24"/>
          <w:highlight w:val="none"/>
        </w:rPr>
        <w:t>14.5.1</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项[竣工结算申请]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及第</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5"/>
          <w:sz w:val="24"/>
          <w:szCs w:val="24"/>
          <w:highlight w:val="none"/>
        </w:rPr>
        <w:t>14.5.2</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5"/>
          <w:sz w:val="24"/>
          <w:szCs w:val="24"/>
          <w:highlight w:val="none"/>
        </w:rPr>
        <w:t>项[竣工结算审核]中一并结算。</w:t>
      </w:r>
    </w:p>
    <w:p w14:paraId="18E2A7FA">
      <w:pPr>
        <w:pStyle w:val="2"/>
        <w:keepNext w:val="0"/>
        <w:keepLines w:val="0"/>
        <w:pageBreakBefore w:val="0"/>
        <w:widowControl/>
        <w:kinsoku w:val="0"/>
        <w:wordWrap/>
        <w:overflowPunct/>
        <w:topLinePunct w:val="0"/>
        <w:autoSpaceDE w:val="0"/>
        <w:autoSpaceDN w:val="0"/>
        <w:bidi w:val="0"/>
        <w:adjustRightInd w:val="0"/>
        <w:snapToGrid w:val="0"/>
        <w:spacing w:before="24" w:line="244" w:lineRule="auto"/>
        <w:ind w:left="22" w:right="13" w:firstLine="6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扫尾工作的缺陷责任期按第</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9"/>
          <w:sz w:val="24"/>
          <w:szCs w:val="24"/>
          <w:highlight w:val="none"/>
        </w:rPr>
        <w:t>11</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9"/>
          <w:sz w:val="24"/>
          <w:szCs w:val="24"/>
          <w:highlight w:val="none"/>
        </w:rPr>
        <w:t>条[缺陷责任与保修]处理。承包人未能按照扫尾工作</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清单约定的完成时间完成扫尾工作的，视为承包人原因导致的工程质</w:t>
      </w:r>
      <w:r>
        <w:rPr>
          <w:rFonts w:hint="eastAsia" w:ascii="仿宋" w:hAnsi="仿宋" w:eastAsia="仿宋" w:cs="仿宋"/>
          <w:color w:val="auto"/>
          <w:spacing w:val="8"/>
          <w:sz w:val="24"/>
          <w:szCs w:val="24"/>
          <w:highlight w:val="none"/>
        </w:rPr>
        <w:t>量缺陷按照第</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8"/>
          <w:sz w:val="24"/>
          <w:szCs w:val="24"/>
          <w:highlight w:val="none"/>
        </w:rPr>
        <w:t>11.3</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8"/>
          <w:sz w:val="24"/>
          <w:szCs w:val="24"/>
          <w:highlight w:val="none"/>
        </w:rPr>
        <w:t>款</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[缺陷调查]处理。</w:t>
      </w:r>
    </w:p>
    <w:p w14:paraId="498765EF">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14.6 质量保证金</w:t>
      </w:r>
    </w:p>
    <w:p w14:paraId="1073D946">
      <w:pPr>
        <w:pStyle w:val="2"/>
        <w:keepNext w:val="0"/>
        <w:keepLines w:val="0"/>
        <w:pageBreakBefore w:val="0"/>
        <w:widowControl/>
        <w:kinsoku w:val="0"/>
        <w:wordWrap/>
        <w:overflowPunct/>
        <w:topLinePunct w:val="0"/>
        <w:autoSpaceDE w:val="0"/>
        <w:autoSpaceDN w:val="0"/>
        <w:bidi w:val="0"/>
        <w:adjustRightInd w:val="0"/>
        <w:snapToGrid w:val="0"/>
        <w:spacing w:before="146"/>
        <w:ind w:left="62" w:right="15" w:firstLine="56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经合同当事人协商一致提供质量保证金的，应在专用合同条件中予以明确。在</w:t>
      </w:r>
      <w:r>
        <w:rPr>
          <w:rFonts w:hint="eastAsia" w:ascii="仿宋" w:hAnsi="仿宋" w:eastAsia="仿宋" w:cs="仿宋"/>
          <w:color w:val="auto"/>
          <w:spacing w:val="7"/>
          <w:sz w:val="24"/>
          <w:szCs w:val="24"/>
          <w:highlight w:val="none"/>
        </w:rPr>
        <w:t>工程项</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目竣工前，承包人已经提供履约担保的，发包人不得同时要求承包人提供质量保证金。</w:t>
      </w:r>
    </w:p>
    <w:p w14:paraId="1FB6E484">
      <w:pPr>
        <w:pStyle w:val="2"/>
        <w:keepNext w:val="0"/>
        <w:keepLines w:val="0"/>
        <w:pageBreakBefore w:val="0"/>
        <w:widowControl/>
        <w:kinsoku w:val="0"/>
        <w:wordWrap/>
        <w:overflowPunct/>
        <w:topLinePunct w:val="0"/>
        <w:autoSpaceDE w:val="0"/>
        <w:autoSpaceDN w:val="0"/>
        <w:bidi w:val="0"/>
        <w:adjustRightInd w:val="0"/>
        <w:snapToGrid w:val="0"/>
        <w:spacing w:before="25" w:line="227"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14.6.1 承包人提供质量保证金的方式</w:t>
      </w:r>
    </w:p>
    <w:p w14:paraId="75C98CC2">
      <w:pPr>
        <w:pStyle w:val="2"/>
        <w:keepNext w:val="0"/>
        <w:keepLines w:val="0"/>
        <w:pageBreakBefore w:val="0"/>
        <w:widowControl/>
        <w:kinsoku w:val="0"/>
        <w:wordWrap/>
        <w:overflowPunct/>
        <w:topLinePunct w:val="0"/>
        <w:autoSpaceDE w:val="0"/>
        <w:autoSpaceDN w:val="0"/>
        <w:bidi w:val="0"/>
        <w:adjustRightInd w:val="0"/>
        <w:snapToGrid w:val="0"/>
        <w:spacing w:before="145" w:line="274" w:lineRule="exact"/>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承包人提供质量保证金有以下三种方式：</w:t>
      </w:r>
    </w:p>
    <w:p w14:paraId="76B3C317">
      <w:pPr>
        <w:pStyle w:val="2"/>
        <w:keepNext w:val="0"/>
        <w:keepLines w:val="0"/>
        <w:pageBreakBefore w:val="0"/>
        <w:widowControl/>
        <w:kinsoku w:val="0"/>
        <w:wordWrap/>
        <w:overflowPunct/>
        <w:topLinePunct w:val="0"/>
        <w:autoSpaceDE w:val="0"/>
        <w:autoSpaceDN w:val="0"/>
        <w:bidi w:val="0"/>
        <w:adjustRightInd w:val="0"/>
        <w:snapToGrid w:val="0"/>
        <w:spacing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提交工程质量保证担保；</w:t>
      </w:r>
    </w:p>
    <w:p w14:paraId="54DF1007">
      <w:pPr>
        <w:pStyle w:val="2"/>
        <w:keepNext w:val="0"/>
        <w:keepLines w:val="0"/>
        <w:pageBreakBefore w:val="0"/>
        <w:widowControl/>
        <w:kinsoku w:val="0"/>
        <w:wordWrap/>
        <w:overflowPunct/>
        <w:topLinePunct w:val="0"/>
        <w:autoSpaceDE w:val="0"/>
        <w:autoSpaceDN w:val="0"/>
        <w:bidi w:val="0"/>
        <w:adjustRightInd w:val="0"/>
        <w:snapToGrid w:val="0"/>
        <w:spacing w:before="24" w:line="274" w:lineRule="exact"/>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position w:val="4"/>
          <w:sz w:val="24"/>
          <w:szCs w:val="24"/>
          <w:highlight w:val="none"/>
        </w:rPr>
        <w:t>（2） 预留相应比例的工程款；</w:t>
      </w:r>
    </w:p>
    <w:p w14:paraId="245EB486">
      <w:pPr>
        <w:pStyle w:val="2"/>
        <w:keepNext w:val="0"/>
        <w:keepLines w:val="0"/>
        <w:pageBreakBefore w:val="0"/>
        <w:widowControl/>
        <w:kinsoku w:val="0"/>
        <w:wordWrap/>
        <w:overflowPunct/>
        <w:topLinePunct w:val="0"/>
        <w:autoSpaceDE w:val="0"/>
        <w:autoSpaceDN w:val="0"/>
        <w:bidi w:val="0"/>
        <w:adjustRightInd w:val="0"/>
        <w:snapToGrid w:val="0"/>
        <w:spacing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双方约定的其他方式。</w:t>
      </w:r>
    </w:p>
    <w:p w14:paraId="6A6C89D4">
      <w:pPr>
        <w:pStyle w:val="2"/>
        <w:keepNext w:val="0"/>
        <w:keepLines w:val="0"/>
        <w:pageBreakBefore w:val="0"/>
        <w:widowControl/>
        <w:kinsoku w:val="0"/>
        <w:wordWrap/>
        <w:overflowPunct/>
        <w:topLinePunct w:val="0"/>
        <w:autoSpaceDE w:val="0"/>
        <w:autoSpaceDN w:val="0"/>
        <w:bidi w:val="0"/>
        <w:adjustRightInd w:val="0"/>
        <w:snapToGrid w:val="0"/>
        <w:spacing w:before="26" w:line="245" w:lineRule="auto"/>
        <w:ind w:left="22" w:right="15" w:firstLine="61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除专用合同条件另有约定外，质量保证金原则上采用上述第（1）种方式，且承包人</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7"/>
          <w:sz w:val="24"/>
          <w:szCs w:val="24"/>
          <w:highlight w:val="none"/>
        </w:rPr>
        <w:t>应在工程竣工验收合格后</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天内，向发包人提交工</w:t>
      </w:r>
      <w:r>
        <w:rPr>
          <w:rFonts w:hint="eastAsia" w:ascii="仿宋" w:hAnsi="仿宋" w:eastAsia="仿宋" w:cs="仿宋"/>
          <w:color w:val="auto"/>
          <w:spacing w:val="6"/>
          <w:sz w:val="24"/>
          <w:szCs w:val="24"/>
          <w:highlight w:val="none"/>
        </w:rPr>
        <w:t>程质量保证担保。承包人提交工程质量保</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证担保时，发包人应同时返还预留的作为质量保证金的工程价款（如有）。但不论承包人以</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何种方式提供质量保证金，累计金额均不得高于工</w:t>
      </w:r>
      <w:r>
        <w:rPr>
          <w:rFonts w:hint="eastAsia" w:ascii="仿宋" w:hAnsi="仿宋" w:eastAsia="仿宋" w:cs="仿宋"/>
          <w:color w:val="auto"/>
          <w:spacing w:val="8"/>
          <w:sz w:val="24"/>
          <w:szCs w:val="24"/>
          <w:highlight w:val="none"/>
        </w:rPr>
        <w:t>程价款结算总额的</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8"/>
          <w:sz w:val="24"/>
          <w:szCs w:val="24"/>
          <w:highlight w:val="none"/>
        </w:rPr>
        <w:t>3%。</w:t>
      </w:r>
    </w:p>
    <w:p w14:paraId="4FE5AFBA">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sz w:val="24"/>
          <w:szCs w:val="24"/>
        </w:rPr>
      </w:pPr>
      <w:r>
        <w:rPr>
          <w:rFonts w:hint="eastAsia" w:ascii="仿宋" w:hAnsi="仿宋" w:eastAsia="仿宋" w:cs="仿宋"/>
          <w:color w:val="auto"/>
          <w:spacing w:val="5"/>
          <w:sz w:val="24"/>
          <w:szCs w:val="24"/>
          <w:highlight w:val="none"/>
        </w:rPr>
        <w:t>14.6.2 质量保证金的预留</w:t>
      </w:r>
    </w:p>
    <w:p w14:paraId="24063C9D">
      <w:pPr>
        <w:pStyle w:val="2"/>
        <w:keepNext w:val="0"/>
        <w:keepLines w:val="0"/>
        <w:pageBreakBefore w:val="0"/>
        <w:widowControl/>
        <w:kinsoku w:val="0"/>
        <w:wordWrap/>
        <w:overflowPunct/>
        <w:topLinePunct w:val="0"/>
        <w:autoSpaceDE w:val="0"/>
        <w:autoSpaceDN w:val="0"/>
        <w:bidi w:val="0"/>
        <w:adjustRightInd w:val="0"/>
        <w:snapToGrid w:val="0"/>
        <w:spacing w:before="42"/>
        <w:ind w:left="28" w:right="70" w:firstLine="59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双方约定采用预留相应比例的工程款方式提供质量保证金的，质量保证金的预留</w:t>
      </w:r>
      <w:r>
        <w:rPr>
          <w:rFonts w:hint="eastAsia" w:ascii="仿宋" w:hAnsi="仿宋" w:eastAsia="仿宋" w:cs="仿宋"/>
          <w:color w:val="auto"/>
          <w:spacing w:val="7"/>
          <w:sz w:val="24"/>
          <w:szCs w:val="24"/>
          <w:highlight w:val="none"/>
        </w:rPr>
        <w:t>有以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下三种方式：</w:t>
      </w:r>
    </w:p>
    <w:p w14:paraId="3EE6DF45">
      <w:pPr>
        <w:pStyle w:val="2"/>
        <w:keepNext w:val="0"/>
        <w:keepLines w:val="0"/>
        <w:pageBreakBefore w:val="0"/>
        <w:widowControl/>
        <w:kinsoku w:val="0"/>
        <w:wordWrap/>
        <w:overflowPunct/>
        <w:topLinePunct w:val="0"/>
        <w:autoSpaceDE w:val="0"/>
        <w:autoSpaceDN w:val="0"/>
        <w:bidi w:val="0"/>
        <w:adjustRightInd w:val="0"/>
        <w:snapToGrid w:val="0"/>
        <w:spacing w:before="23" w:line="243" w:lineRule="auto"/>
        <w:ind w:left="23" w:right="70"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按专用合同条件的约定在支付工程进度款时逐次预留，直至预留的质量保证金</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总额达到专用合同条件约定的金额或比例为止。在此情形下，质量保证金的计算基数不包括</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8"/>
          <w:sz w:val="24"/>
          <w:szCs w:val="24"/>
          <w:highlight w:val="none"/>
        </w:rPr>
        <w:t>预付款的支付、扣回以及价格调整的金额；</w:t>
      </w:r>
    </w:p>
    <w:p w14:paraId="4058ECF2">
      <w:pPr>
        <w:pStyle w:val="2"/>
        <w:keepNext w:val="0"/>
        <w:keepLines w:val="0"/>
        <w:pageBreakBefore w:val="0"/>
        <w:widowControl/>
        <w:kinsoku w:val="0"/>
        <w:wordWrap/>
        <w:overflowPunct/>
        <w:topLinePunct w:val="0"/>
        <w:autoSpaceDE w:val="0"/>
        <w:autoSpaceDN w:val="0"/>
        <w:bidi w:val="0"/>
        <w:adjustRightInd w:val="0"/>
        <w:snapToGrid w:val="0"/>
        <w:spacing w:before="28" w:line="271" w:lineRule="exact"/>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（2） 工程竣工结算时一次性预留质量保证金；</w:t>
      </w:r>
    </w:p>
    <w:p w14:paraId="1E10B46C">
      <w:pPr>
        <w:pStyle w:val="2"/>
        <w:keepNext w:val="0"/>
        <w:keepLines w:val="0"/>
        <w:pageBreakBefore w:val="0"/>
        <w:widowControl/>
        <w:kinsoku w:val="0"/>
        <w:wordWrap/>
        <w:overflowPunct/>
        <w:topLinePunct w:val="0"/>
        <w:autoSpaceDE w:val="0"/>
        <w:autoSpaceDN w:val="0"/>
        <w:bidi w:val="0"/>
        <w:adjustRightInd w:val="0"/>
        <w:snapToGrid w:val="0"/>
        <w:spacing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双方约定的其他预留方式。</w:t>
      </w:r>
    </w:p>
    <w:p w14:paraId="0C932C18">
      <w:pPr>
        <w:pStyle w:val="2"/>
        <w:keepNext w:val="0"/>
        <w:keepLines w:val="0"/>
        <w:pageBreakBefore w:val="0"/>
        <w:widowControl/>
        <w:kinsoku w:val="0"/>
        <w:wordWrap/>
        <w:overflowPunct/>
        <w:topLinePunct w:val="0"/>
        <w:autoSpaceDE w:val="0"/>
        <w:autoSpaceDN w:val="0"/>
        <w:bidi w:val="0"/>
        <w:adjustRightInd w:val="0"/>
        <w:snapToGrid w:val="0"/>
        <w:spacing w:before="27" w:line="245" w:lineRule="auto"/>
        <w:ind w:left="22" w:right="70" w:firstLine="61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除专用合同条件另有约定外，质量保证金的预留原则上采用上述第（1）种方式。如</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9"/>
          <w:sz w:val="24"/>
          <w:szCs w:val="24"/>
          <w:highlight w:val="none"/>
        </w:rPr>
        <w:t>承包人在发包人签发竣工付款证书后</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9"/>
          <w:sz w:val="24"/>
          <w:szCs w:val="24"/>
          <w:highlight w:val="none"/>
        </w:rPr>
        <w:t>天内提交工程质量保证担保，发包人应同时返还预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留的作为质量保证金的工程价款。发包人在返还本条款项下的质量保证金的同时，按照中国</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人民银行同期同类存款基准利率支付利息。</w:t>
      </w:r>
    </w:p>
    <w:p w14:paraId="26EEAD62">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14.6.3 质量保证金的返还</w:t>
      </w:r>
    </w:p>
    <w:p w14:paraId="771B7DA7">
      <w:pPr>
        <w:pStyle w:val="2"/>
        <w:keepNext w:val="0"/>
        <w:keepLines w:val="0"/>
        <w:pageBreakBefore w:val="0"/>
        <w:widowControl/>
        <w:kinsoku w:val="0"/>
        <w:wordWrap/>
        <w:overflowPunct/>
        <w:topLinePunct w:val="0"/>
        <w:autoSpaceDE w:val="0"/>
        <w:autoSpaceDN w:val="0"/>
        <w:bidi w:val="0"/>
        <w:adjustRightInd w:val="0"/>
        <w:snapToGrid w:val="0"/>
        <w:spacing w:before="146" w:line="244" w:lineRule="auto"/>
        <w:ind w:left="23" w:right="69" w:firstLine="599"/>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缺陷责任期内，承包人认真履行合同约定的责任，</w:t>
      </w:r>
      <w:r>
        <w:rPr>
          <w:rFonts w:hint="eastAsia" w:ascii="仿宋" w:hAnsi="仿宋" w:eastAsia="仿宋" w:cs="仿宋"/>
          <w:color w:val="auto"/>
          <w:spacing w:val="5"/>
          <w:sz w:val="24"/>
          <w:szCs w:val="24"/>
          <w:highlight w:val="none"/>
        </w:rPr>
        <w:t>缺陷责任期满，发包人根据第</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5"/>
          <w:sz w:val="24"/>
          <w:szCs w:val="24"/>
          <w:highlight w:val="none"/>
        </w:rPr>
        <w:t>11.6</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 xml:space="preserve">款[缺陷责任期终止证书]向承包人颁发缺陷责任期终止证书后，承包人可向发包人申请返还 </w:t>
      </w:r>
      <w:r>
        <w:rPr>
          <w:rFonts w:hint="eastAsia" w:ascii="仿宋" w:hAnsi="仿宋" w:eastAsia="仿宋" w:cs="仿宋"/>
          <w:color w:val="auto"/>
          <w:spacing w:val="6"/>
          <w:sz w:val="24"/>
          <w:szCs w:val="24"/>
          <w:highlight w:val="none"/>
        </w:rPr>
        <w:t>质量保证金。</w:t>
      </w:r>
    </w:p>
    <w:p w14:paraId="398F3507">
      <w:pPr>
        <w:pStyle w:val="2"/>
        <w:keepNext w:val="0"/>
        <w:keepLines w:val="0"/>
        <w:pageBreakBefore w:val="0"/>
        <w:widowControl/>
        <w:kinsoku w:val="0"/>
        <w:wordWrap/>
        <w:overflowPunct/>
        <w:topLinePunct w:val="0"/>
        <w:autoSpaceDE w:val="0"/>
        <w:autoSpaceDN w:val="0"/>
        <w:bidi w:val="0"/>
        <w:adjustRightInd w:val="0"/>
        <w:snapToGrid w:val="0"/>
        <w:spacing w:before="25" w:line="243" w:lineRule="auto"/>
        <w:ind w:left="20" w:right="57" w:firstLine="605"/>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发包人在接到承包人返还质量保证金申请后，应于</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7"/>
          <w:sz w:val="24"/>
          <w:szCs w:val="24"/>
          <w:highlight w:val="none"/>
        </w:rPr>
        <w:t>天内将质量保证金返还承包人，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逾期未返还的，应承担违约责任。发包人在接到承包人</w:t>
      </w:r>
      <w:r>
        <w:rPr>
          <w:rFonts w:hint="eastAsia" w:ascii="仿宋" w:hAnsi="仿宋" w:eastAsia="仿宋" w:cs="仿宋"/>
          <w:color w:val="auto"/>
          <w:spacing w:val="6"/>
          <w:sz w:val="24"/>
          <w:szCs w:val="24"/>
          <w:highlight w:val="none"/>
        </w:rPr>
        <w:t>返还质量保证金申请后</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天内不予答</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复，视同认可承包人的返还质量保证金申请。</w:t>
      </w:r>
    </w:p>
    <w:p w14:paraId="64FFBBDC">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42" w:right="70" w:firstLine="5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发包人和承包人对质量保证金预留、返还以及工程维修质量、费用有争议</w:t>
      </w:r>
      <w:r>
        <w:rPr>
          <w:rFonts w:hint="eastAsia" w:ascii="仿宋" w:hAnsi="仿宋" w:eastAsia="仿宋" w:cs="仿宋"/>
          <w:color w:val="auto"/>
          <w:spacing w:val="7"/>
          <w:sz w:val="24"/>
          <w:szCs w:val="24"/>
          <w:highlight w:val="none"/>
        </w:rPr>
        <w:t>的，按本合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同第</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20</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7"/>
          <w:sz w:val="24"/>
          <w:szCs w:val="24"/>
          <w:highlight w:val="none"/>
        </w:rPr>
        <w:t>条[争议解决]约定的争议和纠纷</w:t>
      </w:r>
      <w:r>
        <w:rPr>
          <w:rFonts w:hint="eastAsia" w:ascii="仿宋" w:hAnsi="仿宋" w:eastAsia="仿宋" w:cs="仿宋"/>
          <w:color w:val="auto"/>
          <w:spacing w:val="6"/>
          <w:sz w:val="24"/>
          <w:szCs w:val="24"/>
          <w:highlight w:val="none"/>
        </w:rPr>
        <w:t>解决程序处理。</w:t>
      </w:r>
    </w:p>
    <w:p w14:paraId="1CA03BFB">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14.7</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3"/>
          <w:sz w:val="24"/>
          <w:szCs w:val="24"/>
          <w:highlight w:val="none"/>
        </w:rPr>
        <w:t>最终结清</w:t>
      </w:r>
    </w:p>
    <w:p w14:paraId="09300747">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14.7.1 最终结清申请单</w:t>
      </w:r>
    </w:p>
    <w:p w14:paraId="7E326605">
      <w:pPr>
        <w:pStyle w:val="2"/>
        <w:keepNext w:val="0"/>
        <w:keepLines w:val="0"/>
        <w:pageBreakBefore w:val="0"/>
        <w:widowControl/>
        <w:kinsoku w:val="0"/>
        <w:wordWrap/>
        <w:overflowPunct/>
        <w:topLinePunct w:val="0"/>
        <w:autoSpaceDE w:val="0"/>
        <w:autoSpaceDN w:val="0"/>
        <w:bidi w:val="0"/>
        <w:adjustRightInd w:val="0"/>
        <w:snapToGrid w:val="0"/>
        <w:spacing w:before="146" w:line="239" w:lineRule="auto"/>
        <w:ind w:left="23" w:right="57"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w:t>
      </w:r>
      <w:r>
        <w:rPr>
          <w:rFonts w:hint="eastAsia" w:ascii="仿宋" w:hAnsi="仿宋" w:eastAsia="仿宋" w:cs="仿宋"/>
          <w:color w:val="auto"/>
          <w:spacing w:val="41"/>
          <w:sz w:val="24"/>
          <w:szCs w:val="24"/>
          <w:highlight w:val="none"/>
        </w:rPr>
        <w:t xml:space="preserve"> </w:t>
      </w:r>
      <w:r>
        <w:rPr>
          <w:rFonts w:hint="eastAsia" w:ascii="仿宋" w:hAnsi="仿宋" w:eastAsia="仿宋" w:cs="仿宋"/>
          <w:color w:val="auto"/>
          <w:spacing w:val="6"/>
          <w:sz w:val="24"/>
          <w:szCs w:val="24"/>
          <w:highlight w:val="none"/>
        </w:rPr>
        <w:t>除专用合同条件另有约定外，承包人应在缺陷责任期终止证书颁发后</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6"/>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天内，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按专用合同条件约定的份数向发包人提交最终结清申请单，并提供相关证明材料。</w:t>
      </w:r>
    </w:p>
    <w:p w14:paraId="6FC0D5BD">
      <w:pPr>
        <w:pStyle w:val="2"/>
        <w:keepNext w:val="0"/>
        <w:keepLines w:val="0"/>
        <w:pageBreakBefore w:val="0"/>
        <w:widowControl/>
        <w:kinsoku w:val="0"/>
        <w:wordWrap/>
        <w:overflowPunct/>
        <w:topLinePunct w:val="0"/>
        <w:autoSpaceDE w:val="0"/>
        <w:autoSpaceDN w:val="0"/>
        <w:bidi w:val="0"/>
        <w:adjustRightInd w:val="0"/>
        <w:snapToGrid w:val="0"/>
        <w:spacing w:before="28" w:line="239" w:lineRule="auto"/>
        <w:ind w:left="23" w:right="70"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除专用合同条件另有约定外，最终结清申请单应列明</w:t>
      </w:r>
      <w:r>
        <w:rPr>
          <w:rFonts w:hint="eastAsia" w:ascii="仿宋" w:hAnsi="仿宋" w:eastAsia="仿宋" w:cs="仿宋"/>
          <w:color w:val="auto"/>
          <w:spacing w:val="7"/>
          <w:sz w:val="24"/>
          <w:szCs w:val="24"/>
          <w:highlight w:val="none"/>
        </w:rPr>
        <w:t>质量保证金、应扣除的质量保证</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金、缺陷责任期内发生的增减费用。</w:t>
      </w:r>
    </w:p>
    <w:p w14:paraId="63B212FE">
      <w:pPr>
        <w:pStyle w:val="2"/>
        <w:keepNext w:val="0"/>
        <w:keepLines w:val="0"/>
        <w:pageBreakBefore w:val="0"/>
        <w:widowControl/>
        <w:kinsoku w:val="0"/>
        <w:wordWrap/>
        <w:overflowPunct/>
        <w:topLinePunct w:val="0"/>
        <w:autoSpaceDE w:val="0"/>
        <w:autoSpaceDN w:val="0"/>
        <w:bidi w:val="0"/>
        <w:adjustRightInd w:val="0"/>
        <w:snapToGrid w:val="0"/>
        <w:spacing w:before="25"/>
        <w:ind w:left="31" w:right="70" w:firstLine="6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发包人对最终结清申请单内容有异议的，有权要求承包人进行修正和提供补充</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资料，承包人应向发包人提交修正后的最终</w:t>
      </w:r>
      <w:r>
        <w:rPr>
          <w:rFonts w:hint="eastAsia" w:ascii="仿宋" w:hAnsi="仿宋" w:eastAsia="仿宋" w:cs="仿宋"/>
          <w:color w:val="auto"/>
          <w:spacing w:val="8"/>
          <w:sz w:val="24"/>
          <w:szCs w:val="24"/>
          <w:highlight w:val="none"/>
        </w:rPr>
        <w:t>结清申请单。</w:t>
      </w:r>
    </w:p>
    <w:p w14:paraId="3317D1AE">
      <w:pPr>
        <w:pStyle w:val="2"/>
        <w:keepNext w:val="0"/>
        <w:keepLines w:val="0"/>
        <w:pageBreakBefore w:val="0"/>
        <w:widowControl/>
        <w:kinsoku w:val="0"/>
        <w:wordWrap/>
        <w:overflowPunct/>
        <w:topLinePunct w:val="0"/>
        <w:autoSpaceDE w:val="0"/>
        <w:autoSpaceDN w:val="0"/>
        <w:bidi w:val="0"/>
        <w:adjustRightInd w:val="0"/>
        <w:snapToGrid w:val="0"/>
        <w:spacing w:before="27" w:line="227"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14.7.2 最终结清证书和支付</w:t>
      </w:r>
    </w:p>
    <w:p w14:paraId="08A7A447">
      <w:pPr>
        <w:pStyle w:val="2"/>
        <w:keepNext w:val="0"/>
        <w:keepLines w:val="0"/>
        <w:pageBreakBefore w:val="0"/>
        <w:widowControl/>
        <w:kinsoku w:val="0"/>
        <w:wordWrap/>
        <w:overflowPunct/>
        <w:topLinePunct w:val="0"/>
        <w:autoSpaceDE w:val="0"/>
        <w:autoSpaceDN w:val="0"/>
        <w:bidi w:val="0"/>
        <w:adjustRightInd w:val="0"/>
        <w:snapToGrid w:val="0"/>
        <w:spacing w:before="143" w:line="246" w:lineRule="auto"/>
        <w:ind w:left="22" w:right="70" w:firstLine="61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除专用合同条件另有约定外，发包人应在收到承包人提交的最终结清申请单后</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11"/>
          <w:sz w:val="24"/>
          <w:szCs w:val="24"/>
          <w:highlight w:val="none"/>
        </w:rPr>
        <w:t>14</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11"/>
          <w:sz w:val="24"/>
          <w:szCs w:val="24"/>
          <w:highlight w:val="none"/>
        </w:rPr>
        <w:t>天内完成审批并向承包人颁发最终结清证书。发包人逾期未</w:t>
      </w:r>
      <w:r>
        <w:rPr>
          <w:rFonts w:hint="eastAsia" w:ascii="仿宋" w:hAnsi="仿宋" w:eastAsia="仿宋" w:cs="仿宋"/>
          <w:color w:val="auto"/>
          <w:spacing w:val="10"/>
          <w:sz w:val="24"/>
          <w:szCs w:val="24"/>
          <w:highlight w:val="none"/>
        </w:rPr>
        <w:t>完成审批，又未提出修改意</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见的，视为发包人同意承包人提交的最终结清申请单，且自发包人收到承包人提交的最终结</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6"/>
          <w:sz w:val="24"/>
          <w:szCs w:val="24"/>
          <w:highlight w:val="none"/>
        </w:rPr>
        <w:t>清申请单后</w:t>
      </w:r>
      <w:r>
        <w:rPr>
          <w:rFonts w:hint="eastAsia" w:ascii="仿宋" w:hAnsi="仿宋" w:eastAsia="仿宋" w:cs="仿宋"/>
          <w:color w:val="auto"/>
          <w:spacing w:val="-7"/>
          <w:sz w:val="24"/>
          <w:szCs w:val="24"/>
          <w:highlight w:val="none"/>
        </w:rPr>
        <w:t xml:space="preserve"> </w:t>
      </w:r>
      <w:r>
        <w:rPr>
          <w:rFonts w:hint="eastAsia" w:ascii="仿宋" w:hAnsi="仿宋" w:eastAsia="仿宋" w:cs="仿宋"/>
          <w:color w:val="auto"/>
          <w:spacing w:val="6"/>
          <w:sz w:val="24"/>
          <w:szCs w:val="24"/>
          <w:highlight w:val="none"/>
        </w:rPr>
        <w:t>15</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天起视为已颁发最终结清证书。</w:t>
      </w:r>
    </w:p>
    <w:p w14:paraId="749384BF">
      <w:pPr>
        <w:pStyle w:val="2"/>
        <w:keepNext w:val="0"/>
        <w:keepLines w:val="0"/>
        <w:pageBreakBefore w:val="0"/>
        <w:widowControl/>
        <w:kinsoku w:val="0"/>
        <w:wordWrap/>
        <w:overflowPunct/>
        <w:topLinePunct w:val="0"/>
        <w:autoSpaceDE w:val="0"/>
        <w:autoSpaceDN w:val="0"/>
        <w:bidi w:val="0"/>
        <w:adjustRightInd w:val="0"/>
        <w:snapToGrid w:val="0"/>
        <w:spacing w:before="26" w:line="243" w:lineRule="auto"/>
        <w:ind w:left="19" w:firstLine="61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（2）</w:t>
      </w:r>
      <w:r>
        <w:rPr>
          <w:rFonts w:hint="eastAsia" w:ascii="仿宋" w:hAnsi="仿宋" w:eastAsia="仿宋" w:cs="仿宋"/>
          <w:color w:val="auto"/>
          <w:spacing w:val="-48"/>
          <w:sz w:val="24"/>
          <w:szCs w:val="24"/>
          <w:highlight w:val="none"/>
        </w:rPr>
        <w:t xml:space="preserve"> </w:t>
      </w:r>
      <w:r>
        <w:rPr>
          <w:rFonts w:hint="eastAsia" w:ascii="仿宋" w:hAnsi="仿宋" w:eastAsia="仿宋" w:cs="仿宋"/>
          <w:color w:val="auto"/>
          <w:spacing w:val="5"/>
          <w:sz w:val="24"/>
          <w:szCs w:val="24"/>
          <w:highlight w:val="none"/>
        </w:rPr>
        <w:t>除专用合同条件另有约定外，发包人</w:t>
      </w:r>
      <w:r>
        <w:rPr>
          <w:rFonts w:hint="eastAsia" w:ascii="仿宋" w:hAnsi="仿宋" w:eastAsia="仿宋" w:cs="仿宋"/>
          <w:color w:val="auto"/>
          <w:spacing w:val="4"/>
          <w:sz w:val="24"/>
          <w:szCs w:val="24"/>
          <w:highlight w:val="none"/>
        </w:rPr>
        <w:t>应在颁发最终结清证书后</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4"/>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4"/>
          <w:sz w:val="24"/>
          <w:szCs w:val="24"/>
          <w:highlight w:val="none"/>
        </w:rPr>
        <w:t>天内完成支付。</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发包人逾期支付的，按照贷款市场报价利率（</w:t>
      </w:r>
      <w:r>
        <w:rPr>
          <w:rFonts w:hint="eastAsia" w:ascii="仿宋" w:hAnsi="仿宋" w:eastAsia="仿宋" w:cs="仿宋"/>
          <w:color w:val="auto"/>
          <w:sz w:val="24"/>
          <w:szCs w:val="24"/>
          <w:highlight w:val="none"/>
        </w:rPr>
        <w:t>LPR</w:t>
      </w:r>
      <w:r>
        <w:rPr>
          <w:rFonts w:hint="eastAsia" w:ascii="仿宋" w:hAnsi="仿宋" w:eastAsia="仿宋" w:cs="仿宋"/>
          <w:color w:val="auto"/>
          <w:spacing w:val="6"/>
          <w:sz w:val="24"/>
          <w:szCs w:val="24"/>
          <w:highlight w:val="none"/>
        </w:rPr>
        <w:t>）支付利息；逾期支付超过</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6"/>
          <w:sz w:val="24"/>
          <w:szCs w:val="24"/>
          <w:highlight w:val="none"/>
        </w:rPr>
        <w:t>56</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6"/>
          <w:sz w:val="24"/>
          <w:szCs w:val="24"/>
          <w:highlight w:val="none"/>
        </w:rPr>
        <w:t xml:space="preserve">天的，按照 </w:t>
      </w:r>
      <w:r>
        <w:rPr>
          <w:rFonts w:hint="eastAsia" w:ascii="仿宋" w:hAnsi="仿宋" w:eastAsia="仿宋" w:cs="仿宋"/>
          <w:color w:val="auto"/>
          <w:spacing w:val="9"/>
          <w:sz w:val="24"/>
          <w:szCs w:val="24"/>
          <w:highlight w:val="none"/>
        </w:rPr>
        <w:t>贷款市场报价利率（</w:t>
      </w:r>
      <w:r>
        <w:rPr>
          <w:rFonts w:hint="eastAsia" w:ascii="仿宋" w:hAnsi="仿宋" w:eastAsia="仿宋" w:cs="仿宋"/>
          <w:color w:val="auto"/>
          <w:sz w:val="24"/>
          <w:szCs w:val="24"/>
          <w:highlight w:val="none"/>
        </w:rPr>
        <w:t>LPR</w:t>
      </w:r>
      <w:r>
        <w:rPr>
          <w:rFonts w:hint="eastAsia" w:ascii="仿宋" w:hAnsi="仿宋" w:eastAsia="仿宋" w:cs="仿宋"/>
          <w:color w:val="auto"/>
          <w:spacing w:val="9"/>
          <w:sz w:val="24"/>
          <w:szCs w:val="24"/>
          <w:highlight w:val="none"/>
        </w:rPr>
        <w:t>）的两倍支付利息。</w:t>
      </w:r>
    </w:p>
    <w:p w14:paraId="22523E99">
      <w:pPr>
        <w:pStyle w:val="2"/>
        <w:keepNext w:val="0"/>
        <w:keepLines w:val="0"/>
        <w:pageBreakBefore w:val="0"/>
        <w:widowControl/>
        <w:kinsoku w:val="0"/>
        <w:wordWrap/>
        <w:overflowPunct/>
        <w:topLinePunct w:val="0"/>
        <w:autoSpaceDE w:val="0"/>
        <w:autoSpaceDN w:val="0"/>
        <w:bidi w:val="0"/>
        <w:adjustRightInd w:val="0"/>
        <w:snapToGrid w:val="0"/>
        <w:spacing w:before="26"/>
        <w:ind w:left="26" w:right="70" w:firstLine="605"/>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（3） 承包人对发包人颁发的最终结清证书有异议的，按第</w:t>
      </w:r>
      <w:r>
        <w:rPr>
          <w:rFonts w:hint="eastAsia" w:ascii="仿宋" w:hAnsi="仿宋" w:eastAsia="仿宋" w:cs="仿宋"/>
          <w:color w:val="auto"/>
          <w:spacing w:val="-30"/>
          <w:sz w:val="24"/>
          <w:szCs w:val="24"/>
          <w:highlight w:val="none"/>
        </w:rPr>
        <w:t xml:space="preserve"> </w:t>
      </w:r>
      <w:r>
        <w:rPr>
          <w:rFonts w:hint="eastAsia" w:ascii="仿宋" w:hAnsi="仿宋" w:eastAsia="仿宋" w:cs="仿宋"/>
          <w:color w:val="auto"/>
          <w:spacing w:val="9"/>
          <w:sz w:val="24"/>
          <w:szCs w:val="24"/>
          <w:highlight w:val="none"/>
        </w:rPr>
        <w:t>20</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9"/>
          <w:sz w:val="24"/>
          <w:szCs w:val="24"/>
          <w:highlight w:val="none"/>
        </w:rPr>
        <w:t>条[争议解决]的约定</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办理。</w:t>
      </w:r>
    </w:p>
    <w:p w14:paraId="469C4BC2">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35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第15条</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5"/>
          <w:sz w:val="24"/>
          <w:szCs w:val="24"/>
          <w:highlight w:val="none"/>
        </w:rPr>
        <w:t>违约</w:t>
      </w:r>
    </w:p>
    <w:p w14:paraId="2F978643">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15.1 发包人违约</w:t>
      </w:r>
    </w:p>
    <w:p w14:paraId="14D070CC">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15.1.1 发包人违约的情形</w:t>
      </w:r>
    </w:p>
    <w:p w14:paraId="483B88E4">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632" w:right="58" w:firstLine="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除专用合同条件另有约定外，在合同履行过程中发生的下列情形，属于发包人违</w:t>
      </w:r>
      <w:r>
        <w:rPr>
          <w:rFonts w:hint="eastAsia" w:ascii="仿宋" w:hAnsi="仿宋" w:eastAsia="仿宋" w:cs="仿宋"/>
          <w:color w:val="auto"/>
          <w:spacing w:val="7"/>
          <w:sz w:val="24"/>
          <w:szCs w:val="24"/>
          <w:highlight w:val="none"/>
        </w:rPr>
        <w:t>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（1）</w:t>
      </w:r>
      <w:r>
        <w:rPr>
          <w:rFonts w:hint="eastAsia" w:ascii="仿宋" w:hAnsi="仿宋" w:eastAsia="仿宋" w:cs="仿宋"/>
          <w:color w:val="auto"/>
          <w:spacing w:val="52"/>
          <w:sz w:val="24"/>
          <w:szCs w:val="24"/>
          <w:highlight w:val="none"/>
        </w:rPr>
        <w:t xml:space="preserve"> </w:t>
      </w:r>
      <w:r>
        <w:rPr>
          <w:rFonts w:hint="eastAsia" w:ascii="仿宋" w:hAnsi="仿宋" w:eastAsia="仿宋" w:cs="仿宋"/>
          <w:color w:val="auto"/>
          <w:spacing w:val="6"/>
          <w:sz w:val="24"/>
          <w:szCs w:val="24"/>
          <w:highlight w:val="none"/>
        </w:rPr>
        <w:t>因发包人原因导致开始工作日期延误的；</w:t>
      </w:r>
    </w:p>
    <w:p w14:paraId="23069228">
      <w:pPr>
        <w:pStyle w:val="2"/>
        <w:keepNext w:val="0"/>
        <w:keepLines w:val="0"/>
        <w:pageBreakBefore w:val="0"/>
        <w:widowControl/>
        <w:kinsoku w:val="0"/>
        <w:wordWrap/>
        <w:overflowPunct/>
        <w:topLinePunct w:val="0"/>
        <w:autoSpaceDE w:val="0"/>
        <w:autoSpaceDN w:val="0"/>
        <w:bidi w:val="0"/>
        <w:adjustRightInd w:val="0"/>
        <w:snapToGrid w:val="0"/>
        <w:spacing w:before="26" w:line="226"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7"/>
          <w:sz w:val="24"/>
          <w:szCs w:val="24"/>
          <w:highlight w:val="none"/>
        </w:rPr>
        <w:t>因发包人原因未能按合同约定支付合同价款的；</w:t>
      </w:r>
    </w:p>
    <w:p w14:paraId="1789D3AB">
      <w:pPr>
        <w:pStyle w:val="2"/>
        <w:keepNext w:val="0"/>
        <w:keepLines w:val="0"/>
        <w:pageBreakBefore w:val="0"/>
        <w:widowControl/>
        <w:kinsoku w:val="0"/>
        <w:wordWrap/>
        <w:overflowPunct/>
        <w:topLinePunct w:val="0"/>
        <w:autoSpaceDE w:val="0"/>
        <w:autoSpaceDN w:val="0"/>
        <w:bidi w:val="0"/>
        <w:adjustRightInd w:val="0"/>
        <w:snapToGrid w:val="0"/>
        <w:spacing w:before="27"/>
        <w:ind w:left="632" w:right="37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（3） 发包人违反第</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5"/>
          <w:sz w:val="24"/>
          <w:szCs w:val="24"/>
          <w:highlight w:val="none"/>
        </w:rPr>
        <w:t>13.1.1</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5"/>
          <w:sz w:val="24"/>
          <w:szCs w:val="24"/>
          <w:highlight w:val="none"/>
        </w:rPr>
        <w:t>项约定，</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5"/>
          <w:sz w:val="24"/>
          <w:szCs w:val="24"/>
          <w:highlight w:val="none"/>
        </w:rPr>
        <w:t>自行实施被取消的工作</w:t>
      </w:r>
      <w:r>
        <w:rPr>
          <w:rFonts w:hint="eastAsia" w:ascii="仿宋" w:hAnsi="仿宋" w:eastAsia="仿宋" w:cs="仿宋"/>
          <w:color w:val="auto"/>
          <w:spacing w:val="4"/>
          <w:sz w:val="24"/>
          <w:szCs w:val="24"/>
          <w:highlight w:val="none"/>
        </w:rPr>
        <w:t>或转由他人实施的；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（4）</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7"/>
          <w:sz w:val="24"/>
          <w:szCs w:val="24"/>
          <w:highlight w:val="none"/>
        </w:rPr>
        <w:t>因发包人违反合同约定造成工程暂停施</w:t>
      </w:r>
      <w:r>
        <w:rPr>
          <w:rFonts w:hint="eastAsia" w:ascii="仿宋" w:hAnsi="仿宋" w:eastAsia="仿宋" w:cs="仿宋"/>
          <w:color w:val="auto"/>
          <w:spacing w:val="6"/>
          <w:sz w:val="24"/>
          <w:szCs w:val="24"/>
          <w:highlight w:val="none"/>
        </w:rPr>
        <w:t>工的；</w:t>
      </w:r>
    </w:p>
    <w:p w14:paraId="27E16D5F">
      <w:pPr>
        <w:pStyle w:val="2"/>
        <w:keepNext w:val="0"/>
        <w:keepLines w:val="0"/>
        <w:pageBreakBefore w:val="0"/>
        <w:widowControl/>
        <w:kinsoku w:val="0"/>
        <w:wordWrap/>
        <w:overflowPunct/>
        <w:topLinePunct w:val="0"/>
        <w:autoSpaceDE w:val="0"/>
        <w:autoSpaceDN w:val="0"/>
        <w:bidi w:val="0"/>
        <w:adjustRightInd w:val="0"/>
        <w:snapToGrid w:val="0"/>
        <w:spacing w:before="24"/>
        <w:ind w:left="632" w:right="5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（5） 工程师无正当理由没有在约定期限内发出复工指示，导致承</w:t>
      </w:r>
      <w:r>
        <w:rPr>
          <w:rFonts w:hint="eastAsia" w:ascii="仿宋" w:hAnsi="仿宋" w:eastAsia="仿宋" w:cs="仿宋"/>
          <w:color w:val="auto"/>
          <w:spacing w:val="7"/>
          <w:sz w:val="24"/>
          <w:szCs w:val="24"/>
          <w:highlight w:val="none"/>
        </w:rPr>
        <w:t>包人无法复工的；</w:t>
      </w:r>
      <w:r>
        <w:rPr>
          <w:rFonts w:hint="eastAsia" w:ascii="仿宋" w:hAnsi="仿宋" w:eastAsia="仿宋" w:cs="仿宋"/>
          <w:color w:val="auto"/>
          <w:sz w:val="24"/>
          <w:szCs w:val="24"/>
          <w:highlight w:val="none"/>
        </w:rPr>
        <w:t xml:space="preserve"> </w:t>
      </w:r>
    </w:p>
    <w:p w14:paraId="542A3CC2">
      <w:pPr>
        <w:pStyle w:val="2"/>
        <w:keepNext w:val="0"/>
        <w:keepLines w:val="0"/>
        <w:pageBreakBefore w:val="0"/>
        <w:widowControl/>
        <w:kinsoku w:val="0"/>
        <w:wordWrap/>
        <w:overflowPunct/>
        <w:topLinePunct w:val="0"/>
        <w:autoSpaceDE w:val="0"/>
        <w:autoSpaceDN w:val="0"/>
        <w:bidi w:val="0"/>
        <w:adjustRightInd w:val="0"/>
        <w:snapToGrid w:val="0"/>
        <w:spacing w:before="24"/>
        <w:ind w:left="632" w:right="5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（6）发包人明确表示或者以其行为表明不履行合同主要义务的；</w:t>
      </w:r>
    </w:p>
    <w:p w14:paraId="105546E2">
      <w:pPr>
        <w:pStyle w:val="2"/>
        <w:keepNext w:val="0"/>
        <w:keepLines w:val="0"/>
        <w:pageBreakBefore w:val="0"/>
        <w:widowControl/>
        <w:kinsoku w:val="0"/>
        <w:wordWrap/>
        <w:overflowPunct/>
        <w:topLinePunct w:val="0"/>
        <w:autoSpaceDE w:val="0"/>
        <w:autoSpaceDN w:val="0"/>
        <w:bidi w:val="0"/>
        <w:adjustRightInd w:val="0"/>
        <w:snapToGrid w:val="0"/>
        <w:spacing w:before="41" w:line="228" w:lineRule="auto"/>
        <w:ind w:firstLine="768" w:firstLineChars="3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（7） 发包人未能按照合同约定履行其他义务的。</w:t>
      </w:r>
    </w:p>
    <w:p w14:paraId="455BB37E">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15.1.2 通知改正</w:t>
      </w:r>
    </w:p>
    <w:p w14:paraId="62710123">
      <w:pPr>
        <w:pStyle w:val="2"/>
        <w:keepNext w:val="0"/>
        <w:keepLines w:val="0"/>
        <w:pageBreakBefore w:val="0"/>
        <w:widowControl/>
        <w:kinsoku w:val="0"/>
        <w:wordWrap/>
        <w:overflowPunct/>
        <w:topLinePunct w:val="0"/>
        <w:autoSpaceDE w:val="0"/>
        <w:autoSpaceDN w:val="0"/>
        <w:bidi w:val="0"/>
        <w:adjustRightInd w:val="0"/>
        <w:snapToGrid w:val="0"/>
        <w:spacing w:before="142" w:line="244" w:lineRule="auto"/>
        <w:ind w:left="23" w:right="2" w:firstLine="60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发包人发生除第</w:t>
      </w:r>
      <w:r>
        <w:rPr>
          <w:rFonts w:hint="eastAsia" w:ascii="仿宋" w:hAnsi="仿宋" w:eastAsia="仿宋" w:cs="仿宋"/>
          <w:color w:val="auto"/>
          <w:spacing w:val="-7"/>
          <w:sz w:val="24"/>
          <w:szCs w:val="24"/>
          <w:highlight w:val="none"/>
        </w:rPr>
        <w:t xml:space="preserve"> </w:t>
      </w:r>
      <w:r>
        <w:rPr>
          <w:rFonts w:hint="eastAsia" w:ascii="仿宋" w:hAnsi="仿宋" w:eastAsia="仿宋" w:cs="仿宋"/>
          <w:color w:val="auto"/>
          <w:spacing w:val="6"/>
          <w:sz w:val="24"/>
          <w:szCs w:val="24"/>
          <w:highlight w:val="none"/>
        </w:rPr>
        <w:t>15.1.1</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项第(6)目以外的违约情况时，承包人可向发包人发出通知，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要求发包人采取有效措施纠正违约行为。发包人收到承包人通知后</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9"/>
          <w:sz w:val="24"/>
          <w:szCs w:val="24"/>
          <w:highlight w:val="none"/>
        </w:rPr>
        <w:t>天内仍不纠正违约行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为的，承包人有权暂停相应部位工程实施，并通知工程师。</w:t>
      </w:r>
    </w:p>
    <w:p w14:paraId="068C09A6">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15.1.3 发包人违约的责任</w:t>
      </w:r>
    </w:p>
    <w:p w14:paraId="139C0E71">
      <w:pPr>
        <w:pStyle w:val="2"/>
        <w:keepNext w:val="0"/>
        <w:keepLines w:val="0"/>
        <w:pageBreakBefore w:val="0"/>
        <w:widowControl/>
        <w:kinsoku w:val="0"/>
        <w:wordWrap/>
        <w:overflowPunct/>
        <w:topLinePunct w:val="0"/>
        <w:autoSpaceDE w:val="0"/>
        <w:autoSpaceDN w:val="0"/>
        <w:bidi w:val="0"/>
        <w:adjustRightInd w:val="0"/>
        <w:snapToGrid w:val="0"/>
        <w:spacing w:before="145" w:line="244" w:lineRule="auto"/>
        <w:ind w:left="23" w:right="15" w:firstLine="60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发包人应承担因其违约给承包人增加的费用和（或）延误的工期，并支付</w:t>
      </w:r>
      <w:r>
        <w:rPr>
          <w:rFonts w:hint="eastAsia" w:ascii="仿宋" w:hAnsi="仿宋" w:eastAsia="仿宋" w:cs="仿宋"/>
          <w:color w:val="auto"/>
          <w:spacing w:val="7"/>
          <w:sz w:val="24"/>
          <w:szCs w:val="24"/>
          <w:highlight w:val="none"/>
        </w:rPr>
        <w:t>承包人合理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的利润。此外，合同当事人可在专用合同条件中另行约定发包人违约责任的承担方式和计算</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2"/>
          <w:sz w:val="24"/>
          <w:szCs w:val="24"/>
          <w:highlight w:val="none"/>
        </w:rPr>
        <w:t>方法。</w:t>
      </w:r>
    </w:p>
    <w:p w14:paraId="1E080B3A">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15.2 承包人违约</w:t>
      </w:r>
    </w:p>
    <w:p w14:paraId="1A80783E">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15.2.1 承包人违约的情形</w:t>
      </w:r>
    </w:p>
    <w:p w14:paraId="68702046">
      <w:pPr>
        <w:pStyle w:val="2"/>
        <w:keepNext w:val="0"/>
        <w:keepLines w:val="0"/>
        <w:pageBreakBefore w:val="0"/>
        <w:widowControl/>
        <w:kinsoku w:val="0"/>
        <w:wordWrap/>
        <w:overflowPunct/>
        <w:topLinePunct w:val="0"/>
        <w:autoSpaceDE w:val="0"/>
        <w:autoSpaceDN w:val="0"/>
        <w:bidi w:val="0"/>
        <w:adjustRightInd w:val="0"/>
        <w:snapToGrid w:val="0"/>
        <w:spacing w:before="144" w:line="243" w:lineRule="auto"/>
        <w:ind w:left="22" w:right="15" w:firstLine="6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除专用合同条件另有约定外，在履行合同过程中发生</w:t>
      </w:r>
      <w:r>
        <w:rPr>
          <w:rFonts w:hint="eastAsia" w:ascii="仿宋" w:hAnsi="仿宋" w:eastAsia="仿宋" w:cs="仿宋"/>
          <w:color w:val="auto"/>
          <w:spacing w:val="7"/>
          <w:sz w:val="24"/>
          <w:szCs w:val="24"/>
          <w:highlight w:val="none"/>
        </w:rPr>
        <w:t>的下列情况之一的，属于承包人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违约：</w:t>
      </w:r>
    </w:p>
    <w:p w14:paraId="02771FB2">
      <w:pPr>
        <w:pStyle w:val="2"/>
        <w:keepNext w:val="0"/>
        <w:keepLines w:val="0"/>
        <w:pageBreakBefore w:val="0"/>
        <w:widowControl/>
        <w:kinsoku w:val="0"/>
        <w:wordWrap/>
        <w:overflowPunct/>
        <w:topLinePunct w:val="0"/>
        <w:autoSpaceDE w:val="0"/>
        <w:autoSpaceDN w:val="0"/>
        <w:bidi w:val="0"/>
        <w:adjustRightInd w:val="0"/>
        <w:snapToGrid w:val="0"/>
        <w:spacing w:before="19"/>
        <w:ind w:left="22" w:right="15"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承包人的原因导致的承包人文件、实施和竣工的工程不符合法律法规、工程质</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8"/>
          <w:sz w:val="24"/>
          <w:szCs w:val="24"/>
          <w:highlight w:val="none"/>
        </w:rPr>
        <w:t>量验收标准以及合同约定；</w:t>
      </w:r>
    </w:p>
    <w:p w14:paraId="20043F13">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（2） 承包人违反合同约定进行转包或违法分包的；</w:t>
      </w:r>
    </w:p>
    <w:p w14:paraId="4E2D4B3A">
      <w:pPr>
        <w:pStyle w:val="2"/>
        <w:keepNext w:val="0"/>
        <w:keepLines w:val="0"/>
        <w:pageBreakBefore w:val="0"/>
        <w:widowControl/>
        <w:kinsoku w:val="0"/>
        <w:wordWrap/>
        <w:overflowPunct/>
        <w:topLinePunct w:val="0"/>
        <w:autoSpaceDE w:val="0"/>
        <w:autoSpaceDN w:val="0"/>
        <w:bidi w:val="0"/>
        <w:adjustRightInd w:val="0"/>
        <w:snapToGrid w:val="0"/>
        <w:spacing w:before="24" w:line="271" w:lineRule="exact"/>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（3） 承包人违反约定采购和使用不合格材料或工程设备；</w:t>
      </w:r>
    </w:p>
    <w:p w14:paraId="0F840474">
      <w:pPr>
        <w:pStyle w:val="2"/>
        <w:keepNext w:val="0"/>
        <w:keepLines w:val="0"/>
        <w:pageBreakBefore w:val="0"/>
        <w:widowControl/>
        <w:kinsoku w:val="0"/>
        <w:wordWrap/>
        <w:overflowPunct/>
        <w:topLinePunct w:val="0"/>
        <w:autoSpaceDE w:val="0"/>
        <w:autoSpaceDN w:val="0"/>
        <w:bidi w:val="0"/>
        <w:adjustRightInd w:val="0"/>
        <w:snapToGrid w:val="0"/>
        <w:spacing w:before="1"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7"/>
          <w:sz w:val="24"/>
          <w:szCs w:val="24"/>
          <w:highlight w:val="none"/>
        </w:rPr>
        <w:t>因承包人原因导致工程质量不符合合同要求的；</w:t>
      </w:r>
    </w:p>
    <w:p w14:paraId="2D3DC233">
      <w:pPr>
        <w:pStyle w:val="2"/>
        <w:keepNext w:val="0"/>
        <w:keepLines w:val="0"/>
        <w:pageBreakBefore w:val="0"/>
        <w:widowControl/>
        <w:kinsoku w:val="0"/>
        <w:wordWrap/>
        <w:overflowPunct/>
        <w:topLinePunct w:val="0"/>
        <w:autoSpaceDE w:val="0"/>
        <w:autoSpaceDN w:val="0"/>
        <w:bidi w:val="0"/>
        <w:adjustRightInd w:val="0"/>
        <w:snapToGrid w:val="0"/>
        <w:spacing w:before="26" w:line="239" w:lineRule="auto"/>
        <w:ind w:left="25" w:right="15" w:firstLine="60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（5） 承包人未经工程师批准，擅自将已按合同约定进入施工现场的施工设备、临时</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8"/>
          <w:sz w:val="24"/>
          <w:szCs w:val="24"/>
          <w:highlight w:val="none"/>
        </w:rPr>
        <w:t>设施或材料撤离施工现场；</w:t>
      </w:r>
    </w:p>
    <w:p w14:paraId="09FB3DFE">
      <w:pPr>
        <w:pStyle w:val="2"/>
        <w:keepNext w:val="0"/>
        <w:keepLines w:val="0"/>
        <w:pageBreakBefore w:val="0"/>
        <w:widowControl/>
        <w:kinsoku w:val="0"/>
        <w:wordWrap/>
        <w:overflowPunct/>
        <w:topLinePunct w:val="0"/>
        <w:autoSpaceDE w:val="0"/>
        <w:autoSpaceDN w:val="0"/>
        <w:bidi w:val="0"/>
        <w:adjustRightInd w:val="0"/>
        <w:snapToGrid w:val="0"/>
        <w:spacing w:before="28" w:line="239" w:lineRule="auto"/>
        <w:ind w:left="632" w:right="63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（6） 承包人未能按项目进度计划及时完</w:t>
      </w:r>
      <w:r>
        <w:rPr>
          <w:rFonts w:hint="eastAsia" w:ascii="仿宋" w:hAnsi="仿宋" w:eastAsia="仿宋" w:cs="仿宋"/>
          <w:color w:val="auto"/>
          <w:spacing w:val="7"/>
          <w:sz w:val="24"/>
          <w:szCs w:val="24"/>
          <w:highlight w:val="none"/>
        </w:rPr>
        <w:t>成合同约定的工作，造成工期延误；</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7"/>
          <w:sz w:val="24"/>
          <w:szCs w:val="24"/>
          <w:highlight w:val="none"/>
        </w:rPr>
        <w:t>由于承包人原因未能通过竣工试验或竣工后</w:t>
      </w:r>
      <w:r>
        <w:rPr>
          <w:rFonts w:hint="eastAsia" w:ascii="仿宋" w:hAnsi="仿宋" w:eastAsia="仿宋" w:cs="仿宋"/>
          <w:color w:val="auto"/>
          <w:spacing w:val="6"/>
          <w:sz w:val="24"/>
          <w:szCs w:val="24"/>
          <w:highlight w:val="none"/>
        </w:rPr>
        <w:t>试验的；</w:t>
      </w:r>
    </w:p>
    <w:p w14:paraId="5EEE525C">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23" w:right="15"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 承包人在缺陷责任期及保修期内，未能在合理期限对工程缺陷进行修复，或拒</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8"/>
          <w:sz w:val="24"/>
          <w:szCs w:val="24"/>
          <w:highlight w:val="none"/>
        </w:rPr>
        <w:t>绝按发包人指示进行修复的；</w:t>
      </w:r>
    </w:p>
    <w:p w14:paraId="16C85291">
      <w:pPr>
        <w:pStyle w:val="2"/>
        <w:keepNext w:val="0"/>
        <w:keepLines w:val="0"/>
        <w:pageBreakBefore w:val="0"/>
        <w:widowControl/>
        <w:kinsoku w:val="0"/>
        <w:wordWrap/>
        <w:overflowPunct/>
        <w:topLinePunct w:val="0"/>
        <w:autoSpaceDE w:val="0"/>
        <w:autoSpaceDN w:val="0"/>
        <w:bidi w:val="0"/>
        <w:adjustRightInd w:val="0"/>
        <w:snapToGrid w:val="0"/>
        <w:spacing w:before="27" w:line="271" w:lineRule="exact"/>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（9） 承包人明确表示或者以其行为表明不履行合同主要义务的；</w:t>
      </w:r>
    </w:p>
    <w:p w14:paraId="636EA799">
      <w:pPr>
        <w:pStyle w:val="2"/>
        <w:keepNext w:val="0"/>
        <w:keepLines w:val="0"/>
        <w:pageBreakBefore w:val="0"/>
        <w:widowControl/>
        <w:kinsoku w:val="0"/>
        <w:wordWrap/>
        <w:overflowPunct/>
        <w:topLinePunct w:val="0"/>
        <w:autoSpaceDE w:val="0"/>
        <w:autoSpaceDN w:val="0"/>
        <w:bidi w:val="0"/>
        <w:adjustRightInd w:val="0"/>
        <w:snapToGrid w:val="0"/>
        <w:spacing w:before="1"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（10） 承包人未能按照合同约定履行其他义务的。</w:t>
      </w:r>
    </w:p>
    <w:p w14:paraId="5EB0FCF7">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15.2.2 通知改正</w:t>
      </w:r>
    </w:p>
    <w:p w14:paraId="476DA78E">
      <w:pPr>
        <w:pStyle w:val="2"/>
        <w:keepNext w:val="0"/>
        <w:keepLines w:val="0"/>
        <w:pageBreakBefore w:val="0"/>
        <w:widowControl/>
        <w:kinsoku w:val="0"/>
        <w:wordWrap/>
        <w:overflowPunct/>
        <w:topLinePunct w:val="0"/>
        <w:autoSpaceDE w:val="0"/>
        <w:autoSpaceDN w:val="0"/>
        <w:bidi w:val="0"/>
        <w:adjustRightInd w:val="0"/>
        <w:snapToGrid w:val="0"/>
        <w:spacing w:before="147"/>
        <w:ind w:left="21" w:right="13"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承包人发生除第</w:t>
      </w:r>
      <w:r>
        <w:rPr>
          <w:rFonts w:hint="eastAsia" w:ascii="仿宋" w:hAnsi="仿宋" w:eastAsia="仿宋" w:cs="仿宋"/>
          <w:color w:val="auto"/>
          <w:spacing w:val="-5"/>
          <w:sz w:val="24"/>
          <w:szCs w:val="24"/>
          <w:highlight w:val="none"/>
        </w:rPr>
        <w:t xml:space="preserve"> </w:t>
      </w:r>
      <w:r>
        <w:rPr>
          <w:rFonts w:hint="eastAsia" w:ascii="仿宋" w:hAnsi="仿宋" w:eastAsia="仿宋" w:cs="仿宋"/>
          <w:color w:val="auto"/>
          <w:spacing w:val="8"/>
          <w:sz w:val="24"/>
          <w:szCs w:val="24"/>
          <w:highlight w:val="none"/>
        </w:rPr>
        <w:t>15.2.1</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项第(7)目、第(9)目约定以外的其他违约情况时，工程师可</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在专用合同条件约定的合理期限内向承包人发出整改通知，要求其在指定的期限内改正。</w:t>
      </w:r>
    </w:p>
    <w:p w14:paraId="54CDF637">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15.2.3 承包人违约的责任</w:t>
      </w:r>
    </w:p>
    <w:p w14:paraId="7395E59C">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21" w:right="15"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承包人应承担因其违约行为而增加的费用和（或）延误的工期。此外，合同当事人可</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在专用合同条件中另行约定承包人违约责任的承担方式和计算方法。</w:t>
      </w:r>
    </w:p>
    <w:p w14:paraId="7214DF55">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15.3 第三人造成的违约</w:t>
      </w:r>
    </w:p>
    <w:p w14:paraId="7057779B">
      <w:pPr>
        <w:pStyle w:val="2"/>
        <w:keepNext w:val="0"/>
        <w:keepLines w:val="0"/>
        <w:pageBreakBefore w:val="0"/>
        <w:widowControl/>
        <w:kinsoku w:val="0"/>
        <w:wordWrap/>
        <w:overflowPunct/>
        <w:topLinePunct w:val="0"/>
        <w:autoSpaceDE w:val="0"/>
        <w:autoSpaceDN w:val="0"/>
        <w:bidi w:val="0"/>
        <w:adjustRightInd w:val="0"/>
        <w:snapToGrid w:val="0"/>
        <w:spacing w:before="144" w:line="239" w:lineRule="auto"/>
        <w:ind w:left="22" w:right="15" w:firstLine="5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在履行合同过程中，一方当事人因第三人的原因造成违约的，应当向对方当事人承担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违约责任。一方当事人和第三人之间的纠纷，依照法律规定或者按照约定解决。</w:t>
      </w:r>
    </w:p>
    <w:p w14:paraId="4DC07EB8">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338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第16条 合同解除</w:t>
      </w:r>
    </w:p>
    <w:p w14:paraId="0038B017">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16.1</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3"/>
          <w:sz w:val="24"/>
          <w:szCs w:val="24"/>
          <w:highlight w:val="none"/>
        </w:rPr>
        <w:t>由发包人解除合同</w:t>
      </w:r>
    </w:p>
    <w:p w14:paraId="30BBE0D7">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16.1.1</w:t>
      </w:r>
      <w:r>
        <w:rPr>
          <w:rFonts w:hint="eastAsia" w:ascii="仿宋" w:hAnsi="仿宋" w:eastAsia="仿宋" w:cs="仿宋"/>
          <w:color w:val="auto"/>
          <w:spacing w:val="43"/>
          <w:sz w:val="24"/>
          <w:szCs w:val="24"/>
          <w:highlight w:val="none"/>
        </w:rPr>
        <w:t xml:space="preserve"> </w:t>
      </w:r>
      <w:r>
        <w:rPr>
          <w:rFonts w:hint="eastAsia" w:ascii="仿宋" w:hAnsi="仿宋" w:eastAsia="仿宋" w:cs="仿宋"/>
          <w:color w:val="auto"/>
          <w:spacing w:val="4"/>
          <w:sz w:val="24"/>
          <w:szCs w:val="24"/>
          <w:highlight w:val="none"/>
        </w:rPr>
        <w:t>因承包人违约解除合同</w:t>
      </w:r>
    </w:p>
    <w:p w14:paraId="5CF54B7A">
      <w:pPr>
        <w:pStyle w:val="2"/>
        <w:keepNext w:val="0"/>
        <w:keepLines w:val="0"/>
        <w:pageBreakBefore w:val="0"/>
        <w:widowControl/>
        <w:kinsoku w:val="0"/>
        <w:wordWrap/>
        <w:overflowPunct/>
        <w:topLinePunct w:val="0"/>
        <w:autoSpaceDE w:val="0"/>
        <w:autoSpaceDN w:val="0"/>
        <w:bidi w:val="0"/>
        <w:adjustRightInd w:val="0"/>
        <w:snapToGrid w:val="0"/>
        <w:spacing w:before="149" w:line="247" w:lineRule="auto"/>
        <w:ind w:left="22" w:right="14" w:firstLine="61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除专用合同条件另有约定外，发包人有权基于下列原</w:t>
      </w:r>
      <w:r>
        <w:rPr>
          <w:rFonts w:hint="eastAsia" w:ascii="仿宋" w:hAnsi="仿宋" w:eastAsia="仿宋" w:cs="仿宋"/>
          <w:color w:val="auto"/>
          <w:spacing w:val="7"/>
          <w:sz w:val="24"/>
          <w:szCs w:val="24"/>
          <w:highlight w:val="none"/>
        </w:rPr>
        <w:t>因，以书面形式通知承包人解除</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合同，解除通知中应注明是根据第</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7"/>
          <w:sz w:val="24"/>
          <w:szCs w:val="24"/>
          <w:highlight w:val="none"/>
        </w:rPr>
        <w:t>16.1.</w:t>
      </w:r>
      <w:r>
        <w:rPr>
          <w:rFonts w:hint="eastAsia" w:ascii="仿宋" w:hAnsi="仿宋" w:eastAsia="仿宋" w:cs="仿宋"/>
          <w:color w:val="auto"/>
          <w:spacing w:val="6"/>
          <w:sz w:val="24"/>
          <w:szCs w:val="24"/>
          <w:highlight w:val="none"/>
        </w:rPr>
        <w:t>1</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6"/>
          <w:sz w:val="24"/>
          <w:szCs w:val="24"/>
          <w:highlight w:val="none"/>
        </w:rPr>
        <w:t>项发出的，发包人应在发出正式解除合同通知</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6"/>
          <w:sz w:val="24"/>
          <w:szCs w:val="24"/>
          <w:highlight w:val="none"/>
        </w:rPr>
        <w:t>14</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天前告知承包人其解除合同意向，除非承包人在收到该解除合同意向通知</w:t>
      </w:r>
      <w:r>
        <w:rPr>
          <w:rFonts w:hint="eastAsia" w:ascii="仿宋" w:hAnsi="仿宋" w:eastAsia="仿宋" w:cs="仿宋"/>
          <w:color w:val="auto"/>
          <w:spacing w:val="8"/>
          <w:sz w:val="24"/>
          <w:szCs w:val="24"/>
          <w:highlight w:val="none"/>
        </w:rPr>
        <w:t>后</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8"/>
          <w:sz w:val="24"/>
          <w:szCs w:val="24"/>
          <w:highlight w:val="none"/>
        </w:rPr>
        <w:t>14</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8"/>
          <w:sz w:val="24"/>
          <w:szCs w:val="24"/>
          <w:highlight w:val="none"/>
        </w:rPr>
        <w:t>天内采取了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补救措施，否则发包人可向承包人发出正式解除合同通知立即解除合同。解除日期应为承包</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10"/>
          <w:sz w:val="24"/>
          <w:szCs w:val="24"/>
          <w:highlight w:val="none"/>
        </w:rPr>
        <w:t>人收到正式解除合同通知的日期，但在第(5)目的情况</w:t>
      </w:r>
      <w:r>
        <w:rPr>
          <w:rFonts w:hint="eastAsia" w:ascii="仿宋" w:hAnsi="仿宋" w:eastAsia="仿宋" w:cs="仿宋"/>
          <w:color w:val="auto"/>
          <w:spacing w:val="9"/>
          <w:sz w:val="24"/>
          <w:szCs w:val="24"/>
          <w:highlight w:val="none"/>
        </w:rPr>
        <w:t>下，发包人无须提前告知承包人其解</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除合同意向，可直接发出正式解除合同通知立即解除合同：</w:t>
      </w:r>
    </w:p>
    <w:p w14:paraId="6F7CC473">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承包人未能遵守第</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7"/>
          <w:sz w:val="24"/>
          <w:szCs w:val="24"/>
          <w:highlight w:val="none"/>
        </w:rPr>
        <w:t>4.2</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7"/>
          <w:sz w:val="24"/>
          <w:szCs w:val="24"/>
          <w:highlight w:val="none"/>
        </w:rPr>
        <w:t>款[履约</w:t>
      </w:r>
      <w:r>
        <w:rPr>
          <w:rFonts w:hint="eastAsia" w:ascii="仿宋" w:hAnsi="仿宋" w:eastAsia="仿宋" w:cs="仿宋"/>
          <w:color w:val="auto"/>
          <w:spacing w:val="6"/>
          <w:sz w:val="24"/>
          <w:szCs w:val="24"/>
          <w:highlight w:val="none"/>
        </w:rPr>
        <w:t>担保]的约定；</w:t>
      </w:r>
    </w:p>
    <w:p w14:paraId="49C8275D">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承包人未能遵守第</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7"/>
          <w:sz w:val="24"/>
          <w:szCs w:val="24"/>
          <w:highlight w:val="none"/>
        </w:rPr>
        <w:t>4.5</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7"/>
          <w:sz w:val="24"/>
          <w:szCs w:val="24"/>
          <w:highlight w:val="none"/>
        </w:rPr>
        <w:t>款[分包]有关分包和转包的约定；</w:t>
      </w:r>
    </w:p>
    <w:p w14:paraId="4C1483A8">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仿宋" w:hAnsi="仿宋" w:eastAsia="仿宋" w:cs="仿宋"/>
          <w:color w:val="auto"/>
          <w:sz w:val="24"/>
          <w:szCs w:val="24"/>
          <w:highlight w:val="none"/>
        </w:rPr>
        <w:sectPr>
          <w:footerReference r:id="rId40" w:type="default"/>
          <w:pgSz w:w="11906" w:h="16839"/>
          <w:pgMar w:top="1428" w:right="1785" w:bottom="1171" w:left="1785" w:header="0" w:footer="992" w:gutter="0"/>
          <w:pgNumType w:fmt="decimal"/>
          <w:cols w:space="720" w:num="1"/>
        </w:sectPr>
      </w:pPr>
    </w:p>
    <w:p w14:paraId="1F331037">
      <w:pPr>
        <w:pStyle w:val="2"/>
        <w:keepNext w:val="0"/>
        <w:keepLines w:val="0"/>
        <w:pageBreakBefore w:val="0"/>
        <w:widowControl/>
        <w:kinsoku w:val="0"/>
        <w:wordWrap/>
        <w:overflowPunct/>
        <w:topLinePunct w:val="0"/>
        <w:autoSpaceDE w:val="0"/>
        <w:autoSpaceDN w:val="0"/>
        <w:bidi w:val="0"/>
        <w:adjustRightInd w:val="0"/>
        <w:snapToGrid w:val="0"/>
        <w:spacing w:before="42"/>
        <w:ind w:left="20" w:right="87" w:firstLine="6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承包人实际进度明显落后于进度计划，并且未按发包人的指令采取措施并修正</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6"/>
          <w:sz w:val="24"/>
          <w:szCs w:val="24"/>
          <w:highlight w:val="none"/>
        </w:rPr>
        <w:t>进度计划；</w:t>
      </w:r>
    </w:p>
    <w:p w14:paraId="13342DD5">
      <w:pPr>
        <w:pStyle w:val="2"/>
        <w:keepNext w:val="0"/>
        <w:keepLines w:val="0"/>
        <w:pageBreakBefore w:val="0"/>
        <w:widowControl/>
        <w:kinsoku w:val="0"/>
        <w:wordWrap/>
        <w:overflowPunct/>
        <w:topLinePunct w:val="0"/>
        <w:autoSpaceDE w:val="0"/>
        <w:autoSpaceDN w:val="0"/>
        <w:bidi w:val="0"/>
        <w:adjustRightInd w:val="0"/>
        <w:snapToGrid w:val="0"/>
        <w:spacing w:before="23"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（4） 工程质量有严重缺陷，承包人无正当理由使修复开始日期拖延达</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8"/>
          <w:sz w:val="24"/>
          <w:szCs w:val="24"/>
          <w:highlight w:val="none"/>
        </w:rPr>
        <w:t>28</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天以上；</w:t>
      </w:r>
    </w:p>
    <w:p w14:paraId="286765A3">
      <w:pPr>
        <w:pStyle w:val="2"/>
        <w:keepNext w:val="0"/>
        <w:keepLines w:val="0"/>
        <w:pageBreakBefore w:val="0"/>
        <w:widowControl/>
        <w:kinsoku w:val="0"/>
        <w:wordWrap/>
        <w:overflowPunct/>
        <w:topLinePunct w:val="0"/>
        <w:autoSpaceDE w:val="0"/>
        <w:autoSpaceDN w:val="0"/>
        <w:bidi w:val="0"/>
        <w:adjustRightInd w:val="0"/>
        <w:snapToGrid w:val="0"/>
        <w:spacing w:before="27" w:line="245" w:lineRule="auto"/>
        <w:ind w:left="22"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（5）</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5"/>
          <w:sz w:val="24"/>
          <w:szCs w:val="24"/>
          <w:highlight w:val="none"/>
        </w:rPr>
        <w:t>承包人破产、停业清理或进入清算程序，或情况表明承包人将进入破产和（或）</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 xml:space="preserve">清算程序，已有对其财产的接管令或管理令，与债权人达成和解，或为其债权人的利益在财  产接管人、受托人或管理人的监督下营业，或采取了任何行动或发生任何事件（根据有关适  </w:t>
      </w:r>
      <w:r>
        <w:rPr>
          <w:rFonts w:hint="eastAsia" w:ascii="仿宋" w:hAnsi="仿宋" w:eastAsia="仿宋" w:cs="仿宋"/>
          <w:color w:val="auto"/>
          <w:spacing w:val="9"/>
          <w:sz w:val="24"/>
          <w:szCs w:val="24"/>
          <w:highlight w:val="none"/>
        </w:rPr>
        <w:t>用法律）具有与前述行动或事件相似的效果；</w:t>
      </w:r>
    </w:p>
    <w:p w14:paraId="457175B5">
      <w:pPr>
        <w:pStyle w:val="2"/>
        <w:keepNext w:val="0"/>
        <w:keepLines w:val="0"/>
        <w:pageBreakBefore w:val="0"/>
        <w:widowControl/>
        <w:kinsoku w:val="0"/>
        <w:wordWrap/>
        <w:overflowPunct/>
        <w:topLinePunct w:val="0"/>
        <w:autoSpaceDE w:val="0"/>
        <w:autoSpaceDN w:val="0"/>
        <w:bidi w:val="0"/>
        <w:adjustRightInd w:val="0"/>
        <w:snapToGrid w:val="0"/>
        <w:spacing w:before="26" w:line="239" w:lineRule="auto"/>
        <w:ind w:left="23" w:right="87" w:firstLine="60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（6） 承包人明确表示或以自己的行为表明不履行合同、或经发包人以书面形式通知</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其履约后仍未能依约履行合同、或以不适当的方式履行合同；</w:t>
      </w:r>
    </w:p>
    <w:p w14:paraId="0506EF89">
      <w:pPr>
        <w:pStyle w:val="2"/>
        <w:keepNext w:val="0"/>
        <w:keepLines w:val="0"/>
        <w:pageBreakBefore w:val="0"/>
        <w:widowControl/>
        <w:kinsoku w:val="0"/>
        <w:wordWrap/>
        <w:overflowPunct/>
        <w:topLinePunct w:val="0"/>
        <w:autoSpaceDE w:val="0"/>
        <w:autoSpaceDN w:val="0"/>
        <w:bidi w:val="0"/>
        <w:adjustRightInd w:val="0"/>
        <w:snapToGrid w:val="0"/>
        <w:spacing w:before="28" w:line="239" w:lineRule="auto"/>
        <w:ind w:left="22" w:right="87"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 未能通过的竣工试验、未能通过的竣工后试验，使工程的任何部分和（或）整</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8"/>
          <w:sz w:val="24"/>
          <w:szCs w:val="24"/>
          <w:highlight w:val="none"/>
        </w:rPr>
        <w:t>个工程丧失了主要使用功能、生产功能；</w:t>
      </w:r>
    </w:p>
    <w:p w14:paraId="5518F165">
      <w:pPr>
        <w:pStyle w:val="2"/>
        <w:keepNext w:val="0"/>
        <w:keepLines w:val="0"/>
        <w:pageBreakBefore w:val="0"/>
        <w:widowControl/>
        <w:kinsoku w:val="0"/>
        <w:wordWrap/>
        <w:overflowPunct/>
        <w:topLinePunct w:val="0"/>
        <w:autoSpaceDE w:val="0"/>
        <w:autoSpaceDN w:val="0"/>
        <w:bidi w:val="0"/>
        <w:adjustRightInd w:val="0"/>
        <w:snapToGrid w:val="0"/>
        <w:spacing w:before="25"/>
        <w:ind w:left="38" w:right="85" w:firstLine="59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（8）</w:t>
      </w:r>
      <w:r>
        <w:rPr>
          <w:rFonts w:hint="eastAsia" w:ascii="仿宋" w:hAnsi="仿宋" w:eastAsia="仿宋" w:cs="仿宋"/>
          <w:color w:val="auto"/>
          <w:spacing w:val="57"/>
          <w:sz w:val="24"/>
          <w:szCs w:val="24"/>
          <w:highlight w:val="none"/>
        </w:rPr>
        <w:t xml:space="preserve"> </w:t>
      </w:r>
      <w:r>
        <w:rPr>
          <w:rFonts w:hint="eastAsia" w:ascii="仿宋" w:hAnsi="仿宋" w:eastAsia="仿宋" w:cs="仿宋"/>
          <w:color w:val="auto"/>
          <w:spacing w:val="8"/>
          <w:sz w:val="24"/>
          <w:szCs w:val="24"/>
          <w:highlight w:val="none"/>
        </w:rPr>
        <w:t>因承包人的原因暂停工作超过</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8"/>
          <w:sz w:val="24"/>
          <w:szCs w:val="24"/>
          <w:highlight w:val="none"/>
        </w:rPr>
        <w:t>56</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8"/>
          <w:sz w:val="24"/>
          <w:szCs w:val="24"/>
          <w:highlight w:val="none"/>
        </w:rPr>
        <w:t>天且暂停影响到整个工程，或因承包人的原</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因暂停工作超过</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2"/>
          <w:sz w:val="24"/>
          <w:szCs w:val="24"/>
          <w:highlight w:val="none"/>
        </w:rPr>
        <w:t>182</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2"/>
          <w:sz w:val="24"/>
          <w:szCs w:val="24"/>
          <w:highlight w:val="none"/>
        </w:rPr>
        <w:t>天；</w:t>
      </w:r>
    </w:p>
    <w:p w14:paraId="4721E59A">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（9） 承包人未能遵守第</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6"/>
          <w:sz w:val="24"/>
          <w:szCs w:val="24"/>
          <w:highlight w:val="none"/>
        </w:rPr>
        <w:t>8.2</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6"/>
          <w:sz w:val="24"/>
          <w:szCs w:val="24"/>
          <w:highlight w:val="none"/>
        </w:rPr>
        <w:t>款[竣工日期]规定，延误超过</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6"/>
          <w:sz w:val="24"/>
          <w:szCs w:val="24"/>
          <w:highlight w:val="none"/>
        </w:rPr>
        <w:t>182</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5"/>
          <w:sz w:val="24"/>
          <w:szCs w:val="24"/>
          <w:highlight w:val="none"/>
        </w:rPr>
        <w:t>天；</w:t>
      </w:r>
    </w:p>
    <w:p w14:paraId="26CBD8AC">
      <w:pPr>
        <w:pStyle w:val="2"/>
        <w:keepNext w:val="0"/>
        <w:keepLines w:val="0"/>
        <w:pageBreakBefore w:val="0"/>
        <w:widowControl/>
        <w:kinsoku w:val="0"/>
        <w:wordWrap/>
        <w:overflowPunct/>
        <w:topLinePunct w:val="0"/>
        <w:autoSpaceDE w:val="0"/>
        <w:autoSpaceDN w:val="0"/>
        <w:bidi w:val="0"/>
        <w:adjustRightInd w:val="0"/>
        <w:snapToGrid w:val="0"/>
        <w:spacing w:before="27"/>
        <w:ind w:left="36" w:right="87" w:firstLine="59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（10） 工程师根据第</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6"/>
          <w:sz w:val="24"/>
          <w:szCs w:val="24"/>
          <w:highlight w:val="none"/>
        </w:rPr>
        <w:t>15.2.2</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6"/>
          <w:sz w:val="24"/>
          <w:szCs w:val="24"/>
          <w:highlight w:val="none"/>
        </w:rPr>
        <w:t>项[通知改正]发出整改通知后，承</w:t>
      </w:r>
      <w:r>
        <w:rPr>
          <w:rFonts w:hint="eastAsia" w:ascii="仿宋" w:hAnsi="仿宋" w:eastAsia="仿宋" w:cs="仿宋"/>
          <w:color w:val="auto"/>
          <w:spacing w:val="5"/>
          <w:sz w:val="24"/>
          <w:szCs w:val="24"/>
          <w:highlight w:val="none"/>
        </w:rPr>
        <w:t>包人在指定的合理期</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限内仍不纠正违约行为并致使合同目的不能实现的。</w:t>
      </w:r>
    </w:p>
    <w:p w14:paraId="1D68BE66">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16.1.2 因承包人违约解除合同后承包人的义务</w:t>
      </w:r>
    </w:p>
    <w:p w14:paraId="2E3CE497">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合同解除后，承包人应按以下约定执行：</w:t>
      </w:r>
    </w:p>
    <w:p w14:paraId="649CF501">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22" w:right="87"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除了为保护生命、财产或工程安全、清理和必须执行的工作外，停止执行所有</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被通知解除的工作，并将相关人员撤离现场；</w:t>
      </w:r>
    </w:p>
    <w:p w14:paraId="3CEDFB3E">
      <w:pPr>
        <w:pStyle w:val="2"/>
        <w:keepNext w:val="0"/>
        <w:keepLines w:val="0"/>
        <w:pageBreakBefore w:val="0"/>
        <w:widowControl/>
        <w:kinsoku w:val="0"/>
        <w:wordWrap/>
        <w:overflowPunct/>
        <w:topLinePunct w:val="0"/>
        <w:autoSpaceDE w:val="0"/>
        <w:autoSpaceDN w:val="0"/>
        <w:bidi w:val="0"/>
        <w:adjustRightInd w:val="0"/>
        <w:snapToGrid w:val="0"/>
        <w:spacing w:before="26" w:line="244" w:lineRule="auto"/>
        <w:ind w:left="21" w:right="87"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经发包人批准，承包人应将与被解除合同相关的和正在执行的分包合同及相关</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的责任和义务转让至发包人和（或）发包人指定方的名下，包括永久性工程及工程物资，以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6"/>
          <w:sz w:val="24"/>
          <w:szCs w:val="24"/>
          <w:highlight w:val="none"/>
        </w:rPr>
        <w:t>及相关工作；</w:t>
      </w:r>
    </w:p>
    <w:p w14:paraId="4D2F5E6E">
      <w:pPr>
        <w:pStyle w:val="2"/>
        <w:keepNext w:val="0"/>
        <w:keepLines w:val="0"/>
        <w:pageBreakBefore w:val="0"/>
        <w:widowControl/>
        <w:kinsoku w:val="0"/>
        <w:wordWrap/>
        <w:overflowPunct/>
        <w:topLinePunct w:val="0"/>
        <w:autoSpaceDE w:val="0"/>
        <w:autoSpaceDN w:val="0"/>
        <w:bidi w:val="0"/>
        <w:adjustRightInd w:val="0"/>
        <w:snapToGrid w:val="0"/>
        <w:spacing w:before="24"/>
        <w:ind w:left="43" w:right="87" w:firstLine="58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移交已完成的永久性工程及负责已运抵现场的工程物资。在移交前，妥善做好</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8"/>
          <w:sz w:val="24"/>
          <w:szCs w:val="24"/>
          <w:highlight w:val="none"/>
        </w:rPr>
        <w:t>己完工程和已运抵现场的工程物资的保管、维护和保养；</w:t>
      </w:r>
    </w:p>
    <w:p w14:paraId="7F1C50E9">
      <w:pPr>
        <w:pStyle w:val="2"/>
        <w:keepNext w:val="0"/>
        <w:keepLines w:val="0"/>
        <w:pageBreakBefore w:val="0"/>
        <w:widowControl/>
        <w:kinsoku w:val="0"/>
        <w:wordWrap/>
        <w:overflowPunct/>
        <w:topLinePunct w:val="0"/>
        <w:autoSpaceDE w:val="0"/>
        <w:autoSpaceDN w:val="0"/>
        <w:bidi w:val="0"/>
        <w:adjustRightInd w:val="0"/>
        <w:snapToGrid w:val="0"/>
        <w:spacing w:before="23" w:line="244" w:lineRule="auto"/>
        <w:ind w:left="21" w:right="87"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 将发包人提供的所有信息及承包人为本工程编制的设计文件、技术资料及其它</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文件移交给发包人。在承包人留有的资料文件中，销毁与发包人提供的所有信息相关的数据</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及资料的备份；</w:t>
      </w:r>
    </w:p>
    <w:p w14:paraId="29133B80">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21" w:right="16"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（5）</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5"/>
          <w:sz w:val="24"/>
          <w:szCs w:val="24"/>
          <w:highlight w:val="none"/>
        </w:rPr>
        <w:t>移交相应实施阶段已经付款的并已完成的和尚待完成的设计文件、图纸</w:t>
      </w:r>
      <w:r>
        <w:rPr>
          <w:rFonts w:hint="eastAsia" w:ascii="仿宋" w:hAnsi="仿宋" w:eastAsia="仿宋" w:cs="仿宋"/>
          <w:color w:val="auto"/>
          <w:spacing w:val="4"/>
          <w:sz w:val="24"/>
          <w:szCs w:val="24"/>
          <w:highlight w:val="none"/>
        </w:rPr>
        <w:t>、资料、</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操作维修手册、施工组织设计、质检资料、竣工资料等；</w:t>
      </w:r>
    </w:p>
    <w:p w14:paraId="4D7F832A">
      <w:pPr>
        <w:pStyle w:val="2"/>
        <w:keepNext w:val="0"/>
        <w:keepLines w:val="0"/>
        <w:pageBreakBefore w:val="0"/>
        <w:widowControl/>
        <w:kinsoku w:val="0"/>
        <w:wordWrap/>
        <w:overflowPunct/>
        <w:topLinePunct w:val="0"/>
        <w:autoSpaceDE w:val="0"/>
        <w:autoSpaceDN w:val="0"/>
        <w:bidi w:val="0"/>
        <w:adjustRightInd w:val="0"/>
        <w:snapToGrid w:val="0"/>
        <w:spacing w:before="27" w:line="226"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16.1.3 因承包人违约解除合同后的估价、付款和结算</w:t>
      </w:r>
    </w:p>
    <w:p w14:paraId="550C4ECC">
      <w:pPr>
        <w:pStyle w:val="2"/>
        <w:keepNext w:val="0"/>
        <w:keepLines w:val="0"/>
        <w:pageBreakBefore w:val="0"/>
        <w:widowControl/>
        <w:kinsoku w:val="0"/>
        <w:wordWrap/>
        <w:overflowPunct/>
        <w:topLinePunct w:val="0"/>
        <w:autoSpaceDE w:val="0"/>
        <w:autoSpaceDN w:val="0"/>
        <w:bidi w:val="0"/>
        <w:adjustRightInd w:val="0"/>
        <w:snapToGrid w:val="0"/>
        <w:spacing w:before="147"/>
        <w:ind w:left="23" w:right="87" w:firstLine="6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因承包人原因导致合同解除的，则合同当事人应在合同解除后</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天内完成估价、付</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款和清算，并按以下约定执行：</w:t>
      </w:r>
    </w:p>
    <w:p w14:paraId="2C4CA4B1">
      <w:pPr>
        <w:pStyle w:val="2"/>
        <w:keepNext w:val="0"/>
        <w:keepLines w:val="0"/>
        <w:pageBreakBefore w:val="0"/>
        <w:widowControl/>
        <w:kinsoku w:val="0"/>
        <w:wordWrap/>
        <w:overflowPunct/>
        <w:topLinePunct w:val="0"/>
        <w:autoSpaceDE w:val="0"/>
        <w:autoSpaceDN w:val="0"/>
        <w:bidi w:val="0"/>
        <w:adjustRightInd w:val="0"/>
        <w:snapToGrid w:val="0"/>
        <w:spacing w:before="25" w:line="238" w:lineRule="auto"/>
        <w:ind w:left="23" w:right="87" w:firstLine="60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 合同解除后，按第</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6"/>
          <w:sz w:val="24"/>
          <w:szCs w:val="24"/>
          <w:highlight w:val="none"/>
        </w:rPr>
        <w:t>3.6</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6"/>
          <w:sz w:val="24"/>
          <w:szCs w:val="24"/>
          <w:highlight w:val="none"/>
        </w:rPr>
        <w:t>款[商定或确定]商定或确定承包人实际完成工作对应的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合同价款，以及承包人已提供的材料、工程设备、施工设备和临时工程等的价值；</w:t>
      </w:r>
    </w:p>
    <w:p w14:paraId="2FE1E6A6">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（2） 合同解除后，承包人应支付的违约金；</w:t>
      </w:r>
    </w:p>
    <w:p w14:paraId="58886201">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（3） 合同解除后，因解除合同给发包人造成的损失；</w:t>
      </w:r>
    </w:p>
    <w:p w14:paraId="59C81812">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（4） 合同解除后，承包人应按照发包人的指示完</w:t>
      </w:r>
      <w:r>
        <w:rPr>
          <w:rFonts w:hint="eastAsia" w:ascii="仿宋" w:hAnsi="仿宋" w:eastAsia="仿宋" w:cs="仿宋"/>
          <w:color w:val="auto"/>
          <w:spacing w:val="8"/>
          <w:sz w:val="24"/>
          <w:szCs w:val="24"/>
          <w:highlight w:val="none"/>
        </w:rPr>
        <w:t>成现场的清理和撤离；</w:t>
      </w:r>
    </w:p>
    <w:p w14:paraId="6987953E">
      <w:pPr>
        <w:pStyle w:val="2"/>
        <w:keepNext w:val="0"/>
        <w:keepLines w:val="0"/>
        <w:pageBreakBefore w:val="0"/>
        <w:widowControl/>
        <w:kinsoku w:val="0"/>
        <w:wordWrap/>
        <w:overflowPunct/>
        <w:topLinePunct w:val="0"/>
        <w:autoSpaceDE w:val="0"/>
        <w:autoSpaceDN w:val="0"/>
        <w:bidi w:val="0"/>
        <w:adjustRightInd w:val="0"/>
        <w:snapToGrid w:val="0"/>
        <w:spacing w:before="28" w:line="239" w:lineRule="auto"/>
        <w:ind w:left="23" w:right="87" w:firstLine="60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（5） 发包人和承包人应在合同解除后进行清算，出具最终结清付款证书，结清全部</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2"/>
          <w:sz w:val="24"/>
          <w:szCs w:val="24"/>
          <w:highlight w:val="none"/>
        </w:rPr>
        <w:t>款项。</w:t>
      </w:r>
    </w:p>
    <w:p w14:paraId="76C794E2">
      <w:pPr>
        <w:pStyle w:val="2"/>
        <w:keepNext w:val="0"/>
        <w:keepLines w:val="0"/>
        <w:pageBreakBefore w:val="0"/>
        <w:widowControl/>
        <w:kinsoku w:val="0"/>
        <w:wordWrap/>
        <w:overflowPunct/>
        <w:topLinePunct w:val="0"/>
        <w:autoSpaceDE w:val="0"/>
        <w:autoSpaceDN w:val="0"/>
        <w:bidi w:val="0"/>
        <w:adjustRightInd w:val="0"/>
        <w:snapToGrid w:val="0"/>
        <w:spacing w:before="22" w:line="244" w:lineRule="auto"/>
        <w:ind w:left="25" w:right="87" w:firstLine="6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因承包人违约解除合同的，发包人有权暂停</w:t>
      </w:r>
      <w:r>
        <w:rPr>
          <w:rFonts w:hint="eastAsia" w:ascii="仿宋" w:hAnsi="仿宋" w:eastAsia="仿宋" w:cs="仿宋"/>
          <w:color w:val="auto"/>
          <w:spacing w:val="7"/>
          <w:sz w:val="24"/>
          <w:szCs w:val="24"/>
          <w:highlight w:val="none"/>
        </w:rPr>
        <w:t>对承包人的付款，查清各项付款和已扣款</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项，发包人和承包人未能就合同解除后的清算和款项支付达成一致的，按照第</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6"/>
          <w:sz w:val="24"/>
          <w:szCs w:val="24"/>
          <w:highlight w:val="none"/>
        </w:rPr>
        <w:t>20</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6"/>
          <w:sz w:val="24"/>
          <w:szCs w:val="24"/>
          <w:highlight w:val="none"/>
        </w:rPr>
        <w:t>条[争议解</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决]的约定处理。</w:t>
      </w:r>
    </w:p>
    <w:p w14:paraId="2E12B512">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16.1.4 因承包人违约解除合同的合同权益转让</w:t>
      </w:r>
    </w:p>
    <w:p w14:paraId="15BDA198">
      <w:pPr>
        <w:pStyle w:val="2"/>
        <w:keepNext w:val="0"/>
        <w:keepLines w:val="0"/>
        <w:pageBreakBefore w:val="0"/>
        <w:widowControl/>
        <w:kinsoku w:val="0"/>
        <w:wordWrap/>
        <w:overflowPunct/>
        <w:topLinePunct w:val="0"/>
        <w:autoSpaceDE w:val="0"/>
        <w:autoSpaceDN w:val="0"/>
        <w:bidi w:val="0"/>
        <w:adjustRightInd w:val="0"/>
        <w:snapToGrid w:val="0"/>
        <w:spacing w:before="142" w:line="247" w:lineRule="auto"/>
        <w:ind w:left="21" w:right="44" w:firstLine="601"/>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合同解除后，发包人可以继续完成工程，和（或）安排第三人完成。发包人有权</w:t>
      </w:r>
      <w:r>
        <w:rPr>
          <w:rFonts w:hint="eastAsia" w:ascii="仿宋" w:hAnsi="仿宋" w:eastAsia="仿宋" w:cs="仿宋"/>
          <w:color w:val="auto"/>
          <w:spacing w:val="7"/>
          <w:sz w:val="24"/>
          <w:szCs w:val="24"/>
          <w:highlight w:val="none"/>
        </w:rPr>
        <w:t>要求</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承包人将其为实施合同而订立的材料和设备的订货合同或任何服务合同利益转让给发包人，</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并在承包人收到解除合同通知后的</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9"/>
          <w:sz w:val="24"/>
          <w:szCs w:val="24"/>
          <w:highlight w:val="none"/>
        </w:rPr>
        <w:t>14</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天内，依法办理转让手续。发包人和（或</w:t>
      </w:r>
      <w:r>
        <w:rPr>
          <w:rFonts w:hint="eastAsia" w:ascii="仿宋" w:hAnsi="仿宋" w:eastAsia="仿宋" w:cs="仿宋"/>
          <w:color w:val="auto"/>
          <w:spacing w:val="8"/>
          <w:sz w:val="24"/>
          <w:szCs w:val="24"/>
          <w:highlight w:val="none"/>
        </w:rPr>
        <w:t>）第三人有</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权使用承包人在施工现场的材料、设备、临时工程、承包人文件和由承包人或以其名义编制</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6"/>
          <w:sz w:val="24"/>
          <w:szCs w:val="24"/>
          <w:highlight w:val="none"/>
        </w:rPr>
        <w:t>的其他文件。</w:t>
      </w:r>
    </w:p>
    <w:p w14:paraId="13FBA3BD">
      <w:pPr>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仿宋" w:hAnsi="仿宋" w:eastAsia="仿宋" w:cs="仿宋"/>
          <w:color w:val="auto"/>
          <w:sz w:val="24"/>
          <w:szCs w:val="24"/>
          <w:highlight w:val="none"/>
        </w:rPr>
        <w:sectPr>
          <w:footerReference r:id="rId41" w:type="default"/>
          <w:pgSz w:w="11906" w:h="16839"/>
          <w:pgMar w:top="1428" w:right="1714" w:bottom="1171" w:left="1785" w:header="0" w:footer="992" w:gutter="0"/>
          <w:pgNumType w:fmt="decimal"/>
          <w:cols w:space="720" w:num="1"/>
        </w:sectPr>
      </w:pPr>
    </w:p>
    <w:p w14:paraId="0096C09B">
      <w:pPr>
        <w:pStyle w:val="2"/>
        <w:keepNext w:val="0"/>
        <w:keepLines w:val="0"/>
        <w:pageBreakBefore w:val="0"/>
        <w:widowControl/>
        <w:kinsoku w:val="0"/>
        <w:wordWrap/>
        <w:overflowPunct/>
        <w:topLinePunct w:val="0"/>
        <w:autoSpaceDE w:val="0"/>
        <w:autoSpaceDN w:val="0"/>
        <w:bidi w:val="0"/>
        <w:adjustRightInd w:val="0"/>
        <w:snapToGrid w:val="0"/>
        <w:spacing w:before="41"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16.2</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3"/>
          <w:sz w:val="24"/>
          <w:szCs w:val="24"/>
          <w:highlight w:val="none"/>
        </w:rPr>
        <w:t>由承包人解除合同</w:t>
      </w:r>
    </w:p>
    <w:p w14:paraId="609F314E">
      <w:pPr>
        <w:pStyle w:val="2"/>
        <w:keepNext w:val="0"/>
        <w:keepLines w:val="0"/>
        <w:pageBreakBefore w:val="0"/>
        <w:widowControl/>
        <w:kinsoku w:val="0"/>
        <w:wordWrap/>
        <w:overflowPunct/>
        <w:topLinePunct w:val="0"/>
        <w:autoSpaceDE w:val="0"/>
        <w:autoSpaceDN w:val="0"/>
        <w:bidi w:val="0"/>
        <w:adjustRightInd w:val="0"/>
        <w:snapToGrid w:val="0"/>
        <w:spacing w:before="14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16.2.1</w:t>
      </w:r>
      <w:r>
        <w:rPr>
          <w:rFonts w:hint="eastAsia" w:ascii="仿宋" w:hAnsi="仿宋" w:eastAsia="仿宋" w:cs="仿宋"/>
          <w:color w:val="auto"/>
          <w:spacing w:val="43"/>
          <w:sz w:val="24"/>
          <w:szCs w:val="24"/>
          <w:highlight w:val="none"/>
        </w:rPr>
        <w:t xml:space="preserve"> </w:t>
      </w:r>
      <w:r>
        <w:rPr>
          <w:rFonts w:hint="eastAsia" w:ascii="仿宋" w:hAnsi="仿宋" w:eastAsia="仿宋" w:cs="仿宋"/>
          <w:color w:val="auto"/>
          <w:spacing w:val="4"/>
          <w:sz w:val="24"/>
          <w:szCs w:val="24"/>
          <w:highlight w:val="none"/>
        </w:rPr>
        <w:t>因发包人违约解除合同</w:t>
      </w:r>
    </w:p>
    <w:p w14:paraId="2A5F34E8">
      <w:pPr>
        <w:pStyle w:val="2"/>
        <w:keepNext w:val="0"/>
        <w:keepLines w:val="0"/>
        <w:pageBreakBefore w:val="0"/>
        <w:widowControl/>
        <w:kinsoku w:val="0"/>
        <w:wordWrap/>
        <w:overflowPunct/>
        <w:topLinePunct w:val="0"/>
        <w:autoSpaceDE w:val="0"/>
        <w:autoSpaceDN w:val="0"/>
        <w:bidi w:val="0"/>
        <w:adjustRightInd w:val="0"/>
        <w:snapToGrid w:val="0"/>
        <w:spacing w:before="142" w:line="248" w:lineRule="auto"/>
        <w:ind w:left="22" w:right="86" w:firstLine="61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除专用合同条件另有约定外，承包人有权基于下列原</w:t>
      </w:r>
      <w:r>
        <w:rPr>
          <w:rFonts w:hint="eastAsia" w:ascii="仿宋" w:hAnsi="仿宋" w:eastAsia="仿宋" w:cs="仿宋"/>
          <w:color w:val="auto"/>
          <w:spacing w:val="7"/>
          <w:sz w:val="24"/>
          <w:szCs w:val="24"/>
          <w:highlight w:val="none"/>
        </w:rPr>
        <w:t>因，以书面形式通知发包人解除</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合同，解除通知中应注明是根据第</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7"/>
          <w:sz w:val="24"/>
          <w:szCs w:val="24"/>
          <w:highlight w:val="none"/>
        </w:rPr>
        <w:t>16.2.</w:t>
      </w:r>
      <w:r>
        <w:rPr>
          <w:rFonts w:hint="eastAsia" w:ascii="仿宋" w:hAnsi="仿宋" w:eastAsia="仿宋" w:cs="仿宋"/>
          <w:color w:val="auto"/>
          <w:spacing w:val="6"/>
          <w:sz w:val="24"/>
          <w:szCs w:val="24"/>
          <w:highlight w:val="none"/>
        </w:rPr>
        <w:t>1</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6"/>
          <w:sz w:val="24"/>
          <w:szCs w:val="24"/>
          <w:highlight w:val="none"/>
        </w:rPr>
        <w:t>项发出的，承包人应在发出正式解除合同通知</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6"/>
          <w:sz w:val="24"/>
          <w:szCs w:val="24"/>
          <w:highlight w:val="none"/>
        </w:rPr>
        <w:t>14</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天前告知发包人其解除合同意向，除非发包人在收到该解除合同意向通知</w:t>
      </w:r>
      <w:r>
        <w:rPr>
          <w:rFonts w:hint="eastAsia" w:ascii="仿宋" w:hAnsi="仿宋" w:eastAsia="仿宋" w:cs="仿宋"/>
          <w:color w:val="auto"/>
          <w:spacing w:val="8"/>
          <w:sz w:val="24"/>
          <w:szCs w:val="24"/>
          <w:highlight w:val="none"/>
        </w:rPr>
        <w:t>后</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8"/>
          <w:sz w:val="24"/>
          <w:szCs w:val="24"/>
          <w:highlight w:val="none"/>
        </w:rPr>
        <w:t>14</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8"/>
          <w:sz w:val="24"/>
          <w:szCs w:val="24"/>
          <w:highlight w:val="none"/>
        </w:rPr>
        <w:t>天内采取了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补救措施，否则承包人可向发包人发出正式解除合同通知立即解除合同。解除日期应为发包</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10"/>
          <w:sz w:val="24"/>
          <w:szCs w:val="24"/>
          <w:highlight w:val="none"/>
        </w:rPr>
        <w:t>人收到正式解除合同通知的日期，但在第(5)目的情况</w:t>
      </w:r>
      <w:r>
        <w:rPr>
          <w:rFonts w:hint="eastAsia" w:ascii="仿宋" w:hAnsi="仿宋" w:eastAsia="仿宋" w:cs="仿宋"/>
          <w:color w:val="auto"/>
          <w:spacing w:val="9"/>
          <w:sz w:val="24"/>
          <w:szCs w:val="24"/>
          <w:highlight w:val="none"/>
        </w:rPr>
        <w:t>下，承包人无须提前告知发包人其解</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除合同意向，可直接发出正式解除合同通知立即解除合同：</w:t>
      </w:r>
    </w:p>
    <w:p w14:paraId="136D2BFC">
      <w:pPr>
        <w:pStyle w:val="2"/>
        <w:keepNext w:val="0"/>
        <w:keepLines w:val="0"/>
        <w:pageBreakBefore w:val="0"/>
        <w:widowControl/>
        <w:kinsoku w:val="0"/>
        <w:wordWrap/>
        <w:overflowPunct/>
        <w:topLinePunct w:val="0"/>
        <w:autoSpaceDE w:val="0"/>
        <w:autoSpaceDN w:val="0"/>
        <w:bidi w:val="0"/>
        <w:adjustRightInd w:val="0"/>
        <w:snapToGrid w:val="0"/>
        <w:spacing w:before="24"/>
        <w:ind w:left="47" w:right="87" w:firstLine="58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 承包人就发包人未能遵守第</w:t>
      </w:r>
      <w:r>
        <w:rPr>
          <w:rFonts w:hint="eastAsia" w:ascii="仿宋" w:hAnsi="仿宋" w:eastAsia="仿宋" w:cs="仿宋"/>
          <w:color w:val="auto"/>
          <w:spacing w:val="-30"/>
          <w:sz w:val="24"/>
          <w:szCs w:val="24"/>
          <w:highlight w:val="none"/>
        </w:rPr>
        <w:t xml:space="preserve"> </w:t>
      </w:r>
      <w:r>
        <w:rPr>
          <w:rFonts w:hint="eastAsia" w:ascii="仿宋" w:hAnsi="仿宋" w:eastAsia="仿宋" w:cs="仿宋"/>
          <w:color w:val="auto"/>
          <w:spacing w:val="8"/>
          <w:sz w:val="24"/>
          <w:szCs w:val="24"/>
          <w:highlight w:val="none"/>
        </w:rPr>
        <w:t>2.5.2</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项关于发包人的资金安排发出通知后</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8"/>
          <w:sz w:val="24"/>
          <w:szCs w:val="24"/>
          <w:highlight w:val="none"/>
        </w:rPr>
        <w:t>42</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天</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内，仍未收到合理的证明；</w:t>
      </w:r>
    </w:p>
    <w:p w14:paraId="31D912ED">
      <w:pPr>
        <w:pStyle w:val="2"/>
        <w:keepNext w:val="0"/>
        <w:keepLines w:val="0"/>
        <w:pageBreakBefore w:val="0"/>
        <w:widowControl/>
        <w:kinsoku w:val="0"/>
        <w:wordWrap/>
        <w:overflowPunct/>
        <w:topLinePunct w:val="0"/>
        <w:autoSpaceDE w:val="0"/>
        <w:autoSpaceDN w:val="0"/>
        <w:bidi w:val="0"/>
        <w:adjustRightInd w:val="0"/>
        <w:snapToGrid w:val="0"/>
        <w:spacing w:before="23" w:line="239" w:lineRule="auto"/>
        <w:ind w:left="632" w:right="70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（2） 在第</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5"/>
          <w:sz w:val="24"/>
          <w:szCs w:val="24"/>
          <w:highlight w:val="none"/>
        </w:rPr>
        <w:t>14</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5"/>
          <w:sz w:val="24"/>
          <w:szCs w:val="24"/>
          <w:highlight w:val="none"/>
        </w:rPr>
        <w:t>条规定的付款时间到期后</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5"/>
          <w:sz w:val="24"/>
          <w:szCs w:val="24"/>
          <w:highlight w:val="none"/>
        </w:rPr>
        <w:t>42</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5"/>
          <w:sz w:val="24"/>
          <w:szCs w:val="24"/>
          <w:highlight w:val="none"/>
        </w:rPr>
        <w:t>天内，承包人仍未收到应付款项；</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（3） 发包人实质上未能根据合同约定履行其义</w:t>
      </w:r>
      <w:r>
        <w:rPr>
          <w:rFonts w:hint="eastAsia" w:ascii="仿宋" w:hAnsi="仿宋" w:eastAsia="仿宋" w:cs="仿宋"/>
          <w:color w:val="auto"/>
          <w:spacing w:val="8"/>
          <w:sz w:val="24"/>
          <w:szCs w:val="24"/>
          <w:highlight w:val="none"/>
        </w:rPr>
        <w:t>务，构成根本性违约；</w:t>
      </w:r>
    </w:p>
    <w:p w14:paraId="0529C81A">
      <w:pPr>
        <w:pStyle w:val="2"/>
        <w:keepNext w:val="0"/>
        <w:keepLines w:val="0"/>
        <w:pageBreakBefore w:val="0"/>
        <w:widowControl/>
        <w:kinsoku w:val="0"/>
        <w:wordWrap/>
        <w:overflowPunct/>
        <w:topLinePunct w:val="0"/>
        <w:autoSpaceDE w:val="0"/>
        <w:autoSpaceDN w:val="0"/>
        <w:bidi w:val="0"/>
        <w:adjustRightInd w:val="0"/>
        <w:snapToGrid w:val="0"/>
        <w:spacing w:before="29" w:line="239" w:lineRule="auto"/>
        <w:ind w:left="24" w:right="87" w:firstLine="60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（4） 发承包双方订立本合同协议书后的</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6"/>
          <w:sz w:val="24"/>
          <w:szCs w:val="24"/>
          <w:highlight w:val="none"/>
        </w:rPr>
        <w:t>84</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天内，承包人未收到根据</w:t>
      </w:r>
      <w:r>
        <w:rPr>
          <w:rFonts w:hint="eastAsia" w:ascii="仿宋" w:hAnsi="仿宋" w:eastAsia="仿宋" w:cs="仿宋"/>
          <w:color w:val="auto"/>
          <w:spacing w:val="5"/>
          <w:sz w:val="24"/>
          <w:szCs w:val="24"/>
          <w:highlight w:val="none"/>
        </w:rPr>
        <w:t>第</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5"/>
          <w:sz w:val="24"/>
          <w:szCs w:val="24"/>
          <w:highlight w:val="none"/>
        </w:rPr>
        <w:t>8.1</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5"/>
          <w:sz w:val="24"/>
          <w:szCs w:val="24"/>
          <w:highlight w:val="none"/>
        </w:rPr>
        <w:t>款[开始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工作]的开始工作通知；</w:t>
      </w:r>
    </w:p>
    <w:p w14:paraId="3AB51538">
      <w:pPr>
        <w:pStyle w:val="2"/>
        <w:keepNext w:val="0"/>
        <w:keepLines w:val="0"/>
        <w:pageBreakBefore w:val="0"/>
        <w:widowControl/>
        <w:kinsoku w:val="0"/>
        <w:wordWrap/>
        <w:overflowPunct/>
        <w:topLinePunct w:val="0"/>
        <w:autoSpaceDE w:val="0"/>
        <w:autoSpaceDN w:val="0"/>
        <w:bidi w:val="0"/>
        <w:adjustRightInd w:val="0"/>
        <w:snapToGrid w:val="0"/>
        <w:spacing w:before="27" w:line="245" w:lineRule="auto"/>
        <w:ind w:left="21"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（5） 发包人破产、停业清理或进入清算程序，或情况表明发包人将进入破产和（或）</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7"/>
          <w:sz w:val="24"/>
          <w:szCs w:val="24"/>
          <w:highlight w:val="none"/>
        </w:rPr>
        <w:t xml:space="preserve">清算程序或发包人资信严重恶化，已有对其财产的接管令或管理令，与债权人达成和解，或  为其债权人的利益在财产接管人、受托人或管理人的监督下营业，或采取了任何行动或发生  </w:t>
      </w:r>
      <w:r>
        <w:rPr>
          <w:rFonts w:hint="eastAsia" w:ascii="仿宋" w:hAnsi="仿宋" w:eastAsia="仿宋" w:cs="仿宋"/>
          <w:color w:val="auto"/>
          <w:spacing w:val="9"/>
          <w:sz w:val="24"/>
          <w:szCs w:val="24"/>
          <w:highlight w:val="none"/>
        </w:rPr>
        <w:t>任何事件（根据有关适用法律）具有与前述行动或事件相似的效果；</w:t>
      </w:r>
    </w:p>
    <w:p w14:paraId="7B423DF7">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（6） 发包人未能遵守第</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2.5.3</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7"/>
          <w:sz w:val="24"/>
          <w:szCs w:val="24"/>
          <w:highlight w:val="none"/>
        </w:rPr>
        <w:t>项的</w:t>
      </w:r>
      <w:r>
        <w:rPr>
          <w:rFonts w:hint="eastAsia" w:ascii="仿宋" w:hAnsi="仿宋" w:eastAsia="仿宋" w:cs="仿宋"/>
          <w:color w:val="auto"/>
          <w:spacing w:val="6"/>
          <w:sz w:val="24"/>
          <w:szCs w:val="24"/>
          <w:highlight w:val="none"/>
        </w:rPr>
        <w:t>约定提交支付担保；</w:t>
      </w:r>
    </w:p>
    <w:p w14:paraId="185AA5A8">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 发包人未能执行第</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15.1.2</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项[通知改正]的约定，致使合同目的不能实现的；</w:t>
      </w:r>
    </w:p>
    <w:p w14:paraId="2D63ECBC">
      <w:pPr>
        <w:pStyle w:val="2"/>
        <w:keepNext w:val="0"/>
        <w:keepLines w:val="0"/>
        <w:pageBreakBefore w:val="0"/>
        <w:widowControl/>
        <w:kinsoku w:val="0"/>
        <w:wordWrap/>
        <w:overflowPunct/>
        <w:topLinePunct w:val="0"/>
        <w:autoSpaceDE w:val="0"/>
        <w:autoSpaceDN w:val="0"/>
        <w:bidi w:val="0"/>
        <w:adjustRightInd w:val="0"/>
        <w:snapToGrid w:val="0"/>
        <w:spacing w:before="28" w:line="239" w:lineRule="auto"/>
        <w:ind w:left="38" w:right="85" w:firstLine="59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（8）</w:t>
      </w:r>
      <w:r>
        <w:rPr>
          <w:rFonts w:hint="eastAsia" w:ascii="仿宋" w:hAnsi="仿宋" w:eastAsia="仿宋" w:cs="仿宋"/>
          <w:color w:val="auto"/>
          <w:spacing w:val="57"/>
          <w:sz w:val="24"/>
          <w:szCs w:val="24"/>
          <w:highlight w:val="none"/>
        </w:rPr>
        <w:t xml:space="preserve"> </w:t>
      </w:r>
      <w:r>
        <w:rPr>
          <w:rFonts w:hint="eastAsia" w:ascii="仿宋" w:hAnsi="仿宋" w:eastAsia="仿宋" w:cs="仿宋"/>
          <w:color w:val="auto"/>
          <w:spacing w:val="8"/>
          <w:sz w:val="24"/>
          <w:szCs w:val="24"/>
          <w:highlight w:val="none"/>
        </w:rPr>
        <w:t>因发包人的原因暂停工作超过</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8"/>
          <w:sz w:val="24"/>
          <w:szCs w:val="24"/>
          <w:highlight w:val="none"/>
        </w:rPr>
        <w:t>56</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8"/>
          <w:sz w:val="24"/>
          <w:szCs w:val="24"/>
          <w:highlight w:val="none"/>
        </w:rPr>
        <w:t>天且暂停影响到整个工程，或因发包人的原</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因暂停工作超过</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3"/>
          <w:sz w:val="24"/>
          <w:szCs w:val="24"/>
          <w:highlight w:val="none"/>
        </w:rPr>
        <w:t>182</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3"/>
          <w:sz w:val="24"/>
          <w:szCs w:val="24"/>
          <w:highlight w:val="none"/>
        </w:rPr>
        <w:t>天的；</w:t>
      </w:r>
    </w:p>
    <w:p w14:paraId="6DD67A73">
      <w:pPr>
        <w:pStyle w:val="2"/>
        <w:keepNext w:val="0"/>
        <w:keepLines w:val="0"/>
        <w:pageBreakBefore w:val="0"/>
        <w:widowControl/>
        <w:kinsoku w:val="0"/>
        <w:wordWrap/>
        <w:overflowPunct/>
        <w:topLinePunct w:val="0"/>
        <w:autoSpaceDE w:val="0"/>
        <w:autoSpaceDN w:val="0"/>
        <w:bidi w:val="0"/>
        <w:adjustRightInd w:val="0"/>
        <w:snapToGrid w:val="0"/>
        <w:spacing w:before="25" w:line="239" w:lineRule="auto"/>
        <w:ind w:left="26" w:right="87" w:firstLine="60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（9） 因发包人原因造成开始工作日期迟于承包人收到中标通知书（或在无中标通知</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书的情况下，订立本合同之日）后第</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7"/>
          <w:sz w:val="24"/>
          <w:szCs w:val="24"/>
          <w:highlight w:val="none"/>
        </w:rPr>
        <w:t>84</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7"/>
          <w:sz w:val="24"/>
          <w:szCs w:val="24"/>
          <w:highlight w:val="none"/>
        </w:rPr>
        <w:t>天的。</w:t>
      </w:r>
    </w:p>
    <w:p w14:paraId="1DEBDD5B">
      <w:pPr>
        <w:pStyle w:val="2"/>
        <w:keepNext w:val="0"/>
        <w:keepLines w:val="0"/>
        <w:pageBreakBefore w:val="0"/>
        <w:widowControl/>
        <w:kinsoku w:val="0"/>
        <w:wordWrap/>
        <w:overflowPunct/>
        <w:topLinePunct w:val="0"/>
        <w:autoSpaceDE w:val="0"/>
        <w:autoSpaceDN w:val="0"/>
        <w:bidi w:val="0"/>
        <w:adjustRightInd w:val="0"/>
        <w:snapToGrid w:val="0"/>
        <w:spacing w:before="27" w:line="243" w:lineRule="auto"/>
        <w:ind w:left="23" w:right="87" w:firstLine="601"/>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发包人接到承包人解除合同意向通知后</w:t>
      </w:r>
      <w:r>
        <w:rPr>
          <w:rFonts w:hint="eastAsia" w:ascii="仿宋" w:hAnsi="仿宋" w:eastAsia="仿宋" w:cs="仿宋"/>
          <w:color w:val="auto"/>
          <w:spacing w:val="-8"/>
          <w:sz w:val="24"/>
          <w:szCs w:val="24"/>
          <w:highlight w:val="none"/>
        </w:rPr>
        <w:t xml:space="preserve"> </w:t>
      </w:r>
      <w:r>
        <w:rPr>
          <w:rFonts w:hint="eastAsia" w:ascii="仿宋" w:hAnsi="仿宋" w:eastAsia="仿宋" w:cs="仿宋"/>
          <w:color w:val="auto"/>
          <w:spacing w:val="9"/>
          <w:sz w:val="24"/>
          <w:szCs w:val="24"/>
          <w:highlight w:val="none"/>
        </w:rPr>
        <w:t>14</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天内，发包人随后给予了付款，或同意复</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工、或继续履行其义务、或提供了支付担保等，承包人应尽快安排并恢复正常工作；因此造</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9"/>
          <w:sz w:val="24"/>
          <w:szCs w:val="24"/>
          <w:highlight w:val="none"/>
        </w:rPr>
        <w:t>成工期延误的，竣工日期顺延；承包人因此增加的费用，由发包人承担。</w:t>
      </w:r>
    </w:p>
    <w:p w14:paraId="41D8F38D">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16.2.2 因发包人违约解除合同后承包人的义务</w:t>
      </w:r>
    </w:p>
    <w:p w14:paraId="1D5C6FA1">
      <w:pPr>
        <w:pStyle w:val="2"/>
        <w:keepNext w:val="0"/>
        <w:keepLines w:val="0"/>
        <w:pageBreakBefore w:val="0"/>
        <w:widowControl/>
        <w:kinsoku w:val="0"/>
        <w:wordWrap/>
        <w:overflowPunct/>
        <w:topLinePunct w:val="0"/>
        <w:autoSpaceDE w:val="0"/>
        <w:autoSpaceDN w:val="0"/>
        <w:bidi w:val="0"/>
        <w:adjustRightInd w:val="0"/>
        <w:snapToGrid w:val="0"/>
        <w:spacing w:before="146" w:line="228" w:lineRule="auto"/>
        <w:ind w:left="84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合同解除后，承包人应按以下约定执行：</w:t>
      </w:r>
    </w:p>
    <w:p w14:paraId="730DC484">
      <w:pPr>
        <w:pStyle w:val="2"/>
        <w:keepNext w:val="0"/>
        <w:keepLines w:val="0"/>
        <w:pageBreakBefore w:val="0"/>
        <w:widowControl/>
        <w:kinsoku w:val="0"/>
        <w:wordWrap/>
        <w:overflowPunct/>
        <w:topLinePunct w:val="0"/>
        <w:autoSpaceDE w:val="0"/>
        <w:autoSpaceDN w:val="0"/>
        <w:bidi w:val="0"/>
        <w:adjustRightInd w:val="0"/>
        <w:snapToGrid w:val="0"/>
        <w:spacing w:before="25"/>
        <w:ind w:left="22" w:right="87"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除为保护生命、财产、工程安全的工作外，停止所有进一步的工作；承包人因</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执行该保护工作而产生费用的，</w:t>
      </w:r>
      <w:r>
        <w:rPr>
          <w:rFonts w:hint="eastAsia" w:ascii="仿宋" w:hAnsi="仿宋" w:eastAsia="仿宋" w:cs="仿宋"/>
          <w:color w:val="auto"/>
          <w:spacing w:val="-58"/>
          <w:sz w:val="24"/>
          <w:szCs w:val="24"/>
          <w:highlight w:val="none"/>
        </w:rPr>
        <w:t xml:space="preserve"> </w:t>
      </w:r>
      <w:r>
        <w:rPr>
          <w:rFonts w:hint="eastAsia" w:ascii="仿宋" w:hAnsi="仿宋" w:eastAsia="仿宋" w:cs="仿宋"/>
          <w:color w:val="auto"/>
          <w:spacing w:val="7"/>
          <w:sz w:val="24"/>
          <w:szCs w:val="24"/>
          <w:highlight w:val="none"/>
        </w:rPr>
        <w:t>由发包人承担；</w:t>
      </w:r>
    </w:p>
    <w:p w14:paraId="3AF18724">
      <w:pPr>
        <w:pStyle w:val="2"/>
        <w:keepNext w:val="0"/>
        <w:keepLines w:val="0"/>
        <w:pageBreakBefore w:val="0"/>
        <w:widowControl/>
        <w:kinsoku w:val="0"/>
        <w:wordWrap/>
        <w:overflowPunct/>
        <w:topLinePunct w:val="0"/>
        <w:autoSpaceDE w:val="0"/>
        <w:autoSpaceDN w:val="0"/>
        <w:bidi w:val="0"/>
        <w:adjustRightInd w:val="0"/>
        <w:snapToGrid w:val="0"/>
        <w:spacing w:before="24"/>
        <w:ind w:left="632" w:right="5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w:t>
      </w:r>
      <w:r>
        <w:rPr>
          <w:rFonts w:hint="eastAsia" w:ascii="仿宋" w:hAnsi="仿宋" w:eastAsia="仿宋" w:cs="仿宋"/>
          <w:color w:val="auto"/>
          <w:spacing w:val="55"/>
          <w:sz w:val="24"/>
          <w:szCs w:val="24"/>
          <w:highlight w:val="none"/>
        </w:rPr>
        <w:t xml:space="preserve"> </w:t>
      </w:r>
      <w:r>
        <w:rPr>
          <w:rFonts w:hint="eastAsia" w:ascii="仿宋" w:hAnsi="仿宋" w:eastAsia="仿宋" w:cs="仿宋"/>
          <w:color w:val="auto"/>
          <w:spacing w:val="7"/>
          <w:sz w:val="24"/>
          <w:szCs w:val="24"/>
          <w:highlight w:val="none"/>
        </w:rPr>
        <w:t>向发包人移交承包人已获得支付的承包人文件、生产设备、材料和其他工作；</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（3） 从现场运走除为了安全需要以外的所有属于承包人的其他货物，并撤离现场。</w:t>
      </w:r>
    </w:p>
    <w:p w14:paraId="508A89B7">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16.2.3 因发包人违约解除合同后的付款</w:t>
      </w:r>
    </w:p>
    <w:p w14:paraId="0B21D251">
      <w:pPr>
        <w:pStyle w:val="2"/>
        <w:keepNext w:val="0"/>
        <w:keepLines w:val="0"/>
        <w:pageBreakBefore w:val="0"/>
        <w:widowControl/>
        <w:kinsoku w:val="0"/>
        <w:wordWrap/>
        <w:overflowPunct/>
        <w:topLinePunct w:val="0"/>
        <w:autoSpaceDE w:val="0"/>
        <w:autoSpaceDN w:val="0"/>
        <w:bidi w:val="0"/>
        <w:adjustRightInd w:val="0"/>
        <w:snapToGrid w:val="0"/>
        <w:spacing w:before="146"/>
        <w:ind w:left="23" w:right="87" w:firstLine="5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承包人按照本款约定解除合同的，发包人应在解除合同后</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10"/>
          <w:sz w:val="24"/>
          <w:szCs w:val="24"/>
          <w:highlight w:val="none"/>
        </w:rPr>
        <w:t>28</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10"/>
          <w:sz w:val="24"/>
          <w:szCs w:val="24"/>
          <w:highlight w:val="none"/>
        </w:rPr>
        <w:t>天内支付下</w:t>
      </w:r>
      <w:r>
        <w:rPr>
          <w:rFonts w:hint="eastAsia" w:ascii="仿宋" w:hAnsi="仿宋" w:eastAsia="仿宋" w:cs="仿宋"/>
          <w:color w:val="auto"/>
          <w:spacing w:val="9"/>
          <w:sz w:val="24"/>
          <w:szCs w:val="24"/>
          <w:highlight w:val="none"/>
        </w:rPr>
        <w:t>列款项，并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退还履约担保：</w:t>
      </w:r>
    </w:p>
    <w:p w14:paraId="5F37500A">
      <w:pPr>
        <w:pStyle w:val="2"/>
        <w:keepNext w:val="0"/>
        <w:keepLines w:val="0"/>
        <w:pageBreakBefore w:val="0"/>
        <w:widowControl/>
        <w:kinsoku w:val="0"/>
        <w:wordWrap/>
        <w:overflowPunct/>
        <w:topLinePunct w:val="0"/>
        <w:autoSpaceDE w:val="0"/>
        <w:autoSpaceDN w:val="0"/>
        <w:bidi w:val="0"/>
        <w:adjustRightInd w:val="0"/>
        <w:snapToGrid w:val="0"/>
        <w:spacing w:before="24" w:line="226"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合同解除前所完成工作的价款；</w:t>
      </w:r>
    </w:p>
    <w:p w14:paraId="11F4320C">
      <w:pPr>
        <w:pStyle w:val="2"/>
        <w:keepNext w:val="0"/>
        <w:keepLines w:val="0"/>
        <w:pageBreakBefore w:val="0"/>
        <w:widowControl/>
        <w:kinsoku w:val="0"/>
        <w:wordWrap/>
        <w:overflowPunct/>
        <w:topLinePunct w:val="0"/>
        <w:autoSpaceDE w:val="0"/>
        <w:autoSpaceDN w:val="0"/>
        <w:bidi w:val="0"/>
        <w:adjustRightInd w:val="0"/>
        <w:snapToGrid w:val="0"/>
        <w:spacing w:before="28"/>
        <w:ind w:left="22" w:right="87"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承包人为工程施工订购并已付款的材料、工程设备和其他物品的价款；发包人</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付款后，该材料、工程设备和其他物品归发包人所有；</w:t>
      </w:r>
    </w:p>
    <w:p w14:paraId="2941F935">
      <w:pPr>
        <w:pStyle w:val="2"/>
        <w:keepNext w:val="0"/>
        <w:keepLines w:val="0"/>
        <w:pageBreakBefore w:val="0"/>
        <w:widowControl/>
        <w:kinsoku w:val="0"/>
        <w:wordWrap/>
        <w:overflowPunct/>
        <w:topLinePunct w:val="0"/>
        <w:autoSpaceDE w:val="0"/>
        <w:autoSpaceDN w:val="0"/>
        <w:bidi w:val="0"/>
        <w:adjustRightInd w:val="0"/>
        <w:snapToGrid w:val="0"/>
        <w:spacing w:before="25" w:line="271" w:lineRule="exact"/>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（3） 承包人为完成工程所发生的，而发包人未支付的金额；</w:t>
      </w:r>
    </w:p>
    <w:p w14:paraId="6E6C37D0">
      <w:pPr>
        <w:pStyle w:val="2"/>
        <w:keepNext w:val="0"/>
        <w:keepLines w:val="0"/>
        <w:pageBreakBefore w:val="0"/>
        <w:widowControl/>
        <w:kinsoku w:val="0"/>
        <w:wordWrap/>
        <w:overflowPunct/>
        <w:topLinePunct w:val="0"/>
        <w:autoSpaceDE w:val="0"/>
        <w:autoSpaceDN w:val="0"/>
        <w:bidi w:val="0"/>
        <w:adjustRightInd w:val="0"/>
        <w:snapToGrid w:val="0"/>
        <w:spacing w:before="1"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（4） 承包人撤离施工现场以及遣散承包人人员的款项；</w:t>
      </w:r>
    </w:p>
    <w:p w14:paraId="180B7766">
      <w:pPr>
        <w:pStyle w:val="2"/>
        <w:keepNext w:val="0"/>
        <w:keepLines w:val="0"/>
        <w:pageBreakBefore w:val="0"/>
        <w:widowControl/>
        <w:kinsoku w:val="0"/>
        <w:wordWrap/>
        <w:overflowPunct/>
        <w:topLinePunct w:val="0"/>
        <w:autoSpaceDE w:val="0"/>
        <w:autoSpaceDN w:val="0"/>
        <w:bidi w:val="0"/>
        <w:adjustRightInd w:val="0"/>
        <w:snapToGrid w:val="0"/>
        <w:spacing w:before="27" w:line="271" w:lineRule="exact"/>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（5） 按照合同约定在合同解除前应支付的违约金；</w:t>
      </w:r>
    </w:p>
    <w:p w14:paraId="6BBFC94F">
      <w:pPr>
        <w:pStyle w:val="2"/>
        <w:keepNext w:val="0"/>
        <w:keepLines w:val="0"/>
        <w:pageBreakBefore w:val="0"/>
        <w:widowControl/>
        <w:kinsoku w:val="0"/>
        <w:wordWrap/>
        <w:overflowPunct/>
        <w:topLinePunct w:val="0"/>
        <w:autoSpaceDE w:val="0"/>
        <w:autoSpaceDN w:val="0"/>
        <w:bidi w:val="0"/>
        <w:adjustRightInd w:val="0"/>
        <w:snapToGrid w:val="0"/>
        <w:spacing w:before="1"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（6） 按照合同约定应当支付给承包人的其他款项；</w:t>
      </w:r>
    </w:p>
    <w:p w14:paraId="6D94F105">
      <w:pPr>
        <w:pStyle w:val="2"/>
        <w:keepNext w:val="0"/>
        <w:keepLines w:val="0"/>
        <w:pageBreakBefore w:val="0"/>
        <w:widowControl/>
        <w:kinsoku w:val="0"/>
        <w:wordWrap/>
        <w:overflowPunct/>
        <w:topLinePunct w:val="0"/>
        <w:autoSpaceDE w:val="0"/>
        <w:autoSpaceDN w:val="0"/>
        <w:bidi w:val="0"/>
        <w:adjustRightInd w:val="0"/>
        <w:snapToGrid w:val="0"/>
        <w:spacing w:before="27" w:line="271" w:lineRule="exact"/>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position w:val="4"/>
          <w:sz w:val="24"/>
          <w:szCs w:val="24"/>
          <w:highlight w:val="none"/>
        </w:rPr>
        <w:t>（7） 按照合同约定应返还的质量保证金；</w:t>
      </w:r>
    </w:p>
    <w:p w14:paraId="4740231E">
      <w:pPr>
        <w:pStyle w:val="2"/>
        <w:keepNext w:val="0"/>
        <w:keepLines w:val="0"/>
        <w:pageBreakBefore w:val="0"/>
        <w:widowControl/>
        <w:kinsoku w:val="0"/>
        <w:wordWrap/>
        <w:overflowPunct/>
        <w:topLinePunct w:val="0"/>
        <w:autoSpaceDE w:val="0"/>
        <w:autoSpaceDN w:val="0"/>
        <w:bidi w:val="0"/>
        <w:adjustRightInd w:val="0"/>
        <w:snapToGrid w:val="0"/>
        <w:spacing w:before="1"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6"/>
          <w:sz w:val="24"/>
          <w:szCs w:val="24"/>
          <w:highlight w:val="none"/>
        </w:rPr>
        <w:t>因解除合同给承包人造成的损失。</w:t>
      </w:r>
    </w:p>
    <w:p w14:paraId="29630481">
      <w:pPr>
        <w:pStyle w:val="2"/>
        <w:keepNext w:val="0"/>
        <w:keepLines w:val="0"/>
        <w:pageBreakBefore w:val="0"/>
        <w:widowControl/>
        <w:kinsoku w:val="0"/>
        <w:wordWrap/>
        <w:overflowPunct/>
        <w:topLinePunct w:val="0"/>
        <w:autoSpaceDE w:val="0"/>
        <w:autoSpaceDN w:val="0"/>
        <w:bidi w:val="0"/>
        <w:adjustRightInd w:val="0"/>
        <w:snapToGrid w:val="0"/>
        <w:spacing w:before="26" w:line="239" w:lineRule="auto"/>
        <w:ind w:left="27" w:right="73" w:firstLine="59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承包人应妥善做好已完工程和与工程有关的已购材料、工程设备的保护和移交工作，</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9"/>
          <w:sz w:val="24"/>
          <w:szCs w:val="24"/>
          <w:highlight w:val="none"/>
        </w:rPr>
        <w:t>并将施工设备和人员撤出施工现场，发包人应为承包人撤出提供必要条件。</w:t>
      </w:r>
    </w:p>
    <w:p w14:paraId="4D08B769">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16.3 合同解除后的事项</w:t>
      </w:r>
    </w:p>
    <w:p w14:paraId="04463647">
      <w:pPr>
        <w:pStyle w:val="2"/>
        <w:keepNext w:val="0"/>
        <w:keepLines w:val="0"/>
        <w:pageBreakBefore w:val="0"/>
        <w:widowControl/>
        <w:kinsoku w:val="0"/>
        <w:wordWrap/>
        <w:overflowPunct/>
        <w:topLinePunct w:val="0"/>
        <w:autoSpaceDE w:val="0"/>
        <w:autoSpaceDN w:val="0"/>
        <w:bidi w:val="0"/>
        <w:adjustRightInd w:val="0"/>
        <w:snapToGrid w:val="0"/>
        <w:spacing w:before="145" w:line="227"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16.3.1 结算约定依然有效</w:t>
      </w:r>
    </w:p>
    <w:p w14:paraId="650AD9CE">
      <w:pPr>
        <w:keepNext w:val="0"/>
        <w:keepLines w:val="0"/>
        <w:pageBreakBefore w:val="0"/>
        <w:widowControl/>
        <w:kinsoku w:val="0"/>
        <w:wordWrap/>
        <w:overflowPunct/>
        <w:topLinePunct w:val="0"/>
        <w:autoSpaceDE w:val="0"/>
        <w:autoSpaceDN w:val="0"/>
        <w:bidi w:val="0"/>
        <w:adjustRightInd w:val="0"/>
        <w:snapToGrid w:val="0"/>
        <w:spacing w:line="227" w:lineRule="auto"/>
        <w:textAlignment w:val="baseline"/>
        <w:outlineLvl w:val="9"/>
        <w:rPr>
          <w:rFonts w:hint="eastAsia" w:ascii="仿宋" w:hAnsi="仿宋" w:eastAsia="仿宋" w:cs="仿宋"/>
          <w:color w:val="auto"/>
          <w:sz w:val="24"/>
          <w:szCs w:val="24"/>
          <w:highlight w:val="none"/>
        </w:rPr>
        <w:sectPr>
          <w:footerReference r:id="rId42" w:type="default"/>
          <w:pgSz w:w="11906" w:h="16839"/>
          <w:pgMar w:top="1428" w:right="1714" w:bottom="1171" w:left="1785" w:header="0" w:footer="992" w:gutter="0"/>
          <w:pgNumType w:fmt="decimal"/>
          <w:cols w:space="720" w:num="1"/>
        </w:sectPr>
      </w:pPr>
    </w:p>
    <w:p w14:paraId="65DCC6D0">
      <w:pPr>
        <w:pStyle w:val="2"/>
        <w:keepNext w:val="0"/>
        <w:keepLines w:val="0"/>
        <w:pageBreakBefore w:val="0"/>
        <w:widowControl/>
        <w:kinsoku w:val="0"/>
        <w:wordWrap/>
        <w:overflowPunct/>
        <w:topLinePunct w:val="0"/>
        <w:autoSpaceDE w:val="0"/>
        <w:autoSpaceDN w:val="0"/>
        <w:bidi w:val="0"/>
        <w:adjustRightInd w:val="0"/>
        <w:snapToGrid w:val="0"/>
        <w:spacing w:before="41"/>
        <w:ind w:left="23" w:right="70" w:firstLine="5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合同解除后，由发包人或由承包人解除合同的结算及结算后的付款约定仍然有效</w:t>
      </w:r>
      <w:r>
        <w:rPr>
          <w:rFonts w:hint="eastAsia" w:ascii="仿宋" w:hAnsi="仿宋" w:eastAsia="仿宋" w:cs="仿宋"/>
          <w:color w:val="auto"/>
          <w:spacing w:val="7"/>
          <w:sz w:val="24"/>
          <w:szCs w:val="24"/>
          <w:highlight w:val="none"/>
        </w:rPr>
        <w:t>，直</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至解除合同的结算工作结清。</w:t>
      </w:r>
    </w:p>
    <w:p w14:paraId="2C3FB5DE">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16.3.2 解除合同的争议</w:t>
      </w:r>
    </w:p>
    <w:p w14:paraId="08EED814">
      <w:pPr>
        <w:pStyle w:val="2"/>
        <w:keepNext w:val="0"/>
        <w:keepLines w:val="0"/>
        <w:pageBreakBefore w:val="0"/>
        <w:widowControl/>
        <w:kinsoku w:val="0"/>
        <w:wordWrap/>
        <w:overflowPunct/>
        <w:topLinePunct w:val="0"/>
        <w:autoSpaceDE w:val="0"/>
        <w:autoSpaceDN w:val="0"/>
        <w:bidi w:val="0"/>
        <w:adjustRightInd w:val="0"/>
        <w:snapToGrid w:val="0"/>
        <w:spacing w:before="146" w:line="228" w:lineRule="auto"/>
        <w:jc w:val="right"/>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双方对解除合同或解除合同后的结算有争议的，按照第</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6"/>
          <w:sz w:val="24"/>
          <w:szCs w:val="24"/>
          <w:highlight w:val="none"/>
        </w:rPr>
        <w:t>20</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6"/>
          <w:sz w:val="24"/>
          <w:szCs w:val="24"/>
          <w:highlight w:val="none"/>
        </w:rPr>
        <w:t>条[争议解决]的约定处理。</w:t>
      </w:r>
    </w:p>
    <w:p w14:paraId="51F5C5F6">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338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第17条</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5"/>
          <w:sz w:val="24"/>
          <w:szCs w:val="24"/>
          <w:highlight w:val="none"/>
        </w:rPr>
        <w:t>不可抗力</w:t>
      </w:r>
    </w:p>
    <w:p w14:paraId="17C46653">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17.1 不可抗力的定义</w:t>
      </w:r>
    </w:p>
    <w:p w14:paraId="675F311D">
      <w:pPr>
        <w:pStyle w:val="2"/>
        <w:keepNext w:val="0"/>
        <w:keepLines w:val="0"/>
        <w:pageBreakBefore w:val="0"/>
        <w:widowControl/>
        <w:kinsoku w:val="0"/>
        <w:wordWrap/>
        <w:overflowPunct/>
        <w:topLinePunct w:val="0"/>
        <w:autoSpaceDE w:val="0"/>
        <w:autoSpaceDN w:val="0"/>
        <w:bidi w:val="0"/>
        <w:adjustRightInd w:val="0"/>
        <w:snapToGrid w:val="0"/>
        <w:spacing w:before="143" w:line="244" w:lineRule="auto"/>
        <w:ind w:left="23" w:right="70" w:firstLine="60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不可抗力是指合同当事人在订立合同时不可预见，在合同履行过程中不可</w:t>
      </w:r>
      <w:r>
        <w:rPr>
          <w:rFonts w:hint="eastAsia" w:ascii="仿宋" w:hAnsi="仿宋" w:eastAsia="仿宋" w:cs="仿宋"/>
          <w:color w:val="auto"/>
          <w:spacing w:val="7"/>
          <w:sz w:val="24"/>
          <w:szCs w:val="24"/>
          <w:highlight w:val="none"/>
        </w:rPr>
        <w:t>避免、不能</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克服且不能提前防备的自然灾害和社会性突发事件，如地震、海啸、瘟疫、骚乱、戒严、暴</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动、战争和专用合同条件中约定的其他情形。</w:t>
      </w:r>
    </w:p>
    <w:p w14:paraId="52B46093">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17.2 不可抗力的通知</w:t>
      </w:r>
    </w:p>
    <w:p w14:paraId="662434F5">
      <w:pPr>
        <w:pStyle w:val="2"/>
        <w:keepNext w:val="0"/>
        <w:keepLines w:val="0"/>
        <w:pageBreakBefore w:val="0"/>
        <w:widowControl/>
        <w:kinsoku w:val="0"/>
        <w:wordWrap/>
        <w:overflowPunct/>
        <w:topLinePunct w:val="0"/>
        <w:autoSpaceDE w:val="0"/>
        <w:autoSpaceDN w:val="0"/>
        <w:bidi w:val="0"/>
        <w:adjustRightInd w:val="0"/>
        <w:snapToGrid w:val="0"/>
        <w:spacing w:before="143" w:line="244" w:lineRule="auto"/>
        <w:ind w:left="23" w:right="70"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合同一方当事人觉察或发现不可抗力事件发生，使其履行合同义务受到阻碍时，</w:t>
      </w:r>
      <w:r>
        <w:rPr>
          <w:rFonts w:hint="eastAsia" w:ascii="仿宋" w:hAnsi="仿宋" w:eastAsia="仿宋" w:cs="仿宋"/>
          <w:color w:val="auto"/>
          <w:spacing w:val="7"/>
          <w:sz w:val="24"/>
          <w:szCs w:val="24"/>
          <w:highlight w:val="none"/>
        </w:rPr>
        <w:t>有义</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务立即通知合同另一方当事人和工程师，书面说明不可抗力和受阻碍的详细情况，并提供必</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5"/>
          <w:sz w:val="24"/>
          <w:szCs w:val="24"/>
          <w:highlight w:val="none"/>
        </w:rPr>
        <w:t>要的证明。</w:t>
      </w:r>
    </w:p>
    <w:p w14:paraId="02C2FE47">
      <w:pPr>
        <w:pStyle w:val="2"/>
        <w:keepNext w:val="0"/>
        <w:keepLines w:val="0"/>
        <w:pageBreakBefore w:val="0"/>
        <w:widowControl/>
        <w:kinsoku w:val="0"/>
        <w:wordWrap/>
        <w:overflowPunct/>
        <w:topLinePunct w:val="0"/>
        <w:autoSpaceDE w:val="0"/>
        <w:autoSpaceDN w:val="0"/>
        <w:bidi w:val="0"/>
        <w:adjustRightInd w:val="0"/>
        <w:snapToGrid w:val="0"/>
        <w:spacing w:before="23" w:line="244" w:lineRule="auto"/>
        <w:ind w:left="24" w:right="70"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不可抗力持续发生的，合同一方当事人应每隔</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10"/>
          <w:sz w:val="24"/>
          <w:szCs w:val="24"/>
          <w:highlight w:val="none"/>
        </w:rPr>
        <w:t>28</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10"/>
          <w:sz w:val="24"/>
          <w:szCs w:val="24"/>
          <w:highlight w:val="none"/>
        </w:rPr>
        <w:t>天向合同另一</w:t>
      </w:r>
      <w:r>
        <w:rPr>
          <w:rFonts w:hint="eastAsia" w:ascii="仿宋" w:hAnsi="仿宋" w:eastAsia="仿宋" w:cs="仿宋"/>
          <w:color w:val="auto"/>
          <w:spacing w:val="9"/>
          <w:sz w:val="24"/>
          <w:szCs w:val="24"/>
          <w:highlight w:val="none"/>
        </w:rPr>
        <w:t>方当事人和工程师提</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交中间报告，说明不可抗力和履行合同受阻的情况，并于不可抗力事件结束后</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天内提交</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最终报告及有关资料。</w:t>
      </w:r>
    </w:p>
    <w:p w14:paraId="3FD965C4">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17.3 将损失减至最小的义务</w:t>
      </w:r>
    </w:p>
    <w:p w14:paraId="6DA27AAB">
      <w:pPr>
        <w:pStyle w:val="2"/>
        <w:keepNext w:val="0"/>
        <w:keepLines w:val="0"/>
        <w:pageBreakBefore w:val="0"/>
        <w:widowControl/>
        <w:kinsoku w:val="0"/>
        <w:wordWrap/>
        <w:overflowPunct/>
        <w:topLinePunct w:val="0"/>
        <w:autoSpaceDE w:val="0"/>
        <w:autoSpaceDN w:val="0"/>
        <w:bidi w:val="0"/>
        <w:adjustRightInd w:val="0"/>
        <w:snapToGrid w:val="0"/>
        <w:spacing w:before="146" w:line="243" w:lineRule="auto"/>
        <w:ind w:left="21" w:right="70" w:firstLine="604"/>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不可抗力发生后，合同当事人均应采取措施尽量避免和减少损失的扩大，</w:t>
      </w:r>
      <w:r>
        <w:rPr>
          <w:rFonts w:hint="eastAsia" w:ascii="仿宋" w:hAnsi="仿宋" w:eastAsia="仿宋" w:cs="仿宋"/>
          <w:color w:val="auto"/>
          <w:spacing w:val="7"/>
          <w:sz w:val="24"/>
          <w:szCs w:val="24"/>
          <w:highlight w:val="none"/>
        </w:rPr>
        <w:t>使不可抗力</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对履行合同造成的损失减至最小。另一方全力协助并采取措施，需暂停实施的工作，立即停</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止。任何一方当事人没有采取有效措施导致损失扩大的，应对扩大的损失承担责任。</w:t>
      </w:r>
    </w:p>
    <w:p w14:paraId="5C0CBA6E">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17.4 不可抗力后果的承担</w:t>
      </w:r>
    </w:p>
    <w:p w14:paraId="47AB940D">
      <w:pPr>
        <w:pStyle w:val="2"/>
        <w:keepNext w:val="0"/>
        <w:keepLines w:val="0"/>
        <w:pageBreakBefore w:val="0"/>
        <w:widowControl/>
        <w:kinsoku w:val="0"/>
        <w:wordWrap/>
        <w:overflowPunct/>
        <w:topLinePunct w:val="0"/>
        <w:autoSpaceDE w:val="0"/>
        <w:autoSpaceDN w:val="0"/>
        <w:bidi w:val="0"/>
        <w:adjustRightInd w:val="0"/>
        <w:snapToGrid w:val="0"/>
        <w:spacing w:before="145"/>
        <w:ind w:left="22" w:right="70" w:firstLine="60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不可抗力导致的人员伤亡、财产损失、费用增加和（或）工期延误等后果</w:t>
      </w:r>
      <w:r>
        <w:rPr>
          <w:rFonts w:hint="eastAsia" w:ascii="仿宋" w:hAnsi="仿宋" w:eastAsia="仿宋" w:cs="仿宋"/>
          <w:color w:val="auto"/>
          <w:spacing w:val="7"/>
          <w:sz w:val="24"/>
          <w:szCs w:val="24"/>
          <w:highlight w:val="none"/>
        </w:rPr>
        <w:t>，由合同当</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事人按以下原则承担：</w:t>
      </w:r>
    </w:p>
    <w:p w14:paraId="454FCA8A">
      <w:pPr>
        <w:pStyle w:val="2"/>
        <w:keepNext w:val="0"/>
        <w:keepLines w:val="0"/>
        <w:pageBreakBefore w:val="0"/>
        <w:widowControl/>
        <w:kinsoku w:val="0"/>
        <w:wordWrap/>
        <w:overflowPunct/>
        <w:topLinePunct w:val="0"/>
        <w:autoSpaceDE w:val="0"/>
        <w:autoSpaceDN w:val="0"/>
        <w:bidi w:val="0"/>
        <w:adjustRightInd w:val="0"/>
        <w:snapToGrid w:val="0"/>
        <w:spacing w:before="25"/>
        <w:ind w:left="23" w:right="70"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永久工程，包括已运至施工现场的材料和工程设备的损害，以及因工程损害造</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8"/>
          <w:sz w:val="24"/>
          <w:szCs w:val="24"/>
          <w:highlight w:val="none"/>
        </w:rPr>
        <w:t>成的第三人人员伤亡和财产损失由发包人承担；</w:t>
      </w:r>
    </w:p>
    <w:p w14:paraId="55B40EF4">
      <w:pPr>
        <w:pStyle w:val="2"/>
        <w:keepNext w:val="0"/>
        <w:keepLines w:val="0"/>
        <w:pageBreakBefore w:val="0"/>
        <w:widowControl/>
        <w:kinsoku w:val="0"/>
        <w:wordWrap/>
        <w:overflowPunct/>
        <w:topLinePunct w:val="0"/>
        <w:autoSpaceDE w:val="0"/>
        <w:autoSpaceDN w:val="0"/>
        <w:bidi w:val="0"/>
        <w:adjustRightInd w:val="0"/>
        <w:snapToGrid w:val="0"/>
        <w:spacing w:before="24"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（2） 承包人提供的施工设备的损坏由承包人承担；</w:t>
      </w:r>
    </w:p>
    <w:p w14:paraId="28662BA6">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（3） 发包人和承包人各自承担其人员伤亡及其他财产损失；</w:t>
      </w:r>
    </w:p>
    <w:p w14:paraId="3F93EB82">
      <w:pPr>
        <w:pStyle w:val="2"/>
        <w:keepNext w:val="0"/>
        <w:keepLines w:val="0"/>
        <w:pageBreakBefore w:val="0"/>
        <w:widowControl/>
        <w:kinsoku w:val="0"/>
        <w:wordWrap/>
        <w:overflowPunct/>
        <w:topLinePunct w:val="0"/>
        <w:autoSpaceDE w:val="0"/>
        <w:autoSpaceDN w:val="0"/>
        <w:bidi w:val="0"/>
        <w:adjustRightInd w:val="0"/>
        <w:snapToGrid w:val="0"/>
        <w:spacing w:before="26" w:line="244" w:lineRule="auto"/>
        <w:ind w:left="22" w:right="57"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7"/>
          <w:sz w:val="24"/>
          <w:szCs w:val="24"/>
          <w:highlight w:val="none"/>
        </w:rPr>
        <w:t>因不可抗力影响承包人履行合同约定的义务，已经引起或将引起工期延误的，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应当顺延工期，由此导致承包人停工的费用损失由发包人和承包人合理分担，停工期间必须</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支付的现场必要的工人工资由发包人承担；</w:t>
      </w:r>
    </w:p>
    <w:p w14:paraId="041D3E31">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47" w:right="70" w:firstLine="58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（5） 因不可抗力引起或将引起工期延误，发包人指示赶工的，由此增加的赶工费用</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3"/>
          <w:sz w:val="24"/>
          <w:szCs w:val="24"/>
          <w:highlight w:val="none"/>
        </w:rPr>
        <w:t>由发包人承担；</w:t>
      </w:r>
    </w:p>
    <w:p w14:paraId="6C011CDD">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22" w:right="70"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（6） 承包人在停工期间按照工程师或发包人要求照管、清理和修复工程的费用由发</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5"/>
          <w:sz w:val="24"/>
          <w:szCs w:val="24"/>
          <w:highlight w:val="none"/>
        </w:rPr>
        <w:t>包人承担。</w:t>
      </w:r>
    </w:p>
    <w:p w14:paraId="4445AE81">
      <w:pPr>
        <w:pStyle w:val="2"/>
        <w:keepNext w:val="0"/>
        <w:keepLines w:val="0"/>
        <w:pageBreakBefore w:val="0"/>
        <w:widowControl/>
        <w:kinsoku w:val="0"/>
        <w:wordWrap/>
        <w:overflowPunct/>
        <w:topLinePunct w:val="0"/>
        <w:autoSpaceDE w:val="0"/>
        <w:autoSpaceDN w:val="0"/>
        <w:bidi w:val="0"/>
        <w:adjustRightInd w:val="0"/>
        <w:snapToGrid w:val="0"/>
        <w:spacing w:before="24"/>
        <w:ind w:left="25" w:right="40"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不可抗力引起的后果及造成的损失由合同当事人按照法律</w:t>
      </w:r>
      <w:r>
        <w:rPr>
          <w:rFonts w:hint="eastAsia" w:ascii="仿宋" w:hAnsi="仿宋" w:eastAsia="仿宋" w:cs="仿宋"/>
          <w:color w:val="auto"/>
          <w:spacing w:val="8"/>
          <w:sz w:val="24"/>
          <w:szCs w:val="24"/>
          <w:highlight w:val="none"/>
        </w:rPr>
        <w:t>规定及合同约定各自承担。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不可抗力发生前已完成的工程应当按照合同约定进行支付。</w:t>
      </w:r>
    </w:p>
    <w:p w14:paraId="1F2DE21B">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17.5 不可抗力影响分包人</w:t>
      </w:r>
    </w:p>
    <w:p w14:paraId="2AAB267A">
      <w:pPr>
        <w:pStyle w:val="2"/>
        <w:keepNext w:val="0"/>
        <w:keepLines w:val="0"/>
        <w:pageBreakBefore w:val="0"/>
        <w:widowControl/>
        <w:kinsoku w:val="0"/>
        <w:wordWrap/>
        <w:overflowPunct/>
        <w:topLinePunct w:val="0"/>
        <w:autoSpaceDE w:val="0"/>
        <w:autoSpaceDN w:val="0"/>
        <w:bidi w:val="0"/>
        <w:adjustRightInd w:val="0"/>
        <w:snapToGrid w:val="0"/>
        <w:spacing w:before="147"/>
        <w:ind w:left="22" w:right="57" w:firstLine="6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分包人根据分包合同的约定，有权获得更多或者更广的不可抗力而免除某些义务时，</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9"/>
          <w:sz w:val="24"/>
          <w:szCs w:val="24"/>
          <w:highlight w:val="none"/>
        </w:rPr>
        <w:t>承包人不得以分包合同中不可抗力约定向发包人抗辩免除其义务。</w:t>
      </w:r>
    </w:p>
    <w:p w14:paraId="74765176">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17.6</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4"/>
          <w:sz w:val="24"/>
          <w:szCs w:val="24"/>
          <w:highlight w:val="none"/>
        </w:rPr>
        <w:t>因不可抗力解除合同</w:t>
      </w:r>
    </w:p>
    <w:p w14:paraId="649AFDF8">
      <w:pPr>
        <w:pStyle w:val="2"/>
        <w:keepNext w:val="0"/>
        <w:keepLines w:val="0"/>
        <w:pageBreakBefore w:val="0"/>
        <w:widowControl/>
        <w:kinsoku w:val="0"/>
        <w:wordWrap/>
        <w:overflowPunct/>
        <w:topLinePunct w:val="0"/>
        <w:autoSpaceDE w:val="0"/>
        <w:autoSpaceDN w:val="0"/>
        <w:bidi w:val="0"/>
        <w:adjustRightInd w:val="0"/>
        <w:snapToGrid w:val="0"/>
        <w:spacing w:before="143" w:line="244" w:lineRule="auto"/>
        <w:ind w:left="22" w:right="70" w:firstLine="6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因单次不可抗力导致合同无法履行连续超过</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8"/>
          <w:sz w:val="24"/>
          <w:szCs w:val="24"/>
          <w:highlight w:val="none"/>
        </w:rPr>
        <w:t>84</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8"/>
          <w:sz w:val="24"/>
          <w:szCs w:val="24"/>
          <w:highlight w:val="none"/>
        </w:rPr>
        <w:t>天或累计超过</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8"/>
          <w:sz w:val="24"/>
          <w:szCs w:val="24"/>
          <w:highlight w:val="none"/>
        </w:rPr>
        <w:t>140</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天的，发包人和承</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包人均有权解除合同。合同解除后，承包人应按照</w:t>
      </w:r>
      <w:r>
        <w:rPr>
          <w:rFonts w:hint="eastAsia" w:ascii="仿宋" w:hAnsi="仿宋" w:eastAsia="仿宋" w:cs="仿宋"/>
          <w:color w:val="auto"/>
          <w:spacing w:val="7"/>
          <w:sz w:val="24"/>
          <w:szCs w:val="24"/>
          <w:highlight w:val="none"/>
        </w:rPr>
        <w:t>第</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7"/>
          <w:sz w:val="24"/>
          <w:szCs w:val="24"/>
          <w:highlight w:val="none"/>
        </w:rPr>
        <w:t>10.5</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7"/>
          <w:sz w:val="24"/>
          <w:szCs w:val="24"/>
          <w:highlight w:val="none"/>
        </w:rPr>
        <w:t>款[竣工退场]的规定进行。</w:t>
      </w:r>
      <w:r>
        <w:rPr>
          <w:rFonts w:hint="eastAsia" w:ascii="仿宋" w:hAnsi="仿宋" w:eastAsia="仿宋" w:cs="仿宋"/>
          <w:color w:val="auto"/>
          <w:spacing w:val="-59"/>
          <w:sz w:val="24"/>
          <w:szCs w:val="24"/>
          <w:highlight w:val="none"/>
        </w:rPr>
        <w:t xml:space="preserve"> </w:t>
      </w:r>
      <w:r>
        <w:rPr>
          <w:rFonts w:hint="eastAsia" w:ascii="仿宋" w:hAnsi="仿宋" w:eastAsia="仿宋" w:cs="仿宋"/>
          <w:color w:val="auto"/>
          <w:spacing w:val="7"/>
          <w:sz w:val="24"/>
          <w:szCs w:val="24"/>
          <w:highlight w:val="none"/>
        </w:rPr>
        <w:t>由双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方当事人按照第</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8"/>
          <w:sz w:val="24"/>
          <w:szCs w:val="24"/>
          <w:highlight w:val="none"/>
        </w:rPr>
        <w:t>3.6</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8"/>
          <w:sz w:val="24"/>
          <w:szCs w:val="24"/>
          <w:highlight w:val="none"/>
        </w:rPr>
        <w:t>款[商定或确定]商定或确定发包人应支付的款项，该款项包括：</w:t>
      </w:r>
    </w:p>
    <w:p w14:paraId="116FD3F3">
      <w:pPr>
        <w:pStyle w:val="2"/>
        <w:keepNext w:val="0"/>
        <w:keepLines w:val="0"/>
        <w:pageBreakBefore w:val="0"/>
        <w:widowControl/>
        <w:kinsoku w:val="0"/>
        <w:wordWrap/>
        <w:overflowPunct/>
        <w:topLinePunct w:val="0"/>
        <w:autoSpaceDE w:val="0"/>
        <w:autoSpaceDN w:val="0"/>
        <w:bidi w:val="0"/>
        <w:adjustRightInd w:val="0"/>
        <w:snapToGrid w:val="0"/>
        <w:spacing w:before="27" w:line="226"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 合同解除前承包人已完成工作的价款；</w:t>
      </w:r>
    </w:p>
    <w:p w14:paraId="78563337">
      <w:pPr>
        <w:pStyle w:val="2"/>
        <w:keepNext w:val="0"/>
        <w:keepLines w:val="0"/>
        <w:pageBreakBefore w:val="0"/>
        <w:widowControl/>
        <w:kinsoku w:val="0"/>
        <w:wordWrap/>
        <w:overflowPunct/>
        <w:topLinePunct w:val="0"/>
        <w:autoSpaceDE w:val="0"/>
        <w:autoSpaceDN w:val="0"/>
        <w:bidi w:val="0"/>
        <w:adjustRightInd w:val="0"/>
        <w:snapToGrid w:val="0"/>
        <w:spacing w:before="25" w:line="244" w:lineRule="auto"/>
        <w:ind w:left="21" w:right="70"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承包人为工程订购的并已交付给承包人，或承包人有责任接受交付的材料、工</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程设备和其他物品的价款；当发包人支付上述费用后，此项材料、工程设备与其他物品应成</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为发包人的财产，承包人应将其交由发包人处理；</w:t>
      </w:r>
    </w:p>
    <w:p w14:paraId="50C6BE38">
      <w:pPr>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仿宋" w:hAnsi="仿宋" w:eastAsia="仿宋" w:cs="仿宋"/>
          <w:color w:val="auto"/>
          <w:sz w:val="24"/>
          <w:szCs w:val="24"/>
          <w:highlight w:val="none"/>
        </w:rPr>
      </w:pPr>
    </w:p>
    <w:p w14:paraId="50FD1D5B">
      <w:pPr>
        <w:pStyle w:val="2"/>
        <w:keepNext w:val="0"/>
        <w:keepLines w:val="0"/>
        <w:pageBreakBefore w:val="0"/>
        <w:widowControl/>
        <w:kinsoku w:val="0"/>
        <w:wordWrap/>
        <w:overflowPunct/>
        <w:topLinePunct w:val="0"/>
        <w:autoSpaceDE w:val="0"/>
        <w:autoSpaceDN w:val="0"/>
        <w:bidi w:val="0"/>
        <w:adjustRightInd w:val="0"/>
        <w:snapToGrid w:val="0"/>
        <w:spacing w:before="41"/>
        <w:ind w:left="42" w:right="58" w:firstLine="58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发包人指示承包人退货或解除订货合同而产生的费用，或因不能退货或解除合</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5"/>
          <w:sz w:val="24"/>
          <w:szCs w:val="24"/>
          <w:highlight w:val="none"/>
        </w:rPr>
        <w:t>同而产生的损失；</w:t>
      </w:r>
    </w:p>
    <w:p w14:paraId="1C78729A">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（4） 承包人撤离施工现场以及遣散承包人人员的费用；</w:t>
      </w:r>
    </w:p>
    <w:p w14:paraId="6CE2CC3E">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（5） 按照合同约定在合同解除前应支付给承包人的其他款项；</w:t>
      </w:r>
    </w:p>
    <w:p w14:paraId="6460F2BD">
      <w:pPr>
        <w:pStyle w:val="2"/>
        <w:keepNext w:val="0"/>
        <w:keepLines w:val="0"/>
        <w:pageBreakBefore w:val="0"/>
        <w:widowControl/>
        <w:kinsoku w:val="0"/>
        <w:wordWrap/>
        <w:overflowPunct/>
        <w:topLinePunct w:val="0"/>
        <w:autoSpaceDE w:val="0"/>
        <w:autoSpaceDN w:val="0"/>
        <w:bidi w:val="0"/>
        <w:adjustRightInd w:val="0"/>
        <w:snapToGrid w:val="0"/>
        <w:spacing w:before="24" w:line="274" w:lineRule="exact"/>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（6） 扣减承包人按照合同约定应向发包人支付的款项；</w:t>
      </w:r>
    </w:p>
    <w:p w14:paraId="21933F05">
      <w:pPr>
        <w:pStyle w:val="2"/>
        <w:keepNext w:val="0"/>
        <w:keepLines w:val="0"/>
        <w:pageBreakBefore w:val="0"/>
        <w:widowControl/>
        <w:kinsoku w:val="0"/>
        <w:wordWrap/>
        <w:overflowPunct/>
        <w:topLinePunct w:val="0"/>
        <w:autoSpaceDE w:val="0"/>
        <w:autoSpaceDN w:val="0"/>
        <w:bidi w:val="0"/>
        <w:adjustRightInd w:val="0"/>
        <w:snapToGrid w:val="0"/>
        <w:spacing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 双方商定或确定的其他款项。</w:t>
      </w:r>
    </w:p>
    <w:p w14:paraId="1265D0D7">
      <w:pPr>
        <w:pStyle w:val="2"/>
        <w:keepNext w:val="0"/>
        <w:keepLines w:val="0"/>
        <w:pageBreakBefore w:val="0"/>
        <w:widowControl/>
        <w:kinsoku w:val="0"/>
        <w:wordWrap/>
        <w:overflowPunct/>
        <w:topLinePunct w:val="0"/>
        <w:autoSpaceDE w:val="0"/>
        <w:autoSpaceDN w:val="0"/>
        <w:bidi w:val="0"/>
        <w:adjustRightInd w:val="0"/>
        <w:snapToGrid w:val="0"/>
        <w:spacing w:before="24"/>
        <w:ind w:left="26" w:right="57"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除专用合同条件另有约定外，合同解除后，发包人应当在商定或确定上述款项后</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11"/>
          <w:sz w:val="24"/>
          <w:szCs w:val="24"/>
          <w:highlight w:val="none"/>
        </w:rPr>
        <w:t>28</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天内完成上述款项的支付。</w:t>
      </w:r>
    </w:p>
    <w:p w14:paraId="69F201A7">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35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第18条</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4"/>
          <w:sz w:val="24"/>
          <w:szCs w:val="24"/>
          <w:highlight w:val="none"/>
        </w:rPr>
        <w:t>保险</w:t>
      </w:r>
    </w:p>
    <w:p w14:paraId="3397F41F">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18.1 设计和工程保险</w:t>
      </w:r>
    </w:p>
    <w:p w14:paraId="78FE96AD">
      <w:pPr>
        <w:pStyle w:val="2"/>
        <w:keepNext w:val="0"/>
        <w:keepLines w:val="0"/>
        <w:pageBreakBefore w:val="0"/>
        <w:widowControl/>
        <w:kinsoku w:val="0"/>
        <w:wordWrap/>
        <w:overflowPunct/>
        <w:topLinePunct w:val="0"/>
        <w:autoSpaceDE w:val="0"/>
        <w:autoSpaceDN w:val="0"/>
        <w:bidi w:val="0"/>
        <w:adjustRightInd w:val="0"/>
        <w:snapToGrid w:val="0"/>
        <w:spacing w:before="143" w:line="244" w:lineRule="auto"/>
        <w:ind w:left="23" w:right="58" w:firstLine="1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18.1.1 双方应按照专用合同条件的约定向双方同意的保险人投保建设工</w:t>
      </w:r>
      <w:r>
        <w:rPr>
          <w:rFonts w:hint="eastAsia" w:ascii="仿宋" w:hAnsi="仿宋" w:eastAsia="仿宋" w:cs="仿宋"/>
          <w:color w:val="auto"/>
          <w:spacing w:val="8"/>
          <w:sz w:val="24"/>
          <w:szCs w:val="24"/>
          <w:highlight w:val="none"/>
        </w:rPr>
        <w:t>程设计责任险、建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筑安装工程一切险等保险。具体的投保险种、保险范围、保险金额、保险费率、保险期限等</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有关内容应当在专用合同条件中明确约定。</w:t>
      </w:r>
    </w:p>
    <w:p w14:paraId="6EE9F4FC">
      <w:pPr>
        <w:pStyle w:val="2"/>
        <w:keepNext w:val="0"/>
        <w:keepLines w:val="0"/>
        <w:pageBreakBefore w:val="0"/>
        <w:widowControl/>
        <w:kinsoku w:val="0"/>
        <w:wordWrap/>
        <w:overflowPunct/>
        <w:topLinePunct w:val="0"/>
        <w:autoSpaceDE w:val="0"/>
        <w:autoSpaceDN w:val="0"/>
        <w:bidi w:val="0"/>
        <w:adjustRightInd w:val="0"/>
        <w:snapToGrid w:val="0"/>
        <w:spacing w:before="144"/>
        <w:ind w:left="25" w:right="59" w:firstLine="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18.1.2 双方应按照专用合同条件的约定投保第三者责任险，并在缺陷责</w:t>
      </w:r>
      <w:r>
        <w:rPr>
          <w:rFonts w:hint="eastAsia" w:ascii="仿宋" w:hAnsi="仿宋" w:eastAsia="仿宋" w:cs="仿宋"/>
          <w:color w:val="auto"/>
          <w:spacing w:val="8"/>
          <w:sz w:val="24"/>
          <w:szCs w:val="24"/>
          <w:highlight w:val="none"/>
        </w:rPr>
        <w:t>任期终止证书颁发</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前维持其持续有效。第三者责任险最低投保额应在专用合同条件内约定。</w:t>
      </w:r>
    </w:p>
    <w:p w14:paraId="7A82E383">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18.2 工伤和意外伤害保险</w:t>
      </w:r>
    </w:p>
    <w:p w14:paraId="41917453">
      <w:pPr>
        <w:pStyle w:val="2"/>
        <w:keepNext w:val="0"/>
        <w:keepLines w:val="0"/>
        <w:pageBreakBefore w:val="0"/>
        <w:widowControl/>
        <w:kinsoku w:val="0"/>
        <w:wordWrap/>
        <w:overflowPunct/>
        <w:topLinePunct w:val="0"/>
        <w:autoSpaceDE w:val="0"/>
        <w:autoSpaceDN w:val="0"/>
        <w:bidi w:val="0"/>
        <w:adjustRightInd w:val="0"/>
        <w:snapToGrid w:val="0"/>
        <w:spacing w:before="144" w:line="244" w:lineRule="auto"/>
        <w:ind w:left="27" w:right="6" w:firstLine="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18.2.1 发包人应依照法律规定为其在施工现场的雇用人员办理工伤保险，缴纳工伤保险费；</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13"/>
          <w:sz w:val="24"/>
          <w:szCs w:val="24"/>
          <w:highlight w:val="none"/>
        </w:rPr>
        <w:t>并要求工程师及由发包人为履行合同聘请的第三</w:t>
      </w:r>
      <w:r>
        <w:rPr>
          <w:rFonts w:hint="eastAsia" w:ascii="仿宋" w:hAnsi="仿宋" w:eastAsia="仿宋" w:cs="仿宋"/>
          <w:color w:val="auto"/>
          <w:spacing w:val="12"/>
          <w:sz w:val="24"/>
          <w:szCs w:val="24"/>
          <w:highlight w:val="none"/>
        </w:rPr>
        <w:t>方在施工现场的雇用人员依法办理工伤保</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险。</w:t>
      </w:r>
    </w:p>
    <w:p w14:paraId="02CB75F1">
      <w:pPr>
        <w:pStyle w:val="2"/>
        <w:keepNext w:val="0"/>
        <w:keepLines w:val="0"/>
        <w:pageBreakBefore w:val="0"/>
        <w:widowControl/>
        <w:kinsoku w:val="0"/>
        <w:wordWrap/>
        <w:overflowPunct/>
        <w:topLinePunct w:val="0"/>
        <w:autoSpaceDE w:val="0"/>
        <w:autoSpaceDN w:val="0"/>
        <w:bidi w:val="0"/>
        <w:adjustRightInd w:val="0"/>
        <w:snapToGrid w:val="0"/>
        <w:spacing w:before="143"/>
        <w:ind w:left="33" w:firstLine="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18.2.2 承包人应依照法律规定为其履行合同雇用的全部人员办理工伤保</w:t>
      </w:r>
      <w:r>
        <w:rPr>
          <w:rFonts w:hint="eastAsia" w:ascii="仿宋" w:hAnsi="仿宋" w:eastAsia="仿宋" w:cs="仿宋"/>
          <w:color w:val="auto"/>
          <w:spacing w:val="8"/>
          <w:sz w:val="24"/>
          <w:szCs w:val="24"/>
          <w:highlight w:val="none"/>
        </w:rPr>
        <w:t>险，缴纳工伤保险</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费，并要求分包人及由承包人为履行合同聘请的第</w:t>
      </w:r>
      <w:r>
        <w:rPr>
          <w:rFonts w:hint="eastAsia" w:ascii="仿宋" w:hAnsi="仿宋" w:eastAsia="仿宋" w:cs="仿宋"/>
          <w:color w:val="auto"/>
          <w:spacing w:val="8"/>
          <w:sz w:val="24"/>
          <w:szCs w:val="24"/>
          <w:highlight w:val="none"/>
        </w:rPr>
        <w:t>三方雇用的全部人员依法办理工伤保险。</w:t>
      </w:r>
    </w:p>
    <w:p w14:paraId="0328D645">
      <w:pPr>
        <w:pStyle w:val="2"/>
        <w:keepNext w:val="0"/>
        <w:keepLines w:val="0"/>
        <w:pageBreakBefore w:val="0"/>
        <w:widowControl/>
        <w:kinsoku w:val="0"/>
        <w:wordWrap/>
        <w:overflowPunct/>
        <w:topLinePunct w:val="0"/>
        <w:autoSpaceDE w:val="0"/>
        <w:autoSpaceDN w:val="0"/>
        <w:bidi w:val="0"/>
        <w:adjustRightInd w:val="0"/>
        <w:snapToGrid w:val="0"/>
        <w:spacing w:before="146"/>
        <w:ind w:left="22" w:firstLine="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18.2.3 发包人和承包人可以为其施工现场的全部人员办理意外伤害保险</w:t>
      </w:r>
      <w:r>
        <w:rPr>
          <w:rFonts w:hint="eastAsia" w:ascii="仿宋" w:hAnsi="仿宋" w:eastAsia="仿宋" w:cs="仿宋"/>
          <w:color w:val="auto"/>
          <w:spacing w:val="8"/>
          <w:sz w:val="24"/>
          <w:szCs w:val="24"/>
          <w:highlight w:val="none"/>
        </w:rPr>
        <w:t>并支付保险费，包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括其员工及为履行合同聘请的第三方的人员，具体事项由合同当事人在专用</w:t>
      </w:r>
      <w:r>
        <w:rPr>
          <w:rFonts w:hint="eastAsia" w:ascii="仿宋" w:hAnsi="仿宋" w:eastAsia="仿宋" w:cs="仿宋"/>
          <w:color w:val="auto"/>
          <w:spacing w:val="8"/>
          <w:sz w:val="24"/>
          <w:szCs w:val="24"/>
          <w:highlight w:val="none"/>
        </w:rPr>
        <w:t>合同条件约定。</w:t>
      </w:r>
    </w:p>
    <w:p w14:paraId="0D4C75E6">
      <w:pPr>
        <w:pStyle w:val="2"/>
        <w:keepNext w:val="0"/>
        <w:keepLines w:val="0"/>
        <w:pageBreakBefore w:val="0"/>
        <w:widowControl/>
        <w:kinsoku w:val="0"/>
        <w:wordWrap/>
        <w:overflowPunct/>
        <w:topLinePunct w:val="0"/>
        <w:autoSpaceDE w:val="0"/>
        <w:autoSpaceDN w:val="0"/>
        <w:bidi w:val="0"/>
        <w:adjustRightInd w:val="0"/>
        <w:snapToGrid w:val="0"/>
        <w:spacing w:before="144" w:line="227"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18.3</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2"/>
          <w:sz w:val="24"/>
          <w:szCs w:val="24"/>
          <w:highlight w:val="none"/>
        </w:rPr>
        <w:t>货物保险</w:t>
      </w:r>
    </w:p>
    <w:p w14:paraId="235E8DE5">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21" w:right="58"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承包人应按照专用合同条件的约定为运抵现场的施工设备、材料、工程设备和临时工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程等办理财产保险，保险期限自上述货物运抵现场至其不再为工程所需要为止。</w:t>
      </w:r>
    </w:p>
    <w:p w14:paraId="00A8DBF2">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18.4 其他保险</w:t>
      </w:r>
    </w:p>
    <w:p w14:paraId="7E40F89C">
      <w:pPr>
        <w:pStyle w:val="2"/>
        <w:keepNext w:val="0"/>
        <w:keepLines w:val="0"/>
        <w:pageBreakBefore w:val="0"/>
        <w:widowControl/>
        <w:kinsoku w:val="0"/>
        <w:wordWrap/>
        <w:overflowPunct/>
        <w:topLinePunct w:val="0"/>
        <w:autoSpaceDE w:val="0"/>
        <w:autoSpaceDN w:val="0"/>
        <w:bidi w:val="0"/>
        <w:adjustRightInd w:val="0"/>
        <w:snapToGrid w:val="0"/>
        <w:spacing w:before="148" w:line="246" w:lineRule="auto"/>
        <w:ind w:left="23" w:right="58" w:firstLine="60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发包人应按照工程总承包模式所适用的法律法规和专用合同条件约定，投</w:t>
      </w:r>
      <w:r>
        <w:rPr>
          <w:rFonts w:hint="eastAsia" w:ascii="仿宋" w:hAnsi="仿宋" w:eastAsia="仿宋" w:cs="仿宋"/>
          <w:color w:val="auto"/>
          <w:spacing w:val="7"/>
          <w:sz w:val="24"/>
          <w:szCs w:val="24"/>
          <w:highlight w:val="none"/>
        </w:rPr>
        <w:t>保其他保险</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并保持保险有效，其投保费用发包人自行承担。承包人应按照工程总承包模式所适用法律法</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规和专用合同条件约定投保相应保险并保持保险有效，其投保费用包含在合同价格中，但在</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13"/>
          <w:sz w:val="24"/>
          <w:szCs w:val="24"/>
          <w:highlight w:val="none"/>
        </w:rPr>
        <w:t>合同执行过程中，新颁布适用的法律法规规定由承包人投保</w:t>
      </w:r>
      <w:r>
        <w:rPr>
          <w:rFonts w:hint="eastAsia" w:ascii="仿宋" w:hAnsi="仿宋" w:eastAsia="仿宋" w:cs="仿宋"/>
          <w:color w:val="auto"/>
          <w:spacing w:val="12"/>
          <w:sz w:val="24"/>
          <w:szCs w:val="24"/>
          <w:highlight w:val="none"/>
        </w:rPr>
        <w:t>的强制保险，应根据本合同第</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13</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7"/>
          <w:sz w:val="24"/>
          <w:szCs w:val="24"/>
          <w:highlight w:val="none"/>
        </w:rPr>
        <w:t>条[变更与调整]的约定增加合同价款。</w:t>
      </w:r>
    </w:p>
    <w:p w14:paraId="1FCF7313">
      <w:pPr>
        <w:pStyle w:val="2"/>
        <w:keepNext w:val="0"/>
        <w:keepLines w:val="0"/>
        <w:pageBreakBefore w:val="0"/>
        <w:widowControl/>
        <w:kinsoku w:val="0"/>
        <w:wordWrap/>
        <w:overflowPunct/>
        <w:topLinePunct w:val="0"/>
        <w:autoSpaceDE w:val="0"/>
        <w:autoSpaceDN w:val="0"/>
        <w:bidi w:val="0"/>
        <w:adjustRightInd w:val="0"/>
        <w:snapToGrid w:val="0"/>
        <w:spacing w:before="29"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18.5 对各项保险的一般要求</w:t>
      </w:r>
    </w:p>
    <w:p w14:paraId="1DA94388">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18.5.1 持续保险</w:t>
      </w:r>
    </w:p>
    <w:p w14:paraId="357718B2">
      <w:pPr>
        <w:pStyle w:val="2"/>
        <w:keepNext w:val="0"/>
        <w:keepLines w:val="0"/>
        <w:pageBreakBefore w:val="0"/>
        <w:widowControl/>
        <w:kinsoku w:val="0"/>
        <w:wordWrap/>
        <w:overflowPunct/>
        <w:topLinePunct w:val="0"/>
        <w:autoSpaceDE w:val="0"/>
        <w:autoSpaceDN w:val="0"/>
        <w:bidi w:val="0"/>
        <w:adjustRightInd w:val="0"/>
        <w:snapToGrid w:val="0"/>
        <w:spacing w:before="144"/>
        <w:ind w:left="23" w:right="58" w:firstLine="5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合同当事人应与保险人保持联系，使保险人能够随时了解工程实施中的变动，并</w:t>
      </w:r>
      <w:r>
        <w:rPr>
          <w:rFonts w:hint="eastAsia" w:ascii="仿宋" w:hAnsi="仿宋" w:eastAsia="仿宋" w:cs="仿宋"/>
          <w:color w:val="auto"/>
          <w:spacing w:val="7"/>
          <w:sz w:val="24"/>
          <w:szCs w:val="24"/>
          <w:highlight w:val="none"/>
        </w:rPr>
        <w:t>确保</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按保险合同条款要求持续保险。</w:t>
      </w:r>
    </w:p>
    <w:p w14:paraId="50F1F018">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18.5.2 保险凭证</w:t>
      </w:r>
    </w:p>
    <w:p w14:paraId="36533C29">
      <w:pPr>
        <w:pStyle w:val="2"/>
        <w:keepNext w:val="0"/>
        <w:keepLines w:val="0"/>
        <w:pageBreakBefore w:val="0"/>
        <w:widowControl/>
        <w:kinsoku w:val="0"/>
        <w:wordWrap/>
        <w:overflowPunct/>
        <w:topLinePunct w:val="0"/>
        <w:autoSpaceDE w:val="0"/>
        <w:autoSpaceDN w:val="0"/>
        <w:bidi w:val="0"/>
        <w:adjustRightInd w:val="0"/>
        <w:snapToGrid w:val="0"/>
        <w:spacing w:before="147"/>
        <w:ind w:left="23" w:right="45"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合同当事人应及时向另一方当事人提交其已投保的各项保险的凭证和保险单复印件，</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9"/>
          <w:sz w:val="24"/>
          <w:szCs w:val="24"/>
          <w:highlight w:val="none"/>
        </w:rPr>
        <w:t>保险单必须与专用合同条件约定的条件保持一致。</w:t>
      </w:r>
    </w:p>
    <w:p w14:paraId="258E8C7B">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18.5.3 未按约定投保的补救</w:t>
      </w:r>
    </w:p>
    <w:p w14:paraId="224CBDEC">
      <w:pPr>
        <w:pStyle w:val="2"/>
        <w:keepNext w:val="0"/>
        <w:keepLines w:val="0"/>
        <w:pageBreakBefore w:val="0"/>
        <w:widowControl/>
        <w:kinsoku w:val="0"/>
        <w:wordWrap/>
        <w:overflowPunct/>
        <w:topLinePunct w:val="0"/>
        <w:autoSpaceDE w:val="0"/>
        <w:autoSpaceDN w:val="0"/>
        <w:bidi w:val="0"/>
        <w:adjustRightInd w:val="0"/>
        <w:snapToGrid w:val="0"/>
        <w:spacing w:before="145"/>
        <w:ind w:left="25" w:right="58" w:firstLine="60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负有投保义务的一方当事人未按合同约定办理保险，或未能使</w:t>
      </w:r>
      <w:r>
        <w:rPr>
          <w:rFonts w:hint="eastAsia" w:ascii="仿宋" w:hAnsi="仿宋" w:eastAsia="仿宋" w:cs="仿宋"/>
          <w:color w:val="auto"/>
          <w:spacing w:val="7"/>
          <w:sz w:val="24"/>
          <w:szCs w:val="24"/>
          <w:highlight w:val="none"/>
        </w:rPr>
        <w:t>保险持续有效的，则另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一方当事人可代为办理，所需费用由负有投保义务的一方当事人承担。</w:t>
      </w:r>
    </w:p>
    <w:p w14:paraId="498518EB">
      <w:pPr>
        <w:pStyle w:val="2"/>
        <w:keepNext w:val="0"/>
        <w:keepLines w:val="0"/>
        <w:pageBreakBefore w:val="0"/>
        <w:widowControl/>
        <w:kinsoku w:val="0"/>
        <w:wordWrap/>
        <w:overflowPunct/>
        <w:topLinePunct w:val="0"/>
        <w:autoSpaceDE w:val="0"/>
        <w:autoSpaceDN w:val="0"/>
        <w:bidi w:val="0"/>
        <w:adjustRightInd w:val="0"/>
        <w:snapToGrid w:val="0"/>
        <w:spacing w:before="25"/>
        <w:ind w:left="21"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负有投保义务的一方当事人未按合同约定办理某项保险，导致</w:t>
      </w:r>
      <w:r>
        <w:rPr>
          <w:rFonts w:hint="eastAsia" w:ascii="仿宋" w:hAnsi="仿宋" w:eastAsia="仿宋" w:cs="仿宋"/>
          <w:color w:val="auto"/>
          <w:spacing w:val="7"/>
          <w:sz w:val="24"/>
          <w:szCs w:val="24"/>
          <w:highlight w:val="none"/>
        </w:rPr>
        <w:t>受益人未能得到足额赔</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偿的，由负有投保义务的一方当事人负责按照原应从该项保险得到的保险金数</w:t>
      </w:r>
      <w:r>
        <w:rPr>
          <w:rFonts w:hint="eastAsia" w:ascii="仿宋" w:hAnsi="仿宋" w:eastAsia="仿宋" w:cs="仿宋"/>
          <w:color w:val="auto"/>
          <w:spacing w:val="8"/>
          <w:sz w:val="24"/>
          <w:szCs w:val="24"/>
          <w:highlight w:val="none"/>
        </w:rPr>
        <w:t>额进行补足。</w:t>
      </w:r>
    </w:p>
    <w:p w14:paraId="3332C496">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18.5.4 通知义务</w:t>
      </w:r>
    </w:p>
    <w:p w14:paraId="61A9C47E">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仿宋" w:hAnsi="仿宋" w:eastAsia="仿宋" w:cs="仿宋"/>
          <w:color w:val="auto"/>
          <w:sz w:val="24"/>
          <w:szCs w:val="24"/>
          <w:highlight w:val="none"/>
        </w:rPr>
      </w:pPr>
    </w:p>
    <w:p w14:paraId="1DF129C4">
      <w:pPr>
        <w:pStyle w:val="2"/>
        <w:keepNext w:val="0"/>
        <w:keepLines w:val="0"/>
        <w:pageBreakBefore w:val="0"/>
        <w:widowControl/>
        <w:kinsoku w:val="0"/>
        <w:wordWrap/>
        <w:overflowPunct/>
        <w:topLinePunct w:val="0"/>
        <w:autoSpaceDE w:val="0"/>
        <w:autoSpaceDN w:val="0"/>
        <w:bidi w:val="0"/>
        <w:adjustRightInd w:val="0"/>
        <w:snapToGrid w:val="0"/>
        <w:spacing w:before="41"/>
        <w:ind w:left="22" w:right="54" w:firstLine="6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除专用合同条件另有约定外，任何一方当事人变更除</w:t>
      </w:r>
      <w:r>
        <w:rPr>
          <w:rFonts w:hint="eastAsia" w:ascii="仿宋" w:hAnsi="仿宋" w:eastAsia="仿宋" w:cs="仿宋"/>
          <w:color w:val="auto"/>
          <w:spacing w:val="7"/>
          <w:sz w:val="24"/>
          <w:szCs w:val="24"/>
          <w:highlight w:val="none"/>
        </w:rPr>
        <w:t>工伤保险之外的保险合同时，应</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事先征得另一方当事人同意，并通知工程师。</w:t>
      </w:r>
    </w:p>
    <w:p w14:paraId="7D83A845">
      <w:pPr>
        <w:pStyle w:val="2"/>
        <w:keepNext w:val="0"/>
        <w:keepLines w:val="0"/>
        <w:pageBreakBefore w:val="0"/>
        <w:widowControl/>
        <w:kinsoku w:val="0"/>
        <w:wordWrap/>
        <w:overflowPunct/>
        <w:topLinePunct w:val="0"/>
        <w:autoSpaceDE w:val="0"/>
        <w:autoSpaceDN w:val="0"/>
        <w:bidi w:val="0"/>
        <w:adjustRightInd w:val="0"/>
        <w:snapToGrid w:val="0"/>
        <w:spacing w:before="24"/>
        <w:ind w:left="23" w:right="54" w:firstLine="5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保险事故发生时，投保人应按照保险合同规定的条件和期限及时向保险人报告。</w:t>
      </w:r>
      <w:r>
        <w:rPr>
          <w:rFonts w:hint="eastAsia" w:ascii="仿宋" w:hAnsi="仿宋" w:eastAsia="仿宋" w:cs="仿宋"/>
          <w:color w:val="auto"/>
          <w:spacing w:val="7"/>
          <w:sz w:val="24"/>
          <w:szCs w:val="24"/>
          <w:highlight w:val="none"/>
        </w:rPr>
        <w:t>发包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人和承包人应当在知道保险事故发生后及时通知对方。</w:t>
      </w:r>
    </w:p>
    <w:p w14:paraId="52AA0982">
      <w:pPr>
        <w:pStyle w:val="2"/>
        <w:keepNext w:val="0"/>
        <w:keepLines w:val="0"/>
        <w:pageBreakBefore w:val="0"/>
        <w:widowControl/>
        <w:kinsoku w:val="0"/>
        <w:wordWrap/>
        <w:overflowPunct/>
        <w:topLinePunct w:val="0"/>
        <w:autoSpaceDE w:val="0"/>
        <w:autoSpaceDN w:val="0"/>
        <w:bidi w:val="0"/>
        <w:adjustRightInd w:val="0"/>
        <w:snapToGrid w:val="0"/>
        <w:spacing w:before="24" w:line="227"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双方按本条规定投保不减少双方在合同下的其他义务。</w:t>
      </w:r>
    </w:p>
    <w:p w14:paraId="5502A709">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35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第19条</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4"/>
          <w:sz w:val="24"/>
          <w:szCs w:val="24"/>
          <w:highlight w:val="none"/>
        </w:rPr>
        <w:t>索赔</w:t>
      </w:r>
    </w:p>
    <w:p w14:paraId="0EC5E5BA">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19.1</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3"/>
          <w:sz w:val="24"/>
          <w:szCs w:val="24"/>
          <w:highlight w:val="none"/>
        </w:rPr>
        <w:t>索赔的提出</w:t>
      </w:r>
    </w:p>
    <w:p w14:paraId="0D5A740C">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23" w:right="54" w:firstLine="5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根据合同约定，任意一方认为有权得到追加/减少付款</w:t>
      </w:r>
      <w:r>
        <w:rPr>
          <w:rFonts w:hint="eastAsia" w:ascii="仿宋" w:hAnsi="仿宋" w:eastAsia="仿宋" w:cs="仿宋"/>
          <w:color w:val="auto"/>
          <w:spacing w:val="10"/>
          <w:sz w:val="24"/>
          <w:szCs w:val="24"/>
          <w:highlight w:val="none"/>
        </w:rPr>
        <w:t>、延长缺陷责任期和（或）延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长工期的，应按以下程序向对方提出索赔：</w:t>
      </w:r>
    </w:p>
    <w:p w14:paraId="4DDA2AE2">
      <w:pPr>
        <w:pStyle w:val="2"/>
        <w:keepNext w:val="0"/>
        <w:keepLines w:val="0"/>
        <w:pageBreakBefore w:val="0"/>
        <w:widowControl/>
        <w:kinsoku w:val="0"/>
        <w:wordWrap/>
        <w:overflowPunct/>
        <w:topLinePunct w:val="0"/>
        <w:autoSpaceDE w:val="0"/>
        <w:autoSpaceDN w:val="0"/>
        <w:bidi w:val="0"/>
        <w:adjustRightInd w:val="0"/>
        <w:snapToGrid w:val="0"/>
        <w:spacing w:before="27" w:line="243" w:lineRule="auto"/>
        <w:ind w:left="23" w:right="54" w:firstLine="60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 索赔方应在知道或应当知道索赔事件发生后</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天内，向对方递交索赔意向通</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知书，并说明发生索赔事件的事由；索赔方未在前述</w:t>
      </w:r>
      <w:r>
        <w:rPr>
          <w:rFonts w:hint="eastAsia" w:ascii="仿宋" w:hAnsi="仿宋" w:eastAsia="仿宋" w:cs="仿宋"/>
          <w:color w:val="auto"/>
          <w:spacing w:val="-30"/>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天内发出索赔意向通知书的，丧失</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要求追加/减少付款、延长缺陷责任期和（或）延长工期的权利；</w:t>
      </w:r>
    </w:p>
    <w:p w14:paraId="383BC954">
      <w:pPr>
        <w:pStyle w:val="2"/>
        <w:keepNext w:val="0"/>
        <w:keepLines w:val="0"/>
        <w:pageBreakBefore w:val="0"/>
        <w:widowControl/>
        <w:kinsoku w:val="0"/>
        <w:wordWrap/>
        <w:overflowPunct/>
        <w:topLinePunct w:val="0"/>
        <w:autoSpaceDE w:val="0"/>
        <w:autoSpaceDN w:val="0"/>
        <w:bidi w:val="0"/>
        <w:adjustRightInd w:val="0"/>
        <w:snapToGrid w:val="0"/>
        <w:spacing w:before="27" w:line="243" w:lineRule="auto"/>
        <w:ind w:left="20" w:right="12" w:firstLine="6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（2） 索赔方应在发出索赔意向通知书后</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天内，向对方正式递交索赔报告；索赔</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报告应详细说明索赔理由以及要求追加的付</w:t>
      </w:r>
      <w:r>
        <w:rPr>
          <w:rFonts w:hint="eastAsia" w:ascii="仿宋" w:hAnsi="仿宋" w:eastAsia="仿宋" w:cs="仿宋"/>
          <w:color w:val="auto"/>
          <w:spacing w:val="8"/>
          <w:sz w:val="24"/>
          <w:szCs w:val="24"/>
          <w:highlight w:val="none"/>
        </w:rPr>
        <w:t>款金额、延长缺陷责任期和（或）延长的工期，</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并附必要的记录和证明材料；</w:t>
      </w:r>
    </w:p>
    <w:p w14:paraId="03EB9640">
      <w:pPr>
        <w:pStyle w:val="2"/>
        <w:keepNext w:val="0"/>
        <w:keepLines w:val="0"/>
        <w:pageBreakBefore w:val="0"/>
        <w:widowControl/>
        <w:kinsoku w:val="0"/>
        <w:wordWrap/>
        <w:overflowPunct/>
        <w:topLinePunct w:val="0"/>
        <w:autoSpaceDE w:val="0"/>
        <w:autoSpaceDN w:val="0"/>
        <w:bidi w:val="0"/>
        <w:adjustRightInd w:val="0"/>
        <w:snapToGrid w:val="0"/>
        <w:spacing w:before="28" w:line="239" w:lineRule="auto"/>
        <w:ind w:left="27" w:right="54" w:firstLine="60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索赔事件具有持续影响的，索赔方应每月递交延续索赔通知，说明持续影响的</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实际情况和记录，列出累计的追加付款金额、延长缺陷责任期和（或）工期延长天数；</w:t>
      </w:r>
    </w:p>
    <w:p w14:paraId="79B26860">
      <w:pPr>
        <w:pStyle w:val="2"/>
        <w:keepNext w:val="0"/>
        <w:keepLines w:val="0"/>
        <w:pageBreakBefore w:val="0"/>
        <w:widowControl/>
        <w:kinsoku w:val="0"/>
        <w:wordWrap/>
        <w:overflowPunct/>
        <w:topLinePunct w:val="0"/>
        <w:autoSpaceDE w:val="0"/>
        <w:autoSpaceDN w:val="0"/>
        <w:bidi w:val="0"/>
        <w:adjustRightInd w:val="0"/>
        <w:snapToGrid w:val="0"/>
        <w:spacing w:before="26" w:line="243" w:lineRule="auto"/>
        <w:ind w:left="22" w:right="54"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（4） 在索赔事件影响结束后</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天内，索赔方应向对方递交最终索赔报告，说明最</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终要求索赔的追加付款金额、延长缺陷责任期和（或）延长的工期，并附必要的记录和证明</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3"/>
          <w:sz w:val="24"/>
          <w:szCs w:val="24"/>
          <w:highlight w:val="none"/>
        </w:rPr>
        <w:t>材料。</w:t>
      </w:r>
    </w:p>
    <w:p w14:paraId="3EE7BC54">
      <w:pPr>
        <w:pStyle w:val="2"/>
        <w:keepNext w:val="0"/>
        <w:keepLines w:val="0"/>
        <w:pageBreakBefore w:val="0"/>
        <w:widowControl/>
        <w:kinsoku w:val="0"/>
        <w:wordWrap/>
        <w:overflowPunct/>
        <w:topLinePunct w:val="0"/>
        <w:autoSpaceDE w:val="0"/>
        <w:autoSpaceDN w:val="0"/>
        <w:bidi w:val="0"/>
        <w:adjustRightInd w:val="0"/>
        <w:snapToGrid w:val="0"/>
        <w:spacing w:before="26" w:line="244" w:lineRule="auto"/>
        <w:ind w:left="23" w:right="54"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（5） 承包人作为索赔方时，其索赔意向通知书、索赔报告及相关索赔文件应向工程</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师提出；发包人作为索赔方时，其索赔意向通知书、索赔报告及相关索赔文件可自行向承包</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8"/>
          <w:sz w:val="24"/>
          <w:szCs w:val="24"/>
          <w:highlight w:val="none"/>
        </w:rPr>
        <w:t>人提出或由工程师向承包人提出。</w:t>
      </w:r>
    </w:p>
    <w:p w14:paraId="7237C412">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19.2 承包人索赔的处理程序</w:t>
      </w:r>
    </w:p>
    <w:p w14:paraId="0726D4CC">
      <w:pPr>
        <w:pStyle w:val="2"/>
        <w:keepNext w:val="0"/>
        <w:keepLines w:val="0"/>
        <w:pageBreakBefore w:val="0"/>
        <w:widowControl/>
        <w:kinsoku w:val="0"/>
        <w:wordWrap/>
        <w:overflowPunct/>
        <w:topLinePunct w:val="0"/>
        <w:autoSpaceDE w:val="0"/>
        <w:autoSpaceDN w:val="0"/>
        <w:bidi w:val="0"/>
        <w:adjustRightInd w:val="0"/>
        <w:snapToGrid w:val="0"/>
        <w:spacing w:before="146" w:line="239" w:lineRule="auto"/>
        <w:ind w:left="23" w:right="54"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工程师收到承包人提交的索赔报告后，应及时审查索赔报告的内容、查验承包</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人的记录和证明材料，必要时工程师可要求承包人提交全部原始记录副本。</w:t>
      </w:r>
    </w:p>
    <w:p w14:paraId="7E5FE7BD">
      <w:pPr>
        <w:pStyle w:val="2"/>
        <w:keepNext w:val="0"/>
        <w:keepLines w:val="0"/>
        <w:pageBreakBefore w:val="0"/>
        <w:widowControl/>
        <w:kinsoku w:val="0"/>
        <w:wordWrap/>
        <w:overflowPunct/>
        <w:topLinePunct w:val="0"/>
        <w:autoSpaceDE w:val="0"/>
        <w:autoSpaceDN w:val="0"/>
        <w:bidi w:val="0"/>
        <w:adjustRightInd w:val="0"/>
        <w:snapToGrid w:val="0"/>
        <w:spacing w:before="24" w:line="246" w:lineRule="auto"/>
        <w:ind w:left="20" w:firstLine="6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（2）</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4"/>
          <w:sz w:val="24"/>
          <w:szCs w:val="24"/>
          <w:highlight w:val="none"/>
        </w:rPr>
        <w:t>工程师应按第</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4"/>
          <w:sz w:val="24"/>
          <w:szCs w:val="24"/>
          <w:highlight w:val="none"/>
        </w:rPr>
        <w:t>3.6</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4"/>
          <w:sz w:val="24"/>
          <w:szCs w:val="24"/>
          <w:highlight w:val="none"/>
        </w:rPr>
        <w:t>款[商定或确定]</w:t>
      </w:r>
      <w:r>
        <w:rPr>
          <w:rFonts w:hint="eastAsia" w:ascii="仿宋" w:hAnsi="仿宋" w:eastAsia="仿宋" w:cs="仿宋"/>
          <w:color w:val="auto"/>
          <w:spacing w:val="3"/>
          <w:sz w:val="24"/>
          <w:szCs w:val="24"/>
          <w:highlight w:val="none"/>
        </w:rPr>
        <w:t>商定或确定追加的付款和（或）延长的工期，</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并在收到上述索赔报告或有关索赔的进一步证</w:t>
      </w:r>
      <w:r>
        <w:rPr>
          <w:rFonts w:hint="eastAsia" w:ascii="仿宋" w:hAnsi="仿宋" w:eastAsia="仿宋" w:cs="仿宋"/>
          <w:color w:val="auto"/>
          <w:spacing w:val="5"/>
          <w:sz w:val="24"/>
          <w:szCs w:val="24"/>
          <w:highlight w:val="none"/>
        </w:rPr>
        <w:t>明材料后及时书面告知发包人，并在</w:t>
      </w:r>
      <w:r>
        <w:rPr>
          <w:rFonts w:hint="eastAsia" w:ascii="仿宋" w:hAnsi="仿宋" w:eastAsia="仿宋" w:cs="仿宋"/>
          <w:color w:val="auto"/>
          <w:spacing w:val="-41"/>
          <w:sz w:val="24"/>
          <w:szCs w:val="24"/>
          <w:highlight w:val="none"/>
        </w:rPr>
        <w:t xml:space="preserve"> </w:t>
      </w:r>
      <w:r>
        <w:rPr>
          <w:rFonts w:hint="eastAsia" w:ascii="仿宋" w:hAnsi="仿宋" w:eastAsia="仿宋" w:cs="仿宋"/>
          <w:color w:val="auto"/>
          <w:spacing w:val="5"/>
          <w:sz w:val="24"/>
          <w:szCs w:val="24"/>
          <w:highlight w:val="none"/>
        </w:rPr>
        <w:t>42</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5"/>
          <w:sz w:val="24"/>
          <w:szCs w:val="24"/>
          <w:highlight w:val="none"/>
        </w:rPr>
        <w:t>天内，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将发包人书面认可的索赔处理结果答复承包人。工程师在收到索赔报告或有关索赔的进一步</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7"/>
          <w:sz w:val="24"/>
          <w:szCs w:val="24"/>
          <w:highlight w:val="none"/>
        </w:rPr>
        <w:t>证明材料后的</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7"/>
          <w:sz w:val="24"/>
          <w:szCs w:val="24"/>
          <w:highlight w:val="none"/>
        </w:rPr>
        <w:t>42</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7"/>
          <w:sz w:val="24"/>
          <w:szCs w:val="24"/>
          <w:highlight w:val="none"/>
        </w:rPr>
        <w:t>天内不予答复的，视为认可索赔。</w:t>
      </w:r>
    </w:p>
    <w:p w14:paraId="041A6ACA">
      <w:pPr>
        <w:pStyle w:val="2"/>
        <w:keepNext w:val="0"/>
        <w:keepLines w:val="0"/>
        <w:pageBreakBefore w:val="0"/>
        <w:widowControl/>
        <w:kinsoku w:val="0"/>
        <w:wordWrap/>
        <w:overflowPunct/>
        <w:topLinePunct w:val="0"/>
        <w:autoSpaceDE w:val="0"/>
        <w:autoSpaceDN w:val="0"/>
        <w:bidi w:val="0"/>
        <w:adjustRightInd w:val="0"/>
        <w:snapToGrid w:val="0"/>
        <w:spacing w:before="28" w:line="239" w:lineRule="auto"/>
        <w:ind w:left="23" w:right="54"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（3） 承包人接受索赔处理结果的，发包人应在作出索赔处理结果答复后</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天内完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成支付。承包人不接受索赔处理结果的，按照第</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8"/>
          <w:sz w:val="24"/>
          <w:szCs w:val="24"/>
          <w:highlight w:val="none"/>
        </w:rPr>
        <w:t>20</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8"/>
          <w:sz w:val="24"/>
          <w:szCs w:val="24"/>
          <w:highlight w:val="none"/>
        </w:rPr>
        <w:t>条[争议解决]约定处理。</w:t>
      </w:r>
    </w:p>
    <w:p w14:paraId="11170115">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19.3 发包人索赔的处理程序</w:t>
      </w:r>
    </w:p>
    <w:p w14:paraId="7824E4CE">
      <w:pPr>
        <w:pStyle w:val="2"/>
        <w:keepNext w:val="0"/>
        <w:keepLines w:val="0"/>
        <w:pageBreakBefore w:val="0"/>
        <w:widowControl/>
        <w:kinsoku w:val="0"/>
        <w:wordWrap/>
        <w:overflowPunct/>
        <w:topLinePunct w:val="0"/>
        <w:autoSpaceDE w:val="0"/>
        <w:autoSpaceDN w:val="0"/>
        <w:bidi w:val="0"/>
        <w:adjustRightInd w:val="0"/>
        <w:snapToGrid w:val="0"/>
        <w:spacing w:before="144" w:line="239" w:lineRule="auto"/>
        <w:ind w:left="23" w:right="54"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承包人收到发包人提交的索赔报告后，应及时审查索赔报告的内容、查验发包</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6"/>
          <w:sz w:val="24"/>
          <w:szCs w:val="24"/>
          <w:highlight w:val="none"/>
        </w:rPr>
        <w:t>人证明材料；</w:t>
      </w:r>
    </w:p>
    <w:p w14:paraId="211FC28A">
      <w:pPr>
        <w:pStyle w:val="2"/>
        <w:keepNext w:val="0"/>
        <w:keepLines w:val="0"/>
        <w:pageBreakBefore w:val="0"/>
        <w:widowControl/>
        <w:kinsoku w:val="0"/>
        <w:wordWrap/>
        <w:overflowPunct/>
        <w:topLinePunct w:val="0"/>
        <w:autoSpaceDE w:val="0"/>
        <w:autoSpaceDN w:val="0"/>
        <w:bidi w:val="0"/>
        <w:adjustRightInd w:val="0"/>
        <w:snapToGrid w:val="0"/>
        <w:spacing w:before="26" w:line="244" w:lineRule="auto"/>
        <w:ind w:left="22" w:right="54"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（2） 承包人应在收到上述索赔报告或有关索赔的进一步证明材料后</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9"/>
          <w:sz w:val="24"/>
          <w:szCs w:val="24"/>
          <w:highlight w:val="none"/>
        </w:rPr>
        <w:t>42</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天内，将索</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赔处理结果答复发包人。承包人在收到索赔通知书或有关索赔的进一步证明材料后的</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9"/>
          <w:sz w:val="24"/>
          <w:szCs w:val="24"/>
          <w:highlight w:val="none"/>
        </w:rPr>
        <w:t>42</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天</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内不予答复的，视为认可索赔。</w:t>
      </w:r>
    </w:p>
    <w:p w14:paraId="511D7514">
      <w:pPr>
        <w:pStyle w:val="2"/>
        <w:keepNext w:val="0"/>
        <w:keepLines w:val="0"/>
        <w:pageBreakBefore w:val="0"/>
        <w:widowControl/>
        <w:kinsoku w:val="0"/>
        <w:wordWrap/>
        <w:overflowPunct/>
        <w:topLinePunct w:val="0"/>
        <w:autoSpaceDE w:val="0"/>
        <w:autoSpaceDN w:val="0"/>
        <w:bidi w:val="0"/>
        <w:adjustRightInd w:val="0"/>
        <w:snapToGrid w:val="0"/>
        <w:spacing w:before="28" w:line="246" w:lineRule="auto"/>
        <w:ind w:left="22" w:right="54"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发包人接受索赔处理结果的，发包人可从应支付给承包人的合同价款中扣除赔</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付的金额或延长缺陷责任期；发包人不接受索赔处理结果的，按第</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20</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条[争议解决]约</w:t>
      </w:r>
      <w:r>
        <w:rPr>
          <w:rFonts w:hint="eastAsia" w:ascii="仿宋" w:hAnsi="仿宋" w:eastAsia="仿宋" w:cs="仿宋"/>
          <w:color w:val="auto"/>
          <w:spacing w:val="8"/>
          <w:sz w:val="24"/>
          <w:szCs w:val="24"/>
          <w:highlight w:val="none"/>
        </w:rPr>
        <w:t>定处</w:t>
      </w:r>
      <w:r>
        <w:rPr>
          <w:rFonts w:hint="eastAsia" w:ascii="仿宋" w:hAnsi="仿宋" w:eastAsia="仿宋" w:cs="仿宋"/>
          <w:color w:val="auto"/>
          <w:sz w:val="24"/>
          <w:szCs w:val="24"/>
          <w:highlight w:val="none"/>
        </w:rPr>
        <w:t xml:space="preserve"> 理。</w:t>
      </w:r>
    </w:p>
    <w:p w14:paraId="7090313B">
      <w:pPr>
        <w:pStyle w:val="2"/>
        <w:keepNext w:val="0"/>
        <w:keepLines w:val="0"/>
        <w:pageBreakBefore w:val="0"/>
        <w:widowControl/>
        <w:kinsoku w:val="0"/>
        <w:wordWrap/>
        <w:overflowPunct/>
        <w:topLinePunct w:val="0"/>
        <w:autoSpaceDE w:val="0"/>
        <w:autoSpaceDN w:val="0"/>
        <w:bidi w:val="0"/>
        <w:adjustRightInd w:val="0"/>
        <w:snapToGrid w:val="0"/>
        <w:spacing w:before="1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19.4 提出索赔的期限</w:t>
      </w:r>
    </w:p>
    <w:p w14:paraId="7AC3ED27">
      <w:pPr>
        <w:pStyle w:val="2"/>
        <w:keepNext w:val="0"/>
        <w:keepLines w:val="0"/>
        <w:pageBreakBefore w:val="0"/>
        <w:widowControl/>
        <w:kinsoku w:val="0"/>
        <w:wordWrap/>
        <w:overflowPunct/>
        <w:topLinePunct w:val="0"/>
        <w:autoSpaceDE w:val="0"/>
        <w:autoSpaceDN w:val="0"/>
        <w:bidi w:val="0"/>
        <w:adjustRightInd w:val="0"/>
        <w:snapToGrid w:val="0"/>
        <w:spacing w:before="144"/>
        <w:ind w:left="23" w:right="52" w:firstLine="60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 承包人按第</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9"/>
          <w:sz w:val="24"/>
          <w:szCs w:val="24"/>
          <w:highlight w:val="none"/>
        </w:rPr>
        <w:t>14.5</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9"/>
          <w:sz w:val="24"/>
          <w:szCs w:val="24"/>
          <w:highlight w:val="none"/>
        </w:rPr>
        <w:t>款[竣工结算]约定接收竣工付</w:t>
      </w:r>
      <w:r>
        <w:rPr>
          <w:rFonts w:hint="eastAsia" w:ascii="仿宋" w:hAnsi="仿宋" w:eastAsia="仿宋" w:cs="仿宋"/>
          <w:color w:val="auto"/>
          <w:spacing w:val="8"/>
          <w:sz w:val="24"/>
          <w:szCs w:val="24"/>
          <w:highlight w:val="none"/>
        </w:rPr>
        <w:t>款证书后，应被认为已无权再</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提出在合同工程接收证书颁发前所发生的任何索赔。</w:t>
      </w:r>
    </w:p>
    <w:p w14:paraId="378A8126">
      <w:pPr>
        <w:pStyle w:val="2"/>
        <w:keepNext w:val="0"/>
        <w:keepLines w:val="0"/>
        <w:pageBreakBefore w:val="0"/>
        <w:widowControl/>
        <w:kinsoku w:val="0"/>
        <w:wordWrap/>
        <w:overflowPunct/>
        <w:topLinePunct w:val="0"/>
        <w:autoSpaceDE w:val="0"/>
        <w:autoSpaceDN w:val="0"/>
        <w:bidi w:val="0"/>
        <w:adjustRightInd w:val="0"/>
        <w:snapToGrid w:val="0"/>
        <w:spacing w:before="25"/>
        <w:ind w:left="29" w:right="52" w:firstLine="6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（2） 承包人按第</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9"/>
          <w:sz w:val="24"/>
          <w:szCs w:val="24"/>
          <w:highlight w:val="none"/>
        </w:rPr>
        <w:t>14.7</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9"/>
          <w:sz w:val="24"/>
          <w:szCs w:val="24"/>
          <w:highlight w:val="none"/>
        </w:rPr>
        <w:t>款[最终结清]提交的最终结清</w:t>
      </w:r>
      <w:r>
        <w:rPr>
          <w:rFonts w:hint="eastAsia" w:ascii="仿宋" w:hAnsi="仿宋" w:eastAsia="仿宋" w:cs="仿宋"/>
          <w:color w:val="auto"/>
          <w:spacing w:val="8"/>
          <w:sz w:val="24"/>
          <w:szCs w:val="24"/>
          <w:highlight w:val="none"/>
        </w:rPr>
        <w:t>申请单中，只限于提出工程接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收证书颁发后发生的索赔。提出索赔的期限均自接受最终结清证书时终止。</w:t>
      </w:r>
    </w:p>
    <w:p w14:paraId="0C29AB61">
      <w:pPr>
        <w:pStyle w:val="2"/>
        <w:keepNext w:val="0"/>
        <w:keepLines w:val="0"/>
        <w:pageBreakBefore w:val="0"/>
        <w:widowControl/>
        <w:kinsoku w:val="0"/>
        <w:wordWrap/>
        <w:overflowPunct/>
        <w:topLinePunct w:val="0"/>
        <w:autoSpaceDE w:val="0"/>
        <w:autoSpaceDN w:val="0"/>
        <w:bidi w:val="0"/>
        <w:adjustRightInd w:val="0"/>
        <w:snapToGrid w:val="0"/>
        <w:spacing w:before="145" w:line="228" w:lineRule="auto"/>
        <w:ind w:left="338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第20条</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5"/>
          <w:sz w:val="24"/>
          <w:szCs w:val="24"/>
          <w:highlight w:val="none"/>
        </w:rPr>
        <w:t>争议解决</w:t>
      </w:r>
    </w:p>
    <w:p w14:paraId="5AF83C6F">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20.1</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3"/>
          <w:sz w:val="24"/>
          <w:szCs w:val="24"/>
          <w:highlight w:val="none"/>
        </w:rPr>
        <w:t>和解</w:t>
      </w:r>
    </w:p>
    <w:p w14:paraId="47EBCB1C">
      <w:pPr>
        <w:pStyle w:val="2"/>
        <w:keepNext w:val="0"/>
        <w:keepLines w:val="0"/>
        <w:pageBreakBefore w:val="0"/>
        <w:widowControl/>
        <w:kinsoku w:val="0"/>
        <w:wordWrap/>
        <w:overflowPunct/>
        <w:topLinePunct w:val="0"/>
        <w:autoSpaceDE w:val="0"/>
        <w:autoSpaceDN w:val="0"/>
        <w:bidi w:val="0"/>
        <w:adjustRightInd w:val="0"/>
        <w:snapToGrid w:val="0"/>
        <w:spacing w:before="41"/>
        <w:ind w:right="157" w:firstLine="512" w:firstLineChars="2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合同当事人可以就争议自行和解，自行和解达成协议的经双方签字并盖章后作为</w:t>
      </w:r>
      <w:r>
        <w:rPr>
          <w:rFonts w:hint="eastAsia" w:ascii="仿宋" w:hAnsi="仿宋" w:eastAsia="仿宋" w:cs="仿宋"/>
          <w:color w:val="auto"/>
          <w:spacing w:val="7"/>
          <w:sz w:val="24"/>
          <w:szCs w:val="24"/>
          <w:highlight w:val="none"/>
        </w:rPr>
        <w:t>合同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补充文件，双方均应遵照执行。</w:t>
      </w:r>
    </w:p>
    <w:p w14:paraId="787FA0F1">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20.2</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3"/>
          <w:sz w:val="24"/>
          <w:szCs w:val="24"/>
          <w:highlight w:val="none"/>
        </w:rPr>
        <w:t>调解</w:t>
      </w:r>
    </w:p>
    <w:p w14:paraId="4D8BAA91">
      <w:pPr>
        <w:pStyle w:val="2"/>
        <w:keepNext w:val="0"/>
        <w:keepLines w:val="0"/>
        <w:pageBreakBefore w:val="0"/>
        <w:widowControl/>
        <w:kinsoku w:val="0"/>
        <w:wordWrap/>
        <w:overflowPunct/>
        <w:topLinePunct w:val="0"/>
        <w:autoSpaceDE w:val="0"/>
        <w:autoSpaceDN w:val="0"/>
        <w:bidi w:val="0"/>
        <w:adjustRightInd w:val="0"/>
        <w:snapToGrid w:val="0"/>
        <w:spacing w:before="145" w:line="239" w:lineRule="auto"/>
        <w:ind w:left="21" w:right="157" w:firstLine="6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合同当事人可以就争议请求建设行政主管部门、行业协会或其他第三方进行调解</w:t>
      </w:r>
      <w:r>
        <w:rPr>
          <w:rFonts w:hint="eastAsia" w:ascii="仿宋" w:hAnsi="仿宋" w:eastAsia="仿宋" w:cs="仿宋"/>
          <w:color w:val="auto"/>
          <w:spacing w:val="7"/>
          <w:sz w:val="24"/>
          <w:szCs w:val="24"/>
          <w:highlight w:val="none"/>
        </w:rPr>
        <w:t>，调</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解达成协议的，经双方签字盖章后作为合同补充文件，双方均应遵照执行。</w:t>
      </w:r>
    </w:p>
    <w:p w14:paraId="6D2B7E38">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20.3</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4"/>
          <w:sz w:val="24"/>
          <w:szCs w:val="24"/>
          <w:highlight w:val="none"/>
        </w:rPr>
        <w:t>争议评审</w:t>
      </w:r>
    </w:p>
    <w:p w14:paraId="28230CB9">
      <w:pPr>
        <w:pStyle w:val="2"/>
        <w:keepNext w:val="0"/>
        <w:keepLines w:val="0"/>
        <w:pageBreakBefore w:val="0"/>
        <w:widowControl/>
        <w:kinsoku w:val="0"/>
        <w:wordWrap/>
        <w:overflowPunct/>
        <w:topLinePunct w:val="0"/>
        <w:autoSpaceDE w:val="0"/>
        <w:autoSpaceDN w:val="0"/>
        <w:bidi w:val="0"/>
        <w:adjustRightInd w:val="0"/>
        <w:snapToGrid w:val="0"/>
        <w:spacing w:before="145"/>
        <w:ind w:left="27" w:right="157" w:firstLine="59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合同当事人在专用合同条件中约定采取争议评审方式及评审规则解决争议的，按</w:t>
      </w:r>
      <w:r>
        <w:rPr>
          <w:rFonts w:hint="eastAsia" w:ascii="仿宋" w:hAnsi="仿宋" w:eastAsia="仿宋" w:cs="仿宋"/>
          <w:color w:val="auto"/>
          <w:spacing w:val="7"/>
          <w:sz w:val="24"/>
          <w:szCs w:val="24"/>
          <w:highlight w:val="none"/>
        </w:rPr>
        <w:t>下列</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约定执行：</w:t>
      </w:r>
    </w:p>
    <w:p w14:paraId="06FCD004">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20.3.1 争议评审小组的确定</w:t>
      </w:r>
    </w:p>
    <w:p w14:paraId="75DD747D">
      <w:pPr>
        <w:pStyle w:val="2"/>
        <w:keepNext w:val="0"/>
        <w:keepLines w:val="0"/>
        <w:pageBreakBefore w:val="0"/>
        <w:widowControl/>
        <w:kinsoku w:val="0"/>
        <w:wordWrap/>
        <w:overflowPunct/>
        <w:topLinePunct w:val="0"/>
        <w:autoSpaceDE w:val="0"/>
        <w:autoSpaceDN w:val="0"/>
        <w:bidi w:val="0"/>
        <w:adjustRightInd w:val="0"/>
        <w:snapToGrid w:val="0"/>
        <w:spacing w:before="146" w:line="243" w:lineRule="auto"/>
        <w:ind w:left="21" w:right="157" w:firstLine="601"/>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合同当事人可以共同选择一名或三名争议评审员，组成争议评审小组。如专用合</w:t>
      </w:r>
      <w:r>
        <w:rPr>
          <w:rFonts w:hint="eastAsia" w:ascii="仿宋" w:hAnsi="仿宋" w:eastAsia="仿宋" w:cs="仿宋"/>
          <w:color w:val="auto"/>
          <w:spacing w:val="7"/>
          <w:sz w:val="24"/>
          <w:szCs w:val="24"/>
          <w:highlight w:val="none"/>
        </w:rPr>
        <w:t>同条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件未对成员人数进行约定，则应由三名成员组成。除专用合同条件另有约定外，合同当事人</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应当自合同订立后</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7"/>
          <w:sz w:val="24"/>
          <w:szCs w:val="24"/>
          <w:highlight w:val="none"/>
        </w:rPr>
        <w:t>28</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7"/>
          <w:sz w:val="24"/>
          <w:szCs w:val="24"/>
          <w:highlight w:val="none"/>
        </w:rPr>
        <w:t>天内，或者争议发生后</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7"/>
          <w:sz w:val="24"/>
          <w:szCs w:val="24"/>
          <w:highlight w:val="none"/>
        </w:rPr>
        <w:t>14</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7"/>
          <w:sz w:val="24"/>
          <w:szCs w:val="24"/>
          <w:highlight w:val="none"/>
        </w:rPr>
        <w:t>天内，选定争</w:t>
      </w:r>
      <w:r>
        <w:rPr>
          <w:rFonts w:hint="eastAsia" w:ascii="仿宋" w:hAnsi="仿宋" w:eastAsia="仿宋" w:cs="仿宋"/>
          <w:color w:val="auto"/>
          <w:spacing w:val="6"/>
          <w:sz w:val="24"/>
          <w:szCs w:val="24"/>
          <w:highlight w:val="none"/>
        </w:rPr>
        <w:t>议评审员。</w:t>
      </w:r>
    </w:p>
    <w:p w14:paraId="42C92FA5">
      <w:pPr>
        <w:pStyle w:val="2"/>
        <w:keepNext w:val="0"/>
        <w:keepLines w:val="0"/>
        <w:pageBreakBefore w:val="0"/>
        <w:widowControl/>
        <w:kinsoku w:val="0"/>
        <w:wordWrap/>
        <w:overflowPunct/>
        <w:topLinePunct w:val="0"/>
        <w:autoSpaceDE w:val="0"/>
        <w:autoSpaceDN w:val="0"/>
        <w:bidi w:val="0"/>
        <w:adjustRightInd w:val="0"/>
        <w:snapToGrid w:val="0"/>
        <w:spacing w:before="26" w:line="246" w:lineRule="auto"/>
        <w:ind w:left="22" w:firstLine="599"/>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 xml:space="preserve">选择一名争议评审员的，由合同当事人共同确定；选择三名争议评审员的，各自选定  </w:t>
      </w:r>
      <w:r>
        <w:rPr>
          <w:rFonts w:hint="eastAsia" w:ascii="仿宋" w:hAnsi="仿宋" w:eastAsia="仿宋" w:cs="仿宋"/>
          <w:color w:val="auto"/>
          <w:spacing w:val="6"/>
          <w:sz w:val="24"/>
          <w:szCs w:val="24"/>
          <w:highlight w:val="none"/>
        </w:rPr>
        <w:t xml:space="preserve">一名，第三名成员由合同当事人共同确定或由合同当事人委托已选定的争议评审员共同确定， </w:t>
      </w:r>
      <w:r>
        <w:rPr>
          <w:rFonts w:hint="eastAsia" w:ascii="仿宋" w:hAnsi="仿宋" w:eastAsia="仿宋" w:cs="仿宋"/>
          <w:color w:val="auto"/>
          <w:spacing w:val="7"/>
          <w:sz w:val="24"/>
          <w:szCs w:val="24"/>
          <w:highlight w:val="none"/>
        </w:rPr>
        <w:t>为首席争议评审员。争议评审员为一人且合同</w:t>
      </w:r>
      <w:r>
        <w:rPr>
          <w:rFonts w:hint="eastAsia" w:ascii="仿宋" w:hAnsi="仿宋" w:eastAsia="仿宋" w:cs="仿宋"/>
          <w:color w:val="auto"/>
          <w:spacing w:val="6"/>
          <w:sz w:val="24"/>
          <w:szCs w:val="24"/>
          <w:highlight w:val="none"/>
        </w:rPr>
        <w:t xml:space="preserve">当事人未能达成一致的，或争议评审员为三人  </w:t>
      </w:r>
      <w:r>
        <w:rPr>
          <w:rFonts w:hint="eastAsia" w:ascii="仿宋" w:hAnsi="仿宋" w:eastAsia="仿宋" w:cs="仿宋"/>
          <w:color w:val="auto"/>
          <w:spacing w:val="8"/>
          <w:sz w:val="24"/>
          <w:szCs w:val="24"/>
          <w:highlight w:val="none"/>
        </w:rPr>
        <w:t>且合同当事人就首席争议评审员未能达成一致的，</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8"/>
          <w:sz w:val="24"/>
          <w:szCs w:val="24"/>
          <w:highlight w:val="none"/>
        </w:rPr>
        <w:t>由专用合同条件约定的评审机构指定。</w:t>
      </w:r>
    </w:p>
    <w:p w14:paraId="3F9C80EF">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除专用合同条件另有约定外，争议评审员报酬由发包人和承包人各承担一半。</w:t>
      </w:r>
    </w:p>
    <w:p w14:paraId="054C3D44">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20.3.2 争议的避免</w:t>
      </w:r>
    </w:p>
    <w:p w14:paraId="151EE7B7">
      <w:pPr>
        <w:pStyle w:val="2"/>
        <w:keepNext w:val="0"/>
        <w:keepLines w:val="0"/>
        <w:pageBreakBefore w:val="0"/>
        <w:widowControl/>
        <w:kinsoku w:val="0"/>
        <w:wordWrap/>
        <w:overflowPunct/>
        <w:topLinePunct w:val="0"/>
        <w:autoSpaceDE w:val="0"/>
        <w:autoSpaceDN w:val="0"/>
        <w:bidi w:val="0"/>
        <w:adjustRightInd w:val="0"/>
        <w:snapToGrid w:val="0"/>
        <w:spacing w:before="146" w:line="239" w:lineRule="auto"/>
        <w:ind w:left="26" w:right="157" w:firstLine="59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合同当事人协商一致，可以共同书面请求争议评审小组，就合同履行过程中可能</w:t>
      </w:r>
      <w:r>
        <w:rPr>
          <w:rFonts w:hint="eastAsia" w:ascii="仿宋" w:hAnsi="仿宋" w:eastAsia="仿宋" w:cs="仿宋"/>
          <w:color w:val="auto"/>
          <w:spacing w:val="7"/>
          <w:sz w:val="24"/>
          <w:szCs w:val="24"/>
          <w:highlight w:val="none"/>
        </w:rPr>
        <w:t>出现</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争议的情况提供协助或进行非正式讨论，争议评审小组应给出公正的意见或建议。</w:t>
      </w:r>
    </w:p>
    <w:p w14:paraId="7AA91CFB">
      <w:pPr>
        <w:pStyle w:val="2"/>
        <w:keepNext w:val="0"/>
        <w:keepLines w:val="0"/>
        <w:pageBreakBefore w:val="0"/>
        <w:widowControl/>
        <w:kinsoku w:val="0"/>
        <w:wordWrap/>
        <w:overflowPunct/>
        <w:topLinePunct w:val="0"/>
        <w:autoSpaceDE w:val="0"/>
        <w:autoSpaceDN w:val="0"/>
        <w:bidi w:val="0"/>
        <w:adjustRightInd w:val="0"/>
        <w:snapToGrid w:val="0"/>
        <w:spacing w:before="28" w:line="239" w:lineRule="auto"/>
        <w:ind w:left="42" w:right="157" w:firstLine="58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此类协助或非正式讨论可在任何会议、施工现场视察或其他场合进行，并且除专</w:t>
      </w:r>
      <w:r>
        <w:rPr>
          <w:rFonts w:hint="eastAsia" w:ascii="仿宋" w:hAnsi="仿宋" w:eastAsia="仿宋" w:cs="仿宋"/>
          <w:color w:val="auto"/>
          <w:spacing w:val="7"/>
          <w:sz w:val="24"/>
          <w:szCs w:val="24"/>
          <w:highlight w:val="none"/>
        </w:rPr>
        <w:t>用合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同条件另有约定外，发包人和承包人均应出席。</w:t>
      </w:r>
    </w:p>
    <w:p w14:paraId="0CC93510">
      <w:pPr>
        <w:pStyle w:val="2"/>
        <w:keepNext w:val="0"/>
        <w:keepLines w:val="0"/>
        <w:pageBreakBefore w:val="0"/>
        <w:widowControl/>
        <w:kinsoku w:val="0"/>
        <w:wordWrap/>
        <w:overflowPunct/>
        <w:topLinePunct w:val="0"/>
        <w:autoSpaceDE w:val="0"/>
        <w:autoSpaceDN w:val="0"/>
        <w:bidi w:val="0"/>
        <w:adjustRightInd w:val="0"/>
        <w:snapToGrid w:val="0"/>
        <w:spacing w:before="25" w:line="244" w:lineRule="auto"/>
        <w:ind w:left="21" w:right="143" w:firstLine="60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 xml:space="preserve">争议评审小组在此类非正式讨论上给出的任何意见或建议，无论是口头还是书面的， </w:t>
      </w:r>
      <w:r>
        <w:rPr>
          <w:rFonts w:hint="eastAsia" w:ascii="仿宋" w:hAnsi="仿宋" w:eastAsia="仿宋" w:cs="仿宋"/>
          <w:color w:val="auto"/>
          <w:spacing w:val="7"/>
          <w:sz w:val="24"/>
          <w:szCs w:val="24"/>
          <w:highlight w:val="none"/>
        </w:rPr>
        <w:t>对发包人和承包人不具有约束力，争议评审小组在之后的争议评审程序或决定中也不受此类</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意见或建议的约束。</w:t>
      </w:r>
    </w:p>
    <w:p w14:paraId="51824F22">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20.3.3 争议评审小组的决定</w:t>
      </w:r>
    </w:p>
    <w:p w14:paraId="5A23FCF1">
      <w:pPr>
        <w:pStyle w:val="2"/>
        <w:keepNext w:val="0"/>
        <w:keepLines w:val="0"/>
        <w:pageBreakBefore w:val="0"/>
        <w:widowControl/>
        <w:kinsoku w:val="0"/>
        <w:wordWrap/>
        <w:overflowPunct/>
        <w:topLinePunct w:val="0"/>
        <w:autoSpaceDE w:val="0"/>
        <w:autoSpaceDN w:val="0"/>
        <w:bidi w:val="0"/>
        <w:adjustRightInd w:val="0"/>
        <w:snapToGrid w:val="0"/>
        <w:spacing w:before="146" w:line="247" w:lineRule="auto"/>
        <w:ind w:left="22" w:right="98"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合同当事人可在任何时间将与合同有关的任何</w:t>
      </w:r>
      <w:r>
        <w:rPr>
          <w:rFonts w:hint="eastAsia" w:ascii="仿宋" w:hAnsi="仿宋" w:eastAsia="仿宋" w:cs="仿宋"/>
          <w:color w:val="auto"/>
          <w:spacing w:val="9"/>
          <w:sz w:val="24"/>
          <w:szCs w:val="24"/>
          <w:highlight w:val="none"/>
        </w:rPr>
        <w:t>争议共同提请争议评审小组进行评审。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争议评审小组应秉持客观、公正原则，充分听取合同当事人的意见，依据相</w:t>
      </w:r>
      <w:r>
        <w:rPr>
          <w:rFonts w:hint="eastAsia" w:ascii="仿宋" w:hAnsi="仿宋" w:eastAsia="仿宋" w:cs="仿宋"/>
          <w:color w:val="auto"/>
          <w:spacing w:val="8"/>
          <w:sz w:val="24"/>
          <w:szCs w:val="24"/>
          <w:highlight w:val="none"/>
        </w:rPr>
        <w:t>关法律、规范、</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标准、案例经验及商业惯例等，</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8"/>
          <w:sz w:val="24"/>
          <w:szCs w:val="24"/>
          <w:highlight w:val="none"/>
        </w:rPr>
        <w:t>自收到争议评审申请</w:t>
      </w:r>
      <w:r>
        <w:rPr>
          <w:rFonts w:hint="eastAsia" w:ascii="仿宋" w:hAnsi="仿宋" w:eastAsia="仿宋" w:cs="仿宋"/>
          <w:color w:val="auto"/>
          <w:spacing w:val="7"/>
          <w:sz w:val="24"/>
          <w:szCs w:val="24"/>
          <w:highlight w:val="none"/>
        </w:rPr>
        <w:t>报告后</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7"/>
          <w:sz w:val="24"/>
          <w:szCs w:val="24"/>
          <w:highlight w:val="none"/>
        </w:rPr>
        <w:t>14</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7"/>
          <w:sz w:val="24"/>
          <w:szCs w:val="24"/>
          <w:highlight w:val="none"/>
        </w:rPr>
        <w:t>天或争议评审小组建议并经</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双方同意的其他期限内作出书面决定，并说明理由。合同当事人可以在专用合同条件中对本</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项事项另行约定。</w:t>
      </w:r>
    </w:p>
    <w:p w14:paraId="6E096997">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20.3.4 争议评审小组决定的效力</w:t>
      </w:r>
    </w:p>
    <w:p w14:paraId="53E0BB2A">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21" w:right="157" w:firstLine="60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争议评审小组作出的书面决定经合同当事人签字确认后，对双方具有约</w:t>
      </w:r>
      <w:r>
        <w:rPr>
          <w:rFonts w:hint="eastAsia" w:ascii="仿宋" w:hAnsi="仿宋" w:eastAsia="仿宋" w:cs="仿宋"/>
          <w:color w:val="auto"/>
          <w:spacing w:val="7"/>
          <w:sz w:val="24"/>
          <w:szCs w:val="24"/>
          <w:highlight w:val="none"/>
        </w:rPr>
        <w:t>束力，双方应</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遵照执行。</w:t>
      </w:r>
    </w:p>
    <w:p w14:paraId="413F887D">
      <w:pPr>
        <w:pStyle w:val="2"/>
        <w:keepNext w:val="0"/>
        <w:keepLines w:val="0"/>
        <w:pageBreakBefore w:val="0"/>
        <w:widowControl/>
        <w:kinsoku w:val="0"/>
        <w:wordWrap/>
        <w:overflowPunct/>
        <w:topLinePunct w:val="0"/>
        <w:autoSpaceDE w:val="0"/>
        <w:autoSpaceDN w:val="0"/>
        <w:bidi w:val="0"/>
        <w:adjustRightInd w:val="0"/>
        <w:snapToGrid w:val="0"/>
        <w:spacing w:before="24"/>
        <w:ind w:left="21" w:right="157"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任何一方当事人不接受争议评审小组决定或不履行争议评审小组决定的，双方可选择</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采用其他争议解决方式。</w:t>
      </w:r>
    </w:p>
    <w:p w14:paraId="3445E064">
      <w:pPr>
        <w:pStyle w:val="2"/>
        <w:keepNext w:val="0"/>
        <w:keepLines w:val="0"/>
        <w:pageBreakBefore w:val="0"/>
        <w:widowControl/>
        <w:kinsoku w:val="0"/>
        <w:wordWrap/>
        <w:overflowPunct/>
        <w:topLinePunct w:val="0"/>
        <w:autoSpaceDE w:val="0"/>
        <w:autoSpaceDN w:val="0"/>
        <w:bidi w:val="0"/>
        <w:adjustRightInd w:val="0"/>
        <w:snapToGrid w:val="0"/>
        <w:spacing w:before="25"/>
        <w:ind w:left="23" w:firstLine="59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任何一方当事人不接受争议评审小组的决定，并不影响暂</w:t>
      </w:r>
      <w:r>
        <w:rPr>
          <w:rFonts w:hint="eastAsia" w:ascii="仿宋" w:hAnsi="仿宋" w:eastAsia="仿宋" w:cs="仿宋"/>
          <w:color w:val="auto"/>
          <w:spacing w:val="6"/>
          <w:sz w:val="24"/>
          <w:szCs w:val="24"/>
          <w:highlight w:val="none"/>
        </w:rPr>
        <w:t>时执行争议评审小组的决定，</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直到在后续的采用其他争议解决方式中对争议评审小组的决定进行了改变。</w:t>
      </w:r>
    </w:p>
    <w:p w14:paraId="4B7A0D8B">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20.4 仲裁或诉讼</w:t>
      </w:r>
    </w:p>
    <w:p w14:paraId="1064B787">
      <w:pPr>
        <w:pStyle w:val="2"/>
        <w:keepNext w:val="0"/>
        <w:keepLines w:val="0"/>
        <w:pageBreakBefore w:val="0"/>
        <w:widowControl/>
        <w:kinsoku w:val="0"/>
        <w:wordWrap/>
        <w:overflowPunct/>
        <w:topLinePunct w:val="0"/>
        <w:autoSpaceDE w:val="0"/>
        <w:autoSpaceDN w:val="0"/>
        <w:bidi w:val="0"/>
        <w:adjustRightInd w:val="0"/>
        <w:snapToGrid w:val="0"/>
        <w:spacing w:before="145" w:line="239" w:lineRule="auto"/>
        <w:ind w:left="23" w:right="157" w:firstLine="6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因合同及合同有关事项产生的争议，合同当</w:t>
      </w:r>
      <w:r>
        <w:rPr>
          <w:rFonts w:hint="eastAsia" w:ascii="仿宋" w:hAnsi="仿宋" w:eastAsia="仿宋" w:cs="仿宋"/>
          <w:color w:val="auto"/>
          <w:spacing w:val="7"/>
          <w:sz w:val="24"/>
          <w:szCs w:val="24"/>
          <w:highlight w:val="none"/>
        </w:rPr>
        <w:t>事人可以在专用合同条件中约定以下一种</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方式解决争议：</w:t>
      </w:r>
    </w:p>
    <w:p w14:paraId="6FE37B94">
      <w:pPr>
        <w:pStyle w:val="2"/>
        <w:keepNext w:val="0"/>
        <w:keepLines w:val="0"/>
        <w:pageBreakBefore w:val="0"/>
        <w:widowControl/>
        <w:kinsoku w:val="0"/>
        <w:wordWrap/>
        <w:overflowPunct/>
        <w:topLinePunct w:val="0"/>
        <w:autoSpaceDE w:val="0"/>
        <w:autoSpaceDN w:val="0"/>
        <w:bidi w:val="0"/>
        <w:adjustRightInd w:val="0"/>
        <w:snapToGrid w:val="0"/>
        <w:spacing w:before="27" w:line="271" w:lineRule="exact"/>
        <w:ind w:left="87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position w:val="4"/>
          <w:sz w:val="24"/>
          <w:szCs w:val="24"/>
          <w:highlight w:val="none"/>
        </w:rPr>
        <w:t>（1）</w:t>
      </w:r>
      <w:r>
        <w:rPr>
          <w:rFonts w:hint="eastAsia" w:ascii="仿宋" w:hAnsi="仿宋" w:eastAsia="仿宋" w:cs="仿宋"/>
          <w:color w:val="auto"/>
          <w:spacing w:val="55"/>
          <w:position w:val="4"/>
          <w:sz w:val="24"/>
          <w:szCs w:val="24"/>
          <w:highlight w:val="none"/>
        </w:rPr>
        <w:t xml:space="preserve"> </w:t>
      </w:r>
      <w:r>
        <w:rPr>
          <w:rFonts w:hint="eastAsia" w:ascii="仿宋" w:hAnsi="仿宋" w:eastAsia="仿宋" w:cs="仿宋"/>
          <w:color w:val="auto"/>
          <w:spacing w:val="5"/>
          <w:position w:val="4"/>
          <w:sz w:val="24"/>
          <w:szCs w:val="24"/>
          <w:highlight w:val="none"/>
        </w:rPr>
        <w:t>向约定的仲裁委员会申请仲裁；</w:t>
      </w:r>
    </w:p>
    <w:p w14:paraId="06FD6CF2">
      <w:pPr>
        <w:pStyle w:val="2"/>
        <w:keepNext w:val="0"/>
        <w:keepLines w:val="0"/>
        <w:pageBreakBefore w:val="0"/>
        <w:widowControl/>
        <w:kinsoku w:val="0"/>
        <w:wordWrap/>
        <w:overflowPunct/>
        <w:topLinePunct w:val="0"/>
        <w:autoSpaceDE w:val="0"/>
        <w:autoSpaceDN w:val="0"/>
        <w:bidi w:val="0"/>
        <w:adjustRightInd w:val="0"/>
        <w:snapToGrid w:val="0"/>
        <w:spacing w:before="1" w:line="226" w:lineRule="auto"/>
        <w:ind w:left="87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（2）</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5"/>
          <w:sz w:val="24"/>
          <w:szCs w:val="24"/>
          <w:highlight w:val="none"/>
        </w:rPr>
        <w:t>向有管辖权的人民法院起诉。</w:t>
      </w:r>
    </w:p>
    <w:p w14:paraId="603A150B">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20.5 争议解决条款效力</w:t>
      </w:r>
    </w:p>
    <w:p w14:paraId="15F8204B">
      <w:pPr>
        <w:pStyle w:val="2"/>
        <w:keepNext w:val="0"/>
        <w:keepLines w:val="0"/>
        <w:pageBreakBefore w:val="0"/>
        <w:widowControl/>
        <w:kinsoku w:val="0"/>
        <w:wordWrap/>
        <w:overflowPunct/>
        <w:topLinePunct w:val="0"/>
        <w:autoSpaceDE w:val="0"/>
        <w:autoSpaceDN w:val="0"/>
        <w:bidi w:val="0"/>
        <w:adjustRightInd w:val="0"/>
        <w:snapToGrid w:val="0"/>
        <w:spacing w:before="145"/>
        <w:ind w:left="32" w:right="157" w:firstLine="59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合同有关争议解决的条款独立存在，合同的不生效、无效、被撤销或者终止的，</w:t>
      </w:r>
      <w:r>
        <w:rPr>
          <w:rFonts w:hint="eastAsia" w:ascii="仿宋" w:hAnsi="仿宋" w:eastAsia="仿宋" w:cs="仿宋"/>
          <w:color w:val="auto"/>
          <w:spacing w:val="7"/>
          <w:sz w:val="24"/>
          <w:szCs w:val="24"/>
          <w:highlight w:val="none"/>
        </w:rPr>
        <w:t>不影</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响合同中有关争议解决条款的效力。</w:t>
      </w:r>
    </w:p>
    <w:p w14:paraId="123CCC18">
      <w:pPr>
        <w:pStyle w:val="2"/>
        <w:keepNext w:val="0"/>
        <w:keepLines w:val="0"/>
        <w:pageBreakBefore w:val="0"/>
        <w:widowControl/>
        <w:kinsoku w:val="0"/>
        <w:wordWrap/>
        <w:overflowPunct/>
        <w:topLinePunct w:val="0"/>
        <w:autoSpaceDE w:val="0"/>
        <w:autoSpaceDN w:val="0"/>
        <w:bidi w:val="0"/>
        <w:adjustRightInd w:val="0"/>
        <w:snapToGrid w:val="0"/>
        <w:spacing w:before="41" w:line="228" w:lineRule="auto"/>
        <w:ind w:firstLine="3569" w:firstLineChars="14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第三部分</w:t>
      </w:r>
      <w:r>
        <w:rPr>
          <w:rFonts w:hint="eastAsia" w:ascii="仿宋" w:hAnsi="仿宋" w:eastAsia="仿宋" w:cs="仿宋"/>
          <w:color w:val="auto"/>
          <w:spacing w:val="7"/>
          <w:sz w:val="24"/>
          <w:szCs w:val="24"/>
          <w:highlight w:val="none"/>
        </w:rPr>
        <w:t xml:space="preserve"> </w:t>
      </w:r>
      <w:r>
        <w:rPr>
          <w:rFonts w:hint="eastAsia" w:ascii="仿宋" w:hAnsi="仿宋" w:eastAsia="仿宋" w:cs="仿宋"/>
          <w:b/>
          <w:bCs/>
          <w:color w:val="auto"/>
          <w:spacing w:val="7"/>
          <w:sz w:val="24"/>
          <w:szCs w:val="24"/>
          <w:highlight w:val="none"/>
        </w:rPr>
        <w:t>专用合同条件</w:t>
      </w:r>
    </w:p>
    <w:p w14:paraId="1EE283CB">
      <w:pPr>
        <w:pStyle w:val="2"/>
        <w:keepNext w:val="0"/>
        <w:keepLines w:val="0"/>
        <w:pageBreakBefore w:val="0"/>
        <w:widowControl/>
        <w:kinsoku w:val="0"/>
        <w:wordWrap/>
        <w:overflowPunct/>
        <w:topLinePunct w:val="0"/>
        <w:autoSpaceDE w:val="0"/>
        <w:autoSpaceDN w:val="0"/>
        <w:bidi w:val="0"/>
        <w:adjustRightInd w:val="0"/>
        <w:snapToGrid w:val="0"/>
        <w:spacing w:before="146" w:line="228" w:lineRule="auto"/>
        <w:ind w:left="338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第</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1"/>
          <w:sz w:val="24"/>
          <w:szCs w:val="24"/>
          <w:highlight w:val="none"/>
        </w:rPr>
        <w:t>1</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1"/>
          <w:sz w:val="24"/>
          <w:szCs w:val="24"/>
          <w:highlight w:val="none"/>
        </w:rPr>
        <w:t>条</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1"/>
          <w:sz w:val="24"/>
          <w:szCs w:val="24"/>
          <w:highlight w:val="none"/>
        </w:rPr>
        <w:t>一般约定</w:t>
      </w:r>
    </w:p>
    <w:p w14:paraId="01351794">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1.1 词语定义和解释</w:t>
      </w:r>
    </w:p>
    <w:p w14:paraId="596D078B">
      <w:pPr>
        <w:pStyle w:val="2"/>
        <w:keepNext w:val="0"/>
        <w:keepLines w:val="0"/>
        <w:pageBreakBefore w:val="0"/>
        <w:widowControl/>
        <w:kinsoku w:val="0"/>
        <w:wordWrap/>
        <w:overflowPunct/>
        <w:topLinePunct w:val="0"/>
        <w:autoSpaceDE w:val="0"/>
        <w:autoSpaceDN w:val="0"/>
        <w:bidi w:val="0"/>
        <w:adjustRightInd w:val="0"/>
        <w:snapToGrid w:val="0"/>
        <w:spacing w:before="26" w:line="230"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1.1.1</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1"/>
          <w:sz w:val="24"/>
          <w:szCs w:val="24"/>
          <w:highlight w:val="none"/>
        </w:rPr>
        <w:t>合同</w:t>
      </w:r>
    </w:p>
    <w:p w14:paraId="42B3FA76">
      <w:pPr>
        <w:pStyle w:val="2"/>
        <w:keepNext w:val="0"/>
        <w:keepLines w:val="0"/>
        <w:pageBreakBefore w:val="0"/>
        <w:widowControl/>
        <w:kinsoku w:val="0"/>
        <w:wordWrap/>
        <w:overflowPunct/>
        <w:topLinePunct w:val="0"/>
        <w:autoSpaceDE w:val="0"/>
        <w:autoSpaceDN w:val="0"/>
        <w:bidi w:val="0"/>
        <w:adjustRightInd w:val="0"/>
        <w:snapToGrid w:val="0"/>
        <w:spacing w:before="21"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"1.1.1.10"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5"/>
          <w:sz w:val="24"/>
          <w:szCs w:val="24"/>
          <w:highlight w:val="none"/>
        </w:rPr>
        <w:t>1.1.1.10</w:t>
      </w:r>
      <w:r>
        <w:rPr>
          <w:rFonts w:hint="eastAsia" w:ascii="仿宋" w:hAnsi="仿宋" w:eastAsia="仿宋" w:cs="仿宋"/>
          <w:color w:val="auto"/>
          <w:spacing w:val="5"/>
          <w:sz w:val="24"/>
          <w:szCs w:val="24"/>
          <w:highlight w:val="none"/>
        </w:rPr>
        <w:fldChar w:fldCharType="end"/>
      </w:r>
      <w:r>
        <w:rPr>
          <w:rFonts w:hint="eastAsia" w:ascii="仿宋" w:hAnsi="仿宋" w:eastAsia="仿宋" w:cs="仿宋"/>
          <w:color w:val="auto"/>
          <w:spacing w:val="5"/>
          <w:sz w:val="24"/>
          <w:szCs w:val="24"/>
          <w:highlight w:val="none"/>
        </w:rPr>
        <w:t xml:space="preserve"> 其他合同文件：</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6A56EE12">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1.1.3 工程和设备</w:t>
      </w:r>
    </w:p>
    <w:p w14:paraId="631E5E0F">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"1.1.3.5"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5"/>
          <w:sz w:val="24"/>
          <w:szCs w:val="24"/>
          <w:highlight w:val="none"/>
        </w:rPr>
        <w:t>1.1.3.5</w:t>
      </w:r>
      <w:r>
        <w:rPr>
          <w:rFonts w:hint="eastAsia" w:ascii="仿宋" w:hAnsi="仿宋" w:eastAsia="仿宋" w:cs="仿宋"/>
          <w:color w:val="auto"/>
          <w:spacing w:val="5"/>
          <w:sz w:val="24"/>
          <w:szCs w:val="24"/>
          <w:highlight w:val="none"/>
        </w:rPr>
        <w:fldChar w:fldCharType="end"/>
      </w:r>
      <w:r>
        <w:rPr>
          <w:rFonts w:hint="eastAsia" w:ascii="仿宋" w:hAnsi="仿宋" w:eastAsia="仿宋" w:cs="仿宋"/>
          <w:color w:val="auto"/>
          <w:spacing w:val="5"/>
          <w:sz w:val="24"/>
          <w:szCs w:val="24"/>
          <w:highlight w:val="none"/>
        </w:rPr>
        <w:t xml:space="preserve"> 单位/区段工程的范围：</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59ADF428">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"1.1.3.9"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7"/>
          <w:sz w:val="24"/>
          <w:szCs w:val="24"/>
          <w:highlight w:val="none"/>
        </w:rPr>
        <w:t>1.1.3.9</w:t>
      </w:r>
      <w:r>
        <w:rPr>
          <w:rFonts w:hint="eastAsia" w:ascii="仿宋" w:hAnsi="仿宋" w:eastAsia="仿宋" w:cs="仿宋"/>
          <w:color w:val="auto"/>
          <w:spacing w:val="7"/>
          <w:sz w:val="24"/>
          <w:szCs w:val="24"/>
          <w:highlight w:val="none"/>
        </w:rPr>
        <w:fldChar w:fldCharType="end"/>
      </w:r>
      <w:r>
        <w:rPr>
          <w:rFonts w:hint="eastAsia" w:ascii="仿宋" w:hAnsi="仿宋" w:eastAsia="仿宋" w:cs="仿宋"/>
          <w:color w:val="auto"/>
          <w:spacing w:val="7"/>
          <w:sz w:val="24"/>
          <w:szCs w:val="24"/>
          <w:highlight w:val="none"/>
        </w:rPr>
        <w:t xml:space="preserve"> 作为施工场所组成部分的其他场所包括</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63D18C7C">
      <w:pPr>
        <w:pStyle w:val="2"/>
        <w:keepNext w:val="0"/>
        <w:keepLines w:val="0"/>
        <w:pageBreakBefore w:val="0"/>
        <w:widowControl/>
        <w:kinsoku w:val="0"/>
        <w:wordWrap/>
        <w:overflowPunct/>
        <w:topLinePunct w:val="0"/>
        <w:autoSpaceDE w:val="0"/>
        <w:autoSpaceDN w:val="0"/>
        <w:bidi w:val="0"/>
        <w:adjustRightInd w:val="0"/>
        <w:snapToGrid w:val="0"/>
        <w:spacing w:before="24" w:line="229"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"1.1.3.10"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5"/>
          <w:sz w:val="24"/>
          <w:szCs w:val="24"/>
          <w:highlight w:val="none"/>
        </w:rPr>
        <w:t>1.1.3.10</w:t>
      </w:r>
      <w:r>
        <w:rPr>
          <w:rFonts w:hint="eastAsia" w:ascii="仿宋" w:hAnsi="仿宋" w:eastAsia="仿宋" w:cs="仿宋"/>
          <w:color w:val="auto"/>
          <w:spacing w:val="5"/>
          <w:sz w:val="24"/>
          <w:szCs w:val="24"/>
          <w:highlight w:val="none"/>
        </w:rPr>
        <w:fldChar w:fldCharType="end"/>
      </w:r>
      <w:r>
        <w:rPr>
          <w:rFonts w:hint="eastAsia" w:ascii="仿宋" w:hAnsi="仿宋" w:eastAsia="仿宋" w:cs="仿宋"/>
          <w:color w:val="auto"/>
          <w:spacing w:val="5"/>
          <w:sz w:val="24"/>
          <w:szCs w:val="24"/>
          <w:highlight w:val="none"/>
        </w:rPr>
        <w:t xml:space="preserve"> 永久占地包括：</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19F5184B">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"1.1.3.11"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5"/>
          <w:sz w:val="24"/>
          <w:szCs w:val="24"/>
          <w:highlight w:val="none"/>
        </w:rPr>
        <w:t>1.1.3.11</w:t>
      </w:r>
      <w:r>
        <w:rPr>
          <w:rFonts w:hint="eastAsia" w:ascii="仿宋" w:hAnsi="仿宋" w:eastAsia="仿宋" w:cs="仿宋"/>
          <w:color w:val="auto"/>
          <w:spacing w:val="5"/>
          <w:sz w:val="24"/>
          <w:szCs w:val="24"/>
          <w:highlight w:val="none"/>
        </w:rPr>
        <w:fldChar w:fldCharType="end"/>
      </w:r>
      <w:r>
        <w:rPr>
          <w:rFonts w:hint="eastAsia" w:ascii="仿宋" w:hAnsi="仿宋" w:eastAsia="仿宋" w:cs="仿宋"/>
          <w:color w:val="auto"/>
          <w:spacing w:val="5"/>
          <w:sz w:val="24"/>
          <w:szCs w:val="24"/>
          <w:highlight w:val="none"/>
        </w:rPr>
        <w:t xml:space="preserve"> 临时占地包括：</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748399B1">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1.2 语言文字</w:t>
      </w:r>
    </w:p>
    <w:p w14:paraId="6A0AFDF2">
      <w:pPr>
        <w:pStyle w:val="2"/>
        <w:keepNext w:val="0"/>
        <w:keepLines w:val="0"/>
        <w:pageBreakBefore w:val="0"/>
        <w:widowControl/>
        <w:kinsoku w:val="0"/>
        <w:wordWrap/>
        <w:overflowPunct/>
        <w:topLinePunct w:val="0"/>
        <w:autoSpaceDE w:val="0"/>
        <w:autoSpaceDN w:val="0"/>
        <w:bidi w:val="0"/>
        <w:adjustRightInd w:val="0"/>
        <w:snapToGrid w:val="0"/>
        <w:spacing w:before="24" w:line="227"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本合同除使用汉语外，还使用</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80"/>
          <w:sz w:val="24"/>
          <w:szCs w:val="24"/>
          <w:highlight w:val="none"/>
        </w:rPr>
        <w:t xml:space="preserve"> </w:t>
      </w:r>
      <w:r>
        <w:rPr>
          <w:rFonts w:hint="eastAsia" w:ascii="仿宋" w:hAnsi="仿宋" w:eastAsia="仿宋" w:cs="仿宋"/>
          <w:color w:val="auto"/>
          <w:spacing w:val="6"/>
          <w:sz w:val="24"/>
          <w:szCs w:val="24"/>
          <w:highlight w:val="none"/>
        </w:rPr>
        <w:t>语言。</w:t>
      </w:r>
    </w:p>
    <w:p w14:paraId="2F0BCB3C">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z w:val="24"/>
          <w:szCs w:val="24"/>
          <w:highlight w:val="none"/>
        </w:rPr>
        <w:t>法律</w:t>
      </w:r>
    </w:p>
    <w:p w14:paraId="177091F3">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适用于合同的其他规范性文件：</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7A181194">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 标准和规范</w:t>
      </w:r>
    </w:p>
    <w:p w14:paraId="13697452">
      <w:pPr>
        <w:pStyle w:val="2"/>
        <w:keepNext w:val="0"/>
        <w:keepLines w:val="0"/>
        <w:pageBreakBefore w:val="0"/>
        <w:widowControl/>
        <w:kinsoku w:val="0"/>
        <w:wordWrap/>
        <w:overflowPunct/>
        <w:topLinePunct w:val="0"/>
        <w:autoSpaceDE w:val="0"/>
        <w:autoSpaceDN w:val="0"/>
        <w:bidi w:val="0"/>
        <w:adjustRightInd w:val="0"/>
        <w:snapToGrid w:val="0"/>
        <w:spacing w:before="26" w:line="227"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1.4.1 适用于本合同的标准、规范（名称）包括：</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44F0921F">
      <w:pPr>
        <w:pStyle w:val="2"/>
        <w:keepNext w:val="0"/>
        <w:keepLines w:val="0"/>
        <w:pageBreakBefore w:val="0"/>
        <w:widowControl/>
        <w:kinsoku w:val="0"/>
        <w:wordWrap/>
        <w:overflowPunct/>
        <w:topLinePunct w:val="0"/>
        <w:autoSpaceDE w:val="0"/>
        <w:autoSpaceDN w:val="0"/>
        <w:bidi w:val="0"/>
        <w:adjustRightInd w:val="0"/>
        <w:snapToGrid w:val="0"/>
        <w:spacing w:before="25" w:line="239" w:lineRule="auto"/>
        <w:ind w:left="23" w:right="40" w:firstLine="61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1.4.2 发包人提供的国外标准、规范的名称</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u w:val="single" w:color="auto"/>
        </w:rPr>
        <w:t xml:space="preserve">          </w:t>
      </w:r>
      <w:r>
        <w:rPr>
          <w:rFonts w:hint="eastAsia" w:ascii="仿宋" w:hAnsi="仿宋" w:eastAsia="仿宋" w:cs="仿宋"/>
          <w:color w:val="auto"/>
          <w:spacing w:val="-65"/>
          <w:sz w:val="24"/>
          <w:szCs w:val="24"/>
          <w:highlight w:val="none"/>
        </w:rPr>
        <w:t xml:space="preserve"> </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7"/>
          <w:sz w:val="24"/>
          <w:szCs w:val="24"/>
          <w:highlight w:val="none"/>
        </w:rPr>
        <w:t>发包人提供的</w:t>
      </w:r>
      <w:r>
        <w:rPr>
          <w:rFonts w:hint="eastAsia" w:ascii="仿宋" w:hAnsi="仿宋" w:eastAsia="仿宋" w:cs="仿宋"/>
          <w:color w:val="auto"/>
          <w:spacing w:val="6"/>
          <w:sz w:val="24"/>
          <w:szCs w:val="24"/>
          <w:highlight w:val="none"/>
        </w:rPr>
        <w:t>国外标准、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规范的份数</w:t>
      </w:r>
      <w:r>
        <w:rPr>
          <w:rFonts w:hint="eastAsia" w:ascii="仿宋" w:hAnsi="仿宋" w:eastAsia="仿宋" w:cs="仿宋"/>
          <w:color w:val="auto"/>
          <w:spacing w:val="8"/>
          <w:sz w:val="24"/>
          <w:szCs w:val="24"/>
          <w:highlight w:val="none"/>
        </w:rPr>
        <w:t>：</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73"/>
          <w:sz w:val="24"/>
          <w:szCs w:val="24"/>
          <w:highlight w:val="none"/>
        </w:rPr>
        <w:t xml:space="preserve"> </w:t>
      </w:r>
      <w:r>
        <w:rPr>
          <w:rFonts w:hint="eastAsia" w:ascii="仿宋" w:hAnsi="仿宋" w:eastAsia="仿宋" w:cs="仿宋"/>
          <w:color w:val="auto"/>
          <w:spacing w:val="8"/>
          <w:sz w:val="24"/>
          <w:szCs w:val="24"/>
          <w:highlight w:val="none"/>
        </w:rPr>
        <w:t>；</w:t>
      </w:r>
      <w:r>
        <w:rPr>
          <w:rFonts w:hint="eastAsia" w:ascii="仿宋" w:hAnsi="仿宋" w:eastAsia="仿宋" w:cs="仿宋"/>
          <w:color w:val="auto"/>
          <w:spacing w:val="7"/>
          <w:sz w:val="24"/>
          <w:szCs w:val="24"/>
          <w:highlight w:val="none"/>
        </w:rPr>
        <w:t>发包人提供的国外标准、规范的时间：</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38928A8C">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1.4.3 没有成文规范、标准规定的约定：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222A8322">
      <w:pPr>
        <w:pStyle w:val="2"/>
        <w:keepNext w:val="0"/>
        <w:keepLines w:val="0"/>
        <w:pageBreakBefore w:val="0"/>
        <w:widowControl/>
        <w:kinsoku w:val="0"/>
        <w:wordWrap/>
        <w:overflowPunct/>
        <w:topLinePunct w:val="0"/>
        <w:autoSpaceDE w:val="0"/>
        <w:autoSpaceDN w:val="0"/>
        <w:bidi w:val="0"/>
        <w:adjustRightInd w:val="0"/>
        <w:snapToGrid w:val="0"/>
        <w:spacing w:before="23"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1.4.4 发包人对于工程的技术标准、功能要求：</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017BB57C">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1.5 合同文件的优先顺序</w:t>
      </w:r>
    </w:p>
    <w:p w14:paraId="02F1AF61">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合同文件组成及优先顺序为：</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5AC4A4E9">
      <w:pPr>
        <w:pStyle w:val="2"/>
        <w:keepNext w:val="0"/>
        <w:keepLines w:val="0"/>
        <w:pageBreakBefore w:val="0"/>
        <w:widowControl/>
        <w:kinsoku w:val="0"/>
        <w:wordWrap/>
        <w:overflowPunct/>
        <w:topLinePunct w:val="0"/>
        <w:autoSpaceDE w:val="0"/>
        <w:autoSpaceDN w:val="0"/>
        <w:bidi w:val="0"/>
        <w:adjustRightInd w:val="0"/>
        <w:snapToGrid w:val="0"/>
        <w:spacing w:before="27" w:line="227"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1.6 文件的提供和照管</w:t>
      </w:r>
    </w:p>
    <w:p w14:paraId="63790F2B">
      <w:pPr>
        <w:pStyle w:val="2"/>
        <w:keepNext w:val="0"/>
        <w:keepLines w:val="0"/>
        <w:pageBreakBefore w:val="0"/>
        <w:widowControl/>
        <w:kinsoku w:val="0"/>
        <w:wordWrap/>
        <w:overflowPunct/>
        <w:topLinePunct w:val="0"/>
        <w:autoSpaceDE w:val="0"/>
        <w:autoSpaceDN w:val="0"/>
        <w:bidi w:val="0"/>
        <w:adjustRightInd w:val="0"/>
        <w:snapToGrid w:val="0"/>
        <w:spacing w:before="25" w:line="227"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1.6.1 发包人文件的提供</w:t>
      </w:r>
    </w:p>
    <w:p w14:paraId="08E59141">
      <w:pPr>
        <w:pStyle w:val="2"/>
        <w:keepNext w:val="0"/>
        <w:keepLines w:val="0"/>
        <w:pageBreakBefore w:val="0"/>
        <w:widowControl/>
        <w:kinsoku w:val="0"/>
        <w:wordWrap/>
        <w:overflowPunct/>
        <w:topLinePunct w:val="0"/>
        <w:autoSpaceDE w:val="0"/>
        <w:autoSpaceDN w:val="0"/>
        <w:bidi w:val="0"/>
        <w:adjustRightInd w:val="0"/>
        <w:snapToGrid w:val="0"/>
        <w:spacing w:before="28" w:line="227"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发包人文件的提供期限、名称、数量和形式：</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2C9BE4E2">
      <w:pPr>
        <w:pStyle w:val="2"/>
        <w:keepNext w:val="0"/>
        <w:keepLines w:val="0"/>
        <w:pageBreakBefore w:val="0"/>
        <w:widowControl/>
        <w:kinsoku w:val="0"/>
        <w:wordWrap/>
        <w:overflowPunct/>
        <w:topLinePunct w:val="0"/>
        <w:autoSpaceDE w:val="0"/>
        <w:autoSpaceDN w:val="0"/>
        <w:bidi w:val="0"/>
        <w:adjustRightInd w:val="0"/>
        <w:snapToGrid w:val="0"/>
        <w:spacing w:before="25" w:line="227"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1.6.2 承包人文件的提供</w:t>
      </w:r>
    </w:p>
    <w:p w14:paraId="5F3CF57A">
      <w:pPr>
        <w:pStyle w:val="2"/>
        <w:keepNext w:val="0"/>
        <w:keepLines w:val="0"/>
        <w:pageBreakBefore w:val="0"/>
        <w:widowControl/>
        <w:kinsoku w:val="0"/>
        <w:wordWrap/>
        <w:overflowPunct/>
        <w:topLinePunct w:val="0"/>
        <w:autoSpaceDE w:val="0"/>
        <w:autoSpaceDN w:val="0"/>
        <w:bidi w:val="0"/>
        <w:adjustRightInd w:val="0"/>
        <w:snapToGrid w:val="0"/>
        <w:spacing w:before="26" w:line="227"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承包人文件的内容、提供期限、名称、数量和形式：</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02335DCD">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1.6.4 文件的照管</w:t>
      </w:r>
    </w:p>
    <w:p w14:paraId="4E010449">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关于现场文件准备的约定：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665F9784">
      <w:pPr>
        <w:pStyle w:val="2"/>
        <w:keepNext w:val="0"/>
        <w:keepLines w:val="0"/>
        <w:pageBreakBefore w:val="0"/>
        <w:widowControl/>
        <w:kinsoku w:val="0"/>
        <w:wordWrap/>
        <w:overflowPunct/>
        <w:topLinePunct w:val="0"/>
        <w:autoSpaceDE w:val="0"/>
        <w:autoSpaceDN w:val="0"/>
        <w:bidi w:val="0"/>
        <w:adjustRightInd w:val="0"/>
        <w:snapToGrid w:val="0"/>
        <w:spacing w:before="24" w:line="230"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z w:val="24"/>
          <w:szCs w:val="24"/>
          <w:highlight w:val="none"/>
        </w:rPr>
        <w:t>联络</w:t>
      </w:r>
    </w:p>
    <w:p w14:paraId="2EBFC251">
      <w:pPr>
        <w:pStyle w:val="2"/>
        <w:keepNext w:val="0"/>
        <w:keepLines w:val="0"/>
        <w:pageBreakBefore w:val="0"/>
        <w:widowControl/>
        <w:kinsoku w:val="0"/>
        <w:wordWrap/>
        <w:overflowPunct/>
        <w:topLinePunct w:val="0"/>
        <w:autoSpaceDE w:val="0"/>
        <w:autoSpaceDN w:val="0"/>
        <w:bidi w:val="0"/>
        <w:adjustRightInd w:val="0"/>
        <w:snapToGrid w:val="0"/>
        <w:spacing w:before="24" w:line="227" w:lineRule="auto"/>
        <w:jc w:val="right"/>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1.7.2 发包人指定的送达方式（包括电子传输方式</w:t>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3179A8F8">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发包人的送达地址：</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2F3620DD">
      <w:pPr>
        <w:pStyle w:val="2"/>
        <w:keepNext w:val="0"/>
        <w:keepLines w:val="0"/>
        <w:pageBreakBefore w:val="0"/>
        <w:widowControl/>
        <w:kinsoku w:val="0"/>
        <w:wordWrap/>
        <w:overflowPunct/>
        <w:topLinePunct w:val="0"/>
        <w:autoSpaceDE w:val="0"/>
        <w:autoSpaceDN w:val="0"/>
        <w:bidi w:val="0"/>
        <w:adjustRightInd w:val="0"/>
        <w:snapToGrid w:val="0"/>
        <w:spacing w:before="26" w:line="227"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承包人指定的送达方式（包括电子传输方式</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9"/>
          <w:sz w:val="24"/>
          <w:szCs w:val="24"/>
          <w:highlight w:val="none"/>
        </w:rPr>
        <w:t>。</w:t>
      </w:r>
    </w:p>
    <w:p w14:paraId="4924F781">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承包人的送达地址：</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403ADA13">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1.10</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2"/>
          <w:sz w:val="24"/>
          <w:szCs w:val="24"/>
          <w:highlight w:val="none"/>
        </w:rPr>
        <w:t>知识产权</w:t>
      </w:r>
    </w:p>
    <w:p w14:paraId="2901CA1E">
      <w:pPr>
        <w:pStyle w:val="2"/>
        <w:keepNext w:val="0"/>
        <w:keepLines w:val="0"/>
        <w:pageBreakBefore w:val="0"/>
        <w:widowControl/>
        <w:kinsoku w:val="0"/>
        <w:wordWrap/>
        <w:overflowPunct/>
        <w:topLinePunct w:val="0"/>
        <w:autoSpaceDE w:val="0"/>
        <w:autoSpaceDN w:val="0"/>
        <w:bidi w:val="0"/>
        <w:adjustRightInd w:val="0"/>
        <w:snapToGrid w:val="0"/>
        <w:spacing w:before="26"/>
        <w:ind w:left="23" w:right="68" w:firstLine="61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1.10.1</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9"/>
          <w:sz w:val="24"/>
          <w:szCs w:val="24"/>
          <w:highlight w:val="none"/>
        </w:rPr>
        <w:t>由发包人（或以发包人名义）编制的《发包人要求》</w:t>
      </w:r>
      <w:r>
        <w:rPr>
          <w:rFonts w:hint="eastAsia" w:ascii="仿宋" w:hAnsi="仿宋" w:eastAsia="仿宋" w:cs="仿宋"/>
          <w:color w:val="auto"/>
          <w:spacing w:val="8"/>
          <w:sz w:val="24"/>
          <w:szCs w:val="24"/>
          <w:highlight w:val="none"/>
        </w:rPr>
        <w:t>和其他文件的著作权归</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属：</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3"/>
          <w:sz w:val="24"/>
          <w:szCs w:val="24"/>
          <w:highlight w:val="none"/>
        </w:rPr>
        <w:t>。</w:t>
      </w:r>
    </w:p>
    <w:p w14:paraId="321D2B16">
      <w:pPr>
        <w:pStyle w:val="2"/>
        <w:keepNext w:val="0"/>
        <w:keepLines w:val="0"/>
        <w:pageBreakBefore w:val="0"/>
        <w:widowControl/>
        <w:kinsoku w:val="0"/>
        <w:wordWrap/>
        <w:overflowPunct/>
        <w:topLinePunct w:val="0"/>
        <w:autoSpaceDE w:val="0"/>
        <w:autoSpaceDN w:val="0"/>
        <w:bidi w:val="0"/>
        <w:adjustRightInd w:val="0"/>
        <w:snapToGrid w:val="0"/>
        <w:spacing w:before="24" w:line="246" w:lineRule="auto"/>
        <w:ind w:left="21" w:right="68" w:firstLine="6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1.10.2</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9"/>
          <w:sz w:val="24"/>
          <w:szCs w:val="24"/>
          <w:highlight w:val="none"/>
        </w:rPr>
        <w:t>由承包人（或以承包人名义）为实施工程所编制的文</w:t>
      </w:r>
      <w:r>
        <w:rPr>
          <w:rFonts w:hint="eastAsia" w:ascii="仿宋" w:hAnsi="仿宋" w:eastAsia="仿宋" w:cs="仿宋"/>
          <w:color w:val="auto"/>
          <w:spacing w:val="8"/>
          <w:sz w:val="24"/>
          <w:szCs w:val="24"/>
          <w:highlight w:val="none"/>
        </w:rPr>
        <w:t>件、承包人完成的设计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工  作  成  果  和  建</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1"/>
          <w:sz w:val="24"/>
          <w:szCs w:val="24"/>
          <w:highlight w:val="none"/>
        </w:rPr>
        <w:t>造</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1"/>
          <w:sz w:val="24"/>
          <w:szCs w:val="24"/>
          <w:highlight w:val="none"/>
        </w:rPr>
        <w:t>完</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1"/>
          <w:sz w:val="24"/>
          <w:szCs w:val="24"/>
          <w:highlight w:val="none"/>
        </w:rPr>
        <w:t>成</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1"/>
          <w:sz w:val="24"/>
          <w:szCs w:val="24"/>
          <w:highlight w:val="none"/>
        </w:rPr>
        <w:t>的</w:t>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1"/>
          <w:sz w:val="24"/>
          <w:szCs w:val="24"/>
          <w:highlight w:val="none"/>
        </w:rPr>
        <w:t>建</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1"/>
          <w:sz w:val="24"/>
          <w:szCs w:val="24"/>
          <w:highlight w:val="none"/>
        </w:rPr>
        <w:t>筑</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1"/>
          <w:sz w:val="24"/>
          <w:szCs w:val="24"/>
          <w:highlight w:val="none"/>
        </w:rPr>
        <w:t>物</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1"/>
          <w:sz w:val="24"/>
          <w:szCs w:val="24"/>
          <w:highlight w:val="none"/>
        </w:rPr>
        <w:t>的</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2"/>
          <w:sz w:val="24"/>
          <w:szCs w:val="24"/>
          <w:highlight w:val="none"/>
        </w:rPr>
        <w:t>知</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2"/>
          <w:sz w:val="24"/>
          <w:szCs w:val="24"/>
          <w:highlight w:val="none"/>
        </w:rPr>
        <w:t>识</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2"/>
          <w:sz w:val="24"/>
          <w:szCs w:val="24"/>
          <w:highlight w:val="none"/>
        </w:rPr>
        <w:t>产</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2"/>
          <w:sz w:val="24"/>
          <w:szCs w:val="24"/>
          <w:highlight w:val="none"/>
        </w:rPr>
        <w:t>权</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2"/>
          <w:sz w:val="24"/>
          <w:szCs w:val="24"/>
          <w:highlight w:val="none"/>
        </w:rPr>
        <w:t>归</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2"/>
          <w:sz w:val="24"/>
          <w:szCs w:val="24"/>
          <w:highlight w:val="none"/>
        </w:rPr>
        <w:t>属</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2"/>
          <w:sz w:val="24"/>
          <w:szCs w:val="24"/>
          <w:highlight w:val="none"/>
        </w:rPr>
        <w:t>：</w:t>
      </w:r>
      <w:r>
        <w:rPr>
          <w:rFonts w:hint="eastAsia" w:ascii="仿宋" w:hAnsi="仿宋" w:eastAsia="仿宋" w:cs="仿宋"/>
          <w:color w:val="auto"/>
          <w:position w:val="-2"/>
          <w:sz w:val="24"/>
          <w:szCs w:val="24"/>
          <w:highlight w:val="none"/>
        </w:rPr>
        <w:drawing>
          <wp:inline distT="0" distB="0" distL="0" distR="0">
            <wp:extent cx="635" cy="5715"/>
            <wp:effectExtent l="0" t="0" r="0" b="0"/>
            <wp:docPr id="17" name="IM 40"/>
            <wp:cNvGraphicFramePr/>
            <a:graphic xmlns:a="http://schemas.openxmlformats.org/drawingml/2006/main">
              <a:graphicData uri="http://schemas.openxmlformats.org/drawingml/2006/picture">
                <pic:pic xmlns:pic="http://schemas.openxmlformats.org/drawingml/2006/picture">
                  <pic:nvPicPr>
                    <pic:cNvPr id="17" name="IM 40"/>
                    <pic:cNvPicPr/>
                  </pic:nvPicPr>
                  <pic:blipFill>
                    <a:blip r:embed="rId57"/>
                    <a:stretch>
                      <a:fillRect/>
                    </a:stretch>
                  </pic:blipFill>
                  <pic:spPr>
                    <a:xfrm>
                      <a:off x="0" y="0"/>
                      <a:ext cx="1269" cy="6095"/>
                    </a:xfrm>
                    <a:prstGeom prst="rect">
                      <a:avLst/>
                    </a:prstGeom>
                  </pic:spPr>
                </pic:pic>
              </a:graphicData>
            </a:graphic>
          </wp:inline>
        </w:drawing>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4"/>
          <w:sz w:val="24"/>
          <w:szCs w:val="24"/>
          <w:highlight w:val="none"/>
        </w:rPr>
        <w:t>在 投 标 文 件 中 采 用 的 专 利 、 专</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4"/>
          <w:sz w:val="24"/>
          <w:szCs w:val="24"/>
          <w:highlight w:val="none"/>
        </w:rPr>
        <w:t>有</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4"/>
          <w:sz w:val="24"/>
          <w:szCs w:val="24"/>
          <w:highlight w:val="none"/>
        </w:rPr>
        <w:t>技</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4"/>
          <w:sz w:val="24"/>
          <w:szCs w:val="24"/>
          <w:highlight w:val="none"/>
        </w:rPr>
        <w:t>术 、</w:t>
      </w:r>
      <w:r>
        <w:rPr>
          <w:rFonts w:hint="eastAsia" w:ascii="仿宋" w:hAnsi="仿宋" w:eastAsia="仿宋" w:cs="仿宋"/>
          <w:color w:val="auto"/>
          <w:spacing w:val="-5"/>
          <w:sz w:val="24"/>
          <w:szCs w:val="24"/>
          <w:highlight w:val="none"/>
        </w:rPr>
        <w:t xml:space="preserve"> 技 术</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5"/>
          <w:sz w:val="24"/>
          <w:szCs w:val="24"/>
          <w:highlight w:val="none"/>
        </w:rPr>
        <w:t>秘</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5"/>
          <w:sz w:val="24"/>
          <w:szCs w:val="24"/>
          <w:highlight w:val="none"/>
        </w:rPr>
        <w:t>密 的</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5"/>
          <w:sz w:val="24"/>
          <w:szCs w:val="24"/>
          <w:highlight w:val="none"/>
        </w:rPr>
        <w:t>使 用 费 的 承</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5"/>
          <w:sz w:val="24"/>
          <w:szCs w:val="24"/>
          <w:highlight w:val="none"/>
        </w:rPr>
        <w:t>担</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5"/>
          <w:sz w:val="24"/>
          <w:szCs w:val="24"/>
          <w:highlight w:val="none"/>
        </w:rPr>
        <w:t>方</w:t>
      </w:r>
      <w:r>
        <w:rPr>
          <w:rFonts w:hint="eastAsia" w:ascii="仿宋" w:hAnsi="仿宋" w:eastAsia="仿宋" w:cs="仿宋"/>
          <w:color w:val="auto"/>
          <w:sz w:val="24"/>
          <w:szCs w:val="24"/>
          <w:highlight w:val="none"/>
        </w:rPr>
        <w:t xml:space="preserve"> 式</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z w:val="24"/>
          <w:szCs w:val="24"/>
          <w:highlight w:val="none"/>
        </w:rPr>
        <w:t>。</w:t>
      </w:r>
    </w:p>
    <w:p w14:paraId="1E73541D">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1.11</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1"/>
          <w:sz w:val="24"/>
          <w:szCs w:val="24"/>
          <w:highlight w:val="none"/>
        </w:rPr>
        <w:t>保密</w:t>
      </w:r>
    </w:p>
    <w:p w14:paraId="7179DAAD">
      <w:pPr>
        <w:pStyle w:val="2"/>
        <w:keepNext w:val="0"/>
        <w:keepLines w:val="0"/>
        <w:pageBreakBefore w:val="0"/>
        <w:widowControl/>
        <w:kinsoku w:val="0"/>
        <w:wordWrap/>
        <w:overflowPunct/>
        <w:topLinePunct w:val="0"/>
        <w:autoSpaceDE w:val="0"/>
        <w:autoSpaceDN w:val="0"/>
        <w:bidi w:val="0"/>
        <w:adjustRightInd w:val="0"/>
        <w:snapToGrid w:val="0"/>
        <w:spacing w:before="24" w:line="227"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双方订立的商业保密协议（名称</w:t>
      </w:r>
      <w:r>
        <w:rPr>
          <w:rFonts w:hint="eastAsia" w:ascii="仿宋" w:hAnsi="仿宋" w:eastAsia="仿宋" w:cs="仿宋"/>
          <w:color w:val="auto"/>
          <w:spacing w:val="9"/>
          <w:sz w:val="24"/>
          <w:szCs w:val="24"/>
          <w:highlight w:val="none"/>
        </w:rPr>
        <w:t>）：</w:t>
      </w:r>
      <w:r>
        <w:rPr>
          <w:rFonts w:hint="eastAsia" w:ascii="仿宋" w:hAnsi="仿宋" w:eastAsia="仿宋" w:cs="仿宋"/>
          <w:color w:val="auto"/>
          <w:spacing w:val="4"/>
          <w:sz w:val="24"/>
          <w:szCs w:val="24"/>
          <w:highlight w:val="none"/>
          <w:u w:val="single" w:color="auto"/>
        </w:rPr>
        <w:t xml:space="preserve">              </w:t>
      </w:r>
      <w:r>
        <w:rPr>
          <w:rFonts w:hint="eastAsia" w:ascii="仿宋" w:hAnsi="仿宋" w:eastAsia="仿宋" w:cs="仿宋"/>
          <w:color w:val="auto"/>
          <w:spacing w:val="-62"/>
          <w:sz w:val="24"/>
          <w:szCs w:val="24"/>
          <w:highlight w:val="none"/>
        </w:rPr>
        <w:t xml:space="preserve"> </w:t>
      </w:r>
      <w:r>
        <w:rPr>
          <w:rFonts w:hint="eastAsia" w:ascii="仿宋" w:hAnsi="仿宋" w:eastAsia="仿宋" w:cs="仿宋"/>
          <w:color w:val="auto"/>
          <w:spacing w:val="9"/>
          <w:sz w:val="24"/>
          <w:szCs w:val="24"/>
          <w:highlight w:val="none"/>
        </w:rPr>
        <w:t>，</w:t>
      </w:r>
      <w:r>
        <w:rPr>
          <w:rFonts w:hint="eastAsia" w:ascii="仿宋" w:hAnsi="仿宋" w:eastAsia="仿宋" w:cs="仿宋"/>
          <w:color w:val="auto"/>
          <w:spacing w:val="8"/>
          <w:sz w:val="24"/>
          <w:szCs w:val="24"/>
          <w:highlight w:val="none"/>
        </w:rPr>
        <w:t>作为本合同附件。</w:t>
      </w:r>
    </w:p>
    <w:p w14:paraId="62875F65">
      <w:pPr>
        <w:pStyle w:val="2"/>
        <w:keepNext w:val="0"/>
        <w:keepLines w:val="0"/>
        <w:pageBreakBefore w:val="0"/>
        <w:widowControl/>
        <w:kinsoku w:val="0"/>
        <w:wordWrap/>
        <w:overflowPunct/>
        <w:topLinePunct w:val="0"/>
        <w:autoSpaceDE w:val="0"/>
        <w:autoSpaceDN w:val="0"/>
        <w:bidi w:val="0"/>
        <w:adjustRightInd w:val="0"/>
        <w:snapToGrid w:val="0"/>
        <w:spacing w:before="28" w:line="227"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双方订立的技术保密协议（名称</w:t>
      </w:r>
      <w:r>
        <w:rPr>
          <w:rFonts w:hint="eastAsia" w:ascii="仿宋" w:hAnsi="仿宋" w:eastAsia="仿宋" w:cs="仿宋"/>
          <w:color w:val="auto"/>
          <w:spacing w:val="9"/>
          <w:sz w:val="24"/>
          <w:szCs w:val="24"/>
          <w:highlight w:val="none"/>
        </w:rPr>
        <w:t>）：</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74"/>
          <w:sz w:val="24"/>
          <w:szCs w:val="24"/>
          <w:highlight w:val="none"/>
        </w:rPr>
        <w:t xml:space="preserve"> </w:t>
      </w:r>
      <w:r>
        <w:rPr>
          <w:rFonts w:hint="eastAsia" w:ascii="仿宋" w:hAnsi="仿宋" w:eastAsia="仿宋" w:cs="仿宋"/>
          <w:color w:val="auto"/>
          <w:spacing w:val="9"/>
          <w:sz w:val="24"/>
          <w:szCs w:val="24"/>
          <w:highlight w:val="none"/>
        </w:rPr>
        <w:t>，</w:t>
      </w:r>
      <w:r>
        <w:rPr>
          <w:rFonts w:hint="eastAsia" w:ascii="仿宋" w:hAnsi="仿宋" w:eastAsia="仿宋" w:cs="仿宋"/>
          <w:color w:val="auto"/>
          <w:spacing w:val="8"/>
          <w:sz w:val="24"/>
          <w:szCs w:val="24"/>
          <w:highlight w:val="none"/>
        </w:rPr>
        <w:t>作为本合同附件。</w:t>
      </w:r>
    </w:p>
    <w:p w14:paraId="62B52BBF">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1.13</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2"/>
          <w:sz w:val="24"/>
          <w:szCs w:val="24"/>
          <w:highlight w:val="none"/>
        </w:rPr>
        <w:t>责任限制</w:t>
      </w:r>
    </w:p>
    <w:p w14:paraId="4FE105F6">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承包人对发包人赔偿责任的最高限额为</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29B99C59">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1.14 建筑信息模型技术的应用</w:t>
      </w:r>
    </w:p>
    <w:p w14:paraId="0B82956D">
      <w:pPr>
        <w:pStyle w:val="2"/>
        <w:keepNext w:val="0"/>
        <w:keepLines w:val="0"/>
        <w:pageBreakBefore w:val="0"/>
        <w:widowControl/>
        <w:kinsoku w:val="0"/>
        <w:wordWrap/>
        <w:overflowPunct/>
        <w:topLinePunct w:val="0"/>
        <w:autoSpaceDE w:val="0"/>
        <w:autoSpaceDN w:val="0"/>
        <w:bidi w:val="0"/>
        <w:adjustRightInd w:val="0"/>
        <w:snapToGrid w:val="0"/>
        <w:spacing w:before="26"/>
        <w:ind w:left="28" w:right="70" w:firstLine="59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3"/>
          <w:sz w:val="24"/>
          <w:szCs w:val="24"/>
          <w:highlight w:val="none"/>
        </w:rPr>
        <w:t>关于建筑信息模型技术的开发</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33"/>
          <w:sz w:val="24"/>
          <w:szCs w:val="24"/>
          <w:highlight w:val="none"/>
        </w:rPr>
        <w:t>、</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33"/>
          <w:sz w:val="24"/>
          <w:szCs w:val="24"/>
          <w:highlight w:val="none"/>
        </w:rPr>
        <w:t>使用</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33"/>
          <w:sz w:val="24"/>
          <w:szCs w:val="24"/>
          <w:highlight w:val="none"/>
        </w:rPr>
        <w:t>、</w:t>
      </w:r>
      <w:r>
        <w:rPr>
          <w:rFonts w:hint="eastAsia" w:ascii="仿宋" w:hAnsi="仿宋" w:eastAsia="仿宋" w:cs="仿宋"/>
          <w:color w:val="auto"/>
          <w:spacing w:val="-46"/>
          <w:sz w:val="24"/>
          <w:szCs w:val="24"/>
          <w:highlight w:val="none"/>
        </w:rPr>
        <w:t xml:space="preserve"> </w:t>
      </w:r>
      <w:r>
        <w:rPr>
          <w:rFonts w:hint="eastAsia" w:ascii="仿宋" w:hAnsi="仿宋" w:eastAsia="仿宋" w:cs="仿宋"/>
          <w:color w:val="auto"/>
          <w:spacing w:val="33"/>
          <w:sz w:val="24"/>
          <w:szCs w:val="24"/>
          <w:highlight w:val="none"/>
        </w:rPr>
        <w:t>存储</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33"/>
          <w:sz w:val="24"/>
          <w:szCs w:val="24"/>
          <w:highlight w:val="none"/>
        </w:rPr>
        <w:t>、</w:t>
      </w:r>
      <w:r>
        <w:rPr>
          <w:rFonts w:hint="eastAsia" w:ascii="仿宋" w:hAnsi="仿宋" w:eastAsia="仿宋" w:cs="仿宋"/>
          <w:color w:val="auto"/>
          <w:spacing w:val="-47"/>
          <w:sz w:val="24"/>
          <w:szCs w:val="24"/>
          <w:highlight w:val="none"/>
        </w:rPr>
        <w:t xml:space="preserve"> </w:t>
      </w:r>
      <w:r>
        <w:rPr>
          <w:rFonts w:hint="eastAsia" w:ascii="仿宋" w:hAnsi="仿宋" w:eastAsia="仿宋" w:cs="仿宋"/>
          <w:color w:val="auto"/>
          <w:spacing w:val="32"/>
          <w:sz w:val="24"/>
          <w:szCs w:val="24"/>
          <w:highlight w:val="none"/>
        </w:rPr>
        <w:t>传输</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32"/>
          <w:sz w:val="24"/>
          <w:szCs w:val="24"/>
          <w:highlight w:val="none"/>
        </w:rPr>
        <w:t>、</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32"/>
          <w:sz w:val="24"/>
          <w:szCs w:val="24"/>
          <w:highlight w:val="none"/>
        </w:rPr>
        <w:t>交付及费用约定如</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下：</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
          <w:sz w:val="24"/>
          <w:szCs w:val="24"/>
          <w:highlight w:val="none"/>
        </w:rPr>
        <w:t>。</w:t>
      </w:r>
    </w:p>
    <w:p w14:paraId="0B872A87">
      <w:pPr>
        <w:pStyle w:val="2"/>
        <w:keepNext w:val="0"/>
        <w:keepLines w:val="0"/>
        <w:pageBreakBefore w:val="0"/>
        <w:widowControl/>
        <w:kinsoku w:val="0"/>
        <w:wordWrap/>
        <w:overflowPunct/>
        <w:topLinePunct w:val="0"/>
        <w:autoSpaceDE w:val="0"/>
        <w:autoSpaceDN w:val="0"/>
        <w:bidi w:val="0"/>
        <w:adjustRightInd w:val="0"/>
        <w:snapToGrid w:val="0"/>
        <w:spacing w:before="143" w:line="228" w:lineRule="auto"/>
        <w:ind w:left="349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第</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1"/>
          <w:sz w:val="24"/>
          <w:szCs w:val="24"/>
          <w:highlight w:val="none"/>
        </w:rPr>
        <w:t>2</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1"/>
          <w:sz w:val="24"/>
          <w:szCs w:val="24"/>
          <w:highlight w:val="none"/>
        </w:rPr>
        <w:t>条</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1"/>
          <w:sz w:val="24"/>
          <w:szCs w:val="24"/>
          <w:highlight w:val="none"/>
        </w:rPr>
        <w:t>发包人</w:t>
      </w:r>
    </w:p>
    <w:p w14:paraId="5AD7F9E0">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仿宋" w:hAnsi="仿宋" w:eastAsia="仿宋" w:cs="仿宋"/>
          <w:color w:val="auto"/>
          <w:sz w:val="24"/>
          <w:szCs w:val="24"/>
          <w:highlight w:val="none"/>
        </w:rPr>
        <w:sectPr>
          <w:footerReference r:id="rId43" w:type="default"/>
          <w:pgSz w:w="11906" w:h="16839"/>
          <w:pgMar w:top="1428" w:right="1731" w:bottom="1171" w:left="1785" w:header="0" w:footer="992" w:gutter="0"/>
          <w:pgNumType w:fmt="decimal"/>
          <w:cols w:space="720" w:num="1"/>
        </w:sectPr>
      </w:pPr>
    </w:p>
    <w:p w14:paraId="21F9F44F">
      <w:pPr>
        <w:pStyle w:val="2"/>
        <w:keepNext w:val="0"/>
        <w:keepLines w:val="0"/>
        <w:pageBreakBefore w:val="0"/>
        <w:widowControl/>
        <w:kinsoku w:val="0"/>
        <w:wordWrap/>
        <w:overflowPunct/>
        <w:topLinePunct w:val="0"/>
        <w:autoSpaceDE w:val="0"/>
        <w:autoSpaceDN w:val="0"/>
        <w:bidi w:val="0"/>
        <w:adjustRightInd w:val="0"/>
        <w:snapToGrid w:val="0"/>
        <w:spacing w:before="41" w:line="227"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2.2 提供施工现场和工作条件</w:t>
      </w:r>
    </w:p>
    <w:p w14:paraId="6E6F1E62">
      <w:pPr>
        <w:pStyle w:val="2"/>
        <w:keepNext w:val="0"/>
        <w:keepLines w:val="0"/>
        <w:pageBreakBefore w:val="0"/>
        <w:widowControl/>
        <w:kinsoku w:val="0"/>
        <w:wordWrap/>
        <w:overflowPunct/>
        <w:topLinePunct w:val="0"/>
        <w:autoSpaceDE w:val="0"/>
        <w:autoSpaceDN w:val="0"/>
        <w:bidi w:val="0"/>
        <w:adjustRightInd w:val="0"/>
        <w:snapToGrid w:val="0"/>
        <w:spacing w:before="27" w:line="227"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2.2.1 提供施工现场</w:t>
      </w:r>
    </w:p>
    <w:p w14:paraId="66B0DF22">
      <w:pPr>
        <w:pStyle w:val="2"/>
        <w:keepNext w:val="0"/>
        <w:keepLines w:val="0"/>
        <w:pageBreakBefore w:val="0"/>
        <w:widowControl/>
        <w:kinsoku w:val="0"/>
        <w:wordWrap/>
        <w:overflowPunct/>
        <w:topLinePunct w:val="0"/>
        <w:autoSpaceDE w:val="0"/>
        <w:autoSpaceDN w:val="0"/>
        <w:bidi w:val="0"/>
        <w:adjustRightInd w:val="0"/>
        <w:snapToGrid w:val="0"/>
        <w:spacing w:before="25" w:line="227"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关于发包人提供施工现场的范围和期限：</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63E43CD7">
      <w:pPr>
        <w:pStyle w:val="2"/>
        <w:keepNext w:val="0"/>
        <w:keepLines w:val="0"/>
        <w:pageBreakBefore w:val="0"/>
        <w:widowControl/>
        <w:kinsoku w:val="0"/>
        <w:wordWrap/>
        <w:overflowPunct/>
        <w:topLinePunct w:val="0"/>
        <w:autoSpaceDE w:val="0"/>
        <w:autoSpaceDN w:val="0"/>
        <w:bidi w:val="0"/>
        <w:adjustRightInd w:val="0"/>
        <w:snapToGrid w:val="0"/>
        <w:spacing w:before="27" w:line="227"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2.2.2 提供工作条件</w:t>
      </w:r>
    </w:p>
    <w:p w14:paraId="5320C54A">
      <w:pPr>
        <w:pStyle w:val="2"/>
        <w:keepNext w:val="0"/>
        <w:keepLines w:val="0"/>
        <w:pageBreakBefore w:val="0"/>
        <w:widowControl/>
        <w:kinsoku w:val="0"/>
        <w:wordWrap/>
        <w:overflowPunct/>
        <w:topLinePunct w:val="0"/>
        <w:autoSpaceDE w:val="0"/>
        <w:autoSpaceDN w:val="0"/>
        <w:bidi w:val="0"/>
        <w:adjustRightInd w:val="0"/>
        <w:snapToGrid w:val="0"/>
        <w:spacing w:before="25" w:line="227"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关于发包人应负责提供的工作条件包括：</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52E1535B">
      <w:pPr>
        <w:pStyle w:val="2"/>
        <w:keepNext w:val="0"/>
        <w:keepLines w:val="0"/>
        <w:pageBreakBefore w:val="0"/>
        <w:widowControl/>
        <w:kinsoku w:val="0"/>
        <w:wordWrap/>
        <w:overflowPunct/>
        <w:topLinePunct w:val="0"/>
        <w:autoSpaceDE w:val="0"/>
        <w:autoSpaceDN w:val="0"/>
        <w:bidi w:val="0"/>
        <w:adjustRightInd w:val="0"/>
        <w:snapToGrid w:val="0"/>
        <w:spacing w:before="28" w:line="227"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2.3 提供基础资料</w:t>
      </w:r>
    </w:p>
    <w:p w14:paraId="5E7340EB">
      <w:pPr>
        <w:pStyle w:val="2"/>
        <w:keepNext w:val="0"/>
        <w:keepLines w:val="0"/>
        <w:pageBreakBefore w:val="0"/>
        <w:widowControl/>
        <w:kinsoku w:val="0"/>
        <w:wordWrap/>
        <w:overflowPunct/>
        <w:topLinePunct w:val="0"/>
        <w:autoSpaceDE w:val="0"/>
        <w:autoSpaceDN w:val="0"/>
        <w:bidi w:val="0"/>
        <w:adjustRightInd w:val="0"/>
        <w:snapToGrid w:val="0"/>
        <w:spacing w:before="25" w:line="227"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关于发包人应提供的基础资料的范围和期限：</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6F33EC06">
      <w:pPr>
        <w:pStyle w:val="2"/>
        <w:keepNext w:val="0"/>
        <w:keepLines w:val="0"/>
        <w:pageBreakBefore w:val="0"/>
        <w:widowControl/>
        <w:kinsoku w:val="0"/>
        <w:wordWrap/>
        <w:overflowPunct/>
        <w:topLinePunct w:val="0"/>
        <w:autoSpaceDE w:val="0"/>
        <w:autoSpaceDN w:val="0"/>
        <w:bidi w:val="0"/>
        <w:adjustRightInd w:val="0"/>
        <w:snapToGrid w:val="0"/>
        <w:spacing w:before="28" w:line="226"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2.5 支付合同价款</w:t>
      </w:r>
    </w:p>
    <w:p w14:paraId="46C22EAD">
      <w:pPr>
        <w:pStyle w:val="2"/>
        <w:keepNext w:val="0"/>
        <w:keepLines w:val="0"/>
        <w:pageBreakBefore w:val="0"/>
        <w:widowControl/>
        <w:kinsoku w:val="0"/>
        <w:wordWrap/>
        <w:overflowPunct/>
        <w:topLinePunct w:val="0"/>
        <w:autoSpaceDE w:val="0"/>
        <w:autoSpaceDN w:val="0"/>
        <w:bidi w:val="0"/>
        <w:adjustRightInd w:val="0"/>
        <w:snapToGrid w:val="0"/>
        <w:spacing w:before="26" w:line="227"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2.5.2 发包人提供资金来源证明及资金安排的期限要求：</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332B35EE">
      <w:pPr>
        <w:pStyle w:val="2"/>
        <w:keepNext w:val="0"/>
        <w:keepLines w:val="0"/>
        <w:pageBreakBefore w:val="0"/>
        <w:widowControl/>
        <w:kinsoku w:val="0"/>
        <w:wordWrap/>
        <w:overflowPunct/>
        <w:topLinePunct w:val="0"/>
        <w:autoSpaceDE w:val="0"/>
        <w:autoSpaceDN w:val="0"/>
        <w:bidi w:val="0"/>
        <w:adjustRightInd w:val="0"/>
        <w:snapToGrid w:val="0"/>
        <w:spacing w:before="28" w:line="227" w:lineRule="auto"/>
        <w:jc w:val="right"/>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2.5.3 发包人提供支付担保的形式、期限、金额（或比例</w:t>
      </w:r>
      <w:r>
        <w:rPr>
          <w:rFonts w:hint="eastAsia" w:ascii="仿宋" w:hAnsi="仿宋" w:eastAsia="仿宋" w:cs="仿宋"/>
          <w:color w:val="auto"/>
          <w:spacing w:val="-52"/>
          <w:w w:val="97"/>
          <w:sz w:val="24"/>
          <w:szCs w:val="24"/>
          <w:highlight w:val="none"/>
        </w:rPr>
        <w:t>）：</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
          <w:sz w:val="24"/>
          <w:szCs w:val="24"/>
          <w:highlight w:val="none"/>
        </w:rPr>
        <w:t>。</w:t>
      </w:r>
    </w:p>
    <w:p w14:paraId="539C695A">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2.7 其他义务</w:t>
      </w:r>
    </w:p>
    <w:p w14:paraId="0ABB3A69">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发包人应履行的其他义务：</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2BCA445B">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317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第</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5"/>
          <w:sz w:val="24"/>
          <w:szCs w:val="24"/>
          <w:highlight w:val="none"/>
        </w:rPr>
        <w:t>3</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5"/>
          <w:sz w:val="24"/>
          <w:szCs w:val="24"/>
          <w:highlight w:val="none"/>
        </w:rPr>
        <w:t>条 发包人的管理</w:t>
      </w:r>
    </w:p>
    <w:p w14:paraId="3B7A08B2">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6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3.1</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5"/>
          <w:sz w:val="24"/>
          <w:szCs w:val="24"/>
          <w:highlight w:val="none"/>
        </w:rPr>
        <w:t>发包人代表</w:t>
      </w:r>
    </w:p>
    <w:p w14:paraId="3F431E67">
      <w:pPr>
        <w:pStyle w:val="2"/>
        <w:keepNext w:val="0"/>
        <w:keepLines w:val="0"/>
        <w:pageBreakBefore w:val="0"/>
        <w:widowControl/>
        <w:kinsoku w:val="0"/>
        <w:wordWrap/>
        <w:overflowPunct/>
        <w:topLinePunct w:val="0"/>
        <w:autoSpaceDE w:val="0"/>
        <w:autoSpaceDN w:val="0"/>
        <w:bidi w:val="0"/>
        <w:adjustRightInd w:val="0"/>
        <w:snapToGrid w:val="0"/>
        <w:spacing w:before="26" w:line="253"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发包人代表的姓名</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03AC2F6D">
      <w:pPr>
        <w:pStyle w:val="2"/>
        <w:keepNext w:val="0"/>
        <w:keepLines w:val="0"/>
        <w:pageBreakBefore w:val="0"/>
        <w:widowControl/>
        <w:kinsoku w:val="0"/>
        <w:wordWrap/>
        <w:overflowPunct/>
        <w:topLinePunct w:val="0"/>
        <w:autoSpaceDE w:val="0"/>
        <w:autoSpaceDN w:val="0"/>
        <w:bidi w:val="0"/>
        <w:adjustRightInd w:val="0"/>
        <w:snapToGrid w:val="0"/>
        <w:spacing w:before="1" w:line="227"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发包人代表的身份证号</w:t>
      </w:r>
      <w:r>
        <w:rPr>
          <w:rFonts w:hint="eastAsia" w:ascii="仿宋" w:hAnsi="仿宋" w:eastAsia="仿宋" w:cs="仿宋"/>
          <w:color w:val="auto"/>
          <w:spacing w:val="7"/>
          <w:sz w:val="24"/>
          <w:szCs w:val="24"/>
          <w:highlight w:val="none"/>
        </w:rPr>
        <w:t>：</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6465E083">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发包人代表的职务</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73A330EB">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发包人代表的联系电话</w:t>
      </w:r>
      <w:r>
        <w:rPr>
          <w:rFonts w:hint="eastAsia" w:ascii="仿宋" w:hAnsi="仿宋" w:eastAsia="仿宋" w:cs="仿宋"/>
          <w:color w:val="auto"/>
          <w:spacing w:val="7"/>
          <w:sz w:val="24"/>
          <w:szCs w:val="24"/>
          <w:highlight w:val="none"/>
        </w:rPr>
        <w:t>：</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7D89C801">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发包人代表的电子邮箱</w:t>
      </w:r>
      <w:r>
        <w:rPr>
          <w:rFonts w:hint="eastAsia" w:ascii="仿宋" w:hAnsi="仿宋" w:eastAsia="仿宋" w:cs="仿宋"/>
          <w:color w:val="auto"/>
          <w:spacing w:val="7"/>
          <w:sz w:val="24"/>
          <w:szCs w:val="24"/>
          <w:highlight w:val="none"/>
        </w:rPr>
        <w:t>：</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4C063E60">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发包人代表的通信地址</w:t>
      </w:r>
      <w:r>
        <w:rPr>
          <w:rFonts w:hint="eastAsia" w:ascii="仿宋" w:hAnsi="仿宋" w:eastAsia="仿宋" w:cs="仿宋"/>
          <w:color w:val="auto"/>
          <w:spacing w:val="7"/>
          <w:sz w:val="24"/>
          <w:szCs w:val="24"/>
          <w:highlight w:val="none"/>
        </w:rPr>
        <w:t>：</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7ED3547A">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发包人对发包人代表的授权范围如下</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3B0D9D66">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发包人代表的职责：</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1F81F29C">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6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3.2</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5"/>
          <w:sz w:val="24"/>
          <w:szCs w:val="24"/>
          <w:highlight w:val="none"/>
        </w:rPr>
        <w:t>发包人人员</w:t>
      </w:r>
    </w:p>
    <w:p w14:paraId="35E9CE70">
      <w:pPr>
        <w:pStyle w:val="2"/>
        <w:keepNext w:val="0"/>
        <w:keepLines w:val="0"/>
        <w:pageBreakBefore w:val="0"/>
        <w:widowControl/>
        <w:kinsoku w:val="0"/>
        <w:wordWrap/>
        <w:overflowPunct/>
        <w:topLinePunct w:val="0"/>
        <w:autoSpaceDE w:val="0"/>
        <w:autoSpaceDN w:val="0"/>
        <w:bidi w:val="0"/>
        <w:adjustRightInd w:val="0"/>
        <w:snapToGrid w:val="0"/>
        <w:spacing w:before="24" w:line="253"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发包人人员姓名</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6D1B4A2C">
      <w:pPr>
        <w:pStyle w:val="2"/>
        <w:keepNext w:val="0"/>
        <w:keepLines w:val="0"/>
        <w:pageBreakBefore w:val="0"/>
        <w:widowControl/>
        <w:kinsoku w:val="0"/>
        <w:wordWrap/>
        <w:overflowPunct/>
        <w:topLinePunct w:val="0"/>
        <w:autoSpaceDE w:val="0"/>
        <w:autoSpaceDN w:val="0"/>
        <w:bidi w:val="0"/>
        <w:adjustRightInd w:val="0"/>
        <w:snapToGrid w:val="0"/>
        <w:spacing w:line="227"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发包人人员职务</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28F90323">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发包人人员职责：</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15506192">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6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3.3</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3"/>
          <w:sz w:val="24"/>
          <w:szCs w:val="24"/>
          <w:highlight w:val="none"/>
        </w:rPr>
        <w:t>工程师</w:t>
      </w:r>
    </w:p>
    <w:p w14:paraId="2FD62065">
      <w:pPr>
        <w:pStyle w:val="2"/>
        <w:keepNext w:val="0"/>
        <w:keepLines w:val="0"/>
        <w:pageBreakBefore w:val="0"/>
        <w:widowControl/>
        <w:kinsoku w:val="0"/>
        <w:wordWrap/>
        <w:overflowPunct/>
        <w:topLinePunct w:val="0"/>
        <w:autoSpaceDE w:val="0"/>
        <w:autoSpaceDN w:val="0"/>
        <w:bidi w:val="0"/>
        <w:adjustRightInd w:val="0"/>
        <w:snapToGrid w:val="0"/>
        <w:spacing w:before="27"/>
        <w:ind w:left="24" w:right="70" w:firstLine="6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3"/>
          <w:sz w:val="24"/>
          <w:szCs w:val="24"/>
          <w:highlight w:val="none"/>
        </w:rPr>
        <w:t>3.3.1 工程师名称</w:t>
      </w:r>
      <w:r>
        <w:rPr>
          <w:rFonts w:hint="eastAsia" w:ascii="仿宋" w:hAnsi="仿宋" w:eastAsia="仿宋" w:cs="仿宋"/>
          <w:color w:val="auto"/>
          <w:spacing w:val="11"/>
          <w:sz w:val="24"/>
          <w:szCs w:val="24"/>
          <w:highlight w:val="none"/>
        </w:rPr>
        <w:t>：</w:t>
      </w:r>
      <w:r>
        <w:rPr>
          <w:rFonts w:hint="eastAsia" w:ascii="仿宋" w:hAnsi="仿宋" w:eastAsia="仿宋" w:cs="仿宋"/>
          <w:color w:val="auto"/>
          <w:spacing w:val="-60"/>
          <w:sz w:val="24"/>
          <w:szCs w:val="24"/>
          <w:highlight w:val="none"/>
        </w:rPr>
        <w:t xml:space="preserve"> </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69"/>
          <w:sz w:val="24"/>
          <w:szCs w:val="24"/>
          <w:highlight w:val="none"/>
        </w:rPr>
        <w:t xml:space="preserve"> </w:t>
      </w:r>
      <w:r>
        <w:rPr>
          <w:rFonts w:hint="eastAsia" w:ascii="仿宋" w:hAnsi="仿宋" w:eastAsia="仿宋" w:cs="仿宋"/>
          <w:color w:val="auto"/>
          <w:spacing w:val="11"/>
          <w:sz w:val="24"/>
          <w:szCs w:val="24"/>
          <w:highlight w:val="none"/>
        </w:rPr>
        <w:t>；</w:t>
      </w:r>
      <w:r>
        <w:rPr>
          <w:rFonts w:hint="eastAsia" w:ascii="仿宋" w:hAnsi="仿宋" w:eastAsia="仿宋" w:cs="仿宋"/>
          <w:color w:val="auto"/>
          <w:spacing w:val="13"/>
          <w:sz w:val="24"/>
          <w:szCs w:val="24"/>
          <w:highlight w:val="none"/>
        </w:rPr>
        <w:t>工程师监督管理范围、</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13"/>
          <w:sz w:val="24"/>
          <w:szCs w:val="24"/>
          <w:highlight w:val="none"/>
        </w:rPr>
        <w:t>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容</w:t>
      </w:r>
      <w:r>
        <w:rPr>
          <w:rFonts w:hint="eastAsia" w:ascii="仿宋" w:hAnsi="仿宋" w:eastAsia="仿宋" w:cs="仿宋"/>
          <w:color w:val="auto"/>
          <w:spacing w:val="2"/>
          <w:sz w:val="24"/>
          <w:szCs w:val="24"/>
          <w:highlight w:val="none"/>
        </w:rPr>
        <w:t>：</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71"/>
          <w:sz w:val="24"/>
          <w:szCs w:val="24"/>
          <w:highlight w:val="none"/>
        </w:rPr>
        <w:t xml:space="preserve"> </w:t>
      </w:r>
      <w:r>
        <w:rPr>
          <w:rFonts w:hint="eastAsia" w:ascii="仿宋" w:hAnsi="仿宋" w:eastAsia="仿宋" w:cs="仿宋"/>
          <w:color w:val="auto"/>
          <w:spacing w:val="2"/>
          <w:sz w:val="24"/>
          <w:szCs w:val="24"/>
          <w:highlight w:val="none"/>
        </w:rPr>
        <w:t>；</w:t>
      </w:r>
      <w:r>
        <w:rPr>
          <w:rFonts w:hint="eastAsia" w:ascii="仿宋" w:hAnsi="仿宋" w:eastAsia="仿宋" w:cs="仿宋"/>
          <w:color w:val="auto"/>
          <w:spacing w:val="6"/>
          <w:sz w:val="24"/>
          <w:szCs w:val="24"/>
          <w:highlight w:val="none"/>
        </w:rPr>
        <w:t>工程师权限：</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103E177D">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6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3.6</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4"/>
          <w:sz w:val="24"/>
          <w:szCs w:val="24"/>
          <w:highlight w:val="none"/>
        </w:rPr>
        <w:t>商定或确定</w:t>
      </w:r>
    </w:p>
    <w:p w14:paraId="12BF0DEC">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3.6.2 关于商定时间限制的具体约定：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17C4A1E4">
      <w:pPr>
        <w:pStyle w:val="2"/>
        <w:keepNext w:val="0"/>
        <w:keepLines w:val="0"/>
        <w:pageBreakBefore w:val="0"/>
        <w:widowControl/>
        <w:kinsoku w:val="0"/>
        <w:wordWrap/>
        <w:overflowPunct/>
        <w:topLinePunct w:val="0"/>
        <w:autoSpaceDE w:val="0"/>
        <w:autoSpaceDN w:val="0"/>
        <w:bidi w:val="0"/>
        <w:adjustRightInd w:val="0"/>
        <w:snapToGrid w:val="0"/>
        <w:spacing w:before="23" w:line="228"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3.6.3 关于商定或确定效力的具体约定</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60"/>
          <w:sz w:val="24"/>
          <w:szCs w:val="24"/>
          <w:highlight w:val="none"/>
        </w:rPr>
        <w:t xml:space="preserve"> </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9"/>
          <w:sz w:val="24"/>
          <w:szCs w:val="24"/>
          <w:highlight w:val="none"/>
        </w:rPr>
        <w:t>关于对工程</w:t>
      </w:r>
      <w:r>
        <w:rPr>
          <w:rFonts w:hint="eastAsia" w:ascii="仿宋" w:hAnsi="仿宋" w:eastAsia="仿宋" w:cs="仿宋"/>
          <w:color w:val="auto"/>
          <w:spacing w:val="8"/>
          <w:sz w:val="24"/>
          <w:szCs w:val="24"/>
          <w:highlight w:val="none"/>
        </w:rPr>
        <w:t>师的确定提</w:t>
      </w:r>
    </w:p>
    <w:p w14:paraId="79CCFF4F">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4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出异议的具体约定：</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75614D99">
      <w:pPr>
        <w:pStyle w:val="2"/>
        <w:keepNext w:val="0"/>
        <w:keepLines w:val="0"/>
        <w:pageBreakBefore w:val="0"/>
        <w:widowControl/>
        <w:kinsoku w:val="0"/>
        <w:wordWrap/>
        <w:overflowPunct/>
        <w:topLinePunct w:val="0"/>
        <w:autoSpaceDE w:val="0"/>
        <w:autoSpaceDN w:val="0"/>
        <w:bidi w:val="0"/>
        <w:adjustRightInd w:val="0"/>
        <w:snapToGrid w:val="0"/>
        <w:spacing w:before="24" w:line="227" w:lineRule="auto"/>
        <w:ind w:left="66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3.7</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2"/>
          <w:sz w:val="24"/>
          <w:szCs w:val="24"/>
          <w:highlight w:val="none"/>
        </w:rPr>
        <w:t>会议</w:t>
      </w:r>
    </w:p>
    <w:p w14:paraId="76974A14">
      <w:pPr>
        <w:pStyle w:val="2"/>
        <w:keepNext w:val="0"/>
        <w:keepLines w:val="0"/>
        <w:pageBreakBefore w:val="0"/>
        <w:widowControl/>
        <w:kinsoku w:val="0"/>
        <w:wordWrap/>
        <w:overflowPunct/>
        <w:topLinePunct w:val="0"/>
        <w:autoSpaceDE w:val="0"/>
        <w:autoSpaceDN w:val="0"/>
        <w:bidi w:val="0"/>
        <w:adjustRightInd w:val="0"/>
        <w:snapToGrid w:val="0"/>
        <w:spacing w:before="25" w:line="227"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3.7.1 关于召开会议的具体约定：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4A99C940">
      <w:pPr>
        <w:pStyle w:val="2"/>
        <w:keepNext w:val="0"/>
        <w:keepLines w:val="0"/>
        <w:pageBreakBefore w:val="0"/>
        <w:widowControl/>
        <w:kinsoku w:val="0"/>
        <w:wordWrap/>
        <w:overflowPunct/>
        <w:topLinePunct w:val="0"/>
        <w:autoSpaceDE w:val="0"/>
        <w:autoSpaceDN w:val="0"/>
        <w:bidi w:val="0"/>
        <w:adjustRightInd w:val="0"/>
        <w:snapToGrid w:val="0"/>
        <w:spacing w:before="28" w:line="227"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3.7.2 关于保存和提供会议纪要的具体约定：</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0EEBFBB3">
      <w:pPr>
        <w:pStyle w:val="2"/>
        <w:keepNext w:val="0"/>
        <w:keepLines w:val="0"/>
        <w:pageBreakBefore w:val="0"/>
        <w:widowControl/>
        <w:kinsoku w:val="0"/>
        <w:wordWrap/>
        <w:overflowPunct/>
        <w:topLinePunct w:val="0"/>
        <w:autoSpaceDE w:val="0"/>
        <w:autoSpaceDN w:val="0"/>
        <w:bidi w:val="0"/>
        <w:adjustRightInd w:val="0"/>
        <w:snapToGrid w:val="0"/>
        <w:spacing w:before="145" w:line="228" w:lineRule="auto"/>
        <w:ind w:left="349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第</w:t>
      </w:r>
      <w:r>
        <w:rPr>
          <w:rFonts w:hint="eastAsia" w:ascii="仿宋" w:hAnsi="仿宋" w:eastAsia="仿宋" w:cs="仿宋"/>
          <w:color w:val="auto"/>
          <w:spacing w:val="-41"/>
          <w:sz w:val="24"/>
          <w:szCs w:val="24"/>
          <w:highlight w:val="none"/>
        </w:rPr>
        <w:t xml:space="preserve"> </w:t>
      </w:r>
      <w:r>
        <w:rPr>
          <w:rFonts w:hint="eastAsia" w:ascii="仿宋" w:hAnsi="仿宋" w:eastAsia="仿宋" w:cs="仿宋"/>
          <w:color w:val="auto"/>
          <w:spacing w:val="3"/>
          <w:sz w:val="24"/>
          <w:szCs w:val="24"/>
          <w:highlight w:val="none"/>
        </w:rPr>
        <w:t>4</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3"/>
          <w:sz w:val="24"/>
          <w:szCs w:val="24"/>
          <w:highlight w:val="none"/>
        </w:rPr>
        <w:t>条</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3"/>
          <w:sz w:val="24"/>
          <w:szCs w:val="24"/>
          <w:highlight w:val="none"/>
        </w:rPr>
        <w:t>承包人</w:t>
      </w:r>
    </w:p>
    <w:p w14:paraId="2D8B7A11">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4.1 承包人的一般义务</w:t>
      </w:r>
    </w:p>
    <w:p w14:paraId="7BD052A4">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承包人应履行的其他义务：</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15AAC7C3">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4.2</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4"/>
          <w:sz w:val="24"/>
          <w:szCs w:val="24"/>
          <w:highlight w:val="none"/>
        </w:rPr>
        <w:t>履约担保</w:t>
      </w:r>
    </w:p>
    <w:p w14:paraId="3697F5AE">
      <w:pPr>
        <w:pStyle w:val="2"/>
        <w:keepNext w:val="0"/>
        <w:keepLines w:val="0"/>
        <w:pageBreakBefore w:val="0"/>
        <w:widowControl/>
        <w:kinsoku w:val="0"/>
        <w:wordWrap/>
        <w:overflowPunct/>
        <w:topLinePunct w:val="0"/>
        <w:autoSpaceDE w:val="0"/>
        <w:autoSpaceDN w:val="0"/>
        <w:bidi w:val="0"/>
        <w:adjustRightInd w:val="0"/>
        <w:snapToGrid w:val="0"/>
        <w:spacing w:before="24" w:line="253"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承包人是否提供履约担保：</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72A6FBFC">
      <w:pPr>
        <w:pStyle w:val="2"/>
        <w:keepNext w:val="0"/>
        <w:keepLines w:val="0"/>
        <w:pageBreakBefore w:val="0"/>
        <w:widowControl/>
        <w:kinsoku w:val="0"/>
        <w:wordWrap/>
        <w:overflowPunct/>
        <w:topLinePunct w:val="0"/>
        <w:autoSpaceDE w:val="0"/>
        <w:autoSpaceDN w:val="0"/>
        <w:bidi w:val="0"/>
        <w:adjustRightInd w:val="0"/>
        <w:snapToGrid w:val="0"/>
        <w:spacing w:line="227"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履约担保的方式、金额及期限:</w:t>
      </w:r>
      <w:r>
        <w:rPr>
          <w:rFonts w:hint="eastAsia" w:ascii="仿宋" w:hAnsi="仿宋" w:eastAsia="仿宋" w:cs="仿宋"/>
          <w:color w:val="auto"/>
          <w:spacing w:val="-93"/>
          <w:sz w:val="24"/>
          <w:szCs w:val="24"/>
          <w:highlight w:val="none"/>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25506992">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4.3 工程总承包项目经理</w:t>
      </w:r>
    </w:p>
    <w:p w14:paraId="78277FAA">
      <w:pPr>
        <w:pStyle w:val="2"/>
        <w:keepNext w:val="0"/>
        <w:keepLines w:val="0"/>
        <w:pageBreakBefore w:val="0"/>
        <w:widowControl/>
        <w:kinsoku w:val="0"/>
        <w:wordWrap/>
        <w:overflowPunct/>
        <w:topLinePunct w:val="0"/>
        <w:autoSpaceDE w:val="0"/>
        <w:autoSpaceDN w:val="0"/>
        <w:bidi w:val="0"/>
        <w:adjustRightInd w:val="0"/>
        <w:snapToGrid w:val="0"/>
        <w:spacing w:before="29" w:line="247" w:lineRule="auto"/>
        <w:ind w:left="621" w:right="226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4.3.1 工程总承包项目经理姓名</w:t>
      </w:r>
      <w:r>
        <w:rPr>
          <w:rFonts w:hint="eastAsia" w:ascii="仿宋" w:hAnsi="仿宋" w:eastAsia="仿宋" w:cs="仿宋"/>
          <w:color w:val="auto"/>
          <w:spacing w:val="-12"/>
          <w:sz w:val="24"/>
          <w:szCs w:val="24"/>
          <w:highlight w:val="none"/>
        </w:rPr>
        <w:t>：</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2"/>
          <w:sz w:val="24"/>
          <w:szCs w:val="24"/>
          <w:highlight w:val="none"/>
        </w:rPr>
        <w:t>；</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8"/>
          <w:sz w:val="24"/>
          <w:szCs w:val="24"/>
          <w:highlight w:val="none"/>
        </w:rPr>
        <w:t>执业资格或职称类型</w:t>
      </w:r>
      <w:r>
        <w:rPr>
          <w:rFonts w:hint="eastAsia" w:ascii="仿宋" w:hAnsi="仿宋" w:eastAsia="仿宋" w:cs="仿宋"/>
          <w:color w:val="auto"/>
          <w:spacing w:val="9"/>
          <w:sz w:val="24"/>
          <w:szCs w:val="24"/>
          <w:highlight w:val="none"/>
        </w:rPr>
        <w:t>：</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56"/>
          <w:sz w:val="24"/>
          <w:szCs w:val="24"/>
          <w:highlight w:val="none"/>
        </w:rPr>
        <w:t xml:space="preserve"> </w:t>
      </w:r>
      <w:r>
        <w:rPr>
          <w:rFonts w:hint="eastAsia" w:ascii="仿宋" w:hAnsi="仿宋" w:eastAsia="仿宋" w:cs="仿宋"/>
          <w:color w:val="auto"/>
          <w:spacing w:val="9"/>
          <w:sz w:val="24"/>
          <w:szCs w:val="24"/>
          <w:highlight w:val="none"/>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执业资格证或职称证号码</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71"/>
          <w:sz w:val="24"/>
          <w:szCs w:val="24"/>
          <w:highlight w:val="none"/>
        </w:rPr>
        <w:t xml:space="preserve"> </w:t>
      </w:r>
      <w:r>
        <w:rPr>
          <w:rFonts w:hint="eastAsia" w:ascii="仿宋" w:hAnsi="仿宋" w:eastAsia="仿宋" w:cs="仿宋"/>
          <w:color w:val="auto"/>
          <w:spacing w:val="5"/>
          <w:sz w:val="24"/>
          <w:szCs w:val="24"/>
          <w:highlight w:val="none"/>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联系电话</w:t>
      </w:r>
      <w:r>
        <w:rPr>
          <w:rFonts w:hint="eastAsia" w:ascii="仿宋" w:hAnsi="仿宋" w:eastAsia="仿宋" w:cs="仿宋"/>
          <w:color w:val="auto"/>
          <w:spacing w:val="5"/>
          <w:sz w:val="24"/>
          <w:szCs w:val="24"/>
          <w:highlight w:val="none"/>
        </w:rPr>
        <w:t>：</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73"/>
          <w:sz w:val="24"/>
          <w:szCs w:val="24"/>
          <w:highlight w:val="none"/>
        </w:rPr>
        <w:t xml:space="preserve"> </w:t>
      </w:r>
      <w:r>
        <w:rPr>
          <w:rFonts w:hint="eastAsia" w:ascii="仿宋" w:hAnsi="仿宋" w:eastAsia="仿宋" w:cs="仿宋"/>
          <w:color w:val="auto"/>
          <w:spacing w:val="5"/>
          <w:sz w:val="24"/>
          <w:szCs w:val="24"/>
          <w:highlight w:val="none"/>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电子邮箱</w:t>
      </w:r>
      <w:r>
        <w:rPr>
          <w:rFonts w:hint="eastAsia" w:ascii="仿宋" w:hAnsi="仿宋" w:eastAsia="仿宋" w:cs="仿宋"/>
          <w:color w:val="auto"/>
          <w:spacing w:val="-17"/>
          <w:sz w:val="24"/>
          <w:szCs w:val="24"/>
          <w:highlight w:val="none"/>
        </w:rPr>
        <w:t>：</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7"/>
          <w:sz w:val="24"/>
          <w:szCs w:val="24"/>
          <w:highlight w:val="none"/>
        </w:rPr>
        <w:t>；</w:t>
      </w:r>
      <w:r>
        <w:rPr>
          <w:rFonts w:hint="eastAsia" w:ascii="仿宋" w:hAnsi="仿宋" w:eastAsia="仿宋" w:cs="仿宋"/>
          <w:color w:val="auto"/>
          <w:spacing w:val="6"/>
          <w:sz w:val="24"/>
          <w:szCs w:val="24"/>
          <w:highlight w:val="none"/>
        </w:rPr>
        <w:t xml:space="preserve"> 通信地址：</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3265A1D6">
      <w:pPr>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仿宋" w:hAnsi="仿宋" w:eastAsia="仿宋" w:cs="仿宋"/>
          <w:color w:val="auto"/>
          <w:sz w:val="24"/>
          <w:szCs w:val="24"/>
          <w:highlight w:val="none"/>
        </w:rPr>
        <w:sectPr>
          <w:footerReference r:id="rId44" w:type="default"/>
          <w:pgSz w:w="11906" w:h="16839"/>
          <w:pgMar w:top="1428" w:right="1731" w:bottom="1171" w:left="1785" w:header="0" w:footer="992" w:gutter="0"/>
          <w:pgNumType w:fmt="decimal"/>
          <w:cols w:space="720" w:num="1"/>
        </w:sectPr>
      </w:pPr>
    </w:p>
    <w:p w14:paraId="3E54F2FA">
      <w:pPr>
        <w:pStyle w:val="2"/>
        <w:keepNext w:val="0"/>
        <w:keepLines w:val="0"/>
        <w:pageBreakBefore w:val="0"/>
        <w:widowControl/>
        <w:kinsoku w:val="0"/>
        <w:wordWrap/>
        <w:overflowPunct/>
        <w:topLinePunct w:val="0"/>
        <w:autoSpaceDE w:val="0"/>
        <w:autoSpaceDN w:val="0"/>
        <w:bidi w:val="0"/>
        <w:adjustRightInd w:val="0"/>
        <w:snapToGrid w:val="0"/>
        <w:spacing w:before="41"/>
        <w:ind w:left="21" w:right="70"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承包人未提交劳动合同，以及没有为工程总承包项目经理缴纳社会保险证明的违</w:t>
      </w:r>
      <w:r>
        <w:rPr>
          <w:rFonts w:hint="eastAsia" w:ascii="仿宋" w:hAnsi="仿宋" w:eastAsia="仿宋" w:cs="仿宋"/>
          <w:color w:val="auto"/>
          <w:spacing w:val="7"/>
          <w:sz w:val="24"/>
          <w:szCs w:val="24"/>
          <w:highlight w:val="none"/>
        </w:rPr>
        <w:t>约责</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任：</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4"/>
          <w:sz w:val="24"/>
          <w:szCs w:val="24"/>
          <w:highlight w:val="none"/>
        </w:rPr>
        <w:t>。</w:t>
      </w:r>
    </w:p>
    <w:p w14:paraId="7B2F2365">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4.3.2 工程总承包项目经理每月在现场的时间要求：</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3361E90D">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工程总承包项目经理未经批准擅自离开施工现场的违约责任：</w:t>
      </w:r>
      <w:r>
        <w:rPr>
          <w:rFonts w:hint="eastAsia" w:ascii="仿宋" w:hAnsi="仿宋" w:eastAsia="仿宋" w:cs="仿宋"/>
          <w:color w:val="auto"/>
          <w:spacing w:val="8"/>
          <w:sz w:val="24"/>
          <w:szCs w:val="24"/>
          <w:highlight w:val="none"/>
          <w:u w:val="single" w:color="auto"/>
        </w:rPr>
        <w:t xml:space="preserve">        </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224E6449">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4.3.3 承包人对工程总承包项目经理的授权范围</w:t>
      </w:r>
      <w:r>
        <w:rPr>
          <w:rFonts w:hint="eastAsia" w:ascii="仿宋" w:hAnsi="仿宋" w:eastAsia="仿宋" w:cs="仿宋"/>
          <w:color w:val="auto"/>
          <w:spacing w:val="-59"/>
          <w:sz w:val="24"/>
          <w:szCs w:val="24"/>
          <w:highlight w:val="none"/>
        </w:rPr>
        <w:t xml:space="preserve"> </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99"/>
          <w:sz w:val="24"/>
          <w:szCs w:val="24"/>
          <w:highlight w:val="none"/>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6675180F">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4.3.4 承包人擅自更换工程总承包项目经理的违约责任：</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432ECB86">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4.3.5 承包人无正当理由拒绝更换工程总承包项目经理</w:t>
      </w:r>
      <w:r>
        <w:rPr>
          <w:rFonts w:hint="eastAsia" w:ascii="仿宋" w:hAnsi="仿宋" w:eastAsia="仿宋" w:cs="仿宋"/>
          <w:color w:val="auto"/>
          <w:spacing w:val="6"/>
          <w:sz w:val="24"/>
          <w:szCs w:val="24"/>
          <w:highlight w:val="none"/>
        </w:rPr>
        <w:t>的违约责任</w:t>
      </w:r>
      <w:r>
        <w:rPr>
          <w:rFonts w:hint="eastAsia" w:ascii="仿宋" w:hAnsi="仿宋" w:eastAsia="仿宋" w:cs="仿宋"/>
          <w:color w:val="auto"/>
          <w:spacing w:val="-59"/>
          <w:sz w:val="24"/>
          <w:szCs w:val="24"/>
          <w:highlight w:val="none"/>
        </w:rPr>
        <w:t xml:space="preserve"> </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99"/>
          <w:sz w:val="24"/>
          <w:szCs w:val="24"/>
          <w:highlight w:val="none"/>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11CD5AEE">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4.4 承包人人员</w:t>
      </w:r>
    </w:p>
    <w:p w14:paraId="01B9EC90">
      <w:pPr>
        <w:pStyle w:val="2"/>
        <w:keepNext w:val="0"/>
        <w:keepLines w:val="0"/>
        <w:pageBreakBefore w:val="0"/>
        <w:widowControl/>
        <w:kinsoku w:val="0"/>
        <w:wordWrap/>
        <w:overflowPunct/>
        <w:topLinePunct w:val="0"/>
        <w:autoSpaceDE w:val="0"/>
        <w:autoSpaceDN w:val="0"/>
        <w:bidi w:val="0"/>
        <w:adjustRightInd w:val="0"/>
        <w:snapToGrid w:val="0"/>
        <w:spacing w:before="25" w:line="229"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4.4.1 人员安排</w:t>
      </w:r>
    </w:p>
    <w:p w14:paraId="0FC8FDED">
      <w:pPr>
        <w:pStyle w:val="2"/>
        <w:keepNext w:val="0"/>
        <w:keepLines w:val="0"/>
        <w:pageBreakBefore w:val="0"/>
        <w:widowControl/>
        <w:kinsoku w:val="0"/>
        <w:wordWrap/>
        <w:overflowPunct/>
        <w:topLinePunct w:val="0"/>
        <w:autoSpaceDE w:val="0"/>
        <w:autoSpaceDN w:val="0"/>
        <w:bidi w:val="0"/>
        <w:adjustRightInd w:val="0"/>
        <w:snapToGrid w:val="0"/>
        <w:spacing w:before="25" w:line="226"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承包人提交项目管理机构及施工现场人员安排的报告的期限：</w:t>
      </w:r>
      <w:r>
        <w:rPr>
          <w:rFonts w:hint="eastAsia" w:ascii="仿宋" w:hAnsi="仿宋" w:eastAsia="仿宋" w:cs="仿宋"/>
          <w:color w:val="auto"/>
          <w:spacing w:val="8"/>
          <w:sz w:val="24"/>
          <w:szCs w:val="24"/>
          <w:highlight w:val="none"/>
          <w:u w:val="single" w:color="auto"/>
        </w:rPr>
        <w:t xml:space="preserve">  </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657D2469">
      <w:pPr>
        <w:pStyle w:val="2"/>
        <w:keepNext w:val="0"/>
        <w:keepLines w:val="0"/>
        <w:pageBreakBefore w:val="0"/>
        <w:widowControl/>
        <w:kinsoku w:val="0"/>
        <w:wordWrap/>
        <w:overflowPunct/>
        <w:topLinePunct w:val="0"/>
        <w:autoSpaceDE w:val="0"/>
        <w:autoSpaceDN w:val="0"/>
        <w:bidi w:val="0"/>
        <w:adjustRightInd w:val="0"/>
        <w:snapToGrid w:val="0"/>
        <w:spacing w:before="26" w:line="239" w:lineRule="auto"/>
        <w:ind w:left="21" w:right="70"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4"/>
          <w:sz w:val="24"/>
          <w:szCs w:val="24"/>
          <w:highlight w:val="none"/>
        </w:rPr>
        <w:t>承包人提交关键人员信息及注册执业资格等证明其具备担任</w:t>
      </w:r>
      <w:r>
        <w:rPr>
          <w:rFonts w:hint="eastAsia" w:ascii="仿宋" w:hAnsi="仿宋" w:eastAsia="仿宋" w:cs="仿宋"/>
          <w:color w:val="auto"/>
          <w:spacing w:val="13"/>
          <w:sz w:val="24"/>
          <w:szCs w:val="24"/>
          <w:highlight w:val="none"/>
        </w:rPr>
        <w:t>关键人员能力的相关文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件的期限：</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7B7FB7D8">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4.4.2 关键人员更换</w:t>
      </w:r>
    </w:p>
    <w:p w14:paraId="744147A0">
      <w:pPr>
        <w:pStyle w:val="2"/>
        <w:keepNext w:val="0"/>
        <w:keepLines w:val="0"/>
        <w:pageBreakBefore w:val="0"/>
        <w:widowControl/>
        <w:kinsoku w:val="0"/>
        <w:wordWrap/>
        <w:overflowPunct/>
        <w:topLinePunct w:val="0"/>
        <w:autoSpaceDE w:val="0"/>
        <w:autoSpaceDN w:val="0"/>
        <w:bidi w:val="0"/>
        <w:adjustRightInd w:val="0"/>
        <w:snapToGrid w:val="0"/>
        <w:spacing w:before="23"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承包人擅自更换关键人员的违约责任：</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17A611EE">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承包人无正当理由拒绝撤换关键人员的违约责任：</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5D10FD7C">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4.4.3 现场管理关键人员在岗要求</w:t>
      </w:r>
    </w:p>
    <w:p w14:paraId="60CA2891">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承包人现场管理关键人员离开施工现场的批准要求：</w:t>
      </w:r>
      <w:r>
        <w:rPr>
          <w:rFonts w:hint="eastAsia" w:ascii="仿宋" w:hAnsi="仿宋" w:eastAsia="仿宋" w:cs="仿宋"/>
          <w:color w:val="auto"/>
          <w:spacing w:val="8"/>
          <w:sz w:val="24"/>
          <w:szCs w:val="24"/>
          <w:highlight w:val="none"/>
          <w:u w:val="single" w:color="auto"/>
        </w:rPr>
        <w:t xml:space="preserve">  </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77DCF9C8">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承包人现场管理关键人员擅自离开施工现场的违约责任：</w:t>
      </w:r>
      <w:r>
        <w:rPr>
          <w:rFonts w:hint="eastAsia" w:ascii="仿宋" w:hAnsi="仿宋" w:eastAsia="仿宋" w:cs="仿宋"/>
          <w:color w:val="auto"/>
          <w:spacing w:val="8"/>
          <w:sz w:val="24"/>
          <w:szCs w:val="24"/>
          <w:highlight w:val="none"/>
          <w:u w:val="single" w:color="auto"/>
        </w:rPr>
        <w:t xml:space="preserve">       </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344EECE8">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4.5</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3"/>
          <w:sz w:val="24"/>
          <w:szCs w:val="24"/>
          <w:highlight w:val="none"/>
        </w:rPr>
        <w:t>分包</w:t>
      </w:r>
    </w:p>
    <w:p w14:paraId="0D61A9B5">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4.5.1 一般约定</w:t>
      </w:r>
    </w:p>
    <w:p w14:paraId="5712ED9D">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禁止分包的工程包括：</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28052D87">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4.5.2 分包的确定</w:t>
      </w:r>
    </w:p>
    <w:p w14:paraId="607DA93E">
      <w:pPr>
        <w:pStyle w:val="2"/>
        <w:keepNext w:val="0"/>
        <w:keepLines w:val="0"/>
        <w:pageBreakBefore w:val="0"/>
        <w:widowControl/>
        <w:kinsoku w:val="0"/>
        <w:wordWrap/>
        <w:overflowPunct/>
        <w:topLinePunct w:val="0"/>
        <w:autoSpaceDE w:val="0"/>
        <w:autoSpaceDN w:val="0"/>
        <w:bidi w:val="0"/>
        <w:adjustRightInd w:val="0"/>
        <w:snapToGrid w:val="0"/>
        <w:spacing w:before="27" w:line="250" w:lineRule="auto"/>
        <w:ind w:left="62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允许分包的工程包括：</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09CAB2A1">
      <w:pPr>
        <w:pStyle w:val="2"/>
        <w:keepNext w:val="0"/>
        <w:keepLines w:val="0"/>
        <w:pageBreakBefore w:val="0"/>
        <w:widowControl/>
        <w:kinsoku w:val="0"/>
        <w:wordWrap/>
        <w:overflowPunct/>
        <w:topLinePunct w:val="0"/>
        <w:autoSpaceDE w:val="0"/>
        <w:autoSpaceDN w:val="0"/>
        <w:bidi w:val="0"/>
        <w:adjustRightInd w:val="0"/>
        <w:snapToGrid w:val="0"/>
        <w:spacing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其他关于分包的约定：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31ACA031">
      <w:pPr>
        <w:pStyle w:val="2"/>
        <w:keepNext w:val="0"/>
        <w:keepLines w:val="0"/>
        <w:pageBreakBefore w:val="0"/>
        <w:widowControl/>
        <w:kinsoku w:val="0"/>
        <w:wordWrap/>
        <w:overflowPunct/>
        <w:topLinePunct w:val="0"/>
        <w:autoSpaceDE w:val="0"/>
        <w:autoSpaceDN w:val="0"/>
        <w:bidi w:val="0"/>
        <w:adjustRightInd w:val="0"/>
        <w:snapToGrid w:val="0"/>
        <w:spacing w:before="26" w:line="226"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4.5.5 分包合同价款支付</w:t>
      </w:r>
    </w:p>
    <w:p w14:paraId="215B1567">
      <w:pPr>
        <w:pStyle w:val="2"/>
        <w:keepNext w:val="0"/>
        <w:keepLines w:val="0"/>
        <w:pageBreakBefore w:val="0"/>
        <w:widowControl/>
        <w:kinsoku w:val="0"/>
        <w:wordWrap/>
        <w:overflowPunct/>
        <w:topLinePunct w:val="0"/>
        <w:autoSpaceDE w:val="0"/>
        <w:autoSpaceDN w:val="0"/>
        <w:bidi w:val="0"/>
        <w:adjustRightInd w:val="0"/>
        <w:snapToGrid w:val="0"/>
        <w:spacing w:before="27" w:line="226"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关于分包合同价款支付的约定：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64559FC1">
      <w:pPr>
        <w:pStyle w:val="2"/>
        <w:keepNext w:val="0"/>
        <w:keepLines w:val="0"/>
        <w:pageBreakBefore w:val="0"/>
        <w:widowControl/>
        <w:kinsoku w:val="0"/>
        <w:wordWrap/>
        <w:overflowPunct/>
        <w:topLinePunct w:val="0"/>
        <w:autoSpaceDE w:val="0"/>
        <w:autoSpaceDN w:val="0"/>
        <w:bidi w:val="0"/>
        <w:adjustRightInd w:val="0"/>
        <w:snapToGrid w:val="0"/>
        <w:spacing w:before="26" w:line="229"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4.6</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4"/>
          <w:sz w:val="24"/>
          <w:szCs w:val="24"/>
          <w:highlight w:val="none"/>
        </w:rPr>
        <w:t>联合体</w:t>
      </w:r>
    </w:p>
    <w:p w14:paraId="0A0F0A4F">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4.6.2 联合体各成员的分工、费用收取、发票开具等事项：</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6C72F6EC">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4.7 承包人现场查勘</w:t>
      </w:r>
    </w:p>
    <w:p w14:paraId="0C78C29D">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4.7.1 双方当事人对现场查勘的责任承担的约定：</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2EE7E1E2">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4.8 不可预见的困难</w:t>
      </w:r>
    </w:p>
    <w:p w14:paraId="0636D167">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不可预见的困难包括：</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31D2531A">
      <w:pPr>
        <w:pStyle w:val="2"/>
        <w:keepNext w:val="0"/>
        <w:keepLines w:val="0"/>
        <w:pageBreakBefore w:val="0"/>
        <w:widowControl/>
        <w:kinsoku w:val="0"/>
        <w:wordWrap/>
        <w:overflowPunct/>
        <w:topLinePunct w:val="0"/>
        <w:autoSpaceDE w:val="0"/>
        <w:autoSpaceDN w:val="0"/>
        <w:bidi w:val="0"/>
        <w:adjustRightInd w:val="0"/>
        <w:snapToGrid w:val="0"/>
        <w:spacing w:before="146" w:line="228" w:lineRule="auto"/>
        <w:ind w:left="35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第</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1"/>
          <w:sz w:val="24"/>
          <w:szCs w:val="24"/>
          <w:highlight w:val="none"/>
        </w:rPr>
        <w:t>5</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1"/>
          <w:sz w:val="24"/>
          <w:szCs w:val="24"/>
          <w:highlight w:val="none"/>
        </w:rPr>
        <w:t>条</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1"/>
          <w:sz w:val="24"/>
          <w:szCs w:val="24"/>
          <w:highlight w:val="none"/>
        </w:rPr>
        <w:t>设计</w:t>
      </w:r>
    </w:p>
    <w:p w14:paraId="76D324D5">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5.2 承包人文件审查</w:t>
      </w:r>
    </w:p>
    <w:p w14:paraId="645E5B0E">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5.2.1 承包人文件审查的期限：</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699EDCC9">
      <w:pPr>
        <w:pStyle w:val="2"/>
        <w:keepNext w:val="0"/>
        <w:keepLines w:val="0"/>
        <w:pageBreakBefore w:val="0"/>
        <w:widowControl/>
        <w:kinsoku w:val="0"/>
        <w:wordWrap/>
        <w:overflowPunct/>
        <w:topLinePunct w:val="0"/>
        <w:autoSpaceDE w:val="0"/>
        <w:autoSpaceDN w:val="0"/>
        <w:bidi w:val="0"/>
        <w:adjustRightInd w:val="0"/>
        <w:snapToGrid w:val="0"/>
        <w:spacing w:before="27" w:line="227"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5.2.2 审查会议的审查形式和时间安排为</w:t>
      </w:r>
      <w:r>
        <w:rPr>
          <w:rFonts w:hint="eastAsia" w:ascii="仿宋" w:hAnsi="仿宋" w:eastAsia="仿宋" w:cs="仿宋"/>
          <w:color w:val="auto"/>
          <w:spacing w:val="12"/>
          <w:sz w:val="24"/>
          <w:szCs w:val="24"/>
          <w:highlight w:val="none"/>
        </w:rPr>
        <w:t>：</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70"/>
          <w:sz w:val="24"/>
          <w:szCs w:val="24"/>
          <w:highlight w:val="none"/>
        </w:rPr>
        <w:t xml:space="preserve"> </w:t>
      </w:r>
      <w:r>
        <w:rPr>
          <w:rFonts w:hint="eastAsia" w:ascii="仿宋" w:hAnsi="仿宋" w:eastAsia="仿宋" w:cs="仿宋"/>
          <w:color w:val="auto"/>
          <w:spacing w:val="12"/>
          <w:sz w:val="24"/>
          <w:szCs w:val="24"/>
          <w:highlight w:val="none"/>
        </w:rPr>
        <w:t>，</w:t>
      </w:r>
      <w:r>
        <w:rPr>
          <w:rFonts w:hint="eastAsia" w:ascii="仿宋" w:hAnsi="仿宋" w:eastAsia="仿宋" w:cs="仿宋"/>
          <w:color w:val="auto"/>
          <w:spacing w:val="11"/>
          <w:sz w:val="24"/>
          <w:szCs w:val="24"/>
          <w:highlight w:val="none"/>
        </w:rPr>
        <w:t>审查会议的</w:t>
      </w:r>
      <w:r>
        <w:rPr>
          <w:rFonts w:hint="eastAsia" w:ascii="仿宋" w:hAnsi="仿宋" w:eastAsia="仿宋" w:cs="仿宋"/>
          <w:color w:val="auto"/>
          <w:spacing w:val="10"/>
          <w:sz w:val="24"/>
          <w:szCs w:val="24"/>
          <w:highlight w:val="none"/>
        </w:rPr>
        <w:t>相关费用由</w:t>
      </w:r>
    </w:p>
    <w:p w14:paraId="39D7CB5E">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承担。</w:t>
      </w:r>
    </w:p>
    <w:p w14:paraId="5E3F83B0">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5.2.3 关于第三方审查单位的约定：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5425B7A0">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5.3</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2"/>
          <w:sz w:val="24"/>
          <w:szCs w:val="24"/>
          <w:highlight w:val="none"/>
        </w:rPr>
        <w:t>培训</w:t>
      </w:r>
    </w:p>
    <w:p w14:paraId="21CA18A0">
      <w:pPr>
        <w:pStyle w:val="2"/>
        <w:keepNext w:val="0"/>
        <w:keepLines w:val="0"/>
        <w:pageBreakBefore w:val="0"/>
        <w:widowControl/>
        <w:kinsoku w:val="0"/>
        <w:wordWrap/>
        <w:overflowPunct/>
        <w:topLinePunct w:val="0"/>
        <w:autoSpaceDE w:val="0"/>
        <w:autoSpaceDN w:val="0"/>
        <w:bidi w:val="0"/>
        <w:adjustRightInd w:val="0"/>
        <w:snapToGrid w:val="0"/>
        <w:spacing w:before="23"/>
        <w:ind w:left="24" w:right="70" w:firstLine="5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4"/>
          <w:sz w:val="24"/>
          <w:szCs w:val="24"/>
          <w:highlight w:val="none"/>
        </w:rPr>
        <w:t>培训的时长为</w:t>
      </w:r>
      <w:r>
        <w:rPr>
          <w:rFonts w:hint="eastAsia" w:ascii="仿宋" w:hAnsi="仿宋" w:eastAsia="仿宋" w:cs="仿宋"/>
          <w:color w:val="auto"/>
          <w:spacing w:val="-82"/>
          <w:sz w:val="24"/>
          <w:szCs w:val="24"/>
          <w:highlight w:val="none"/>
        </w:rPr>
        <w:t xml:space="preserve"> </w:t>
      </w:r>
      <w:r>
        <w:rPr>
          <w:rFonts w:hint="eastAsia" w:ascii="仿宋" w:hAnsi="仿宋" w:eastAsia="仿宋" w:cs="仿宋"/>
          <w:color w:val="auto"/>
          <w:spacing w:val="3"/>
          <w:sz w:val="24"/>
          <w:szCs w:val="24"/>
          <w:highlight w:val="none"/>
          <w:u w:val="single" w:color="auto"/>
        </w:rPr>
        <w:t xml:space="preserve">              </w:t>
      </w:r>
      <w:r>
        <w:rPr>
          <w:rFonts w:hint="eastAsia" w:ascii="仿宋" w:hAnsi="仿宋" w:eastAsia="仿宋" w:cs="仿宋"/>
          <w:color w:val="auto"/>
          <w:spacing w:val="-72"/>
          <w:sz w:val="24"/>
          <w:szCs w:val="24"/>
          <w:highlight w:val="none"/>
        </w:rPr>
        <w:t xml:space="preserve"> </w:t>
      </w:r>
      <w:r>
        <w:rPr>
          <w:rFonts w:hint="eastAsia" w:ascii="仿宋" w:hAnsi="仿宋" w:eastAsia="仿宋" w:cs="仿宋"/>
          <w:color w:val="auto"/>
          <w:spacing w:val="14"/>
          <w:sz w:val="24"/>
          <w:szCs w:val="24"/>
          <w:highlight w:val="none"/>
        </w:rPr>
        <w:t>，承包人应为培训提供的人员、设施和其它必要条件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为</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
          <w:sz w:val="24"/>
          <w:szCs w:val="24"/>
          <w:highlight w:val="none"/>
        </w:rPr>
        <w:t>。</w:t>
      </w:r>
    </w:p>
    <w:p w14:paraId="3A7CA1C5">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5.4 竣工文件</w:t>
      </w:r>
    </w:p>
    <w:p w14:paraId="64D016AA">
      <w:pPr>
        <w:pStyle w:val="2"/>
        <w:keepNext w:val="0"/>
        <w:keepLines w:val="0"/>
        <w:pageBreakBefore w:val="0"/>
        <w:widowControl/>
        <w:kinsoku w:val="0"/>
        <w:wordWrap/>
        <w:overflowPunct/>
        <w:topLinePunct w:val="0"/>
        <w:autoSpaceDE w:val="0"/>
        <w:autoSpaceDN w:val="0"/>
        <w:bidi w:val="0"/>
        <w:adjustRightInd w:val="0"/>
        <w:snapToGrid w:val="0"/>
        <w:spacing w:before="24" w:line="227" w:lineRule="auto"/>
        <w:jc w:val="right"/>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5.4.1 竣工文件的形式、提供的份数、技术标准以及</w:t>
      </w:r>
      <w:r>
        <w:rPr>
          <w:rFonts w:hint="eastAsia" w:ascii="仿宋" w:hAnsi="仿宋" w:eastAsia="仿宋" w:cs="仿宋"/>
          <w:color w:val="auto"/>
          <w:spacing w:val="5"/>
          <w:sz w:val="24"/>
          <w:szCs w:val="24"/>
          <w:highlight w:val="none"/>
        </w:rPr>
        <w:t>其它相关要求：</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08BD22FB">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5.4.3 关于竣工文件的其他约定：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1F5FEF18">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5.5 操作和维修手册</w:t>
      </w:r>
    </w:p>
    <w:p w14:paraId="5D273739">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5.5.3 对最终操作和维修手册的约定：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559CF7E3">
      <w:pPr>
        <w:pStyle w:val="2"/>
        <w:keepNext w:val="0"/>
        <w:keepLines w:val="0"/>
        <w:pageBreakBefore w:val="0"/>
        <w:widowControl/>
        <w:kinsoku w:val="0"/>
        <w:wordWrap/>
        <w:overflowPunct/>
        <w:topLinePunct w:val="0"/>
        <w:autoSpaceDE w:val="0"/>
        <w:autoSpaceDN w:val="0"/>
        <w:bidi w:val="0"/>
        <w:adjustRightInd w:val="0"/>
        <w:snapToGrid w:val="0"/>
        <w:spacing w:before="145" w:line="227" w:lineRule="auto"/>
        <w:ind w:left="307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第</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6"/>
          <w:sz w:val="24"/>
          <w:szCs w:val="24"/>
          <w:highlight w:val="none"/>
        </w:rPr>
        <w:t>6</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6"/>
          <w:sz w:val="24"/>
          <w:szCs w:val="24"/>
          <w:highlight w:val="none"/>
        </w:rPr>
        <w:t>条 材料、工程设备</w:t>
      </w:r>
    </w:p>
    <w:p w14:paraId="67B5CC4F">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6.1</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4"/>
          <w:sz w:val="24"/>
          <w:szCs w:val="24"/>
          <w:highlight w:val="none"/>
        </w:rPr>
        <w:t>实施方法</w:t>
      </w:r>
    </w:p>
    <w:p w14:paraId="00894C75">
      <w:pPr>
        <w:pStyle w:val="2"/>
        <w:keepNext w:val="0"/>
        <w:keepLines w:val="0"/>
        <w:pageBreakBefore w:val="0"/>
        <w:widowControl/>
        <w:kinsoku w:val="0"/>
        <w:wordWrap/>
        <w:overflowPunct/>
        <w:topLinePunct w:val="0"/>
        <w:autoSpaceDE w:val="0"/>
        <w:autoSpaceDN w:val="0"/>
        <w:bidi w:val="0"/>
        <w:adjustRightInd w:val="0"/>
        <w:snapToGrid w:val="0"/>
        <w:spacing w:before="24" w:line="227"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双方当事人约定的实施方法、设备、设施和材料：</w:t>
      </w:r>
      <w:r>
        <w:rPr>
          <w:rFonts w:hint="eastAsia" w:ascii="仿宋" w:hAnsi="仿宋" w:eastAsia="仿宋" w:cs="仿宋"/>
          <w:color w:val="auto"/>
          <w:spacing w:val="8"/>
          <w:sz w:val="24"/>
          <w:szCs w:val="24"/>
          <w:highlight w:val="none"/>
          <w:u w:val="single" w:color="auto"/>
        </w:rPr>
        <w:t xml:space="preserve">    </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239A3F59">
      <w:pPr>
        <w:pStyle w:val="2"/>
        <w:keepNext w:val="0"/>
        <w:keepLines w:val="0"/>
        <w:pageBreakBefore w:val="0"/>
        <w:widowControl/>
        <w:kinsoku w:val="0"/>
        <w:wordWrap/>
        <w:overflowPunct/>
        <w:topLinePunct w:val="0"/>
        <w:autoSpaceDE w:val="0"/>
        <w:autoSpaceDN w:val="0"/>
        <w:bidi w:val="0"/>
        <w:adjustRightInd w:val="0"/>
        <w:snapToGrid w:val="0"/>
        <w:spacing w:before="25" w:line="227"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6.2 材料和工程设备</w:t>
      </w:r>
    </w:p>
    <w:p w14:paraId="5848A354">
      <w:pPr>
        <w:keepNext w:val="0"/>
        <w:keepLines w:val="0"/>
        <w:pageBreakBefore w:val="0"/>
        <w:widowControl/>
        <w:kinsoku w:val="0"/>
        <w:wordWrap/>
        <w:overflowPunct/>
        <w:topLinePunct w:val="0"/>
        <w:autoSpaceDE w:val="0"/>
        <w:autoSpaceDN w:val="0"/>
        <w:bidi w:val="0"/>
        <w:adjustRightInd w:val="0"/>
        <w:snapToGrid w:val="0"/>
        <w:spacing w:line="227" w:lineRule="auto"/>
        <w:textAlignment w:val="baseline"/>
        <w:outlineLvl w:val="9"/>
        <w:rPr>
          <w:rFonts w:hint="eastAsia" w:ascii="仿宋" w:hAnsi="仿宋" w:eastAsia="仿宋" w:cs="仿宋"/>
          <w:color w:val="auto"/>
          <w:sz w:val="24"/>
          <w:szCs w:val="24"/>
          <w:highlight w:val="none"/>
        </w:rPr>
      </w:pPr>
    </w:p>
    <w:p w14:paraId="467CFAFC">
      <w:pPr>
        <w:pStyle w:val="2"/>
        <w:keepNext w:val="0"/>
        <w:keepLines w:val="0"/>
        <w:pageBreakBefore w:val="0"/>
        <w:widowControl/>
        <w:kinsoku w:val="0"/>
        <w:wordWrap/>
        <w:overflowPunct/>
        <w:topLinePunct w:val="0"/>
        <w:autoSpaceDE w:val="0"/>
        <w:autoSpaceDN w:val="0"/>
        <w:bidi w:val="0"/>
        <w:adjustRightInd w:val="0"/>
        <w:snapToGrid w:val="0"/>
        <w:spacing w:before="41" w:line="227" w:lineRule="auto"/>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6.2.1 发包人提供的材料和工程设备</w:t>
      </w:r>
    </w:p>
    <w:p w14:paraId="3B9EA6CD">
      <w:pPr>
        <w:pStyle w:val="2"/>
        <w:keepNext w:val="0"/>
        <w:keepLines w:val="0"/>
        <w:pageBreakBefore w:val="0"/>
        <w:widowControl/>
        <w:kinsoku w:val="0"/>
        <w:wordWrap/>
        <w:overflowPunct/>
        <w:topLinePunct w:val="0"/>
        <w:autoSpaceDE w:val="0"/>
        <w:autoSpaceDN w:val="0"/>
        <w:bidi w:val="0"/>
        <w:adjustRightInd w:val="0"/>
        <w:snapToGrid w:val="0"/>
        <w:spacing w:before="27" w:line="227"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发包人提供的材料和工程设备验收后，由</w:t>
      </w:r>
      <w:r>
        <w:rPr>
          <w:rFonts w:hint="eastAsia" w:ascii="仿宋" w:hAnsi="仿宋" w:eastAsia="仿宋" w:cs="仿宋"/>
          <w:color w:val="auto"/>
          <w:spacing w:val="-84"/>
          <w:sz w:val="24"/>
          <w:szCs w:val="24"/>
          <w:highlight w:val="none"/>
        </w:rPr>
        <w:t xml:space="preserve"> </w:t>
      </w:r>
      <w:r>
        <w:rPr>
          <w:rFonts w:hint="eastAsia" w:ascii="仿宋" w:hAnsi="仿宋" w:eastAsia="仿宋" w:cs="仿宋"/>
          <w:color w:val="auto"/>
          <w:spacing w:val="4"/>
          <w:sz w:val="24"/>
          <w:szCs w:val="24"/>
          <w:highlight w:val="none"/>
          <w:u w:val="single" w:color="auto"/>
        </w:rPr>
        <w:t xml:space="preserve">           </w:t>
      </w:r>
      <w:r>
        <w:rPr>
          <w:rFonts w:hint="eastAsia" w:ascii="仿宋" w:hAnsi="仿宋" w:eastAsia="仿宋" w:cs="仿宋"/>
          <w:color w:val="auto"/>
          <w:spacing w:val="-73"/>
          <w:sz w:val="24"/>
          <w:szCs w:val="24"/>
          <w:highlight w:val="none"/>
        </w:rPr>
        <w:t xml:space="preserve"> </w:t>
      </w:r>
      <w:r>
        <w:rPr>
          <w:rFonts w:hint="eastAsia" w:ascii="仿宋" w:hAnsi="仿宋" w:eastAsia="仿宋" w:cs="仿宋"/>
          <w:color w:val="auto"/>
          <w:spacing w:val="8"/>
          <w:sz w:val="24"/>
          <w:szCs w:val="24"/>
          <w:highlight w:val="none"/>
        </w:rPr>
        <w:t>负责接收、运输和保管。</w:t>
      </w:r>
    </w:p>
    <w:p w14:paraId="34F6928F">
      <w:pPr>
        <w:pStyle w:val="2"/>
        <w:keepNext w:val="0"/>
        <w:keepLines w:val="0"/>
        <w:pageBreakBefore w:val="0"/>
        <w:widowControl/>
        <w:kinsoku w:val="0"/>
        <w:wordWrap/>
        <w:overflowPunct/>
        <w:topLinePunct w:val="0"/>
        <w:autoSpaceDE w:val="0"/>
        <w:autoSpaceDN w:val="0"/>
        <w:bidi w:val="0"/>
        <w:adjustRightInd w:val="0"/>
        <w:snapToGrid w:val="0"/>
        <w:spacing w:before="25" w:line="227"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6.2.2 承包人提供的材料和工程设备</w:t>
      </w:r>
    </w:p>
    <w:p w14:paraId="3C499999">
      <w:pPr>
        <w:pStyle w:val="2"/>
        <w:keepNext w:val="0"/>
        <w:keepLines w:val="0"/>
        <w:pageBreakBefore w:val="0"/>
        <w:widowControl/>
        <w:kinsoku w:val="0"/>
        <w:wordWrap/>
        <w:overflowPunct/>
        <w:topLinePunct w:val="0"/>
        <w:autoSpaceDE w:val="0"/>
        <w:autoSpaceDN w:val="0"/>
        <w:bidi w:val="0"/>
        <w:adjustRightInd w:val="0"/>
        <w:snapToGrid w:val="0"/>
        <w:spacing w:before="27" w:line="226"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材料和工程设备的类别、估算数量：</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1F73305F">
      <w:pPr>
        <w:pStyle w:val="2"/>
        <w:keepNext w:val="0"/>
        <w:keepLines w:val="0"/>
        <w:pageBreakBefore w:val="0"/>
        <w:widowControl/>
        <w:kinsoku w:val="0"/>
        <w:wordWrap/>
        <w:overflowPunct/>
        <w:topLinePunct w:val="0"/>
        <w:autoSpaceDE w:val="0"/>
        <w:autoSpaceDN w:val="0"/>
        <w:bidi w:val="0"/>
        <w:adjustRightInd w:val="0"/>
        <w:snapToGrid w:val="0"/>
        <w:spacing w:before="26" w:line="227"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竣工后试验的生产性材料的类别或（和）清单：</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105851DC">
      <w:pPr>
        <w:pStyle w:val="2"/>
        <w:keepNext w:val="0"/>
        <w:keepLines w:val="0"/>
        <w:pageBreakBefore w:val="0"/>
        <w:widowControl/>
        <w:kinsoku w:val="0"/>
        <w:wordWrap/>
        <w:overflowPunct/>
        <w:topLinePunct w:val="0"/>
        <w:autoSpaceDE w:val="0"/>
        <w:autoSpaceDN w:val="0"/>
        <w:bidi w:val="0"/>
        <w:adjustRightInd w:val="0"/>
        <w:snapToGrid w:val="0"/>
        <w:spacing w:before="28" w:line="227"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6.2.3 材料和工程设备的保管</w:t>
      </w:r>
    </w:p>
    <w:p w14:paraId="4BC29638">
      <w:pPr>
        <w:pStyle w:val="2"/>
        <w:keepNext w:val="0"/>
        <w:keepLines w:val="0"/>
        <w:pageBreakBefore w:val="0"/>
        <w:widowControl/>
        <w:kinsoku w:val="0"/>
        <w:wordWrap/>
        <w:overflowPunct/>
        <w:topLinePunct w:val="0"/>
        <w:autoSpaceDE w:val="0"/>
        <w:autoSpaceDN w:val="0"/>
        <w:bidi w:val="0"/>
        <w:adjustRightInd w:val="0"/>
        <w:snapToGrid w:val="0"/>
        <w:spacing w:before="25" w:line="253"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发包人供应的材料和工程设备的保管费用由</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6"/>
          <w:sz w:val="24"/>
          <w:szCs w:val="24"/>
          <w:highlight w:val="none"/>
        </w:rPr>
        <w:t xml:space="preserve"> </w:t>
      </w:r>
      <w:r>
        <w:rPr>
          <w:rFonts w:hint="eastAsia" w:ascii="仿宋" w:hAnsi="仿宋" w:eastAsia="仿宋" w:cs="仿宋"/>
          <w:color w:val="auto"/>
          <w:spacing w:val="7"/>
          <w:sz w:val="24"/>
          <w:szCs w:val="24"/>
          <w:highlight w:val="none"/>
        </w:rPr>
        <w:t>承担。</w:t>
      </w:r>
    </w:p>
    <w:p w14:paraId="66F498DA">
      <w:pPr>
        <w:pStyle w:val="2"/>
        <w:keepNext w:val="0"/>
        <w:keepLines w:val="0"/>
        <w:pageBreakBefore w:val="0"/>
        <w:widowControl/>
        <w:kinsoku w:val="0"/>
        <w:wordWrap/>
        <w:overflowPunct/>
        <w:topLinePunct w:val="0"/>
        <w:autoSpaceDE w:val="0"/>
        <w:autoSpaceDN w:val="0"/>
        <w:bidi w:val="0"/>
        <w:adjustRightInd w:val="0"/>
        <w:snapToGrid w:val="0"/>
        <w:spacing w:line="227"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承包人提交保管、维护方案的时间：</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0F392DAB">
      <w:pPr>
        <w:pStyle w:val="2"/>
        <w:keepNext w:val="0"/>
        <w:keepLines w:val="0"/>
        <w:pageBreakBefore w:val="0"/>
        <w:widowControl/>
        <w:kinsoku w:val="0"/>
        <w:wordWrap/>
        <w:overflowPunct/>
        <w:topLinePunct w:val="0"/>
        <w:autoSpaceDE w:val="0"/>
        <w:autoSpaceDN w:val="0"/>
        <w:bidi w:val="0"/>
        <w:adjustRightInd w:val="0"/>
        <w:snapToGrid w:val="0"/>
        <w:spacing w:before="25" w:line="227"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发包人提供的库房、堆场、设施和设备：</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67A206AA">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6.3</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3"/>
          <w:sz w:val="24"/>
          <w:szCs w:val="24"/>
          <w:highlight w:val="none"/>
        </w:rPr>
        <w:t>样品</w:t>
      </w:r>
    </w:p>
    <w:p w14:paraId="5485E474">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6.3.1 样品的报送与封存</w:t>
      </w:r>
    </w:p>
    <w:p w14:paraId="56F3315D">
      <w:pPr>
        <w:pStyle w:val="2"/>
        <w:keepNext w:val="0"/>
        <w:keepLines w:val="0"/>
        <w:pageBreakBefore w:val="0"/>
        <w:widowControl/>
        <w:kinsoku w:val="0"/>
        <w:wordWrap/>
        <w:overflowPunct/>
        <w:topLinePunct w:val="0"/>
        <w:autoSpaceDE w:val="0"/>
        <w:autoSpaceDN w:val="0"/>
        <w:bidi w:val="0"/>
        <w:adjustRightInd w:val="0"/>
        <w:snapToGrid w:val="0"/>
        <w:spacing w:before="24" w:line="243" w:lineRule="auto"/>
        <w:ind w:left="22" w:right="30" w:firstLine="6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需</w:t>
      </w:r>
      <w:r>
        <w:rPr>
          <w:rFonts w:hint="eastAsia" w:ascii="仿宋" w:hAnsi="仿宋" w:eastAsia="仿宋" w:cs="仿宋"/>
          <w:color w:val="auto"/>
          <w:spacing w:val="-27"/>
          <w:sz w:val="24"/>
          <w:szCs w:val="24"/>
          <w:highlight w:val="none"/>
        </w:rPr>
        <w:t xml:space="preserve"> </w:t>
      </w:r>
      <w:r>
        <w:rPr>
          <w:rFonts w:hint="eastAsia" w:ascii="仿宋" w:hAnsi="仿宋" w:eastAsia="仿宋" w:cs="仿宋"/>
          <w:color w:val="auto"/>
          <w:spacing w:val="-5"/>
          <w:sz w:val="24"/>
          <w:szCs w:val="24"/>
          <w:highlight w:val="none"/>
        </w:rPr>
        <w:t>要</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5"/>
          <w:sz w:val="24"/>
          <w:szCs w:val="24"/>
          <w:highlight w:val="none"/>
        </w:rPr>
        <w:t>承</w:t>
      </w:r>
      <w:r>
        <w:rPr>
          <w:rFonts w:hint="eastAsia" w:ascii="仿宋" w:hAnsi="仿宋" w:eastAsia="仿宋" w:cs="仿宋"/>
          <w:color w:val="auto"/>
          <w:spacing w:val="-41"/>
          <w:sz w:val="24"/>
          <w:szCs w:val="24"/>
          <w:highlight w:val="none"/>
        </w:rPr>
        <w:t xml:space="preserve"> </w:t>
      </w:r>
      <w:r>
        <w:rPr>
          <w:rFonts w:hint="eastAsia" w:ascii="仿宋" w:hAnsi="仿宋" w:eastAsia="仿宋" w:cs="仿宋"/>
          <w:color w:val="auto"/>
          <w:spacing w:val="-5"/>
          <w:sz w:val="24"/>
          <w:szCs w:val="24"/>
          <w:highlight w:val="none"/>
        </w:rPr>
        <w:t>包</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5"/>
          <w:sz w:val="24"/>
          <w:szCs w:val="24"/>
          <w:highlight w:val="none"/>
        </w:rPr>
        <w:t>人</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5"/>
          <w:sz w:val="24"/>
          <w:szCs w:val="24"/>
          <w:highlight w:val="none"/>
        </w:rPr>
        <w:t>报</w:t>
      </w:r>
      <w:r>
        <w:rPr>
          <w:rFonts w:hint="eastAsia" w:ascii="仿宋" w:hAnsi="仿宋" w:eastAsia="仿宋" w:cs="仿宋"/>
          <w:color w:val="auto"/>
          <w:spacing w:val="-46"/>
          <w:sz w:val="24"/>
          <w:szCs w:val="24"/>
          <w:highlight w:val="none"/>
        </w:rPr>
        <w:t xml:space="preserve"> </w:t>
      </w:r>
      <w:r>
        <w:rPr>
          <w:rFonts w:hint="eastAsia" w:ascii="仿宋" w:hAnsi="仿宋" w:eastAsia="仿宋" w:cs="仿宋"/>
          <w:color w:val="auto"/>
          <w:spacing w:val="-5"/>
          <w:sz w:val="24"/>
          <w:szCs w:val="24"/>
          <w:highlight w:val="none"/>
        </w:rPr>
        <w:t>送</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5"/>
          <w:sz w:val="24"/>
          <w:szCs w:val="24"/>
          <w:highlight w:val="none"/>
        </w:rPr>
        <w:t>样</w:t>
      </w:r>
      <w:r>
        <w:rPr>
          <w:rFonts w:hint="eastAsia" w:ascii="仿宋" w:hAnsi="仿宋" w:eastAsia="仿宋" w:cs="仿宋"/>
          <w:color w:val="auto"/>
          <w:spacing w:val="-25"/>
          <w:sz w:val="24"/>
          <w:szCs w:val="24"/>
          <w:highlight w:val="none"/>
        </w:rPr>
        <w:t xml:space="preserve"> </w:t>
      </w:r>
      <w:r>
        <w:rPr>
          <w:rFonts w:hint="eastAsia" w:ascii="仿宋" w:hAnsi="仿宋" w:eastAsia="仿宋" w:cs="仿宋"/>
          <w:color w:val="auto"/>
          <w:spacing w:val="-5"/>
          <w:sz w:val="24"/>
          <w:szCs w:val="24"/>
          <w:highlight w:val="none"/>
        </w:rPr>
        <w:t>品</w:t>
      </w:r>
      <w:r>
        <w:rPr>
          <w:rFonts w:hint="eastAsia" w:ascii="仿宋" w:hAnsi="仿宋" w:eastAsia="仿宋" w:cs="仿宋"/>
          <w:color w:val="auto"/>
          <w:spacing w:val="-26"/>
          <w:sz w:val="24"/>
          <w:szCs w:val="24"/>
          <w:highlight w:val="none"/>
        </w:rPr>
        <w:t xml:space="preserve"> </w:t>
      </w:r>
      <w:r>
        <w:rPr>
          <w:rFonts w:hint="eastAsia" w:ascii="仿宋" w:hAnsi="仿宋" w:eastAsia="仿宋" w:cs="仿宋"/>
          <w:color w:val="auto"/>
          <w:spacing w:val="-5"/>
          <w:sz w:val="24"/>
          <w:szCs w:val="24"/>
          <w:highlight w:val="none"/>
        </w:rPr>
        <w:t>的</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5"/>
          <w:sz w:val="24"/>
          <w:szCs w:val="24"/>
          <w:highlight w:val="none"/>
        </w:rPr>
        <w:t>材</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5"/>
          <w:sz w:val="24"/>
          <w:szCs w:val="24"/>
          <w:highlight w:val="none"/>
        </w:rPr>
        <w:t>料</w:t>
      </w:r>
      <w:r>
        <w:rPr>
          <w:rFonts w:hint="eastAsia" w:ascii="仿宋" w:hAnsi="仿宋" w:eastAsia="仿宋" w:cs="仿宋"/>
          <w:color w:val="auto"/>
          <w:spacing w:val="-41"/>
          <w:sz w:val="24"/>
          <w:szCs w:val="24"/>
          <w:highlight w:val="none"/>
        </w:rPr>
        <w:t xml:space="preserve"> </w:t>
      </w:r>
      <w:r>
        <w:rPr>
          <w:rFonts w:hint="eastAsia" w:ascii="仿宋" w:hAnsi="仿宋" w:eastAsia="仿宋" w:cs="仿宋"/>
          <w:color w:val="auto"/>
          <w:spacing w:val="-5"/>
          <w:sz w:val="24"/>
          <w:szCs w:val="24"/>
          <w:highlight w:val="none"/>
        </w:rPr>
        <w:t>或</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5"/>
          <w:sz w:val="24"/>
          <w:szCs w:val="24"/>
          <w:highlight w:val="none"/>
        </w:rPr>
        <w:t>工</w:t>
      </w:r>
      <w:r>
        <w:rPr>
          <w:rFonts w:hint="eastAsia" w:ascii="仿宋" w:hAnsi="仿宋" w:eastAsia="仿宋" w:cs="仿宋"/>
          <w:color w:val="auto"/>
          <w:spacing w:val="-43"/>
          <w:sz w:val="24"/>
          <w:szCs w:val="24"/>
          <w:highlight w:val="none"/>
        </w:rPr>
        <w:t xml:space="preserve"> </w:t>
      </w:r>
      <w:r>
        <w:rPr>
          <w:rFonts w:hint="eastAsia" w:ascii="仿宋" w:hAnsi="仿宋" w:eastAsia="仿宋" w:cs="仿宋"/>
          <w:color w:val="auto"/>
          <w:spacing w:val="-5"/>
          <w:sz w:val="24"/>
          <w:szCs w:val="24"/>
          <w:highlight w:val="none"/>
        </w:rPr>
        <w:t>程</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5"/>
          <w:sz w:val="24"/>
          <w:szCs w:val="24"/>
          <w:highlight w:val="none"/>
        </w:rPr>
        <w:t>设</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5"/>
          <w:sz w:val="24"/>
          <w:szCs w:val="24"/>
          <w:highlight w:val="none"/>
        </w:rPr>
        <w:t>备</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5"/>
          <w:sz w:val="24"/>
          <w:szCs w:val="24"/>
          <w:highlight w:val="none"/>
        </w:rPr>
        <w:t>样</w:t>
      </w:r>
      <w:r>
        <w:rPr>
          <w:rFonts w:hint="eastAsia" w:ascii="仿宋" w:hAnsi="仿宋" w:eastAsia="仿宋" w:cs="仿宋"/>
          <w:color w:val="auto"/>
          <w:spacing w:val="-27"/>
          <w:sz w:val="24"/>
          <w:szCs w:val="24"/>
          <w:highlight w:val="none"/>
        </w:rPr>
        <w:t xml:space="preserve"> </w:t>
      </w:r>
      <w:r>
        <w:rPr>
          <w:rFonts w:hint="eastAsia" w:ascii="仿宋" w:hAnsi="仿宋" w:eastAsia="仿宋" w:cs="仿宋"/>
          <w:color w:val="auto"/>
          <w:spacing w:val="-5"/>
          <w:sz w:val="24"/>
          <w:szCs w:val="24"/>
          <w:highlight w:val="none"/>
        </w:rPr>
        <w:t>品</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5"/>
          <w:sz w:val="24"/>
          <w:szCs w:val="24"/>
          <w:highlight w:val="none"/>
        </w:rPr>
        <w:t>种</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5"/>
          <w:sz w:val="24"/>
          <w:szCs w:val="24"/>
          <w:highlight w:val="none"/>
        </w:rPr>
        <w:t>类</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5"/>
          <w:sz w:val="24"/>
          <w:szCs w:val="24"/>
          <w:highlight w:val="none"/>
        </w:rPr>
        <w:t>名</w:t>
      </w:r>
      <w:r>
        <w:rPr>
          <w:rFonts w:hint="eastAsia" w:ascii="仿宋" w:hAnsi="仿宋" w:eastAsia="仿宋" w:cs="仿宋"/>
          <w:color w:val="auto"/>
          <w:spacing w:val="-43"/>
          <w:sz w:val="24"/>
          <w:szCs w:val="24"/>
          <w:highlight w:val="none"/>
        </w:rPr>
        <w:t xml:space="preserve"> </w:t>
      </w:r>
      <w:r>
        <w:rPr>
          <w:rFonts w:hint="eastAsia" w:ascii="仿宋" w:hAnsi="仿宋" w:eastAsia="仿宋" w:cs="仿宋"/>
          <w:color w:val="auto"/>
          <w:spacing w:val="-5"/>
          <w:sz w:val="24"/>
          <w:szCs w:val="24"/>
          <w:highlight w:val="none"/>
        </w:rPr>
        <w:t>称</w:t>
      </w:r>
      <w:r>
        <w:rPr>
          <w:rFonts w:hint="eastAsia" w:ascii="仿宋" w:hAnsi="仿宋" w:eastAsia="仿宋" w:cs="仿宋"/>
          <w:color w:val="auto"/>
          <w:spacing w:val="-27"/>
          <w:sz w:val="24"/>
          <w:szCs w:val="24"/>
          <w:highlight w:val="none"/>
        </w:rPr>
        <w:t xml:space="preserve"> </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5"/>
          <w:sz w:val="24"/>
          <w:szCs w:val="24"/>
          <w:highlight w:val="none"/>
        </w:rPr>
        <w:t>规</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5"/>
          <w:sz w:val="24"/>
          <w:szCs w:val="24"/>
          <w:highlight w:val="none"/>
        </w:rPr>
        <w:t>格</w:t>
      </w:r>
      <w:r>
        <w:rPr>
          <w:rFonts w:hint="eastAsia" w:ascii="仿宋" w:hAnsi="仿宋" w:eastAsia="仿宋" w:cs="仿宋"/>
          <w:color w:val="auto"/>
          <w:spacing w:val="-27"/>
          <w:sz w:val="24"/>
          <w:szCs w:val="24"/>
          <w:highlight w:val="none"/>
        </w:rPr>
        <w:t xml:space="preserve"> </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5"/>
          <w:sz w:val="24"/>
          <w:szCs w:val="24"/>
          <w:highlight w:val="none"/>
        </w:rPr>
        <w:t>数</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量：</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3"/>
          <w:sz w:val="24"/>
          <w:szCs w:val="24"/>
          <w:highlight w:val="none"/>
        </w:rPr>
        <w:t>。</w:t>
      </w:r>
    </w:p>
    <w:p w14:paraId="1499DC12">
      <w:pPr>
        <w:pStyle w:val="2"/>
        <w:keepNext w:val="0"/>
        <w:keepLines w:val="0"/>
        <w:pageBreakBefore w:val="0"/>
        <w:widowControl/>
        <w:kinsoku w:val="0"/>
        <w:wordWrap/>
        <w:overflowPunct/>
        <w:topLinePunct w:val="0"/>
        <w:autoSpaceDE w:val="0"/>
        <w:autoSpaceDN w:val="0"/>
        <w:bidi w:val="0"/>
        <w:adjustRightInd w:val="0"/>
        <w:snapToGrid w:val="0"/>
        <w:spacing w:before="18"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6.4 质量检查</w:t>
      </w:r>
    </w:p>
    <w:p w14:paraId="02EEAC95">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6.4.1 工程质量要求</w:t>
      </w:r>
    </w:p>
    <w:p w14:paraId="647BA200">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工程质量的特殊标准或要求：</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4EAD06DD">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6.4.2 质量检查</w:t>
      </w:r>
    </w:p>
    <w:p w14:paraId="36E6D828">
      <w:pPr>
        <w:pStyle w:val="2"/>
        <w:keepNext w:val="0"/>
        <w:keepLines w:val="0"/>
        <w:pageBreakBefore w:val="0"/>
        <w:widowControl/>
        <w:kinsoku w:val="0"/>
        <w:wordWrap/>
        <w:overflowPunct/>
        <w:topLinePunct w:val="0"/>
        <w:autoSpaceDE w:val="0"/>
        <w:autoSpaceDN w:val="0"/>
        <w:bidi w:val="0"/>
        <w:adjustRightInd w:val="0"/>
        <w:snapToGrid w:val="0"/>
        <w:spacing w:before="26" w:line="242" w:lineRule="auto"/>
        <w:ind w:left="32" w:right="30" w:firstLine="6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9"/>
          <w:sz w:val="24"/>
          <w:szCs w:val="24"/>
          <w:highlight w:val="none"/>
        </w:rPr>
        <w:t>除通用合同条件已列明的质量检查的地点外，发包人有权进行质量检查的其他地</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z w:val="24"/>
          <w:szCs w:val="24"/>
          <w:highlight w:val="none"/>
        </w:rPr>
        <w:t>点：</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z w:val="24"/>
          <w:szCs w:val="24"/>
          <w:highlight w:val="none"/>
        </w:rPr>
        <w:t>。</w:t>
      </w:r>
    </w:p>
    <w:p w14:paraId="618FBF81">
      <w:pPr>
        <w:pStyle w:val="2"/>
        <w:keepNext w:val="0"/>
        <w:keepLines w:val="0"/>
        <w:pageBreakBefore w:val="0"/>
        <w:widowControl/>
        <w:kinsoku w:val="0"/>
        <w:wordWrap/>
        <w:overflowPunct/>
        <w:topLinePunct w:val="0"/>
        <w:autoSpaceDE w:val="0"/>
        <w:autoSpaceDN w:val="0"/>
        <w:bidi w:val="0"/>
        <w:adjustRightInd w:val="0"/>
        <w:snapToGrid w:val="0"/>
        <w:spacing w:before="19"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6.4.3</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4"/>
          <w:sz w:val="24"/>
          <w:szCs w:val="24"/>
          <w:highlight w:val="none"/>
        </w:rPr>
        <w:t>隐蔽工程检查</w:t>
      </w:r>
    </w:p>
    <w:p w14:paraId="0BDDB154">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关于隐蔽工程和中间验收的特别约定：</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3A440979">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6.5</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5"/>
          <w:sz w:val="24"/>
          <w:szCs w:val="24"/>
          <w:highlight w:val="none"/>
        </w:rPr>
        <w:t>由承包人试验和检验</w:t>
      </w:r>
    </w:p>
    <w:p w14:paraId="5BF73A1C">
      <w:pPr>
        <w:pStyle w:val="2"/>
        <w:keepNext w:val="0"/>
        <w:keepLines w:val="0"/>
        <w:pageBreakBefore w:val="0"/>
        <w:widowControl/>
        <w:kinsoku w:val="0"/>
        <w:wordWrap/>
        <w:overflowPunct/>
        <w:topLinePunct w:val="0"/>
        <w:autoSpaceDE w:val="0"/>
        <w:autoSpaceDN w:val="0"/>
        <w:bidi w:val="0"/>
        <w:adjustRightInd w:val="0"/>
        <w:snapToGrid w:val="0"/>
        <w:spacing w:before="27" w:line="229"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6.5.1 试验设备与试验人员</w:t>
      </w:r>
    </w:p>
    <w:p w14:paraId="36EAE26D">
      <w:pPr>
        <w:pStyle w:val="2"/>
        <w:keepNext w:val="0"/>
        <w:keepLines w:val="0"/>
        <w:pageBreakBefore w:val="0"/>
        <w:widowControl/>
        <w:kinsoku w:val="0"/>
        <w:wordWrap/>
        <w:overflowPunct/>
        <w:topLinePunct w:val="0"/>
        <w:autoSpaceDE w:val="0"/>
        <w:autoSpaceDN w:val="0"/>
        <w:bidi w:val="0"/>
        <w:adjustRightInd w:val="0"/>
        <w:snapToGrid w:val="0"/>
        <w:spacing w:before="23"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试验的内容、时间和地点：</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2576F582">
      <w:pPr>
        <w:pStyle w:val="2"/>
        <w:keepNext w:val="0"/>
        <w:keepLines w:val="0"/>
        <w:pageBreakBefore w:val="0"/>
        <w:widowControl/>
        <w:kinsoku w:val="0"/>
        <w:wordWrap/>
        <w:overflowPunct/>
        <w:topLinePunct w:val="0"/>
        <w:autoSpaceDE w:val="0"/>
        <w:autoSpaceDN w:val="0"/>
        <w:bidi w:val="0"/>
        <w:adjustRightInd w:val="0"/>
        <w:snapToGrid w:val="0"/>
        <w:spacing w:before="27" w:line="238" w:lineRule="auto"/>
        <w:ind w:left="622" w:right="63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试验所需要的试验设备、取样装置、试验场所和试验条件：</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r>
        <w:rPr>
          <w:rFonts w:hint="eastAsia" w:ascii="仿宋" w:hAnsi="仿宋" w:eastAsia="仿宋" w:cs="仿宋"/>
          <w:color w:val="auto"/>
          <w:spacing w:val="6"/>
          <w:sz w:val="24"/>
          <w:szCs w:val="24"/>
          <w:highlight w:val="none"/>
        </w:rPr>
        <w:t xml:space="preserve"> 试验和检验费用的计价原则：</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1C83E152">
      <w:pPr>
        <w:pStyle w:val="2"/>
        <w:keepNext w:val="0"/>
        <w:keepLines w:val="0"/>
        <w:pageBreakBefore w:val="0"/>
        <w:widowControl/>
        <w:kinsoku w:val="0"/>
        <w:wordWrap/>
        <w:overflowPunct/>
        <w:topLinePunct w:val="0"/>
        <w:autoSpaceDE w:val="0"/>
        <w:autoSpaceDN w:val="0"/>
        <w:bidi w:val="0"/>
        <w:adjustRightInd w:val="0"/>
        <w:snapToGrid w:val="0"/>
        <w:spacing w:before="146" w:line="228" w:lineRule="auto"/>
        <w:ind w:left="359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第</w:t>
      </w:r>
      <w:r>
        <w:rPr>
          <w:rFonts w:hint="eastAsia" w:ascii="仿宋" w:hAnsi="仿宋" w:eastAsia="仿宋" w:cs="仿宋"/>
          <w:color w:val="auto"/>
          <w:spacing w:val="-32"/>
          <w:sz w:val="24"/>
          <w:szCs w:val="24"/>
          <w:highlight w:val="none"/>
        </w:rPr>
        <w:t xml:space="preserve"> </w:t>
      </w:r>
      <w:r>
        <w:rPr>
          <w:rFonts w:hint="eastAsia" w:ascii="仿宋" w:hAnsi="仿宋" w:eastAsia="仿宋" w:cs="仿宋"/>
          <w:b/>
          <w:bCs/>
          <w:color w:val="auto"/>
          <w:spacing w:val="-2"/>
          <w:sz w:val="24"/>
          <w:szCs w:val="24"/>
          <w:highlight w:val="none"/>
        </w:rPr>
        <w:t>7</w:t>
      </w:r>
      <w:r>
        <w:rPr>
          <w:rFonts w:hint="eastAsia" w:ascii="仿宋" w:hAnsi="仿宋" w:eastAsia="仿宋" w:cs="仿宋"/>
          <w:color w:val="auto"/>
          <w:spacing w:val="-36"/>
          <w:sz w:val="24"/>
          <w:szCs w:val="24"/>
          <w:highlight w:val="none"/>
        </w:rPr>
        <w:t xml:space="preserve"> </w:t>
      </w:r>
      <w:r>
        <w:rPr>
          <w:rFonts w:hint="eastAsia" w:ascii="仿宋" w:hAnsi="仿宋" w:eastAsia="仿宋" w:cs="仿宋"/>
          <w:b/>
          <w:bCs/>
          <w:color w:val="auto"/>
          <w:spacing w:val="-2"/>
          <w:sz w:val="24"/>
          <w:szCs w:val="24"/>
          <w:highlight w:val="none"/>
        </w:rPr>
        <w:t>条</w:t>
      </w:r>
      <w:r>
        <w:rPr>
          <w:rFonts w:hint="eastAsia" w:ascii="仿宋" w:hAnsi="仿宋" w:eastAsia="仿宋" w:cs="仿宋"/>
          <w:color w:val="auto"/>
          <w:spacing w:val="15"/>
          <w:sz w:val="24"/>
          <w:szCs w:val="24"/>
          <w:highlight w:val="none"/>
        </w:rPr>
        <w:t xml:space="preserve"> </w:t>
      </w:r>
      <w:r>
        <w:rPr>
          <w:rFonts w:hint="eastAsia" w:ascii="仿宋" w:hAnsi="仿宋" w:eastAsia="仿宋" w:cs="仿宋"/>
          <w:b/>
          <w:bCs/>
          <w:color w:val="auto"/>
          <w:spacing w:val="-2"/>
          <w:sz w:val="24"/>
          <w:szCs w:val="24"/>
          <w:highlight w:val="none"/>
        </w:rPr>
        <w:t>施工</w:t>
      </w:r>
    </w:p>
    <w:p w14:paraId="2D1321F8">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7.1</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3"/>
          <w:sz w:val="24"/>
          <w:szCs w:val="24"/>
          <w:highlight w:val="none"/>
        </w:rPr>
        <w:t>交通运输</w:t>
      </w:r>
    </w:p>
    <w:p w14:paraId="3246B6C4">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7.1.1</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4"/>
          <w:sz w:val="24"/>
          <w:szCs w:val="24"/>
          <w:highlight w:val="none"/>
        </w:rPr>
        <w:t>出入现场的权利</w:t>
      </w:r>
    </w:p>
    <w:p w14:paraId="31127103">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关于出入现场的权利的约定：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1A5A6EEA">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7.1.2 场外交通</w:t>
      </w:r>
    </w:p>
    <w:p w14:paraId="2D8360F9">
      <w:pPr>
        <w:pStyle w:val="2"/>
        <w:keepNext w:val="0"/>
        <w:keepLines w:val="0"/>
        <w:pageBreakBefore w:val="0"/>
        <w:widowControl/>
        <w:kinsoku w:val="0"/>
        <w:wordWrap/>
        <w:overflowPunct/>
        <w:topLinePunct w:val="0"/>
        <w:autoSpaceDE w:val="0"/>
        <w:autoSpaceDN w:val="0"/>
        <w:bidi w:val="0"/>
        <w:adjustRightInd w:val="0"/>
        <w:snapToGrid w:val="0"/>
        <w:spacing w:before="23"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关于场外交通的特别约定：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4D260C23">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7.1.3 场内交通</w:t>
      </w:r>
    </w:p>
    <w:p w14:paraId="05C9BF3C">
      <w:pPr>
        <w:pStyle w:val="2"/>
        <w:keepNext w:val="0"/>
        <w:keepLines w:val="0"/>
        <w:pageBreakBefore w:val="0"/>
        <w:widowControl/>
        <w:kinsoku w:val="0"/>
        <w:wordWrap/>
        <w:overflowPunct/>
        <w:topLinePunct w:val="0"/>
        <w:autoSpaceDE w:val="0"/>
        <w:autoSpaceDN w:val="0"/>
        <w:bidi w:val="0"/>
        <w:adjustRightInd w:val="0"/>
        <w:snapToGrid w:val="0"/>
        <w:spacing w:before="25" w:line="250"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关于场内交通的特别约定：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322774A8">
      <w:pPr>
        <w:pStyle w:val="2"/>
        <w:keepNext w:val="0"/>
        <w:keepLines w:val="0"/>
        <w:pageBreakBefore w:val="0"/>
        <w:widowControl/>
        <w:kinsoku w:val="0"/>
        <w:wordWrap/>
        <w:overflowPunct/>
        <w:topLinePunct w:val="0"/>
        <w:autoSpaceDE w:val="0"/>
        <w:autoSpaceDN w:val="0"/>
        <w:bidi w:val="0"/>
        <w:adjustRightInd w:val="0"/>
        <w:snapToGrid w:val="0"/>
        <w:spacing w:line="227"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关于场内交通与场外交通边界的约定：</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23334471">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7.1.4 超大件和超重件的运输</w:t>
      </w:r>
    </w:p>
    <w:p w14:paraId="5A5EFBAC">
      <w:pPr>
        <w:pStyle w:val="2"/>
        <w:keepNext w:val="0"/>
        <w:keepLines w:val="0"/>
        <w:pageBreakBefore w:val="0"/>
        <w:widowControl/>
        <w:kinsoku w:val="0"/>
        <w:wordWrap/>
        <w:overflowPunct/>
        <w:topLinePunct w:val="0"/>
        <w:autoSpaceDE w:val="0"/>
        <w:autoSpaceDN w:val="0"/>
        <w:bidi w:val="0"/>
        <w:adjustRightInd w:val="0"/>
        <w:snapToGrid w:val="0"/>
        <w:spacing w:before="25"/>
        <w:ind w:left="22" w:right="30"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3"/>
          <w:sz w:val="24"/>
          <w:szCs w:val="24"/>
          <w:highlight w:val="none"/>
        </w:rPr>
        <w:t>运输超大件或超重件所需的道路和桥梁临时加固改造费用和其他有关费用由</w:t>
      </w:r>
      <w:r>
        <w:rPr>
          <w:rFonts w:hint="eastAsia" w:ascii="仿宋" w:hAnsi="仿宋" w:eastAsia="仿宋" w:cs="仿宋"/>
          <w:color w:val="auto"/>
          <w:spacing w:val="5"/>
          <w:sz w:val="24"/>
          <w:szCs w:val="24"/>
          <w:highlight w:val="none"/>
        </w:rPr>
        <w:t xml:space="preserve"> </w:t>
      </w:r>
      <w:r>
        <w:rPr>
          <w:rFonts w:hint="eastAsia" w:ascii="仿宋" w:hAnsi="仿宋" w:eastAsia="仿宋" w:cs="仿宋"/>
          <w:color w:val="auto"/>
          <w:spacing w:val="3"/>
          <w:sz w:val="24"/>
          <w:szCs w:val="24"/>
          <w:highlight w:val="none"/>
        </w:rPr>
        <w:t>承担。</w:t>
      </w:r>
    </w:p>
    <w:p w14:paraId="136FC11D">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7.2 施工设备和临时设施</w:t>
      </w:r>
    </w:p>
    <w:p w14:paraId="1B515C5A">
      <w:pPr>
        <w:pStyle w:val="2"/>
        <w:keepNext w:val="0"/>
        <w:keepLines w:val="0"/>
        <w:pageBreakBefore w:val="0"/>
        <w:widowControl/>
        <w:kinsoku w:val="0"/>
        <w:wordWrap/>
        <w:overflowPunct/>
        <w:topLinePunct w:val="0"/>
        <w:autoSpaceDE w:val="0"/>
        <w:autoSpaceDN w:val="0"/>
        <w:bidi w:val="0"/>
        <w:adjustRightInd w:val="0"/>
        <w:snapToGrid w:val="0"/>
        <w:spacing w:before="25" w:line="227"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7.2.1 承包人提供的施工设备和临时设施</w:t>
      </w:r>
    </w:p>
    <w:p w14:paraId="4E35818F">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临时设施的费用和临时占地手续和费用承担的特别约定：</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0910C3D4">
      <w:pPr>
        <w:pStyle w:val="2"/>
        <w:keepNext w:val="0"/>
        <w:keepLines w:val="0"/>
        <w:pageBreakBefore w:val="0"/>
        <w:widowControl/>
        <w:kinsoku w:val="0"/>
        <w:wordWrap/>
        <w:overflowPunct/>
        <w:topLinePunct w:val="0"/>
        <w:autoSpaceDE w:val="0"/>
        <w:autoSpaceDN w:val="0"/>
        <w:bidi w:val="0"/>
        <w:adjustRightInd w:val="0"/>
        <w:snapToGrid w:val="0"/>
        <w:spacing w:before="27" w:line="227"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7.2.2 发包人提供的施工设备和临时设施</w:t>
      </w:r>
    </w:p>
    <w:p w14:paraId="68950831">
      <w:pPr>
        <w:pStyle w:val="2"/>
        <w:keepNext w:val="0"/>
        <w:keepLines w:val="0"/>
        <w:pageBreakBefore w:val="0"/>
        <w:widowControl/>
        <w:kinsoku w:val="0"/>
        <w:wordWrap/>
        <w:overflowPunct/>
        <w:topLinePunct w:val="0"/>
        <w:autoSpaceDE w:val="0"/>
        <w:autoSpaceDN w:val="0"/>
        <w:bidi w:val="0"/>
        <w:adjustRightInd w:val="0"/>
        <w:snapToGrid w:val="0"/>
        <w:spacing w:before="25" w:line="227"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发包人提供的施工设备或临时设施范围：</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1E73549D">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7.3</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4"/>
          <w:sz w:val="24"/>
          <w:szCs w:val="24"/>
          <w:highlight w:val="none"/>
        </w:rPr>
        <w:t>现场合作</w:t>
      </w:r>
    </w:p>
    <w:p w14:paraId="7998DF1D">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关于现场合作费用的特别约定：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2BCB905D">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7.4 测量放线</w:t>
      </w:r>
    </w:p>
    <w:p w14:paraId="7261E93B">
      <w:pPr>
        <w:pStyle w:val="2"/>
        <w:keepNext w:val="0"/>
        <w:keepLines w:val="0"/>
        <w:pageBreakBefore w:val="0"/>
        <w:widowControl/>
        <w:kinsoku w:val="0"/>
        <w:wordWrap/>
        <w:overflowPunct/>
        <w:topLinePunct w:val="0"/>
        <w:autoSpaceDE w:val="0"/>
        <w:autoSpaceDN w:val="0"/>
        <w:bidi w:val="0"/>
        <w:adjustRightInd w:val="0"/>
        <w:snapToGrid w:val="0"/>
        <w:spacing w:before="25"/>
        <w:ind w:left="26" w:right="30"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7.4.1 关于测量放线的特别约定的技术规范：</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。施工控制网资料的告</w:t>
      </w:r>
      <w:r>
        <w:rPr>
          <w:rFonts w:hint="eastAsia" w:ascii="仿宋" w:hAnsi="仿宋" w:eastAsia="仿宋" w:cs="仿宋"/>
          <w:color w:val="auto"/>
          <w:spacing w:val="7"/>
          <w:sz w:val="24"/>
          <w:szCs w:val="24"/>
          <w:highlight w:val="none"/>
        </w:rPr>
        <w:t xml:space="preserve"> </w:t>
      </w:r>
      <w:r>
        <w:rPr>
          <w:rFonts w:hint="eastAsia" w:ascii="仿宋" w:hAnsi="仿宋" w:eastAsia="仿宋" w:cs="仿宋"/>
          <w:color w:val="auto"/>
          <w:spacing w:val="5"/>
          <w:sz w:val="24"/>
          <w:szCs w:val="24"/>
          <w:highlight w:val="none"/>
        </w:rPr>
        <w:t>知期限：</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007310AB">
      <w:pPr>
        <w:pStyle w:val="2"/>
        <w:keepNext w:val="0"/>
        <w:keepLines w:val="0"/>
        <w:pageBreakBefore w:val="0"/>
        <w:widowControl/>
        <w:kinsoku w:val="0"/>
        <w:wordWrap/>
        <w:overflowPunct/>
        <w:topLinePunct w:val="0"/>
        <w:autoSpaceDE w:val="0"/>
        <w:autoSpaceDN w:val="0"/>
        <w:bidi w:val="0"/>
        <w:adjustRightInd w:val="0"/>
        <w:snapToGrid w:val="0"/>
        <w:spacing w:before="23"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7.5 现场劳动用工</w:t>
      </w:r>
    </w:p>
    <w:p w14:paraId="339B0429">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jc w:val="right"/>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7.5.2 合同当事人对建筑工人工资清偿事宜和违约责任的约定：</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3BE786BD">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仿宋" w:hAnsi="仿宋" w:eastAsia="仿宋" w:cs="仿宋"/>
          <w:color w:val="auto"/>
          <w:sz w:val="24"/>
          <w:szCs w:val="24"/>
          <w:highlight w:val="none"/>
        </w:rPr>
        <w:sectPr>
          <w:footerReference r:id="rId45" w:type="default"/>
          <w:pgSz w:w="11906" w:h="16839"/>
          <w:pgMar w:top="1428" w:right="1771" w:bottom="1171" w:left="1785" w:header="0" w:footer="992" w:gutter="0"/>
          <w:pgNumType w:fmt="decimal"/>
          <w:cols w:space="720" w:num="1"/>
        </w:sectPr>
      </w:pPr>
    </w:p>
    <w:p w14:paraId="1E1ADB1A">
      <w:pPr>
        <w:pStyle w:val="2"/>
        <w:keepNext w:val="0"/>
        <w:keepLines w:val="0"/>
        <w:pageBreakBefore w:val="0"/>
        <w:widowControl/>
        <w:kinsoku w:val="0"/>
        <w:wordWrap/>
        <w:overflowPunct/>
        <w:topLinePunct w:val="0"/>
        <w:autoSpaceDE w:val="0"/>
        <w:autoSpaceDN w:val="0"/>
        <w:bidi w:val="0"/>
        <w:adjustRightInd w:val="0"/>
        <w:snapToGrid w:val="0"/>
        <w:spacing w:before="41"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7.6 安全文明施工</w:t>
      </w:r>
    </w:p>
    <w:p w14:paraId="0833F0B8">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7.6.1 安全生产要求</w:t>
      </w:r>
    </w:p>
    <w:p w14:paraId="5C36FB32">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74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合同当事人对安全施工的要求：</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2F1D2A01">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7.6.3 文明施工</w:t>
      </w:r>
    </w:p>
    <w:p w14:paraId="17A9B22F">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合同当事人对文明施工的要求：</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430EE0AB">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7.9</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5"/>
          <w:sz w:val="24"/>
          <w:szCs w:val="24"/>
          <w:highlight w:val="none"/>
        </w:rPr>
        <w:t>临时性公用设施</w:t>
      </w:r>
    </w:p>
    <w:p w14:paraId="789A6AA1">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关于临时性公用设施的特别约定：</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7A004981">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7.10 现场安保</w:t>
      </w:r>
    </w:p>
    <w:p w14:paraId="12F41DF6">
      <w:pPr>
        <w:pStyle w:val="2"/>
        <w:keepNext w:val="0"/>
        <w:keepLines w:val="0"/>
        <w:pageBreakBefore w:val="0"/>
        <w:widowControl/>
        <w:kinsoku w:val="0"/>
        <w:wordWrap/>
        <w:overflowPunct/>
        <w:topLinePunct w:val="0"/>
        <w:autoSpaceDE w:val="0"/>
        <w:autoSpaceDN w:val="0"/>
        <w:bidi w:val="0"/>
        <w:adjustRightInd w:val="0"/>
        <w:snapToGrid w:val="0"/>
        <w:spacing w:before="23"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承包人现场安保义务的特别约定：</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71F28067">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328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第</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4"/>
          <w:sz w:val="24"/>
          <w:szCs w:val="24"/>
          <w:highlight w:val="none"/>
        </w:rPr>
        <w:t>8</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4"/>
          <w:sz w:val="24"/>
          <w:szCs w:val="24"/>
          <w:highlight w:val="none"/>
        </w:rPr>
        <w:t>条</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4"/>
          <w:sz w:val="24"/>
          <w:szCs w:val="24"/>
          <w:highlight w:val="none"/>
        </w:rPr>
        <w:t>工期和进度</w:t>
      </w:r>
    </w:p>
    <w:p w14:paraId="19F4A102">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8.1 开始工作</w:t>
      </w:r>
    </w:p>
    <w:p w14:paraId="2E943863">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8.1.1 开始准备工作：</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51113F9B">
      <w:pPr>
        <w:pStyle w:val="2"/>
        <w:keepNext w:val="0"/>
        <w:keepLines w:val="0"/>
        <w:pageBreakBefore w:val="0"/>
        <w:widowControl/>
        <w:kinsoku w:val="0"/>
        <w:wordWrap/>
        <w:overflowPunct/>
        <w:topLinePunct w:val="0"/>
        <w:autoSpaceDE w:val="0"/>
        <w:autoSpaceDN w:val="0"/>
        <w:bidi w:val="0"/>
        <w:adjustRightInd w:val="0"/>
        <w:snapToGrid w:val="0"/>
        <w:spacing w:before="26"/>
        <w:ind w:left="24" w:right="15" w:firstLine="5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8.1.2</w:t>
      </w:r>
      <w:r>
        <w:rPr>
          <w:rFonts w:hint="eastAsia" w:ascii="仿宋" w:hAnsi="仿宋" w:eastAsia="仿宋" w:cs="仿宋"/>
          <w:color w:val="auto"/>
          <w:spacing w:val="47"/>
          <w:sz w:val="24"/>
          <w:szCs w:val="24"/>
          <w:highlight w:val="none"/>
        </w:rPr>
        <w:t xml:space="preserve"> </w:t>
      </w:r>
      <w:r>
        <w:rPr>
          <w:rFonts w:hint="eastAsia" w:ascii="仿宋" w:hAnsi="仿宋" w:eastAsia="仿宋" w:cs="仿宋"/>
          <w:color w:val="auto"/>
          <w:spacing w:val="11"/>
          <w:sz w:val="24"/>
          <w:szCs w:val="24"/>
          <w:highlight w:val="none"/>
        </w:rPr>
        <w:t>发包</w:t>
      </w:r>
      <w:r>
        <w:rPr>
          <w:rFonts w:hint="eastAsia" w:ascii="仿宋" w:hAnsi="仿宋" w:eastAsia="仿宋" w:cs="仿宋"/>
          <w:color w:val="auto"/>
          <w:spacing w:val="-59"/>
          <w:sz w:val="24"/>
          <w:szCs w:val="24"/>
          <w:highlight w:val="none"/>
        </w:rPr>
        <w:t xml:space="preserve"> </w:t>
      </w:r>
      <w:r>
        <w:rPr>
          <w:rFonts w:hint="eastAsia" w:ascii="仿宋" w:hAnsi="仿宋" w:eastAsia="仿宋" w:cs="仿宋"/>
          <w:color w:val="auto"/>
          <w:spacing w:val="11"/>
          <w:sz w:val="24"/>
          <w:szCs w:val="24"/>
          <w:highlight w:val="none"/>
        </w:rPr>
        <w:t>人</w:t>
      </w:r>
      <w:r>
        <w:rPr>
          <w:rFonts w:hint="eastAsia" w:ascii="仿宋" w:hAnsi="仿宋" w:eastAsia="仿宋" w:cs="仿宋"/>
          <w:color w:val="auto"/>
          <w:spacing w:val="-59"/>
          <w:sz w:val="24"/>
          <w:szCs w:val="24"/>
          <w:highlight w:val="none"/>
        </w:rPr>
        <w:t xml:space="preserve"> </w:t>
      </w:r>
      <w:r>
        <w:rPr>
          <w:rFonts w:hint="eastAsia" w:ascii="仿宋" w:hAnsi="仿宋" w:eastAsia="仿宋" w:cs="仿宋"/>
          <w:color w:val="auto"/>
          <w:spacing w:val="11"/>
          <w:sz w:val="24"/>
          <w:szCs w:val="24"/>
          <w:highlight w:val="none"/>
        </w:rPr>
        <w:t>可</w:t>
      </w:r>
      <w:r>
        <w:rPr>
          <w:rFonts w:hint="eastAsia" w:ascii="仿宋" w:hAnsi="仿宋" w:eastAsia="仿宋" w:cs="仿宋"/>
          <w:color w:val="auto"/>
          <w:spacing w:val="-60"/>
          <w:sz w:val="24"/>
          <w:szCs w:val="24"/>
          <w:highlight w:val="none"/>
        </w:rPr>
        <w:t xml:space="preserve"> </w:t>
      </w:r>
      <w:r>
        <w:rPr>
          <w:rFonts w:hint="eastAsia" w:ascii="仿宋" w:hAnsi="仿宋" w:eastAsia="仿宋" w:cs="仿宋"/>
          <w:color w:val="auto"/>
          <w:spacing w:val="11"/>
          <w:sz w:val="24"/>
          <w:szCs w:val="24"/>
          <w:highlight w:val="none"/>
        </w:rPr>
        <w:t>在计划开始</w:t>
      </w:r>
      <w:r>
        <w:rPr>
          <w:rFonts w:hint="eastAsia" w:ascii="仿宋" w:hAnsi="仿宋" w:eastAsia="仿宋" w:cs="仿宋"/>
          <w:color w:val="auto"/>
          <w:spacing w:val="-58"/>
          <w:sz w:val="24"/>
          <w:szCs w:val="24"/>
          <w:highlight w:val="none"/>
        </w:rPr>
        <w:t xml:space="preserve"> </w:t>
      </w:r>
      <w:r>
        <w:rPr>
          <w:rFonts w:hint="eastAsia" w:ascii="仿宋" w:hAnsi="仿宋" w:eastAsia="仿宋" w:cs="仿宋"/>
          <w:color w:val="auto"/>
          <w:spacing w:val="11"/>
          <w:sz w:val="24"/>
          <w:szCs w:val="24"/>
          <w:highlight w:val="none"/>
        </w:rPr>
        <w:t>工</w:t>
      </w:r>
      <w:r>
        <w:rPr>
          <w:rFonts w:hint="eastAsia" w:ascii="仿宋" w:hAnsi="仿宋" w:eastAsia="仿宋" w:cs="仿宋"/>
          <w:color w:val="auto"/>
          <w:spacing w:val="-58"/>
          <w:sz w:val="24"/>
          <w:szCs w:val="24"/>
          <w:highlight w:val="none"/>
        </w:rPr>
        <w:t xml:space="preserve"> </w:t>
      </w:r>
      <w:r>
        <w:rPr>
          <w:rFonts w:hint="eastAsia" w:ascii="仿宋" w:hAnsi="仿宋" w:eastAsia="仿宋" w:cs="仿宋"/>
          <w:color w:val="auto"/>
          <w:spacing w:val="11"/>
          <w:sz w:val="24"/>
          <w:szCs w:val="24"/>
          <w:highlight w:val="none"/>
        </w:rPr>
        <w:t>作</w:t>
      </w:r>
      <w:r>
        <w:rPr>
          <w:rFonts w:hint="eastAsia" w:ascii="仿宋" w:hAnsi="仿宋" w:eastAsia="仿宋" w:cs="仿宋"/>
          <w:color w:val="auto"/>
          <w:spacing w:val="-59"/>
          <w:sz w:val="24"/>
          <w:szCs w:val="24"/>
          <w:highlight w:val="none"/>
        </w:rPr>
        <w:t xml:space="preserve"> </w:t>
      </w:r>
      <w:r>
        <w:rPr>
          <w:rFonts w:hint="eastAsia" w:ascii="仿宋" w:hAnsi="仿宋" w:eastAsia="仿宋" w:cs="仿宋"/>
          <w:color w:val="auto"/>
          <w:spacing w:val="11"/>
          <w:sz w:val="24"/>
          <w:szCs w:val="24"/>
          <w:highlight w:val="none"/>
        </w:rPr>
        <w:t>之</w:t>
      </w:r>
      <w:r>
        <w:rPr>
          <w:rFonts w:hint="eastAsia" w:ascii="仿宋" w:hAnsi="仿宋" w:eastAsia="仿宋" w:cs="仿宋"/>
          <w:color w:val="auto"/>
          <w:spacing w:val="-25"/>
          <w:sz w:val="24"/>
          <w:szCs w:val="24"/>
          <w:highlight w:val="none"/>
        </w:rPr>
        <w:t xml:space="preserve"> </w:t>
      </w:r>
      <w:r>
        <w:rPr>
          <w:rFonts w:hint="eastAsia" w:ascii="仿宋" w:hAnsi="仿宋" w:eastAsia="仿宋" w:cs="仿宋"/>
          <w:color w:val="auto"/>
          <w:spacing w:val="11"/>
          <w:sz w:val="24"/>
          <w:szCs w:val="24"/>
          <w:highlight w:val="none"/>
        </w:rPr>
        <w:t>日起 84 日</w:t>
      </w:r>
      <w:r>
        <w:rPr>
          <w:rFonts w:hint="eastAsia" w:ascii="仿宋" w:hAnsi="仿宋" w:eastAsia="仿宋" w:cs="仿宋"/>
          <w:color w:val="auto"/>
          <w:spacing w:val="-59"/>
          <w:sz w:val="24"/>
          <w:szCs w:val="24"/>
          <w:highlight w:val="none"/>
        </w:rPr>
        <w:t xml:space="preserve"> </w:t>
      </w:r>
      <w:r>
        <w:rPr>
          <w:rFonts w:hint="eastAsia" w:ascii="仿宋" w:hAnsi="仿宋" w:eastAsia="仿宋" w:cs="仿宋"/>
          <w:color w:val="auto"/>
          <w:spacing w:val="11"/>
          <w:sz w:val="24"/>
          <w:szCs w:val="24"/>
          <w:highlight w:val="none"/>
        </w:rPr>
        <w:t>后</w:t>
      </w:r>
      <w:r>
        <w:rPr>
          <w:rFonts w:hint="eastAsia" w:ascii="仿宋" w:hAnsi="仿宋" w:eastAsia="仿宋" w:cs="仿宋"/>
          <w:color w:val="auto"/>
          <w:spacing w:val="-57"/>
          <w:sz w:val="24"/>
          <w:szCs w:val="24"/>
          <w:highlight w:val="none"/>
        </w:rPr>
        <w:t xml:space="preserve"> </w:t>
      </w:r>
      <w:r>
        <w:rPr>
          <w:rFonts w:hint="eastAsia" w:ascii="仿宋" w:hAnsi="仿宋" w:eastAsia="仿宋" w:cs="仿宋"/>
          <w:color w:val="auto"/>
          <w:spacing w:val="11"/>
          <w:sz w:val="24"/>
          <w:szCs w:val="24"/>
          <w:highlight w:val="none"/>
        </w:rPr>
        <w:t>发</w:t>
      </w:r>
      <w:r>
        <w:rPr>
          <w:rFonts w:hint="eastAsia" w:ascii="仿宋" w:hAnsi="仿宋" w:eastAsia="仿宋" w:cs="仿宋"/>
          <w:color w:val="auto"/>
          <w:spacing w:val="-43"/>
          <w:sz w:val="24"/>
          <w:szCs w:val="24"/>
          <w:highlight w:val="none"/>
        </w:rPr>
        <w:t xml:space="preserve"> </w:t>
      </w:r>
      <w:r>
        <w:rPr>
          <w:rFonts w:hint="eastAsia" w:ascii="仿宋" w:hAnsi="仿宋" w:eastAsia="仿宋" w:cs="仿宋"/>
          <w:color w:val="auto"/>
          <w:spacing w:val="11"/>
          <w:sz w:val="24"/>
          <w:szCs w:val="24"/>
          <w:highlight w:val="none"/>
        </w:rPr>
        <w:t>出</w:t>
      </w:r>
      <w:r>
        <w:rPr>
          <w:rFonts w:hint="eastAsia" w:ascii="仿宋" w:hAnsi="仿宋" w:eastAsia="仿宋" w:cs="仿宋"/>
          <w:color w:val="auto"/>
          <w:spacing w:val="-58"/>
          <w:sz w:val="24"/>
          <w:szCs w:val="24"/>
          <w:highlight w:val="none"/>
        </w:rPr>
        <w:t xml:space="preserve"> </w:t>
      </w:r>
      <w:r>
        <w:rPr>
          <w:rFonts w:hint="eastAsia" w:ascii="仿宋" w:hAnsi="仿宋" w:eastAsia="仿宋" w:cs="仿宋"/>
          <w:color w:val="auto"/>
          <w:spacing w:val="11"/>
          <w:sz w:val="24"/>
          <w:szCs w:val="24"/>
          <w:highlight w:val="none"/>
        </w:rPr>
        <w:t>开</w:t>
      </w:r>
      <w:r>
        <w:rPr>
          <w:rFonts w:hint="eastAsia" w:ascii="仿宋" w:hAnsi="仿宋" w:eastAsia="仿宋" w:cs="仿宋"/>
          <w:color w:val="auto"/>
          <w:spacing w:val="10"/>
          <w:sz w:val="24"/>
          <w:szCs w:val="24"/>
          <w:highlight w:val="none"/>
        </w:rPr>
        <w:t>始</w:t>
      </w:r>
      <w:r>
        <w:rPr>
          <w:rFonts w:hint="eastAsia" w:ascii="仿宋" w:hAnsi="仿宋" w:eastAsia="仿宋" w:cs="仿宋"/>
          <w:color w:val="auto"/>
          <w:spacing w:val="-58"/>
          <w:sz w:val="24"/>
          <w:szCs w:val="24"/>
          <w:highlight w:val="none"/>
        </w:rPr>
        <w:t xml:space="preserve"> </w:t>
      </w:r>
      <w:r>
        <w:rPr>
          <w:rFonts w:hint="eastAsia" w:ascii="仿宋" w:hAnsi="仿宋" w:eastAsia="仿宋" w:cs="仿宋"/>
          <w:color w:val="auto"/>
          <w:spacing w:val="10"/>
          <w:sz w:val="24"/>
          <w:szCs w:val="24"/>
          <w:highlight w:val="none"/>
        </w:rPr>
        <w:t>工作通</w:t>
      </w:r>
      <w:r>
        <w:rPr>
          <w:rFonts w:hint="eastAsia" w:ascii="仿宋" w:hAnsi="仿宋" w:eastAsia="仿宋" w:cs="仿宋"/>
          <w:color w:val="auto"/>
          <w:spacing w:val="-57"/>
          <w:sz w:val="24"/>
          <w:szCs w:val="24"/>
          <w:highlight w:val="none"/>
        </w:rPr>
        <w:t xml:space="preserve"> </w:t>
      </w:r>
      <w:r>
        <w:rPr>
          <w:rFonts w:hint="eastAsia" w:ascii="仿宋" w:hAnsi="仿宋" w:eastAsia="仿宋" w:cs="仿宋"/>
          <w:color w:val="auto"/>
          <w:spacing w:val="10"/>
          <w:sz w:val="24"/>
          <w:szCs w:val="24"/>
          <w:highlight w:val="none"/>
        </w:rPr>
        <w:t>知</w:t>
      </w:r>
      <w:r>
        <w:rPr>
          <w:rFonts w:hint="eastAsia" w:ascii="仿宋" w:hAnsi="仿宋" w:eastAsia="仿宋" w:cs="仿宋"/>
          <w:color w:val="auto"/>
          <w:spacing w:val="-41"/>
          <w:sz w:val="24"/>
          <w:szCs w:val="24"/>
          <w:highlight w:val="none"/>
        </w:rPr>
        <w:t xml:space="preserve"> </w:t>
      </w:r>
      <w:r>
        <w:rPr>
          <w:rFonts w:hint="eastAsia" w:ascii="仿宋" w:hAnsi="仿宋" w:eastAsia="仿宋" w:cs="仿宋"/>
          <w:color w:val="auto"/>
          <w:spacing w:val="10"/>
          <w:sz w:val="24"/>
          <w:szCs w:val="24"/>
          <w:highlight w:val="none"/>
        </w:rPr>
        <w:t>的特殊情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形：</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3"/>
          <w:sz w:val="24"/>
          <w:szCs w:val="24"/>
          <w:highlight w:val="none"/>
        </w:rPr>
        <w:t>。</w:t>
      </w:r>
    </w:p>
    <w:p w14:paraId="36074618">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8.2 竣工日期</w:t>
      </w:r>
    </w:p>
    <w:p w14:paraId="372D8F45">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竣工日期的约定：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62D814D4">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8.3 项目实施计划</w:t>
      </w:r>
    </w:p>
    <w:p w14:paraId="334F8515">
      <w:pPr>
        <w:pStyle w:val="2"/>
        <w:keepNext w:val="0"/>
        <w:keepLines w:val="0"/>
        <w:pageBreakBefore w:val="0"/>
        <w:widowControl/>
        <w:kinsoku w:val="0"/>
        <w:wordWrap/>
        <w:overflowPunct/>
        <w:topLinePunct w:val="0"/>
        <w:autoSpaceDE w:val="0"/>
        <w:autoSpaceDN w:val="0"/>
        <w:bidi w:val="0"/>
        <w:adjustRightInd w:val="0"/>
        <w:snapToGrid w:val="0"/>
        <w:spacing w:before="23"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8.3.1 项目实施计划的内容</w:t>
      </w:r>
    </w:p>
    <w:p w14:paraId="6F5641C4">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项目实施计划的内容：</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5F9BD301">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8.3.2 项目实施计划的提交和修改</w:t>
      </w:r>
    </w:p>
    <w:p w14:paraId="6B281B7F">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项目实施计划的提交及修改期限：</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6982EC19">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8.4 项目进度计划</w:t>
      </w:r>
    </w:p>
    <w:p w14:paraId="636C30CE">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8.4.1 工程师在收到进度计划后确认或提出修改意见的期限：</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7E98AB72">
      <w:pPr>
        <w:pStyle w:val="2"/>
        <w:keepNext w:val="0"/>
        <w:keepLines w:val="0"/>
        <w:pageBreakBefore w:val="0"/>
        <w:widowControl/>
        <w:kinsoku w:val="0"/>
        <w:wordWrap/>
        <w:overflowPunct/>
        <w:topLinePunct w:val="0"/>
        <w:autoSpaceDE w:val="0"/>
        <w:autoSpaceDN w:val="0"/>
        <w:bidi w:val="0"/>
        <w:adjustRightInd w:val="0"/>
        <w:snapToGrid w:val="0"/>
        <w:spacing w:before="23" w:line="244" w:lineRule="auto"/>
        <w:ind w:left="622" w:right="219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8.4.2 进度计划的具体要求：</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71"/>
          <w:sz w:val="24"/>
          <w:szCs w:val="24"/>
          <w:highlight w:val="none"/>
        </w:rPr>
        <w:t xml:space="preserve"> </w:t>
      </w:r>
      <w:r>
        <w:rPr>
          <w:rFonts w:hint="eastAsia" w:ascii="仿宋" w:hAnsi="仿宋" w:eastAsia="仿宋" w:cs="仿宋"/>
          <w:color w:val="auto"/>
          <w:spacing w:val="5"/>
          <w:sz w:val="24"/>
          <w:szCs w:val="24"/>
          <w:highlight w:val="none"/>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关键路径及关键路径变化的确定原则：</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6"/>
          <w:sz w:val="24"/>
          <w:szCs w:val="24"/>
          <w:highlight w:val="none"/>
        </w:rPr>
        <w:t>承包人提交项目进度计划的份数和时间：</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6E3F61AC">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8.4.3 进度计划的修订</w:t>
      </w:r>
    </w:p>
    <w:p w14:paraId="56D502BC">
      <w:pPr>
        <w:pStyle w:val="2"/>
        <w:keepNext w:val="0"/>
        <w:keepLines w:val="0"/>
        <w:pageBreakBefore w:val="0"/>
        <w:widowControl/>
        <w:kinsoku w:val="0"/>
        <w:wordWrap/>
        <w:overflowPunct/>
        <w:topLinePunct w:val="0"/>
        <w:autoSpaceDE w:val="0"/>
        <w:autoSpaceDN w:val="0"/>
        <w:bidi w:val="0"/>
        <w:adjustRightInd w:val="0"/>
        <w:snapToGrid w:val="0"/>
        <w:spacing w:before="26" w:line="253"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承包人提交修订项目进度计划申请报告的期限：</w:t>
      </w:r>
      <w:r>
        <w:rPr>
          <w:rFonts w:hint="eastAsia" w:ascii="仿宋" w:hAnsi="仿宋" w:eastAsia="仿宋" w:cs="仿宋"/>
          <w:color w:val="auto"/>
          <w:spacing w:val="8"/>
          <w:sz w:val="24"/>
          <w:szCs w:val="24"/>
          <w:highlight w:val="none"/>
          <w:u w:val="single" w:color="auto"/>
        </w:rPr>
        <w:t xml:space="preserve">      </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046017AF">
      <w:pPr>
        <w:pStyle w:val="2"/>
        <w:keepNext w:val="0"/>
        <w:keepLines w:val="0"/>
        <w:pageBreakBefore w:val="0"/>
        <w:widowControl/>
        <w:kinsoku w:val="0"/>
        <w:wordWrap/>
        <w:overflowPunct/>
        <w:topLinePunct w:val="0"/>
        <w:autoSpaceDE w:val="0"/>
        <w:autoSpaceDN w:val="0"/>
        <w:bidi w:val="0"/>
        <w:adjustRightInd w:val="0"/>
        <w:snapToGrid w:val="0"/>
        <w:spacing w:before="1" w:line="226"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发包人批复修订项目进度计划申请报告的期限：</w:t>
      </w:r>
      <w:r>
        <w:rPr>
          <w:rFonts w:hint="eastAsia" w:ascii="仿宋" w:hAnsi="仿宋" w:eastAsia="仿宋" w:cs="仿宋"/>
          <w:color w:val="auto"/>
          <w:spacing w:val="8"/>
          <w:sz w:val="24"/>
          <w:szCs w:val="24"/>
          <w:highlight w:val="none"/>
          <w:u w:val="single" w:color="auto"/>
        </w:rPr>
        <w:t xml:space="preserve">   </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0CD34581">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承包人答复发包人提出修订合同计划的期限：</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5C570ABF">
      <w:pPr>
        <w:pStyle w:val="2"/>
        <w:keepNext w:val="0"/>
        <w:keepLines w:val="0"/>
        <w:pageBreakBefore w:val="0"/>
        <w:widowControl/>
        <w:kinsoku w:val="0"/>
        <w:wordWrap/>
        <w:overflowPunct/>
        <w:topLinePunct w:val="0"/>
        <w:autoSpaceDE w:val="0"/>
        <w:autoSpaceDN w:val="0"/>
        <w:bidi w:val="0"/>
        <w:adjustRightInd w:val="0"/>
        <w:snapToGrid w:val="0"/>
        <w:spacing w:before="28" w:line="226"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8.5 进度报告</w:t>
      </w:r>
    </w:p>
    <w:p w14:paraId="5657ACAE">
      <w:pPr>
        <w:pStyle w:val="2"/>
        <w:keepNext w:val="0"/>
        <w:keepLines w:val="0"/>
        <w:pageBreakBefore w:val="0"/>
        <w:widowControl/>
        <w:kinsoku w:val="0"/>
        <w:wordWrap/>
        <w:overflowPunct/>
        <w:topLinePunct w:val="0"/>
        <w:autoSpaceDE w:val="0"/>
        <w:autoSpaceDN w:val="0"/>
        <w:bidi w:val="0"/>
        <w:adjustRightInd w:val="0"/>
        <w:snapToGrid w:val="0"/>
        <w:spacing w:before="26" w:line="226" w:lineRule="auto"/>
        <w:ind w:left="62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进度报告的具体要求：</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53D6D33A">
      <w:pPr>
        <w:pStyle w:val="2"/>
        <w:keepNext w:val="0"/>
        <w:keepLines w:val="0"/>
        <w:pageBreakBefore w:val="0"/>
        <w:widowControl/>
        <w:kinsoku w:val="0"/>
        <w:wordWrap/>
        <w:overflowPunct/>
        <w:topLinePunct w:val="0"/>
        <w:autoSpaceDE w:val="0"/>
        <w:autoSpaceDN w:val="0"/>
        <w:bidi w:val="0"/>
        <w:adjustRightInd w:val="0"/>
        <w:snapToGrid w:val="0"/>
        <w:spacing w:before="29"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8.7</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4"/>
          <w:sz w:val="24"/>
          <w:szCs w:val="24"/>
          <w:highlight w:val="none"/>
        </w:rPr>
        <w:t>工期延误</w:t>
      </w:r>
    </w:p>
    <w:p w14:paraId="33AC7238">
      <w:pPr>
        <w:pStyle w:val="2"/>
        <w:keepNext w:val="0"/>
        <w:keepLines w:val="0"/>
        <w:pageBreakBefore w:val="0"/>
        <w:widowControl/>
        <w:kinsoku w:val="0"/>
        <w:wordWrap/>
        <w:overflowPunct/>
        <w:topLinePunct w:val="0"/>
        <w:autoSpaceDE w:val="0"/>
        <w:autoSpaceDN w:val="0"/>
        <w:bidi w:val="0"/>
        <w:adjustRightInd w:val="0"/>
        <w:snapToGrid w:val="0"/>
        <w:spacing w:before="23"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8.7.2 因承包人原因导致工期延误</w:t>
      </w:r>
    </w:p>
    <w:p w14:paraId="6D513DCC">
      <w:pPr>
        <w:pStyle w:val="2"/>
        <w:keepNext w:val="0"/>
        <w:keepLines w:val="0"/>
        <w:pageBreakBefore w:val="0"/>
        <w:widowControl/>
        <w:kinsoku w:val="0"/>
        <w:wordWrap/>
        <w:overflowPunct/>
        <w:topLinePunct w:val="0"/>
        <w:autoSpaceDE w:val="0"/>
        <w:autoSpaceDN w:val="0"/>
        <w:bidi w:val="0"/>
        <w:adjustRightInd w:val="0"/>
        <w:snapToGrid w:val="0"/>
        <w:spacing w:before="26" w:line="243" w:lineRule="auto"/>
        <w:ind w:left="24" w:right="14" w:firstLine="61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因承包人原因使竣工日期延误，每延误</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5"/>
          <w:sz w:val="24"/>
          <w:szCs w:val="24"/>
          <w:highlight w:val="none"/>
        </w:rPr>
        <w:t>1 日的误期赔偿金额为合同协议书的合同价格</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的</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97"/>
          <w:sz w:val="24"/>
          <w:szCs w:val="24"/>
          <w:highlight w:val="none"/>
        </w:rPr>
        <w:t xml:space="preserve"> </w:t>
      </w:r>
      <w:r>
        <w:rPr>
          <w:rFonts w:hint="eastAsia" w:ascii="仿宋" w:hAnsi="仿宋" w:eastAsia="仿宋" w:cs="仿宋"/>
          <w:color w:val="auto"/>
          <w:spacing w:val="2"/>
          <w:sz w:val="24"/>
          <w:szCs w:val="24"/>
          <w:highlight w:val="none"/>
        </w:rPr>
        <w:t>%或人民币金额为：</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
          <w:sz w:val="24"/>
          <w:szCs w:val="24"/>
          <w:highlight w:val="none"/>
        </w:rPr>
        <w:t>、累计最高赔偿金额为合同协议书的合同价格的：</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97"/>
          <w:sz w:val="24"/>
          <w:szCs w:val="24"/>
          <w:highlight w:val="none"/>
        </w:rPr>
        <w:t xml:space="preserve"> </w:t>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或人民币金额为：</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3DDEE1EC">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8.7.3 行政审批迟延</w:t>
      </w:r>
    </w:p>
    <w:p w14:paraId="39B4877A">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行政审批报送的职责分工：</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4FEAA327">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8.7.4 异常恶劣的气候条件</w:t>
      </w:r>
    </w:p>
    <w:p w14:paraId="14A04C4F">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双方约定视为异常恶劣的气候条件的情形：</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44907DA8">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8.8</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4"/>
          <w:sz w:val="24"/>
          <w:szCs w:val="24"/>
          <w:highlight w:val="none"/>
        </w:rPr>
        <w:t>工期提前</w:t>
      </w:r>
    </w:p>
    <w:p w14:paraId="0941087C">
      <w:pPr>
        <w:pStyle w:val="2"/>
        <w:keepNext w:val="0"/>
        <w:keepLines w:val="0"/>
        <w:pageBreakBefore w:val="0"/>
        <w:widowControl/>
        <w:kinsoku w:val="0"/>
        <w:wordWrap/>
        <w:overflowPunct/>
        <w:topLinePunct w:val="0"/>
        <w:autoSpaceDE w:val="0"/>
        <w:autoSpaceDN w:val="0"/>
        <w:bidi w:val="0"/>
        <w:adjustRightInd w:val="0"/>
        <w:snapToGrid w:val="0"/>
        <w:spacing w:before="23"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8.8.2 承包人提前竣工的奖励：</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2DEF0B95">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338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第</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4"/>
          <w:sz w:val="24"/>
          <w:szCs w:val="24"/>
          <w:highlight w:val="none"/>
        </w:rPr>
        <w:t>9</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4"/>
          <w:sz w:val="24"/>
          <w:szCs w:val="24"/>
          <w:highlight w:val="none"/>
        </w:rPr>
        <w:t>条 竣工试验</w:t>
      </w:r>
    </w:p>
    <w:p w14:paraId="36737C73">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9.1 竣工试验的义务</w:t>
      </w:r>
    </w:p>
    <w:p w14:paraId="33CF2BED">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623" w:right="208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9.1.3 竣工试验的阶段、</w:t>
      </w:r>
      <w:r>
        <w:rPr>
          <w:rFonts w:hint="eastAsia" w:ascii="仿宋" w:hAnsi="仿宋" w:eastAsia="仿宋" w:cs="仿宋"/>
          <w:color w:val="auto"/>
          <w:spacing w:val="-52"/>
          <w:sz w:val="24"/>
          <w:szCs w:val="24"/>
          <w:highlight w:val="none"/>
        </w:rPr>
        <w:t xml:space="preserve"> </w:t>
      </w:r>
      <w:r>
        <w:rPr>
          <w:rFonts w:hint="eastAsia" w:ascii="仿宋" w:hAnsi="仿宋" w:eastAsia="仿宋" w:cs="仿宋"/>
          <w:color w:val="auto"/>
          <w:spacing w:val="4"/>
          <w:sz w:val="24"/>
          <w:szCs w:val="24"/>
          <w:highlight w:val="none"/>
        </w:rPr>
        <w:t>内容和顺序：</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6"/>
          <w:sz w:val="24"/>
          <w:szCs w:val="24"/>
          <w:highlight w:val="none"/>
        </w:rPr>
        <w:t>竣工试验的操作要求：</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35FF91BB">
      <w:pPr>
        <w:pStyle w:val="2"/>
        <w:keepNext w:val="0"/>
        <w:keepLines w:val="0"/>
        <w:pageBreakBefore w:val="0"/>
        <w:widowControl/>
        <w:kinsoku w:val="0"/>
        <w:wordWrap/>
        <w:overflowPunct/>
        <w:topLinePunct w:val="0"/>
        <w:autoSpaceDE w:val="0"/>
        <w:autoSpaceDN w:val="0"/>
        <w:bidi w:val="0"/>
        <w:adjustRightInd w:val="0"/>
        <w:snapToGrid w:val="0"/>
        <w:spacing w:before="146" w:line="228" w:lineRule="auto"/>
        <w:ind w:left="301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第</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5"/>
          <w:sz w:val="24"/>
          <w:szCs w:val="24"/>
          <w:highlight w:val="none"/>
        </w:rPr>
        <w:t>10</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5"/>
          <w:sz w:val="24"/>
          <w:szCs w:val="24"/>
          <w:highlight w:val="none"/>
        </w:rPr>
        <w:t>条 验收和工程接收</w:t>
      </w:r>
    </w:p>
    <w:p w14:paraId="636D0117">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10.1 竣工验收</w:t>
      </w:r>
    </w:p>
    <w:p w14:paraId="1B582717">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仿宋" w:hAnsi="仿宋" w:eastAsia="仿宋" w:cs="仿宋"/>
          <w:color w:val="auto"/>
          <w:sz w:val="24"/>
          <w:szCs w:val="24"/>
          <w:highlight w:val="none"/>
        </w:rPr>
        <w:sectPr>
          <w:footerReference r:id="rId46" w:type="default"/>
          <w:pgSz w:w="11906" w:h="16839"/>
          <w:pgMar w:top="1428" w:right="1785" w:bottom="1171" w:left="1785" w:header="0" w:footer="992" w:gutter="0"/>
          <w:pgNumType w:fmt="decimal"/>
          <w:cols w:space="720" w:num="1"/>
        </w:sectPr>
      </w:pPr>
    </w:p>
    <w:p w14:paraId="637B8ED3">
      <w:pPr>
        <w:pStyle w:val="2"/>
        <w:keepNext w:val="0"/>
        <w:keepLines w:val="0"/>
        <w:pageBreakBefore w:val="0"/>
        <w:widowControl/>
        <w:kinsoku w:val="0"/>
        <w:wordWrap/>
        <w:overflowPunct/>
        <w:topLinePunct w:val="0"/>
        <w:autoSpaceDE w:val="0"/>
        <w:autoSpaceDN w:val="0"/>
        <w:bidi w:val="0"/>
        <w:adjustRightInd w:val="0"/>
        <w:snapToGrid w:val="0"/>
        <w:spacing w:before="41"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10.1.2 关于竣工验收程序的约定：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71AADC10">
      <w:pPr>
        <w:pStyle w:val="2"/>
        <w:keepNext w:val="0"/>
        <w:keepLines w:val="0"/>
        <w:pageBreakBefore w:val="0"/>
        <w:widowControl/>
        <w:kinsoku w:val="0"/>
        <w:wordWrap/>
        <w:overflowPunct/>
        <w:topLinePunct w:val="0"/>
        <w:autoSpaceDE w:val="0"/>
        <w:autoSpaceDN w:val="0"/>
        <w:bidi w:val="0"/>
        <w:adjustRightInd w:val="0"/>
        <w:snapToGrid w:val="0"/>
        <w:spacing w:before="26"/>
        <w:ind w:left="26" w:right="119" w:firstLine="5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2"/>
          <w:sz w:val="24"/>
          <w:szCs w:val="24"/>
          <w:highlight w:val="none"/>
        </w:rPr>
        <w:t>发包人不按照合同约定组织竣工验收</w:t>
      </w:r>
      <w:r>
        <w:rPr>
          <w:rFonts w:hint="eastAsia" w:ascii="仿宋" w:hAnsi="仿宋" w:eastAsia="仿宋" w:cs="仿宋"/>
          <w:color w:val="auto"/>
          <w:spacing w:val="-51"/>
          <w:sz w:val="24"/>
          <w:szCs w:val="24"/>
          <w:highlight w:val="none"/>
        </w:rPr>
        <w:t xml:space="preserve"> </w:t>
      </w:r>
      <w:r>
        <w:rPr>
          <w:rFonts w:hint="eastAsia" w:ascii="仿宋" w:hAnsi="仿宋" w:eastAsia="仿宋" w:cs="仿宋"/>
          <w:color w:val="auto"/>
          <w:spacing w:val="32"/>
          <w:sz w:val="24"/>
          <w:szCs w:val="24"/>
          <w:highlight w:val="none"/>
        </w:rPr>
        <w:t>、颁发</w:t>
      </w:r>
      <w:r>
        <w:rPr>
          <w:rFonts w:hint="eastAsia" w:ascii="仿宋" w:hAnsi="仿宋" w:eastAsia="仿宋" w:cs="仿宋"/>
          <w:color w:val="auto"/>
          <w:spacing w:val="31"/>
          <w:sz w:val="24"/>
          <w:szCs w:val="24"/>
          <w:highlight w:val="none"/>
        </w:rPr>
        <w:t>工程接受证书的违约金的计算方</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式：</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2"/>
          <w:sz w:val="24"/>
          <w:szCs w:val="24"/>
          <w:highlight w:val="none"/>
        </w:rPr>
        <w:t>。</w:t>
      </w:r>
    </w:p>
    <w:p w14:paraId="53D84608">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10.3</w:t>
      </w:r>
      <w:r>
        <w:rPr>
          <w:rFonts w:hint="eastAsia" w:ascii="仿宋" w:hAnsi="仿宋" w:eastAsia="仿宋" w:cs="仿宋"/>
          <w:color w:val="auto"/>
          <w:spacing w:val="20"/>
          <w:sz w:val="24"/>
          <w:szCs w:val="24"/>
          <w:highlight w:val="none"/>
        </w:rPr>
        <w:t xml:space="preserve">   </w:t>
      </w:r>
      <w:r>
        <w:rPr>
          <w:rFonts w:hint="eastAsia" w:ascii="仿宋" w:hAnsi="仿宋" w:eastAsia="仿宋" w:cs="仿宋"/>
          <w:color w:val="auto"/>
          <w:spacing w:val="3"/>
          <w:sz w:val="24"/>
          <w:szCs w:val="24"/>
          <w:highlight w:val="none"/>
        </w:rPr>
        <w:t>工程的接收</w:t>
      </w:r>
    </w:p>
    <w:p w14:paraId="1DB22985">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10.3.1</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6"/>
          <w:sz w:val="24"/>
          <w:szCs w:val="24"/>
          <w:highlight w:val="none"/>
        </w:rPr>
        <w:t>工程接收的先后顺序、时间安排和其他要求：</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5F66B318">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7"/>
          <w:sz w:val="24"/>
          <w:szCs w:val="24"/>
          <w:highlight w:val="none"/>
        </w:rPr>
        <w:t>10.3.2 接受工程</w:t>
      </w:r>
      <w:r>
        <w:rPr>
          <w:rFonts w:hint="eastAsia" w:ascii="仿宋" w:hAnsi="仿宋" w:eastAsia="仿宋" w:cs="仿宋"/>
          <w:color w:val="auto"/>
          <w:spacing w:val="-58"/>
          <w:sz w:val="24"/>
          <w:szCs w:val="24"/>
          <w:highlight w:val="none"/>
        </w:rPr>
        <w:t xml:space="preserve"> </w:t>
      </w:r>
      <w:r>
        <w:rPr>
          <w:rFonts w:hint="eastAsia" w:ascii="仿宋" w:hAnsi="仿宋" w:eastAsia="仿宋" w:cs="仿宋"/>
          <w:color w:val="auto"/>
          <w:spacing w:val="17"/>
          <w:sz w:val="24"/>
          <w:szCs w:val="24"/>
          <w:highlight w:val="none"/>
        </w:rPr>
        <w:t>时承包人</w:t>
      </w:r>
      <w:r>
        <w:rPr>
          <w:rFonts w:hint="eastAsia" w:ascii="仿宋" w:hAnsi="仿宋" w:eastAsia="仿宋" w:cs="仿宋"/>
          <w:color w:val="auto"/>
          <w:spacing w:val="-57"/>
          <w:sz w:val="24"/>
          <w:szCs w:val="24"/>
          <w:highlight w:val="none"/>
        </w:rPr>
        <w:t xml:space="preserve"> </w:t>
      </w:r>
      <w:r>
        <w:rPr>
          <w:rFonts w:hint="eastAsia" w:ascii="仿宋" w:hAnsi="仿宋" w:eastAsia="仿宋" w:cs="仿宋"/>
          <w:color w:val="auto"/>
          <w:spacing w:val="17"/>
          <w:sz w:val="24"/>
          <w:szCs w:val="24"/>
          <w:highlight w:val="none"/>
        </w:rPr>
        <w:t>需提交竣工验收</w:t>
      </w:r>
      <w:r>
        <w:rPr>
          <w:rFonts w:hint="eastAsia" w:ascii="仿宋" w:hAnsi="仿宋" w:eastAsia="仿宋" w:cs="仿宋"/>
          <w:color w:val="auto"/>
          <w:spacing w:val="-59"/>
          <w:sz w:val="24"/>
          <w:szCs w:val="24"/>
          <w:highlight w:val="none"/>
        </w:rPr>
        <w:t xml:space="preserve"> </w:t>
      </w:r>
      <w:r>
        <w:rPr>
          <w:rFonts w:hint="eastAsia" w:ascii="仿宋" w:hAnsi="仿宋" w:eastAsia="仿宋" w:cs="仿宋"/>
          <w:color w:val="auto"/>
          <w:spacing w:val="17"/>
          <w:sz w:val="24"/>
          <w:szCs w:val="24"/>
          <w:highlight w:val="none"/>
        </w:rPr>
        <w:t>资料</w:t>
      </w:r>
      <w:r>
        <w:rPr>
          <w:rFonts w:hint="eastAsia" w:ascii="仿宋" w:hAnsi="仿宋" w:eastAsia="仿宋" w:cs="仿宋"/>
          <w:color w:val="auto"/>
          <w:spacing w:val="-51"/>
          <w:sz w:val="24"/>
          <w:szCs w:val="24"/>
          <w:highlight w:val="none"/>
        </w:rPr>
        <w:t xml:space="preserve"> </w:t>
      </w:r>
      <w:r>
        <w:rPr>
          <w:rFonts w:hint="eastAsia" w:ascii="仿宋" w:hAnsi="仿宋" w:eastAsia="仿宋" w:cs="仿宋"/>
          <w:color w:val="auto"/>
          <w:spacing w:val="17"/>
          <w:sz w:val="24"/>
          <w:szCs w:val="24"/>
          <w:highlight w:val="none"/>
        </w:rPr>
        <w:t>的</w:t>
      </w:r>
      <w:r>
        <w:rPr>
          <w:rFonts w:hint="eastAsia" w:ascii="仿宋" w:hAnsi="仿宋" w:eastAsia="仿宋" w:cs="仿宋"/>
          <w:color w:val="auto"/>
          <w:spacing w:val="16"/>
          <w:sz w:val="24"/>
          <w:szCs w:val="24"/>
          <w:highlight w:val="none"/>
        </w:rPr>
        <w:t>类别</w:t>
      </w:r>
      <w:r>
        <w:rPr>
          <w:rFonts w:hint="eastAsia" w:ascii="仿宋" w:hAnsi="仿宋" w:eastAsia="仿宋" w:cs="仿宋"/>
          <w:color w:val="auto"/>
          <w:spacing w:val="-56"/>
          <w:sz w:val="24"/>
          <w:szCs w:val="24"/>
          <w:highlight w:val="none"/>
        </w:rPr>
        <w:t xml:space="preserve"> </w:t>
      </w:r>
      <w:r>
        <w:rPr>
          <w:rFonts w:hint="eastAsia" w:ascii="仿宋" w:hAnsi="仿宋" w:eastAsia="仿宋" w:cs="仿宋"/>
          <w:color w:val="auto"/>
          <w:spacing w:val="16"/>
          <w:sz w:val="24"/>
          <w:szCs w:val="24"/>
          <w:highlight w:val="none"/>
        </w:rPr>
        <w:t>、</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16"/>
          <w:sz w:val="24"/>
          <w:szCs w:val="24"/>
          <w:highlight w:val="none"/>
        </w:rPr>
        <w:t>内容</w:t>
      </w:r>
      <w:r>
        <w:rPr>
          <w:rFonts w:hint="eastAsia" w:ascii="仿宋" w:hAnsi="仿宋" w:eastAsia="仿宋" w:cs="仿宋"/>
          <w:color w:val="auto"/>
          <w:spacing w:val="-54"/>
          <w:sz w:val="24"/>
          <w:szCs w:val="24"/>
          <w:highlight w:val="none"/>
        </w:rPr>
        <w:t xml:space="preserve"> </w:t>
      </w:r>
      <w:r>
        <w:rPr>
          <w:rFonts w:hint="eastAsia" w:ascii="仿宋" w:hAnsi="仿宋" w:eastAsia="仿宋" w:cs="仿宋"/>
          <w:color w:val="auto"/>
          <w:spacing w:val="16"/>
          <w:sz w:val="24"/>
          <w:szCs w:val="24"/>
          <w:highlight w:val="none"/>
        </w:rPr>
        <w:t>、份数和提交</w:t>
      </w:r>
      <w:r>
        <w:rPr>
          <w:rFonts w:hint="eastAsia" w:ascii="仿宋" w:hAnsi="仿宋" w:eastAsia="仿宋" w:cs="仿宋"/>
          <w:color w:val="auto"/>
          <w:spacing w:val="-58"/>
          <w:sz w:val="24"/>
          <w:szCs w:val="24"/>
          <w:highlight w:val="none"/>
        </w:rPr>
        <w:t xml:space="preserve"> </w:t>
      </w:r>
      <w:r>
        <w:rPr>
          <w:rFonts w:hint="eastAsia" w:ascii="仿宋" w:hAnsi="仿宋" w:eastAsia="仿宋" w:cs="仿宋"/>
          <w:color w:val="auto"/>
          <w:spacing w:val="16"/>
          <w:sz w:val="24"/>
          <w:szCs w:val="24"/>
          <w:highlight w:val="none"/>
        </w:rPr>
        <w:t>时</w:t>
      </w:r>
    </w:p>
    <w:p w14:paraId="08B23BA1">
      <w:pPr>
        <w:pStyle w:val="2"/>
        <w:keepNext w:val="0"/>
        <w:keepLines w:val="0"/>
        <w:pageBreakBefore w:val="0"/>
        <w:widowControl/>
        <w:kinsoku w:val="0"/>
        <w:wordWrap/>
        <w:overflowPunct/>
        <w:topLinePunct w:val="0"/>
        <w:autoSpaceDE w:val="0"/>
        <w:autoSpaceDN w:val="0"/>
        <w:bidi w:val="0"/>
        <w:adjustRightInd w:val="0"/>
        <w:snapToGrid w:val="0"/>
        <w:spacing w:before="24" w:line="231" w:lineRule="auto"/>
        <w:ind w:left="3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间：</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2"/>
          <w:sz w:val="24"/>
          <w:szCs w:val="24"/>
          <w:highlight w:val="none"/>
        </w:rPr>
        <w:t>。</w:t>
      </w:r>
    </w:p>
    <w:p w14:paraId="729FD32D">
      <w:pPr>
        <w:pStyle w:val="2"/>
        <w:keepNext w:val="0"/>
        <w:keepLines w:val="0"/>
        <w:pageBreakBefore w:val="0"/>
        <w:widowControl/>
        <w:kinsoku w:val="0"/>
        <w:wordWrap/>
        <w:overflowPunct/>
        <w:topLinePunct w:val="0"/>
        <w:autoSpaceDE w:val="0"/>
        <w:autoSpaceDN w:val="0"/>
        <w:bidi w:val="0"/>
        <w:adjustRightInd w:val="0"/>
        <w:snapToGrid w:val="0"/>
        <w:spacing w:before="23"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10.3.3 发包人逾期接收工程的违约责任：</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744AEEB0">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10.3.4 承包人无正当理由不移交工</w:t>
      </w:r>
      <w:r>
        <w:rPr>
          <w:rFonts w:hint="eastAsia" w:ascii="仿宋" w:hAnsi="仿宋" w:eastAsia="仿宋" w:cs="仿宋"/>
          <w:color w:val="auto"/>
          <w:spacing w:val="6"/>
          <w:sz w:val="24"/>
          <w:szCs w:val="24"/>
          <w:highlight w:val="none"/>
        </w:rPr>
        <w:t>程的违约责任：</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309BDB0D">
      <w:pPr>
        <w:pStyle w:val="2"/>
        <w:keepNext w:val="0"/>
        <w:keepLines w:val="0"/>
        <w:pageBreakBefore w:val="0"/>
        <w:widowControl/>
        <w:kinsoku w:val="0"/>
        <w:wordWrap/>
        <w:overflowPunct/>
        <w:topLinePunct w:val="0"/>
        <w:autoSpaceDE w:val="0"/>
        <w:autoSpaceDN w:val="0"/>
        <w:bidi w:val="0"/>
        <w:adjustRightInd w:val="0"/>
        <w:snapToGrid w:val="0"/>
        <w:spacing w:before="27" w:line="227"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10.4 接收证书</w:t>
      </w:r>
    </w:p>
    <w:p w14:paraId="274738A6">
      <w:pPr>
        <w:pStyle w:val="2"/>
        <w:keepNext w:val="0"/>
        <w:keepLines w:val="0"/>
        <w:pageBreakBefore w:val="0"/>
        <w:widowControl/>
        <w:kinsoku w:val="0"/>
        <w:wordWrap/>
        <w:overflowPunct/>
        <w:topLinePunct w:val="0"/>
        <w:autoSpaceDE w:val="0"/>
        <w:autoSpaceDN w:val="0"/>
        <w:bidi w:val="0"/>
        <w:adjustRightInd w:val="0"/>
        <w:snapToGrid w:val="0"/>
        <w:spacing w:before="25" w:line="227"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10.4.1 工程接收证书颁发时间：</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09D47158">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10.5 竣工退场</w:t>
      </w:r>
    </w:p>
    <w:p w14:paraId="2C26FAC3">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10.5.1 竣工退场的相关约定：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1A81C892">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10.5.3</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3"/>
          <w:sz w:val="24"/>
          <w:szCs w:val="24"/>
          <w:highlight w:val="none"/>
        </w:rPr>
        <w:t>人员撤离</w:t>
      </w:r>
    </w:p>
    <w:p w14:paraId="7D9717C0">
      <w:pPr>
        <w:pStyle w:val="2"/>
        <w:keepNext w:val="0"/>
        <w:keepLines w:val="0"/>
        <w:pageBreakBefore w:val="0"/>
        <w:widowControl/>
        <w:kinsoku w:val="0"/>
        <w:wordWrap/>
        <w:overflowPunct/>
        <w:topLinePunct w:val="0"/>
        <w:autoSpaceDE w:val="0"/>
        <w:autoSpaceDN w:val="0"/>
        <w:bidi w:val="0"/>
        <w:adjustRightInd w:val="0"/>
        <w:snapToGrid w:val="0"/>
        <w:spacing w:before="27"/>
        <w:ind w:left="24" w:right="119"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0"/>
          <w:sz w:val="24"/>
          <w:szCs w:val="24"/>
          <w:highlight w:val="none"/>
        </w:rPr>
        <w:t>工程师同意需在缺陷责任期内继续工作和使用的人员、施工设</w:t>
      </w:r>
      <w:r>
        <w:rPr>
          <w:rFonts w:hint="eastAsia" w:ascii="仿宋" w:hAnsi="仿宋" w:eastAsia="仿宋" w:cs="仿宋"/>
          <w:color w:val="auto"/>
          <w:spacing w:val="19"/>
          <w:sz w:val="24"/>
          <w:szCs w:val="24"/>
          <w:highlight w:val="none"/>
        </w:rPr>
        <w:t>备和临时工程的内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容：</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3"/>
          <w:sz w:val="24"/>
          <w:szCs w:val="24"/>
          <w:highlight w:val="none"/>
        </w:rPr>
        <w:t>。</w:t>
      </w:r>
    </w:p>
    <w:p w14:paraId="440EB129">
      <w:pPr>
        <w:pStyle w:val="2"/>
        <w:keepNext w:val="0"/>
        <w:keepLines w:val="0"/>
        <w:pageBreakBefore w:val="0"/>
        <w:widowControl/>
        <w:kinsoku w:val="0"/>
        <w:wordWrap/>
        <w:overflowPunct/>
        <w:topLinePunct w:val="0"/>
        <w:autoSpaceDE w:val="0"/>
        <w:autoSpaceDN w:val="0"/>
        <w:bidi w:val="0"/>
        <w:adjustRightInd w:val="0"/>
        <w:snapToGrid w:val="0"/>
        <w:spacing w:before="143" w:line="228" w:lineRule="auto"/>
        <w:ind w:left="301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第</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5"/>
          <w:sz w:val="24"/>
          <w:szCs w:val="24"/>
          <w:highlight w:val="none"/>
        </w:rPr>
        <w:t>11</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5"/>
          <w:sz w:val="24"/>
          <w:szCs w:val="24"/>
          <w:highlight w:val="none"/>
        </w:rPr>
        <w:t>条 缺陷责任与保修</w:t>
      </w:r>
    </w:p>
    <w:p w14:paraId="59D84491">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11.2 缺陷责任期</w:t>
      </w:r>
    </w:p>
    <w:p w14:paraId="25421AEB">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缺陷责任期的期限：</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2253F774">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11.3 缺陷调查</w:t>
      </w:r>
    </w:p>
    <w:p w14:paraId="30750679">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11.3.4 修复通知</w:t>
      </w:r>
    </w:p>
    <w:p w14:paraId="5894D3BE">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承包人收到保修通知并到达工程现场的合理时间：</w:t>
      </w:r>
      <w:r>
        <w:rPr>
          <w:rFonts w:hint="eastAsia" w:ascii="仿宋" w:hAnsi="仿宋" w:eastAsia="仿宋" w:cs="仿宋"/>
          <w:color w:val="auto"/>
          <w:spacing w:val="8"/>
          <w:sz w:val="24"/>
          <w:szCs w:val="24"/>
          <w:highlight w:val="none"/>
          <w:u w:val="single" w:color="auto"/>
        </w:rPr>
        <w:t xml:space="preserve">       </w:t>
      </w:r>
      <w:r>
        <w:rPr>
          <w:rFonts w:hint="eastAsia" w:ascii="仿宋" w:hAnsi="仿宋" w:eastAsia="仿宋" w:cs="仿宋"/>
          <w:color w:val="auto"/>
          <w:spacing w:val="8"/>
          <w:sz w:val="24"/>
          <w:szCs w:val="24"/>
          <w:highlight w:val="none"/>
        </w:rPr>
        <w:t>。</w:t>
      </w:r>
    </w:p>
    <w:p w14:paraId="460F1F2F">
      <w:pPr>
        <w:pStyle w:val="2"/>
        <w:keepNext w:val="0"/>
        <w:keepLines w:val="0"/>
        <w:pageBreakBefore w:val="0"/>
        <w:widowControl/>
        <w:kinsoku w:val="0"/>
        <w:wordWrap/>
        <w:overflowPunct/>
        <w:topLinePunct w:val="0"/>
        <w:autoSpaceDE w:val="0"/>
        <w:autoSpaceDN w:val="0"/>
        <w:bidi w:val="0"/>
        <w:adjustRightInd w:val="0"/>
        <w:snapToGrid w:val="0"/>
        <w:spacing w:before="27" w:line="227"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11.6 缺陷责任期终止证书</w:t>
      </w:r>
    </w:p>
    <w:p w14:paraId="4A4F5B65">
      <w:pPr>
        <w:pStyle w:val="2"/>
        <w:keepNext w:val="0"/>
        <w:keepLines w:val="0"/>
        <w:pageBreakBefore w:val="0"/>
        <w:widowControl/>
        <w:kinsoku w:val="0"/>
        <w:wordWrap/>
        <w:overflowPunct/>
        <w:topLinePunct w:val="0"/>
        <w:autoSpaceDE w:val="0"/>
        <w:autoSpaceDN w:val="0"/>
        <w:bidi w:val="0"/>
        <w:adjustRightInd w:val="0"/>
        <w:snapToGrid w:val="0"/>
        <w:spacing w:before="25" w:line="245" w:lineRule="auto"/>
        <w:ind w:left="21" w:right="119"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承包人应于缺陷责任期届满后</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8"/>
          <w:sz w:val="24"/>
          <w:szCs w:val="24"/>
          <w:highlight w:val="none"/>
        </w:rPr>
        <w:t xml:space="preserve"> </w:t>
      </w:r>
      <w:r>
        <w:rPr>
          <w:rFonts w:hint="eastAsia" w:ascii="仿宋" w:hAnsi="仿宋" w:eastAsia="仿宋" w:cs="仿宋"/>
          <w:color w:val="auto"/>
          <w:spacing w:val="7"/>
          <w:sz w:val="24"/>
          <w:szCs w:val="24"/>
          <w:highlight w:val="none"/>
        </w:rPr>
        <w:t>天内向发包人发出缺陷责任期届满通知，发包人应</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在收到缺陷责任期满通知后</w:t>
      </w:r>
      <w:r>
        <w:rPr>
          <w:rFonts w:hint="eastAsia" w:ascii="仿宋" w:hAnsi="仿宋" w:eastAsia="仿宋" w:cs="仿宋"/>
          <w:color w:val="auto"/>
          <w:spacing w:val="-98"/>
          <w:sz w:val="24"/>
          <w:szCs w:val="24"/>
          <w:highlight w:val="none"/>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88"/>
          <w:sz w:val="24"/>
          <w:szCs w:val="24"/>
          <w:highlight w:val="none"/>
        </w:rPr>
        <w:t xml:space="preserve"> </w:t>
      </w:r>
      <w:r>
        <w:rPr>
          <w:rFonts w:hint="eastAsia" w:ascii="仿宋" w:hAnsi="仿宋" w:eastAsia="仿宋" w:cs="仿宋"/>
          <w:color w:val="auto"/>
          <w:spacing w:val="7"/>
          <w:sz w:val="24"/>
          <w:szCs w:val="24"/>
          <w:highlight w:val="none"/>
        </w:rPr>
        <w:t>天内核实承包人是否履行缺陷修复义务，承包人</w:t>
      </w:r>
      <w:r>
        <w:rPr>
          <w:rFonts w:hint="eastAsia" w:ascii="仿宋" w:hAnsi="仿宋" w:eastAsia="仿宋" w:cs="仿宋"/>
          <w:color w:val="auto"/>
          <w:spacing w:val="6"/>
          <w:sz w:val="24"/>
          <w:szCs w:val="24"/>
          <w:highlight w:val="none"/>
        </w:rPr>
        <w:t>未能履行缺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陷修复义务的，发包人有权扣除相应金额的维修费用。发包人应在收到缺陷责任期届满通知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后</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0"/>
          <w:sz w:val="24"/>
          <w:szCs w:val="24"/>
          <w:highlight w:val="none"/>
        </w:rPr>
        <w:t xml:space="preserve"> </w:t>
      </w:r>
      <w:r>
        <w:rPr>
          <w:rFonts w:hint="eastAsia" w:ascii="仿宋" w:hAnsi="仿宋" w:eastAsia="仿宋" w:cs="仿宋"/>
          <w:color w:val="auto"/>
          <w:spacing w:val="7"/>
          <w:sz w:val="24"/>
          <w:szCs w:val="24"/>
          <w:highlight w:val="none"/>
        </w:rPr>
        <w:t>天内，向承包人颁发缺陷责任期终止证书。</w:t>
      </w:r>
    </w:p>
    <w:p w14:paraId="625B8BA1">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11.7 保修责任</w:t>
      </w:r>
    </w:p>
    <w:p w14:paraId="1BA459C1">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工程质量保修范围、期限和责任为：</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2B7F6113">
      <w:pPr>
        <w:pStyle w:val="2"/>
        <w:keepNext w:val="0"/>
        <w:keepLines w:val="0"/>
        <w:pageBreakBefore w:val="0"/>
        <w:widowControl/>
        <w:kinsoku w:val="0"/>
        <w:wordWrap/>
        <w:overflowPunct/>
        <w:topLinePunct w:val="0"/>
        <w:autoSpaceDE w:val="0"/>
        <w:autoSpaceDN w:val="0"/>
        <w:bidi w:val="0"/>
        <w:adjustRightInd w:val="0"/>
        <w:snapToGrid w:val="0"/>
        <w:spacing w:before="145" w:line="228" w:lineRule="auto"/>
        <w:ind w:left="323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第</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4"/>
          <w:sz w:val="24"/>
          <w:szCs w:val="24"/>
          <w:highlight w:val="none"/>
        </w:rPr>
        <w:t>12</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4"/>
          <w:sz w:val="24"/>
          <w:szCs w:val="24"/>
          <w:highlight w:val="none"/>
        </w:rPr>
        <w:t>条 竣工后试验</w:t>
      </w:r>
    </w:p>
    <w:p w14:paraId="32AF3E2C">
      <w:pPr>
        <w:pStyle w:val="2"/>
        <w:keepNext w:val="0"/>
        <w:keepLines w:val="0"/>
        <w:pageBreakBefore w:val="0"/>
        <w:widowControl/>
        <w:kinsoku w:val="0"/>
        <w:wordWrap/>
        <w:overflowPunct/>
        <w:topLinePunct w:val="0"/>
        <w:autoSpaceDE w:val="0"/>
        <w:autoSpaceDN w:val="0"/>
        <w:bidi w:val="0"/>
        <w:adjustRightInd w:val="0"/>
        <w:snapToGrid w:val="0"/>
        <w:spacing w:before="26" w:line="227"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本合同工程是否包含竣工后试验：</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18CFEFAB">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12.1 竣工后试验的程序</w:t>
      </w:r>
    </w:p>
    <w:p w14:paraId="60D5C22B">
      <w:pPr>
        <w:pStyle w:val="2"/>
        <w:keepNext w:val="0"/>
        <w:keepLines w:val="0"/>
        <w:pageBreakBefore w:val="0"/>
        <w:widowControl/>
        <w:kinsoku w:val="0"/>
        <w:wordWrap/>
        <w:overflowPunct/>
        <w:topLinePunct w:val="0"/>
        <w:autoSpaceDE w:val="0"/>
        <w:autoSpaceDN w:val="0"/>
        <w:bidi w:val="0"/>
        <w:adjustRightInd w:val="0"/>
        <w:snapToGrid w:val="0"/>
        <w:spacing w:before="26" w:line="243" w:lineRule="auto"/>
        <w:ind w:left="23" w:right="48" w:firstLine="614"/>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12.1.2 竣工后试验全部电力、水、污水处理、燃料、消耗品和材料，</w:t>
      </w:r>
      <w:r>
        <w:rPr>
          <w:rFonts w:hint="eastAsia" w:ascii="仿宋" w:hAnsi="仿宋" w:eastAsia="仿宋" w:cs="仿宋"/>
          <w:color w:val="auto"/>
          <w:spacing w:val="-58"/>
          <w:sz w:val="24"/>
          <w:szCs w:val="24"/>
          <w:highlight w:val="none"/>
        </w:rPr>
        <w:t xml:space="preserve"> </w:t>
      </w:r>
      <w:r>
        <w:rPr>
          <w:rFonts w:hint="eastAsia" w:ascii="仿宋" w:hAnsi="仿宋" w:eastAsia="仿宋" w:cs="仿宋"/>
          <w:color w:val="auto"/>
          <w:spacing w:val="8"/>
          <w:sz w:val="24"/>
          <w:szCs w:val="24"/>
          <w:highlight w:val="none"/>
        </w:rPr>
        <w:t xml:space="preserve">以及全部其他 </w:t>
      </w:r>
      <w:r>
        <w:rPr>
          <w:rFonts w:hint="eastAsia" w:ascii="仿宋" w:hAnsi="仿宋" w:eastAsia="仿宋" w:cs="仿宋"/>
          <w:color w:val="auto"/>
          <w:spacing w:val="4"/>
          <w:sz w:val="24"/>
          <w:szCs w:val="24"/>
          <w:highlight w:val="none"/>
        </w:rPr>
        <w:t>仪器、协助、文件或其他信息、设备、工具、劳力，启动工程设备，并组织安排有适当资质、</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7"/>
          <w:sz w:val="24"/>
          <w:szCs w:val="24"/>
          <w:highlight w:val="none"/>
        </w:rPr>
        <w:t>经验和能力的工作人员等必要条件的提供方：</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58ECE546">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323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第</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4"/>
          <w:sz w:val="24"/>
          <w:szCs w:val="24"/>
          <w:highlight w:val="none"/>
        </w:rPr>
        <w:t>13</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4"/>
          <w:sz w:val="24"/>
          <w:szCs w:val="24"/>
          <w:highlight w:val="none"/>
        </w:rPr>
        <w:t>条 变更与调整</w:t>
      </w:r>
    </w:p>
    <w:p w14:paraId="43BF0036">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13.2 承包人的合理化建议</w:t>
      </w:r>
    </w:p>
    <w:p w14:paraId="1DED6382">
      <w:pPr>
        <w:pStyle w:val="2"/>
        <w:keepNext w:val="0"/>
        <w:keepLines w:val="0"/>
        <w:pageBreakBefore w:val="0"/>
        <w:widowControl/>
        <w:kinsoku w:val="0"/>
        <w:wordWrap/>
        <w:overflowPunct/>
        <w:topLinePunct w:val="0"/>
        <w:autoSpaceDE w:val="0"/>
        <w:autoSpaceDN w:val="0"/>
        <w:bidi w:val="0"/>
        <w:adjustRightInd w:val="0"/>
        <w:snapToGrid w:val="0"/>
        <w:spacing w:before="26" w:line="245" w:lineRule="auto"/>
        <w:ind w:left="23" w:firstLine="61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13.2.2 工程师应在收到承包人提交的合理化建议后</w:t>
      </w:r>
      <w:r>
        <w:rPr>
          <w:rFonts w:hint="eastAsia" w:ascii="仿宋" w:hAnsi="仿宋" w:eastAsia="仿宋" w:cs="仿宋"/>
          <w:color w:val="auto"/>
          <w:spacing w:val="-98"/>
          <w:sz w:val="24"/>
          <w:szCs w:val="24"/>
          <w:highlight w:val="none"/>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6"/>
          <w:sz w:val="24"/>
          <w:szCs w:val="24"/>
          <w:highlight w:val="none"/>
        </w:rPr>
        <w:t xml:space="preserve"> </w:t>
      </w:r>
      <w:r>
        <w:rPr>
          <w:rFonts w:hint="eastAsia" w:ascii="仿宋" w:hAnsi="仿宋" w:eastAsia="仿宋" w:cs="仿宋"/>
          <w:color w:val="auto"/>
          <w:spacing w:val="6"/>
          <w:sz w:val="24"/>
          <w:szCs w:val="24"/>
          <w:highlight w:val="none"/>
        </w:rPr>
        <w:t>日内审查完毕并报送发包</w:t>
      </w:r>
      <w:r>
        <w:rPr>
          <w:rFonts w:hint="eastAsia" w:ascii="仿宋" w:hAnsi="仿宋" w:eastAsia="仿宋" w:cs="仿宋"/>
          <w:color w:val="auto"/>
          <w:spacing w:val="5"/>
          <w:sz w:val="24"/>
          <w:szCs w:val="24"/>
          <w:highlight w:val="none"/>
        </w:rPr>
        <w:t>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发现其中存在技术上的缺陷，应通知承包人修改。发包人应在收到工程师报送的合理化建议</w:t>
      </w:r>
      <w:r>
        <w:rPr>
          <w:rFonts w:hint="eastAsia" w:ascii="仿宋" w:hAnsi="仿宋" w:eastAsia="仿宋" w:cs="仿宋"/>
          <w:color w:val="auto"/>
          <w:spacing w:val="6"/>
          <w:sz w:val="24"/>
          <w:szCs w:val="24"/>
          <w:highlight w:val="none"/>
        </w:rPr>
        <w:t xml:space="preserve">  后</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5"/>
          <w:sz w:val="24"/>
          <w:szCs w:val="24"/>
          <w:highlight w:val="none"/>
        </w:rPr>
        <w:t xml:space="preserve"> </w:t>
      </w:r>
      <w:r>
        <w:rPr>
          <w:rFonts w:hint="eastAsia" w:ascii="仿宋" w:hAnsi="仿宋" w:eastAsia="仿宋" w:cs="仿宋"/>
          <w:color w:val="auto"/>
          <w:spacing w:val="6"/>
          <w:sz w:val="24"/>
          <w:szCs w:val="24"/>
          <w:highlight w:val="none"/>
        </w:rPr>
        <w:t>日内审批完毕。合理化建议经发包人批准的，工程师应及时发出变更指示，</w:t>
      </w:r>
      <w:r>
        <w:rPr>
          <w:rFonts w:hint="eastAsia" w:ascii="仿宋" w:hAnsi="仿宋" w:eastAsia="仿宋" w:cs="仿宋"/>
          <w:color w:val="auto"/>
          <w:spacing w:val="5"/>
          <w:sz w:val="24"/>
          <w:szCs w:val="24"/>
          <w:highlight w:val="none"/>
        </w:rPr>
        <w:t>由此引起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的合同价格调整按照</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89"/>
          <w:sz w:val="24"/>
          <w:szCs w:val="24"/>
          <w:highlight w:val="none"/>
        </w:rPr>
        <w:t xml:space="preserve"> </w:t>
      </w:r>
      <w:r>
        <w:rPr>
          <w:rFonts w:hint="eastAsia" w:ascii="仿宋" w:hAnsi="仿宋" w:eastAsia="仿宋" w:cs="仿宋"/>
          <w:color w:val="auto"/>
          <w:spacing w:val="6"/>
          <w:sz w:val="24"/>
          <w:szCs w:val="24"/>
          <w:highlight w:val="none"/>
        </w:rPr>
        <w:t>执行。发包人不同意变更的，工程师应书面通知承包人</w:t>
      </w:r>
    </w:p>
    <w:p w14:paraId="7B227FEA">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13.2.3 承包人提出的合理化变更建议的利益分享约定：</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7E2E9850">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13.3 变更程序</w:t>
      </w:r>
    </w:p>
    <w:p w14:paraId="7BBF9DB5">
      <w:pPr>
        <w:pStyle w:val="2"/>
        <w:keepNext w:val="0"/>
        <w:keepLines w:val="0"/>
        <w:pageBreakBefore w:val="0"/>
        <w:widowControl/>
        <w:kinsoku w:val="0"/>
        <w:wordWrap/>
        <w:overflowPunct/>
        <w:topLinePunct w:val="0"/>
        <w:autoSpaceDE w:val="0"/>
        <w:autoSpaceDN w:val="0"/>
        <w:bidi w:val="0"/>
        <w:adjustRightInd w:val="0"/>
        <w:snapToGrid w:val="0"/>
        <w:spacing w:before="26" w:line="226"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13.3.3 变更估价</w:t>
      </w:r>
    </w:p>
    <w:p w14:paraId="3DFCBAD4">
      <w:pPr>
        <w:pStyle w:val="2"/>
        <w:keepNext w:val="0"/>
        <w:keepLines w:val="0"/>
        <w:pageBreakBefore w:val="0"/>
        <w:widowControl/>
        <w:kinsoku w:val="0"/>
        <w:wordWrap/>
        <w:overflowPunct/>
        <w:topLinePunct w:val="0"/>
        <w:autoSpaceDE w:val="0"/>
        <w:autoSpaceDN w:val="0"/>
        <w:bidi w:val="0"/>
        <w:adjustRightInd w:val="0"/>
        <w:snapToGrid w:val="0"/>
        <w:spacing w:before="27" w:line="226"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"13.3.3.1"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5"/>
          <w:sz w:val="24"/>
          <w:szCs w:val="24"/>
          <w:highlight w:val="none"/>
        </w:rPr>
        <w:t>13.3.3.1</w:t>
      </w:r>
      <w:r>
        <w:rPr>
          <w:rFonts w:hint="eastAsia" w:ascii="仿宋" w:hAnsi="仿宋" w:eastAsia="仿宋" w:cs="仿宋"/>
          <w:color w:val="auto"/>
          <w:spacing w:val="5"/>
          <w:sz w:val="24"/>
          <w:szCs w:val="24"/>
          <w:highlight w:val="none"/>
        </w:rPr>
        <w:fldChar w:fldCharType="end"/>
      </w:r>
      <w:r>
        <w:rPr>
          <w:rFonts w:hint="eastAsia" w:ascii="仿宋" w:hAnsi="仿宋" w:eastAsia="仿宋" w:cs="仿宋"/>
          <w:color w:val="auto"/>
          <w:spacing w:val="5"/>
          <w:sz w:val="24"/>
          <w:szCs w:val="24"/>
          <w:highlight w:val="none"/>
        </w:rPr>
        <w:t xml:space="preserve"> 变更估价原则</w:t>
      </w:r>
    </w:p>
    <w:p w14:paraId="216F1050">
      <w:pPr>
        <w:pStyle w:val="2"/>
        <w:keepNext w:val="0"/>
        <w:keepLines w:val="0"/>
        <w:pageBreakBefore w:val="0"/>
        <w:widowControl/>
        <w:kinsoku w:val="0"/>
        <w:wordWrap/>
        <w:overflowPunct/>
        <w:topLinePunct w:val="0"/>
        <w:autoSpaceDE w:val="0"/>
        <w:autoSpaceDN w:val="0"/>
        <w:bidi w:val="0"/>
        <w:adjustRightInd w:val="0"/>
        <w:snapToGrid w:val="0"/>
        <w:spacing w:before="29" w:line="226"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关于变更估价原则的约定：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79FA926C">
      <w:pPr>
        <w:pStyle w:val="2"/>
        <w:keepNext w:val="0"/>
        <w:keepLines w:val="0"/>
        <w:pageBreakBefore w:val="0"/>
        <w:widowControl/>
        <w:kinsoku w:val="0"/>
        <w:wordWrap/>
        <w:overflowPunct/>
        <w:topLinePunct w:val="0"/>
        <w:autoSpaceDE w:val="0"/>
        <w:autoSpaceDN w:val="0"/>
        <w:bidi w:val="0"/>
        <w:adjustRightInd w:val="0"/>
        <w:snapToGrid w:val="0"/>
        <w:spacing w:before="26" w:line="226"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13.4</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1"/>
          <w:sz w:val="24"/>
          <w:szCs w:val="24"/>
          <w:highlight w:val="none"/>
        </w:rPr>
        <w:t>暂估价</w:t>
      </w:r>
    </w:p>
    <w:p w14:paraId="6BD59C69">
      <w:pPr>
        <w:pStyle w:val="2"/>
        <w:keepNext w:val="0"/>
        <w:keepLines w:val="0"/>
        <w:pageBreakBefore w:val="0"/>
        <w:widowControl/>
        <w:kinsoku w:val="0"/>
        <w:wordWrap/>
        <w:overflowPunct/>
        <w:topLinePunct w:val="0"/>
        <w:autoSpaceDE w:val="0"/>
        <w:autoSpaceDN w:val="0"/>
        <w:bidi w:val="0"/>
        <w:adjustRightInd w:val="0"/>
        <w:snapToGrid w:val="0"/>
        <w:spacing w:before="29" w:line="226"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13.4.1 依法必须招标的暂估价项目</w:t>
      </w:r>
    </w:p>
    <w:p w14:paraId="47DCE8A6">
      <w:pPr>
        <w:pStyle w:val="2"/>
        <w:keepNext w:val="0"/>
        <w:keepLines w:val="0"/>
        <w:pageBreakBefore w:val="0"/>
        <w:widowControl/>
        <w:kinsoku w:val="0"/>
        <w:wordWrap/>
        <w:overflowPunct/>
        <w:topLinePunct w:val="0"/>
        <w:autoSpaceDE w:val="0"/>
        <w:autoSpaceDN w:val="0"/>
        <w:bidi w:val="0"/>
        <w:adjustRightInd w:val="0"/>
        <w:snapToGrid w:val="0"/>
        <w:spacing w:before="26" w:line="226"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承包人可以参与投标的暂估价项目范围：</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6FE11FC7">
      <w:pPr>
        <w:keepNext w:val="0"/>
        <w:keepLines w:val="0"/>
        <w:pageBreakBefore w:val="0"/>
        <w:widowControl/>
        <w:kinsoku w:val="0"/>
        <w:wordWrap/>
        <w:overflowPunct/>
        <w:topLinePunct w:val="0"/>
        <w:autoSpaceDE w:val="0"/>
        <w:autoSpaceDN w:val="0"/>
        <w:bidi w:val="0"/>
        <w:adjustRightInd w:val="0"/>
        <w:snapToGrid w:val="0"/>
        <w:spacing w:line="226" w:lineRule="auto"/>
        <w:textAlignment w:val="baseline"/>
        <w:outlineLvl w:val="9"/>
        <w:rPr>
          <w:rFonts w:hint="eastAsia" w:ascii="仿宋" w:hAnsi="仿宋" w:eastAsia="仿宋" w:cs="仿宋"/>
          <w:color w:val="auto"/>
          <w:sz w:val="24"/>
          <w:szCs w:val="24"/>
          <w:highlight w:val="none"/>
        </w:rPr>
        <w:sectPr>
          <w:footerReference r:id="rId47" w:type="default"/>
          <w:pgSz w:w="11906" w:h="16839"/>
          <w:pgMar w:top="1428" w:right="1682" w:bottom="1171" w:left="1785" w:header="0" w:footer="992" w:gutter="0"/>
          <w:pgNumType w:fmt="decimal"/>
          <w:cols w:space="720" w:num="1"/>
        </w:sectPr>
      </w:pPr>
    </w:p>
    <w:p w14:paraId="7D31B728">
      <w:pPr>
        <w:pStyle w:val="2"/>
        <w:keepNext w:val="0"/>
        <w:keepLines w:val="0"/>
        <w:pageBreakBefore w:val="0"/>
        <w:widowControl/>
        <w:kinsoku w:val="0"/>
        <w:wordWrap/>
        <w:overflowPunct/>
        <w:topLinePunct w:val="0"/>
        <w:autoSpaceDE w:val="0"/>
        <w:autoSpaceDN w:val="0"/>
        <w:bidi w:val="0"/>
        <w:adjustRightInd w:val="0"/>
        <w:snapToGrid w:val="0"/>
        <w:spacing w:before="41" w:line="253"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承包人不得参与投标的暂估价项目范围：</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0F3FE49F">
      <w:pPr>
        <w:pStyle w:val="2"/>
        <w:keepNext w:val="0"/>
        <w:keepLines w:val="0"/>
        <w:pageBreakBefore w:val="0"/>
        <w:widowControl/>
        <w:kinsoku w:val="0"/>
        <w:wordWrap/>
        <w:overflowPunct/>
        <w:topLinePunct w:val="0"/>
        <w:autoSpaceDE w:val="0"/>
        <w:autoSpaceDN w:val="0"/>
        <w:bidi w:val="0"/>
        <w:adjustRightInd w:val="0"/>
        <w:snapToGrid w:val="0"/>
        <w:spacing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招投标程序及其他约定：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3AB81465">
      <w:pPr>
        <w:pStyle w:val="2"/>
        <w:keepNext w:val="0"/>
        <w:keepLines w:val="0"/>
        <w:pageBreakBefore w:val="0"/>
        <w:widowControl/>
        <w:kinsoku w:val="0"/>
        <w:wordWrap/>
        <w:overflowPunct/>
        <w:topLinePunct w:val="0"/>
        <w:autoSpaceDE w:val="0"/>
        <w:autoSpaceDN w:val="0"/>
        <w:bidi w:val="0"/>
        <w:adjustRightInd w:val="0"/>
        <w:snapToGrid w:val="0"/>
        <w:spacing w:before="24" w:line="226"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13.4.2 不属于依法必须招标的暂估价项目</w:t>
      </w:r>
    </w:p>
    <w:p w14:paraId="4191ABED">
      <w:pPr>
        <w:pStyle w:val="2"/>
        <w:keepNext w:val="0"/>
        <w:keepLines w:val="0"/>
        <w:pageBreakBefore w:val="0"/>
        <w:widowControl/>
        <w:kinsoku w:val="0"/>
        <w:wordWrap/>
        <w:overflowPunct/>
        <w:topLinePunct w:val="0"/>
        <w:autoSpaceDE w:val="0"/>
        <w:autoSpaceDN w:val="0"/>
        <w:bidi w:val="0"/>
        <w:adjustRightInd w:val="0"/>
        <w:snapToGrid w:val="0"/>
        <w:spacing w:before="28" w:line="239" w:lineRule="auto"/>
        <w:ind w:left="623" w:right="68" w:firstLine="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不属于依法必须招标的暂估价项目的协商及估价的约定：</w:t>
      </w:r>
      <w:r>
        <w:rPr>
          <w:rFonts w:hint="eastAsia" w:ascii="仿宋" w:hAnsi="仿宋" w:eastAsia="仿宋" w:cs="仿宋"/>
          <w:color w:val="auto"/>
          <w:spacing w:val="8"/>
          <w:sz w:val="24"/>
          <w:szCs w:val="24"/>
          <w:highlight w:val="none"/>
          <w:u w:val="single" w:color="auto"/>
        </w:rPr>
        <w:t xml:space="preserve">                       </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6"/>
          <w:sz w:val="24"/>
          <w:szCs w:val="24"/>
          <w:highlight w:val="none"/>
        </w:rPr>
        <w:t>其他关于暂列金额使用的约定：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25643159">
      <w:pPr>
        <w:pStyle w:val="2"/>
        <w:keepNext w:val="0"/>
        <w:keepLines w:val="0"/>
        <w:pageBreakBefore w:val="0"/>
        <w:widowControl/>
        <w:kinsoku w:val="0"/>
        <w:wordWrap/>
        <w:overflowPunct/>
        <w:topLinePunct w:val="0"/>
        <w:autoSpaceDE w:val="0"/>
        <w:autoSpaceDN w:val="0"/>
        <w:bidi w:val="0"/>
        <w:adjustRightInd w:val="0"/>
        <w:snapToGrid w:val="0"/>
        <w:spacing w:before="27" w:line="226"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13.8 市场价格波动引起的调整</w:t>
      </w:r>
    </w:p>
    <w:p w14:paraId="263EFF7F">
      <w:pPr>
        <w:pStyle w:val="2"/>
        <w:keepNext w:val="0"/>
        <w:keepLines w:val="0"/>
        <w:pageBreakBefore w:val="0"/>
        <w:widowControl/>
        <w:kinsoku w:val="0"/>
        <w:wordWrap/>
        <w:overflowPunct/>
        <w:topLinePunct w:val="0"/>
        <w:autoSpaceDE w:val="0"/>
        <w:autoSpaceDN w:val="0"/>
        <w:bidi w:val="0"/>
        <w:adjustRightInd w:val="0"/>
        <w:snapToGrid w:val="0"/>
        <w:spacing w:before="26" w:line="226"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13.8.2 关于是否采用《价格指数权重表》的</w:t>
      </w:r>
      <w:r>
        <w:rPr>
          <w:rFonts w:hint="eastAsia" w:ascii="仿宋" w:hAnsi="仿宋" w:eastAsia="仿宋" w:cs="仿宋"/>
          <w:color w:val="auto"/>
          <w:spacing w:val="6"/>
          <w:sz w:val="24"/>
          <w:szCs w:val="24"/>
          <w:highlight w:val="none"/>
        </w:rPr>
        <w:t>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4C43D90A">
      <w:pPr>
        <w:pStyle w:val="2"/>
        <w:keepNext w:val="0"/>
        <w:keepLines w:val="0"/>
        <w:pageBreakBefore w:val="0"/>
        <w:widowControl/>
        <w:kinsoku w:val="0"/>
        <w:wordWrap/>
        <w:overflowPunct/>
        <w:topLinePunct w:val="0"/>
        <w:autoSpaceDE w:val="0"/>
        <w:autoSpaceDN w:val="0"/>
        <w:bidi w:val="0"/>
        <w:adjustRightInd w:val="0"/>
        <w:snapToGrid w:val="0"/>
        <w:spacing w:before="28" w:line="226"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13.8.3 关于采用其他方式调整合同价款的约定：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4227E98B">
      <w:pPr>
        <w:pStyle w:val="2"/>
        <w:keepNext w:val="0"/>
        <w:keepLines w:val="0"/>
        <w:pageBreakBefore w:val="0"/>
        <w:widowControl/>
        <w:kinsoku w:val="0"/>
        <w:wordWrap/>
        <w:overflowPunct/>
        <w:topLinePunct w:val="0"/>
        <w:autoSpaceDE w:val="0"/>
        <w:autoSpaceDN w:val="0"/>
        <w:bidi w:val="0"/>
        <w:adjustRightInd w:val="0"/>
        <w:snapToGrid w:val="0"/>
        <w:spacing w:before="146" w:line="226" w:lineRule="auto"/>
        <w:ind w:left="301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第</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5"/>
          <w:sz w:val="24"/>
          <w:szCs w:val="24"/>
          <w:highlight w:val="none"/>
        </w:rPr>
        <w:t>14</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5"/>
          <w:sz w:val="24"/>
          <w:szCs w:val="24"/>
          <w:highlight w:val="none"/>
        </w:rPr>
        <w:t>条 合同价格与支付</w:t>
      </w:r>
    </w:p>
    <w:p w14:paraId="2D892BC0">
      <w:pPr>
        <w:pStyle w:val="2"/>
        <w:keepNext w:val="0"/>
        <w:keepLines w:val="0"/>
        <w:pageBreakBefore w:val="0"/>
        <w:widowControl/>
        <w:kinsoku w:val="0"/>
        <w:wordWrap/>
        <w:overflowPunct/>
        <w:topLinePunct w:val="0"/>
        <w:autoSpaceDE w:val="0"/>
        <w:autoSpaceDN w:val="0"/>
        <w:bidi w:val="0"/>
        <w:adjustRightInd w:val="0"/>
        <w:snapToGrid w:val="0"/>
        <w:spacing w:before="29" w:line="226"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14.1 合同价格形式</w:t>
      </w:r>
    </w:p>
    <w:p w14:paraId="47F42877">
      <w:pPr>
        <w:pStyle w:val="2"/>
        <w:keepNext w:val="0"/>
        <w:keepLines w:val="0"/>
        <w:pageBreakBefore w:val="0"/>
        <w:widowControl/>
        <w:kinsoku w:val="0"/>
        <w:wordWrap/>
        <w:overflowPunct/>
        <w:topLinePunct w:val="0"/>
        <w:autoSpaceDE w:val="0"/>
        <w:autoSpaceDN w:val="0"/>
        <w:bidi w:val="0"/>
        <w:adjustRightInd w:val="0"/>
        <w:snapToGrid w:val="0"/>
        <w:spacing w:before="27" w:line="226"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14.1.1 关于合同价格形式的约定：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6185D621">
      <w:pPr>
        <w:pStyle w:val="2"/>
        <w:keepNext w:val="0"/>
        <w:keepLines w:val="0"/>
        <w:pageBreakBefore w:val="0"/>
        <w:widowControl/>
        <w:kinsoku w:val="0"/>
        <w:wordWrap/>
        <w:overflowPunct/>
        <w:topLinePunct w:val="0"/>
        <w:autoSpaceDE w:val="0"/>
        <w:autoSpaceDN w:val="0"/>
        <w:bidi w:val="0"/>
        <w:adjustRightInd w:val="0"/>
        <w:snapToGrid w:val="0"/>
        <w:spacing w:before="26" w:line="226"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14.1.2 关于合同价格调整的约定：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455A2AA6">
      <w:pPr>
        <w:pStyle w:val="2"/>
        <w:keepNext w:val="0"/>
        <w:keepLines w:val="0"/>
        <w:pageBreakBefore w:val="0"/>
        <w:widowControl/>
        <w:kinsoku w:val="0"/>
        <w:wordWrap/>
        <w:overflowPunct/>
        <w:topLinePunct w:val="0"/>
        <w:autoSpaceDE w:val="0"/>
        <w:autoSpaceDN w:val="0"/>
        <w:bidi w:val="0"/>
        <w:adjustRightInd w:val="0"/>
        <w:snapToGrid w:val="0"/>
        <w:spacing w:before="29" w:line="226" w:lineRule="auto"/>
        <w:jc w:val="right"/>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14.1.3 按实际完成的工程量支付工程价款的计量方法、估价方法：</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37BA3D58">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14.2</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2"/>
          <w:sz w:val="24"/>
          <w:szCs w:val="24"/>
          <w:highlight w:val="none"/>
        </w:rPr>
        <w:t>预付款</w:t>
      </w:r>
    </w:p>
    <w:p w14:paraId="7F6A165F">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14.2.1 预付款支付</w:t>
      </w:r>
    </w:p>
    <w:p w14:paraId="61B44445">
      <w:pPr>
        <w:pStyle w:val="2"/>
        <w:keepNext w:val="0"/>
        <w:keepLines w:val="0"/>
        <w:pageBreakBefore w:val="0"/>
        <w:widowControl/>
        <w:kinsoku w:val="0"/>
        <w:wordWrap/>
        <w:overflowPunct/>
        <w:topLinePunct w:val="0"/>
        <w:autoSpaceDE w:val="0"/>
        <w:autoSpaceDN w:val="0"/>
        <w:bidi w:val="0"/>
        <w:adjustRightInd w:val="0"/>
        <w:snapToGrid w:val="0"/>
        <w:spacing w:before="27" w:line="250"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预付款的金额或比例为：</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5B220C79">
      <w:pPr>
        <w:pStyle w:val="2"/>
        <w:keepNext w:val="0"/>
        <w:keepLines w:val="0"/>
        <w:pageBreakBefore w:val="0"/>
        <w:widowControl/>
        <w:kinsoku w:val="0"/>
        <w:wordWrap/>
        <w:overflowPunct/>
        <w:topLinePunct w:val="0"/>
        <w:autoSpaceDE w:val="0"/>
        <w:autoSpaceDN w:val="0"/>
        <w:bidi w:val="0"/>
        <w:adjustRightInd w:val="0"/>
        <w:snapToGrid w:val="0"/>
        <w:spacing w:before="1" w:line="227"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预付款支付期限：</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5B7BC493">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预付款扣回的方式：</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72B2822E">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14.2.2</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4"/>
          <w:sz w:val="24"/>
          <w:szCs w:val="24"/>
          <w:highlight w:val="none"/>
        </w:rPr>
        <w:t>预付款担保</w:t>
      </w:r>
    </w:p>
    <w:p w14:paraId="1795F024">
      <w:pPr>
        <w:pStyle w:val="2"/>
        <w:keepNext w:val="0"/>
        <w:keepLines w:val="0"/>
        <w:pageBreakBefore w:val="0"/>
        <w:widowControl/>
        <w:kinsoku w:val="0"/>
        <w:wordWrap/>
        <w:overflowPunct/>
        <w:topLinePunct w:val="0"/>
        <w:autoSpaceDE w:val="0"/>
        <w:autoSpaceDN w:val="0"/>
        <w:bidi w:val="0"/>
        <w:adjustRightInd w:val="0"/>
        <w:snapToGrid w:val="0"/>
        <w:spacing w:before="24" w:line="253"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提供预付款担保期限：</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6BEC6DD3">
      <w:pPr>
        <w:pStyle w:val="2"/>
        <w:keepNext w:val="0"/>
        <w:keepLines w:val="0"/>
        <w:pageBreakBefore w:val="0"/>
        <w:widowControl/>
        <w:kinsoku w:val="0"/>
        <w:wordWrap/>
        <w:overflowPunct/>
        <w:topLinePunct w:val="0"/>
        <w:autoSpaceDE w:val="0"/>
        <w:autoSpaceDN w:val="0"/>
        <w:bidi w:val="0"/>
        <w:adjustRightInd w:val="0"/>
        <w:snapToGrid w:val="0"/>
        <w:spacing w:before="1" w:line="227"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预付款担保形式：</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2D3AE795">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14.3 工程进度款</w:t>
      </w:r>
    </w:p>
    <w:p w14:paraId="6DFD1A87">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14.3.1 工程进度付款申请</w:t>
      </w:r>
    </w:p>
    <w:p w14:paraId="26C4A437">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工程进度付款申请方式：</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3985BE4E">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620" w:right="672" w:firstLine="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承包人提交进度付款申请单的格式、</w:t>
      </w:r>
      <w:r>
        <w:rPr>
          <w:rFonts w:hint="eastAsia" w:ascii="仿宋" w:hAnsi="仿宋" w:eastAsia="仿宋" w:cs="仿宋"/>
          <w:color w:val="auto"/>
          <w:spacing w:val="-59"/>
          <w:sz w:val="24"/>
          <w:szCs w:val="24"/>
          <w:highlight w:val="none"/>
        </w:rPr>
        <w:t xml:space="preserve"> </w:t>
      </w:r>
      <w:r>
        <w:rPr>
          <w:rFonts w:hint="eastAsia" w:ascii="仿宋" w:hAnsi="仿宋" w:eastAsia="仿宋" w:cs="仿宋"/>
          <w:color w:val="auto"/>
          <w:spacing w:val="6"/>
          <w:sz w:val="24"/>
          <w:szCs w:val="24"/>
          <w:highlight w:val="none"/>
        </w:rPr>
        <w:t>内容、份数和时间：</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进度付款申请单应包括的内容：</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3C056430">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14.3.2 进度付款审核和支付</w:t>
      </w:r>
    </w:p>
    <w:p w14:paraId="19F78AE8">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进度付款的审核方式和支付的约定：</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4514A167">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22" w:right="70" w:firstLine="60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发包人应在进度款支付证书或临时进度款支付证书签发后的</w:t>
      </w:r>
      <w:r>
        <w:rPr>
          <w:rFonts w:hint="eastAsia" w:ascii="仿宋" w:hAnsi="仿宋" w:eastAsia="仿宋" w:cs="仿宋"/>
          <w:color w:val="auto"/>
          <w:spacing w:val="-90"/>
          <w:sz w:val="24"/>
          <w:szCs w:val="24"/>
          <w:highlight w:val="none"/>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84"/>
          <w:sz w:val="24"/>
          <w:szCs w:val="24"/>
          <w:highlight w:val="none"/>
        </w:rPr>
        <w:t xml:space="preserve"> </w:t>
      </w:r>
      <w:r>
        <w:rPr>
          <w:rFonts w:hint="eastAsia" w:ascii="仿宋" w:hAnsi="仿宋" w:eastAsia="仿宋" w:cs="仿宋"/>
          <w:color w:val="auto"/>
          <w:spacing w:val="10"/>
          <w:sz w:val="24"/>
          <w:szCs w:val="24"/>
          <w:highlight w:val="none"/>
        </w:rPr>
        <w:t>天内完成支付，发</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包人逾期支付进度款的，应按照</w:t>
      </w:r>
      <w:r>
        <w:rPr>
          <w:rFonts w:hint="eastAsia" w:ascii="仿宋" w:hAnsi="仿宋" w:eastAsia="仿宋" w:cs="仿宋"/>
          <w:color w:val="auto"/>
          <w:spacing w:val="-90"/>
          <w:sz w:val="24"/>
          <w:szCs w:val="24"/>
          <w:highlight w:val="none"/>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91"/>
          <w:sz w:val="24"/>
          <w:szCs w:val="24"/>
          <w:highlight w:val="none"/>
        </w:rPr>
        <w:t xml:space="preserve"> </w:t>
      </w:r>
      <w:r>
        <w:rPr>
          <w:rFonts w:hint="eastAsia" w:ascii="仿宋" w:hAnsi="仿宋" w:eastAsia="仿宋" w:cs="仿宋"/>
          <w:color w:val="auto"/>
          <w:spacing w:val="8"/>
          <w:sz w:val="24"/>
          <w:szCs w:val="24"/>
          <w:highlight w:val="none"/>
        </w:rPr>
        <w:t>支付违约金。</w:t>
      </w:r>
    </w:p>
    <w:p w14:paraId="6C086F74">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14.4 付款计划表</w:t>
      </w:r>
    </w:p>
    <w:p w14:paraId="72B3F4E1">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14.4.1 付款计划表的编制要求：</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31304390">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14.4.2 付款计划表的编制与审批</w:t>
      </w:r>
    </w:p>
    <w:p w14:paraId="4B3CDB7F">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付款计划表的编制：</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36010691">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14.5 竣工结算</w:t>
      </w:r>
    </w:p>
    <w:p w14:paraId="00874161">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14.5.1 竣工结算申请</w:t>
      </w:r>
    </w:p>
    <w:p w14:paraId="0EEA39E3">
      <w:pPr>
        <w:pStyle w:val="2"/>
        <w:keepNext w:val="0"/>
        <w:keepLines w:val="0"/>
        <w:pageBreakBefore w:val="0"/>
        <w:widowControl/>
        <w:kinsoku w:val="0"/>
        <w:wordWrap/>
        <w:overflowPunct/>
        <w:topLinePunct w:val="0"/>
        <w:autoSpaceDE w:val="0"/>
        <w:autoSpaceDN w:val="0"/>
        <w:bidi w:val="0"/>
        <w:adjustRightInd w:val="0"/>
        <w:snapToGrid w:val="0"/>
        <w:spacing w:before="24" w:line="253"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承包人提交竣工结算申请的时间：</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46E7404B">
      <w:pPr>
        <w:pStyle w:val="2"/>
        <w:keepNext w:val="0"/>
        <w:keepLines w:val="0"/>
        <w:pageBreakBefore w:val="0"/>
        <w:widowControl/>
        <w:kinsoku w:val="0"/>
        <w:wordWrap/>
        <w:overflowPunct/>
        <w:topLinePunct w:val="0"/>
        <w:autoSpaceDE w:val="0"/>
        <w:autoSpaceDN w:val="0"/>
        <w:bidi w:val="0"/>
        <w:adjustRightInd w:val="0"/>
        <w:snapToGrid w:val="0"/>
        <w:spacing w:before="1" w:line="227"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竣工结算申请的资料清单和份数：</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27328FFF">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竣工结算申请单的内容应包括：</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6E58D91D">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14.5.2 竣工结算审核</w:t>
      </w:r>
    </w:p>
    <w:p w14:paraId="0AE02915">
      <w:pPr>
        <w:pStyle w:val="2"/>
        <w:keepNext w:val="0"/>
        <w:keepLines w:val="0"/>
        <w:pageBreakBefore w:val="0"/>
        <w:widowControl/>
        <w:kinsoku w:val="0"/>
        <w:wordWrap/>
        <w:overflowPunct/>
        <w:topLinePunct w:val="0"/>
        <w:autoSpaceDE w:val="0"/>
        <w:autoSpaceDN w:val="0"/>
        <w:bidi w:val="0"/>
        <w:adjustRightInd w:val="0"/>
        <w:snapToGrid w:val="0"/>
        <w:spacing w:before="25" w:line="253"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发包人审批竣工付款申请单的期限：</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6CB0FE45">
      <w:pPr>
        <w:pStyle w:val="2"/>
        <w:keepNext w:val="0"/>
        <w:keepLines w:val="0"/>
        <w:pageBreakBefore w:val="0"/>
        <w:widowControl/>
        <w:kinsoku w:val="0"/>
        <w:wordWrap/>
        <w:overflowPunct/>
        <w:topLinePunct w:val="0"/>
        <w:autoSpaceDE w:val="0"/>
        <w:autoSpaceDN w:val="0"/>
        <w:bidi w:val="0"/>
        <w:adjustRightInd w:val="0"/>
        <w:snapToGrid w:val="0"/>
        <w:spacing w:line="227"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发包人完成竣工付款的期限：</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5D237517">
      <w:pPr>
        <w:pStyle w:val="2"/>
        <w:keepNext w:val="0"/>
        <w:keepLines w:val="0"/>
        <w:pageBreakBefore w:val="0"/>
        <w:widowControl/>
        <w:kinsoku w:val="0"/>
        <w:wordWrap/>
        <w:overflowPunct/>
        <w:topLinePunct w:val="0"/>
        <w:autoSpaceDE w:val="0"/>
        <w:autoSpaceDN w:val="0"/>
        <w:bidi w:val="0"/>
        <w:adjustRightInd w:val="0"/>
        <w:snapToGrid w:val="0"/>
        <w:spacing w:before="25" w:line="227"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关于竣工付款证书异议部分复核的方式和程序：</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63593235">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14.6 质量保证金</w:t>
      </w:r>
    </w:p>
    <w:p w14:paraId="150ACC5B">
      <w:pPr>
        <w:pStyle w:val="2"/>
        <w:keepNext w:val="0"/>
        <w:keepLines w:val="0"/>
        <w:pageBreakBefore w:val="0"/>
        <w:widowControl/>
        <w:kinsoku w:val="0"/>
        <w:wordWrap/>
        <w:overflowPunct/>
        <w:topLinePunct w:val="0"/>
        <w:autoSpaceDE w:val="0"/>
        <w:autoSpaceDN w:val="0"/>
        <w:bidi w:val="0"/>
        <w:adjustRightInd w:val="0"/>
        <w:snapToGrid w:val="0"/>
        <w:spacing w:before="23"/>
        <w:ind w:left="623" w:right="4049" w:firstLine="1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 xml:space="preserve">14.6.1 承包人提供质量保证金的方式   </w:t>
      </w:r>
      <w:r>
        <w:rPr>
          <w:rFonts w:hint="eastAsia" w:ascii="仿宋" w:hAnsi="仿宋" w:eastAsia="仿宋" w:cs="仿宋"/>
          <w:color w:val="auto"/>
          <w:spacing w:val="4"/>
          <w:sz w:val="24"/>
          <w:szCs w:val="24"/>
          <w:highlight w:val="none"/>
        </w:rPr>
        <w:t>质量保证金采用以下第</w:t>
      </w:r>
      <w:r>
        <w:rPr>
          <w:rFonts w:hint="eastAsia" w:ascii="仿宋" w:hAnsi="仿宋" w:eastAsia="仿宋" w:cs="仿宋"/>
          <w:color w:val="auto"/>
          <w:spacing w:val="-89"/>
          <w:sz w:val="24"/>
          <w:szCs w:val="24"/>
          <w:highlight w:val="none"/>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92"/>
          <w:sz w:val="24"/>
          <w:szCs w:val="24"/>
          <w:highlight w:val="none"/>
        </w:rPr>
        <w:t xml:space="preserve"> </w:t>
      </w:r>
      <w:r>
        <w:rPr>
          <w:rFonts w:hint="eastAsia" w:ascii="仿宋" w:hAnsi="仿宋" w:eastAsia="仿宋" w:cs="仿宋"/>
          <w:color w:val="auto"/>
          <w:spacing w:val="4"/>
          <w:sz w:val="24"/>
          <w:szCs w:val="24"/>
          <w:highlight w:val="none"/>
        </w:rPr>
        <w:t>种方式：</w:t>
      </w:r>
    </w:p>
    <w:p w14:paraId="257D9C5D">
      <w:pPr>
        <w:pStyle w:val="2"/>
        <w:keepNext w:val="0"/>
        <w:keepLines w:val="0"/>
        <w:pageBreakBefore w:val="0"/>
        <w:widowControl/>
        <w:kinsoku w:val="0"/>
        <w:wordWrap/>
        <w:overflowPunct/>
        <w:topLinePunct w:val="0"/>
        <w:autoSpaceDE w:val="0"/>
        <w:autoSpaceDN w:val="0"/>
        <w:bidi w:val="0"/>
        <w:adjustRightInd w:val="0"/>
        <w:snapToGrid w:val="0"/>
        <w:spacing w:before="25" w:line="253" w:lineRule="auto"/>
        <w:ind w:left="65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 工程质量保证担保，保证金额为</w:t>
      </w:r>
      <w:r>
        <w:rPr>
          <w:rFonts w:hint="eastAsia" w:ascii="仿宋" w:hAnsi="仿宋" w:eastAsia="仿宋" w:cs="仿宋"/>
          <w:color w:val="auto"/>
          <w:spacing w:val="7"/>
          <w:sz w:val="24"/>
          <w:szCs w:val="24"/>
          <w:highlight w:val="none"/>
        </w:rPr>
        <w:t>：</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44C989F7">
      <w:pPr>
        <w:pStyle w:val="2"/>
        <w:keepNext w:val="0"/>
        <w:keepLines w:val="0"/>
        <w:pageBreakBefore w:val="0"/>
        <w:widowControl/>
        <w:kinsoku w:val="0"/>
        <w:wordWrap/>
        <w:overflowPunct/>
        <w:topLinePunct w:val="0"/>
        <w:autoSpaceDE w:val="0"/>
        <w:autoSpaceDN w:val="0"/>
        <w:bidi w:val="0"/>
        <w:adjustRightInd w:val="0"/>
        <w:snapToGrid w:val="0"/>
        <w:spacing w:line="228" w:lineRule="auto"/>
        <w:ind w:left="65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 xml:space="preserve">(2)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94"/>
          <w:sz w:val="24"/>
          <w:szCs w:val="24"/>
          <w:highlight w:val="none"/>
        </w:rPr>
        <w:t xml:space="preserve"> </w:t>
      </w:r>
      <w:r>
        <w:rPr>
          <w:rFonts w:hint="eastAsia" w:ascii="仿宋" w:hAnsi="仿宋" w:eastAsia="仿宋" w:cs="仿宋"/>
          <w:color w:val="auto"/>
          <w:spacing w:val="1"/>
          <w:sz w:val="24"/>
          <w:szCs w:val="24"/>
          <w:highlight w:val="none"/>
        </w:rPr>
        <w:t>%的工程款；</w:t>
      </w:r>
    </w:p>
    <w:p w14:paraId="09E55CDD">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5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 其他方式：</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2"/>
          <w:sz w:val="24"/>
          <w:szCs w:val="24"/>
          <w:highlight w:val="none"/>
        </w:rPr>
        <w:t>。</w:t>
      </w:r>
    </w:p>
    <w:p w14:paraId="650B069B">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14.6.2 质量保证金的预留</w:t>
      </w:r>
    </w:p>
    <w:p w14:paraId="18037660">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仿宋" w:hAnsi="仿宋" w:eastAsia="仿宋" w:cs="仿宋"/>
          <w:color w:val="auto"/>
          <w:sz w:val="24"/>
          <w:szCs w:val="24"/>
          <w:highlight w:val="none"/>
        </w:rPr>
        <w:sectPr>
          <w:footerReference r:id="rId48" w:type="default"/>
          <w:pgSz w:w="11906" w:h="16839"/>
          <w:pgMar w:top="1428" w:right="1731" w:bottom="1171" w:left="1785" w:header="0" w:footer="992" w:gutter="0"/>
          <w:pgNumType w:fmt="decimal"/>
          <w:cols w:space="720" w:num="1"/>
        </w:sectPr>
      </w:pPr>
    </w:p>
    <w:p w14:paraId="099CA1B3">
      <w:pPr>
        <w:pStyle w:val="2"/>
        <w:keepNext w:val="0"/>
        <w:keepLines w:val="0"/>
        <w:pageBreakBefore w:val="0"/>
        <w:widowControl/>
        <w:kinsoku w:val="0"/>
        <w:wordWrap/>
        <w:overflowPunct/>
        <w:topLinePunct w:val="0"/>
        <w:autoSpaceDE w:val="0"/>
        <w:autoSpaceDN w:val="0"/>
        <w:bidi w:val="0"/>
        <w:adjustRightInd w:val="0"/>
        <w:snapToGrid w:val="0"/>
        <w:spacing w:before="41" w:line="227"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质量保证金的预留采取以下第</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83"/>
          <w:sz w:val="24"/>
          <w:szCs w:val="24"/>
          <w:highlight w:val="none"/>
        </w:rPr>
        <w:t xml:space="preserve"> </w:t>
      </w:r>
      <w:r>
        <w:rPr>
          <w:rFonts w:hint="eastAsia" w:ascii="仿宋" w:hAnsi="仿宋" w:eastAsia="仿宋" w:cs="仿宋"/>
          <w:color w:val="auto"/>
          <w:spacing w:val="7"/>
          <w:sz w:val="24"/>
          <w:szCs w:val="24"/>
          <w:highlight w:val="none"/>
        </w:rPr>
        <w:t>种方式：</w:t>
      </w:r>
    </w:p>
    <w:p w14:paraId="1D9C6215">
      <w:pPr>
        <w:pStyle w:val="2"/>
        <w:keepNext w:val="0"/>
        <w:keepLines w:val="0"/>
        <w:pageBreakBefore w:val="0"/>
        <w:widowControl/>
        <w:kinsoku w:val="0"/>
        <w:wordWrap/>
        <w:overflowPunct/>
        <w:topLinePunct w:val="0"/>
        <w:autoSpaceDE w:val="0"/>
        <w:autoSpaceDN w:val="0"/>
        <w:bidi w:val="0"/>
        <w:adjustRightInd w:val="0"/>
        <w:snapToGrid w:val="0"/>
        <w:spacing w:before="28" w:line="238" w:lineRule="auto"/>
        <w:ind w:left="23" w:firstLine="63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 在支付工程进度款时逐次预留的质量保证金的比例</w:t>
      </w:r>
      <w:r>
        <w:rPr>
          <w:rFonts w:hint="eastAsia" w:ascii="仿宋" w:hAnsi="仿宋" w:eastAsia="仿宋" w:cs="仿宋"/>
          <w:color w:val="auto"/>
          <w:spacing w:val="-42"/>
          <w:w w:val="86"/>
          <w:sz w:val="24"/>
          <w:szCs w:val="24"/>
          <w:highlight w:val="none"/>
        </w:rPr>
        <w:t>：</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42"/>
          <w:w w:val="86"/>
          <w:sz w:val="24"/>
          <w:szCs w:val="24"/>
          <w:highlight w:val="none"/>
        </w:rPr>
        <w:t>，</w:t>
      </w:r>
      <w:r>
        <w:rPr>
          <w:rFonts w:hint="eastAsia" w:ascii="仿宋" w:hAnsi="仿宋" w:eastAsia="仿宋" w:cs="仿宋"/>
          <w:color w:val="auto"/>
          <w:spacing w:val="6"/>
          <w:sz w:val="24"/>
          <w:szCs w:val="24"/>
          <w:highlight w:val="none"/>
        </w:rPr>
        <w:t>在此情形下，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质量保证金的计算基数不包括预付款的支付、扣回以及价格调整的金额；</w:t>
      </w:r>
    </w:p>
    <w:p w14:paraId="63C429AF">
      <w:pPr>
        <w:pStyle w:val="2"/>
        <w:keepNext w:val="0"/>
        <w:keepLines w:val="0"/>
        <w:pageBreakBefore w:val="0"/>
        <w:widowControl/>
        <w:kinsoku w:val="0"/>
        <w:wordWrap/>
        <w:overflowPunct/>
        <w:topLinePunct w:val="0"/>
        <w:autoSpaceDE w:val="0"/>
        <w:autoSpaceDN w:val="0"/>
        <w:bidi w:val="0"/>
        <w:adjustRightInd w:val="0"/>
        <w:snapToGrid w:val="0"/>
        <w:spacing w:before="29" w:line="239" w:lineRule="auto"/>
        <w:ind w:left="37" w:right="54" w:firstLine="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(2) 工程竣工结算时一次性预留专用合同条件第</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10"/>
          <w:sz w:val="24"/>
          <w:szCs w:val="24"/>
          <w:highlight w:val="none"/>
        </w:rPr>
        <w:t>14.6.</w:t>
      </w:r>
      <w:r>
        <w:rPr>
          <w:rFonts w:hint="eastAsia" w:ascii="仿宋" w:hAnsi="仿宋" w:eastAsia="仿宋" w:cs="仿宋"/>
          <w:color w:val="auto"/>
          <w:spacing w:val="9"/>
          <w:sz w:val="24"/>
          <w:szCs w:val="24"/>
          <w:highlight w:val="none"/>
        </w:rPr>
        <w:t>1</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9"/>
          <w:sz w:val="24"/>
          <w:szCs w:val="24"/>
          <w:highlight w:val="none"/>
        </w:rPr>
        <w:t>项第(2)目约定的工程款预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留比例的质量保证金；</w:t>
      </w:r>
    </w:p>
    <w:p w14:paraId="24138E7D">
      <w:pPr>
        <w:pStyle w:val="2"/>
        <w:keepNext w:val="0"/>
        <w:keepLines w:val="0"/>
        <w:pageBreakBefore w:val="0"/>
        <w:widowControl/>
        <w:kinsoku w:val="0"/>
        <w:wordWrap/>
        <w:overflowPunct/>
        <w:topLinePunct w:val="0"/>
        <w:autoSpaceDE w:val="0"/>
        <w:autoSpaceDN w:val="0"/>
        <w:bidi w:val="0"/>
        <w:adjustRightInd w:val="0"/>
        <w:snapToGrid w:val="0"/>
        <w:spacing w:before="26" w:line="250" w:lineRule="auto"/>
        <w:ind w:left="65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 其他预留方式</w:t>
      </w:r>
      <w:r>
        <w:rPr>
          <w:rFonts w:hint="eastAsia" w:ascii="仿宋" w:hAnsi="仿宋" w:eastAsia="仿宋" w:cs="仿宋"/>
          <w:color w:val="auto"/>
          <w:spacing w:val="-56"/>
          <w:sz w:val="24"/>
          <w:szCs w:val="24"/>
          <w:highlight w:val="none"/>
        </w:rPr>
        <w:t xml:space="preserve"> </w:t>
      </w:r>
      <w:r>
        <w:rPr>
          <w:rFonts w:hint="eastAsia" w:ascii="仿宋" w:hAnsi="仿宋" w:eastAsia="仿宋" w:cs="仿宋"/>
          <w:color w:val="auto"/>
          <w:spacing w:val="-1"/>
          <w:sz w:val="24"/>
          <w:szCs w:val="24"/>
          <w:highlight w:val="none"/>
        </w:rPr>
        <w:t>:</w:t>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
          <w:sz w:val="24"/>
          <w:szCs w:val="24"/>
          <w:highlight w:val="none"/>
        </w:rPr>
        <w:t>。</w:t>
      </w:r>
    </w:p>
    <w:p w14:paraId="1448DECE">
      <w:pPr>
        <w:pStyle w:val="2"/>
        <w:keepNext w:val="0"/>
        <w:keepLines w:val="0"/>
        <w:pageBreakBefore w:val="0"/>
        <w:widowControl/>
        <w:kinsoku w:val="0"/>
        <w:wordWrap/>
        <w:overflowPunct/>
        <w:topLinePunct w:val="0"/>
        <w:autoSpaceDE w:val="0"/>
        <w:autoSpaceDN w:val="0"/>
        <w:bidi w:val="0"/>
        <w:adjustRightInd w:val="0"/>
        <w:snapToGrid w:val="0"/>
        <w:spacing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关于质量保证金的补充约定：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2A16CAEB">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14.7</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3"/>
          <w:sz w:val="24"/>
          <w:szCs w:val="24"/>
          <w:highlight w:val="none"/>
        </w:rPr>
        <w:t>最终结清</w:t>
      </w:r>
    </w:p>
    <w:p w14:paraId="6EFA0630">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14.7.1 最终结清申请单</w:t>
      </w:r>
    </w:p>
    <w:p w14:paraId="409B9C10">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3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当事人双方关于最终结清申请的其他约定：</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5C940A9C">
      <w:pPr>
        <w:pStyle w:val="2"/>
        <w:keepNext w:val="0"/>
        <w:keepLines w:val="0"/>
        <w:pageBreakBefore w:val="0"/>
        <w:widowControl/>
        <w:kinsoku w:val="0"/>
        <w:wordWrap/>
        <w:overflowPunct/>
        <w:topLinePunct w:val="0"/>
        <w:autoSpaceDE w:val="0"/>
        <w:autoSpaceDN w:val="0"/>
        <w:bidi w:val="0"/>
        <w:adjustRightInd w:val="0"/>
        <w:snapToGrid w:val="0"/>
        <w:spacing w:before="25" w:line="227"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14.7.2 最终结清证书和支付</w:t>
      </w:r>
    </w:p>
    <w:p w14:paraId="02A5156B">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当事人双方关于最终结清支付的其他约定：</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5D2040B3">
      <w:pPr>
        <w:pStyle w:val="2"/>
        <w:keepNext w:val="0"/>
        <w:keepLines w:val="0"/>
        <w:pageBreakBefore w:val="0"/>
        <w:widowControl/>
        <w:kinsoku w:val="0"/>
        <w:wordWrap/>
        <w:overflowPunct/>
        <w:topLinePunct w:val="0"/>
        <w:autoSpaceDE w:val="0"/>
        <w:autoSpaceDN w:val="0"/>
        <w:bidi w:val="0"/>
        <w:adjustRightInd w:val="0"/>
        <w:snapToGrid w:val="0"/>
        <w:spacing w:before="146" w:line="228" w:lineRule="auto"/>
        <w:ind w:left="354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第</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1"/>
          <w:sz w:val="24"/>
          <w:szCs w:val="24"/>
          <w:highlight w:val="none"/>
        </w:rPr>
        <w:t>15</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1"/>
          <w:sz w:val="24"/>
          <w:szCs w:val="24"/>
          <w:highlight w:val="none"/>
        </w:rPr>
        <w:t>条</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1"/>
          <w:sz w:val="24"/>
          <w:szCs w:val="24"/>
          <w:highlight w:val="none"/>
        </w:rPr>
        <w:t>违约</w:t>
      </w:r>
    </w:p>
    <w:p w14:paraId="54070493">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15.1 发包人违约</w:t>
      </w:r>
    </w:p>
    <w:p w14:paraId="3C6CA6E5">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15.1.1 发包人违约的情形</w:t>
      </w:r>
    </w:p>
    <w:p w14:paraId="5F287179">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发包人违约的其他情形</w:t>
      </w:r>
      <w:r>
        <w:rPr>
          <w:rFonts w:hint="eastAsia" w:ascii="仿宋" w:hAnsi="仿宋" w:eastAsia="仿宋" w:cs="仿宋"/>
          <w:color w:val="auto"/>
          <w:spacing w:val="-98"/>
          <w:sz w:val="24"/>
          <w:szCs w:val="24"/>
          <w:highlight w:val="none"/>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168BC945">
      <w:pPr>
        <w:pStyle w:val="2"/>
        <w:keepNext w:val="0"/>
        <w:keepLines w:val="0"/>
        <w:pageBreakBefore w:val="0"/>
        <w:widowControl/>
        <w:kinsoku w:val="0"/>
        <w:wordWrap/>
        <w:overflowPunct/>
        <w:topLinePunct w:val="0"/>
        <w:autoSpaceDE w:val="0"/>
        <w:autoSpaceDN w:val="0"/>
        <w:bidi w:val="0"/>
        <w:adjustRightInd w:val="0"/>
        <w:snapToGrid w:val="0"/>
        <w:spacing w:before="23"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15.1.3 发包人违约的责任</w:t>
      </w:r>
    </w:p>
    <w:p w14:paraId="2D45F0CA">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发包人违约责任的承担方式和计算方法：</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536CF2BD">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15.2 承包人违约</w:t>
      </w:r>
    </w:p>
    <w:p w14:paraId="6B5EDDC6">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15.2.1 承包人违约的情形</w:t>
      </w:r>
    </w:p>
    <w:p w14:paraId="3977BCD4">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承包人违约的其他情形：</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5A047A13">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15.2.2 通知改正</w:t>
      </w:r>
    </w:p>
    <w:p w14:paraId="4D92061C">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工程师通知承包人改正的合理期限是：</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749193DE">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15.2.3 承包人违约的责任</w:t>
      </w:r>
    </w:p>
    <w:p w14:paraId="46AAE69E">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承包人违约责任的承担方式和计算方法：</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16306620">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33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第</w:t>
      </w:r>
      <w:r>
        <w:rPr>
          <w:rFonts w:hint="eastAsia" w:ascii="仿宋" w:hAnsi="仿宋" w:eastAsia="仿宋" w:cs="仿宋"/>
          <w:color w:val="auto"/>
          <w:spacing w:val="-20"/>
          <w:sz w:val="24"/>
          <w:szCs w:val="24"/>
          <w:highlight w:val="none"/>
        </w:rPr>
        <w:t xml:space="preserve"> </w:t>
      </w:r>
      <w:r>
        <w:rPr>
          <w:rFonts w:hint="eastAsia" w:ascii="仿宋" w:hAnsi="仿宋" w:eastAsia="仿宋" w:cs="仿宋"/>
          <w:color w:val="auto"/>
          <w:spacing w:val="3"/>
          <w:sz w:val="24"/>
          <w:szCs w:val="24"/>
          <w:highlight w:val="none"/>
        </w:rPr>
        <w:t>16</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3"/>
          <w:sz w:val="24"/>
          <w:szCs w:val="24"/>
          <w:highlight w:val="none"/>
        </w:rPr>
        <w:t>条 合同解除</w:t>
      </w:r>
    </w:p>
    <w:p w14:paraId="038659D0">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16.1</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3"/>
          <w:sz w:val="24"/>
          <w:szCs w:val="24"/>
          <w:highlight w:val="none"/>
        </w:rPr>
        <w:t>由发包人解除合同</w:t>
      </w:r>
    </w:p>
    <w:p w14:paraId="6608E4E5">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16.1.1</w:t>
      </w:r>
      <w:r>
        <w:rPr>
          <w:rFonts w:hint="eastAsia" w:ascii="仿宋" w:hAnsi="仿宋" w:eastAsia="仿宋" w:cs="仿宋"/>
          <w:color w:val="auto"/>
          <w:spacing w:val="43"/>
          <w:sz w:val="24"/>
          <w:szCs w:val="24"/>
          <w:highlight w:val="none"/>
        </w:rPr>
        <w:t xml:space="preserve"> </w:t>
      </w:r>
      <w:r>
        <w:rPr>
          <w:rFonts w:hint="eastAsia" w:ascii="仿宋" w:hAnsi="仿宋" w:eastAsia="仿宋" w:cs="仿宋"/>
          <w:color w:val="auto"/>
          <w:spacing w:val="4"/>
          <w:sz w:val="24"/>
          <w:szCs w:val="24"/>
          <w:highlight w:val="none"/>
        </w:rPr>
        <w:t>因承包人违约解除合同</w:t>
      </w:r>
    </w:p>
    <w:p w14:paraId="2174B0D8">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双方约定可由发包人解除合同的其他事由：</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27E0002C">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16.2</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3"/>
          <w:sz w:val="24"/>
          <w:szCs w:val="24"/>
          <w:highlight w:val="none"/>
        </w:rPr>
        <w:t>由承包人解除合同</w:t>
      </w:r>
    </w:p>
    <w:p w14:paraId="4019B4F3">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16.2.1</w:t>
      </w:r>
      <w:r>
        <w:rPr>
          <w:rFonts w:hint="eastAsia" w:ascii="仿宋" w:hAnsi="仿宋" w:eastAsia="仿宋" w:cs="仿宋"/>
          <w:color w:val="auto"/>
          <w:spacing w:val="43"/>
          <w:sz w:val="24"/>
          <w:szCs w:val="24"/>
          <w:highlight w:val="none"/>
        </w:rPr>
        <w:t xml:space="preserve"> </w:t>
      </w:r>
      <w:r>
        <w:rPr>
          <w:rFonts w:hint="eastAsia" w:ascii="仿宋" w:hAnsi="仿宋" w:eastAsia="仿宋" w:cs="仿宋"/>
          <w:color w:val="auto"/>
          <w:spacing w:val="4"/>
          <w:sz w:val="24"/>
          <w:szCs w:val="24"/>
          <w:highlight w:val="none"/>
        </w:rPr>
        <w:t>因发包人违约解除合同</w:t>
      </w:r>
    </w:p>
    <w:p w14:paraId="4CDB5199">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双方约定可由承包人解除合同的其他事由：</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165FD546">
      <w:pPr>
        <w:pStyle w:val="2"/>
        <w:keepNext w:val="0"/>
        <w:keepLines w:val="0"/>
        <w:pageBreakBefore w:val="0"/>
        <w:widowControl/>
        <w:kinsoku w:val="0"/>
        <w:wordWrap/>
        <w:overflowPunct/>
        <w:topLinePunct w:val="0"/>
        <w:autoSpaceDE w:val="0"/>
        <w:autoSpaceDN w:val="0"/>
        <w:bidi w:val="0"/>
        <w:adjustRightInd w:val="0"/>
        <w:snapToGrid w:val="0"/>
        <w:spacing w:before="146" w:line="228" w:lineRule="auto"/>
        <w:ind w:left="33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第</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1"/>
          <w:sz w:val="24"/>
          <w:szCs w:val="24"/>
          <w:highlight w:val="none"/>
        </w:rPr>
        <w:t>17</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1"/>
          <w:sz w:val="24"/>
          <w:szCs w:val="24"/>
          <w:highlight w:val="none"/>
        </w:rPr>
        <w:t>条</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1"/>
          <w:sz w:val="24"/>
          <w:szCs w:val="24"/>
          <w:highlight w:val="none"/>
        </w:rPr>
        <w:t>不可抗力</w:t>
      </w:r>
    </w:p>
    <w:p w14:paraId="19E5DD83">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17.1 不可抗力的定义</w:t>
      </w:r>
    </w:p>
    <w:p w14:paraId="57977B18">
      <w:pPr>
        <w:pStyle w:val="2"/>
        <w:keepNext w:val="0"/>
        <w:keepLines w:val="0"/>
        <w:pageBreakBefore w:val="0"/>
        <w:widowControl/>
        <w:kinsoku w:val="0"/>
        <w:wordWrap/>
        <w:overflowPunct/>
        <w:topLinePunct w:val="0"/>
        <w:autoSpaceDE w:val="0"/>
        <w:autoSpaceDN w:val="0"/>
        <w:bidi w:val="0"/>
        <w:adjustRightInd w:val="0"/>
        <w:snapToGrid w:val="0"/>
        <w:spacing w:before="25" w:line="241" w:lineRule="auto"/>
        <w:ind w:left="24" w:right="54" w:firstLine="60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除</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5"/>
          <w:sz w:val="24"/>
          <w:szCs w:val="24"/>
          <w:highlight w:val="none"/>
        </w:rPr>
        <w:t>通</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5"/>
          <w:sz w:val="24"/>
          <w:szCs w:val="24"/>
          <w:highlight w:val="none"/>
        </w:rPr>
        <w:t>用</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5"/>
          <w:sz w:val="24"/>
          <w:szCs w:val="24"/>
          <w:highlight w:val="none"/>
        </w:rPr>
        <w:t>合 同</w:t>
      </w:r>
      <w:r>
        <w:rPr>
          <w:rFonts w:hint="eastAsia" w:ascii="仿宋" w:hAnsi="仿宋" w:eastAsia="仿宋" w:cs="仿宋"/>
          <w:color w:val="auto"/>
          <w:spacing w:val="-30"/>
          <w:sz w:val="24"/>
          <w:szCs w:val="24"/>
          <w:highlight w:val="none"/>
        </w:rPr>
        <w:t xml:space="preserve"> </w:t>
      </w:r>
      <w:r>
        <w:rPr>
          <w:rFonts w:hint="eastAsia" w:ascii="仿宋" w:hAnsi="仿宋" w:eastAsia="仿宋" w:cs="仿宋"/>
          <w:color w:val="auto"/>
          <w:spacing w:val="-5"/>
          <w:sz w:val="24"/>
          <w:szCs w:val="24"/>
          <w:highlight w:val="none"/>
        </w:rPr>
        <w:t>条</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5"/>
          <w:sz w:val="24"/>
          <w:szCs w:val="24"/>
          <w:highlight w:val="none"/>
        </w:rPr>
        <w:t>件</w:t>
      </w:r>
      <w:r>
        <w:rPr>
          <w:rFonts w:hint="eastAsia" w:ascii="仿宋" w:hAnsi="仿宋" w:eastAsia="仿宋" w:cs="仿宋"/>
          <w:color w:val="auto"/>
          <w:spacing w:val="-27"/>
          <w:sz w:val="24"/>
          <w:szCs w:val="24"/>
          <w:highlight w:val="none"/>
        </w:rPr>
        <w:t xml:space="preserve"> </w:t>
      </w:r>
      <w:r>
        <w:rPr>
          <w:rFonts w:hint="eastAsia" w:ascii="仿宋" w:hAnsi="仿宋" w:eastAsia="仿宋" w:cs="仿宋"/>
          <w:color w:val="auto"/>
          <w:spacing w:val="-5"/>
          <w:sz w:val="24"/>
          <w:szCs w:val="24"/>
          <w:highlight w:val="none"/>
        </w:rPr>
        <w:t>约</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5"/>
          <w:sz w:val="24"/>
          <w:szCs w:val="24"/>
          <w:highlight w:val="none"/>
        </w:rPr>
        <w:t>定 的</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5"/>
          <w:sz w:val="24"/>
          <w:szCs w:val="24"/>
          <w:highlight w:val="none"/>
        </w:rPr>
        <w:t>不</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5"/>
          <w:sz w:val="24"/>
          <w:szCs w:val="24"/>
          <w:highlight w:val="none"/>
        </w:rPr>
        <w:t>可</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5"/>
          <w:sz w:val="24"/>
          <w:szCs w:val="24"/>
          <w:highlight w:val="none"/>
        </w:rPr>
        <w:t>抗</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5"/>
          <w:sz w:val="24"/>
          <w:szCs w:val="24"/>
          <w:highlight w:val="none"/>
        </w:rPr>
        <w:t>力</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5"/>
          <w:sz w:val="24"/>
          <w:szCs w:val="24"/>
          <w:highlight w:val="none"/>
        </w:rPr>
        <w:t>事</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5"/>
          <w:sz w:val="24"/>
          <w:szCs w:val="24"/>
          <w:highlight w:val="none"/>
        </w:rPr>
        <w:t>件</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5"/>
          <w:sz w:val="24"/>
          <w:szCs w:val="24"/>
          <w:highlight w:val="none"/>
        </w:rPr>
        <w:t>之</w:t>
      </w:r>
      <w:r>
        <w:rPr>
          <w:rFonts w:hint="eastAsia" w:ascii="仿宋" w:hAnsi="仿宋" w:eastAsia="仿宋" w:cs="仿宋"/>
          <w:color w:val="auto"/>
          <w:spacing w:val="-30"/>
          <w:sz w:val="24"/>
          <w:szCs w:val="24"/>
          <w:highlight w:val="none"/>
        </w:rPr>
        <w:t xml:space="preserve"> </w:t>
      </w:r>
      <w:r>
        <w:rPr>
          <w:rFonts w:hint="eastAsia" w:ascii="仿宋" w:hAnsi="仿宋" w:eastAsia="仿宋" w:cs="仿宋"/>
          <w:color w:val="auto"/>
          <w:spacing w:val="-5"/>
          <w:sz w:val="24"/>
          <w:szCs w:val="24"/>
          <w:highlight w:val="none"/>
        </w:rPr>
        <w:t>外 ，</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5"/>
          <w:sz w:val="24"/>
          <w:szCs w:val="24"/>
          <w:highlight w:val="none"/>
        </w:rPr>
        <w:t>视</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5"/>
          <w:sz w:val="24"/>
          <w:szCs w:val="24"/>
          <w:highlight w:val="none"/>
        </w:rPr>
        <w:t>为</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5"/>
          <w:sz w:val="24"/>
          <w:szCs w:val="24"/>
          <w:highlight w:val="none"/>
        </w:rPr>
        <w:t>不</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5"/>
          <w:sz w:val="24"/>
          <w:szCs w:val="24"/>
          <w:highlight w:val="none"/>
        </w:rPr>
        <w:t>可</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5"/>
          <w:sz w:val="24"/>
          <w:szCs w:val="24"/>
          <w:highlight w:val="none"/>
        </w:rPr>
        <w:t>抗</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5"/>
          <w:sz w:val="24"/>
          <w:szCs w:val="24"/>
          <w:highlight w:val="none"/>
        </w:rPr>
        <w:t>力</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5"/>
          <w:sz w:val="24"/>
          <w:szCs w:val="24"/>
          <w:highlight w:val="none"/>
        </w:rPr>
        <w:t>的</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5"/>
          <w:sz w:val="24"/>
          <w:szCs w:val="24"/>
          <w:highlight w:val="none"/>
        </w:rPr>
        <w:t>其</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5"/>
          <w:sz w:val="24"/>
          <w:szCs w:val="24"/>
          <w:highlight w:val="none"/>
        </w:rPr>
        <w:t>他</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5"/>
          <w:sz w:val="24"/>
          <w:szCs w:val="24"/>
          <w:highlight w:val="none"/>
        </w:rPr>
        <w:t>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形：</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3"/>
          <w:sz w:val="24"/>
          <w:szCs w:val="24"/>
          <w:highlight w:val="none"/>
        </w:rPr>
        <w:t>。</w:t>
      </w:r>
    </w:p>
    <w:p w14:paraId="2E73925E">
      <w:pPr>
        <w:pStyle w:val="2"/>
        <w:keepNext w:val="0"/>
        <w:keepLines w:val="0"/>
        <w:pageBreakBefore w:val="0"/>
        <w:widowControl/>
        <w:kinsoku w:val="0"/>
        <w:wordWrap/>
        <w:overflowPunct/>
        <w:topLinePunct w:val="0"/>
        <w:autoSpaceDE w:val="0"/>
        <w:autoSpaceDN w:val="0"/>
        <w:bidi w:val="0"/>
        <w:adjustRightInd w:val="0"/>
        <w:snapToGrid w:val="0"/>
        <w:spacing w:before="22"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17.6</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4"/>
          <w:sz w:val="24"/>
          <w:szCs w:val="24"/>
          <w:highlight w:val="none"/>
        </w:rPr>
        <w:t>因不可抗力解除合同</w:t>
      </w:r>
    </w:p>
    <w:p w14:paraId="3860F4AD">
      <w:pPr>
        <w:pStyle w:val="2"/>
        <w:keepNext w:val="0"/>
        <w:keepLines w:val="0"/>
        <w:pageBreakBefore w:val="0"/>
        <w:widowControl/>
        <w:kinsoku w:val="0"/>
        <w:wordWrap/>
        <w:overflowPunct/>
        <w:topLinePunct w:val="0"/>
        <w:autoSpaceDE w:val="0"/>
        <w:autoSpaceDN w:val="0"/>
        <w:bidi w:val="0"/>
        <w:adjustRightInd w:val="0"/>
        <w:snapToGrid w:val="0"/>
        <w:spacing w:before="27"/>
        <w:ind w:left="39" w:right="54" w:firstLine="58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合同解除后，发包人应当在商定或确定发包人应支付款项后的</w:t>
      </w:r>
      <w:r>
        <w:rPr>
          <w:rFonts w:hint="eastAsia" w:ascii="仿宋" w:hAnsi="仿宋" w:eastAsia="仿宋" w:cs="仿宋"/>
          <w:color w:val="auto"/>
          <w:spacing w:val="-91"/>
          <w:sz w:val="24"/>
          <w:szCs w:val="24"/>
          <w:highlight w:val="none"/>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87"/>
          <w:sz w:val="24"/>
          <w:szCs w:val="24"/>
          <w:highlight w:val="none"/>
        </w:rPr>
        <w:t xml:space="preserve"> </w:t>
      </w:r>
      <w:r>
        <w:rPr>
          <w:rFonts w:hint="eastAsia" w:ascii="仿宋" w:hAnsi="仿宋" w:eastAsia="仿宋" w:cs="仿宋"/>
          <w:color w:val="auto"/>
          <w:spacing w:val="10"/>
          <w:sz w:val="24"/>
          <w:szCs w:val="24"/>
          <w:highlight w:val="none"/>
        </w:rPr>
        <w:t>天内完成款项</w:t>
      </w:r>
      <w:r>
        <w:rPr>
          <w:rFonts w:hint="eastAsia" w:ascii="仿宋" w:hAnsi="仿宋" w:eastAsia="仿宋" w:cs="仿宋"/>
          <w:color w:val="auto"/>
          <w:sz w:val="24"/>
          <w:szCs w:val="24"/>
          <w:highlight w:val="none"/>
        </w:rPr>
        <w:t xml:space="preserve"> 的支付。</w:t>
      </w:r>
    </w:p>
    <w:p w14:paraId="06A6CB86">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354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第</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1"/>
          <w:sz w:val="24"/>
          <w:szCs w:val="24"/>
          <w:highlight w:val="none"/>
        </w:rPr>
        <w:t>18</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1"/>
          <w:sz w:val="24"/>
          <w:szCs w:val="24"/>
          <w:highlight w:val="none"/>
        </w:rPr>
        <w:t>条</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1"/>
          <w:sz w:val="24"/>
          <w:szCs w:val="24"/>
          <w:highlight w:val="none"/>
        </w:rPr>
        <w:t>保险</w:t>
      </w:r>
    </w:p>
    <w:p w14:paraId="5AA3ED09">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18.1 设计和工程保险</w:t>
      </w:r>
    </w:p>
    <w:p w14:paraId="5A3DD2C7">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18.1.1 双方当事人关于设计和工程保险的特别约定：</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753310E6">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18.1.2 双方当事人关于第三方责任</w:t>
      </w:r>
      <w:r>
        <w:rPr>
          <w:rFonts w:hint="eastAsia" w:ascii="仿宋" w:hAnsi="仿宋" w:eastAsia="仿宋" w:cs="仿宋"/>
          <w:color w:val="auto"/>
          <w:spacing w:val="6"/>
          <w:sz w:val="24"/>
          <w:szCs w:val="24"/>
          <w:highlight w:val="none"/>
        </w:rPr>
        <w:t>险的特别约定：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0F9A1B37">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18.2 工伤和意外伤害保险</w:t>
      </w:r>
    </w:p>
    <w:p w14:paraId="746386BD">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18.2.3 关于工伤保险和意外伤害保险的特别</w:t>
      </w:r>
      <w:r>
        <w:rPr>
          <w:rFonts w:hint="eastAsia" w:ascii="仿宋" w:hAnsi="仿宋" w:eastAsia="仿宋" w:cs="仿宋"/>
          <w:color w:val="auto"/>
          <w:spacing w:val="6"/>
          <w:sz w:val="24"/>
          <w:szCs w:val="24"/>
          <w:highlight w:val="none"/>
        </w:rPr>
        <w:t>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015DEEB0">
      <w:pPr>
        <w:pStyle w:val="2"/>
        <w:keepNext w:val="0"/>
        <w:keepLines w:val="0"/>
        <w:pageBreakBefore w:val="0"/>
        <w:widowControl/>
        <w:kinsoku w:val="0"/>
        <w:wordWrap/>
        <w:overflowPunct/>
        <w:topLinePunct w:val="0"/>
        <w:autoSpaceDE w:val="0"/>
        <w:autoSpaceDN w:val="0"/>
        <w:bidi w:val="0"/>
        <w:adjustRightInd w:val="0"/>
        <w:snapToGrid w:val="0"/>
        <w:spacing w:before="27" w:line="227"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18.3</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2"/>
          <w:sz w:val="24"/>
          <w:szCs w:val="24"/>
          <w:highlight w:val="none"/>
        </w:rPr>
        <w:t>货物保险</w:t>
      </w:r>
    </w:p>
    <w:p w14:paraId="5A9B3CE0">
      <w:pPr>
        <w:pStyle w:val="2"/>
        <w:keepNext w:val="0"/>
        <w:keepLines w:val="0"/>
        <w:pageBreakBefore w:val="0"/>
        <w:widowControl/>
        <w:kinsoku w:val="0"/>
        <w:wordWrap/>
        <w:overflowPunct/>
        <w:topLinePunct w:val="0"/>
        <w:autoSpaceDE w:val="0"/>
        <w:autoSpaceDN w:val="0"/>
        <w:bidi w:val="0"/>
        <w:adjustRightInd w:val="0"/>
        <w:snapToGrid w:val="0"/>
        <w:spacing w:before="26"/>
        <w:ind w:left="27" w:right="54" w:firstLine="5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4"/>
          <w:sz w:val="24"/>
          <w:szCs w:val="24"/>
          <w:highlight w:val="none"/>
        </w:rPr>
        <w:t>关于承包人应为其施工设备、材料、工程设备和临时</w:t>
      </w:r>
      <w:r>
        <w:rPr>
          <w:rFonts w:hint="eastAsia" w:ascii="仿宋" w:hAnsi="仿宋" w:eastAsia="仿宋" w:cs="仿宋"/>
          <w:color w:val="auto"/>
          <w:spacing w:val="13"/>
          <w:sz w:val="24"/>
          <w:szCs w:val="24"/>
          <w:highlight w:val="none"/>
        </w:rPr>
        <w:t>工程等办理财产保险的特别约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定：</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
          <w:sz w:val="24"/>
          <w:szCs w:val="24"/>
          <w:highlight w:val="none"/>
        </w:rPr>
        <w:t>。</w:t>
      </w:r>
    </w:p>
    <w:p w14:paraId="21584FE7">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18.4 其他保险</w:t>
      </w:r>
    </w:p>
    <w:p w14:paraId="17A89F6A">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仿宋" w:hAnsi="仿宋" w:eastAsia="仿宋" w:cs="仿宋"/>
          <w:color w:val="auto"/>
          <w:sz w:val="24"/>
          <w:szCs w:val="24"/>
          <w:highlight w:val="none"/>
        </w:rPr>
        <w:sectPr>
          <w:footerReference r:id="rId49" w:type="default"/>
          <w:pgSz w:w="11906" w:h="16839"/>
          <w:pgMar w:top="1428" w:right="1747" w:bottom="1171" w:left="1785" w:header="0" w:footer="992" w:gutter="0"/>
          <w:pgNumType w:fmt="decimal"/>
          <w:cols w:space="720" w:num="1"/>
        </w:sectPr>
      </w:pPr>
    </w:p>
    <w:p w14:paraId="0610D4F3">
      <w:pPr>
        <w:pStyle w:val="2"/>
        <w:keepNext w:val="0"/>
        <w:keepLines w:val="0"/>
        <w:pageBreakBefore w:val="0"/>
        <w:widowControl/>
        <w:kinsoku w:val="0"/>
        <w:wordWrap/>
        <w:overflowPunct/>
        <w:topLinePunct w:val="0"/>
        <w:autoSpaceDE w:val="0"/>
        <w:autoSpaceDN w:val="0"/>
        <w:bidi w:val="0"/>
        <w:adjustRightInd w:val="0"/>
        <w:snapToGrid w:val="0"/>
        <w:spacing w:before="42"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关于其他保险的约定：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314111E3">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18.5 对各项保险的一般要求</w:t>
      </w:r>
    </w:p>
    <w:p w14:paraId="150BF157">
      <w:pPr>
        <w:pStyle w:val="2"/>
        <w:keepNext w:val="0"/>
        <w:keepLines w:val="0"/>
        <w:pageBreakBefore w:val="0"/>
        <w:widowControl/>
        <w:kinsoku w:val="0"/>
        <w:wordWrap/>
        <w:overflowPunct/>
        <w:topLinePunct w:val="0"/>
        <w:autoSpaceDE w:val="0"/>
        <w:autoSpaceDN w:val="0"/>
        <w:bidi w:val="0"/>
        <w:adjustRightInd w:val="0"/>
        <w:snapToGrid w:val="0"/>
        <w:spacing w:before="23"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18.5.2 保险凭证</w:t>
      </w:r>
    </w:p>
    <w:p w14:paraId="263CC51E">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保险单的条件：</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4D70BA4D">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18.5.4 通知义务</w:t>
      </w:r>
    </w:p>
    <w:p w14:paraId="607D7021">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关于变更保险合同时的通知义务的约定：</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3B5B68C4">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33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第</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3"/>
          <w:sz w:val="24"/>
          <w:szCs w:val="24"/>
          <w:highlight w:val="none"/>
        </w:rPr>
        <w:t>20</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3"/>
          <w:sz w:val="24"/>
          <w:szCs w:val="24"/>
          <w:highlight w:val="none"/>
        </w:rPr>
        <w:t>条</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3"/>
          <w:sz w:val="24"/>
          <w:szCs w:val="24"/>
          <w:highlight w:val="none"/>
        </w:rPr>
        <w:t>争议解决</w:t>
      </w:r>
    </w:p>
    <w:p w14:paraId="0F6E0339">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20.3</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4"/>
          <w:sz w:val="24"/>
          <w:szCs w:val="24"/>
          <w:highlight w:val="none"/>
        </w:rPr>
        <w:t>争议评审</w:t>
      </w:r>
    </w:p>
    <w:p w14:paraId="3111B22F">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合同当事人是否同意将工程争议提交争议评审小组决定</w:t>
      </w:r>
      <w:r>
        <w:rPr>
          <w:rFonts w:hint="eastAsia" w:ascii="仿宋" w:hAnsi="仿宋" w:eastAsia="仿宋" w:cs="仿宋"/>
          <w:color w:val="auto"/>
          <w:spacing w:val="7"/>
          <w:sz w:val="24"/>
          <w:szCs w:val="24"/>
          <w:highlight w:val="none"/>
        </w:rPr>
        <w:t xml:space="preserve">： </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679C117D">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20.3.1 争议评审小组的确定</w:t>
      </w:r>
    </w:p>
    <w:p w14:paraId="13F58723">
      <w:pPr>
        <w:pStyle w:val="2"/>
        <w:keepNext w:val="0"/>
        <w:keepLines w:val="0"/>
        <w:pageBreakBefore w:val="0"/>
        <w:widowControl/>
        <w:kinsoku w:val="0"/>
        <w:wordWrap/>
        <w:overflowPunct/>
        <w:topLinePunct w:val="0"/>
        <w:autoSpaceDE w:val="0"/>
        <w:autoSpaceDN w:val="0"/>
        <w:bidi w:val="0"/>
        <w:adjustRightInd w:val="0"/>
        <w:snapToGrid w:val="0"/>
        <w:spacing w:before="25" w:line="250"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争议评审小组成员的人数：</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6824789B">
      <w:pPr>
        <w:pStyle w:val="2"/>
        <w:keepNext w:val="0"/>
        <w:keepLines w:val="0"/>
        <w:pageBreakBefore w:val="0"/>
        <w:widowControl/>
        <w:kinsoku w:val="0"/>
        <w:wordWrap/>
        <w:overflowPunct/>
        <w:topLinePunct w:val="0"/>
        <w:autoSpaceDE w:val="0"/>
        <w:autoSpaceDN w:val="0"/>
        <w:bidi w:val="0"/>
        <w:adjustRightInd w:val="0"/>
        <w:snapToGrid w:val="0"/>
        <w:spacing w:line="227"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争议评审小组成员的确定：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394D585F">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选定争议避免/评审组的期限：</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022292CA">
      <w:pPr>
        <w:pStyle w:val="2"/>
        <w:keepNext w:val="0"/>
        <w:keepLines w:val="0"/>
        <w:pageBreakBefore w:val="0"/>
        <w:widowControl/>
        <w:kinsoku w:val="0"/>
        <w:wordWrap/>
        <w:overflowPunct/>
        <w:topLinePunct w:val="0"/>
        <w:autoSpaceDE w:val="0"/>
        <w:autoSpaceDN w:val="0"/>
        <w:bidi w:val="0"/>
        <w:adjustRightInd w:val="0"/>
        <w:snapToGrid w:val="0"/>
        <w:spacing w:before="24" w:line="227"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评审机构：</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4169F474">
      <w:pPr>
        <w:pStyle w:val="2"/>
        <w:keepNext w:val="0"/>
        <w:keepLines w:val="0"/>
        <w:pageBreakBefore w:val="0"/>
        <w:widowControl/>
        <w:kinsoku w:val="0"/>
        <w:wordWrap/>
        <w:overflowPunct/>
        <w:topLinePunct w:val="0"/>
        <w:autoSpaceDE w:val="0"/>
        <w:autoSpaceDN w:val="0"/>
        <w:bidi w:val="0"/>
        <w:adjustRightInd w:val="0"/>
        <w:snapToGrid w:val="0"/>
        <w:spacing w:before="29"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其他事项的约定：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66F0C777">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争议评审员报酬的承担人：</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2649A067">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20.3.2 争议的避免</w:t>
      </w:r>
    </w:p>
    <w:p w14:paraId="55A68628">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发包人和承包人是否均出席争议避免的非正</w:t>
      </w:r>
      <w:r>
        <w:rPr>
          <w:rFonts w:hint="eastAsia" w:ascii="仿宋" w:hAnsi="仿宋" w:eastAsia="仿宋" w:cs="仿宋"/>
          <w:color w:val="auto"/>
          <w:spacing w:val="7"/>
          <w:sz w:val="24"/>
          <w:szCs w:val="24"/>
          <w:highlight w:val="none"/>
        </w:rPr>
        <w:t>式讨论：</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130D9A63">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20.3.3 争议评审小组的决定</w:t>
      </w:r>
    </w:p>
    <w:p w14:paraId="34C7A054">
      <w:pPr>
        <w:pStyle w:val="2"/>
        <w:keepNext w:val="0"/>
        <w:keepLines w:val="0"/>
        <w:pageBreakBefore w:val="0"/>
        <w:widowControl/>
        <w:kinsoku w:val="0"/>
        <w:wordWrap/>
        <w:overflowPunct/>
        <w:topLinePunct w:val="0"/>
        <w:autoSpaceDE w:val="0"/>
        <w:autoSpaceDN w:val="0"/>
        <w:bidi w:val="0"/>
        <w:adjustRightInd w:val="0"/>
        <w:snapToGrid w:val="0"/>
        <w:spacing w:before="25" w:line="253"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关于争议评审小组的决定的特别约定：</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1193FDFF">
      <w:pPr>
        <w:pStyle w:val="2"/>
        <w:keepNext w:val="0"/>
        <w:keepLines w:val="0"/>
        <w:pageBreakBefore w:val="0"/>
        <w:widowControl/>
        <w:kinsoku w:val="0"/>
        <w:wordWrap/>
        <w:overflowPunct/>
        <w:topLinePunct w:val="0"/>
        <w:autoSpaceDE w:val="0"/>
        <w:autoSpaceDN w:val="0"/>
        <w:bidi w:val="0"/>
        <w:adjustRightInd w:val="0"/>
        <w:snapToGrid w:val="0"/>
        <w:spacing w:line="227"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20.4 仲裁或诉讼</w:t>
      </w:r>
    </w:p>
    <w:p w14:paraId="7E7FD1F7">
      <w:pPr>
        <w:pStyle w:val="2"/>
        <w:keepNext w:val="0"/>
        <w:keepLines w:val="0"/>
        <w:pageBreakBefore w:val="0"/>
        <w:widowControl/>
        <w:kinsoku w:val="0"/>
        <w:wordWrap/>
        <w:overflowPunct/>
        <w:topLinePunct w:val="0"/>
        <w:autoSpaceDE w:val="0"/>
        <w:autoSpaceDN w:val="0"/>
        <w:bidi w:val="0"/>
        <w:adjustRightInd w:val="0"/>
        <w:snapToGrid w:val="0"/>
        <w:spacing w:before="24" w:line="253" w:lineRule="auto"/>
        <w:ind w:left="63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因合同及合同有关事项发生的争议，按下列第</w:t>
      </w:r>
      <w:r>
        <w:rPr>
          <w:rFonts w:hint="eastAsia" w:ascii="仿宋" w:hAnsi="仿宋" w:eastAsia="仿宋" w:cs="仿宋"/>
          <w:color w:val="auto"/>
          <w:spacing w:val="-93"/>
          <w:sz w:val="24"/>
          <w:szCs w:val="24"/>
          <w:highlight w:val="none"/>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92"/>
          <w:sz w:val="24"/>
          <w:szCs w:val="24"/>
          <w:highlight w:val="none"/>
        </w:rPr>
        <w:t xml:space="preserve"> </w:t>
      </w:r>
      <w:r>
        <w:rPr>
          <w:rFonts w:hint="eastAsia" w:ascii="仿宋" w:hAnsi="仿宋" w:eastAsia="仿宋" w:cs="仿宋"/>
          <w:color w:val="auto"/>
          <w:spacing w:val="8"/>
          <w:sz w:val="24"/>
          <w:szCs w:val="24"/>
          <w:highlight w:val="none"/>
        </w:rPr>
        <w:t>种方式解决：</w:t>
      </w:r>
    </w:p>
    <w:p w14:paraId="6B2315CF">
      <w:pPr>
        <w:pStyle w:val="2"/>
        <w:keepNext w:val="0"/>
        <w:keepLines w:val="0"/>
        <w:pageBreakBefore w:val="0"/>
        <w:widowControl/>
        <w:kinsoku w:val="0"/>
        <w:wordWrap/>
        <w:overflowPunct/>
        <w:topLinePunct w:val="0"/>
        <w:autoSpaceDE w:val="0"/>
        <w:autoSpaceDN w:val="0"/>
        <w:bidi w:val="0"/>
        <w:adjustRightInd w:val="0"/>
        <w:snapToGrid w:val="0"/>
        <w:spacing w:before="1" w:line="226"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（1）向</w:t>
      </w:r>
      <w:r>
        <w:rPr>
          <w:rFonts w:hint="eastAsia" w:ascii="仿宋" w:hAnsi="仿宋" w:eastAsia="仿宋" w:cs="仿宋"/>
          <w:color w:val="auto"/>
          <w:spacing w:val="-88"/>
          <w:sz w:val="24"/>
          <w:szCs w:val="24"/>
          <w:highlight w:val="none"/>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93"/>
          <w:sz w:val="24"/>
          <w:szCs w:val="24"/>
          <w:highlight w:val="none"/>
        </w:rPr>
        <w:t xml:space="preserve"> </w:t>
      </w:r>
      <w:r>
        <w:rPr>
          <w:rFonts w:hint="eastAsia" w:ascii="仿宋" w:hAnsi="仿宋" w:eastAsia="仿宋" w:cs="仿宋"/>
          <w:color w:val="auto"/>
          <w:spacing w:val="6"/>
          <w:sz w:val="24"/>
          <w:szCs w:val="24"/>
          <w:highlight w:val="none"/>
        </w:rPr>
        <w:t>仲裁委员会申请仲裁；</w:t>
      </w:r>
    </w:p>
    <w:p w14:paraId="460E803F">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（2）向</w:t>
      </w:r>
      <w:r>
        <w:rPr>
          <w:rFonts w:hint="eastAsia" w:ascii="仿宋" w:hAnsi="仿宋" w:eastAsia="仿宋" w:cs="仿宋"/>
          <w:color w:val="auto"/>
          <w:spacing w:val="-93"/>
          <w:sz w:val="24"/>
          <w:szCs w:val="24"/>
          <w:highlight w:val="none"/>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90"/>
          <w:sz w:val="24"/>
          <w:szCs w:val="24"/>
          <w:highlight w:val="none"/>
        </w:rPr>
        <w:t xml:space="preserve"> </w:t>
      </w:r>
      <w:r>
        <w:rPr>
          <w:rFonts w:hint="eastAsia" w:ascii="仿宋" w:hAnsi="仿宋" w:eastAsia="仿宋" w:cs="仿宋"/>
          <w:color w:val="auto"/>
          <w:spacing w:val="5"/>
          <w:sz w:val="24"/>
          <w:szCs w:val="24"/>
          <w:highlight w:val="none"/>
        </w:rPr>
        <w:t>人民法院起诉。</w:t>
      </w:r>
      <w:r>
        <w:rPr>
          <w:rFonts w:hint="eastAsia" w:ascii="仿宋" w:hAnsi="仿宋" w:eastAsia="仿宋" w:cs="仿宋"/>
          <w:b/>
          <w:bCs/>
          <w:color w:val="auto"/>
          <w:spacing w:val="7"/>
          <w:sz w:val="24"/>
          <w:szCs w:val="24"/>
          <w:highlight w:val="none"/>
        </w:rPr>
        <w:t>专用合同条件附件</w:t>
      </w:r>
    </w:p>
    <w:p w14:paraId="650263B5">
      <w:pPr>
        <w:keepNext w:val="0"/>
        <w:keepLines w:val="0"/>
        <w:pageBreakBefore w:val="0"/>
        <w:widowControl/>
        <w:kinsoku w:val="0"/>
        <w:wordWrap/>
        <w:overflowPunct/>
        <w:topLinePunct w:val="0"/>
        <w:autoSpaceDE w:val="0"/>
        <w:autoSpaceDN w:val="0"/>
        <w:bidi w:val="0"/>
        <w:adjustRightInd w:val="0"/>
        <w:snapToGrid w:val="0"/>
        <w:spacing w:line="282" w:lineRule="auto"/>
        <w:textAlignment w:val="baseline"/>
        <w:outlineLvl w:val="9"/>
        <w:rPr>
          <w:rFonts w:hint="eastAsia" w:ascii="仿宋" w:hAnsi="仿宋" w:eastAsia="仿宋" w:cs="仿宋"/>
          <w:color w:val="auto"/>
          <w:sz w:val="24"/>
          <w:szCs w:val="24"/>
          <w:highlight w:val="none"/>
        </w:rPr>
      </w:pPr>
    </w:p>
    <w:p w14:paraId="7F9FF237">
      <w:pPr>
        <w:pStyle w:val="2"/>
        <w:keepNext w:val="0"/>
        <w:keepLines w:val="0"/>
        <w:pageBreakBefore w:val="0"/>
        <w:widowControl/>
        <w:kinsoku w:val="0"/>
        <w:wordWrap/>
        <w:overflowPunct/>
        <w:topLinePunct w:val="0"/>
        <w:autoSpaceDE w:val="0"/>
        <w:autoSpaceDN w:val="0"/>
        <w:bidi w:val="0"/>
        <w:adjustRightInd w:val="0"/>
        <w:snapToGrid w:val="0"/>
        <w:spacing w:before="65" w:line="227" w:lineRule="auto"/>
        <w:ind w:left="64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附件</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3"/>
          <w:sz w:val="24"/>
          <w:szCs w:val="24"/>
          <w:highlight w:val="none"/>
        </w:rPr>
        <w:t>1：发包人要求</w:t>
      </w:r>
    </w:p>
    <w:p w14:paraId="721B577C">
      <w:pPr>
        <w:pStyle w:val="2"/>
        <w:keepNext w:val="0"/>
        <w:keepLines w:val="0"/>
        <w:pageBreakBefore w:val="0"/>
        <w:widowControl/>
        <w:kinsoku w:val="0"/>
        <w:wordWrap/>
        <w:overflowPunct/>
        <w:topLinePunct w:val="0"/>
        <w:autoSpaceDE w:val="0"/>
        <w:autoSpaceDN w:val="0"/>
        <w:bidi w:val="0"/>
        <w:adjustRightInd w:val="0"/>
        <w:snapToGrid w:val="0"/>
        <w:spacing w:before="27" w:line="227" w:lineRule="auto"/>
        <w:ind w:left="64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附件</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7"/>
          <w:sz w:val="24"/>
          <w:szCs w:val="24"/>
          <w:highlight w:val="none"/>
        </w:rPr>
        <w:t>2：发包人供应材料设备一览表</w:t>
      </w:r>
    </w:p>
    <w:p w14:paraId="0014A2B5">
      <w:pPr>
        <w:pStyle w:val="2"/>
        <w:keepNext w:val="0"/>
        <w:keepLines w:val="0"/>
        <w:pageBreakBefore w:val="0"/>
        <w:widowControl/>
        <w:kinsoku w:val="0"/>
        <w:wordWrap/>
        <w:overflowPunct/>
        <w:topLinePunct w:val="0"/>
        <w:autoSpaceDE w:val="0"/>
        <w:autoSpaceDN w:val="0"/>
        <w:bidi w:val="0"/>
        <w:adjustRightInd w:val="0"/>
        <w:snapToGrid w:val="0"/>
        <w:spacing w:before="25" w:line="227" w:lineRule="auto"/>
        <w:ind w:left="64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附件</w:t>
      </w:r>
      <w:r>
        <w:rPr>
          <w:rFonts w:hint="eastAsia" w:ascii="仿宋" w:hAnsi="仿宋" w:eastAsia="仿宋" w:cs="仿宋"/>
          <w:color w:val="auto"/>
          <w:spacing w:val="-25"/>
          <w:sz w:val="24"/>
          <w:szCs w:val="24"/>
          <w:highlight w:val="none"/>
        </w:rPr>
        <w:t xml:space="preserve"> </w:t>
      </w:r>
      <w:r>
        <w:rPr>
          <w:rFonts w:hint="eastAsia" w:ascii="仿宋" w:hAnsi="仿宋" w:eastAsia="仿宋" w:cs="仿宋"/>
          <w:color w:val="auto"/>
          <w:spacing w:val="5"/>
          <w:sz w:val="24"/>
          <w:szCs w:val="24"/>
          <w:highlight w:val="none"/>
        </w:rPr>
        <w:t>3：工程质量保修书</w:t>
      </w:r>
    </w:p>
    <w:p w14:paraId="54097DD3">
      <w:pPr>
        <w:pStyle w:val="2"/>
        <w:keepNext w:val="0"/>
        <w:keepLines w:val="0"/>
        <w:pageBreakBefore w:val="0"/>
        <w:widowControl/>
        <w:kinsoku w:val="0"/>
        <w:wordWrap/>
        <w:overflowPunct/>
        <w:topLinePunct w:val="0"/>
        <w:autoSpaceDE w:val="0"/>
        <w:autoSpaceDN w:val="0"/>
        <w:bidi w:val="0"/>
        <w:adjustRightInd w:val="0"/>
        <w:snapToGrid w:val="0"/>
        <w:spacing w:before="25" w:line="227" w:lineRule="auto"/>
        <w:ind w:left="64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附件</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7"/>
          <w:sz w:val="24"/>
          <w:szCs w:val="24"/>
          <w:highlight w:val="none"/>
        </w:rPr>
        <w:t>4：主要建设工程文件目录</w:t>
      </w:r>
    </w:p>
    <w:p w14:paraId="5512018D">
      <w:pPr>
        <w:pStyle w:val="2"/>
        <w:keepNext w:val="0"/>
        <w:keepLines w:val="0"/>
        <w:pageBreakBefore w:val="0"/>
        <w:widowControl/>
        <w:kinsoku w:val="0"/>
        <w:wordWrap/>
        <w:overflowPunct/>
        <w:topLinePunct w:val="0"/>
        <w:autoSpaceDE w:val="0"/>
        <w:autoSpaceDN w:val="0"/>
        <w:bidi w:val="0"/>
        <w:adjustRightInd w:val="0"/>
        <w:snapToGrid w:val="0"/>
        <w:spacing w:before="28" w:line="227" w:lineRule="auto"/>
        <w:ind w:left="64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附件</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6"/>
          <w:sz w:val="24"/>
          <w:szCs w:val="24"/>
          <w:highlight w:val="none"/>
        </w:rPr>
        <w:t>5：承包人主要管理人员表</w:t>
      </w:r>
    </w:p>
    <w:p w14:paraId="028EB7FD">
      <w:pPr>
        <w:pStyle w:val="2"/>
        <w:keepNext w:val="0"/>
        <w:keepLines w:val="0"/>
        <w:pageBreakBefore w:val="0"/>
        <w:widowControl/>
        <w:kinsoku w:val="0"/>
        <w:wordWrap/>
        <w:overflowPunct/>
        <w:topLinePunct w:val="0"/>
        <w:autoSpaceDE w:val="0"/>
        <w:autoSpaceDN w:val="0"/>
        <w:bidi w:val="0"/>
        <w:adjustRightInd w:val="0"/>
        <w:snapToGrid w:val="0"/>
        <w:spacing w:before="25" w:line="226" w:lineRule="auto"/>
        <w:ind w:left="64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附件</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6"/>
          <w:sz w:val="24"/>
          <w:szCs w:val="24"/>
          <w:highlight w:val="none"/>
        </w:rPr>
        <w:t>6：价格指数权重表</w:t>
      </w:r>
    </w:p>
    <w:p w14:paraId="53CEA4B5">
      <w:pPr>
        <w:keepNext w:val="0"/>
        <w:keepLines w:val="0"/>
        <w:pageBreakBefore w:val="0"/>
        <w:widowControl/>
        <w:kinsoku w:val="0"/>
        <w:wordWrap/>
        <w:overflowPunct/>
        <w:topLinePunct w:val="0"/>
        <w:autoSpaceDE w:val="0"/>
        <w:autoSpaceDN w:val="0"/>
        <w:bidi w:val="0"/>
        <w:adjustRightInd w:val="0"/>
        <w:snapToGrid w:val="0"/>
        <w:spacing w:line="258" w:lineRule="auto"/>
        <w:textAlignment w:val="baseline"/>
        <w:outlineLvl w:val="9"/>
        <w:rPr>
          <w:rFonts w:hint="eastAsia" w:ascii="仿宋" w:hAnsi="仿宋" w:eastAsia="仿宋" w:cs="仿宋"/>
          <w:color w:val="auto"/>
          <w:sz w:val="24"/>
          <w:szCs w:val="24"/>
          <w:highlight w:val="none"/>
        </w:rPr>
      </w:pPr>
    </w:p>
    <w:p w14:paraId="0D881B88">
      <w:pPr>
        <w:keepNext w:val="0"/>
        <w:keepLines w:val="0"/>
        <w:pageBreakBefore w:val="0"/>
        <w:widowControl/>
        <w:kinsoku w:val="0"/>
        <w:wordWrap/>
        <w:overflowPunct/>
        <w:topLinePunct w:val="0"/>
        <w:autoSpaceDE w:val="0"/>
        <w:autoSpaceDN w:val="0"/>
        <w:bidi w:val="0"/>
        <w:adjustRightInd w:val="0"/>
        <w:snapToGrid w:val="0"/>
        <w:spacing w:line="258" w:lineRule="auto"/>
        <w:textAlignment w:val="baseline"/>
        <w:outlineLvl w:val="9"/>
        <w:rPr>
          <w:rFonts w:hint="eastAsia" w:ascii="仿宋" w:hAnsi="仿宋" w:eastAsia="仿宋" w:cs="仿宋"/>
          <w:color w:val="auto"/>
          <w:sz w:val="24"/>
          <w:szCs w:val="24"/>
          <w:highlight w:val="none"/>
        </w:rPr>
      </w:pPr>
    </w:p>
    <w:p w14:paraId="236EBA36">
      <w:pPr>
        <w:keepNext w:val="0"/>
        <w:keepLines w:val="0"/>
        <w:pageBreakBefore w:val="0"/>
        <w:widowControl/>
        <w:kinsoku w:val="0"/>
        <w:wordWrap/>
        <w:overflowPunct/>
        <w:topLinePunct w:val="0"/>
        <w:autoSpaceDE w:val="0"/>
        <w:autoSpaceDN w:val="0"/>
        <w:bidi w:val="0"/>
        <w:adjustRightInd w:val="0"/>
        <w:snapToGrid w:val="0"/>
        <w:spacing w:line="258" w:lineRule="auto"/>
        <w:textAlignment w:val="baseline"/>
        <w:outlineLvl w:val="9"/>
        <w:rPr>
          <w:rFonts w:hint="eastAsia" w:ascii="仿宋" w:hAnsi="仿宋" w:eastAsia="仿宋" w:cs="仿宋"/>
          <w:color w:val="auto"/>
          <w:sz w:val="24"/>
          <w:szCs w:val="24"/>
          <w:highlight w:val="none"/>
        </w:rPr>
      </w:pPr>
    </w:p>
    <w:p w14:paraId="07019686">
      <w:pPr>
        <w:pStyle w:val="2"/>
        <w:keepNext w:val="0"/>
        <w:keepLines w:val="0"/>
        <w:pageBreakBefore w:val="0"/>
        <w:widowControl/>
        <w:kinsoku w:val="0"/>
        <w:wordWrap/>
        <w:overflowPunct/>
        <w:topLinePunct w:val="0"/>
        <w:autoSpaceDE w:val="0"/>
        <w:autoSpaceDN w:val="0"/>
        <w:bidi w:val="0"/>
        <w:adjustRightInd w:val="0"/>
        <w:snapToGrid w:val="0"/>
        <w:spacing w:before="66" w:line="227" w:lineRule="auto"/>
        <w:ind w:left="36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附件</w:t>
      </w:r>
      <w:r>
        <w:rPr>
          <w:rFonts w:hint="eastAsia" w:ascii="仿宋" w:hAnsi="仿宋" w:eastAsia="仿宋" w:cs="仿宋"/>
          <w:color w:val="auto"/>
          <w:spacing w:val="-22"/>
          <w:sz w:val="24"/>
          <w:szCs w:val="24"/>
          <w:highlight w:val="none"/>
        </w:rPr>
        <w:t xml:space="preserve"> </w:t>
      </w:r>
      <w:r>
        <w:rPr>
          <w:rFonts w:hint="eastAsia" w:ascii="仿宋" w:hAnsi="仿宋" w:eastAsia="仿宋" w:cs="仿宋"/>
          <w:b/>
          <w:bCs/>
          <w:color w:val="auto"/>
          <w:spacing w:val="2"/>
          <w:sz w:val="24"/>
          <w:szCs w:val="24"/>
          <w:highlight w:val="none"/>
        </w:rPr>
        <w:t>1</w:t>
      </w:r>
      <w:r>
        <w:rPr>
          <w:rFonts w:hint="eastAsia" w:ascii="仿宋" w:hAnsi="仿宋" w:eastAsia="仿宋" w:cs="仿宋"/>
          <w:color w:val="auto"/>
          <w:spacing w:val="2"/>
          <w:sz w:val="24"/>
          <w:szCs w:val="24"/>
          <w:highlight w:val="none"/>
        </w:rPr>
        <w:t xml:space="preserve"> </w:t>
      </w:r>
      <w:r>
        <w:rPr>
          <w:rFonts w:hint="eastAsia" w:ascii="仿宋" w:hAnsi="仿宋" w:eastAsia="仿宋" w:cs="仿宋"/>
          <w:b/>
          <w:bCs/>
          <w:color w:val="auto"/>
          <w:spacing w:val="2"/>
          <w:sz w:val="24"/>
          <w:szCs w:val="24"/>
          <w:highlight w:val="none"/>
        </w:rPr>
        <w:t>《发包人要求》</w:t>
      </w:r>
    </w:p>
    <w:p w14:paraId="29D4B68E">
      <w:pPr>
        <w:pStyle w:val="2"/>
        <w:keepNext w:val="0"/>
        <w:keepLines w:val="0"/>
        <w:pageBreakBefore w:val="0"/>
        <w:widowControl/>
        <w:kinsoku w:val="0"/>
        <w:wordWrap/>
        <w:overflowPunct/>
        <w:topLinePunct w:val="0"/>
        <w:autoSpaceDE w:val="0"/>
        <w:autoSpaceDN w:val="0"/>
        <w:bidi w:val="0"/>
        <w:adjustRightInd w:val="0"/>
        <w:snapToGrid w:val="0"/>
        <w:spacing w:before="28" w:line="245" w:lineRule="auto"/>
        <w:ind w:left="25" w:firstLine="604"/>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《发包人要求》应尽可能清晰准确，对于可以进行定量评估的工作，《发包人要求》</w:t>
      </w:r>
      <w:r>
        <w:rPr>
          <w:rFonts w:hint="eastAsia" w:ascii="仿宋" w:hAnsi="仿宋" w:eastAsia="仿宋" w:cs="仿宋"/>
          <w:color w:val="auto"/>
          <w:spacing w:val="8"/>
          <w:sz w:val="24"/>
          <w:szCs w:val="24"/>
          <w:highlight w:val="none"/>
        </w:rPr>
        <w:t xml:space="preserve"> </w:t>
      </w:r>
      <w:r>
        <w:rPr>
          <w:rFonts w:hint="eastAsia" w:ascii="仿宋" w:hAnsi="仿宋" w:eastAsia="仿宋" w:cs="仿宋"/>
          <w:color w:val="auto"/>
          <w:spacing w:val="7"/>
          <w:sz w:val="24"/>
          <w:szCs w:val="24"/>
          <w:highlight w:val="none"/>
        </w:rPr>
        <w:t>不仅应明确规定其产能、功能、用途、质量、环境、安全，并且要规定偏离的范围和计算方</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7"/>
          <w:sz w:val="24"/>
          <w:szCs w:val="24"/>
          <w:highlight w:val="none"/>
        </w:rPr>
        <w:t>法，以及检验、试验、试运行的具体要求。对于承包人负责提供的有关设备和服务，对发包</w:t>
      </w:r>
      <w:r>
        <w:rPr>
          <w:rFonts w:hint="eastAsia" w:ascii="仿宋" w:hAnsi="仿宋" w:eastAsia="仿宋" w:cs="仿宋"/>
          <w:color w:val="auto"/>
          <w:spacing w:val="9"/>
          <w:sz w:val="24"/>
          <w:szCs w:val="24"/>
          <w:highlight w:val="none"/>
        </w:rPr>
        <w:t xml:space="preserve"> 人人员进行培训和提供一些消耗品等，在《发包人要求》中应一并明确规定。</w:t>
      </w:r>
    </w:p>
    <w:p w14:paraId="4F0758C1">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《发包人要求》通常包括但不限于以下内容：</w:t>
      </w:r>
    </w:p>
    <w:p w14:paraId="72D11418">
      <w:pPr>
        <w:pStyle w:val="2"/>
        <w:keepNext w:val="0"/>
        <w:keepLines w:val="0"/>
        <w:pageBreakBefore w:val="0"/>
        <w:widowControl/>
        <w:kinsoku w:val="0"/>
        <w:wordWrap/>
        <w:overflowPunct/>
        <w:topLinePunct w:val="0"/>
        <w:autoSpaceDE w:val="0"/>
        <w:autoSpaceDN w:val="0"/>
        <w:bidi w:val="0"/>
        <w:adjustRightInd w:val="0"/>
        <w:snapToGrid w:val="0"/>
        <w:spacing w:before="25" w:line="229"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一、功能要求</w:t>
      </w:r>
    </w:p>
    <w:p w14:paraId="696644EC">
      <w:pPr>
        <w:pStyle w:val="2"/>
        <w:keepNext w:val="0"/>
        <w:keepLines w:val="0"/>
        <w:pageBreakBefore w:val="0"/>
        <w:widowControl/>
        <w:kinsoku w:val="0"/>
        <w:wordWrap/>
        <w:overflowPunct/>
        <w:topLinePunct w:val="0"/>
        <w:autoSpaceDE w:val="0"/>
        <w:autoSpaceDN w:val="0"/>
        <w:bidi w:val="0"/>
        <w:adjustRightInd w:val="0"/>
        <w:snapToGrid w:val="0"/>
        <w:spacing w:before="25" w:line="272" w:lineRule="exact"/>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position w:val="4"/>
          <w:sz w:val="24"/>
          <w:szCs w:val="24"/>
          <w:highlight w:val="none"/>
        </w:rPr>
        <w:t>（一）工程目的。</w:t>
      </w:r>
    </w:p>
    <w:p w14:paraId="1CDF78EA">
      <w:pPr>
        <w:pStyle w:val="2"/>
        <w:keepNext w:val="0"/>
        <w:keepLines w:val="0"/>
        <w:pageBreakBefore w:val="0"/>
        <w:widowControl/>
        <w:kinsoku w:val="0"/>
        <w:wordWrap/>
        <w:overflowPunct/>
        <w:topLinePunct w:val="0"/>
        <w:autoSpaceDE w:val="0"/>
        <w:autoSpaceDN w:val="0"/>
        <w:bidi w:val="0"/>
        <w:adjustRightInd w:val="0"/>
        <w:snapToGrid w:val="0"/>
        <w:spacing w:line="227" w:lineRule="auto"/>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（二）工程规模。</w:t>
      </w:r>
    </w:p>
    <w:p w14:paraId="79CCDB54">
      <w:pPr>
        <w:pStyle w:val="2"/>
        <w:keepNext w:val="0"/>
        <w:keepLines w:val="0"/>
        <w:pageBreakBefore w:val="0"/>
        <w:widowControl/>
        <w:kinsoku w:val="0"/>
        <w:wordWrap/>
        <w:overflowPunct/>
        <w:topLinePunct w:val="0"/>
        <w:autoSpaceDE w:val="0"/>
        <w:autoSpaceDN w:val="0"/>
        <w:bidi w:val="0"/>
        <w:adjustRightInd w:val="0"/>
        <w:snapToGrid w:val="0"/>
        <w:spacing w:before="25" w:line="273" w:lineRule="exact"/>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position w:val="4"/>
          <w:sz w:val="24"/>
          <w:szCs w:val="24"/>
          <w:highlight w:val="none"/>
        </w:rPr>
        <w:t>（三）性能保证指标（性能保证表）。</w:t>
      </w:r>
    </w:p>
    <w:p w14:paraId="1E5565E0">
      <w:pPr>
        <w:pStyle w:val="2"/>
        <w:keepNext w:val="0"/>
        <w:keepLines w:val="0"/>
        <w:pageBreakBefore w:val="0"/>
        <w:widowControl/>
        <w:kinsoku w:val="0"/>
        <w:wordWrap/>
        <w:overflowPunct/>
        <w:topLinePunct w:val="0"/>
        <w:autoSpaceDE w:val="0"/>
        <w:autoSpaceDN w:val="0"/>
        <w:bidi w:val="0"/>
        <w:adjustRightInd w:val="0"/>
        <w:snapToGrid w:val="0"/>
        <w:spacing w:before="1" w:line="227" w:lineRule="auto"/>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（四）产能保证指标。</w:t>
      </w:r>
    </w:p>
    <w:p w14:paraId="3BB9F5A9">
      <w:pPr>
        <w:pStyle w:val="2"/>
        <w:keepNext w:val="0"/>
        <w:keepLines w:val="0"/>
        <w:pageBreakBefore w:val="0"/>
        <w:widowControl/>
        <w:kinsoku w:val="0"/>
        <w:wordWrap/>
        <w:overflowPunct/>
        <w:topLinePunct w:val="0"/>
        <w:autoSpaceDE w:val="0"/>
        <w:autoSpaceDN w:val="0"/>
        <w:bidi w:val="0"/>
        <w:adjustRightInd w:val="0"/>
        <w:snapToGrid w:val="0"/>
        <w:spacing w:before="27" w:line="271" w:lineRule="exact"/>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position w:val="4"/>
          <w:sz w:val="24"/>
          <w:szCs w:val="24"/>
          <w:highlight w:val="none"/>
        </w:rPr>
        <w:t>二、工程范围</w:t>
      </w:r>
    </w:p>
    <w:p w14:paraId="568F7A1F">
      <w:pPr>
        <w:pStyle w:val="2"/>
        <w:keepNext w:val="0"/>
        <w:keepLines w:val="0"/>
        <w:pageBreakBefore w:val="0"/>
        <w:widowControl/>
        <w:kinsoku w:val="0"/>
        <w:wordWrap/>
        <w:overflowPunct/>
        <w:topLinePunct w:val="0"/>
        <w:autoSpaceDE w:val="0"/>
        <w:autoSpaceDN w:val="0"/>
        <w:bidi w:val="0"/>
        <w:adjustRightInd w:val="0"/>
        <w:snapToGrid w:val="0"/>
        <w:spacing w:before="1" w:line="227" w:lineRule="auto"/>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（一）概述</w:t>
      </w:r>
    </w:p>
    <w:p w14:paraId="359644A3">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（二）包括的工作</w:t>
      </w:r>
    </w:p>
    <w:p w14:paraId="23A88CDF">
      <w:pPr>
        <w:pStyle w:val="2"/>
        <w:keepNext w:val="0"/>
        <w:keepLines w:val="0"/>
        <w:pageBreakBefore w:val="0"/>
        <w:widowControl/>
        <w:kinsoku w:val="0"/>
        <w:wordWrap/>
        <w:overflowPunct/>
        <w:topLinePunct w:val="0"/>
        <w:autoSpaceDE w:val="0"/>
        <w:autoSpaceDN w:val="0"/>
        <w:bidi w:val="0"/>
        <w:adjustRightInd w:val="0"/>
        <w:snapToGrid w:val="0"/>
        <w:spacing w:before="24" w:line="271" w:lineRule="exact"/>
        <w:ind w:left="64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position w:val="4"/>
          <w:sz w:val="24"/>
          <w:szCs w:val="24"/>
          <w:highlight w:val="none"/>
        </w:rPr>
        <w:t>1. 永久工程的设计、采购、施工范围。</w:t>
      </w:r>
    </w:p>
    <w:p w14:paraId="20BEFEF9">
      <w:pPr>
        <w:pStyle w:val="2"/>
        <w:keepNext w:val="0"/>
        <w:keepLines w:val="0"/>
        <w:pageBreakBefore w:val="0"/>
        <w:widowControl/>
        <w:kinsoku w:val="0"/>
        <w:wordWrap/>
        <w:overflowPunct/>
        <w:topLinePunct w:val="0"/>
        <w:autoSpaceDE w:val="0"/>
        <w:autoSpaceDN w:val="0"/>
        <w:bidi w:val="0"/>
        <w:adjustRightInd w:val="0"/>
        <w:snapToGrid w:val="0"/>
        <w:spacing w:before="1" w:line="227"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临时工程的设计与施工范围。</w:t>
      </w:r>
    </w:p>
    <w:p w14:paraId="723E9ED0">
      <w:pPr>
        <w:pStyle w:val="2"/>
        <w:keepNext w:val="0"/>
        <w:keepLines w:val="0"/>
        <w:pageBreakBefore w:val="0"/>
        <w:widowControl/>
        <w:kinsoku w:val="0"/>
        <w:wordWrap/>
        <w:overflowPunct/>
        <w:topLinePunct w:val="0"/>
        <w:autoSpaceDE w:val="0"/>
        <w:autoSpaceDN w:val="0"/>
        <w:bidi w:val="0"/>
        <w:adjustRightInd w:val="0"/>
        <w:snapToGrid w:val="0"/>
        <w:spacing w:before="27" w:line="271" w:lineRule="exact"/>
        <w:ind w:left="62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position w:val="4"/>
          <w:sz w:val="24"/>
          <w:szCs w:val="24"/>
          <w:highlight w:val="none"/>
        </w:rPr>
        <w:t>3. 竣工验收工作范围。</w:t>
      </w:r>
    </w:p>
    <w:p w14:paraId="69826EC4">
      <w:pPr>
        <w:pStyle w:val="2"/>
        <w:keepNext w:val="0"/>
        <w:keepLines w:val="0"/>
        <w:pageBreakBefore w:val="0"/>
        <w:widowControl/>
        <w:kinsoku w:val="0"/>
        <w:wordWrap/>
        <w:overflowPunct/>
        <w:topLinePunct w:val="0"/>
        <w:autoSpaceDE w:val="0"/>
        <w:autoSpaceDN w:val="0"/>
        <w:bidi w:val="0"/>
        <w:adjustRightInd w:val="0"/>
        <w:snapToGrid w:val="0"/>
        <w:spacing w:before="1" w:line="227"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 技术服务工作范围。</w:t>
      </w:r>
    </w:p>
    <w:p w14:paraId="302F934C">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5. 培训工作范围。</w:t>
      </w:r>
    </w:p>
    <w:p w14:paraId="702F321A">
      <w:pPr>
        <w:pStyle w:val="2"/>
        <w:keepNext w:val="0"/>
        <w:keepLines w:val="0"/>
        <w:pageBreakBefore w:val="0"/>
        <w:widowControl/>
        <w:kinsoku w:val="0"/>
        <w:wordWrap/>
        <w:overflowPunct/>
        <w:topLinePunct w:val="0"/>
        <w:autoSpaceDE w:val="0"/>
        <w:autoSpaceDN w:val="0"/>
        <w:bidi w:val="0"/>
        <w:adjustRightInd w:val="0"/>
        <w:snapToGrid w:val="0"/>
        <w:spacing w:before="24" w:line="274" w:lineRule="exact"/>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position w:val="4"/>
          <w:sz w:val="24"/>
          <w:szCs w:val="24"/>
          <w:highlight w:val="none"/>
        </w:rPr>
        <w:t>6. 保修工作范围。</w:t>
      </w:r>
    </w:p>
    <w:p w14:paraId="16F74DD3">
      <w:pPr>
        <w:pStyle w:val="2"/>
        <w:keepNext w:val="0"/>
        <w:keepLines w:val="0"/>
        <w:pageBreakBefore w:val="0"/>
        <w:widowControl/>
        <w:kinsoku w:val="0"/>
        <w:wordWrap/>
        <w:overflowPunct/>
        <w:topLinePunct w:val="0"/>
        <w:autoSpaceDE w:val="0"/>
        <w:autoSpaceDN w:val="0"/>
        <w:bidi w:val="0"/>
        <w:adjustRightInd w:val="0"/>
        <w:snapToGrid w:val="0"/>
        <w:spacing w:line="228" w:lineRule="auto"/>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（三）工作界区</w:t>
      </w:r>
    </w:p>
    <w:p w14:paraId="7B6D4FA0">
      <w:pPr>
        <w:pStyle w:val="2"/>
        <w:keepNext w:val="0"/>
        <w:keepLines w:val="0"/>
        <w:pageBreakBefore w:val="0"/>
        <w:widowControl/>
        <w:kinsoku w:val="0"/>
        <w:wordWrap/>
        <w:overflowPunct/>
        <w:topLinePunct w:val="0"/>
        <w:autoSpaceDE w:val="0"/>
        <w:autoSpaceDN w:val="0"/>
        <w:bidi w:val="0"/>
        <w:adjustRightInd w:val="0"/>
        <w:snapToGrid w:val="0"/>
        <w:spacing w:before="26" w:line="272" w:lineRule="exact"/>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（四）发包人提供的现场条件</w:t>
      </w:r>
    </w:p>
    <w:p w14:paraId="515790F8">
      <w:pPr>
        <w:pStyle w:val="2"/>
        <w:keepNext w:val="0"/>
        <w:keepLines w:val="0"/>
        <w:pageBreakBefore w:val="0"/>
        <w:widowControl/>
        <w:kinsoku w:val="0"/>
        <w:wordWrap/>
        <w:overflowPunct/>
        <w:topLinePunct w:val="0"/>
        <w:autoSpaceDE w:val="0"/>
        <w:autoSpaceDN w:val="0"/>
        <w:bidi w:val="0"/>
        <w:adjustRightInd w:val="0"/>
        <w:snapToGrid w:val="0"/>
        <w:spacing w:line="229" w:lineRule="auto"/>
        <w:ind w:left="64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 施工用电。</w:t>
      </w:r>
    </w:p>
    <w:p w14:paraId="5FA75369">
      <w:pPr>
        <w:pStyle w:val="2"/>
        <w:keepNext w:val="0"/>
        <w:keepLines w:val="0"/>
        <w:pageBreakBefore w:val="0"/>
        <w:widowControl/>
        <w:kinsoku w:val="0"/>
        <w:wordWrap/>
        <w:overflowPunct/>
        <w:topLinePunct w:val="0"/>
        <w:autoSpaceDE w:val="0"/>
        <w:autoSpaceDN w:val="0"/>
        <w:bidi w:val="0"/>
        <w:adjustRightInd w:val="0"/>
        <w:snapToGrid w:val="0"/>
        <w:spacing w:before="23" w:line="273" w:lineRule="exact"/>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position w:val="4"/>
          <w:sz w:val="24"/>
          <w:szCs w:val="24"/>
          <w:highlight w:val="none"/>
        </w:rPr>
        <w:t>2. 施工用水。</w:t>
      </w:r>
    </w:p>
    <w:p w14:paraId="53E3E6EB">
      <w:pPr>
        <w:pStyle w:val="2"/>
        <w:keepNext w:val="0"/>
        <w:keepLines w:val="0"/>
        <w:pageBreakBefore w:val="0"/>
        <w:widowControl/>
        <w:kinsoku w:val="0"/>
        <w:wordWrap/>
        <w:overflowPunct/>
        <w:topLinePunct w:val="0"/>
        <w:autoSpaceDE w:val="0"/>
        <w:autoSpaceDN w:val="0"/>
        <w:bidi w:val="0"/>
        <w:adjustRightInd w:val="0"/>
        <w:snapToGrid w:val="0"/>
        <w:spacing w:before="1" w:line="227" w:lineRule="auto"/>
        <w:ind w:left="62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 施工排水。</w:t>
      </w:r>
    </w:p>
    <w:p w14:paraId="68EF0334">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4. 施工道路。</w:t>
      </w:r>
    </w:p>
    <w:p w14:paraId="0A579935">
      <w:pPr>
        <w:pStyle w:val="2"/>
        <w:keepNext w:val="0"/>
        <w:keepLines w:val="0"/>
        <w:pageBreakBefore w:val="0"/>
        <w:widowControl/>
        <w:kinsoku w:val="0"/>
        <w:wordWrap/>
        <w:overflowPunct/>
        <w:topLinePunct w:val="0"/>
        <w:autoSpaceDE w:val="0"/>
        <w:autoSpaceDN w:val="0"/>
        <w:bidi w:val="0"/>
        <w:adjustRightInd w:val="0"/>
        <w:snapToGrid w:val="0"/>
        <w:spacing w:before="27" w:line="227" w:lineRule="auto"/>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（五）发包人提供的技术文件</w:t>
      </w:r>
    </w:p>
    <w:p w14:paraId="4E1834D1">
      <w:pPr>
        <w:pStyle w:val="2"/>
        <w:keepNext w:val="0"/>
        <w:keepLines w:val="0"/>
        <w:pageBreakBefore w:val="0"/>
        <w:widowControl/>
        <w:kinsoku w:val="0"/>
        <w:wordWrap/>
        <w:overflowPunct/>
        <w:topLinePunct w:val="0"/>
        <w:autoSpaceDE w:val="0"/>
        <w:autoSpaceDN w:val="0"/>
        <w:bidi w:val="0"/>
        <w:adjustRightInd w:val="0"/>
        <w:snapToGrid w:val="0"/>
        <w:spacing w:before="25" w:line="274" w:lineRule="exact"/>
        <w:ind w:left="63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position w:val="4"/>
          <w:sz w:val="24"/>
          <w:szCs w:val="24"/>
          <w:highlight w:val="none"/>
        </w:rPr>
        <w:t>除另有批准外，承包人的工作需要遵照发包人的下列</w:t>
      </w:r>
      <w:r>
        <w:rPr>
          <w:rFonts w:hint="eastAsia" w:ascii="仿宋" w:hAnsi="仿宋" w:eastAsia="仿宋" w:cs="仿宋"/>
          <w:color w:val="auto"/>
          <w:spacing w:val="8"/>
          <w:position w:val="4"/>
          <w:sz w:val="24"/>
          <w:szCs w:val="24"/>
          <w:highlight w:val="none"/>
        </w:rPr>
        <w:t>技术文件</w:t>
      </w:r>
      <w:r>
        <w:rPr>
          <w:rFonts w:hint="eastAsia" w:ascii="仿宋" w:hAnsi="仿宋" w:eastAsia="仿宋" w:cs="仿宋"/>
          <w:color w:val="auto"/>
          <w:spacing w:val="-58"/>
          <w:position w:val="4"/>
          <w:sz w:val="24"/>
          <w:szCs w:val="24"/>
          <w:highlight w:val="none"/>
        </w:rPr>
        <w:t xml:space="preserve"> </w:t>
      </w:r>
      <w:r>
        <w:rPr>
          <w:rFonts w:hint="eastAsia" w:ascii="仿宋" w:hAnsi="仿宋" w:eastAsia="仿宋" w:cs="仿宋"/>
          <w:color w:val="auto"/>
          <w:spacing w:val="8"/>
          <w:position w:val="4"/>
          <w:sz w:val="24"/>
          <w:szCs w:val="24"/>
          <w:highlight w:val="none"/>
        </w:rPr>
        <w:t>:</w:t>
      </w:r>
    </w:p>
    <w:p w14:paraId="1D4B123F">
      <w:pPr>
        <w:pStyle w:val="2"/>
        <w:keepNext w:val="0"/>
        <w:keepLines w:val="0"/>
        <w:pageBreakBefore w:val="0"/>
        <w:widowControl/>
        <w:kinsoku w:val="0"/>
        <w:wordWrap/>
        <w:overflowPunct/>
        <w:topLinePunct w:val="0"/>
        <w:autoSpaceDE w:val="0"/>
        <w:autoSpaceDN w:val="0"/>
        <w:bidi w:val="0"/>
        <w:adjustRightInd w:val="0"/>
        <w:snapToGrid w:val="0"/>
        <w:spacing w:before="1" w:line="226" w:lineRule="auto"/>
        <w:ind w:left="64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 发包人需求任务书。</w:t>
      </w:r>
    </w:p>
    <w:p w14:paraId="6AF3AAE7">
      <w:pPr>
        <w:pStyle w:val="2"/>
        <w:keepNext w:val="0"/>
        <w:keepLines w:val="0"/>
        <w:pageBreakBefore w:val="0"/>
        <w:widowControl/>
        <w:kinsoku w:val="0"/>
        <w:wordWrap/>
        <w:overflowPunct/>
        <w:topLinePunct w:val="0"/>
        <w:autoSpaceDE w:val="0"/>
        <w:autoSpaceDN w:val="0"/>
        <w:bidi w:val="0"/>
        <w:adjustRightInd w:val="0"/>
        <w:snapToGrid w:val="0"/>
        <w:spacing w:before="25" w:line="274" w:lineRule="exact"/>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position w:val="4"/>
          <w:sz w:val="24"/>
          <w:szCs w:val="24"/>
          <w:highlight w:val="none"/>
        </w:rPr>
        <w:t>2. 发包人已完成的设计文件。</w:t>
      </w:r>
    </w:p>
    <w:p w14:paraId="695F4898">
      <w:pPr>
        <w:pStyle w:val="2"/>
        <w:keepNext w:val="0"/>
        <w:keepLines w:val="0"/>
        <w:pageBreakBefore w:val="0"/>
        <w:widowControl/>
        <w:kinsoku w:val="0"/>
        <w:wordWrap/>
        <w:overflowPunct/>
        <w:topLinePunct w:val="0"/>
        <w:autoSpaceDE w:val="0"/>
        <w:autoSpaceDN w:val="0"/>
        <w:bidi w:val="0"/>
        <w:adjustRightInd w:val="0"/>
        <w:snapToGrid w:val="0"/>
        <w:spacing w:line="22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三、工艺安排或要求（如有）</w:t>
      </w:r>
    </w:p>
    <w:p w14:paraId="329EB3B7">
      <w:pPr>
        <w:pStyle w:val="2"/>
        <w:keepNext w:val="0"/>
        <w:keepLines w:val="0"/>
        <w:pageBreakBefore w:val="0"/>
        <w:widowControl/>
        <w:kinsoku w:val="0"/>
        <w:wordWrap/>
        <w:overflowPunct/>
        <w:topLinePunct w:val="0"/>
        <w:autoSpaceDE w:val="0"/>
        <w:autoSpaceDN w:val="0"/>
        <w:bidi w:val="0"/>
        <w:adjustRightInd w:val="0"/>
        <w:snapToGrid w:val="0"/>
        <w:spacing w:before="24" w:line="229" w:lineRule="auto"/>
        <w:ind w:left="64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四、时间要求</w:t>
      </w:r>
    </w:p>
    <w:p w14:paraId="0EB9A898">
      <w:pPr>
        <w:pStyle w:val="2"/>
        <w:keepNext w:val="0"/>
        <w:keepLines w:val="0"/>
        <w:pageBreakBefore w:val="0"/>
        <w:widowControl/>
        <w:kinsoku w:val="0"/>
        <w:wordWrap/>
        <w:overflowPunct/>
        <w:topLinePunct w:val="0"/>
        <w:autoSpaceDE w:val="0"/>
        <w:autoSpaceDN w:val="0"/>
        <w:bidi w:val="0"/>
        <w:adjustRightInd w:val="0"/>
        <w:snapToGrid w:val="0"/>
        <w:spacing w:before="23" w:line="274" w:lineRule="exact"/>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position w:val="4"/>
          <w:sz w:val="24"/>
          <w:szCs w:val="24"/>
          <w:highlight w:val="none"/>
        </w:rPr>
        <w:t>（一）开始工作时间。</w:t>
      </w:r>
    </w:p>
    <w:p w14:paraId="1E53D3E5">
      <w:pPr>
        <w:pStyle w:val="2"/>
        <w:keepNext w:val="0"/>
        <w:keepLines w:val="0"/>
        <w:pageBreakBefore w:val="0"/>
        <w:widowControl/>
        <w:kinsoku w:val="0"/>
        <w:wordWrap/>
        <w:overflowPunct/>
        <w:topLinePunct w:val="0"/>
        <w:autoSpaceDE w:val="0"/>
        <w:autoSpaceDN w:val="0"/>
        <w:bidi w:val="0"/>
        <w:adjustRightInd w:val="0"/>
        <w:snapToGrid w:val="0"/>
        <w:spacing w:before="1" w:line="227" w:lineRule="auto"/>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（二）设计完成时间。</w:t>
      </w:r>
    </w:p>
    <w:p w14:paraId="455917EE">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（三）进度计划。</w:t>
      </w:r>
    </w:p>
    <w:p w14:paraId="7E1927D0">
      <w:pPr>
        <w:pStyle w:val="2"/>
        <w:keepNext w:val="0"/>
        <w:keepLines w:val="0"/>
        <w:pageBreakBefore w:val="0"/>
        <w:widowControl/>
        <w:kinsoku w:val="0"/>
        <w:wordWrap/>
        <w:overflowPunct/>
        <w:topLinePunct w:val="0"/>
        <w:autoSpaceDE w:val="0"/>
        <w:autoSpaceDN w:val="0"/>
        <w:bidi w:val="0"/>
        <w:adjustRightInd w:val="0"/>
        <w:snapToGrid w:val="0"/>
        <w:spacing w:before="23" w:line="228" w:lineRule="auto"/>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（四）竣工时间。</w:t>
      </w:r>
    </w:p>
    <w:p w14:paraId="193F55D9">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（五）缺陷责任期。</w:t>
      </w:r>
    </w:p>
    <w:p w14:paraId="69BD63B7">
      <w:pPr>
        <w:pStyle w:val="2"/>
        <w:keepNext w:val="0"/>
        <w:keepLines w:val="0"/>
        <w:pageBreakBefore w:val="0"/>
        <w:widowControl/>
        <w:kinsoku w:val="0"/>
        <w:wordWrap/>
        <w:overflowPunct/>
        <w:topLinePunct w:val="0"/>
        <w:autoSpaceDE w:val="0"/>
        <w:autoSpaceDN w:val="0"/>
        <w:bidi w:val="0"/>
        <w:adjustRightInd w:val="0"/>
        <w:snapToGrid w:val="0"/>
        <w:spacing w:before="25" w:line="271" w:lineRule="exact"/>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position w:val="4"/>
          <w:sz w:val="24"/>
          <w:szCs w:val="24"/>
          <w:highlight w:val="none"/>
        </w:rPr>
        <w:t>（六）其他时间要求。</w:t>
      </w:r>
    </w:p>
    <w:p w14:paraId="4B452A30">
      <w:pPr>
        <w:pStyle w:val="2"/>
        <w:keepNext w:val="0"/>
        <w:keepLines w:val="0"/>
        <w:pageBreakBefore w:val="0"/>
        <w:widowControl/>
        <w:kinsoku w:val="0"/>
        <w:wordWrap/>
        <w:overflowPunct/>
        <w:topLinePunct w:val="0"/>
        <w:autoSpaceDE w:val="0"/>
        <w:autoSpaceDN w:val="0"/>
        <w:bidi w:val="0"/>
        <w:adjustRightInd w:val="0"/>
        <w:snapToGrid w:val="0"/>
        <w:spacing w:line="227"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五、技术要求</w:t>
      </w:r>
    </w:p>
    <w:p w14:paraId="6B530C35">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（一）设计阶段和设计任务。</w:t>
      </w:r>
    </w:p>
    <w:p w14:paraId="691350E2">
      <w:pPr>
        <w:pStyle w:val="2"/>
        <w:keepNext w:val="0"/>
        <w:keepLines w:val="0"/>
        <w:pageBreakBefore w:val="0"/>
        <w:widowControl/>
        <w:kinsoku w:val="0"/>
        <w:wordWrap/>
        <w:overflowPunct/>
        <w:topLinePunct w:val="0"/>
        <w:autoSpaceDE w:val="0"/>
        <w:autoSpaceDN w:val="0"/>
        <w:bidi w:val="0"/>
        <w:adjustRightInd w:val="0"/>
        <w:snapToGrid w:val="0"/>
        <w:spacing w:before="41" w:line="274" w:lineRule="exact"/>
        <w:ind w:firstLine="1270" w:firstLineChars="5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position w:val="4"/>
          <w:sz w:val="24"/>
          <w:szCs w:val="24"/>
          <w:highlight w:val="none"/>
        </w:rPr>
        <w:t>（二）设计标准和规范。</w:t>
      </w:r>
    </w:p>
    <w:p w14:paraId="5DC541E1">
      <w:pPr>
        <w:pStyle w:val="2"/>
        <w:keepNext w:val="0"/>
        <w:keepLines w:val="0"/>
        <w:pageBreakBefore w:val="0"/>
        <w:widowControl/>
        <w:kinsoku w:val="0"/>
        <w:wordWrap/>
        <w:overflowPunct/>
        <w:topLinePunct w:val="0"/>
        <w:autoSpaceDE w:val="0"/>
        <w:autoSpaceDN w:val="0"/>
        <w:bidi w:val="0"/>
        <w:adjustRightInd w:val="0"/>
        <w:snapToGrid w:val="0"/>
        <w:spacing w:line="227" w:lineRule="auto"/>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（三）技术标准和要求。</w:t>
      </w:r>
    </w:p>
    <w:p w14:paraId="53678E51">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（四）质量标准。</w:t>
      </w:r>
    </w:p>
    <w:p w14:paraId="35511057">
      <w:pPr>
        <w:pStyle w:val="2"/>
        <w:keepNext w:val="0"/>
        <w:keepLines w:val="0"/>
        <w:pageBreakBefore w:val="0"/>
        <w:widowControl/>
        <w:kinsoku w:val="0"/>
        <w:wordWrap/>
        <w:overflowPunct/>
        <w:topLinePunct w:val="0"/>
        <w:autoSpaceDE w:val="0"/>
        <w:autoSpaceDN w:val="0"/>
        <w:bidi w:val="0"/>
        <w:adjustRightInd w:val="0"/>
        <w:snapToGrid w:val="0"/>
        <w:spacing w:before="26" w:line="271" w:lineRule="exact"/>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（五）设计、施工和设备监造、试验（如有）。</w:t>
      </w:r>
    </w:p>
    <w:p w14:paraId="333C60E2">
      <w:pPr>
        <w:pStyle w:val="2"/>
        <w:keepNext w:val="0"/>
        <w:keepLines w:val="0"/>
        <w:pageBreakBefore w:val="0"/>
        <w:widowControl/>
        <w:kinsoku w:val="0"/>
        <w:wordWrap/>
        <w:overflowPunct/>
        <w:topLinePunct w:val="0"/>
        <w:autoSpaceDE w:val="0"/>
        <w:autoSpaceDN w:val="0"/>
        <w:bidi w:val="0"/>
        <w:adjustRightInd w:val="0"/>
        <w:snapToGrid w:val="0"/>
        <w:spacing w:before="1" w:line="227" w:lineRule="auto"/>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（六）样品。</w:t>
      </w:r>
    </w:p>
    <w:p w14:paraId="4669EABB">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475" w:right="464" w:firstLine="60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（七）发包人提供的其他条件，如发包人或其委</w:t>
      </w:r>
      <w:r>
        <w:rPr>
          <w:rFonts w:hint="eastAsia" w:ascii="仿宋" w:hAnsi="仿宋" w:eastAsia="仿宋" w:cs="仿宋"/>
          <w:color w:val="auto"/>
          <w:spacing w:val="7"/>
          <w:sz w:val="24"/>
          <w:szCs w:val="24"/>
          <w:highlight w:val="none"/>
        </w:rPr>
        <w:t>托的第三人提供的设计、工艺包、用</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于试验检验的工器具等，以及据此对承包人提出的予以配套的要求。</w:t>
      </w:r>
    </w:p>
    <w:p w14:paraId="4FB20739">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107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六、竣工试验</w:t>
      </w:r>
    </w:p>
    <w:p w14:paraId="204A6272">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（一）第一阶段，如对单车试验等的要求，包括试</w:t>
      </w:r>
      <w:r>
        <w:rPr>
          <w:rFonts w:hint="eastAsia" w:ascii="仿宋" w:hAnsi="仿宋" w:eastAsia="仿宋" w:cs="仿宋"/>
          <w:color w:val="auto"/>
          <w:spacing w:val="8"/>
          <w:sz w:val="24"/>
          <w:szCs w:val="24"/>
          <w:highlight w:val="none"/>
        </w:rPr>
        <w:t>验前准备。</w:t>
      </w:r>
    </w:p>
    <w:p w14:paraId="4A623902">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496" w:right="393" w:firstLine="58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（二）第二阶段，如对联动试车、投料试车等的要求，包括人员、设备、材料、燃</w:t>
      </w:r>
      <w:r>
        <w:rPr>
          <w:rFonts w:hint="eastAsia" w:ascii="仿宋" w:hAnsi="仿宋" w:eastAsia="仿宋" w:cs="仿宋"/>
          <w:color w:val="auto"/>
          <w:spacing w:val="3"/>
          <w:sz w:val="24"/>
          <w:szCs w:val="24"/>
          <w:highlight w:val="none"/>
        </w:rPr>
        <w:t>料、</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电力、消耗品、工具等必要条件。</w:t>
      </w:r>
    </w:p>
    <w:p w14:paraId="3EE63695">
      <w:pPr>
        <w:pStyle w:val="2"/>
        <w:keepNext w:val="0"/>
        <w:keepLines w:val="0"/>
        <w:pageBreakBefore w:val="0"/>
        <w:widowControl/>
        <w:kinsoku w:val="0"/>
        <w:wordWrap/>
        <w:overflowPunct/>
        <w:topLinePunct w:val="0"/>
        <w:autoSpaceDE w:val="0"/>
        <w:autoSpaceDN w:val="0"/>
        <w:bidi w:val="0"/>
        <w:adjustRightInd w:val="0"/>
        <w:snapToGrid w:val="0"/>
        <w:spacing w:before="25"/>
        <w:ind w:left="473" w:right="464"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（三）第三阶段，如对性能测试及其他竣工试验</w:t>
      </w:r>
      <w:r>
        <w:rPr>
          <w:rFonts w:hint="eastAsia" w:ascii="仿宋" w:hAnsi="仿宋" w:eastAsia="仿宋" w:cs="仿宋"/>
          <w:color w:val="auto"/>
          <w:spacing w:val="7"/>
          <w:sz w:val="24"/>
          <w:szCs w:val="24"/>
          <w:highlight w:val="none"/>
        </w:rPr>
        <w:t>的要求，包括产能指标、产品质量标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准、运营指标、环保指标等。</w:t>
      </w:r>
    </w:p>
    <w:p w14:paraId="34F9FA82">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107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七、竣工验收</w:t>
      </w:r>
    </w:p>
    <w:p w14:paraId="3819F7F5">
      <w:pPr>
        <w:pStyle w:val="2"/>
        <w:keepNext w:val="0"/>
        <w:keepLines w:val="0"/>
        <w:pageBreakBefore w:val="0"/>
        <w:widowControl/>
        <w:kinsoku w:val="0"/>
        <w:wordWrap/>
        <w:overflowPunct/>
        <w:topLinePunct w:val="0"/>
        <w:autoSpaceDE w:val="0"/>
        <w:autoSpaceDN w:val="0"/>
        <w:bidi w:val="0"/>
        <w:adjustRightInd w:val="0"/>
        <w:snapToGrid w:val="0"/>
        <w:spacing w:before="27" w:line="274" w:lineRule="exact"/>
        <w:ind w:left="107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position w:val="4"/>
          <w:sz w:val="24"/>
          <w:szCs w:val="24"/>
          <w:highlight w:val="none"/>
        </w:rPr>
        <w:t>八、竣工后试验（如有）</w:t>
      </w:r>
    </w:p>
    <w:p w14:paraId="4F74D87C">
      <w:pPr>
        <w:pStyle w:val="2"/>
        <w:keepNext w:val="0"/>
        <w:keepLines w:val="0"/>
        <w:pageBreakBefore w:val="0"/>
        <w:widowControl/>
        <w:kinsoku w:val="0"/>
        <w:wordWrap/>
        <w:overflowPunct/>
        <w:topLinePunct w:val="0"/>
        <w:autoSpaceDE w:val="0"/>
        <w:autoSpaceDN w:val="0"/>
        <w:bidi w:val="0"/>
        <w:adjustRightInd w:val="0"/>
        <w:snapToGrid w:val="0"/>
        <w:spacing w:before="1" w:line="227" w:lineRule="auto"/>
        <w:ind w:left="107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九、文件要求</w:t>
      </w:r>
    </w:p>
    <w:p w14:paraId="26ABE52D">
      <w:pPr>
        <w:pStyle w:val="2"/>
        <w:keepNext w:val="0"/>
        <w:keepLines w:val="0"/>
        <w:pageBreakBefore w:val="0"/>
        <w:widowControl/>
        <w:kinsoku w:val="0"/>
        <w:wordWrap/>
        <w:overflowPunct/>
        <w:topLinePunct w:val="0"/>
        <w:autoSpaceDE w:val="0"/>
        <w:autoSpaceDN w:val="0"/>
        <w:bidi w:val="0"/>
        <w:adjustRightInd w:val="0"/>
        <w:snapToGrid w:val="0"/>
        <w:spacing w:before="24" w:line="271" w:lineRule="exact"/>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（一）设计文件，及其相关审批、核准、备案要求。</w:t>
      </w:r>
    </w:p>
    <w:p w14:paraId="57D069AF">
      <w:pPr>
        <w:pStyle w:val="2"/>
        <w:keepNext w:val="0"/>
        <w:keepLines w:val="0"/>
        <w:pageBreakBefore w:val="0"/>
        <w:widowControl/>
        <w:kinsoku w:val="0"/>
        <w:wordWrap/>
        <w:overflowPunct/>
        <w:topLinePunct w:val="0"/>
        <w:autoSpaceDE w:val="0"/>
        <w:autoSpaceDN w:val="0"/>
        <w:bidi w:val="0"/>
        <w:adjustRightInd w:val="0"/>
        <w:snapToGrid w:val="0"/>
        <w:spacing w:before="1" w:line="228" w:lineRule="auto"/>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（二）沟通计划。</w:t>
      </w:r>
    </w:p>
    <w:p w14:paraId="0AF417B6">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（三）风险管理计划。</w:t>
      </w:r>
    </w:p>
    <w:p w14:paraId="2F749580">
      <w:pPr>
        <w:pStyle w:val="2"/>
        <w:keepNext w:val="0"/>
        <w:keepLines w:val="0"/>
        <w:pageBreakBefore w:val="0"/>
        <w:widowControl/>
        <w:kinsoku w:val="0"/>
        <w:wordWrap/>
        <w:overflowPunct/>
        <w:topLinePunct w:val="0"/>
        <w:autoSpaceDE w:val="0"/>
        <w:autoSpaceDN w:val="0"/>
        <w:bidi w:val="0"/>
        <w:adjustRightInd w:val="0"/>
        <w:snapToGrid w:val="0"/>
        <w:spacing w:before="24" w:line="274" w:lineRule="exact"/>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（四）竣工文件和工程的其他记录。</w:t>
      </w:r>
    </w:p>
    <w:p w14:paraId="07040809">
      <w:pPr>
        <w:pStyle w:val="2"/>
        <w:keepNext w:val="0"/>
        <w:keepLines w:val="0"/>
        <w:pageBreakBefore w:val="0"/>
        <w:widowControl/>
        <w:kinsoku w:val="0"/>
        <w:wordWrap/>
        <w:overflowPunct/>
        <w:topLinePunct w:val="0"/>
        <w:autoSpaceDE w:val="0"/>
        <w:autoSpaceDN w:val="0"/>
        <w:bidi w:val="0"/>
        <w:adjustRightInd w:val="0"/>
        <w:snapToGrid w:val="0"/>
        <w:spacing w:before="1" w:line="227" w:lineRule="auto"/>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（五）操作和维修手册。</w:t>
      </w:r>
    </w:p>
    <w:p w14:paraId="3E618E26">
      <w:pPr>
        <w:pStyle w:val="2"/>
        <w:keepNext w:val="0"/>
        <w:keepLines w:val="0"/>
        <w:pageBreakBefore w:val="0"/>
        <w:widowControl/>
        <w:kinsoku w:val="0"/>
        <w:wordWrap/>
        <w:overflowPunct/>
        <w:topLinePunct w:val="0"/>
        <w:autoSpaceDE w:val="0"/>
        <w:autoSpaceDN w:val="0"/>
        <w:bidi w:val="0"/>
        <w:adjustRightInd w:val="0"/>
        <w:snapToGrid w:val="0"/>
        <w:spacing w:before="24" w:line="274" w:lineRule="exact"/>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position w:val="4"/>
          <w:sz w:val="24"/>
          <w:szCs w:val="24"/>
          <w:highlight w:val="none"/>
        </w:rPr>
        <w:t>（六）其他承包人文件。</w:t>
      </w:r>
    </w:p>
    <w:p w14:paraId="5BE05816">
      <w:pPr>
        <w:pStyle w:val="2"/>
        <w:keepNext w:val="0"/>
        <w:keepLines w:val="0"/>
        <w:pageBreakBefore w:val="0"/>
        <w:widowControl/>
        <w:kinsoku w:val="0"/>
        <w:wordWrap/>
        <w:overflowPunct/>
        <w:topLinePunct w:val="0"/>
        <w:autoSpaceDE w:val="0"/>
        <w:autoSpaceDN w:val="0"/>
        <w:bidi w:val="0"/>
        <w:adjustRightInd w:val="0"/>
        <w:snapToGrid w:val="0"/>
        <w:spacing w:line="227" w:lineRule="auto"/>
        <w:ind w:left="107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十、工程项目管理规定</w:t>
      </w:r>
    </w:p>
    <w:p w14:paraId="474F391C">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（一）质量。</w:t>
      </w:r>
    </w:p>
    <w:p w14:paraId="0FEAC97A">
      <w:pPr>
        <w:pStyle w:val="2"/>
        <w:keepNext w:val="0"/>
        <w:keepLines w:val="0"/>
        <w:pageBreakBefore w:val="0"/>
        <w:widowControl/>
        <w:kinsoku w:val="0"/>
        <w:wordWrap/>
        <w:overflowPunct/>
        <w:topLinePunct w:val="0"/>
        <w:autoSpaceDE w:val="0"/>
        <w:autoSpaceDN w:val="0"/>
        <w:bidi w:val="0"/>
        <w:adjustRightInd w:val="0"/>
        <w:snapToGrid w:val="0"/>
        <w:spacing w:before="27" w:line="271" w:lineRule="exact"/>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（二）进度，包括里程碑进度计划（如果有）。</w:t>
      </w:r>
    </w:p>
    <w:p w14:paraId="6812688C">
      <w:pPr>
        <w:pStyle w:val="2"/>
        <w:keepNext w:val="0"/>
        <w:keepLines w:val="0"/>
        <w:pageBreakBefore w:val="0"/>
        <w:widowControl/>
        <w:kinsoku w:val="0"/>
        <w:wordWrap/>
        <w:overflowPunct/>
        <w:topLinePunct w:val="0"/>
        <w:autoSpaceDE w:val="0"/>
        <w:autoSpaceDN w:val="0"/>
        <w:bidi w:val="0"/>
        <w:adjustRightInd w:val="0"/>
        <w:snapToGrid w:val="0"/>
        <w:spacing w:line="227" w:lineRule="auto"/>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（三）支付。</w:t>
      </w:r>
    </w:p>
    <w:p w14:paraId="37DCF2B5">
      <w:pPr>
        <w:pStyle w:val="2"/>
        <w:keepNext w:val="0"/>
        <w:keepLines w:val="0"/>
        <w:pageBreakBefore w:val="0"/>
        <w:widowControl/>
        <w:kinsoku w:val="0"/>
        <w:wordWrap/>
        <w:overflowPunct/>
        <w:topLinePunct w:val="0"/>
        <w:autoSpaceDE w:val="0"/>
        <w:autoSpaceDN w:val="0"/>
        <w:bidi w:val="0"/>
        <w:adjustRightInd w:val="0"/>
        <w:snapToGrid w:val="0"/>
        <w:spacing w:before="25" w:line="274" w:lineRule="exact"/>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（四）</w:t>
      </w:r>
      <w:r>
        <w:rPr>
          <w:rFonts w:hint="eastAsia" w:ascii="仿宋" w:hAnsi="仿宋" w:eastAsia="仿宋" w:cs="仿宋"/>
          <w:color w:val="auto"/>
          <w:position w:val="4"/>
          <w:sz w:val="24"/>
          <w:szCs w:val="24"/>
          <w:highlight w:val="none"/>
        </w:rPr>
        <w:t>HSE</w:t>
      </w:r>
      <w:r>
        <w:rPr>
          <w:rFonts w:hint="eastAsia" w:ascii="仿宋" w:hAnsi="仿宋" w:eastAsia="仿宋" w:cs="仿宋"/>
          <w:color w:val="auto"/>
          <w:spacing w:val="8"/>
          <w:position w:val="4"/>
          <w:sz w:val="24"/>
          <w:szCs w:val="24"/>
          <w:highlight w:val="none"/>
        </w:rPr>
        <w:t>（健康、安全与环境管理体系）。</w:t>
      </w:r>
    </w:p>
    <w:p w14:paraId="1E835381">
      <w:pPr>
        <w:pStyle w:val="2"/>
        <w:keepNext w:val="0"/>
        <w:keepLines w:val="0"/>
        <w:pageBreakBefore w:val="0"/>
        <w:widowControl/>
        <w:kinsoku w:val="0"/>
        <w:wordWrap/>
        <w:overflowPunct/>
        <w:topLinePunct w:val="0"/>
        <w:autoSpaceDE w:val="0"/>
        <w:autoSpaceDN w:val="0"/>
        <w:bidi w:val="0"/>
        <w:adjustRightInd w:val="0"/>
        <w:snapToGrid w:val="0"/>
        <w:spacing w:line="228" w:lineRule="auto"/>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（五）沟通。</w:t>
      </w:r>
    </w:p>
    <w:p w14:paraId="50612897">
      <w:pPr>
        <w:pStyle w:val="2"/>
        <w:keepNext w:val="0"/>
        <w:keepLines w:val="0"/>
        <w:pageBreakBefore w:val="0"/>
        <w:widowControl/>
        <w:kinsoku w:val="0"/>
        <w:wordWrap/>
        <w:overflowPunct/>
        <w:topLinePunct w:val="0"/>
        <w:autoSpaceDE w:val="0"/>
        <w:autoSpaceDN w:val="0"/>
        <w:bidi w:val="0"/>
        <w:adjustRightInd w:val="0"/>
        <w:snapToGrid w:val="0"/>
        <w:spacing w:before="26" w:line="229" w:lineRule="auto"/>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（六）变更。</w:t>
      </w:r>
    </w:p>
    <w:p w14:paraId="1CC34399">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107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十一、其他要求</w:t>
      </w:r>
    </w:p>
    <w:p w14:paraId="5FBD9440">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（一）对承包人的主要人员资格要求。</w:t>
      </w:r>
    </w:p>
    <w:p w14:paraId="29BCFAD5">
      <w:pPr>
        <w:pStyle w:val="2"/>
        <w:keepNext w:val="0"/>
        <w:keepLines w:val="0"/>
        <w:pageBreakBefore w:val="0"/>
        <w:widowControl/>
        <w:kinsoku w:val="0"/>
        <w:wordWrap/>
        <w:overflowPunct/>
        <w:topLinePunct w:val="0"/>
        <w:autoSpaceDE w:val="0"/>
        <w:autoSpaceDN w:val="0"/>
        <w:bidi w:val="0"/>
        <w:adjustRightInd w:val="0"/>
        <w:snapToGrid w:val="0"/>
        <w:spacing w:before="24" w:line="274" w:lineRule="exact"/>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（二）相关审批、核准和备案手续的办理。</w:t>
      </w:r>
    </w:p>
    <w:p w14:paraId="324FE6AF">
      <w:pPr>
        <w:pStyle w:val="2"/>
        <w:keepNext w:val="0"/>
        <w:keepLines w:val="0"/>
        <w:pageBreakBefore w:val="0"/>
        <w:widowControl/>
        <w:kinsoku w:val="0"/>
        <w:wordWrap/>
        <w:overflowPunct/>
        <w:topLinePunct w:val="0"/>
        <w:autoSpaceDE w:val="0"/>
        <w:autoSpaceDN w:val="0"/>
        <w:bidi w:val="0"/>
        <w:adjustRightInd w:val="0"/>
        <w:snapToGrid w:val="0"/>
        <w:spacing w:line="227" w:lineRule="auto"/>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（三）对项目业主人员的操作培训。</w:t>
      </w:r>
    </w:p>
    <w:p w14:paraId="34345514">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（四）分包。</w:t>
      </w:r>
    </w:p>
    <w:p w14:paraId="4177085A">
      <w:pPr>
        <w:pStyle w:val="2"/>
        <w:keepNext w:val="0"/>
        <w:keepLines w:val="0"/>
        <w:pageBreakBefore w:val="0"/>
        <w:widowControl/>
        <w:kinsoku w:val="0"/>
        <w:wordWrap/>
        <w:overflowPunct/>
        <w:topLinePunct w:val="0"/>
        <w:autoSpaceDE w:val="0"/>
        <w:autoSpaceDN w:val="0"/>
        <w:bidi w:val="0"/>
        <w:adjustRightInd w:val="0"/>
        <w:snapToGrid w:val="0"/>
        <w:spacing w:before="24" w:line="227" w:lineRule="auto"/>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（五）设备供应商。</w:t>
      </w:r>
    </w:p>
    <w:p w14:paraId="198760F8">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（六）缺陷责任期的服务要求。</w:t>
      </w:r>
    </w:p>
    <w:p w14:paraId="181F6E5D">
      <w:pPr>
        <w:keepNext w:val="0"/>
        <w:keepLines w:val="0"/>
        <w:pageBreakBefore w:val="0"/>
        <w:widowControl/>
        <w:kinsoku w:val="0"/>
        <w:wordWrap/>
        <w:overflowPunct/>
        <w:topLinePunct w:val="0"/>
        <w:autoSpaceDE w:val="0"/>
        <w:autoSpaceDN w:val="0"/>
        <w:bidi w:val="0"/>
        <w:adjustRightInd w:val="0"/>
        <w:snapToGrid w:val="0"/>
        <w:spacing w:line="252" w:lineRule="auto"/>
        <w:textAlignment w:val="baseline"/>
        <w:outlineLvl w:val="9"/>
        <w:rPr>
          <w:rFonts w:hint="eastAsia" w:ascii="仿宋" w:hAnsi="仿宋" w:eastAsia="仿宋" w:cs="仿宋"/>
          <w:color w:val="auto"/>
          <w:sz w:val="24"/>
          <w:szCs w:val="24"/>
          <w:highlight w:val="none"/>
        </w:rPr>
      </w:pPr>
    </w:p>
    <w:p w14:paraId="5246146E">
      <w:pPr>
        <w:keepNext w:val="0"/>
        <w:keepLines w:val="0"/>
        <w:pageBreakBefore w:val="0"/>
        <w:widowControl/>
        <w:kinsoku w:val="0"/>
        <w:wordWrap/>
        <w:overflowPunct/>
        <w:topLinePunct w:val="0"/>
        <w:autoSpaceDE w:val="0"/>
        <w:autoSpaceDN w:val="0"/>
        <w:bidi w:val="0"/>
        <w:adjustRightInd w:val="0"/>
        <w:snapToGrid w:val="0"/>
        <w:spacing w:line="252" w:lineRule="auto"/>
        <w:textAlignment w:val="baseline"/>
        <w:outlineLvl w:val="9"/>
        <w:rPr>
          <w:rFonts w:hint="eastAsia" w:ascii="仿宋" w:hAnsi="仿宋" w:eastAsia="仿宋" w:cs="仿宋"/>
          <w:color w:val="auto"/>
          <w:sz w:val="24"/>
          <w:szCs w:val="24"/>
          <w:highlight w:val="none"/>
        </w:rPr>
      </w:pPr>
    </w:p>
    <w:p w14:paraId="150EC193">
      <w:pPr>
        <w:keepNext w:val="0"/>
        <w:keepLines w:val="0"/>
        <w:pageBreakBefore w:val="0"/>
        <w:widowControl/>
        <w:kinsoku w:val="0"/>
        <w:wordWrap/>
        <w:overflowPunct/>
        <w:topLinePunct w:val="0"/>
        <w:autoSpaceDE w:val="0"/>
        <w:autoSpaceDN w:val="0"/>
        <w:bidi w:val="0"/>
        <w:adjustRightInd w:val="0"/>
        <w:snapToGrid w:val="0"/>
        <w:spacing w:line="252" w:lineRule="auto"/>
        <w:textAlignment w:val="baseline"/>
        <w:outlineLvl w:val="9"/>
        <w:rPr>
          <w:rFonts w:hint="eastAsia" w:ascii="仿宋" w:hAnsi="仿宋" w:eastAsia="仿宋" w:cs="仿宋"/>
          <w:color w:val="auto"/>
          <w:sz w:val="24"/>
          <w:szCs w:val="24"/>
          <w:highlight w:val="none"/>
        </w:rPr>
      </w:pPr>
    </w:p>
    <w:p w14:paraId="2E9A7D47">
      <w:pPr>
        <w:pStyle w:val="2"/>
        <w:rPr>
          <w:rFonts w:hint="eastAsia" w:ascii="仿宋" w:hAnsi="仿宋" w:eastAsia="仿宋" w:cs="仿宋"/>
          <w:color w:val="auto"/>
          <w:sz w:val="24"/>
          <w:szCs w:val="24"/>
          <w:highlight w:val="none"/>
        </w:rPr>
      </w:pPr>
    </w:p>
    <w:p w14:paraId="76999CA7">
      <w:pPr>
        <w:rPr>
          <w:rFonts w:hint="eastAsia" w:ascii="仿宋" w:hAnsi="仿宋" w:eastAsia="仿宋" w:cs="仿宋"/>
          <w:color w:val="auto"/>
          <w:sz w:val="24"/>
          <w:szCs w:val="24"/>
          <w:highlight w:val="none"/>
        </w:rPr>
      </w:pPr>
    </w:p>
    <w:p w14:paraId="6B363B00">
      <w:pPr>
        <w:pStyle w:val="2"/>
        <w:rPr>
          <w:rFonts w:hint="eastAsia" w:ascii="仿宋" w:hAnsi="仿宋" w:eastAsia="仿宋" w:cs="仿宋"/>
          <w:color w:val="auto"/>
          <w:sz w:val="24"/>
          <w:szCs w:val="24"/>
          <w:highlight w:val="none"/>
        </w:rPr>
      </w:pPr>
    </w:p>
    <w:p w14:paraId="57CFB436">
      <w:pPr>
        <w:rPr>
          <w:rFonts w:hint="eastAsia" w:ascii="仿宋" w:hAnsi="仿宋" w:eastAsia="仿宋" w:cs="仿宋"/>
          <w:color w:val="auto"/>
          <w:sz w:val="24"/>
          <w:szCs w:val="24"/>
          <w:highlight w:val="none"/>
        </w:rPr>
      </w:pPr>
    </w:p>
    <w:p w14:paraId="49867A99">
      <w:pPr>
        <w:pStyle w:val="2"/>
        <w:rPr>
          <w:rFonts w:hint="eastAsia" w:ascii="仿宋" w:hAnsi="仿宋" w:eastAsia="仿宋" w:cs="仿宋"/>
          <w:color w:val="auto"/>
          <w:sz w:val="24"/>
          <w:szCs w:val="24"/>
          <w:highlight w:val="none"/>
        </w:rPr>
      </w:pPr>
    </w:p>
    <w:p w14:paraId="4A0DA9E0">
      <w:pPr>
        <w:rPr>
          <w:rFonts w:hint="eastAsia" w:ascii="仿宋" w:hAnsi="仿宋" w:eastAsia="仿宋" w:cs="仿宋"/>
          <w:color w:val="auto"/>
          <w:sz w:val="24"/>
          <w:szCs w:val="24"/>
          <w:highlight w:val="none"/>
        </w:rPr>
      </w:pPr>
    </w:p>
    <w:p w14:paraId="45C2256F">
      <w:pPr>
        <w:pStyle w:val="2"/>
        <w:rPr>
          <w:rFonts w:hint="eastAsia" w:ascii="仿宋" w:hAnsi="仿宋" w:eastAsia="仿宋" w:cs="仿宋"/>
          <w:color w:val="auto"/>
          <w:sz w:val="24"/>
          <w:szCs w:val="24"/>
          <w:highlight w:val="none"/>
        </w:rPr>
      </w:pPr>
    </w:p>
    <w:p w14:paraId="5CDACBD2">
      <w:pPr>
        <w:rPr>
          <w:rFonts w:hint="eastAsia" w:ascii="仿宋" w:hAnsi="仿宋" w:eastAsia="仿宋" w:cs="仿宋"/>
          <w:color w:val="auto"/>
          <w:sz w:val="24"/>
          <w:szCs w:val="24"/>
          <w:highlight w:val="none"/>
        </w:rPr>
      </w:pPr>
    </w:p>
    <w:p w14:paraId="472199BB">
      <w:pPr>
        <w:pStyle w:val="2"/>
        <w:rPr>
          <w:rFonts w:hint="eastAsia" w:ascii="仿宋" w:hAnsi="仿宋" w:eastAsia="仿宋" w:cs="仿宋"/>
          <w:color w:val="auto"/>
          <w:sz w:val="24"/>
          <w:szCs w:val="24"/>
          <w:highlight w:val="none"/>
        </w:rPr>
      </w:pPr>
    </w:p>
    <w:p w14:paraId="60C7F52B">
      <w:pPr>
        <w:rPr>
          <w:rFonts w:hint="eastAsia" w:ascii="仿宋" w:hAnsi="仿宋" w:eastAsia="仿宋" w:cs="仿宋"/>
          <w:color w:val="auto"/>
          <w:sz w:val="24"/>
          <w:szCs w:val="24"/>
          <w:highlight w:val="none"/>
        </w:rPr>
      </w:pPr>
    </w:p>
    <w:p w14:paraId="2E0B879F">
      <w:pPr>
        <w:pStyle w:val="2"/>
        <w:rPr>
          <w:rFonts w:hint="eastAsia" w:ascii="仿宋" w:hAnsi="仿宋" w:eastAsia="仿宋" w:cs="仿宋"/>
          <w:color w:val="auto"/>
          <w:sz w:val="24"/>
          <w:szCs w:val="24"/>
          <w:highlight w:val="none"/>
        </w:rPr>
      </w:pPr>
    </w:p>
    <w:p w14:paraId="69A5E038">
      <w:pPr>
        <w:rPr>
          <w:rFonts w:hint="eastAsia" w:ascii="仿宋" w:hAnsi="仿宋" w:eastAsia="仿宋" w:cs="仿宋"/>
          <w:color w:val="auto"/>
          <w:sz w:val="24"/>
          <w:szCs w:val="24"/>
          <w:highlight w:val="none"/>
        </w:rPr>
      </w:pPr>
    </w:p>
    <w:p w14:paraId="522AF793">
      <w:pPr>
        <w:pStyle w:val="2"/>
        <w:rPr>
          <w:rFonts w:hint="eastAsia" w:ascii="仿宋" w:hAnsi="仿宋" w:eastAsia="仿宋" w:cs="仿宋"/>
          <w:color w:val="auto"/>
          <w:sz w:val="24"/>
          <w:szCs w:val="24"/>
          <w:highlight w:val="none"/>
        </w:rPr>
      </w:pPr>
    </w:p>
    <w:p w14:paraId="6689A8CC">
      <w:pPr>
        <w:rPr>
          <w:rFonts w:hint="eastAsia" w:ascii="仿宋" w:hAnsi="仿宋" w:eastAsia="仿宋" w:cs="仿宋"/>
          <w:color w:val="auto"/>
          <w:sz w:val="24"/>
          <w:szCs w:val="24"/>
          <w:highlight w:val="none"/>
        </w:rPr>
      </w:pPr>
    </w:p>
    <w:p w14:paraId="4C96D5A3">
      <w:pPr>
        <w:pStyle w:val="2"/>
        <w:rPr>
          <w:rFonts w:hint="eastAsia" w:ascii="仿宋" w:hAnsi="仿宋" w:eastAsia="仿宋" w:cs="仿宋"/>
          <w:sz w:val="24"/>
          <w:szCs w:val="24"/>
        </w:rPr>
        <w:sectPr>
          <w:footerReference r:id="rId50" w:type="default"/>
          <w:pgSz w:w="11906" w:h="16839"/>
          <w:pgMar w:top="1431" w:right="1339" w:bottom="1171" w:left="1338" w:header="0" w:footer="992" w:gutter="0"/>
          <w:pgNumType w:fmt="decimal"/>
          <w:cols w:space="720" w:num="1"/>
        </w:sectPr>
      </w:pPr>
    </w:p>
    <w:p w14:paraId="2C65D88C">
      <w:pPr>
        <w:rPr>
          <w:rFonts w:hint="eastAsia" w:ascii="仿宋" w:hAnsi="仿宋" w:eastAsia="仿宋" w:cs="仿宋"/>
          <w:sz w:val="24"/>
          <w:szCs w:val="24"/>
        </w:rPr>
      </w:pPr>
    </w:p>
    <w:p w14:paraId="011A3343">
      <w:pPr>
        <w:pStyle w:val="2"/>
        <w:keepNext w:val="0"/>
        <w:keepLines w:val="0"/>
        <w:pageBreakBefore w:val="0"/>
        <w:widowControl/>
        <w:kinsoku w:val="0"/>
        <w:wordWrap/>
        <w:overflowPunct/>
        <w:topLinePunct w:val="0"/>
        <w:autoSpaceDE w:val="0"/>
        <w:autoSpaceDN w:val="0"/>
        <w:bidi w:val="0"/>
        <w:adjustRightInd w:val="0"/>
        <w:snapToGrid w:val="0"/>
        <w:spacing w:before="65" w:line="211" w:lineRule="auto"/>
        <w:ind w:left="305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6"/>
          <w:sz w:val="24"/>
          <w:szCs w:val="24"/>
          <w:highlight w:val="none"/>
        </w:rPr>
        <w:t>附件2</w:t>
      </w:r>
      <w:r>
        <w:rPr>
          <w:rFonts w:hint="eastAsia" w:ascii="仿宋" w:hAnsi="仿宋" w:eastAsia="仿宋" w:cs="仿宋"/>
          <w:color w:val="auto"/>
          <w:spacing w:val="6"/>
          <w:sz w:val="24"/>
          <w:szCs w:val="24"/>
          <w:highlight w:val="none"/>
        </w:rPr>
        <w:t xml:space="preserve"> </w:t>
      </w:r>
      <w:r>
        <w:rPr>
          <w:rFonts w:hint="eastAsia" w:ascii="仿宋" w:hAnsi="仿宋" w:eastAsia="仿宋" w:cs="仿宋"/>
          <w:b/>
          <w:bCs/>
          <w:color w:val="auto"/>
          <w:spacing w:val="6"/>
          <w:sz w:val="24"/>
          <w:szCs w:val="24"/>
          <w:highlight w:val="none"/>
        </w:rPr>
        <w:t>发包人供应材料设备一览表</w:t>
      </w:r>
    </w:p>
    <w:tbl>
      <w:tblPr>
        <w:tblStyle w:val="26"/>
        <w:tblW w:w="920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1162"/>
        <w:gridCol w:w="1123"/>
        <w:gridCol w:w="565"/>
        <w:gridCol w:w="684"/>
        <w:gridCol w:w="989"/>
        <w:gridCol w:w="1131"/>
        <w:gridCol w:w="1131"/>
        <w:gridCol w:w="1131"/>
        <w:gridCol w:w="721"/>
      </w:tblGrid>
      <w:tr w14:paraId="62515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565" w:type="dxa"/>
            <w:tcBorders>
              <w:top w:val="single" w:color="000000" w:sz="10" w:space="0"/>
              <w:left w:val="single" w:color="000000" w:sz="10" w:space="0"/>
            </w:tcBorders>
            <w:vAlign w:val="top"/>
          </w:tcPr>
          <w:p w14:paraId="40209381">
            <w:pPr>
              <w:pStyle w:val="28"/>
              <w:keepNext w:val="0"/>
              <w:keepLines w:val="0"/>
              <w:pageBreakBefore w:val="0"/>
              <w:widowControl/>
              <w:kinsoku w:val="0"/>
              <w:wordWrap/>
              <w:overflowPunct/>
              <w:topLinePunct w:val="0"/>
              <w:autoSpaceDE w:val="0"/>
              <w:autoSpaceDN w:val="0"/>
              <w:bidi w:val="0"/>
              <w:adjustRightInd w:val="0"/>
              <w:snapToGrid w:val="0"/>
              <w:spacing w:before="258" w:line="229" w:lineRule="auto"/>
              <w:ind w:left="6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序号</w:t>
            </w:r>
          </w:p>
        </w:tc>
        <w:tc>
          <w:tcPr>
            <w:tcW w:w="1162" w:type="dxa"/>
            <w:tcBorders>
              <w:top w:val="single" w:color="000000" w:sz="10" w:space="0"/>
            </w:tcBorders>
            <w:vAlign w:val="top"/>
          </w:tcPr>
          <w:p w14:paraId="641A2F0A">
            <w:pPr>
              <w:pStyle w:val="28"/>
              <w:keepNext w:val="0"/>
              <w:keepLines w:val="0"/>
              <w:pageBreakBefore w:val="0"/>
              <w:widowControl/>
              <w:kinsoku w:val="0"/>
              <w:wordWrap/>
              <w:overflowPunct/>
              <w:topLinePunct w:val="0"/>
              <w:autoSpaceDE w:val="0"/>
              <w:autoSpaceDN w:val="0"/>
              <w:bidi w:val="0"/>
              <w:adjustRightInd w:val="0"/>
              <w:snapToGrid w:val="0"/>
              <w:spacing w:before="137" w:line="212" w:lineRule="auto"/>
              <w:ind w:left="380" w:right="63" w:hanging="33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材料、设备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品种</w:t>
            </w:r>
          </w:p>
        </w:tc>
        <w:tc>
          <w:tcPr>
            <w:tcW w:w="1123" w:type="dxa"/>
            <w:tcBorders>
              <w:top w:val="single" w:color="000000" w:sz="10" w:space="0"/>
            </w:tcBorders>
            <w:vAlign w:val="top"/>
          </w:tcPr>
          <w:p w14:paraId="4E8CB85B">
            <w:pPr>
              <w:pStyle w:val="28"/>
              <w:keepNext w:val="0"/>
              <w:keepLines w:val="0"/>
              <w:pageBreakBefore w:val="0"/>
              <w:widowControl/>
              <w:kinsoku w:val="0"/>
              <w:wordWrap/>
              <w:overflowPunct/>
              <w:topLinePunct w:val="0"/>
              <w:autoSpaceDE w:val="0"/>
              <w:autoSpaceDN w:val="0"/>
              <w:bidi w:val="0"/>
              <w:adjustRightInd w:val="0"/>
              <w:snapToGrid w:val="0"/>
              <w:spacing w:before="257" w:line="228" w:lineRule="auto"/>
              <w:ind w:left="13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规格型号</w:t>
            </w:r>
          </w:p>
        </w:tc>
        <w:tc>
          <w:tcPr>
            <w:tcW w:w="565" w:type="dxa"/>
            <w:tcBorders>
              <w:top w:val="single" w:color="000000" w:sz="10" w:space="0"/>
            </w:tcBorders>
            <w:vAlign w:val="top"/>
          </w:tcPr>
          <w:p w14:paraId="3C39DC86">
            <w:pPr>
              <w:pStyle w:val="28"/>
              <w:keepNext w:val="0"/>
              <w:keepLines w:val="0"/>
              <w:pageBreakBefore w:val="0"/>
              <w:widowControl/>
              <w:kinsoku w:val="0"/>
              <w:wordWrap/>
              <w:overflowPunct/>
              <w:topLinePunct w:val="0"/>
              <w:autoSpaceDE w:val="0"/>
              <w:autoSpaceDN w:val="0"/>
              <w:bidi w:val="0"/>
              <w:adjustRightInd w:val="0"/>
              <w:snapToGrid w:val="0"/>
              <w:spacing w:before="258" w:line="228" w:lineRule="auto"/>
              <w:ind w:left="7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单位</w:t>
            </w:r>
          </w:p>
        </w:tc>
        <w:tc>
          <w:tcPr>
            <w:tcW w:w="684" w:type="dxa"/>
            <w:tcBorders>
              <w:top w:val="single" w:color="000000" w:sz="10" w:space="0"/>
            </w:tcBorders>
            <w:vAlign w:val="top"/>
          </w:tcPr>
          <w:p w14:paraId="1FC0C8A3">
            <w:pPr>
              <w:pStyle w:val="28"/>
              <w:keepNext w:val="0"/>
              <w:keepLines w:val="0"/>
              <w:pageBreakBefore w:val="0"/>
              <w:widowControl/>
              <w:kinsoku w:val="0"/>
              <w:wordWrap/>
              <w:overflowPunct/>
              <w:topLinePunct w:val="0"/>
              <w:autoSpaceDE w:val="0"/>
              <w:autoSpaceDN w:val="0"/>
              <w:bidi w:val="0"/>
              <w:adjustRightInd w:val="0"/>
              <w:snapToGrid w:val="0"/>
              <w:spacing w:before="257" w:line="228" w:lineRule="auto"/>
              <w:ind w:left="1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数量</w:t>
            </w:r>
          </w:p>
        </w:tc>
        <w:tc>
          <w:tcPr>
            <w:tcW w:w="989" w:type="dxa"/>
            <w:tcBorders>
              <w:top w:val="single" w:color="000000" w:sz="10" w:space="0"/>
            </w:tcBorders>
            <w:vAlign w:val="top"/>
          </w:tcPr>
          <w:p w14:paraId="61D943C1">
            <w:pPr>
              <w:pStyle w:val="28"/>
              <w:keepNext w:val="0"/>
              <w:keepLines w:val="0"/>
              <w:pageBreakBefore w:val="0"/>
              <w:widowControl/>
              <w:kinsoku w:val="0"/>
              <w:wordWrap/>
              <w:overflowPunct/>
              <w:topLinePunct w:val="0"/>
              <w:autoSpaceDE w:val="0"/>
              <w:autoSpaceDN w:val="0"/>
              <w:bidi w:val="0"/>
              <w:adjustRightInd w:val="0"/>
              <w:snapToGrid w:val="0"/>
              <w:spacing w:before="258" w:line="226" w:lineRule="auto"/>
              <w:jc w:val="right"/>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单价（元）</w:t>
            </w:r>
          </w:p>
        </w:tc>
        <w:tc>
          <w:tcPr>
            <w:tcW w:w="1131" w:type="dxa"/>
            <w:tcBorders>
              <w:top w:val="single" w:color="000000" w:sz="10" w:space="0"/>
            </w:tcBorders>
            <w:vAlign w:val="top"/>
          </w:tcPr>
          <w:p w14:paraId="56A18D92">
            <w:pPr>
              <w:pStyle w:val="28"/>
              <w:keepNext w:val="0"/>
              <w:keepLines w:val="0"/>
              <w:pageBreakBefore w:val="0"/>
              <w:widowControl/>
              <w:kinsoku w:val="0"/>
              <w:wordWrap/>
              <w:overflowPunct/>
              <w:topLinePunct w:val="0"/>
              <w:autoSpaceDE w:val="0"/>
              <w:autoSpaceDN w:val="0"/>
              <w:bidi w:val="0"/>
              <w:adjustRightInd w:val="0"/>
              <w:snapToGrid w:val="0"/>
              <w:spacing w:before="257" w:line="228" w:lineRule="auto"/>
              <w:ind w:left="15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质量等级</w:t>
            </w:r>
          </w:p>
        </w:tc>
        <w:tc>
          <w:tcPr>
            <w:tcW w:w="1131" w:type="dxa"/>
            <w:tcBorders>
              <w:top w:val="single" w:color="000000" w:sz="10" w:space="0"/>
            </w:tcBorders>
            <w:vAlign w:val="top"/>
          </w:tcPr>
          <w:p w14:paraId="6656F9BA">
            <w:pPr>
              <w:pStyle w:val="28"/>
              <w:keepNext w:val="0"/>
              <w:keepLines w:val="0"/>
              <w:pageBreakBefore w:val="0"/>
              <w:widowControl/>
              <w:kinsoku w:val="0"/>
              <w:wordWrap/>
              <w:overflowPunct/>
              <w:topLinePunct w:val="0"/>
              <w:autoSpaceDE w:val="0"/>
              <w:autoSpaceDN w:val="0"/>
              <w:bidi w:val="0"/>
              <w:adjustRightInd w:val="0"/>
              <w:snapToGrid w:val="0"/>
              <w:spacing w:before="257" w:line="227" w:lineRule="auto"/>
              <w:ind w:left="15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供应时间</w:t>
            </w:r>
          </w:p>
        </w:tc>
        <w:tc>
          <w:tcPr>
            <w:tcW w:w="1131" w:type="dxa"/>
            <w:tcBorders>
              <w:top w:val="single" w:color="000000" w:sz="10" w:space="0"/>
            </w:tcBorders>
            <w:vAlign w:val="top"/>
          </w:tcPr>
          <w:p w14:paraId="1D4C75BC">
            <w:pPr>
              <w:pStyle w:val="28"/>
              <w:keepNext w:val="0"/>
              <w:keepLines w:val="0"/>
              <w:pageBreakBefore w:val="0"/>
              <w:widowControl/>
              <w:kinsoku w:val="0"/>
              <w:wordWrap/>
              <w:overflowPunct/>
              <w:topLinePunct w:val="0"/>
              <w:autoSpaceDE w:val="0"/>
              <w:autoSpaceDN w:val="0"/>
              <w:bidi w:val="0"/>
              <w:adjustRightInd w:val="0"/>
              <w:snapToGrid w:val="0"/>
              <w:spacing w:before="258" w:line="232" w:lineRule="auto"/>
              <w:ind w:left="15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送达地点</w:t>
            </w:r>
          </w:p>
        </w:tc>
        <w:tc>
          <w:tcPr>
            <w:tcW w:w="721" w:type="dxa"/>
            <w:tcBorders>
              <w:top w:val="single" w:color="000000" w:sz="10" w:space="0"/>
              <w:right w:val="single" w:color="000000" w:sz="10" w:space="0"/>
            </w:tcBorders>
            <w:vAlign w:val="top"/>
          </w:tcPr>
          <w:p w14:paraId="0935776C">
            <w:pPr>
              <w:pStyle w:val="28"/>
              <w:keepNext w:val="0"/>
              <w:keepLines w:val="0"/>
              <w:pageBreakBefore w:val="0"/>
              <w:widowControl/>
              <w:kinsoku w:val="0"/>
              <w:wordWrap/>
              <w:overflowPunct/>
              <w:topLinePunct w:val="0"/>
              <w:autoSpaceDE w:val="0"/>
              <w:autoSpaceDN w:val="0"/>
              <w:bidi w:val="0"/>
              <w:adjustRightInd w:val="0"/>
              <w:snapToGrid w:val="0"/>
              <w:spacing w:before="258" w:line="229" w:lineRule="auto"/>
              <w:ind w:left="15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备注</w:t>
            </w:r>
          </w:p>
        </w:tc>
      </w:tr>
      <w:tr w14:paraId="078BE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565" w:type="dxa"/>
            <w:tcBorders>
              <w:left w:val="single" w:color="000000" w:sz="10" w:space="0"/>
            </w:tcBorders>
            <w:vAlign w:val="top"/>
          </w:tcPr>
          <w:p w14:paraId="16FEAF4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62" w:type="dxa"/>
            <w:vAlign w:val="top"/>
          </w:tcPr>
          <w:p w14:paraId="30400FB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23" w:type="dxa"/>
            <w:vAlign w:val="top"/>
          </w:tcPr>
          <w:p w14:paraId="77D2E1E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565" w:type="dxa"/>
            <w:vAlign w:val="top"/>
          </w:tcPr>
          <w:p w14:paraId="466E391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684" w:type="dxa"/>
            <w:vAlign w:val="top"/>
          </w:tcPr>
          <w:p w14:paraId="3DBC08C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989" w:type="dxa"/>
            <w:vAlign w:val="top"/>
          </w:tcPr>
          <w:p w14:paraId="7DF2562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1223F85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6732F32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5CCDCE0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721" w:type="dxa"/>
            <w:tcBorders>
              <w:right w:val="single" w:color="000000" w:sz="10" w:space="0"/>
            </w:tcBorders>
            <w:vAlign w:val="top"/>
          </w:tcPr>
          <w:p w14:paraId="16A03E9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1AAE8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65" w:type="dxa"/>
            <w:tcBorders>
              <w:left w:val="single" w:color="000000" w:sz="10" w:space="0"/>
            </w:tcBorders>
            <w:vAlign w:val="top"/>
          </w:tcPr>
          <w:p w14:paraId="2ED2F58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62" w:type="dxa"/>
            <w:vAlign w:val="top"/>
          </w:tcPr>
          <w:p w14:paraId="66BDD2A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23" w:type="dxa"/>
            <w:vAlign w:val="top"/>
          </w:tcPr>
          <w:p w14:paraId="25609AA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565" w:type="dxa"/>
            <w:vAlign w:val="top"/>
          </w:tcPr>
          <w:p w14:paraId="27C43EE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684" w:type="dxa"/>
            <w:vAlign w:val="top"/>
          </w:tcPr>
          <w:p w14:paraId="4F922DD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989" w:type="dxa"/>
            <w:vAlign w:val="top"/>
          </w:tcPr>
          <w:p w14:paraId="6BEEF4D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4F317DC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2E733CD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46D712A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721" w:type="dxa"/>
            <w:tcBorders>
              <w:right w:val="single" w:color="000000" w:sz="10" w:space="0"/>
            </w:tcBorders>
            <w:vAlign w:val="top"/>
          </w:tcPr>
          <w:p w14:paraId="44C260A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7F9D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65" w:type="dxa"/>
            <w:tcBorders>
              <w:left w:val="single" w:color="000000" w:sz="10" w:space="0"/>
            </w:tcBorders>
            <w:vAlign w:val="top"/>
          </w:tcPr>
          <w:p w14:paraId="6C9E0BB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62" w:type="dxa"/>
            <w:vAlign w:val="top"/>
          </w:tcPr>
          <w:p w14:paraId="3739662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23" w:type="dxa"/>
            <w:vAlign w:val="top"/>
          </w:tcPr>
          <w:p w14:paraId="2F17DFF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565" w:type="dxa"/>
            <w:vAlign w:val="top"/>
          </w:tcPr>
          <w:p w14:paraId="1F96FD5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684" w:type="dxa"/>
            <w:vAlign w:val="top"/>
          </w:tcPr>
          <w:p w14:paraId="65E1CA3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989" w:type="dxa"/>
            <w:vAlign w:val="top"/>
          </w:tcPr>
          <w:p w14:paraId="4CE1B36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5E049EE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586E9B5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4ED2135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721" w:type="dxa"/>
            <w:tcBorders>
              <w:right w:val="single" w:color="000000" w:sz="10" w:space="0"/>
            </w:tcBorders>
            <w:vAlign w:val="top"/>
          </w:tcPr>
          <w:p w14:paraId="4E43DFE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6100B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565" w:type="dxa"/>
            <w:tcBorders>
              <w:left w:val="single" w:color="000000" w:sz="10" w:space="0"/>
              <w:bottom w:val="single" w:color="000000" w:sz="10" w:space="0"/>
            </w:tcBorders>
            <w:vAlign w:val="top"/>
          </w:tcPr>
          <w:p w14:paraId="6CF50CB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62" w:type="dxa"/>
            <w:tcBorders>
              <w:bottom w:val="single" w:color="000000" w:sz="10" w:space="0"/>
            </w:tcBorders>
            <w:vAlign w:val="top"/>
          </w:tcPr>
          <w:p w14:paraId="6B1F794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23" w:type="dxa"/>
            <w:tcBorders>
              <w:bottom w:val="single" w:color="000000" w:sz="10" w:space="0"/>
            </w:tcBorders>
            <w:vAlign w:val="top"/>
          </w:tcPr>
          <w:p w14:paraId="008867F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565" w:type="dxa"/>
            <w:tcBorders>
              <w:bottom w:val="single" w:color="000000" w:sz="10" w:space="0"/>
            </w:tcBorders>
            <w:vAlign w:val="top"/>
          </w:tcPr>
          <w:p w14:paraId="113EF80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684" w:type="dxa"/>
            <w:tcBorders>
              <w:bottom w:val="single" w:color="000000" w:sz="10" w:space="0"/>
            </w:tcBorders>
            <w:vAlign w:val="top"/>
          </w:tcPr>
          <w:p w14:paraId="5FD9617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989" w:type="dxa"/>
            <w:tcBorders>
              <w:bottom w:val="single" w:color="000000" w:sz="10" w:space="0"/>
            </w:tcBorders>
            <w:vAlign w:val="top"/>
          </w:tcPr>
          <w:p w14:paraId="121FA2A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tcBorders>
              <w:bottom w:val="single" w:color="000000" w:sz="10" w:space="0"/>
            </w:tcBorders>
            <w:vAlign w:val="top"/>
          </w:tcPr>
          <w:p w14:paraId="483E171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tcBorders>
              <w:bottom w:val="single" w:color="000000" w:sz="10" w:space="0"/>
            </w:tcBorders>
            <w:vAlign w:val="top"/>
          </w:tcPr>
          <w:p w14:paraId="591E837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tcBorders>
              <w:bottom w:val="single" w:color="000000" w:sz="10" w:space="0"/>
            </w:tcBorders>
            <w:vAlign w:val="top"/>
          </w:tcPr>
          <w:p w14:paraId="24BC049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721" w:type="dxa"/>
            <w:tcBorders>
              <w:bottom w:val="single" w:color="000000" w:sz="10" w:space="0"/>
              <w:right w:val="single" w:color="000000" w:sz="10" w:space="0"/>
            </w:tcBorders>
            <w:vAlign w:val="top"/>
          </w:tcPr>
          <w:p w14:paraId="244127C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bl>
    <w:p w14:paraId="77A6D95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sectPr>
          <w:footerReference r:id="rId51" w:type="default"/>
          <w:pgSz w:w="11906" w:h="16839"/>
          <w:pgMar w:top="1431" w:right="1339" w:bottom="1171" w:left="1338" w:header="0" w:footer="992" w:gutter="0"/>
          <w:pgNumType w:fmt="decimal"/>
          <w:cols w:space="720" w:num="1"/>
        </w:sectPr>
      </w:pPr>
    </w:p>
    <w:p w14:paraId="0E4EC15B">
      <w:pPr>
        <w:pStyle w:val="2"/>
        <w:keepNext w:val="0"/>
        <w:keepLines w:val="0"/>
        <w:pageBreakBefore w:val="0"/>
        <w:widowControl/>
        <w:kinsoku w:val="0"/>
        <w:wordWrap/>
        <w:overflowPunct/>
        <w:topLinePunct w:val="0"/>
        <w:autoSpaceDE w:val="0"/>
        <w:autoSpaceDN w:val="0"/>
        <w:bidi w:val="0"/>
        <w:adjustRightInd w:val="0"/>
        <w:snapToGrid w:val="0"/>
        <w:spacing w:before="70" w:line="227" w:lineRule="auto"/>
        <w:jc w:val="center"/>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附件3</w:t>
      </w:r>
      <w:r>
        <w:rPr>
          <w:rFonts w:hint="eastAsia" w:ascii="仿宋" w:hAnsi="仿宋" w:eastAsia="仿宋" w:cs="仿宋"/>
          <w:color w:val="auto"/>
          <w:spacing w:val="5"/>
          <w:sz w:val="24"/>
          <w:szCs w:val="24"/>
          <w:highlight w:val="none"/>
        </w:rPr>
        <w:t xml:space="preserve"> </w:t>
      </w:r>
      <w:r>
        <w:rPr>
          <w:rFonts w:hint="eastAsia" w:ascii="仿宋" w:hAnsi="仿宋" w:eastAsia="仿宋" w:cs="仿宋"/>
          <w:b/>
          <w:bCs/>
          <w:color w:val="auto"/>
          <w:spacing w:val="5"/>
          <w:sz w:val="24"/>
          <w:szCs w:val="24"/>
          <w:highlight w:val="none"/>
        </w:rPr>
        <w:t>工程质量保修书</w:t>
      </w:r>
    </w:p>
    <w:p w14:paraId="5FE27D84">
      <w:pPr>
        <w:pStyle w:val="2"/>
        <w:keepNext w:val="0"/>
        <w:keepLines w:val="0"/>
        <w:pageBreakBefore w:val="0"/>
        <w:widowControl/>
        <w:kinsoku w:val="0"/>
        <w:wordWrap/>
        <w:overflowPunct/>
        <w:topLinePunct w:val="0"/>
        <w:autoSpaceDE w:val="0"/>
        <w:autoSpaceDN w:val="0"/>
        <w:bidi w:val="0"/>
        <w:adjustRightInd w:val="0"/>
        <w:snapToGrid w:val="0"/>
        <w:spacing w:before="22" w:line="253"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发包人（全称</w:t>
      </w:r>
      <w:r>
        <w:rPr>
          <w:rFonts w:hint="eastAsia" w:ascii="仿宋" w:hAnsi="仿宋" w:eastAsia="仿宋" w:cs="仿宋"/>
          <w:color w:val="auto"/>
          <w:spacing w:val="12"/>
          <w:sz w:val="24"/>
          <w:szCs w:val="24"/>
          <w:highlight w:val="none"/>
        </w:rPr>
        <w:t>）：</w:t>
      </w:r>
      <w:r>
        <w:rPr>
          <w:rFonts w:hint="eastAsia" w:ascii="仿宋" w:hAnsi="仿宋" w:eastAsia="仿宋" w:cs="仿宋"/>
          <w:color w:val="auto"/>
          <w:sz w:val="24"/>
          <w:szCs w:val="24"/>
          <w:highlight w:val="none"/>
          <w:u w:val="single" w:color="auto"/>
        </w:rPr>
        <w:t xml:space="preserve">                                    </w:t>
      </w:r>
    </w:p>
    <w:p w14:paraId="79F8432F">
      <w:pPr>
        <w:pStyle w:val="2"/>
        <w:keepNext w:val="0"/>
        <w:keepLines w:val="0"/>
        <w:pageBreakBefore w:val="0"/>
        <w:widowControl/>
        <w:kinsoku w:val="0"/>
        <w:wordWrap/>
        <w:overflowPunct/>
        <w:topLinePunct w:val="0"/>
        <w:autoSpaceDE w:val="0"/>
        <w:autoSpaceDN w:val="0"/>
        <w:bidi w:val="0"/>
        <w:adjustRightInd w:val="0"/>
        <w:snapToGrid w:val="0"/>
        <w:spacing w:line="227"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承包人（全称</w:t>
      </w:r>
      <w:r>
        <w:rPr>
          <w:rFonts w:hint="eastAsia" w:ascii="仿宋" w:hAnsi="仿宋" w:eastAsia="仿宋" w:cs="仿宋"/>
          <w:color w:val="auto"/>
          <w:spacing w:val="11"/>
          <w:sz w:val="24"/>
          <w:szCs w:val="24"/>
          <w:highlight w:val="none"/>
        </w:rPr>
        <w:t>）：</w:t>
      </w:r>
      <w:r>
        <w:rPr>
          <w:rFonts w:hint="eastAsia" w:ascii="仿宋" w:hAnsi="仿宋" w:eastAsia="仿宋" w:cs="仿宋"/>
          <w:color w:val="auto"/>
          <w:sz w:val="24"/>
          <w:szCs w:val="24"/>
          <w:highlight w:val="none"/>
          <w:u w:val="single" w:color="auto"/>
        </w:rPr>
        <w:t xml:space="preserve">                                    </w:t>
      </w:r>
    </w:p>
    <w:p w14:paraId="2E2DC83A">
      <w:pPr>
        <w:pStyle w:val="2"/>
        <w:keepNext w:val="0"/>
        <w:keepLines w:val="0"/>
        <w:pageBreakBefore w:val="0"/>
        <w:widowControl/>
        <w:kinsoku w:val="0"/>
        <w:wordWrap/>
        <w:overflowPunct/>
        <w:topLinePunct w:val="0"/>
        <w:autoSpaceDE w:val="0"/>
        <w:autoSpaceDN w:val="0"/>
        <w:bidi w:val="0"/>
        <w:adjustRightInd w:val="0"/>
        <w:snapToGrid w:val="0"/>
        <w:spacing w:before="23"/>
        <w:ind w:left="28" w:right="70" w:firstLine="5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发包人和承包人根据《中华人民共和国建筑法》和《建设工程</w:t>
      </w:r>
      <w:r>
        <w:rPr>
          <w:rFonts w:hint="eastAsia" w:ascii="仿宋" w:hAnsi="仿宋" w:eastAsia="仿宋" w:cs="仿宋"/>
          <w:color w:val="auto"/>
          <w:spacing w:val="7"/>
          <w:sz w:val="24"/>
          <w:szCs w:val="24"/>
          <w:highlight w:val="none"/>
        </w:rPr>
        <w:t>质量管理条例》，经协</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商一致就</w:t>
      </w:r>
      <w:r>
        <w:rPr>
          <w:rFonts w:hint="eastAsia" w:ascii="仿宋" w:hAnsi="仿宋" w:eastAsia="仿宋" w:cs="仿宋"/>
          <w:color w:val="auto"/>
          <w:spacing w:val="-98"/>
          <w:sz w:val="24"/>
          <w:szCs w:val="24"/>
          <w:highlight w:val="none"/>
        </w:rPr>
        <w:t xml:space="preserve"> </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（工程全称）订立工程质量保修书。</w:t>
      </w:r>
    </w:p>
    <w:p w14:paraId="526D6279">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一、工程质量保修范围和内容</w:t>
      </w:r>
    </w:p>
    <w:p w14:paraId="1F8C2B20">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承包人在质量保修期内，按照有关法律规定和合同约定，承担工程质量保修责任。</w:t>
      </w:r>
    </w:p>
    <w:p w14:paraId="0EE4F8B1">
      <w:pPr>
        <w:pStyle w:val="2"/>
        <w:keepNext w:val="0"/>
        <w:keepLines w:val="0"/>
        <w:pageBreakBefore w:val="0"/>
        <w:widowControl/>
        <w:kinsoku w:val="0"/>
        <w:wordWrap/>
        <w:overflowPunct/>
        <w:topLinePunct w:val="0"/>
        <w:autoSpaceDE w:val="0"/>
        <w:autoSpaceDN w:val="0"/>
        <w:bidi w:val="0"/>
        <w:adjustRightInd w:val="0"/>
        <w:snapToGrid w:val="0"/>
        <w:spacing w:before="26" w:line="246" w:lineRule="auto"/>
        <w:ind w:left="23" w:right="70" w:firstLine="6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质量保修范围包括地基基础工程、主体结构工程，屋面防水工程、有</w:t>
      </w:r>
      <w:r>
        <w:rPr>
          <w:rFonts w:hint="eastAsia" w:ascii="仿宋" w:hAnsi="仿宋" w:eastAsia="仿宋" w:cs="仿宋"/>
          <w:color w:val="auto"/>
          <w:spacing w:val="7"/>
          <w:sz w:val="24"/>
          <w:szCs w:val="24"/>
          <w:highlight w:val="none"/>
        </w:rPr>
        <w:t>防水要求的卫生</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间、房间和外墙面的防渗漏，供热与供冷系统，电气管线、给排水管道、设备安装和装修工</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6"/>
          <w:sz w:val="24"/>
          <w:szCs w:val="24"/>
          <w:highlight w:val="none"/>
        </w:rPr>
        <w:t>程</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6"/>
          <w:sz w:val="24"/>
          <w:szCs w:val="24"/>
          <w:highlight w:val="none"/>
        </w:rPr>
        <w:t>以 及 双 方</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6"/>
          <w:sz w:val="24"/>
          <w:szCs w:val="24"/>
          <w:highlight w:val="none"/>
        </w:rPr>
        <w:t>约</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6"/>
          <w:sz w:val="24"/>
          <w:szCs w:val="24"/>
          <w:highlight w:val="none"/>
        </w:rPr>
        <w:t>定</w:t>
      </w:r>
      <w:r>
        <w:rPr>
          <w:rFonts w:hint="eastAsia" w:ascii="仿宋" w:hAnsi="仿宋" w:eastAsia="仿宋" w:cs="仿宋"/>
          <w:color w:val="auto"/>
          <w:spacing w:val="26"/>
          <w:sz w:val="24"/>
          <w:szCs w:val="24"/>
          <w:highlight w:val="none"/>
        </w:rPr>
        <w:t xml:space="preserve"> </w:t>
      </w:r>
      <w:r>
        <w:rPr>
          <w:rFonts w:hint="eastAsia" w:ascii="仿宋" w:hAnsi="仿宋" w:eastAsia="仿宋" w:cs="仿宋"/>
          <w:color w:val="auto"/>
          <w:spacing w:val="-6"/>
          <w:sz w:val="24"/>
          <w:szCs w:val="24"/>
          <w:highlight w:val="none"/>
        </w:rPr>
        <w:t>的</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6"/>
          <w:sz w:val="24"/>
          <w:szCs w:val="24"/>
          <w:highlight w:val="none"/>
        </w:rPr>
        <w:t>其</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6"/>
          <w:sz w:val="24"/>
          <w:szCs w:val="24"/>
          <w:highlight w:val="none"/>
        </w:rPr>
        <w:t>他</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6"/>
          <w:sz w:val="24"/>
          <w:szCs w:val="24"/>
          <w:highlight w:val="none"/>
        </w:rPr>
        <w:t>项</w:t>
      </w:r>
      <w:r>
        <w:rPr>
          <w:rFonts w:hint="eastAsia" w:ascii="仿宋" w:hAnsi="仿宋" w:eastAsia="仿宋" w:cs="仿宋"/>
          <w:color w:val="auto"/>
          <w:spacing w:val="51"/>
          <w:sz w:val="24"/>
          <w:szCs w:val="24"/>
          <w:highlight w:val="none"/>
        </w:rPr>
        <w:t xml:space="preserve"> </w:t>
      </w:r>
      <w:r>
        <w:rPr>
          <w:rFonts w:hint="eastAsia" w:ascii="仿宋" w:hAnsi="仿宋" w:eastAsia="仿宋" w:cs="仿宋"/>
          <w:color w:val="auto"/>
          <w:spacing w:val="-6"/>
          <w:sz w:val="24"/>
          <w:szCs w:val="24"/>
          <w:highlight w:val="none"/>
        </w:rPr>
        <w:t>目</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6"/>
          <w:sz w:val="24"/>
          <w:szCs w:val="24"/>
          <w:highlight w:val="none"/>
        </w:rPr>
        <w:t>具</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6"/>
          <w:sz w:val="24"/>
          <w:szCs w:val="24"/>
          <w:highlight w:val="none"/>
        </w:rPr>
        <w:t>体</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6"/>
          <w:sz w:val="24"/>
          <w:szCs w:val="24"/>
          <w:highlight w:val="none"/>
        </w:rPr>
        <w:t>保</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6"/>
          <w:sz w:val="24"/>
          <w:szCs w:val="24"/>
          <w:highlight w:val="none"/>
        </w:rPr>
        <w:t>修</w:t>
      </w:r>
      <w:r>
        <w:rPr>
          <w:rFonts w:hint="eastAsia" w:ascii="仿宋" w:hAnsi="仿宋" w:eastAsia="仿宋" w:cs="仿宋"/>
          <w:color w:val="auto"/>
          <w:spacing w:val="28"/>
          <w:sz w:val="24"/>
          <w:szCs w:val="24"/>
          <w:highlight w:val="none"/>
        </w:rPr>
        <w:t xml:space="preserve"> </w:t>
      </w:r>
      <w:r>
        <w:rPr>
          <w:rFonts w:hint="eastAsia" w:ascii="仿宋" w:hAnsi="仿宋" w:eastAsia="仿宋" w:cs="仿宋"/>
          <w:color w:val="auto"/>
          <w:spacing w:val="-6"/>
          <w:sz w:val="24"/>
          <w:szCs w:val="24"/>
          <w:highlight w:val="none"/>
        </w:rPr>
        <w:t>的</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内</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6"/>
          <w:sz w:val="24"/>
          <w:szCs w:val="24"/>
          <w:highlight w:val="none"/>
        </w:rPr>
        <w:t>容</w:t>
      </w:r>
      <w:r>
        <w:rPr>
          <w:rFonts w:hint="eastAsia" w:ascii="仿宋" w:hAnsi="仿宋" w:eastAsia="仿宋" w:cs="仿宋"/>
          <w:color w:val="auto"/>
          <w:spacing w:val="28"/>
          <w:sz w:val="24"/>
          <w:szCs w:val="24"/>
          <w:highlight w:val="none"/>
        </w:rPr>
        <w:t xml:space="preserve"> </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6"/>
          <w:sz w:val="24"/>
          <w:szCs w:val="24"/>
          <w:highlight w:val="none"/>
        </w:rPr>
        <w:t>双</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6"/>
          <w:sz w:val="24"/>
          <w:szCs w:val="24"/>
          <w:highlight w:val="none"/>
        </w:rPr>
        <w:t>方</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6"/>
          <w:sz w:val="24"/>
          <w:szCs w:val="24"/>
          <w:highlight w:val="none"/>
        </w:rPr>
        <w:t>约</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6"/>
          <w:sz w:val="24"/>
          <w:szCs w:val="24"/>
          <w:highlight w:val="none"/>
        </w:rPr>
        <w:t>定</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6"/>
          <w:sz w:val="24"/>
          <w:szCs w:val="24"/>
          <w:highlight w:val="none"/>
        </w:rPr>
        <w:t>如</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下：</w:t>
      </w:r>
      <w:r>
        <w:rPr>
          <w:rFonts w:hint="eastAsia" w:ascii="仿宋" w:hAnsi="仿宋" w:eastAsia="仿宋" w:cs="仿宋"/>
          <w:color w:val="auto"/>
          <w:spacing w:val="3"/>
          <w:sz w:val="24"/>
          <w:szCs w:val="24"/>
          <w:highlight w:val="none"/>
          <w:u w:val="single" w:color="auto"/>
        </w:rPr>
        <w:t xml:space="preserve">                                                   </w:t>
      </w:r>
      <w:r>
        <w:rPr>
          <w:rFonts w:hint="eastAsia" w:ascii="仿宋" w:hAnsi="仿宋" w:eastAsia="仿宋" w:cs="仿宋"/>
          <w:color w:val="auto"/>
          <w:spacing w:val="3"/>
          <w:sz w:val="24"/>
          <w:szCs w:val="24"/>
          <w:highlight w:val="none"/>
        </w:rPr>
        <w:t>。</w:t>
      </w:r>
    </w:p>
    <w:p w14:paraId="725EA7B2">
      <w:pPr>
        <w:pStyle w:val="2"/>
        <w:keepNext w:val="0"/>
        <w:keepLines w:val="0"/>
        <w:pageBreakBefore w:val="0"/>
        <w:widowControl/>
        <w:kinsoku w:val="0"/>
        <w:wordWrap/>
        <w:overflowPunct/>
        <w:topLinePunct w:val="0"/>
        <w:autoSpaceDE w:val="0"/>
        <w:autoSpaceDN w:val="0"/>
        <w:bidi w:val="0"/>
        <w:adjustRightInd w:val="0"/>
        <w:snapToGrid w:val="0"/>
        <w:spacing w:before="22"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二、质量保修期</w:t>
      </w:r>
    </w:p>
    <w:p w14:paraId="220E0518">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根据《建设工程质量管理条例》及有关规定，工程的质量保修期如下：</w:t>
      </w:r>
    </w:p>
    <w:p w14:paraId="13CFA6B4">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4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1．地基基础工程和主体结构工程为设计文件规定</w:t>
      </w:r>
      <w:r>
        <w:rPr>
          <w:rFonts w:hint="eastAsia" w:ascii="仿宋" w:hAnsi="仿宋" w:eastAsia="仿宋" w:cs="仿宋"/>
          <w:color w:val="auto"/>
          <w:spacing w:val="8"/>
          <w:sz w:val="24"/>
          <w:szCs w:val="24"/>
          <w:highlight w:val="none"/>
        </w:rPr>
        <w:t>的工程合理使用年限；</w:t>
      </w:r>
    </w:p>
    <w:p w14:paraId="182C7969">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2．屋面防水工程、有防水要求的卫生间、房间和外</w:t>
      </w:r>
      <w:r>
        <w:rPr>
          <w:rFonts w:hint="eastAsia" w:ascii="仿宋" w:hAnsi="仿宋" w:eastAsia="仿宋" w:cs="仿宋"/>
          <w:color w:val="auto"/>
          <w:spacing w:val="8"/>
          <w:sz w:val="24"/>
          <w:szCs w:val="24"/>
          <w:highlight w:val="none"/>
        </w:rPr>
        <w:t>墙面的防渗为</w:t>
      </w:r>
      <w:r>
        <w:rPr>
          <w:rFonts w:hint="eastAsia" w:ascii="仿宋" w:hAnsi="仿宋" w:eastAsia="仿宋" w:cs="仿宋"/>
          <w:color w:val="auto"/>
          <w:spacing w:val="-98"/>
          <w:sz w:val="24"/>
          <w:szCs w:val="24"/>
          <w:highlight w:val="none"/>
        </w:rPr>
        <w:t xml:space="preserve"> </w:t>
      </w:r>
      <w:r>
        <w:rPr>
          <w:rFonts w:hint="eastAsia" w:ascii="仿宋" w:hAnsi="仿宋" w:eastAsia="仿宋" w:cs="仿宋"/>
          <w:color w:val="auto"/>
          <w:spacing w:val="4"/>
          <w:sz w:val="24"/>
          <w:szCs w:val="24"/>
          <w:highlight w:val="none"/>
          <w:u w:val="single" w:color="auto"/>
        </w:rPr>
        <w:t xml:space="preserve">       </w:t>
      </w:r>
      <w:r>
        <w:rPr>
          <w:rFonts w:hint="eastAsia" w:ascii="仿宋" w:hAnsi="仿宋" w:eastAsia="仿宋" w:cs="仿宋"/>
          <w:color w:val="auto"/>
          <w:spacing w:val="-84"/>
          <w:sz w:val="24"/>
          <w:szCs w:val="24"/>
          <w:highlight w:val="none"/>
        </w:rPr>
        <w:t xml:space="preserve"> </w:t>
      </w:r>
      <w:r>
        <w:rPr>
          <w:rFonts w:hint="eastAsia" w:ascii="仿宋" w:hAnsi="仿宋" w:eastAsia="仿宋" w:cs="仿宋"/>
          <w:color w:val="auto"/>
          <w:spacing w:val="8"/>
          <w:sz w:val="24"/>
          <w:szCs w:val="24"/>
          <w:highlight w:val="none"/>
        </w:rPr>
        <w:t>年；</w:t>
      </w:r>
    </w:p>
    <w:p w14:paraId="41589FEB">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3．装修工程为</w:t>
      </w:r>
      <w:r>
        <w:rPr>
          <w:rFonts w:hint="eastAsia" w:ascii="仿宋" w:hAnsi="仿宋" w:eastAsia="仿宋" w:cs="仿宋"/>
          <w:color w:val="auto"/>
          <w:spacing w:val="-93"/>
          <w:sz w:val="24"/>
          <w:szCs w:val="24"/>
          <w:highlight w:val="none"/>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91"/>
          <w:sz w:val="24"/>
          <w:szCs w:val="24"/>
          <w:highlight w:val="none"/>
        </w:rPr>
        <w:t xml:space="preserve"> </w:t>
      </w:r>
      <w:r>
        <w:rPr>
          <w:rFonts w:hint="eastAsia" w:ascii="仿宋" w:hAnsi="仿宋" w:eastAsia="仿宋" w:cs="仿宋"/>
          <w:color w:val="auto"/>
          <w:spacing w:val="5"/>
          <w:sz w:val="24"/>
          <w:szCs w:val="24"/>
          <w:highlight w:val="none"/>
        </w:rPr>
        <w:t>年；</w:t>
      </w:r>
    </w:p>
    <w:p w14:paraId="4080128F">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4．电气管线、给排水管道、设备安装工程为</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80"/>
          <w:sz w:val="24"/>
          <w:szCs w:val="24"/>
          <w:highlight w:val="none"/>
        </w:rPr>
        <w:t xml:space="preserve"> </w:t>
      </w:r>
      <w:r>
        <w:rPr>
          <w:rFonts w:hint="eastAsia" w:ascii="仿宋" w:hAnsi="仿宋" w:eastAsia="仿宋" w:cs="仿宋"/>
          <w:color w:val="auto"/>
          <w:spacing w:val="7"/>
          <w:sz w:val="24"/>
          <w:szCs w:val="24"/>
          <w:highlight w:val="none"/>
        </w:rPr>
        <w:t>年；</w:t>
      </w:r>
    </w:p>
    <w:p w14:paraId="547CB4F8">
      <w:pPr>
        <w:pStyle w:val="2"/>
        <w:keepNext w:val="0"/>
        <w:keepLines w:val="0"/>
        <w:pageBreakBefore w:val="0"/>
        <w:widowControl/>
        <w:kinsoku w:val="0"/>
        <w:wordWrap/>
        <w:overflowPunct/>
        <w:topLinePunct w:val="0"/>
        <w:autoSpaceDE w:val="0"/>
        <w:autoSpaceDN w:val="0"/>
        <w:bidi w:val="0"/>
        <w:adjustRightInd w:val="0"/>
        <w:snapToGrid w:val="0"/>
        <w:spacing w:before="25" w:line="227" w:lineRule="auto"/>
        <w:ind w:left="62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5．供热与供冷系统为</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91"/>
          <w:sz w:val="24"/>
          <w:szCs w:val="24"/>
          <w:highlight w:val="none"/>
        </w:rPr>
        <w:t xml:space="preserve"> </w:t>
      </w:r>
      <w:r>
        <w:rPr>
          <w:rFonts w:hint="eastAsia" w:ascii="仿宋" w:hAnsi="仿宋" w:eastAsia="仿宋" w:cs="仿宋"/>
          <w:color w:val="auto"/>
          <w:spacing w:val="7"/>
          <w:sz w:val="24"/>
          <w:szCs w:val="24"/>
          <w:highlight w:val="none"/>
        </w:rPr>
        <w:t>个采暖期、供冷期；</w:t>
      </w:r>
    </w:p>
    <w:p w14:paraId="442E582B">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6．住宅小区内的给排水设施、道路等配套工程为</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3"/>
          <w:sz w:val="24"/>
          <w:szCs w:val="24"/>
          <w:highlight w:val="none"/>
        </w:rPr>
        <w:t xml:space="preserve"> </w:t>
      </w:r>
      <w:r>
        <w:rPr>
          <w:rFonts w:hint="eastAsia" w:ascii="仿宋" w:hAnsi="仿宋" w:eastAsia="仿宋" w:cs="仿宋"/>
          <w:color w:val="auto"/>
          <w:spacing w:val="7"/>
          <w:sz w:val="24"/>
          <w:szCs w:val="24"/>
          <w:highlight w:val="none"/>
        </w:rPr>
        <w:t>年；</w:t>
      </w:r>
    </w:p>
    <w:p w14:paraId="0DFB946B">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7．其他项目保修期限约定如下：</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7B8499BD">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质量保修期自工程竣工验收合格之日起计算。</w:t>
      </w:r>
    </w:p>
    <w:p w14:paraId="4F8B34B3">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三、缺陷责任期</w:t>
      </w:r>
    </w:p>
    <w:p w14:paraId="75F4EC82">
      <w:pPr>
        <w:pStyle w:val="2"/>
        <w:keepNext w:val="0"/>
        <w:keepLines w:val="0"/>
        <w:pageBreakBefore w:val="0"/>
        <w:widowControl/>
        <w:kinsoku w:val="0"/>
        <w:wordWrap/>
        <w:overflowPunct/>
        <w:topLinePunct w:val="0"/>
        <w:autoSpaceDE w:val="0"/>
        <w:autoSpaceDN w:val="0"/>
        <w:bidi w:val="0"/>
        <w:adjustRightInd w:val="0"/>
        <w:snapToGrid w:val="0"/>
        <w:spacing w:before="23" w:line="244" w:lineRule="auto"/>
        <w:ind w:left="25" w:right="69" w:firstLine="6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工程缺陷责任期为</w:t>
      </w:r>
      <w:r>
        <w:rPr>
          <w:rFonts w:hint="eastAsia" w:ascii="仿宋" w:hAnsi="仿宋" w:eastAsia="仿宋" w:cs="仿宋"/>
          <w:color w:val="auto"/>
          <w:spacing w:val="-96"/>
          <w:sz w:val="24"/>
          <w:szCs w:val="24"/>
          <w:highlight w:val="none"/>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92"/>
          <w:sz w:val="24"/>
          <w:szCs w:val="24"/>
          <w:highlight w:val="none"/>
        </w:rPr>
        <w:t xml:space="preserve"> </w:t>
      </w:r>
      <w:r>
        <w:rPr>
          <w:rFonts w:hint="eastAsia" w:ascii="仿宋" w:hAnsi="仿宋" w:eastAsia="仿宋" w:cs="仿宋"/>
          <w:color w:val="auto"/>
          <w:spacing w:val="10"/>
          <w:sz w:val="24"/>
          <w:szCs w:val="24"/>
          <w:highlight w:val="none"/>
        </w:rPr>
        <w:t>个月，缺陷责任期自工程通过竣工验收之日起计算。单位/</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区段工程先于全部工程进行验收，单位/区段工程缺陷责任期自单位/区段工程验收合格之日</w:t>
      </w:r>
      <w:r>
        <w:rPr>
          <w:rFonts w:hint="eastAsia" w:ascii="仿宋" w:hAnsi="仿宋" w:eastAsia="仿宋" w:cs="仿宋"/>
          <w:color w:val="auto"/>
          <w:spacing w:val="2"/>
          <w:sz w:val="24"/>
          <w:szCs w:val="24"/>
          <w:highlight w:val="none"/>
        </w:rPr>
        <w:t xml:space="preserve"> 起算。</w:t>
      </w:r>
    </w:p>
    <w:p w14:paraId="6A605A68">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缺陷责任期终止后，发包人应返还剩余的质量保证金。</w:t>
      </w:r>
    </w:p>
    <w:p w14:paraId="64B29E78">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4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四、质量保修责任</w:t>
      </w:r>
    </w:p>
    <w:p w14:paraId="66A3093D">
      <w:pPr>
        <w:pStyle w:val="2"/>
        <w:keepNext w:val="0"/>
        <w:keepLines w:val="0"/>
        <w:pageBreakBefore w:val="0"/>
        <w:widowControl/>
        <w:kinsoku w:val="0"/>
        <w:wordWrap/>
        <w:overflowPunct/>
        <w:topLinePunct w:val="0"/>
        <w:autoSpaceDE w:val="0"/>
        <w:autoSpaceDN w:val="0"/>
        <w:bidi w:val="0"/>
        <w:adjustRightInd w:val="0"/>
        <w:snapToGrid w:val="0"/>
        <w:spacing w:before="25"/>
        <w:ind w:left="24" w:firstLine="6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1．属于保修范围、内容的项目，承包人应当在接到</w:t>
      </w:r>
      <w:r>
        <w:rPr>
          <w:rFonts w:hint="eastAsia" w:ascii="仿宋" w:hAnsi="仿宋" w:eastAsia="仿宋" w:cs="仿宋"/>
          <w:color w:val="auto"/>
          <w:spacing w:val="5"/>
          <w:sz w:val="24"/>
          <w:szCs w:val="24"/>
          <w:highlight w:val="none"/>
        </w:rPr>
        <w:t>保修通知之日起</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5"/>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5"/>
          <w:sz w:val="24"/>
          <w:szCs w:val="24"/>
          <w:highlight w:val="none"/>
        </w:rPr>
        <w:t>天内派人保修。</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承包人不在约定期限内派人保修的，发包人可以委托他人修理。</w:t>
      </w:r>
    </w:p>
    <w:p w14:paraId="1A82888A">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jc w:val="right"/>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2．发生紧急事故需抢修的，承包人在接到事故通知后，应当立即到</w:t>
      </w:r>
      <w:r>
        <w:rPr>
          <w:rFonts w:hint="eastAsia" w:ascii="仿宋" w:hAnsi="仿宋" w:eastAsia="仿宋" w:cs="仿宋"/>
          <w:color w:val="auto"/>
          <w:spacing w:val="6"/>
          <w:sz w:val="24"/>
          <w:szCs w:val="24"/>
          <w:highlight w:val="none"/>
        </w:rPr>
        <w:t>达事故现场抢修。</w:t>
      </w:r>
    </w:p>
    <w:p w14:paraId="35F8610D">
      <w:pPr>
        <w:pStyle w:val="2"/>
        <w:keepNext w:val="0"/>
        <w:keepLines w:val="0"/>
        <w:pageBreakBefore w:val="0"/>
        <w:widowControl/>
        <w:kinsoku w:val="0"/>
        <w:wordWrap/>
        <w:overflowPunct/>
        <w:topLinePunct w:val="0"/>
        <w:autoSpaceDE w:val="0"/>
        <w:autoSpaceDN w:val="0"/>
        <w:bidi w:val="0"/>
        <w:adjustRightInd w:val="0"/>
        <w:snapToGrid w:val="0"/>
        <w:spacing w:before="23" w:line="246" w:lineRule="auto"/>
        <w:ind w:left="24" w:right="16" w:firstLine="60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3．对于涉及结构安全的质量问题，应当按照《建设工程质量管理条例》的规定，立</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4"/>
          <w:sz w:val="24"/>
          <w:szCs w:val="24"/>
          <w:highlight w:val="none"/>
        </w:rPr>
        <w:t>即向当地建设行政主管部门和有关部门报告，采</w:t>
      </w:r>
      <w:r>
        <w:rPr>
          <w:rFonts w:hint="eastAsia" w:ascii="仿宋" w:hAnsi="仿宋" w:eastAsia="仿宋" w:cs="仿宋"/>
          <w:color w:val="auto"/>
          <w:spacing w:val="3"/>
          <w:sz w:val="24"/>
          <w:szCs w:val="24"/>
          <w:highlight w:val="none"/>
        </w:rPr>
        <w:t>取安全防范措施，并由承包人提出保修方案，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承包人将设计业务分包的，应由原设计分包人或具有相</w:t>
      </w:r>
      <w:r>
        <w:rPr>
          <w:rFonts w:hint="eastAsia" w:ascii="仿宋" w:hAnsi="仿宋" w:eastAsia="仿宋" w:cs="仿宋"/>
          <w:color w:val="auto"/>
          <w:spacing w:val="8"/>
          <w:sz w:val="24"/>
          <w:szCs w:val="24"/>
          <w:highlight w:val="none"/>
        </w:rPr>
        <w:t>应资质等级的设计人提出保修方案，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承包人实施保修。</w:t>
      </w:r>
    </w:p>
    <w:p w14:paraId="34D0A0E3">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4．质量保修完成后，由发包人组织验收。</w:t>
      </w:r>
    </w:p>
    <w:p w14:paraId="21232166">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五、保修费用</w:t>
      </w:r>
    </w:p>
    <w:p w14:paraId="2BCAA787">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保修费用由造成质量缺陷的责任方承担。</w:t>
      </w:r>
    </w:p>
    <w:p w14:paraId="19C41389">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六、双方约定的其他工程质量保修事项：</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482368E6">
      <w:pPr>
        <w:pStyle w:val="2"/>
        <w:keepNext w:val="0"/>
        <w:keepLines w:val="0"/>
        <w:pageBreakBefore w:val="0"/>
        <w:widowControl/>
        <w:kinsoku w:val="0"/>
        <w:wordWrap/>
        <w:overflowPunct/>
        <w:topLinePunct w:val="0"/>
        <w:autoSpaceDE w:val="0"/>
        <w:autoSpaceDN w:val="0"/>
        <w:bidi w:val="0"/>
        <w:adjustRightInd w:val="0"/>
        <w:snapToGrid w:val="0"/>
        <w:spacing w:before="27" w:line="214"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工程质量保修书由发包人、承包人在工程竣工验收前共同签署，</w:t>
      </w:r>
      <w:r>
        <w:rPr>
          <w:rFonts w:hint="eastAsia" w:ascii="仿宋" w:hAnsi="仿宋" w:eastAsia="仿宋" w:cs="仿宋"/>
          <w:color w:val="auto"/>
          <w:spacing w:val="7"/>
          <w:sz w:val="24"/>
          <w:szCs w:val="24"/>
          <w:highlight w:val="none"/>
        </w:rPr>
        <w:t>作为工程总承包合同</w:t>
      </w:r>
    </w:p>
    <w:p w14:paraId="2A3515F5">
      <w:pPr>
        <w:keepNext w:val="0"/>
        <w:keepLines w:val="0"/>
        <w:pageBreakBefore w:val="0"/>
        <w:widowControl/>
        <w:kinsoku w:val="0"/>
        <w:wordWrap/>
        <w:overflowPunct/>
        <w:topLinePunct w:val="0"/>
        <w:autoSpaceDE w:val="0"/>
        <w:autoSpaceDN w:val="0"/>
        <w:bidi w:val="0"/>
        <w:adjustRightInd w:val="0"/>
        <w:snapToGrid w:val="0"/>
        <w:spacing w:line="214" w:lineRule="auto"/>
        <w:textAlignment w:val="baseline"/>
        <w:outlineLvl w:val="9"/>
        <w:rPr>
          <w:rFonts w:hint="eastAsia" w:ascii="仿宋" w:hAnsi="仿宋" w:eastAsia="仿宋" w:cs="仿宋"/>
          <w:color w:val="auto"/>
          <w:sz w:val="24"/>
          <w:szCs w:val="24"/>
          <w:highlight w:val="none"/>
        </w:rPr>
        <w:sectPr>
          <w:footerReference r:id="rId52" w:type="default"/>
          <w:pgSz w:w="11906" w:h="16839"/>
          <w:pgMar w:top="1431" w:right="1733" w:bottom="1171" w:left="1785" w:header="0" w:footer="992" w:gutter="0"/>
          <w:pgNumType w:fmt="decimal"/>
          <w:cols w:equalWidth="0" w:num="1">
            <w:col w:w="8387"/>
          </w:cols>
        </w:sectPr>
      </w:pPr>
    </w:p>
    <w:p w14:paraId="2D435792">
      <w:pPr>
        <w:pStyle w:val="2"/>
        <w:keepNext w:val="0"/>
        <w:keepLines w:val="0"/>
        <w:pageBreakBefore w:val="0"/>
        <w:widowControl/>
        <w:kinsoku w:val="0"/>
        <w:wordWrap/>
        <w:overflowPunct/>
        <w:topLinePunct w:val="0"/>
        <w:autoSpaceDE w:val="0"/>
        <w:autoSpaceDN w:val="0"/>
        <w:bidi w:val="0"/>
        <w:adjustRightInd w:val="0"/>
        <w:snapToGrid w:val="0"/>
        <w:spacing w:before="42" w:line="227" w:lineRule="auto"/>
        <w:ind w:left="4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附件，其有效期限至保修期满。</w:t>
      </w:r>
    </w:p>
    <w:p w14:paraId="32C74257">
      <w:pPr>
        <w:pStyle w:val="2"/>
        <w:keepNext w:val="0"/>
        <w:keepLines w:val="0"/>
        <w:pageBreakBefore w:val="0"/>
        <w:widowControl/>
        <w:kinsoku w:val="0"/>
        <w:wordWrap/>
        <w:overflowPunct/>
        <w:topLinePunct w:val="0"/>
        <w:autoSpaceDE w:val="0"/>
        <w:autoSpaceDN w:val="0"/>
        <w:bidi w:val="0"/>
        <w:adjustRightInd w:val="0"/>
        <w:snapToGrid w:val="0"/>
        <w:spacing w:before="25" w:line="272" w:lineRule="exact"/>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position w:val="4"/>
          <w:sz w:val="24"/>
          <w:szCs w:val="24"/>
          <w:highlight w:val="none"/>
        </w:rPr>
        <w:t>发包人(公章)：</w:t>
      </w:r>
    </w:p>
    <w:p w14:paraId="2BD370E5">
      <w:pPr>
        <w:pStyle w:val="2"/>
        <w:keepNext w:val="0"/>
        <w:keepLines w:val="0"/>
        <w:pageBreakBefore w:val="0"/>
        <w:widowControl/>
        <w:kinsoku w:val="0"/>
        <w:wordWrap/>
        <w:overflowPunct/>
        <w:topLinePunct w:val="0"/>
        <w:autoSpaceDE w:val="0"/>
        <w:autoSpaceDN w:val="0"/>
        <w:bidi w:val="0"/>
        <w:adjustRightInd w:val="0"/>
        <w:snapToGrid w:val="0"/>
        <w:spacing w:line="237"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z w:val="24"/>
          <w:szCs w:val="24"/>
          <w:highlight w:val="none"/>
        </w:rPr>
        <w:t>址：</w:t>
      </w:r>
    </w:p>
    <w:p w14:paraId="095F5E1D">
      <w:pPr>
        <w:pStyle w:val="2"/>
        <w:keepNext w:val="0"/>
        <w:keepLines w:val="0"/>
        <w:pageBreakBefore w:val="0"/>
        <w:widowControl/>
        <w:kinsoku w:val="0"/>
        <w:wordWrap/>
        <w:overflowPunct/>
        <w:topLinePunct w:val="0"/>
        <w:autoSpaceDE w:val="0"/>
        <w:autoSpaceDN w:val="0"/>
        <w:bidi w:val="0"/>
        <w:adjustRightInd w:val="0"/>
        <w:snapToGrid w:val="0"/>
        <w:spacing w:before="16" w:line="272" w:lineRule="exact"/>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position w:val="4"/>
          <w:sz w:val="24"/>
          <w:szCs w:val="24"/>
          <w:highlight w:val="none"/>
        </w:rPr>
        <w:t>法定代表人(签字)：</w:t>
      </w:r>
    </w:p>
    <w:p w14:paraId="4D17257C">
      <w:pPr>
        <w:pStyle w:val="2"/>
        <w:keepNext w:val="0"/>
        <w:keepLines w:val="0"/>
        <w:pageBreakBefore w:val="0"/>
        <w:widowControl/>
        <w:kinsoku w:val="0"/>
        <w:wordWrap/>
        <w:overflowPunct/>
        <w:topLinePunct w:val="0"/>
        <w:autoSpaceDE w:val="0"/>
        <w:autoSpaceDN w:val="0"/>
        <w:bidi w:val="0"/>
        <w:adjustRightInd w:val="0"/>
        <w:snapToGrid w:val="0"/>
        <w:spacing w:line="227"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委托代理人(签字)：</w:t>
      </w:r>
    </w:p>
    <w:p w14:paraId="5ECC0E2E">
      <w:pPr>
        <w:pStyle w:val="2"/>
        <w:keepNext w:val="0"/>
        <w:keepLines w:val="0"/>
        <w:pageBreakBefore w:val="0"/>
        <w:widowControl/>
        <w:kinsoku w:val="0"/>
        <w:wordWrap/>
        <w:overflowPunct/>
        <w:topLinePunct w:val="0"/>
        <w:autoSpaceDE w:val="0"/>
        <w:autoSpaceDN w:val="0"/>
        <w:bidi w:val="0"/>
        <w:adjustRightInd w:val="0"/>
        <w:snapToGrid w:val="0"/>
        <w:spacing w:before="27" w:line="230" w:lineRule="auto"/>
        <w:ind w:left="64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电</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8"/>
          <w:sz w:val="24"/>
          <w:szCs w:val="24"/>
          <w:highlight w:val="none"/>
        </w:rPr>
        <w:t>话：</w:t>
      </w:r>
    </w:p>
    <w:p w14:paraId="38E86378">
      <w:pPr>
        <w:pStyle w:val="2"/>
        <w:keepNext w:val="0"/>
        <w:keepLines w:val="0"/>
        <w:pageBreakBefore w:val="0"/>
        <w:widowControl/>
        <w:kinsoku w:val="0"/>
        <w:wordWrap/>
        <w:overflowPunct/>
        <w:topLinePunct w:val="0"/>
        <w:autoSpaceDE w:val="0"/>
        <w:autoSpaceDN w:val="0"/>
        <w:bidi w:val="0"/>
        <w:adjustRightInd w:val="0"/>
        <w:snapToGrid w:val="0"/>
        <w:spacing w:before="22" w:line="227"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z w:val="24"/>
          <w:szCs w:val="24"/>
          <w:highlight w:val="none"/>
        </w:rPr>
        <w:t>真：</w:t>
      </w:r>
    </w:p>
    <w:p w14:paraId="1DB77BA0">
      <w:pPr>
        <w:pStyle w:val="2"/>
        <w:keepNext w:val="0"/>
        <w:keepLines w:val="0"/>
        <w:pageBreakBefore w:val="0"/>
        <w:widowControl/>
        <w:kinsoku w:val="0"/>
        <w:wordWrap/>
        <w:overflowPunct/>
        <w:topLinePunct w:val="0"/>
        <w:autoSpaceDE w:val="0"/>
        <w:autoSpaceDN w:val="0"/>
        <w:bidi w:val="0"/>
        <w:adjustRightInd w:val="0"/>
        <w:snapToGrid w:val="0"/>
        <w:spacing w:before="28" w:line="271" w:lineRule="exact"/>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position w:val="4"/>
          <w:sz w:val="24"/>
          <w:szCs w:val="24"/>
          <w:highlight w:val="none"/>
        </w:rPr>
        <w:t>开户银行：</w:t>
      </w:r>
    </w:p>
    <w:p w14:paraId="7C5C38BD">
      <w:pPr>
        <w:pStyle w:val="2"/>
        <w:keepNext w:val="0"/>
        <w:keepLines w:val="0"/>
        <w:pageBreakBefore w:val="0"/>
        <w:widowControl/>
        <w:kinsoku w:val="0"/>
        <w:wordWrap/>
        <w:overflowPunct/>
        <w:topLinePunct w:val="0"/>
        <w:autoSpaceDE w:val="0"/>
        <w:autoSpaceDN w:val="0"/>
        <w:bidi w:val="0"/>
        <w:adjustRightInd w:val="0"/>
        <w:snapToGrid w:val="0"/>
        <w:spacing w:line="229"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账</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3"/>
          <w:sz w:val="24"/>
          <w:szCs w:val="24"/>
          <w:highlight w:val="none"/>
        </w:rPr>
        <w:t>号：</w:t>
      </w:r>
    </w:p>
    <w:p w14:paraId="133ECB11">
      <w:pPr>
        <w:pStyle w:val="2"/>
        <w:keepNext w:val="0"/>
        <w:keepLines w:val="0"/>
        <w:pageBreakBefore w:val="0"/>
        <w:widowControl/>
        <w:kinsoku w:val="0"/>
        <w:wordWrap/>
        <w:overflowPunct/>
        <w:topLinePunct w:val="0"/>
        <w:autoSpaceDE w:val="0"/>
        <w:autoSpaceDN w:val="0"/>
        <w:bidi w:val="0"/>
        <w:adjustRightInd w:val="0"/>
        <w:snapToGrid w:val="0"/>
        <w:spacing w:before="25" w:line="193" w:lineRule="auto"/>
        <w:ind w:left="64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邮政编码：</w:t>
      </w:r>
    </w:p>
    <w:p w14:paraId="0094AAD6">
      <w:pPr>
        <w:keepNext w:val="0"/>
        <w:keepLines w:val="0"/>
        <w:pageBreakBefore w:val="0"/>
        <w:widowControl/>
        <w:kinsoku w:val="0"/>
        <w:wordWrap/>
        <w:overflowPunct/>
        <w:topLinePunct w:val="0"/>
        <w:autoSpaceDE w:val="0"/>
        <w:autoSpaceDN w:val="0"/>
        <w:bidi w:val="0"/>
        <w:adjustRightInd w:val="0"/>
        <w:snapToGrid w:val="0"/>
        <w:spacing w:line="14" w:lineRule="auto"/>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column"/>
      </w:r>
    </w:p>
    <w:p w14:paraId="5A94E4A1">
      <w:pPr>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仿宋" w:hAnsi="仿宋" w:eastAsia="仿宋" w:cs="仿宋"/>
          <w:color w:val="auto"/>
          <w:sz w:val="24"/>
          <w:szCs w:val="24"/>
          <w:highlight w:val="none"/>
        </w:rPr>
      </w:pPr>
    </w:p>
    <w:p w14:paraId="3C670957">
      <w:pPr>
        <w:pStyle w:val="2"/>
        <w:keepNext w:val="0"/>
        <w:keepLines w:val="0"/>
        <w:pageBreakBefore w:val="0"/>
        <w:widowControl/>
        <w:kinsoku w:val="0"/>
        <w:wordWrap/>
        <w:overflowPunct/>
        <w:topLinePunct w:val="0"/>
        <w:autoSpaceDE w:val="0"/>
        <w:autoSpaceDN w:val="0"/>
        <w:bidi w:val="0"/>
        <w:adjustRightInd w:val="0"/>
        <w:snapToGrid w:val="0"/>
        <w:spacing w:before="65" w:line="272" w:lineRule="exact"/>
        <w:ind w:left="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position w:val="4"/>
          <w:sz w:val="24"/>
          <w:szCs w:val="24"/>
          <w:highlight w:val="none"/>
        </w:rPr>
        <w:t>承包人(公章)：</w:t>
      </w:r>
    </w:p>
    <w:p w14:paraId="10569BB2">
      <w:pPr>
        <w:pStyle w:val="2"/>
        <w:keepNext w:val="0"/>
        <w:keepLines w:val="0"/>
        <w:pageBreakBefore w:val="0"/>
        <w:widowControl/>
        <w:kinsoku w:val="0"/>
        <w:wordWrap/>
        <w:overflowPunct/>
        <w:topLinePunct w:val="0"/>
        <w:autoSpaceDE w:val="0"/>
        <w:autoSpaceDN w:val="0"/>
        <w:bidi w:val="0"/>
        <w:adjustRightInd w:val="0"/>
        <w:snapToGrid w:val="0"/>
        <w:spacing w:line="237" w:lineRule="auto"/>
        <w:ind w:left="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z w:val="24"/>
          <w:szCs w:val="24"/>
          <w:highlight w:val="none"/>
        </w:rPr>
        <w:t>址：</w:t>
      </w:r>
    </w:p>
    <w:p w14:paraId="68819DF7">
      <w:pPr>
        <w:pStyle w:val="2"/>
        <w:keepNext w:val="0"/>
        <w:keepLines w:val="0"/>
        <w:pageBreakBefore w:val="0"/>
        <w:widowControl/>
        <w:kinsoku w:val="0"/>
        <w:wordWrap/>
        <w:overflowPunct/>
        <w:topLinePunct w:val="0"/>
        <w:autoSpaceDE w:val="0"/>
        <w:autoSpaceDN w:val="0"/>
        <w:bidi w:val="0"/>
        <w:adjustRightInd w:val="0"/>
        <w:snapToGrid w:val="0"/>
        <w:spacing w:before="16" w:line="272" w:lineRule="exact"/>
        <w:ind w:left="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position w:val="4"/>
          <w:sz w:val="24"/>
          <w:szCs w:val="24"/>
          <w:highlight w:val="none"/>
        </w:rPr>
        <w:t>法定代表人(签字)：</w:t>
      </w:r>
    </w:p>
    <w:p w14:paraId="400C7EDE">
      <w:pPr>
        <w:pStyle w:val="2"/>
        <w:keepNext w:val="0"/>
        <w:keepLines w:val="0"/>
        <w:pageBreakBefore w:val="0"/>
        <w:widowControl/>
        <w:kinsoku w:val="0"/>
        <w:wordWrap/>
        <w:overflowPunct/>
        <w:topLinePunct w:val="0"/>
        <w:autoSpaceDE w:val="0"/>
        <w:autoSpaceDN w:val="0"/>
        <w:bidi w:val="0"/>
        <w:adjustRightInd w:val="0"/>
        <w:snapToGrid w:val="0"/>
        <w:spacing w:line="227" w:lineRule="auto"/>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委托代理人(签字)：</w:t>
      </w:r>
    </w:p>
    <w:p w14:paraId="2B292543">
      <w:pPr>
        <w:pStyle w:val="2"/>
        <w:keepNext w:val="0"/>
        <w:keepLines w:val="0"/>
        <w:pageBreakBefore w:val="0"/>
        <w:widowControl/>
        <w:kinsoku w:val="0"/>
        <w:wordWrap/>
        <w:overflowPunct/>
        <w:topLinePunct w:val="0"/>
        <w:autoSpaceDE w:val="0"/>
        <w:autoSpaceDN w:val="0"/>
        <w:bidi w:val="0"/>
        <w:adjustRightInd w:val="0"/>
        <w:snapToGrid w:val="0"/>
        <w:spacing w:before="27" w:line="230"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电</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8"/>
          <w:sz w:val="24"/>
          <w:szCs w:val="24"/>
          <w:highlight w:val="none"/>
        </w:rPr>
        <w:t>话：</w:t>
      </w:r>
    </w:p>
    <w:p w14:paraId="6D8B116F">
      <w:pPr>
        <w:pStyle w:val="2"/>
        <w:keepNext w:val="0"/>
        <w:keepLines w:val="0"/>
        <w:pageBreakBefore w:val="0"/>
        <w:widowControl/>
        <w:kinsoku w:val="0"/>
        <w:wordWrap/>
        <w:overflowPunct/>
        <w:topLinePunct w:val="0"/>
        <w:autoSpaceDE w:val="0"/>
        <w:autoSpaceDN w:val="0"/>
        <w:bidi w:val="0"/>
        <w:adjustRightInd w:val="0"/>
        <w:snapToGrid w:val="0"/>
        <w:spacing w:before="22" w:line="227" w:lineRule="auto"/>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z w:val="24"/>
          <w:szCs w:val="24"/>
          <w:highlight w:val="none"/>
        </w:rPr>
        <w:t>真：</w:t>
      </w:r>
    </w:p>
    <w:p w14:paraId="322F67A0">
      <w:pPr>
        <w:pStyle w:val="2"/>
        <w:keepNext w:val="0"/>
        <w:keepLines w:val="0"/>
        <w:pageBreakBefore w:val="0"/>
        <w:widowControl/>
        <w:kinsoku w:val="0"/>
        <w:wordWrap/>
        <w:overflowPunct/>
        <w:topLinePunct w:val="0"/>
        <w:autoSpaceDE w:val="0"/>
        <w:autoSpaceDN w:val="0"/>
        <w:bidi w:val="0"/>
        <w:adjustRightInd w:val="0"/>
        <w:snapToGrid w:val="0"/>
        <w:spacing w:before="28" w:line="271" w:lineRule="exact"/>
        <w:ind w:left="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position w:val="4"/>
          <w:sz w:val="24"/>
          <w:szCs w:val="24"/>
          <w:highlight w:val="none"/>
        </w:rPr>
        <w:t>开户银行：</w:t>
      </w:r>
    </w:p>
    <w:p w14:paraId="67569FBB">
      <w:pPr>
        <w:pStyle w:val="2"/>
        <w:keepNext w:val="0"/>
        <w:keepLines w:val="0"/>
        <w:pageBreakBefore w:val="0"/>
        <w:widowControl/>
        <w:kinsoku w:val="0"/>
        <w:wordWrap/>
        <w:overflowPunct/>
        <w:topLinePunct w:val="0"/>
        <w:autoSpaceDE w:val="0"/>
        <w:autoSpaceDN w:val="0"/>
        <w:bidi w:val="0"/>
        <w:adjustRightInd w:val="0"/>
        <w:snapToGrid w:val="0"/>
        <w:spacing w:line="229" w:lineRule="auto"/>
        <w:ind w:left="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账</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3"/>
          <w:sz w:val="24"/>
          <w:szCs w:val="24"/>
          <w:highlight w:val="none"/>
        </w:rPr>
        <w:t>号：</w:t>
      </w:r>
    </w:p>
    <w:p w14:paraId="7056C480">
      <w:pPr>
        <w:pStyle w:val="2"/>
        <w:keepNext w:val="0"/>
        <w:keepLines w:val="0"/>
        <w:pageBreakBefore w:val="0"/>
        <w:widowControl/>
        <w:kinsoku w:val="0"/>
        <w:wordWrap/>
        <w:overflowPunct/>
        <w:topLinePunct w:val="0"/>
        <w:autoSpaceDE w:val="0"/>
        <w:autoSpaceDN w:val="0"/>
        <w:bidi w:val="0"/>
        <w:adjustRightInd w:val="0"/>
        <w:snapToGrid w:val="0"/>
        <w:spacing w:before="25" w:line="193" w:lineRule="auto"/>
        <w:ind w:left="1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邮政编码：</w:t>
      </w:r>
    </w:p>
    <w:p w14:paraId="324BB6AD">
      <w:pPr>
        <w:keepNext w:val="0"/>
        <w:keepLines w:val="0"/>
        <w:pageBreakBefore w:val="0"/>
        <w:widowControl/>
        <w:kinsoku w:val="0"/>
        <w:wordWrap/>
        <w:overflowPunct/>
        <w:topLinePunct w:val="0"/>
        <w:autoSpaceDE w:val="0"/>
        <w:autoSpaceDN w:val="0"/>
        <w:bidi w:val="0"/>
        <w:adjustRightInd w:val="0"/>
        <w:snapToGrid w:val="0"/>
        <w:spacing w:line="193" w:lineRule="auto"/>
        <w:textAlignment w:val="baseline"/>
        <w:outlineLvl w:val="9"/>
        <w:rPr>
          <w:rFonts w:hint="eastAsia" w:ascii="仿宋" w:hAnsi="仿宋" w:eastAsia="仿宋" w:cs="仿宋"/>
          <w:color w:val="auto"/>
          <w:sz w:val="24"/>
          <w:szCs w:val="24"/>
          <w:highlight w:val="none"/>
        </w:rPr>
        <w:sectPr>
          <w:type w:val="continuous"/>
          <w:pgSz w:w="11906" w:h="16839"/>
          <w:pgMar w:top="1431" w:right="1733" w:bottom="1171" w:left="1785" w:header="0" w:footer="992" w:gutter="0"/>
          <w:pgNumType w:fmt="decimal"/>
          <w:cols w:equalWidth="0" w:num="2">
            <w:col w:w="3569" w:space="100"/>
            <w:col w:w="4719"/>
          </w:cols>
        </w:sectPr>
      </w:pPr>
    </w:p>
    <w:p w14:paraId="0856D469">
      <w:pPr>
        <w:pStyle w:val="2"/>
        <w:keepNext w:val="0"/>
        <w:keepLines w:val="0"/>
        <w:pageBreakBefore w:val="0"/>
        <w:widowControl/>
        <w:kinsoku w:val="0"/>
        <w:wordWrap/>
        <w:overflowPunct/>
        <w:topLinePunct w:val="0"/>
        <w:autoSpaceDE w:val="0"/>
        <w:autoSpaceDN w:val="0"/>
        <w:bidi w:val="0"/>
        <w:adjustRightInd w:val="0"/>
        <w:snapToGrid w:val="0"/>
        <w:spacing w:before="41" w:line="209" w:lineRule="auto"/>
        <w:ind w:left="327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66432" behindDoc="0" locked="0" layoutInCell="0" allowOverlap="1">
                <wp:simplePos x="0" y="0"/>
                <wp:positionH relativeFrom="page">
                  <wp:posOffset>903605</wp:posOffset>
                </wp:positionH>
                <wp:positionV relativeFrom="page">
                  <wp:posOffset>4880610</wp:posOffset>
                </wp:positionV>
                <wp:extent cx="5752465" cy="9525"/>
                <wp:effectExtent l="0" t="0" r="0" b="0"/>
                <wp:wrapNone/>
                <wp:docPr id="18" name="矩形 18"/>
                <wp:cNvGraphicFramePr/>
                <a:graphic xmlns:a="http://schemas.openxmlformats.org/drawingml/2006/main">
                  <a:graphicData uri="http://schemas.microsoft.com/office/word/2010/wordprocessingShape">
                    <wps:wsp>
                      <wps:cNvSpPr/>
                      <wps:spPr>
                        <a:xfrm>
                          <a:off x="0" y="0"/>
                          <a:ext cx="5752465"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71.15pt;margin-top:384.3pt;height:0.75pt;width:452.95pt;mso-position-horizontal-relative:page;mso-position-vertical-relative:page;z-index:251666432;mso-width-relative:page;mso-height-relative:page;" fillcolor="#000000" filled="t" stroked="f" coordsize="21600,21600" o:allowincell="f" o:gfxdata="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OkN&#10;HtoAAAAMAQAADwAAAAAAAAABACAAAAAiAAAAZHJzL2Rvd25yZXYueG1sUEsBAhQAFAAAAAgAh07i&#10;QDXCOsOuAQAAXwMAAA4AAAAAAAAAAQAgAAAAKQEAAGRycy9lMm9Eb2MueG1sUEsFBgAAAAAGAAYA&#10;WQEAAEkFAAAAAA==&#10;">
                <v:fill on="t" focussize="0,0"/>
                <v:stroke on="f"/>
                <v:imagedata o:title=""/>
                <o:lock v:ext="edit" aspectratio="f"/>
              </v:rect>
            </w:pict>
          </mc:Fallback>
        </mc:AlternateContent>
      </w:r>
      <w:r>
        <w:rPr>
          <w:rFonts w:hint="eastAsia" w:ascii="仿宋" w:hAnsi="仿宋" w:eastAsia="仿宋" w:cs="仿宋"/>
          <w:b/>
          <w:bCs/>
          <w:color w:val="auto"/>
          <w:spacing w:val="6"/>
          <w:sz w:val="24"/>
          <w:szCs w:val="24"/>
          <w:highlight w:val="none"/>
        </w:rPr>
        <w:t>附件4</w:t>
      </w:r>
      <w:r>
        <w:rPr>
          <w:rFonts w:hint="eastAsia" w:ascii="仿宋" w:hAnsi="仿宋" w:eastAsia="仿宋" w:cs="仿宋"/>
          <w:color w:val="auto"/>
          <w:spacing w:val="6"/>
          <w:sz w:val="24"/>
          <w:szCs w:val="24"/>
          <w:highlight w:val="none"/>
        </w:rPr>
        <w:t xml:space="preserve"> </w:t>
      </w:r>
      <w:r>
        <w:rPr>
          <w:rFonts w:hint="eastAsia" w:ascii="仿宋" w:hAnsi="仿宋" w:eastAsia="仿宋" w:cs="仿宋"/>
          <w:b/>
          <w:bCs/>
          <w:color w:val="auto"/>
          <w:spacing w:val="6"/>
          <w:sz w:val="24"/>
          <w:szCs w:val="24"/>
          <w:highlight w:val="none"/>
        </w:rPr>
        <w:t>主要建设工程文件目录</w:t>
      </w:r>
    </w:p>
    <w:tbl>
      <w:tblPr>
        <w:tblStyle w:val="26"/>
        <w:tblW w:w="921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3"/>
        <w:gridCol w:w="1272"/>
        <w:gridCol w:w="1446"/>
        <w:gridCol w:w="1240"/>
        <w:gridCol w:w="1446"/>
        <w:gridCol w:w="1680"/>
      </w:tblGrid>
      <w:tr w14:paraId="072BA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2133" w:type="dxa"/>
            <w:tcBorders>
              <w:top w:val="single" w:color="000000" w:sz="10" w:space="0"/>
              <w:left w:val="single" w:color="000000" w:sz="10" w:space="0"/>
              <w:right w:val="single" w:color="000000" w:sz="4" w:space="0"/>
            </w:tcBorders>
            <w:vAlign w:val="top"/>
          </w:tcPr>
          <w:p w14:paraId="15976763">
            <w:pPr>
              <w:pStyle w:val="28"/>
              <w:keepNext w:val="0"/>
              <w:keepLines w:val="0"/>
              <w:pageBreakBefore w:val="0"/>
              <w:widowControl/>
              <w:kinsoku w:val="0"/>
              <w:wordWrap/>
              <w:overflowPunct/>
              <w:topLinePunct w:val="0"/>
              <w:autoSpaceDE w:val="0"/>
              <w:autoSpaceDN w:val="0"/>
              <w:bidi w:val="0"/>
              <w:adjustRightInd w:val="0"/>
              <w:snapToGrid w:val="0"/>
              <w:spacing w:before="136" w:line="205" w:lineRule="auto"/>
              <w:ind w:left="64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文件名称</w:t>
            </w:r>
          </w:p>
        </w:tc>
        <w:tc>
          <w:tcPr>
            <w:tcW w:w="1272" w:type="dxa"/>
            <w:tcBorders>
              <w:top w:val="single" w:color="000000" w:sz="10" w:space="0"/>
              <w:left w:val="single" w:color="000000" w:sz="4" w:space="0"/>
              <w:right w:val="single" w:color="000000" w:sz="4" w:space="0"/>
            </w:tcBorders>
            <w:vAlign w:val="top"/>
          </w:tcPr>
          <w:p w14:paraId="653F8B77">
            <w:pPr>
              <w:pStyle w:val="28"/>
              <w:keepNext w:val="0"/>
              <w:keepLines w:val="0"/>
              <w:pageBreakBefore w:val="0"/>
              <w:widowControl/>
              <w:kinsoku w:val="0"/>
              <w:wordWrap/>
              <w:overflowPunct/>
              <w:topLinePunct w:val="0"/>
              <w:autoSpaceDE w:val="0"/>
              <w:autoSpaceDN w:val="0"/>
              <w:bidi w:val="0"/>
              <w:adjustRightInd w:val="0"/>
              <w:snapToGrid w:val="0"/>
              <w:spacing w:before="136" w:line="205" w:lineRule="auto"/>
              <w:ind w:left="4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套数</w:t>
            </w:r>
          </w:p>
        </w:tc>
        <w:tc>
          <w:tcPr>
            <w:tcW w:w="1446" w:type="dxa"/>
            <w:tcBorders>
              <w:top w:val="single" w:color="000000" w:sz="10" w:space="0"/>
              <w:left w:val="single" w:color="000000" w:sz="4" w:space="0"/>
              <w:right w:val="single" w:color="000000" w:sz="4" w:space="0"/>
            </w:tcBorders>
            <w:vAlign w:val="top"/>
          </w:tcPr>
          <w:p w14:paraId="1DD2BF49">
            <w:pPr>
              <w:pStyle w:val="28"/>
              <w:keepNext w:val="0"/>
              <w:keepLines w:val="0"/>
              <w:pageBreakBefore w:val="0"/>
              <w:widowControl/>
              <w:kinsoku w:val="0"/>
              <w:wordWrap/>
              <w:overflowPunct/>
              <w:topLinePunct w:val="0"/>
              <w:autoSpaceDE w:val="0"/>
              <w:autoSpaceDN w:val="0"/>
              <w:bidi w:val="0"/>
              <w:adjustRightInd w:val="0"/>
              <w:snapToGrid w:val="0"/>
              <w:spacing w:before="136" w:line="205" w:lineRule="auto"/>
              <w:ind w:left="2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费用（元）</w:t>
            </w:r>
          </w:p>
        </w:tc>
        <w:tc>
          <w:tcPr>
            <w:tcW w:w="1240" w:type="dxa"/>
            <w:tcBorders>
              <w:top w:val="single" w:color="000000" w:sz="10" w:space="0"/>
              <w:left w:val="single" w:color="000000" w:sz="4" w:space="0"/>
              <w:right w:val="single" w:color="000000" w:sz="4" w:space="0"/>
            </w:tcBorders>
            <w:vAlign w:val="top"/>
          </w:tcPr>
          <w:p w14:paraId="7DD48B99">
            <w:pPr>
              <w:pStyle w:val="28"/>
              <w:keepNext w:val="0"/>
              <w:keepLines w:val="0"/>
              <w:pageBreakBefore w:val="0"/>
              <w:widowControl/>
              <w:kinsoku w:val="0"/>
              <w:wordWrap/>
              <w:overflowPunct/>
              <w:topLinePunct w:val="0"/>
              <w:autoSpaceDE w:val="0"/>
              <w:autoSpaceDN w:val="0"/>
              <w:bidi w:val="0"/>
              <w:adjustRightInd w:val="0"/>
              <w:snapToGrid w:val="0"/>
              <w:spacing w:before="136" w:line="205" w:lineRule="auto"/>
              <w:ind w:left="4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质量</w:t>
            </w:r>
          </w:p>
        </w:tc>
        <w:tc>
          <w:tcPr>
            <w:tcW w:w="1446" w:type="dxa"/>
            <w:tcBorders>
              <w:top w:val="single" w:color="000000" w:sz="10" w:space="0"/>
              <w:left w:val="single" w:color="000000" w:sz="4" w:space="0"/>
              <w:right w:val="single" w:color="000000" w:sz="4" w:space="0"/>
            </w:tcBorders>
            <w:vAlign w:val="top"/>
          </w:tcPr>
          <w:p w14:paraId="3B09F7B0">
            <w:pPr>
              <w:pStyle w:val="28"/>
              <w:keepNext w:val="0"/>
              <w:keepLines w:val="0"/>
              <w:pageBreakBefore w:val="0"/>
              <w:widowControl/>
              <w:kinsoku w:val="0"/>
              <w:wordWrap/>
              <w:overflowPunct/>
              <w:topLinePunct w:val="0"/>
              <w:autoSpaceDE w:val="0"/>
              <w:autoSpaceDN w:val="0"/>
              <w:bidi w:val="0"/>
              <w:adjustRightInd w:val="0"/>
              <w:snapToGrid w:val="0"/>
              <w:spacing w:before="17" w:line="229" w:lineRule="auto"/>
              <w:ind w:left="31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移交时间</w:t>
            </w:r>
          </w:p>
        </w:tc>
        <w:tc>
          <w:tcPr>
            <w:tcW w:w="1680" w:type="dxa"/>
            <w:tcBorders>
              <w:top w:val="single" w:color="000000" w:sz="10" w:space="0"/>
              <w:left w:val="single" w:color="000000" w:sz="4" w:space="0"/>
              <w:right w:val="single" w:color="000000" w:sz="10" w:space="0"/>
            </w:tcBorders>
            <w:vAlign w:val="top"/>
          </w:tcPr>
          <w:p w14:paraId="15EA535B">
            <w:pPr>
              <w:pStyle w:val="28"/>
              <w:keepNext w:val="0"/>
              <w:keepLines w:val="0"/>
              <w:pageBreakBefore w:val="0"/>
              <w:widowControl/>
              <w:kinsoku w:val="0"/>
              <w:wordWrap/>
              <w:overflowPunct/>
              <w:topLinePunct w:val="0"/>
              <w:autoSpaceDE w:val="0"/>
              <w:autoSpaceDN w:val="0"/>
              <w:bidi w:val="0"/>
              <w:adjustRightInd w:val="0"/>
              <w:snapToGrid w:val="0"/>
              <w:spacing w:before="16" w:line="228" w:lineRule="auto"/>
              <w:ind w:left="53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责任人</w:t>
            </w:r>
          </w:p>
        </w:tc>
      </w:tr>
      <w:tr w14:paraId="10D5A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33" w:type="dxa"/>
            <w:vAlign w:val="top"/>
          </w:tcPr>
          <w:p w14:paraId="088BB39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2" w:type="dxa"/>
            <w:vAlign w:val="top"/>
          </w:tcPr>
          <w:p w14:paraId="42366A7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46" w:type="dxa"/>
            <w:vAlign w:val="top"/>
          </w:tcPr>
          <w:p w14:paraId="2FC0B7E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40" w:type="dxa"/>
            <w:vAlign w:val="top"/>
          </w:tcPr>
          <w:p w14:paraId="420A9D9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46" w:type="dxa"/>
            <w:vAlign w:val="top"/>
          </w:tcPr>
          <w:p w14:paraId="53D7FE5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680" w:type="dxa"/>
            <w:vAlign w:val="top"/>
          </w:tcPr>
          <w:p w14:paraId="6AE43B3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0B2CC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33" w:type="dxa"/>
            <w:vAlign w:val="top"/>
          </w:tcPr>
          <w:p w14:paraId="2D6A139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2" w:type="dxa"/>
            <w:vAlign w:val="top"/>
          </w:tcPr>
          <w:p w14:paraId="4CF53DB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46" w:type="dxa"/>
            <w:vAlign w:val="top"/>
          </w:tcPr>
          <w:p w14:paraId="61E82B8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40" w:type="dxa"/>
            <w:vAlign w:val="top"/>
          </w:tcPr>
          <w:p w14:paraId="754587F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46" w:type="dxa"/>
            <w:vAlign w:val="top"/>
          </w:tcPr>
          <w:p w14:paraId="4C3C4DC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680" w:type="dxa"/>
            <w:vAlign w:val="top"/>
          </w:tcPr>
          <w:p w14:paraId="0079B6A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528B5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133" w:type="dxa"/>
            <w:vAlign w:val="top"/>
          </w:tcPr>
          <w:p w14:paraId="2CE4535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2" w:type="dxa"/>
            <w:vAlign w:val="top"/>
          </w:tcPr>
          <w:p w14:paraId="2B2B90A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46" w:type="dxa"/>
            <w:vAlign w:val="top"/>
          </w:tcPr>
          <w:p w14:paraId="6C6507B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40" w:type="dxa"/>
            <w:vAlign w:val="top"/>
          </w:tcPr>
          <w:p w14:paraId="7FFAD69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46" w:type="dxa"/>
            <w:vAlign w:val="top"/>
          </w:tcPr>
          <w:p w14:paraId="41B9C67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680" w:type="dxa"/>
            <w:vAlign w:val="top"/>
          </w:tcPr>
          <w:p w14:paraId="237546A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35EF8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33" w:type="dxa"/>
            <w:vAlign w:val="top"/>
          </w:tcPr>
          <w:p w14:paraId="646269D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2" w:type="dxa"/>
            <w:vAlign w:val="top"/>
          </w:tcPr>
          <w:p w14:paraId="3CECEA0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46" w:type="dxa"/>
            <w:vAlign w:val="top"/>
          </w:tcPr>
          <w:p w14:paraId="3979148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40" w:type="dxa"/>
            <w:vAlign w:val="top"/>
          </w:tcPr>
          <w:p w14:paraId="41C646E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46" w:type="dxa"/>
            <w:vAlign w:val="top"/>
          </w:tcPr>
          <w:p w14:paraId="6CD5BE9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680" w:type="dxa"/>
            <w:vAlign w:val="top"/>
          </w:tcPr>
          <w:p w14:paraId="0FD5CA2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95F3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33" w:type="dxa"/>
            <w:vAlign w:val="top"/>
          </w:tcPr>
          <w:p w14:paraId="60BC037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2" w:type="dxa"/>
            <w:vAlign w:val="top"/>
          </w:tcPr>
          <w:p w14:paraId="62E2E0D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46" w:type="dxa"/>
            <w:vAlign w:val="top"/>
          </w:tcPr>
          <w:p w14:paraId="03222BD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40" w:type="dxa"/>
            <w:vAlign w:val="top"/>
          </w:tcPr>
          <w:p w14:paraId="7AE2740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46" w:type="dxa"/>
            <w:vAlign w:val="top"/>
          </w:tcPr>
          <w:p w14:paraId="6227972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680" w:type="dxa"/>
            <w:vAlign w:val="top"/>
          </w:tcPr>
          <w:p w14:paraId="786B5AD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1E28E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133" w:type="dxa"/>
            <w:vAlign w:val="top"/>
          </w:tcPr>
          <w:p w14:paraId="066A848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2" w:type="dxa"/>
            <w:vAlign w:val="top"/>
          </w:tcPr>
          <w:p w14:paraId="0D60936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46" w:type="dxa"/>
            <w:vAlign w:val="top"/>
          </w:tcPr>
          <w:p w14:paraId="7608A3C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40" w:type="dxa"/>
            <w:vAlign w:val="top"/>
          </w:tcPr>
          <w:p w14:paraId="75A7D68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46" w:type="dxa"/>
            <w:vAlign w:val="top"/>
          </w:tcPr>
          <w:p w14:paraId="62EE881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680" w:type="dxa"/>
            <w:vAlign w:val="top"/>
          </w:tcPr>
          <w:p w14:paraId="268780A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66057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133" w:type="dxa"/>
            <w:vAlign w:val="top"/>
          </w:tcPr>
          <w:p w14:paraId="35FE658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2" w:type="dxa"/>
            <w:vAlign w:val="top"/>
          </w:tcPr>
          <w:p w14:paraId="7425244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46" w:type="dxa"/>
            <w:vAlign w:val="top"/>
          </w:tcPr>
          <w:p w14:paraId="7F762F0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40" w:type="dxa"/>
            <w:vAlign w:val="top"/>
          </w:tcPr>
          <w:p w14:paraId="6039FF1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46" w:type="dxa"/>
            <w:vAlign w:val="top"/>
          </w:tcPr>
          <w:p w14:paraId="35BA10F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680" w:type="dxa"/>
            <w:vAlign w:val="top"/>
          </w:tcPr>
          <w:p w14:paraId="025682C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665C0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133" w:type="dxa"/>
            <w:vAlign w:val="top"/>
          </w:tcPr>
          <w:p w14:paraId="34C2D51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2" w:type="dxa"/>
            <w:vAlign w:val="top"/>
          </w:tcPr>
          <w:p w14:paraId="7AB64CD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46" w:type="dxa"/>
            <w:vAlign w:val="top"/>
          </w:tcPr>
          <w:p w14:paraId="3AD272E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40" w:type="dxa"/>
            <w:vAlign w:val="top"/>
          </w:tcPr>
          <w:p w14:paraId="1FC2E5E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46" w:type="dxa"/>
            <w:vAlign w:val="top"/>
          </w:tcPr>
          <w:p w14:paraId="666167E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680" w:type="dxa"/>
            <w:vAlign w:val="top"/>
          </w:tcPr>
          <w:p w14:paraId="5A641A2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bl>
    <w:p w14:paraId="18D76045">
      <w:pPr>
        <w:keepNext w:val="0"/>
        <w:keepLines w:val="0"/>
        <w:pageBreakBefore w:val="0"/>
        <w:widowControl/>
        <w:kinsoku w:val="0"/>
        <w:wordWrap/>
        <w:overflowPunct/>
        <w:topLinePunct w:val="0"/>
        <w:autoSpaceDE w:val="0"/>
        <w:autoSpaceDN w:val="0"/>
        <w:bidi w:val="0"/>
        <w:adjustRightInd w:val="0"/>
        <w:snapToGrid w:val="0"/>
        <w:spacing w:line="307" w:lineRule="auto"/>
        <w:textAlignment w:val="baseline"/>
        <w:outlineLvl w:val="9"/>
        <w:rPr>
          <w:rFonts w:hint="eastAsia" w:ascii="仿宋" w:hAnsi="仿宋" w:eastAsia="仿宋" w:cs="仿宋"/>
          <w:color w:val="auto"/>
          <w:sz w:val="24"/>
          <w:szCs w:val="24"/>
          <w:highlight w:val="none"/>
        </w:rPr>
      </w:pPr>
    </w:p>
    <w:p w14:paraId="31F93DC1">
      <w:pPr>
        <w:pStyle w:val="2"/>
        <w:keepNext w:val="0"/>
        <w:keepLines w:val="0"/>
        <w:pageBreakBefore w:val="0"/>
        <w:widowControl/>
        <w:kinsoku w:val="0"/>
        <w:wordWrap/>
        <w:overflowPunct/>
        <w:topLinePunct w:val="0"/>
        <w:autoSpaceDE w:val="0"/>
        <w:autoSpaceDN w:val="0"/>
        <w:bidi w:val="0"/>
        <w:adjustRightInd w:val="0"/>
        <w:snapToGrid w:val="0"/>
        <w:spacing w:before="65" w:line="209" w:lineRule="auto"/>
        <w:ind w:left="49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6"/>
          <w:sz w:val="24"/>
          <w:szCs w:val="24"/>
          <w:highlight w:val="none"/>
        </w:rPr>
        <w:t>附件5</w:t>
      </w:r>
      <w:r>
        <w:rPr>
          <w:rFonts w:hint="eastAsia" w:ascii="仿宋" w:hAnsi="仿宋" w:eastAsia="仿宋" w:cs="仿宋"/>
          <w:color w:val="auto"/>
          <w:spacing w:val="6"/>
          <w:sz w:val="24"/>
          <w:szCs w:val="24"/>
          <w:highlight w:val="none"/>
        </w:rPr>
        <w:t xml:space="preserve"> </w:t>
      </w:r>
      <w:r>
        <w:rPr>
          <w:rFonts w:hint="eastAsia" w:ascii="仿宋" w:hAnsi="仿宋" w:eastAsia="仿宋" w:cs="仿宋"/>
          <w:b/>
          <w:bCs/>
          <w:color w:val="auto"/>
          <w:spacing w:val="6"/>
          <w:sz w:val="24"/>
          <w:szCs w:val="24"/>
          <w:highlight w:val="none"/>
        </w:rPr>
        <w:t>承包人主要管理人员表</w:t>
      </w:r>
    </w:p>
    <w:tbl>
      <w:tblPr>
        <w:tblStyle w:val="26"/>
        <w:tblW w:w="9090" w:type="dxa"/>
        <w:tblInd w:w="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5"/>
        <w:gridCol w:w="1414"/>
        <w:gridCol w:w="1131"/>
        <w:gridCol w:w="1131"/>
        <w:gridCol w:w="3899"/>
      </w:tblGrid>
      <w:tr w14:paraId="61418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515" w:type="dxa"/>
            <w:tcBorders>
              <w:top w:val="single" w:color="000000" w:sz="10" w:space="0"/>
              <w:left w:val="single" w:color="000000" w:sz="10" w:space="0"/>
            </w:tcBorders>
            <w:vAlign w:val="top"/>
          </w:tcPr>
          <w:p w14:paraId="71F63F7F">
            <w:pPr>
              <w:pStyle w:val="28"/>
              <w:keepNext w:val="0"/>
              <w:keepLines w:val="0"/>
              <w:pageBreakBefore w:val="0"/>
              <w:widowControl/>
              <w:kinsoku w:val="0"/>
              <w:wordWrap/>
              <w:overflowPunct/>
              <w:topLinePunct w:val="0"/>
              <w:autoSpaceDE w:val="0"/>
              <w:autoSpaceDN w:val="0"/>
              <w:bidi w:val="0"/>
              <w:adjustRightInd w:val="0"/>
              <w:snapToGrid w:val="0"/>
              <w:spacing w:before="137" w:line="230" w:lineRule="auto"/>
              <w:ind w:left="44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z w:val="24"/>
                <w:szCs w:val="24"/>
                <w:highlight w:val="none"/>
              </w:rPr>
              <w:t>称</w:t>
            </w:r>
          </w:p>
        </w:tc>
        <w:tc>
          <w:tcPr>
            <w:tcW w:w="1414" w:type="dxa"/>
            <w:tcBorders>
              <w:top w:val="single" w:color="000000" w:sz="10" w:space="0"/>
            </w:tcBorders>
            <w:vAlign w:val="top"/>
          </w:tcPr>
          <w:p w14:paraId="6FA2D30F">
            <w:pPr>
              <w:pStyle w:val="28"/>
              <w:keepNext w:val="0"/>
              <w:keepLines w:val="0"/>
              <w:pageBreakBefore w:val="0"/>
              <w:widowControl/>
              <w:kinsoku w:val="0"/>
              <w:wordWrap/>
              <w:overflowPunct/>
              <w:topLinePunct w:val="0"/>
              <w:autoSpaceDE w:val="0"/>
              <w:autoSpaceDN w:val="0"/>
              <w:bidi w:val="0"/>
              <w:adjustRightInd w:val="0"/>
              <w:snapToGrid w:val="0"/>
              <w:spacing w:before="136" w:line="228" w:lineRule="auto"/>
              <w:ind w:left="44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姓名</w:t>
            </w:r>
          </w:p>
        </w:tc>
        <w:tc>
          <w:tcPr>
            <w:tcW w:w="1131" w:type="dxa"/>
            <w:tcBorders>
              <w:top w:val="single" w:color="000000" w:sz="10" w:space="0"/>
            </w:tcBorders>
            <w:vAlign w:val="top"/>
          </w:tcPr>
          <w:p w14:paraId="3E9365D1">
            <w:pPr>
              <w:pStyle w:val="28"/>
              <w:keepNext w:val="0"/>
              <w:keepLines w:val="0"/>
              <w:pageBreakBefore w:val="0"/>
              <w:widowControl/>
              <w:kinsoku w:val="0"/>
              <w:wordWrap/>
              <w:overflowPunct/>
              <w:topLinePunct w:val="0"/>
              <w:autoSpaceDE w:val="0"/>
              <w:autoSpaceDN w:val="0"/>
              <w:bidi w:val="0"/>
              <w:adjustRightInd w:val="0"/>
              <w:snapToGrid w:val="0"/>
              <w:spacing w:before="136" w:line="228" w:lineRule="auto"/>
              <w:ind w:left="44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职务</w:t>
            </w:r>
          </w:p>
        </w:tc>
        <w:tc>
          <w:tcPr>
            <w:tcW w:w="1131" w:type="dxa"/>
            <w:tcBorders>
              <w:top w:val="single" w:color="000000" w:sz="10" w:space="0"/>
            </w:tcBorders>
            <w:vAlign w:val="top"/>
          </w:tcPr>
          <w:p w14:paraId="0EBF33D9">
            <w:pPr>
              <w:pStyle w:val="28"/>
              <w:keepNext w:val="0"/>
              <w:keepLines w:val="0"/>
              <w:pageBreakBefore w:val="0"/>
              <w:widowControl/>
              <w:kinsoku w:val="0"/>
              <w:wordWrap/>
              <w:overflowPunct/>
              <w:topLinePunct w:val="0"/>
              <w:autoSpaceDE w:val="0"/>
              <w:autoSpaceDN w:val="0"/>
              <w:bidi w:val="0"/>
              <w:adjustRightInd w:val="0"/>
              <w:snapToGrid w:val="0"/>
              <w:spacing w:before="137" w:line="230" w:lineRule="auto"/>
              <w:ind w:left="45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职称</w:t>
            </w:r>
          </w:p>
        </w:tc>
        <w:tc>
          <w:tcPr>
            <w:tcW w:w="3899" w:type="dxa"/>
            <w:tcBorders>
              <w:top w:val="single" w:color="000000" w:sz="10" w:space="0"/>
              <w:right w:val="single" w:color="000000" w:sz="10" w:space="0"/>
            </w:tcBorders>
            <w:vAlign w:val="top"/>
          </w:tcPr>
          <w:p w14:paraId="1174D88A">
            <w:pPr>
              <w:pStyle w:val="28"/>
              <w:keepNext w:val="0"/>
              <w:keepLines w:val="0"/>
              <w:pageBreakBefore w:val="0"/>
              <w:widowControl/>
              <w:kinsoku w:val="0"/>
              <w:wordWrap/>
              <w:overflowPunct/>
              <w:topLinePunct w:val="0"/>
              <w:autoSpaceDE w:val="0"/>
              <w:autoSpaceDN w:val="0"/>
              <w:bidi w:val="0"/>
              <w:adjustRightInd w:val="0"/>
              <w:snapToGrid w:val="0"/>
              <w:spacing w:before="136" w:line="228" w:lineRule="auto"/>
              <w:ind w:left="45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主要资历、经验及承担过的项目</w:t>
            </w:r>
          </w:p>
        </w:tc>
      </w:tr>
      <w:tr w14:paraId="4ED17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9090" w:type="dxa"/>
            <w:gridSpan w:val="5"/>
            <w:tcBorders>
              <w:left w:val="single" w:color="000000" w:sz="10" w:space="0"/>
              <w:right w:val="single" w:color="000000" w:sz="10" w:space="0"/>
            </w:tcBorders>
            <w:vAlign w:val="top"/>
          </w:tcPr>
          <w:p w14:paraId="3BD0FC93">
            <w:pPr>
              <w:pStyle w:val="28"/>
              <w:keepNext w:val="0"/>
              <w:keepLines w:val="0"/>
              <w:pageBreakBefore w:val="0"/>
              <w:widowControl/>
              <w:kinsoku w:val="0"/>
              <w:wordWrap/>
              <w:overflowPunct/>
              <w:topLinePunct w:val="0"/>
              <w:autoSpaceDE w:val="0"/>
              <w:autoSpaceDN w:val="0"/>
              <w:bidi w:val="0"/>
              <w:adjustRightInd w:val="0"/>
              <w:snapToGrid w:val="0"/>
              <w:spacing w:before="133" w:line="204" w:lineRule="auto"/>
              <w:ind w:left="44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一、总部人员</w:t>
            </w:r>
          </w:p>
        </w:tc>
      </w:tr>
      <w:tr w14:paraId="1254A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vAlign w:val="top"/>
          </w:tcPr>
          <w:p w14:paraId="61028312">
            <w:pPr>
              <w:pStyle w:val="28"/>
              <w:keepNext w:val="0"/>
              <w:keepLines w:val="0"/>
              <w:pageBreakBefore w:val="0"/>
              <w:widowControl/>
              <w:kinsoku w:val="0"/>
              <w:wordWrap/>
              <w:overflowPunct/>
              <w:topLinePunct w:val="0"/>
              <w:autoSpaceDE w:val="0"/>
              <w:autoSpaceDN w:val="0"/>
              <w:bidi w:val="0"/>
              <w:adjustRightInd w:val="0"/>
              <w:snapToGrid w:val="0"/>
              <w:spacing w:before="133" w:line="204" w:lineRule="auto"/>
              <w:ind w:left="33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项目主管</w:t>
            </w:r>
          </w:p>
        </w:tc>
        <w:tc>
          <w:tcPr>
            <w:tcW w:w="1414" w:type="dxa"/>
            <w:vAlign w:val="top"/>
          </w:tcPr>
          <w:p w14:paraId="6D30688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413B2D6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4BB784B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3899" w:type="dxa"/>
            <w:tcBorders>
              <w:right w:val="single" w:color="000000" w:sz="10" w:space="0"/>
            </w:tcBorders>
            <w:vAlign w:val="top"/>
          </w:tcPr>
          <w:p w14:paraId="3D8BFB1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0BE9C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vMerge w:val="restart"/>
            <w:tcBorders>
              <w:left w:val="single" w:color="000000" w:sz="10" w:space="0"/>
              <w:bottom w:val="nil"/>
            </w:tcBorders>
            <w:vAlign w:val="top"/>
          </w:tcPr>
          <w:p w14:paraId="67C5E518">
            <w:pPr>
              <w:keepNext w:val="0"/>
              <w:keepLines w:val="0"/>
              <w:pageBreakBefore w:val="0"/>
              <w:widowControl/>
              <w:kinsoku w:val="0"/>
              <w:wordWrap/>
              <w:overflowPunct/>
              <w:topLinePunct w:val="0"/>
              <w:autoSpaceDE w:val="0"/>
              <w:autoSpaceDN w:val="0"/>
              <w:bidi w:val="0"/>
              <w:adjustRightInd w:val="0"/>
              <w:snapToGrid w:val="0"/>
              <w:spacing w:line="443" w:lineRule="auto"/>
              <w:textAlignment w:val="baseline"/>
              <w:outlineLvl w:val="9"/>
              <w:rPr>
                <w:rFonts w:hint="eastAsia" w:ascii="仿宋" w:hAnsi="仿宋" w:eastAsia="仿宋" w:cs="仿宋"/>
                <w:color w:val="auto"/>
                <w:sz w:val="24"/>
                <w:szCs w:val="24"/>
                <w:highlight w:val="none"/>
              </w:rPr>
            </w:pPr>
          </w:p>
          <w:p w14:paraId="5A964E5F">
            <w:pPr>
              <w:pStyle w:val="28"/>
              <w:keepNext w:val="0"/>
              <w:keepLines w:val="0"/>
              <w:pageBreakBefore w:val="0"/>
              <w:widowControl/>
              <w:kinsoku w:val="0"/>
              <w:wordWrap/>
              <w:overflowPunct/>
              <w:topLinePunct w:val="0"/>
              <w:autoSpaceDE w:val="0"/>
              <w:autoSpaceDN w:val="0"/>
              <w:bidi w:val="0"/>
              <w:adjustRightInd w:val="0"/>
              <w:snapToGrid w:val="0"/>
              <w:spacing w:before="65" w:line="228" w:lineRule="auto"/>
              <w:ind w:left="32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其他人员</w:t>
            </w:r>
          </w:p>
        </w:tc>
        <w:tc>
          <w:tcPr>
            <w:tcW w:w="1414" w:type="dxa"/>
            <w:vAlign w:val="top"/>
          </w:tcPr>
          <w:p w14:paraId="47BE469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23F27E6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632D558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3899" w:type="dxa"/>
            <w:tcBorders>
              <w:right w:val="single" w:color="000000" w:sz="10" w:space="0"/>
            </w:tcBorders>
            <w:vAlign w:val="top"/>
          </w:tcPr>
          <w:p w14:paraId="55A624F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45E4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vMerge w:val="continue"/>
            <w:tcBorders>
              <w:top w:val="nil"/>
              <w:left w:val="single" w:color="000000" w:sz="10" w:space="0"/>
              <w:bottom w:val="nil"/>
            </w:tcBorders>
            <w:vAlign w:val="top"/>
          </w:tcPr>
          <w:p w14:paraId="25863BB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14" w:type="dxa"/>
            <w:vAlign w:val="top"/>
          </w:tcPr>
          <w:p w14:paraId="01F8CE7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0C0D485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0F770C0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3899" w:type="dxa"/>
            <w:tcBorders>
              <w:right w:val="single" w:color="000000" w:sz="10" w:space="0"/>
            </w:tcBorders>
            <w:vAlign w:val="top"/>
          </w:tcPr>
          <w:p w14:paraId="71222C0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66CB4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vMerge w:val="continue"/>
            <w:tcBorders>
              <w:top w:val="nil"/>
              <w:left w:val="single" w:color="000000" w:sz="10" w:space="0"/>
            </w:tcBorders>
            <w:vAlign w:val="top"/>
          </w:tcPr>
          <w:p w14:paraId="5217E0C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14" w:type="dxa"/>
            <w:vAlign w:val="top"/>
          </w:tcPr>
          <w:p w14:paraId="33821D7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1D6D1D7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40E4A89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3899" w:type="dxa"/>
            <w:tcBorders>
              <w:right w:val="single" w:color="000000" w:sz="10" w:space="0"/>
            </w:tcBorders>
            <w:vAlign w:val="top"/>
          </w:tcPr>
          <w:p w14:paraId="56B51A8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48B08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090" w:type="dxa"/>
            <w:gridSpan w:val="5"/>
            <w:tcBorders>
              <w:left w:val="single" w:color="000000" w:sz="10" w:space="0"/>
              <w:right w:val="single" w:color="000000" w:sz="10" w:space="0"/>
            </w:tcBorders>
            <w:vAlign w:val="top"/>
          </w:tcPr>
          <w:p w14:paraId="75C99AD3">
            <w:pPr>
              <w:pStyle w:val="28"/>
              <w:keepNext w:val="0"/>
              <w:keepLines w:val="0"/>
              <w:pageBreakBefore w:val="0"/>
              <w:widowControl/>
              <w:kinsoku w:val="0"/>
              <w:wordWrap/>
              <w:overflowPunct/>
              <w:topLinePunct w:val="0"/>
              <w:autoSpaceDE w:val="0"/>
              <w:autoSpaceDN w:val="0"/>
              <w:bidi w:val="0"/>
              <w:adjustRightInd w:val="0"/>
              <w:snapToGrid w:val="0"/>
              <w:spacing w:before="137" w:line="200" w:lineRule="auto"/>
              <w:ind w:left="44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二、现场人员</w:t>
            </w:r>
          </w:p>
        </w:tc>
      </w:tr>
      <w:tr w14:paraId="11937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1515" w:type="dxa"/>
            <w:tcBorders>
              <w:left w:val="single" w:color="000000" w:sz="10" w:space="0"/>
            </w:tcBorders>
            <w:vAlign w:val="top"/>
          </w:tcPr>
          <w:p w14:paraId="6294201A">
            <w:pPr>
              <w:pStyle w:val="28"/>
              <w:keepNext w:val="0"/>
              <w:keepLines w:val="0"/>
              <w:pageBreakBefore w:val="0"/>
              <w:widowControl/>
              <w:kinsoku w:val="0"/>
              <w:wordWrap/>
              <w:overflowPunct/>
              <w:topLinePunct w:val="0"/>
              <w:autoSpaceDE w:val="0"/>
              <w:autoSpaceDN w:val="0"/>
              <w:bidi w:val="0"/>
              <w:adjustRightInd w:val="0"/>
              <w:snapToGrid w:val="0"/>
              <w:spacing w:before="137" w:line="265" w:lineRule="auto"/>
              <w:ind w:left="331" w:right="231" w:hanging="10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工程总承包</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6"/>
                <w:sz w:val="24"/>
                <w:szCs w:val="24"/>
                <w:highlight w:val="none"/>
              </w:rPr>
              <w:t>项目经理</w:t>
            </w:r>
          </w:p>
        </w:tc>
        <w:tc>
          <w:tcPr>
            <w:tcW w:w="1414" w:type="dxa"/>
            <w:vAlign w:val="top"/>
          </w:tcPr>
          <w:p w14:paraId="44703CD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6986989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5683B0C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3899" w:type="dxa"/>
            <w:tcBorders>
              <w:right w:val="single" w:color="000000" w:sz="10" w:space="0"/>
            </w:tcBorders>
            <w:vAlign w:val="top"/>
          </w:tcPr>
          <w:p w14:paraId="3F4208C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7ABAD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515" w:type="dxa"/>
            <w:tcBorders>
              <w:left w:val="single" w:color="000000" w:sz="10" w:space="0"/>
            </w:tcBorders>
            <w:vAlign w:val="top"/>
          </w:tcPr>
          <w:p w14:paraId="7517C9A2">
            <w:pPr>
              <w:pStyle w:val="28"/>
              <w:keepNext w:val="0"/>
              <w:keepLines w:val="0"/>
              <w:pageBreakBefore w:val="0"/>
              <w:widowControl/>
              <w:kinsoku w:val="0"/>
              <w:wordWrap/>
              <w:overflowPunct/>
              <w:topLinePunct w:val="0"/>
              <w:autoSpaceDE w:val="0"/>
              <w:autoSpaceDN w:val="0"/>
              <w:bidi w:val="0"/>
              <w:adjustRightInd w:val="0"/>
              <w:snapToGrid w:val="0"/>
              <w:spacing w:before="142" w:line="194" w:lineRule="auto"/>
              <w:ind w:left="22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项目副经理</w:t>
            </w:r>
          </w:p>
        </w:tc>
        <w:tc>
          <w:tcPr>
            <w:tcW w:w="1414" w:type="dxa"/>
            <w:vAlign w:val="top"/>
          </w:tcPr>
          <w:p w14:paraId="19FEAE3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4D589BA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590C09C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3899" w:type="dxa"/>
            <w:tcBorders>
              <w:right w:val="single" w:color="000000" w:sz="10" w:space="0"/>
            </w:tcBorders>
            <w:vAlign w:val="top"/>
          </w:tcPr>
          <w:p w14:paraId="7266273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1B1BE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vAlign w:val="top"/>
          </w:tcPr>
          <w:p w14:paraId="7C9A395D">
            <w:pPr>
              <w:pStyle w:val="28"/>
              <w:keepNext w:val="0"/>
              <w:keepLines w:val="0"/>
              <w:pageBreakBefore w:val="0"/>
              <w:widowControl/>
              <w:kinsoku w:val="0"/>
              <w:wordWrap/>
              <w:overflowPunct/>
              <w:topLinePunct w:val="0"/>
              <w:autoSpaceDE w:val="0"/>
              <w:autoSpaceDN w:val="0"/>
              <w:bidi w:val="0"/>
              <w:adjustRightInd w:val="0"/>
              <w:snapToGrid w:val="0"/>
              <w:spacing w:before="143" w:line="194" w:lineRule="auto"/>
              <w:ind w:left="22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设计负责人</w:t>
            </w:r>
          </w:p>
        </w:tc>
        <w:tc>
          <w:tcPr>
            <w:tcW w:w="1414" w:type="dxa"/>
            <w:vAlign w:val="top"/>
          </w:tcPr>
          <w:p w14:paraId="2E9C2D7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21A2145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1D009D5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3899" w:type="dxa"/>
            <w:tcBorders>
              <w:right w:val="single" w:color="000000" w:sz="10" w:space="0"/>
            </w:tcBorders>
            <w:vAlign w:val="top"/>
          </w:tcPr>
          <w:p w14:paraId="135B373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0C977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vAlign w:val="top"/>
          </w:tcPr>
          <w:p w14:paraId="58C0FCB9">
            <w:pPr>
              <w:pStyle w:val="28"/>
              <w:keepNext w:val="0"/>
              <w:keepLines w:val="0"/>
              <w:pageBreakBefore w:val="0"/>
              <w:widowControl/>
              <w:kinsoku w:val="0"/>
              <w:wordWrap/>
              <w:overflowPunct/>
              <w:topLinePunct w:val="0"/>
              <w:autoSpaceDE w:val="0"/>
              <w:autoSpaceDN w:val="0"/>
              <w:bidi w:val="0"/>
              <w:adjustRightInd w:val="0"/>
              <w:snapToGrid w:val="0"/>
              <w:spacing w:before="143" w:line="194" w:lineRule="auto"/>
              <w:ind w:left="2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采购负责人</w:t>
            </w:r>
          </w:p>
        </w:tc>
        <w:tc>
          <w:tcPr>
            <w:tcW w:w="1414" w:type="dxa"/>
            <w:vAlign w:val="top"/>
          </w:tcPr>
          <w:p w14:paraId="3CA354F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77984D6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4CCA41D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3899" w:type="dxa"/>
            <w:tcBorders>
              <w:right w:val="single" w:color="000000" w:sz="10" w:space="0"/>
            </w:tcBorders>
            <w:vAlign w:val="top"/>
          </w:tcPr>
          <w:p w14:paraId="28582F3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44CB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vAlign w:val="top"/>
          </w:tcPr>
          <w:p w14:paraId="62929006">
            <w:pPr>
              <w:pStyle w:val="28"/>
              <w:keepNext w:val="0"/>
              <w:keepLines w:val="0"/>
              <w:pageBreakBefore w:val="0"/>
              <w:widowControl/>
              <w:kinsoku w:val="0"/>
              <w:wordWrap/>
              <w:overflowPunct/>
              <w:topLinePunct w:val="0"/>
              <w:autoSpaceDE w:val="0"/>
              <w:autoSpaceDN w:val="0"/>
              <w:bidi w:val="0"/>
              <w:adjustRightInd w:val="0"/>
              <w:snapToGrid w:val="0"/>
              <w:spacing w:before="144" w:line="193" w:lineRule="auto"/>
              <w:ind w:left="2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施工负责人</w:t>
            </w:r>
          </w:p>
        </w:tc>
        <w:tc>
          <w:tcPr>
            <w:tcW w:w="1414" w:type="dxa"/>
            <w:vAlign w:val="top"/>
          </w:tcPr>
          <w:p w14:paraId="6A4DC14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7D2769B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167904C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3899" w:type="dxa"/>
            <w:tcBorders>
              <w:right w:val="single" w:color="000000" w:sz="10" w:space="0"/>
            </w:tcBorders>
            <w:vAlign w:val="top"/>
          </w:tcPr>
          <w:p w14:paraId="24CC137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35E8F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vAlign w:val="top"/>
          </w:tcPr>
          <w:p w14:paraId="42F54477">
            <w:pPr>
              <w:pStyle w:val="28"/>
              <w:keepNext w:val="0"/>
              <w:keepLines w:val="0"/>
              <w:pageBreakBefore w:val="0"/>
              <w:widowControl/>
              <w:kinsoku w:val="0"/>
              <w:wordWrap/>
              <w:overflowPunct/>
              <w:topLinePunct w:val="0"/>
              <w:autoSpaceDE w:val="0"/>
              <w:autoSpaceDN w:val="0"/>
              <w:bidi w:val="0"/>
              <w:adjustRightInd w:val="0"/>
              <w:snapToGrid w:val="0"/>
              <w:spacing w:before="147" w:line="191" w:lineRule="auto"/>
              <w:ind w:left="2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技术负责人</w:t>
            </w:r>
          </w:p>
        </w:tc>
        <w:tc>
          <w:tcPr>
            <w:tcW w:w="1414" w:type="dxa"/>
            <w:vAlign w:val="top"/>
          </w:tcPr>
          <w:p w14:paraId="6EBA5EC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0779838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2B8526B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3899" w:type="dxa"/>
            <w:tcBorders>
              <w:right w:val="single" w:color="000000" w:sz="10" w:space="0"/>
            </w:tcBorders>
            <w:vAlign w:val="top"/>
          </w:tcPr>
          <w:p w14:paraId="1792F94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0C168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vAlign w:val="top"/>
          </w:tcPr>
          <w:p w14:paraId="464BC23E">
            <w:pPr>
              <w:pStyle w:val="28"/>
              <w:keepNext w:val="0"/>
              <w:keepLines w:val="0"/>
              <w:pageBreakBefore w:val="0"/>
              <w:widowControl/>
              <w:kinsoku w:val="0"/>
              <w:wordWrap/>
              <w:overflowPunct/>
              <w:topLinePunct w:val="0"/>
              <w:autoSpaceDE w:val="0"/>
              <w:autoSpaceDN w:val="0"/>
              <w:bidi w:val="0"/>
              <w:adjustRightInd w:val="0"/>
              <w:snapToGrid w:val="0"/>
              <w:spacing w:before="148" w:line="190" w:lineRule="auto"/>
              <w:ind w:left="3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造价管理</w:t>
            </w:r>
          </w:p>
        </w:tc>
        <w:tc>
          <w:tcPr>
            <w:tcW w:w="1414" w:type="dxa"/>
            <w:vAlign w:val="top"/>
          </w:tcPr>
          <w:p w14:paraId="51E8474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69ECC80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5810756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3899" w:type="dxa"/>
            <w:tcBorders>
              <w:right w:val="single" w:color="000000" w:sz="10" w:space="0"/>
            </w:tcBorders>
            <w:vAlign w:val="top"/>
          </w:tcPr>
          <w:p w14:paraId="48F3C5C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3368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vAlign w:val="top"/>
          </w:tcPr>
          <w:p w14:paraId="57DE5F7D">
            <w:pPr>
              <w:pStyle w:val="28"/>
              <w:keepNext w:val="0"/>
              <w:keepLines w:val="0"/>
              <w:pageBreakBefore w:val="0"/>
              <w:widowControl/>
              <w:kinsoku w:val="0"/>
              <w:wordWrap/>
              <w:overflowPunct/>
              <w:topLinePunct w:val="0"/>
              <w:autoSpaceDE w:val="0"/>
              <w:autoSpaceDN w:val="0"/>
              <w:bidi w:val="0"/>
              <w:adjustRightInd w:val="0"/>
              <w:snapToGrid w:val="0"/>
              <w:spacing w:before="148" w:line="190" w:lineRule="auto"/>
              <w:ind w:left="32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质量管理</w:t>
            </w:r>
          </w:p>
        </w:tc>
        <w:tc>
          <w:tcPr>
            <w:tcW w:w="1414" w:type="dxa"/>
            <w:vAlign w:val="top"/>
          </w:tcPr>
          <w:p w14:paraId="61998FD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117C44A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55DB161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3899" w:type="dxa"/>
            <w:tcBorders>
              <w:right w:val="single" w:color="000000" w:sz="10" w:space="0"/>
            </w:tcBorders>
            <w:vAlign w:val="top"/>
          </w:tcPr>
          <w:p w14:paraId="4474061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73D28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vAlign w:val="top"/>
          </w:tcPr>
          <w:p w14:paraId="31AD6221">
            <w:pPr>
              <w:pStyle w:val="28"/>
              <w:keepNext w:val="0"/>
              <w:keepLines w:val="0"/>
              <w:pageBreakBefore w:val="0"/>
              <w:widowControl/>
              <w:kinsoku w:val="0"/>
              <w:wordWrap/>
              <w:overflowPunct/>
              <w:topLinePunct w:val="0"/>
              <w:autoSpaceDE w:val="0"/>
              <w:autoSpaceDN w:val="0"/>
              <w:bidi w:val="0"/>
              <w:adjustRightInd w:val="0"/>
              <w:snapToGrid w:val="0"/>
              <w:spacing w:before="148" w:line="190" w:lineRule="auto"/>
              <w:ind w:left="32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计划管理</w:t>
            </w:r>
          </w:p>
        </w:tc>
        <w:tc>
          <w:tcPr>
            <w:tcW w:w="1414" w:type="dxa"/>
            <w:vAlign w:val="top"/>
          </w:tcPr>
          <w:p w14:paraId="781CAD8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57C7749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46B4663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3899" w:type="dxa"/>
            <w:tcBorders>
              <w:right w:val="single" w:color="000000" w:sz="10" w:space="0"/>
            </w:tcBorders>
            <w:vAlign w:val="top"/>
          </w:tcPr>
          <w:p w14:paraId="1767FDC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DD8D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vAlign w:val="top"/>
          </w:tcPr>
          <w:p w14:paraId="01773659">
            <w:pPr>
              <w:pStyle w:val="28"/>
              <w:keepNext w:val="0"/>
              <w:keepLines w:val="0"/>
              <w:pageBreakBefore w:val="0"/>
              <w:widowControl/>
              <w:kinsoku w:val="0"/>
              <w:wordWrap/>
              <w:overflowPunct/>
              <w:topLinePunct w:val="0"/>
              <w:autoSpaceDE w:val="0"/>
              <w:autoSpaceDN w:val="0"/>
              <w:bidi w:val="0"/>
              <w:adjustRightInd w:val="0"/>
              <w:snapToGrid w:val="0"/>
              <w:spacing w:before="151" w:line="187" w:lineRule="auto"/>
              <w:ind w:left="3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安全管理</w:t>
            </w:r>
          </w:p>
        </w:tc>
        <w:tc>
          <w:tcPr>
            <w:tcW w:w="1414" w:type="dxa"/>
            <w:vAlign w:val="top"/>
          </w:tcPr>
          <w:p w14:paraId="3C80CA5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6DC2AB6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086CBEE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3899" w:type="dxa"/>
            <w:tcBorders>
              <w:right w:val="single" w:color="000000" w:sz="10" w:space="0"/>
            </w:tcBorders>
            <w:vAlign w:val="top"/>
          </w:tcPr>
          <w:p w14:paraId="60C2846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079D7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vAlign w:val="top"/>
          </w:tcPr>
          <w:p w14:paraId="492651A4">
            <w:pPr>
              <w:pStyle w:val="28"/>
              <w:keepNext w:val="0"/>
              <w:keepLines w:val="0"/>
              <w:pageBreakBefore w:val="0"/>
              <w:widowControl/>
              <w:kinsoku w:val="0"/>
              <w:wordWrap/>
              <w:overflowPunct/>
              <w:topLinePunct w:val="0"/>
              <w:autoSpaceDE w:val="0"/>
              <w:autoSpaceDN w:val="0"/>
              <w:bidi w:val="0"/>
              <w:adjustRightInd w:val="0"/>
              <w:snapToGrid w:val="0"/>
              <w:spacing w:before="151" w:line="187" w:lineRule="auto"/>
              <w:ind w:left="32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环境管理</w:t>
            </w:r>
          </w:p>
        </w:tc>
        <w:tc>
          <w:tcPr>
            <w:tcW w:w="1414" w:type="dxa"/>
            <w:vAlign w:val="top"/>
          </w:tcPr>
          <w:p w14:paraId="450F39B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268BF5B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26A3916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3899" w:type="dxa"/>
            <w:tcBorders>
              <w:right w:val="single" w:color="000000" w:sz="10" w:space="0"/>
            </w:tcBorders>
            <w:vAlign w:val="top"/>
          </w:tcPr>
          <w:p w14:paraId="7073A84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62B79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515" w:type="dxa"/>
            <w:vMerge w:val="restart"/>
            <w:tcBorders>
              <w:left w:val="single" w:color="000000" w:sz="10" w:space="0"/>
              <w:bottom w:val="nil"/>
              <w:right w:val="single" w:color="000000" w:sz="2" w:space="0"/>
            </w:tcBorders>
            <w:vAlign w:val="top"/>
          </w:tcPr>
          <w:p w14:paraId="107EE7CA">
            <w:pPr>
              <w:keepNext w:val="0"/>
              <w:keepLines w:val="0"/>
              <w:pageBreakBefore w:val="0"/>
              <w:widowControl/>
              <w:kinsoku w:val="0"/>
              <w:wordWrap/>
              <w:overflowPunct/>
              <w:topLinePunct w:val="0"/>
              <w:autoSpaceDE w:val="0"/>
              <w:autoSpaceDN w:val="0"/>
              <w:bidi w:val="0"/>
              <w:adjustRightInd w:val="0"/>
              <w:snapToGrid w:val="0"/>
              <w:spacing w:line="273" w:lineRule="auto"/>
              <w:textAlignment w:val="baseline"/>
              <w:outlineLvl w:val="9"/>
              <w:rPr>
                <w:rFonts w:hint="eastAsia" w:ascii="仿宋" w:hAnsi="仿宋" w:eastAsia="仿宋" w:cs="仿宋"/>
                <w:color w:val="auto"/>
                <w:sz w:val="24"/>
                <w:szCs w:val="24"/>
                <w:highlight w:val="none"/>
              </w:rPr>
            </w:pPr>
          </w:p>
          <w:p w14:paraId="51F84439">
            <w:pPr>
              <w:pStyle w:val="28"/>
              <w:keepNext w:val="0"/>
              <w:keepLines w:val="0"/>
              <w:pageBreakBefore w:val="0"/>
              <w:widowControl/>
              <w:kinsoku w:val="0"/>
              <w:wordWrap/>
              <w:overflowPunct/>
              <w:topLinePunct w:val="0"/>
              <w:autoSpaceDE w:val="0"/>
              <w:autoSpaceDN w:val="0"/>
              <w:bidi w:val="0"/>
              <w:adjustRightInd w:val="0"/>
              <w:snapToGrid w:val="0"/>
              <w:spacing w:before="65" w:line="228" w:lineRule="auto"/>
              <w:ind w:left="32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其他人员</w:t>
            </w:r>
          </w:p>
        </w:tc>
        <w:tc>
          <w:tcPr>
            <w:tcW w:w="1414" w:type="dxa"/>
            <w:tcBorders>
              <w:bottom w:val="single" w:color="000000" w:sz="2" w:space="0"/>
            </w:tcBorders>
            <w:vAlign w:val="top"/>
          </w:tcPr>
          <w:p w14:paraId="77B9F89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tcBorders>
              <w:bottom w:val="single" w:color="000000" w:sz="2" w:space="0"/>
            </w:tcBorders>
            <w:vAlign w:val="top"/>
          </w:tcPr>
          <w:p w14:paraId="4EDD49C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tcBorders>
              <w:bottom w:val="single" w:color="000000" w:sz="2" w:space="0"/>
            </w:tcBorders>
            <w:vAlign w:val="top"/>
          </w:tcPr>
          <w:p w14:paraId="047C2A8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3899" w:type="dxa"/>
            <w:tcBorders>
              <w:bottom w:val="single" w:color="000000" w:sz="2" w:space="0"/>
              <w:right w:val="single" w:color="000000" w:sz="10" w:space="0"/>
            </w:tcBorders>
            <w:vAlign w:val="top"/>
          </w:tcPr>
          <w:p w14:paraId="43D1593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03FD6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515" w:type="dxa"/>
            <w:vMerge w:val="continue"/>
            <w:tcBorders>
              <w:top w:val="nil"/>
              <w:left w:val="single" w:color="000000" w:sz="10" w:space="0"/>
              <w:bottom w:val="single" w:color="000000" w:sz="10" w:space="0"/>
              <w:right w:val="single" w:color="000000" w:sz="2" w:space="0"/>
            </w:tcBorders>
            <w:vAlign w:val="top"/>
          </w:tcPr>
          <w:p w14:paraId="13D17DD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14" w:type="dxa"/>
            <w:tcBorders>
              <w:top w:val="single" w:color="000000" w:sz="2" w:space="0"/>
              <w:left w:val="single" w:color="000000" w:sz="2" w:space="0"/>
              <w:bottom w:val="single" w:color="000000" w:sz="2" w:space="0"/>
              <w:right w:val="single" w:color="000000" w:sz="2" w:space="0"/>
            </w:tcBorders>
            <w:vAlign w:val="top"/>
          </w:tcPr>
          <w:p w14:paraId="5FFB012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tcBorders>
              <w:top w:val="single" w:color="000000" w:sz="2" w:space="0"/>
              <w:left w:val="single" w:color="000000" w:sz="2" w:space="0"/>
              <w:bottom w:val="single" w:color="000000" w:sz="2" w:space="0"/>
              <w:right w:val="single" w:color="000000" w:sz="2" w:space="0"/>
            </w:tcBorders>
            <w:vAlign w:val="top"/>
          </w:tcPr>
          <w:p w14:paraId="174DFB3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tcBorders>
              <w:top w:val="single" w:color="000000" w:sz="2" w:space="0"/>
              <w:left w:val="single" w:color="000000" w:sz="2" w:space="0"/>
              <w:bottom w:val="single" w:color="000000" w:sz="2" w:space="0"/>
              <w:right w:val="single" w:color="000000" w:sz="2" w:space="0"/>
            </w:tcBorders>
            <w:vAlign w:val="top"/>
          </w:tcPr>
          <w:p w14:paraId="7ACE9B0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3899" w:type="dxa"/>
            <w:tcBorders>
              <w:top w:val="single" w:color="000000" w:sz="2" w:space="0"/>
              <w:left w:val="single" w:color="000000" w:sz="2" w:space="0"/>
              <w:bottom w:val="single" w:color="000000" w:sz="2" w:space="0"/>
              <w:right w:val="single" w:color="000000" w:sz="2" w:space="0"/>
            </w:tcBorders>
            <w:vAlign w:val="top"/>
          </w:tcPr>
          <w:p w14:paraId="258BBEF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bl>
    <w:p w14:paraId="3C8429AC">
      <w:pPr>
        <w:pStyle w:val="2"/>
        <w:rPr>
          <w:rFonts w:hint="eastAsia" w:ascii="仿宋" w:hAnsi="仿宋" w:eastAsia="仿宋" w:cs="仿宋"/>
          <w:sz w:val="24"/>
          <w:szCs w:val="24"/>
        </w:rPr>
        <w:sectPr>
          <w:footerReference r:id="rId53" w:type="default"/>
          <w:pgSz w:w="11906" w:h="16839"/>
          <w:pgMar w:top="1428" w:right="1731" w:bottom="1171" w:left="1785" w:header="0" w:footer="992" w:gutter="0"/>
          <w:pgNumType w:fmt="decimal"/>
          <w:cols w:space="720" w:num="1"/>
        </w:sectPr>
      </w:pPr>
    </w:p>
    <w:p w14:paraId="0798E7D6">
      <w:pPr>
        <w:rPr>
          <w:rFonts w:hint="eastAsia" w:ascii="仿宋" w:hAnsi="仿宋" w:eastAsia="仿宋" w:cs="仿宋"/>
          <w:sz w:val="24"/>
          <w:szCs w:val="24"/>
        </w:rPr>
      </w:pPr>
    </w:p>
    <w:sectPr>
      <w:footerReference r:id="rId54"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4040344D-6881-4DCF-AC85-883C35A4B0EC}"/>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9F383E53-0805-4288-AF52-C7C630CCFC39}"/>
  </w:font>
  <w:font w:name="方正小标宋_GBK">
    <w:panose1 w:val="03000509000000000000"/>
    <w:charset w:val="86"/>
    <w:family w:val="auto"/>
    <w:pitch w:val="default"/>
    <w:sig w:usb0="00000001" w:usb1="080E0000" w:usb2="00000000" w:usb3="00000000" w:csb0="00040000" w:csb1="00000000"/>
    <w:embedRegular r:id="rId3" w:fontKey="{0E6E6E50-FAAE-493A-8AE6-C0880243AE82}"/>
  </w:font>
  <w:font w:name="方正仿宋_GBK">
    <w:panose1 w:val="03000509000000000000"/>
    <w:charset w:val="86"/>
    <w:family w:val="auto"/>
    <w:pitch w:val="default"/>
    <w:sig w:usb0="00000001" w:usb1="080E0000" w:usb2="00000000" w:usb3="00000000" w:csb0="00040000" w:csb1="00000000"/>
    <w:embedRegular r:id="rId4" w:fontKey="{C53DC766-9D10-40AF-8C91-7E93919F333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E11D7">
    <w:pPr>
      <w:pStyle w:val="14"/>
    </w:pPr>
  </w:p>
  <w:p w14:paraId="79204DD2">
    <w:pPr>
      <w:pStyle w:val="14"/>
      <w:rPr>
        <w:rFonts w:hint="default" w:eastAsia="宋体"/>
        <w:lang w:val="en-US" w:eastAsia="zh-CN"/>
      </w:rPr>
    </w:pPr>
    <w:r>
      <w:rPr>
        <w:rFonts w:hint="eastAsia" w:eastAsia="宋体"/>
        <w:lang w:val="en-US" w:eastAsia="zh-CN"/>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DC3D2">
    <w:pPr>
      <w:pStyle w:val="14"/>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5AD4F7">
                          <w:pPr>
                            <w:pStyle w:val="1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75AD4F7">
                    <w:pPr>
                      <w:pStyle w:val="1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99D4D">
    <w:pPr>
      <w:pStyle w:val="14"/>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844E02">
                          <w:pPr>
                            <w:pStyle w:val="1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6844E02">
                    <w:pPr>
                      <w:pStyle w:val="1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5A19">
    <w:pPr>
      <w:pStyle w:val="14"/>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390FD">
                          <w:pPr>
                            <w:pStyle w:val="1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65390FD">
                    <w:pPr>
                      <w:pStyle w:val="1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FDC50">
    <w:pPr>
      <w:pStyle w:val="14"/>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0A6FDB">
                          <w:pPr>
                            <w:pStyle w:val="1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C0A6FDB">
                    <w:pPr>
                      <w:pStyle w:val="1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37327">
    <w:pPr>
      <w:pStyle w:val="14"/>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1436D0">
                          <w:pPr>
                            <w:pStyle w:val="1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F1436D0">
                    <w:pPr>
                      <w:pStyle w:val="1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F6F41">
    <w:pPr>
      <w:pStyle w:val="14"/>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DD2344">
                          <w:pPr>
                            <w:pStyle w:val="1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0DD2344">
                    <w:pPr>
                      <w:pStyle w:val="14"/>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72443">
    <w:pPr>
      <w:pStyle w:val="14"/>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447F3A">
                          <w:pPr>
                            <w:pStyle w:val="1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3447F3A">
                    <w:pPr>
                      <w:pStyle w:val="1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4DE53">
    <w:pPr>
      <w:pStyle w:val="2"/>
      <w:spacing w:line="172" w:lineRule="auto"/>
      <w:ind w:left="4083"/>
      <w:rPr>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EBBFE">
                          <w:pPr>
                            <w:pStyle w:val="1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60EBBFE">
                    <w:pPr>
                      <w:pStyle w:val="1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80E2F">
    <w:pPr>
      <w:pStyle w:val="2"/>
      <w:spacing w:line="172" w:lineRule="auto"/>
      <w:ind w:left="4083"/>
      <w:rPr>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42A475">
                          <w:pPr>
                            <w:pStyle w:val="1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F42A475">
                    <w:pPr>
                      <w:pStyle w:val="1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F163A">
    <w:pPr>
      <w:pStyle w:val="2"/>
      <w:spacing w:line="172" w:lineRule="auto"/>
      <w:ind w:left="4083"/>
      <w:rPr>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A61039">
                          <w:pPr>
                            <w:pStyle w:val="1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CA61039">
                    <w:pPr>
                      <w:pStyle w:val="1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F146B">
    <w:pPr>
      <w:pStyle w:val="14"/>
      <w:rPr>
        <w:rFonts w:hint="default"/>
        <w:lang w:val="en-US" w:eastAsia="zh-CN"/>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7E046B">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57E046B">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24B24">
    <w:pPr>
      <w:pStyle w:val="2"/>
      <w:spacing w:line="172" w:lineRule="auto"/>
      <w:ind w:left="4083"/>
      <w:rPr>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BF5DD3">
                          <w:pPr>
                            <w:pStyle w:val="1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2BF5DD3">
                    <w:pPr>
                      <w:pStyle w:val="1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51863">
    <w:pPr>
      <w:pStyle w:val="2"/>
      <w:spacing w:line="172" w:lineRule="auto"/>
      <w:ind w:left="4087"/>
      <w:rPr>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467020">
                          <w:pPr>
                            <w:pStyle w:val="1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74467020">
                    <w:pPr>
                      <w:pStyle w:val="14"/>
                    </w:pPr>
                    <w:r>
                      <w:fldChar w:fldCharType="begin"/>
                    </w:r>
                    <w:r>
                      <w:instrText xml:space="preserve"> PAGE  \* MERGEFORMAT </w:instrText>
                    </w:r>
                    <w:r>
                      <w:fldChar w:fldCharType="separate"/>
                    </w:r>
                    <w:r>
                      <w:t>62</w:t>
                    </w:r>
                    <w:r>
                      <w:fldChar w:fldCharType="end"/>
                    </w:r>
                  </w:p>
                </w:txbxContent>
              </v:textbox>
            </v:shape>
          </w:pict>
        </mc:Fallback>
      </mc:AlternateContent>
    </w:r>
  </w:p>
  <w:p w14:paraId="5D2015E2"/>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2EA6F">
    <w:pPr>
      <w:pStyle w:val="2"/>
      <w:spacing w:line="172" w:lineRule="auto"/>
      <w:ind w:left="4087"/>
      <w:rPr>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46849C">
                          <w:pPr>
                            <w:pStyle w:val="14"/>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946849C">
                    <w:pPr>
                      <w:pStyle w:val="14"/>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F04E0">
    <w:pPr>
      <w:pStyle w:val="2"/>
      <w:spacing w:line="172" w:lineRule="auto"/>
      <w:ind w:left="4165"/>
      <w:rPr>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B7E009">
                          <w:pPr>
                            <w:pStyle w:val="14"/>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1AB7E009">
                    <w:pPr>
                      <w:pStyle w:val="14"/>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3A478">
    <w:pPr>
      <w:pStyle w:val="2"/>
      <w:spacing w:line="172" w:lineRule="auto"/>
      <w:rPr>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1EB6AB">
                          <w:pPr>
                            <w:pStyle w:val="14"/>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E1EB6AB">
                    <w:pPr>
                      <w:pStyle w:val="14"/>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DB305">
    <w:pPr>
      <w:pStyle w:val="2"/>
      <w:spacing w:line="171" w:lineRule="auto"/>
      <w:ind w:left="4087"/>
      <w:rPr>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937BD4">
                          <w:pPr>
                            <w:pStyle w:val="14"/>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61937BD4">
                    <w:pPr>
                      <w:pStyle w:val="14"/>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84CBE">
    <w:pPr>
      <w:pStyle w:val="2"/>
      <w:spacing w:line="172" w:lineRule="auto"/>
      <w:ind w:left="4087"/>
      <w:rPr>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AF3BAC">
                          <w:pPr>
                            <w:pStyle w:val="14"/>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45AF3BAC">
                    <w:pPr>
                      <w:pStyle w:val="14"/>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A9303">
    <w:pPr>
      <w:pStyle w:val="2"/>
      <w:spacing w:line="172" w:lineRule="auto"/>
      <w:ind w:left="4087"/>
      <w:rPr>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4EAFE">
                          <w:pPr>
                            <w:pStyle w:val="14"/>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4194EAFE">
                    <w:pPr>
                      <w:pStyle w:val="14"/>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863BC">
    <w:pPr>
      <w:pStyle w:val="2"/>
      <w:spacing w:line="172" w:lineRule="auto"/>
      <w:ind w:left="4085"/>
      <w:rPr>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2C928">
                          <w:pPr>
                            <w:pStyle w:val="14"/>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D42C928">
                    <w:pPr>
                      <w:pStyle w:val="14"/>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A2E3E">
    <w:pPr>
      <w:pStyle w:val="2"/>
      <w:spacing w:line="172" w:lineRule="auto"/>
      <w:ind w:left="4085"/>
      <w:rPr>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D75042">
                          <w:pPr>
                            <w:pStyle w:val="14"/>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6FD75042">
                    <w:pPr>
                      <w:pStyle w:val="14"/>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F666C">
    <w:pPr>
      <w:pStyle w:val="14"/>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61E313">
                          <w:pPr>
                            <w:pStyle w:val="1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D61E313">
                    <w:pPr>
                      <w:pStyle w:val="1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DB328">
    <w:pPr>
      <w:pStyle w:val="2"/>
      <w:spacing w:line="172" w:lineRule="auto"/>
      <w:ind w:left="4085"/>
      <w:rPr>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488B3E">
                          <w:pPr>
                            <w:pStyle w:val="14"/>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66488B3E">
                    <w:pPr>
                      <w:pStyle w:val="14"/>
                    </w:pPr>
                    <w:r>
                      <w:fldChar w:fldCharType="begin"/>
                    </w:r>
                    <w:r>
                      <w:instrText xml:space="preserve"> PAGE  \* MERGEFORMAT </w:instrText>
                    </w:r>
                    <w:r>
                      <w:fldChar w:fldCharType="separate"/>
                    </w:r>
                    <w:r>
                      <w:t>115</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D29FE">
    <w:pPr>
      <w:pStyle w:val="2"/>
      <w:spacing w:line="172" w:lineRule="auto"/>
      <w:ind w:left="4085"/>
      <w:rPr>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B6DFD3">
                          <w:pPr>
                            <w:pStyle w:val="14"/>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39B6DFD3">
                    <w:pPr>
                      <w:pStyle w:val="14"/>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78D3F">
    <w:pPr>
      <w:pStyle w:val="2"/>
      <w:spacing w:line="172" w:lineRule="auto"/>
      <w:ind w:left="4085"/>
      <w:rPr>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EE9034">
                          <w:pPr>
                            <w:pStyle w:val="14"/>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10EE9034">
                    <w:pPr>
                      <w:pStyle w:val="14"/>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2168B">
    <w:pPr>
      <w:pStyle w:val="2"/>
      <w:spacing w:line="172" w:lineRule="auto"/>
      <w:ind w:left="4085"/>
      <w:rPr>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EBA434">
                          <w:pPr>
                            <w:pStyle w:val="14"/>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70EBA434">
                    <w:pPr>
                      <w:pStyle w:val="14"/>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42B24">
    <w:pPr>
      <w:pStyle w:val="2"/>
      <w:spacing w:line="172" w:lineRule="auto"/>
      <w:ind w:left="4085"/>
      <w:rPr>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47FA31">
                          <w:pPr>
                            <w:pStyle w:val="14"/>
                          </w:pPr>
                          <w:r>
                            <w:fldChar w:fldCharType="begin"/>
                          </w:r>
                          <w:r>
                            <w:instrText xml:space="preserve"> PAGE  \* MERGEFORMAT </w:instrText>
                          </w:r>
                          <w:r>
                            <w:fldChar w:fldCharType="separate"/>
                          </w:r>
                          <w:r>
                            <w:t>126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947FA31">
                    <w:pPr>
                      <w:pStyle w:val="14"/>
                    </w:pPr>
                    <w:r>
                      <w:fldChar w:fldCharType="begin"/>
                    </w:r>
                    <w:r>
                      <w:instrText xml:space="preserve"> PAGE  \* MERGEFORMAT </w:instrText>
                    </w:r>
                    <w:r>
                      <w:fldChar w:fldCharType="separate"/>
                    </w:r>
                    <w:r>
                      <w:t>126</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E7424">
    <w:pPr>
      <w:pStyle w:val="2"/>
      <w:spacing w:line="172" w:lineRule="auto"/>
      <w:ind w:left="4085"/>
      <w:rPr>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D75B85">
                          <w:pPr>
                            <w:pStyle w:val="14"/>
                          </w:pPr>
                          <w:r>
                            <w:fldChar w:fldCharType="begin"/>
                          </w:r>
                          <w:r>
                            <w:instrText xml:space="preserve"> PAGE  \* MERGEFORMAT </w:instrText>
                          </w:r>
                          <w:r>
                            <w:fldChar w:fldCharType="separate"/>
                          </w:r>
                          <w:r>
                            <w:t>128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2AD75B85">
                    <w:pPr>
                      <w:pStyle w:val="14"/>
                    </w:pPr>
                    <w:r>
                      <w:fldChar w:fldCharType="begin"/>
                    </w:r>
                    <w:r>
                      <w:instrText xml:space="preserve"> PAGE  \* MERGEFORMAT </w:instrText>
                    </w:r>
                    <w:r>
                      <w:fldChar w:fldCharType="separate"/>
                    </w:r>
                    <w:r>
                      <w:t>128</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9EFAF">
    <w:pPr>
      <w:pStyle w:val="2"/>
      <w:spacing w:line="173" w:lineRule="auto"/>
      <w:ind w:left="4052"/>
      <w:rPr>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D5B856">
                          <w:pPr>
                            <w:pStyle w:val="14"/>
                          </w:pPr>
                          <w:r>
                            <w:fldChar w:fldCharType="begin"/>
                          </w:r>
                          <w:r>
                            <w:instrText xml:space="preserve"> PAGE  \* MERGEFORMAT </w:instrText>
                          </w:r>
                          <w:r>
                            <w:fldChar w:fldCharType="separate"/>
                          </w:r>
                          <w:r>
                            <w:t>130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73D5B856">
                    <w:pPr>
                      <w:pStyle w:val="14"/>
                    </w:pPr>
                    <w:r>
                      <w:fldChar w:fldCharType="begin"/>
                    </w:r>
                    <w:r>
                      <w:instrText xml:space="preserve"> PAGE  \* MERGEFORMAT </w:instrText>
                    </w:r>
                    <w:r>
                      <w:fldChar w:fldCharType="separate"/>
                    </w:r>
                    <w:r>
                      <w:t>130</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5373F">
    <w:pPr>
      <w:pStyle w:val="2"/>
      <w:spacing w:line="173" w:lineRule="auto"/>
      <w:ind w:left="4052"/>
      <w:rPr>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DB64FB">
                          <w:pPr>
                            <w:pStyle w:val="14"/>
                          </w:pPr>
                          <w:r>
                            <w:fldChar w:fldCharType="begin"/>
                          </w:r>
                          <w:r>
                            <w:instrText xml:space="preserve"> PAGE  \* MERGEFORMAT </w:instrText>
                          </w:r>
                          <w:r>
                            <w:fldChar w:fldCharType="separate"/>
                          </w:r>
                          <w:r>
                            <w:t>137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5DDB64FB">
                    <w:pPr>
                      <w:pStyle w:val="14"/>
                    </w:pPr>
                    <w:r>
                      <w:fldChar w:fldCharType="begin"/>
                    </w:r>
                    <w:r>
                      <w:instrText xml:space="preserve"> PAGE  \* MERGEFORMAT </w:instrText>
                    </w:r>
                    <w:r>
                      <w:fldChar w:fldCharType="separate"/>
                    </w:r>
                    <w:r>
                      <w:t>137</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9AC6C">
    <w:pPr>
      <w:pStyle w:val="2"/>
      <w:spacing w:line="173" w:lineRule="auto"/>
      <w:ind w:left="4052"/>
      <w:rPr>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ACC0EB">
                          <w:pPr>
                            <w:pStyle w:val="14"/>
                          </w:pPr>
                          <w:r>
                            <w:fldChar w:fldCharType="begin"/>
                          </w:r>
                          <w:r>
                            <w:instrText xml:space="preserve"> PAGE  \* MERGEFORMAT </w:instrText>
                          </w:r>
                          <w:r>
                            <w:fldChar w:fldCharType="separate"/>
                          </w:r>
                          <w:r>
                            <w:t>139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6FACC0EB">
                    <w:pPr>
                      <w:pStyle w:val="14"/>
                    </w:pPr>
                    <w:r>
                      <w:fldChar w:fldCharType="begin"/>
                    </w:r>
                    <w:r>
                      <w:instrText xml:space="preserve"> PAGE  \* MERGEFORMAT </w:instrText>
                    </w:r>
                    <w:r>
                      <w:fldChar w:fldCharType="separate"/>
                    </w:r>
                    <w:r>
                      <w:t>139</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1A55B">
    <w:pPr>
      <w:pStyle w:val="2"/>
      <w:spacing w:line="173" w:lineRule="auto"/>
      <w:ind w:left="4052"/>
      <w:rPr>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9E5547">
                          <w:pPr>
                            <w:pStyle w:val="14"/>
                          </w:pPr>
                          <w:r>
                            <w:fldChar w:fldCharType="begin"/>
                          </w:r>
                          <w:r>
                            <w:instrText xml:space="preserve"> PAGE  \* MERGEFORMAT </w:instrText>
                          </w:r>
                          <w:r>
                            <w:fldChar w:fldCharType="separate"/>
                          </w:r>
                          <w:r>
                            <w:t>142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7D9E5547">
                    <w:pPr>
                      <w:pStyle w:val="14"/>
                    </w:pPr>
                    <w:r>
                      <w:fldChar w:fldCharType="begin"/>
                    </w:r>
                    <w:r>
                      <w:instrText xml:space="preserve"> PAGE  \* MERGEFORMAT </w:instrText>
                    </w:r>
                    <w:r>
                      <w:fldChar w:fldCharType="separate"/>
                    </w:r>
                    <w:r>
                      <w:t>142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0E7A3">
    <w:pPr>
      <w:pStyle w:val="2"/>
      <w:tabs>
        <w:tab w:val="left" w:pos="567"/>
      </w:tabs>
      <w:spacing w:line="172" w:lineRule="auto"/>
      <w:ind w:left="4086"/>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BDD3A1">
                          <w:pPr>
                            <w:pStyle w:val="1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EBDD3A1">
                    <w:pPr>
                      <w:pStyle w:val="1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7A5">
    <w:pPr>
      <w:pStyle w:val="2"/>
      <w:spacing w:line="173" w:lineRule="auto"/>
      <w:ind w:left="4052"/>
      <w:rPr>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2EAE5">
                          <w:pPr>
                            <w:pStyle w:val="14"/>
                          </w:pPr>
                          <w:r>
                            <w:fldChar w:fldCharType="begin"/>
                          </w:r>
                          <w:r>
                            <w:instrText xml:space="preserve"> PAGE  \* MERGEFORMAT </w:instrText>
                          </w:r>
                          <w:r>
                            <w:fldChar w:fldCharType="separate"/>
                          </w:r>
                          <w:r>
                            <w:t>144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45D2EAE5">
                    <w:pPr>
                      <w:pStyle w:val="14"/>
                    </w:pPr>
                    <w:r>
                      <w:fldChar w:fldCharType="begin"/>
                    </w:r>
                    <w:r>
                      <w:instrText xml:space="preserve"> PAGE  \* MERGEFORMAT </w:instrText>
                    </w:r>
                    <w:r>
                      <w:fldChar w:fldCharType="separate"/>
                    </w:r>
                    <w:r>
                      <w:t>144</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8D64E">
    <w:pPr>
      <w:pStyle w:val="2"/>
      <w:spacing w:line="173" w:lineRule="auto"/>
      <w:ind w:left="4052"/>
      <w:rPr>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70BF6D">
                          <w:pPr>
                            <w:pStyle w:val="14"/>
                          </w:pPr>
                          <w:r>
                            <w:fldChar w:fldCharType="begin"/>
                          </w:r>
                          <w:r>
                            <w:instrText xml:space="preserve"> PAGE  \* MERGEFORMAT </w:instrText>
                          </w:r>
                          <w:r>
                            <w:fldChar w:fldCharType="separate"/>
                          </w:r>
                          <w:r>
                            <w:t>146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2070BF6D">
                    <w:pPr>
                      <w:pStyle w:val="14"/>
                    </w:pPr>
                    <w:r>
                      <w:fldChar w:fldCharType="begin"/>
                    </w:r>
                    <w:r>
                      <w:instrText xml:space="preserve"> PAGE  \* MERGEFORMAT </w:instrText>
                    </w:r>
                    <w:r>
                      <w:fldChar w:fldCharType="separate"/>
                    </w:r>
                    <w:r>
                      <w:t>146</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4C619">
    <w:pPr>
      <w:pStyle w:val="2"/>
      <w:spacing w:line="173" w:lineRule="auto"/>
      <w:ind w:left="4052"/>
      <w:rPr>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5EB26">
                          <w:pPr>
                            <w:pStyle w:val="14"/>
                          </w:pPr>
                          <w:r>
                            <w:fldChar w:fldCharType="begin"/>
                          </w:r>
                          <w:r>
                            <w:instrText xml:space="preserve"> PAGE  \* MERGEFORMAT </w:instrText>
                          </w:r>
                          <w:r>
                            <w:fldChar w:fldCharType="separate"/>
                          </w:r>
                          <w:r>
                            <w:t>148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6CD5EB26">
                    <w:pPr>
                      <w:pStyle w:val="14"/>
                    </w:pPr>
                    <w:r>
                      <w:fldChar w:fldCharType="begin"/>
                    </w:r>
                    <w:r>
                      <w:instrText xml:space="preserve"> PAGE  \* MERGEFORMAT </w:instrText>
                    </w:r>
                    <w:r>
                      <w:fldChar w:fldCharType="separate"/>
                    </w:r>
                    <w:r>
                      <w:t>148</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9FA06">
    <w:pPr>
      <w:pStyle w:val="2"/>
      <w:spacing w:line="173" w:lineRule="auto"/>
      <w:ind w:left="4499"/>
      <w:rPr>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4A4976">
                          <w:pPr>
                            <w:pStyle w:val="14"/>
                          </w:pPr>
                          <w:r>
                            <w:fldChar w:fldCharType="begin"/>
                          </w:r>
                          <w:r>
                            <w:instrText xml:space="preserve"> PAGE  \* MERGEFORMAT </w:instrText>
                          </w:r>
                          <w:r>
                            <w:fldChar w:fldCharType="separate"/>
                          </w:r>
                          <w:r>
                            <w:t>150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5F4A4976">
                    <w:pPr>
                      <w:pStyle w:val="14"/>
                    </w:pPr>
                    <w:r>
                      <w:fldChar w:fldCharType="begin"/>
                    </w:r>
                    <w:r>
                      <w:instrText xml:space="preserve"> PAGE  \* MERGEFORMAT </w:instrText>
                    </w:r>
                    <w:r>
                      <w:fldChar w:fldCharType="separate"/>
                    </w:r>
                    <w:r>
                      <w:t>150</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28D22">
    <w:pPr>
      <w:pStyle w:val="2"/>
      <w:spacing w:line="173" w:lineRule="auto"/>
      <w:ind w:left="4499"/>
      <w:rPr>
        <w:rFonts w:hint="default" w:eastAsia="宋体"/>
        <w:sz w:val="18"/>
        <w:szCs w:val="18"/>
        <w:lang w:val="en-US" w:eastAsia="zh-CN"/>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4A62FF">
                          <w:pPr>
                            <w:pStyle w:val="14"/>
                          </w:pPr>
                          <w:r>
                            <w:fldChar w:fldCharType="begin"/>
                          </w:r>
                          <w:r>
                            <w:instrText xml:space="preserve"> PAGE  \* MERGEFORMAT </w:instrText>
                          </w:r>
                          <w:r>
                            <w:fldChar w:fldCharType="separate"/>
                          </w:r>
                          <w:r>
                            <w:t>153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534A62FF">
                    <w:pPr>
                      <w:pStyle w:val="14"/>
                    </w:pPr>
                    <w:r>
                      <w:fldChar w:fldCharType="begin"/>
                    </w:r>
                    <w:r>
                      <w:instrText xml:space="preserve"> PAGE  \* MERGEFORMAT </w:instrText>
                    </w:r>
                    <w:r>
                      <w:fldChar w:fldCharType="separate"/>
                    </w:r>
                    <w:r>
                      <w:t>153</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FFC0D">
    <w:pPr>
      <w:pStyle w:val="2"/>
      <w:spacing w:line="173" w:lineRule="auto"/>
      <w:ind w:left="4052"/>
      <w:rPr>
        <w:rFonts w:hint="default" w:eastAsia="宋体"/>
        <w:sz w:val="18"/>
        <w:szCs w:val="18"/>
        <w:lang w:val="en-US" w:eastAsia="zh-CN"/>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9104B4">
                          <w:pPr>
                            <w:pStyle w:val="14"/>
                          </w:pPr>
                          <w:r>
                            <w:fldChar w:fldCharType="begin"/>
                          </w:r>
                          <w:r>
                            <w:instrText xml:space="preserve"> PAGE  \* MERGEFORMAT </w:instrText>
                          </w:r>
                          <w:r>
                            <w:fldChar w:fldCharType="separate"/>
                          </w:r>
                          <w:r>
                            <w:t>154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2A9104B4">
                    <w:pPr>
                      <w:pStyle w:val="14"/>
                    </w:pPr>
                    <w:r>
                      <w:fldChar w:fldCharType="begin"/>
                    </w:r>
                    <w:r>
                      <w:instrText xml:space="preserve"> PAGE  \* MERGEFORMAT </w:instrText>
                    </w:r>
                    <w:r>
                      <w:fldChar w:fldCharType="separate"/>
                    </w:r>
                    <w:r>
                      <w:t>154</w:t>
                    </w:r>
                    <w:r>
                      <w:fldChar w:fldCharType="end"/>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posOffset>437515</wp:posOffset>
              </wp:positionH>
              <wp:positionV relativeFrom="paragraph">
                <wp:posOffset>38735</wp:posOffset>
              </wp:positionV>
              <wp:extent cx="2324100" cy="99060"/>
              <wp:effectExtent l="1112520" t="0" r="0" b="0"/>
              <wp:wrapNone/>
              <wp:docPr id="83" name="文本框 83"/>
              <wp:cNvGraphicFramePr/>
              <a:graphic xmlns:a="http://schemas.openxmlformats.org/drawingml/2006/main">
                <a:graphicData uri="http://schemas.microsoft.com/office/word/2010/wordprocessingShape">
                  <wps:wsp>
                    <wps:cNvSpPr txBox="1"/>
                    <wps:spPr>
                      <a:xfrm rot="15900000">
                        <a:off x="0" y="0"/>
                        <a:ext cx="2324100" cy="990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07E7E2">
                          <w:pPr>
                            <w:pStyle w:val="14"/>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4.45pt;margin-top:3.05pt;height:7.8pt;width:183pt;mso-position-horizontal-relative:margin;rotation:-6225920f;z-index:251667456;mso-width-relative:page;mso-height-relative:page;" filled="f" stroked="f" coordsize="21600,21600" o:gfxdata="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9sviR1QAAAAcBAAAPAAAAAAAAAAEAIAAAACIAAABk&#10;cnMvZG93bnJldi54bWxQSwECFAAUAAAACACHTuJAKCcpZkICAAByBAAADgAAAAAAAAABACAAAAAk&#10;AQAAZHJzL2Uyb0RvYy54bWxQSwUGAAAAAAYABgBZAQAA2AUAAAAA&#10;">
              <v:fill on="f" focussize="0,0"/>
              <v:stroke on="f" weight="0.5pt"/>
              <v:imagedata o:title=""/>
              <o:lock v:ext="edit" aspectratio="f"/>
              <v:textbox inset="0mm,0mm,0mm,0mm">
                <w:txbxContent>
                  <w:p w14:paraId="5007E7E2">
                    <w:pPr>
                      <w:pStyle w:val="14"/>
                    </w:pP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25C69">
    <w:pPr>
      <w:pStyle w:val="2"/>
      <w:spacing w:line="173" w:lineRule="auto"/>
      <w:ind w:left="4052"/>
      <w:rPr>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38B590">
                          <w:pPr>
                            <w:pStyle w:val="14"/>
                          </w:pPr>
                          <w:r>
                            <w:fldChar w:fldCharType="begin"/>
                          </w:r>
                          <w:r>
                            <w:instrText xml:space="preserve"> PAGE  \* MERGEFORMAT </w:instrText>
                          </w:r>
                          <w:r>
                            <w:fldChar w:fldCharType="separate"/>
                          </w:r>
                          <w:r>
                            <w:t>156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4838B590">
                    <w:pPr>
                      <w:pStyle w:val="14"/>
                    </w:pPr>
                    <w:r>
                      <w:fldChar w:fldCharType="begin"/>
                    </w:r>
                    <w:r>
                      <w:instrText xml:space="preserve"> PAGE  \* MERGEFORMAT </w:instrText>
                    </w:r>
                    <w:r>
                      <w:fldChar w:fldCharType="separate"/>
                    </w:r>
                    <w:r>
                      <w:t>156</w:t>
                    </w:r>
                    <w:r>
                      <w:fldChar w:fldCharType="end"/>
                    </w: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margin">
                <wp:posOffset>1835150</wp:posOffset>
              </wp:positionH>
              <wp:positionV relativeFrom="paragraph">
                <wp:posOffset>-22860</wp:posOffset>
              </wp:positionV>
              <wp:extent cx="927100" cy="160655"/>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927100" cy="1606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4DC1F1">
                          <w:pPr>
                            <w:pStyle w:val="14"/>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44.5pt;margin-top:-1.8pt;height:12.65pt;width:73pt;mso-position-horizontal-relative:margin;z-index:251668480;mso-width-relative:page;mso-height-relative:page;" filled="f" stroked="f" coordsize="21600,21600" o:gfxdata="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VtA582AAAAAkBAAAPAAAAAAAAAAEAIAAAACIAAABkcnMvZG93&#10;bnJldi54bWxQSwECFAAUAAAACACHTuJALR49rTkCAABjBAAADgAAAAAAAAABACAAAAAnAQAAZHJz&#10;L2Uyb0RvYy54bWxQSwUGAAAAAAYABgBZAQAA0gUAAAAA&#10;">
              <v:fill on="f" focussize="0,0"/>
              <v:stroke on="f" weight="0.5pt"/>
              <v:imagedata o:title=""/>
              <o:lock v:ext="edit" aspectratio="f"/>
              <v:textbox inset="0mm,0mm,0mm,0mm">
                <w:txbxContent>
                  <w:p w14:paraId="204DC1F1">
                    <w:pPr>
                      <w:pStyle w:val="14"/>
                    </w:pP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89A2D">
    <w:pPr>
      <w:pStyle w:val="2"/>
      <w:spacing w:line="173" w:lineRule="auto"/>
      <w:ind w:left="4147"/>
      <w:rPr>
        <w:spacing w:val="-7"/>
        <w:sz w:val="18"/>
        <w:szCs w:val="18"/>
      </w:rPr>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D3816">
                          <w:pPr>
                            <w:pStyle w:val="14"/>
                          </w:pPr>
                          <w:r>
                            <w:fldChar w:fldCharType="begin"/>
                          </w:r>
                          <w:r>
                            <w:instrText xml:space="preserve"> PAGE  \* MERGEFORMAT </w:instrText>
                          </w:r>
                          <w:r>
                            <w:fldChar w:fldCharType="separate"/>
                          </w:r>
                          <w:r>
                            <w:t>158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55CD3816">
                    <w:pPr>
                      <w:pStyle w:val="14"/>
                    </w:pPr>
                    <w:r>
                      <w:fldChar w:fldCharType="begin"/>
                    </w:r>
                    <w:r>
                      <w:instrText xml:space="preserve"> PAGE  \* MERGEFORMAT </w:instrText>
                    </w:r>
                    <w:r>
                      <w:fldChar w:fldCharType="separate"/>
                    </w:r>
                    <w:r>
                      <w:t>158</w:t>
                    </w:r>
                    <w:r>
                      <w:fldChar w:fldCharType="end"/>
                    </w: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margin">
                <wp:posOffset>1848485</wp:posOffset>
              </wp:positionH>
              <wp:positionV relativeFrom="paragraph">
                <wp:posOffset>-222250</wp:posOffset>
              </wp:positionV>
              <wp:extent cx="887095" cy="360045"/>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887095" cy="360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522593">
                          <w:pPr>
                            <w:pStyle w:val="14"/>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45.55pt;margin-top:-17.5pt;height:28.35pt;width:69.85pt;mso-position-horizontal-relative:margin;z-index:251669504;mso-width-relative:page;mso-height-relative:page;" filled="f" stroked="f" coordsize="21600,21600" o:gfxdata="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oaN8TNgAAAAKAQAADwAAAAAAAAABACAAAAAiAAAAZHJzL2Rvd25y&#10;ZXYueG1sUEsBAhQAFAAAAAgAh07iQCnrhv03AgAAYwQAAA4AAAAAAAAAAQAgAAAAJwEAAGRycy9l&#10;Mm9Eb2MueG1sUEsFBgAAAAAGAAYAWQEAANAFAAAAAA==&#10;">
              <v:fill on="f" focussize="0,0"/>
              <v:stroke on="f" weight="0.5pt"/>
              <v:imagedata o:title=""/>
              <o:lock v:ext="edit" aspectratio="f"/>
              <v:textbox inset="0mm,0mm,0mm,0mm">
                <w:txbxContent>
                  <w:p w14:paraId="03522593">
                    <w:pPr>
                      <w:pStyle w:val="14"/>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D97CC">
    <w:pPr>
      <w:pStyle w:val="2"/>
      <w:tabs>
        <w:tab w:val="left" w:pos="567"/>
      </w:tabs>
      <w:spacing w:line="172" w:lineRule="auto"/>
      <w:ind w:left="4086"/>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B9673">
                          <w:pPr>
                            <w:pStyle w:val="1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CFB9673">
                    <w:pPr>
                      <w:pStyle w:val="14"/>
                    </w:pPr>
                    <w:r>
                      <w:fldChar w:fldCharType="begin"/>
                    </w:r>
                    <w:r>
                      <w:instrText xml:space="preserve"> PAGE  \* MERGEFORMAT </w:instrText>
                    </w:r>
                    <w:r>
                      <w:fldChar w:fldCharType="separate"/>
                    </w:r>
                    <w:r>
                      <w:t>28</w:t>
                    </w:r>
                    <w:r>
                      <w:fldChar w:fldCharType="end"/>
                    </w:r>
                  </w:p>
                </w:txbxContent>
              </v:textbox>
            </v:shape>
          </w:pict>
        </mc:Fallback>
      </mc:AlternateContent>
    </w:r>
    <w:r>
      <w:rPr>
        <w:spacing w:val="-4"/>
        <w:sz w:val="18"/>
        <w:szCs w:val="18"/>
      </w:rPr>
      <w:t>28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EF2E5">
    <w:pPr>
      <w:pStyle w:val="2"/>
      <w:tabs>
        <w:tab w:val="left" w:pos="567"/>
      </w:tabs>
      <w:spacing w:line="172" w:lineRule="auto"/>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85052B">
                          <w:pPr>
                            <w:pStyle w:val="1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C85052B">
                    <w:pPr>
                      <w:pStyle w:val="1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30187">
    <w:pPr>
      <w:pStyle w:val="2"/>
      <w:tabs>
        <w:tab w:val="left" w:pos="567"/>
      </w:tabs>
      <w:spacing w:line="172" w:lineRule="auto"/>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A3805">
                          <w:pPr>
                            <w:pStyle w:val="1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44A3805">
                    <w:pPr>
                      <w:pStyle w:val="1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201B3">
    <w:pPr>
      <w:pStyle w:val="14"/>
      <w:rPr>
        <w:rFonts w:hint="eastAsia" w:eastAsia="宋体"/>
        <w:lang w:eastAsia="zh-CN"/>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692402">
                          <w:pPr>
                            <w:pStyle w:val="1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B692402">
                    <w:pPr>
                      <w:pStyle w:val="1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98688">
    <w:pPr>
      <w:pStyle w:val="14"/>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78843C">
                          <w:pPr>
                            <w:pStyle w:val="1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478843C">
                    <w:pPr>
                      <w:pStyle w:val="1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9ADE6">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A8AC7">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84048">
    <w:pPr>
      <w:spacing w:before="16" w:line="219" w:lineRule="auto"/>
      <w:ind w:left="7595"/>
      <w:rPr>
        <w:rFonts w:ascii="宋体" w:hAnsi="宋体" w:eastAsia="宋体" w:cs="宋体"/>
        <w:sz w:val="18"/>
        <w:szCs w:val="18"/>
      </w:rPr>
    </w:pPr>
  </w:p>
  <w:p w14:paraId="0763544C">
    <w:pPr>
      <w:spacing w:before="16" w:line="219" w:lineRule="auto"/>
      <w:ind w:left="7595"/>
      <w:rPr>
        <w:rFonts w:ascii="宋体" w:hAnsi="宋体" w:eastAsia="宋体" w:cs="宋体"/>
        <w:sz w:val="18"/>
        <w:szCs w:val="18"/>
      </w:rPr>
    </w:pPr>
    <w:r>
      <mc:AlternateContent>
        <mc:Choice Requires="wps">
          <w:drawing>
            <wp:anchor distT="0" distB="0" distL="114300" distR="114300" simplePos="0" relativeHeight="251669504" behindDoc="0" locked="0" layoutInCell="0" allowOverlap="1">
              <wp:simplePos x="0" y="0"/>
              <wp:positionH relativeFrom="page">
                <wp:posOffset>1133475</wp:posOffset>
              </wp:positionH>
              <wp:positionV relativeFrom="page">
                <wp:posOffset>701040</wp:posOffset>
              </wp:positionV>
              <wp:extent cx="5293995" cy="9525"/>
              <wp:effectExtent l="0" t="0" r="0" b="0"/>
              <wp:wrapNone/>
              <wp:docPr id="1" name="任意多边形 1"/>
              <wp:cNvGraphicFramePr/>
              <a:graphic xmlns:a="http://schemas.openxmlformats.org/drawingml/2006/main">
                <a:graphicData uri="http://schemas.microsoft.com/office/word/2010/wordprocessingShape">
                  <wps:wsp>
                    <wps:cNvSpPr/>
                    <wps:spPr>
                      <a:xfrm>
                        <a:off x="0" y="0"/>
                        <a:ext cx="5293995" cy="9525"/>
                      </a:xfrm>
                      <a:custGeom>
                        <a:avLst/>
                        <a:gdLst/>
                        <a:ahLst/>
                        <a:cxnLst/>
                        <a:pathLst>
                          <a:path w="8337" h="15">
                            <a:moveTo>
                              <a:pt x="0" y="7"/>
                            </a:moveTo>
                            <a:lnTo>
                              <a:pt x="8336" y="7"/>
                            </a:lnTo>
                          </a:path>
                        </a:pathLst>
                      </a:custGeom>
                      <a:noFill/>
                      <a:ln w="9525"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89.25pt;margin-top:55.2pt;height:0.75pt;width:416.85pt;mso-position-horizontal-relative:page;mso-position-vertical-relative:page;z-index:251669504;mso-width-relative:page;mso-height-relative:page;" filled="f" stroked="t" coordsize="8337,15" o:allowincell="f" o:gfxdata="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q5h9x2QAAAAwBAAAPAAAAAAAAAAEAIAAAACIA&#10;AABkcnMvZG93bnJldi54bWxQSwECFAAUAAAACACHTuJANJSveEECAACkBAAADgAAAAAAAAABACAA&#10;AAAoAQAAZHJzL2Uyb0RvYy54bWxQSwUGAAAAAAYABgBZAQAA2wUAAAAA&#10;" path="m0,7l8336,7e">
              <v:fill on="f" focussize="0,0"/>
              <v:stroke color="#000000" miterlimit="10" joinstyle="miter"/>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361ED"/>
    <w:multiLevelType w:val="singleLevel"/>
    <w:tmpl w:val="995361ED"/>
    <w:lvl w:ilvl="0" w:tentative="0">
      <w:start w:val="12"/>
      <w:numFmt w:val="decimal"/>
      <w:suff w:val="space"/>
      <w:lvlText w:val="第%1条"/>
      <w:lvlJc w:val="left"/>
    </w:lvl>
  </w:abstractNum>
  <w:abstractNum w:abstractNumId="1">
    <w:nsid w:val="9CD8131A"/>
    <w:multiLevelType w:val="singleLevel"/>
    <w:tmpl w:val="9CD8131A"/>
    <w:lvl w:ilvl="0" w:tentative="0">
      <w:start w:val="5"/>
      <w:numFmt w:val="chineseCounting"/>
      <w:suff w:val="space"/>
      <w:lvlText w:val="第%1章"/>
      <w:lvlJc w:val="left"/>
      <w:rPr>
        <w:rFonts w:hint="eastAsia"/>
      </w:rPr>
    </w:lvl>
  </w:abstractNum>
  <w:abstractNum w:abstractNumId="2">
    <w:nsid w:val="ADA339F8"/>
    <w:multiLevelType w:val="singleLevel"/>
    <w:tmpl w:val="ADA339F8"/>
    <w:lvl w:ilvl="0" w:tentative="0">
      <w:start w:val="1"/>
      <w:numFmt w:val="decimal"/>
      <w:suff w:val="nothing"/>
      <w:lvlText w:val="%1、"/>
      <w:lvlJc w:val="left"/>
    </w:lvl>
  </w:abstractNum>
  <w:abstractNum w:abstractNumId="3">
    <w:nsid w:val="00000009"/>
    <w:multiLevelType w:val="multilevel"/>
    <w:tmpl w:val="00000009"/>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4">
    <w:nsid w:val="01F6C311"/>
    <w:multiLevelType w:val="singleLevel"/>
    <w:tmpl w:val="01F6C311"/>
    <w:lvl w:ilvl="0" w:tentative="0">
      <w:start w:val="2"/>
      <w:numFmt w:val="chineseCounting"/>
      <w:suff w:val="nothing"/>
      <w:lvlText w:val="（%1）"/>
      <w:lvlJc w:val="left"/>
      <w:rPr>
        <w:rFonts w:hint="eastAsia"/>
      </w:rPr>
    </w:lvl>
  </w:abstractNum>
  <w:abstractNum w:abstractNumId="5">
    <w:nsid w:val="050E26E0"/>
    <w:multiLevelType w:val="multilevel"/>
    <w:tmpl w:val="050E26E0"/>
    <w:lvl w:ilvl="0" w:tentative="0">
      <w:start w:val="1"/>
      <w:numFmt w:val="decimal"/>
      <w:lvlText w:val="第%1章"/>
      <w:lvlJc w:val="left"/>
      <w:pPr>
        <w:ind w:left="432" w:hanging="432"/>
      </w:pPr>
      <w:rPr>
        <w:rFonts w:hint="eastAsia"/>
        <w:lang w:val="en-US"/>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pStyle w:val="6"/>
      <w:lvlText w:val="%1.%2.%3.%4"/>
      <w:lvlJc w:val="left"/>
      <w:pPr>
        <w:ind w:left="1680" w:hanging="864"/>
      </w:pPr>
      <w:rPr>
        <w:rFonts w:hint="eastAsia" w:ascii="仿宋" w:hAnsi="仿宋" w:eastAsia="仿宋"/>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6">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656767E0"/>
    <w:multiLevelType w:val="singleLevel"/>
    <w:tmpl w:val="656767E0"/>
    <w:lvl w:ilvl="0" w:tentative="0">
      <w:start w:val="1"/>
      <w:numFmt w:val="decimal"/>
      <w:pStyle w:val="13"/>
      <w:lvlText w:val="%1."/>
      <w:lvlJc w:val="left"/>
      <w:pPr>
        <w:tabs>
          <w:tab w:val="left" w:pos="2040"/>
        </w:tabs>
        <w:ind w:left="2040" w:hanging="360"/>
      </w:pPr>
    </w:lvl>
  </w:abstractNum>
  <w:abstractNum w:abstractNumId="8">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num w:numId="1">
    <w:abstractNumId w:val="5"/>
  </w:num>
  <w:num w:numId="2">
    <w:abstractNumId w:val="7"/>
  </w:num>
  <w:num w:numId="3">
    <w:abstractNumId w:val="6"/>
  </w:num>
  <w:num w:numId="4">
    <w:abstractNumId w:val="8"/>
  </w:num>
  <w:num w:numId="5">
    <w:abstractNumId w:val="3"/>
  </w:num>
  <w:num w:numId="6">
    <w:abstractNumId w:val="2"/>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NDlhZWYxYzUxMjlkMDAwNmUxMDhiZDQxMzZmYjcifQ=="/>
    <w:docVar w:name="KSO_WPS_MARK_KEY" w:val="07406984-b72e-426e-b2be-0c2dcde23ef7"/>
  </w:docVars>
  <w:rsids>
    <w:rsidRoot w:val="5B6272E2"/>
    <w:rsid w:val="00012EC2"/>
    <w:rsid w:val="001F1D2C"/>
    <w:rsid w:val="00215AA4"/>
    <w:rsid w:val="00233E4A"/>
    <w:rsid w:val="003D0404"/>
    <w:rsid w:val="004E43BF"/>
    <w:rsid w:val="00515C5E"/>
    <w:rsid w:val="00732078"/>
    <w:rsid w:val="00733E26"/>
    <w:rsid w:val="007F0A1D"/>
    <w:rsid w:val="009C512B"/>
    <w:rsid w:val="00A60F92"/>
    <w:rsid w:val="00A6244D"/>
    <w:rsid w:val="00A8768B"/>
    <w:rsid w:val="00BF52BD"/>
    <w:rsid w:val="00D03026"/>
    <w:rsid w:val="00F66F31"/>
    <w:rsid w:val="00FB62F5"/>
    <w:rsid w:val="013B2B96"/>
    <w:rsid w:val="013E4F9D"/>
    <w:rsid w:val="014632E9"/>
    <w:rsid w:val="01583748"/>
    <w:rsid w:val="0169049A"/>
    <w:rsid w:val="018A1427"/>
    <w:rsid w:val="01A85D51"/>
    <w:rsid w:val="01B0228B"/>
    <w:rsid w:val="01B97168"/>
    <w:rsid w:val="01DD59FB"/>
    <w:rsid w:val="01E50D53"/>
    <w:rsid w:val="01F1594A"/>
    <w:rsid w:val="02072A78"/>
    <w:rsid w:val="020C008E"/>
    <w:rsid w:val="021138F7"/>
    <w:rsid w:val="021E560A"/>
    <w:rsid w:val="022722ED"/>
    <w:rsid w:val="025C1016"/>
    <w:rsid w:val="0264611C"/>
    <w:rsid w:val="02775E4F"/>
    <w:rsid w:val="02785724"/>
    <w:rsid w:val="02873BB9"/>
    <w:rsid w:val="028B18FB"/>
    <w:rsid w:val="02C170CB"/>
    <w:rsid w:val="02CD3CC1"/>
    <w:rsid w:val="02E0780F"/>
    <w:rsid w:val="02F2197A"/>
    <w:rsid w:val="03035935"/>
    <w:rsid w:val="03091430"/>
    <w:rsid w:val="030E53FA"/>
    <w:rsid w:val="030E7E36"/>
    <w:rsid w:val="032D650E"/>
    <w:rsid w:val="033C2BF5"/>
    <w:rsid w:val="03404493"/>
    <w:rsid w:val="034D095E"/>
    <w:rsid w:val="036363D4"/>
    <w:rsid w:val="03724869"/>
    <w:rsid w:val="03802AE2"/>
    <w:rsid w:val="03CC3F79"/>
    <w:rsid w:val="03D9444A"/>
    <w:rsid w:val="03DA2994"/>
    <w:rsid w:val="04137DFA"/>
    <w:rsid w:val="041A2F36"/>
    <w:rsid w:val="042C2C6A"/>
    <w:rsid w:val="043B2EAD"/>
    <w:rsid w:val="043B4C5B"/>
    <w:rsid w:val="043F474B"/>
    <w:rsid w:val="04467A4A"/>
    <w:rsid w:val="04567CE7"/>
    <w:rsid w:val="047D5273"/>
    <w:rsid w:val="04A15406"/>
    <w:rsid w:val="04CB2483"/>
    <w:rsid w:val="04DE120A"/>
    <w:rsid w:val="04E43544"/>
    <w:rsid w:val="04F80D9E"/>
    <w:rsid w:val="05107E95"/>
    <w:rsid w:val="052D0A47"/>
    <w:rsid w:val="052E656D"/>
    <w:rsid w:val="053C3704"/>
    <w:rsid w:val="05542478"/>
    <w:rsid w:val="055C30DB"/>
    <w:rsid w:val="057C19CF"/>
    <w:rsid w:val="05810D93"/>
    <w:rsid w:val="05940AC6"/>
    <w:rsid w:val="05AA0B19"/>
    <w:rsid w:val="05B11678"/>
    <w:rsid w:val="05BE78F1"/>
    <w:rsid w:val="05C018BB"/>
    <w:rsid w:val="05E355AA"/>
    <w:rsid w:val="060379FA"/>
    <w:rsid w:val="06071298"/>
    <w:rsid w:val="0619721E"/>
    <w:rsid w:val="062C51A3"/>
    <w:rsid w:val="063858F6"/>
    <w:rsid w:val="06456265"/>
    <w:rsid w:val="0648365F"/>
    <w:rsid w:val="066606B5"/>
    <w:rsid w:val="066A4214"/>
    <w:rsid w:val="067258E5"/>
    <w:rsid w:val="06732DD2"/>
    <w:rsid w:val="067D155B"/>
    <w:rsid w:val="068E5516"/>
    <w:rsid w:val="06A25465"/>
    <w:rsid w:val="06A67949"/>
    <w:rsid w:val="06C36422"/>
    <w:rsid w:val="06CC603E"/>
    <w:rsid w:val="06DB482C"/>
    <w:rsid w:val="06DD024B"/>
    <w:rsid w:val="06E4782C"/>
    <w:rsid w:val="06EC048E"/>
    <w:rsid w:val="06EE4206"/>
    <w:rsid w:val="06F15AA5"/>
    <w:rsid w:val="07091040"/>
    <w:rsid w:val="071F6AB6"/>
    <w:rsid w:val="07293490"/>
    <w:rsid w:val="072B0FB7"/>
    <w:rsid w:val="073E1381"/>
    <w:rsid w:val="074402CA"/>
    <w:rsid w:val="075C73C2"/>
    <w:rsid w:val="076B5857"/>
    <w:rsid w:val="078F59E9"/>
    <w:rsid w:val="07911761"/>
    <w:rsid w:val="07A34FF1"/>
    <w:rsid w:val="07C80EFB"/>
    <w:rsid w:val="07D63618"/>
    <w:rsid w:val="07E8334B"/>
    <w:rsid w:val="07ED44BE"/>
    <w:rsid w:val="08071A24"/>
    <w:rsid w:val="0828199A"/>
    <w:rsid w:val="082F0F7A"/>
    <w:rsid w:val="084762C4"/>
    <w:rsid w:val="08501053"/>
    <w:rsid w:val="085D479F"/>
    <w:rsid w:val="086C7AD9"/>
    <w:rsid w:val="086E3851"/>
    <w:rsid w:val="08857D5A"/>
    <w:rsid w:val="089B6BE3"/>
    <w:rsid w:val="08B003FA"/>
    <w:rsid w:val="08BF5E5A"/>
    <w:rsid w:val="08DD4532"/>
    <w:rsid w:val="08EE6740"/>
    <w:rsid w:val="08F024B8"/>
    <w:rsid w:val="08F157BB"/>
    <w:rsid w:val="08F6648F"/>
    <w:rsid w:val="09136E47"/>
    <w:rsid w:val="093700E7"/>
    <w:rsid w:val="094B5940"/>
    <w:rsid w:val="09532A47"/>
    <w:rsid w:val="09630EDC"/>
    <w:rsid w:val="097053A7"/>
    <w:rsid w:val="09734E97"/>
    <w:rsid w:val="09750C0F"/>
    <w:rsid w:val="09C3197A"/>
    <w:rsid w:val="09C55502"/>
    <w:rsid w:val="09E162A4"/>
    <w:rsid w:val="09F75AC8"/>
    <w:rsid w:val="09FA2E81"/>
    <w:rsid w:val="0A04260D"/>
    <w:rsid w:val="0A051F93"/>
    <w:rsid w:val="0A1246B0"/>
    <w:rsid w:val="0A1641A0"/>
    <w:rsid w:val="0A195A3E"/>
    <w:rsid w:val="0A256191"/>
    <w:rsid w:val="0A314B36"/>
    <w:rsid w:val="0A3B7763"/>
    <w:rsid w:val="0A3E7253"/>
    <w:rsid w:val="0A5151D8"/>
    <w:rsid w:val="0A7333A0"/>
    <w:rsid w:val="0A876E4C"/>
    <w:rsid w:val="0A9B46A5"/>
    <w:rsid w:val="0AAF1EFF"/>
    <w:rsid w:val="0AC27E84"/>
    <w:rsid w:val="0AD61B81"/>
    <w:rsid w:val="0AE0030A"/>
    <w:rsid w:val="0AE47DFA"/>
    <w:rsid w:val="0AE53B72"/>
    <w:rsid w:val="0AEB73DB"/>
    <w:rsid w:val="0B093D05"/>
    <w:rsid w:val="0B163D2C"/>
    <w:rsid w:val="0B1A381C"/>
    <w:rsid w:val="0B3643CE"/>
    <w:rsid w:val="0B420FC5"/>
    <w:rsid w:val="0B512FB6"/>
    <w:rsid w:val="0B5723C0"/>
    <w:rsid w:val="0B5A00BC"/>
    <w:rsid w:val="0B5F56D3"/>
    <w:rsid w:val="0B974E6D"/>
    <w:rsid w:val="0B9E269F"/>
    <w:rsid w:val="0BA92DA1"/>
    <w:rsid w:val="0BB04180"/>
    <w:rsid w:val="0BC67500"/>
    <w:rsid w:val="0BD47E6F"/>
    <w:rsid w:val="0BE40B36"/>
    <w:rsid w:val="0BEF4CA9"/>
    <w:rsid w:val="0BF7590B"/>
    <w:rsid w:val="0BFE4EEC"/>
    <w:rsid w:val="0C085D6A"/>
    <w:rsid w:val="0C300E1D"/>
    <w:rsid w:val="0C3628D7"/>
    <w:rsid w:val="0C450D6C"/>
    <w:rsid w:val="0C4843B9"/>
    <w:rsid w:val="0C4C174B"/>
    <w:rsid w:val="0C566AD6"/>
    <w:rsid w:val="0C5E1E2E"/>
    <w:rsid w:val="0C6F1945"/>
    <w:rsid w:val="0C793C86"/>
    <w:rsid w:val="0CB90E13"/>
    <w:rsid w:val="0CC021A1"/>
    <w:rsid w:val="0CDA75DD"/>
    <w:rsid w:val="0CF4009D"/>
    <w:rsid w:val="0CF87B8D"/>
    <w:rsid w:val="0CFF53BF"/>
    <w:rsid w:val="0D1F2997"/>
    <w:rsid w:val="0D366907"/>
    <w:rsid w:val="0D4032E2"/>
    <w:rsid w:val="0D51729D"/>
    <w:rsid w:val="0D5C668E"/>
    <w:rsid w:val="0D5D3E94"/>
    <w:rsid w:val="0D682F64"/>
    <w:rsid w:val="0D755681"/>
    <w:rsid w:val="0D7A67F4"/>
    <w:rsid w:val="0D8238FA"/>
    <w:rsid w:val="0DB02216"/>
    <w:rsid w:val="0DB735A4"/>
    <w:rsid w:val="0DFD5ABA"/>
    <w:rsid w:val="0E083D1A"/>
    <w:rsid w:val="0E083E00"/>
    <w:rsid w:val="0E286250"/>
    <w:rsid w:val="0E2D6995"/>
    <w:rsid w:val="0E2D7D0A"/>
    <w:rsid w:val="0E303356"/>
    <w:rsid w:val="0E356BBF"/>
    <w:rsid w:val="0E3746E5"/>
    <w:rsid w:val="0E446505"/>
    <w:rsid w:val="0E5B4877"/>
    <w:rsid w:val="0E6A2D0C"/>
    <w:rsid w:val="0E6B1B78"/>
    <w:rsid w:val="0EAC0AFF"/>
    <w:rsid w:val="0EB10081"/>
    <w:rsid w:val="0EB45D35"/>
    <w:rsid w:val="0ECF2B6F"/>
    <w:rsid w:val="0EEA5BFB"/>
    <w:rsid w:val="0F1D38DB"/>
    <w:rsid w:val="0F212A6D"/>
    <w:rsid w:val="0F2A5FF8"/>
    <w:rsid w:val="0F3222B1"/>
    <w:rsid w:val="0F3A0931"/>
    <w:rsid w:val="0F4277E5"/>
    <w:rsid w:val="0F4F5A5E"/>
    <w:rsid w:val="0F5762D8"/>
    <w:rsid w:val="0F7A2ADB"/>
    <w:rsid w:val="0F8E47D8"/>
    <w:rsid w:val="0F917E25"/>
    <w:rsid w:val="0FA773BF"/>
    <w:rsid w:val="0FA917D5"/>
    <w:rsid w:val="0FBC30F4"/>
    <w:rsid w:val="0FCF37A9"/>
    <w:rsid w:val="0FEE5277"/>
    <w:rsid w:val="0FF02D9D"/>
    <w:rsid w:val="0FF84DDD"/>
    <w:rsid w:val="100B5E29"/>
    <w:rsid w:val="10437371"/>
    <w:rsid w:val="105477D0"/>
    <w:rsid w:val="107E484D"/>
    <w:rsid w:val="107E65FB"/>
    <w:rsid w:val="1081433D"/>
    <w:rsid w:val="108C6F6A"/>
    <w:rsid w:val="109E5710"/>
    <w:rsid w:val="10A342B4"/>
    <w:rsid w:val="10C83D1A"/>
    <w:rsid w:val="10D12BCF"/>
    <w:rsid w:val="10DE709A"/>
    <w:rsid w:val="10ED1603"/>
    <w:rsid w:val="11005262"/>
    <w:rsid w:val="11034D52"/>
    <w:rsid w:val="11036B00"/>
    <w:rsid w:val="11196324"/>
    <w:rsid w:val="11205904"/>
    <w:rsid w:val="113157AE"/>
    <w:rsid w:val="113849FC"/>
    <w:rsid w:val="113D2012"/>
    <w:rsid w:val="113D64B6"/>
    <w:rsid w:val="11472E91"/>
    <w:rsid w:val="11515ABE"/>
    <w:rsid w:val="116E2B13"/>
    <w:rsid w:val="118045F5"/>
    <w:rsid w:val="1187112C"/>
    <w:rsid w:val="11895257"/>
    <w:rsid w:val="119028A6"/>
    <w:rsid w:val="119105B0"/>
    <w:rsid w:val="11A025A1"/>
    <w:rsid w:val="11A77DD3"/>
    <w:rsid w:val="11AC53EA"/>
    <w:rsid w:val="11C23539"/>
    <w:rsid w:val="11FF19BD"/>
    <w:rsid w:val="120B18A7"/>
    <w:rsid w:val="12154D3D"/>
    <w:rsid w:val="12217B86"/>
    <w:rsid w:val="122E0A81"/>
    <w:rsid w:val="123E4EE6"/>
    <w:rsid w:val="124D44D7"/>
    <w:rsid w:val="12632C33"/>
    <w:rsid w:val="12806198"/>
    <w:rsid w:val="128123D2"/>
    <w:rsid w:val="12902616"/>
    <w:rsid w:val="12995054"/>
    <w:rsid w:val="1299771C"/>
    <w:rsid w:val="12A14823"/>
    <w:rsid w:val="12AA7B7B"/>
    <w:rsid w:val="12BA6738"/>
    <w:rsid w:val="12D20E80"/>
    <w:rsid w:val="12D711EC"/>
    <w:rsid w:val="12D76496"/>
    <w:rsid w:val="12DC585B"/>
    <w:rsid w:val="12E01540"/>
    <w:rsid w:val="12E60488"/>
    <w:rsid w:val="13113D52"/>
    <w:rsid w:val="13187776"/>
    <w:rsid w:val="131E5E73"/>
    <w:rsid w:val="132F0080"/>
    <w:rsid w:val="13345697"/>
    <w:rsid w:val="133B6A25"/>
    <w:rsid w:val="134753CA"/>
    <w:rsid w:val="135A66EC"/>
    <w:rsid w:val="13631AD8"/>
    <w:rsid w:val="136E283F"/>
    <w:rsid w:val="137361BF"/>
    <w:rsid w:val="138C39AA"/>
    <w:rsid w:val="13A04ADA"/>
    <w:rsid w:val="13A9398F"/>
    <w:rsid w:val="13AF4D1D"/>
    <w:rsid w:val="13BE4A65"/>
    <w:rsid w:val="13C54541"/>
    <w:rsid w:val="13D1738A"/>
    <w:rsid w:val="13D73320"/>
    <w:rsid w:val="13DC1FB6"/>
    <w:rsid w:val="13DD7ADC"/>
    <w:rsid w:val="141334FE"/>
    <w:rsid w:val="1423579A"/>
    <w:rsid w:val="14293155"/>
    <w:rsid w:val="142C45C0"/>
    <w:rsid w:val="14380C8E"/>
    <w:rsid w:val="144B0EEA"/>
    <w:rsid w:val="145A112D"/>
    <w:rsid w:val="14665D24"/>
    <w:rsid w:val="14780A49"/>
    <w:rsid w:val="14795AC0"/>
    <w:rsid w:val="14885C9A"/>
    <w:rsid w:val="14887A48"/>
    <w:rsid w:val="148E0DD7"/>
    <w:rsid w:val="14A16D5C"/>
    <w:rsid w:val="14C111AC"/>
    <w:rsid w:val="14C11377"/>
    <w:rsid w:val="14D36D58"/>
    <w:rsid w:val="14F0383F"/>
    <w:rsid w:val="15086F25"/>
    <w:rsid w:val="15133C2B"/>
    <w:rsid w:val="1534197E"/>
    <w:rsid w:val="1537146E"/>
    <w:rsid w:val="15406575"/>
    <w:rsid w:val="155B6F0B"/>
    <w:rsid w:val="1568787A"/>
    <w:rsid w:val="15791A87"/>
    <w:rsid w:val="15904F15"/>
    <w:rsid w:val="15973CBB"/>
    <w:rsid w:val="15A46B04"/>
    <w:rsid w:val="15B12FCF"/>
    <w:rsid w:val="15C03212"/>
    <w:rsid w:val="15C076B6"/>
    <w:rsid w:val="15CC7E09"/>
    <w:rsid w:val="15CE307A"/>
    <w:rsid w:val="15E05662"/>
    <w:rsid w:val="15E8626A"/>
    <w:rsid w:val="160E6673"/>
    <w:rsid w:val="161672D6"/>
    <w:rsid w:val="161768F2"/>
    <w:rsid w:val="16182053"/>
    <w:rsid w:val="162D0DBC"/>
    <w:rsid w:val="163634D4"/>
    <w:rsid w:val="16377978"/>
    <w:rsid w:val="164B51D1"/>
    <w:rsid w:val="165C118C"/>
    <w:rsid w:val="165F6ECF"/>
    <w:rsid w:val="166041CE"/>
    <w:rsid w:val="16816E45"/>
    <w:rsid w:val="168D7598"/>
    <w:rsid w:val="16AF39B2"/>
    <w:rsid w:val="16DE1BA1"/>
    <w:rsid w:val="16DE6045"/>
    <w:rsid w:val="16F07B27"/>
    <w:rsid w:val="17207642"/>
    <w:rsid w:val="17233A58"/>
    <w:rsid w:val="172D2B29"/>
    <w:rsid w:val="17312619"/>
    <w:rsid w:val="17321EED"/>
    <w:rsid w:val="173C03EC"/>
    <w:rsid w:val="175E2CE2"/>
    <w:rsid w:val="1763479D"/>
    <w:rsid w:val="17795D6E"/>
    <w:rsid w:val="177B3894"/>
    <w:rsid w:val="17885FB1"/>
    <w:rsid w:val="179B7A92"/>
    <w:rsid w:val="17B41A7F"/>
    <w:rsid w:val="17B84AE8"/>
    <w:rsid w:val="17BB0135"/>
    <w:rsid w:val="17C50FB3"/>
    <w:rsid w:val="17CA481C"/>
    <w:rsid w:val="17D82A95"/>
    <w:rsid w:val="180513B0"/>
    <w:rsid w:val="181066D2"/>
    <w:rsid w:val="18221F62"/>
    <w:rsid w:val="182E6B2B"/>
    <w:rsid w:val="18335F1D"/>
    <w:rsid w:val="18383533"/>
    <w:rsid w:val="184B770B"/>
    <w:rsid w:val="187327BD"/>
    <w:rsid w:val="18736C61"/>
    <w:rsid w:val="18AB01A9"/>
    <w:rsid w:val="18BD1C8B"/>
    <w:rsid w:val="18C03EC4"/>
    <w:rsid w:val="18C82B09"/>
    <w:rsid w:val="18CD0120"/>
    <w:rsid w:val="18CD6545"/>
    <w:rsid w:val="18D70B34"/>
    <w:rsid w:val="18E3280A"/>
    <w:rsid w:val="191915B7"/>
    <w:rsid w:val="19362169"/>
    <w:rsid w:val="19393A07"/>
    <w:rsid w:val="194B7296"/>
    <w:rsid w:val="194F4112"/>
    <w:rsid w:val="1954064E"/>
    <w:rsid w:val="195D2F8E"/>
    <w:rsid w:val="1969287C"/>
    <w:rsid w:val="197762DD"/>
    <w:rsid w:val="19792055"/>
    <w:rsid w:val="197B5DCD"/>
    <w:rsid w:val="19AF5A77"/>
    <w:rsid w:val="19D35C0A"/>
    <w:rsid w:val="19F13A9E"/>
    <w:rsid w:val="1A2A15A2"/>
    <w:rsid w:val="1A310B82"/>
    <w:rsid w:val="1A352420"/>
    <w:rsid w:val="1A3A7A37"/>
    <w:rsid w:val="1A3D12D5"/>
    <w:rsid w:val="1A5F56EF"/>
    <w:rsid w:val="1A736AA5"/>
    <w:rsid w:val="1A7A6085"/>
    <w:rsid w:val="1A8011C2"/>
    <w:rsid w:val="1A9F3D3E"/>
    <w:rsid w:val="1AA03612"/>
    <w:rsid w:val="1AA80E44"/>
    <w:rsid w:val="1AB8095B"/>
    <w:rsid w:val="1AC27A2C"/>
    <w:rsid w:val="1AC6751C"/>
    <w:rsid w:val="1AC83294"/>
    <w:rsid w:val="1AC92B69"/>
    <w:rsid w:val="1AE300CE"/>
    <w:rsid w:val="1AE96D67"/>
    <w:rsid w:val="1AEC6857"/>
    <w:rsid w:val="1B0167A6"/>
    <w:rsid w:val="1B216501"/>
    <w:rsid w:val="1B48218D"/>
    <w:rsid w:val="1B4B17D0"/>
    <w:rsid w:val="1B66485B"/>
    <w:rsid w:val="1B7500EC"/>
    <w:rsid w:val="1B920ECD"/>
    <w:rsid w:val="1B944F25"/>
    <w:rsid w:val="1BA053DC"/>
    <w:rsid w:val="1BA17641"/>
    <w:rsid w:val="1BB9498B"/>
    <w:rsid w:val="1BBE6445"/>
    <w:rsid w:val="1BC65F68"/>
    <w:rsid w:val="1BD619E1"/>
    <w:rsid w:val="1BE20386"/>
    <w:rsid w:val="1BF14125"/>
    <w:rsid w:val="1BFB4FA4"/>
    <w:rsid w:val="1C13053F"/>
    <w:rsid w:val="1C427076"/>
    <w:rsid w:val="1C542906"/>
    <w:rsid w:val="1C556DAA"/>
    <w:rsid w:val="1C744D56"/>
    <w:rsid w:val="1C782A98"/>
    <w:rsid w:val="1C915908"/>
    <w:rsid w:val="1CA13D9D"/>
    <w:rsid w:val="1CBD04AB"/>
    <w:rsid w:val="1CD87093"/>
    <w:rsid w:val="1CFA525B"/>
    <w:rsid w:val="1D0C4F8F"/>
    <w:rsid w:val="1D1C3424"/>
    <w:rsid w:val="1D28001A"/>
    <w:rsid w:val="1D2B3667"/>
    <w:rsid w:val="1D41732E"/>
    <w:rsid w:val="1D4214A8"/>
    <w:rsid w:val="1D434E54"/>
    <w:rsid w:val="1D4E2424"/>
    <w:rsid w:val="1D5E3A3C"/>
    <w:rsid w:val="1D6923E1"/>
    <w:rsid w:val="1D772D50"/>
    <w:rsid w:val="1D992CC6"/>
    <w:rsid w:val="1D9E02DC"/>
    <w:rsid w:val="1DB63878"/>
    <w:rsid w:val="1DC55869"/>
    <w:rsid w:val="1DD0420E"/>
    <w:rsid w:val="1DDB508D"/>
    <w:rsid w:val="1DE859FC"/>
    <w:rsid w:val="1E164317"/>
    <w:rsid w:val="1E236A34"/>
    <w:rsid w:val="1E24699A"/>
    <w:rsid w:val="1E25455A"/>
    <w:rsid w:val="1E285037"/>
    <w:rsid w:val="1E396257"/>
    <w:rsid w:val="1E4244E8"/>
    <w:rsid w:val="1E561CF7"/>
    <w:rsid w:val="1E590B98"/>
    <w:rsid w:val="1E6029D2"/>
    <w:rsid w:val="1E714FD8"/>
    <w:rsid w:val="1E9049CE"/>
    <w:rsid w:val="1E917E41"/>
    <w:rsid w:val="1E9516DF"/>
    <w:rsid w:val="1E990AA4"/>
    <w:rsid w:val="1EBD0C36"/>
    <w:rsid w:val="1ED63AA6"/>
    <w:rsid w:val="1EE241F9"/>
    <w:rsid w:val="1F027736"/>
    <w:rsid w:val="1F0E3240"/>
    <w:rsid w:val="1F207780"/>
    <w:rsid w:val="1F2940B3"/>
    <w:rsid w:val="1F4D1FBA"/>
    <w:rsid w:val="1F5E5F75"/>
    <w:rsid w:val="1F672FA8"/>
    <w:rsid w:val="1F69491A"/>
    <w:rsid w:val="1F6A2B6C"/>
    <w:rsid w:val="1F7F413E"/>
    <w:rsid w:val="1FA6791C"/>
    <w:rsid w:val="1FAD4807"/>
    <w:rsid w:val="1FC33279"/>
    <w:rsid w:val="1FD224BF"/>
    <w:rsid w:val="1FF71F26"/>
    <w:rsid w:val="1FFC12EA"/>
    <w:rsid w:val="20012DA5"/>
    <w:rsid w:val="200603BB"/>
    <w:rsid w:val="20130B19"/>
    <w:rsid w:val="201E6662"/>
    <w:rsid w:val="201E74B3"/>
    <w:rsid w:val="20407429"/>
    <w:rsid w:val="206F7D0E"/>
    <w:rsid w:val="20AA51EA"/>
    <w:rsid w:val="20C067BC"/>
    <w:rsid w:val="20CF69FF"/>
    <w:rsid w:val="20D44015"/>
    <w:rsid w:val="20DA787E"/>
    <w:rsid w:val="20DD55C0"/>
    <w:rsid w:val="20F61619"/>
    <w:rsid w:val="20F841A8"/>
    <w:rsid w:val="2100305C"/>
    <w:rsid w:val="21022930"/>
    <w:rsid w:val="21093CBF"/>
    <w:rsid w:val="21244F9D"/>
    <w:rsid w:val="213571AA"/>
    <w:rsid w:val="21515666"/>
    <w:rsid w:val="21521B0A"/>
    <w:rsid w:val="21537630"/>
    <w:rsid w:val="21570ECE"/>
    <w:rsid w:val="21613AFB"/>
    <w:rsid w:val="21731A80"/>
    <w:rsid w:val="219A525F"/>
    <w:rsid w:val="219C2D85"/>
    <w:rsid w:val="21A25EC1"/>
    <w:rsid w:val="21CE6CB6"/>
    <w:rsid w:val="21D4251F"/>
    <w:rsid w:val="22350AE4"/>
    <w:rsid w:val="22370D00"/>
    <w:rsid w:val="224156DA"/>
    <w:rsid w:val="22623FCE"/>
    <w:rsid w:val="226A2E83"/>
    <w:rsid w:val="226D64CF"/>
    <w:rsid w:val="227930C6"/>
    <w:rsid w:val="22A7378F"/>
    <w:rsid w:val="22AA2306"/>
    <w:rsid w:val="22B8599C"/>
    <w:rsid w:val="22B91715"/>
    <w:rsid w:val="22C51B52"/>
    <w:rsid w:val="22D64075"/>
    <w:rsid w:val="22E5250A"/>
    <w:rsid w:val="230D2B83"/>
    <w:rsid w:val="23196061"/>
    <w:rsid w:val="232079C4"/>
    <w:rsid w:val="232748D0"/>
    <w:rsid w:val="233139A1"/>
    <w:rsid w:val="233C00FE"/>
    <w:rsid w:val="23812232"/>
    <w:rsid w:val="238168F0"/>
    <w:rsid w:val="239006C7"/>
    <w:rsid w:val="23953EC0"/>
    <w:rsid w:val="239F6B5C"/>
    <w:rsid w:val="23B26890"/>
    <w:rsid w:val="23B30198"/>
    <w:rsid w:val="23BC644E"/>
    <w:rsid w:val="23D762F6"/>
    <w:rsid w:val="23E46C65"/>
    <w:rsid w:val="24082954"/>
    <w:rsid w:val="242332EA"/>
    <w:rsid w:val="24305A06"/>
    <w:rsid w:val="2446347C"/>
    <w:rsid w:val="2446522A"/>
    <w:rsid w:val="24704055"/>
    <w:rsid w:val="24743B45"/>
    <w:rsid w:val="24816262"/>
    <w:rsid w:val="249266C1"/>
    <w:rsid w:val="24A81A41"/>
    <w:rsid w:val="24AD5D9C"/>
    <w:rsid w:val="24AD7057"/>
    <w:rsid w:val="24D32F62"/>
    <w:rsid w:val="24D46CDA"/>
    <w:rsid w:val="24DB5972"/>
    <w:rsid w:val="24E011DB"/>
    <w:rsid w:val="24E52C95"/>
    <w:rsid w:val="250A44A9"/>
    <w:rsid w:val="250B0DE8"/>
    <w:rsid w:val="250E5D48"/>
    <w:rsid w:val="2513335E"/>
    <w:rsid w:val="25137802"/>
    <w:rsid w:val="25247889"/>
    <w:rsid w:val="252A68FA"/>
    <w:rsid w:val="25407ECB"/>
    <w:rsid w:val="254D312A"/>
    <w:rsid w:val="25657932"/>
    <w:rsid w:val="257638ED"/>
    <w:rsid w:val="2577703E"/>
    <w:rsid w:val="25803862"/>
    <w:rsid w:val="25A12702"/>
    <w:rsid w:val="25D0124F"/>
    <w:rsid w:val="25EB42DB"/>
    <w:rsid w:val="2604539D"/>
    <w:rsid w:val="26105AEF"/>
    <w:rsid w:val="261255FF"/>
    <w:rsid w:val="26154C6D"/>
    <w:rsid w:val="2619519B"/>
    <w:rsid w:val="261E2616"/>
    <w:rsid w:val="264455B7"/>
    <w:rsid w:val="26532FB4"/>
    <w:rsid w:val="26651DD9"/>
    <w:rsid w:val="267F67D1"/>
    <w:rsid w:val="268362C1"/>
    <w:rsid w:val="268A3AF4"/>
    <w:rsid w:val="26F23E7B"/>
    <w:rsid w:val="26FB22FC"/>
    <w:rsid w:val="27084A19"/>
    <w:rsid w:val="27165388"/>
    <w:rsid w:val="271B299E"/>
    <w:rsid w:val="27277595"/>
    <w:rsid w:val="2729330D"/>
    <w:rsid w:val="272A0E33"/>
    <w:rsid w:val="272E0923"/>
    <w:rsid w:val="273B094A"/>
    <w:rsid w:val="273D0B66"/>
    <w:rsid w:val="27473793"/>
    <w:rsid w:val="274C6FFB"/>
    <w:rsid w:val="27856069"/>
    <w:rsid w:val="27897907"/>
    <w:rsid w:val="27962024"/>
    <w:rsid w:val="27A56D9E"/>
    <w:rsid w:val="27A75FE0"/>
    <w:rsid w:val="27DA4607"/>
    <w:rsid w:val="27DD7C53"/>
    <w:rsid w:val="27EB411E"/>
    <w:rsid w:val="27FF5E1C"/>
    <w:rsid w:val="28011B94"/>
    <w:rsid w:val="28071641"/>
    <w:rsid w:val="281F201A"/>
    <w:rsid w:val="283006CB"/>
    <w:rsid w:val="28335AC5"/>
    <w:rsid w:val="283D06F2"/>
    <w:rsid w:val="2842145A"/>
    <w:rsid w:val="284D302B"/>
    <w:rsid w:val="28683AFD"/>
    <w:rsid w:val="28731DF1"/>
    <w:rsid w:val="287A36F4"/>
    <w:rsid w:val="28CF1C92"/>
    <w:rsid w:val="290703C0"/>
    <w:rsid w:val="290C6A42"/>
    <w:rsid w:val="29177195"/>
    <w:rsid w:val="291B6C85"/>
    <w:rsid w:val="291C47AB"/>
    <w:rsid w:val="29284336"/>
    <w:rsid w:val="293935AF"/>
    <w:rsid w:val="2944442E"/>
    <w:rsid w:val="295B3526"/>
    <w:rsid w:val="29695C42"/>
    <w:rsid w:val="297A7E50"/>
    <w:rsid w:val="297C7C3F"/>
    <w:rsid w:val="2996630C"/>
    <w:rsid w:val="29C037A2"/>
    <w:rsid w:val="29C410CB"/>
    <w:rsid w:val="29E31C2B"/>
    <w:rsid w:val="29E90B31"/>
    <w:rsid w:val="2A13795C"/>
    <w:rsid w:val="2A187669"/>
    <w:rsid w:val="2A2E4796"/>
    <w:rsid w:val="2A353D77"/>
    <w:rsid w:val="2A6B1546"/>
    <w:rsid w:val="2A6B7798"/>
    <w:rsid w:val="2AB4113F"/>
    <w:rsid w:val="2AB7478C"/>
    <w:rsid w:val="2AD01CF1"/>
    <w:rsid w:val="2AD03A9F"/>
    <w:rsid w:val="2AE01F34"/>
    <w:rsid w:val="2AEE096E"/>
    <w:rsid w:val="2AF21C68"/>
    <w:rsid w:val="2AF43C32"/>
    <w:rsid w:val="2B011EAB"/>
    <w:rsid w:val="2B0A5203"/>
    <w:rsid w:val="2B0A6FB1"/>
    <w:rsid w:val="2B0D4CF3"/>
    <w:rsid w:val="2B146082"/>
    <w:rsid w:val="2B1D67DB"/>
    <w:rsid w:val="2B1E2A5D"/>
    <w:rsid w:val="2B2A1401"/>
    <w:rsid w:val="2B2A31B0"/>
    <w:rsid w:val="2B345DDC"/>
    <w:rsid w:val="2B376C66"/>
    <w:rsid w:val="2B395AE8"/>
    <w:rsid w:val="2B4D6E9E"/>
    <w:rsid w:val="2B5E5172"/>
    <w:rsid w:val="2B764647"/>
    <w:rsid w:val="2B7B1C5D"/>
    <w:rsid w:val="2B936FA7"/>
    <w:rsid w:val="2B9B30E3"/>
    <w:rsid w:val="2BB85FF5"/>
    <w:rsid w:val="2BC2163A"/>
    <w:rsid w:val="2BDB094E"/>
    <w:rsid w:val="2BE90339"/>
    <w:rsid w:val="2BFD6B16"/>
    <w:rsid w:val="2C02237E"/>
    <w:rsid w:val="2C0B2FE1"/>
    <w:rsid w:val="2C1300E8"/>
    <w:rsid w:val="2C2C11A9"/>
    <w:rsid w:val="2C363032"/>
    <w:rsid w:val="2C5B55EB"/>
    <w:rsid w:val="2C8B068D"/>
    <w:rsid w:val="2C8E029E"/>
    <w:rsid w:val="2C8E73D1"/>
    <w:rsid w:val="2C9366C5"/>
    <w:rsid w:val="2C9E3E55"/>
    <w:rsid w:val="2C9F5E1F"/>
    <w:rsid w:val="2CA156F3"/>
    <w:rsid w:val="2CAD4098"/>
    <w:rsid w:val="2CAE1BBE"/>
    <w:rsid w:val="2CB745EA"/>
    <w:rsid w:val="2CBE62A5"/>
    <w:rsid w:val="2CC66F08"/>
    <w:rsid w:val="2CC82C80"/>
    <w:rsid w:val="2CC93B77"/>
    <w:rsid w:val="2CD07D87"/>
    <w:rsid w:val="2CE02F5B"/>
    <w:rsid w:val="2CE3364D"/>
    <w:rsid w:val="2CE33F5E"/>
    <w:rsid w:val="2CED0939"/>
    <w:rsid w:val="2CEE645F"/>
    <w:rsid w:val="2D0068BE"/>
    <w:rsid w:val="2D2F2CFF"/>
    <w:rsid w:val="2D3C71CA"/>
    <w:rsid w:val="2D542766"/>
    <w:rsid w:val="2D964E60"/>
    <w:rsid w:val="2DA134D1"/>
    <w:rsid w:val="2DA57465"/>
    <w:rsid w:val="2DAC25A2"/>
    <w:rsid w:val="2DAF2092"/>
    <w:rsid w:val="2DC518B5"/>
    <w:rsid w:val="2DCF6290"/>
    <w:rsid w:val="2DDF515E"/>
    <w:rsid w:val="2DF31F7F"/>
    <w:rsid w:val="2DFE0923"/>
    <w:rsid w:val="2E0221C2"/>
    <w:rsid w:val="2E187C37"/>
    <w:rsid w:val="2E2959A0"/>
    <w:rsid w:val="2E385BE3"/>
    <w:rsid w:val="2E4B3B69"/>
    <w:rsid w:val="2E7F3812"/>
    <w:rsid w:val="2E84707B"/>
    <w:rsid w:val="2E8E614B"/>
    <w:rsid w:val="2E9D638E"/>
    <w:rsid w:val="2EA43279"/>
    <w:rsid w:val="2EA636DF"/>
    <w:rsid w:val="2EB62CF8"/>
    <w:rsid w:val="2ECB2EFB"/>
    <w:rsid w:val="2ECB4CA9"/>
    <w:rsid w:val="2ED1340A"/>
    <w:rsid w:val="2EDE2C2F"/>
    <w:rsid w:val="2EE575D9"/>
    <w:rsid w:val="2EE6563F"/>
    <w:rsid w:val="2EEF63FC"/>
    <w:rsid w:val="2EF02962"/>
    <w:rsid w:val="2EF22236"/>
    <w:rsid w:val="2F0B154A"/>
    <w:rsid w:val="2F1026E2"/>
    <w:rsid w:val="2F113B56"/>
    <w:rsid w:val="2F191EB9"/>
    <w:rsid w:val="2F4800A8"/>
    <w:rsid w:val="2F4862FA"/>
    <w:rsid w:val="2F8C268B"/>
    <w:rsid w:val="2F922404"/>
    <w:rsid w:val="2FAD0853"/>
    <w:rsid w:val="2FB632B6"/>
    <w:rsid w:val="2FBE480E"/>
    <w:rsid w:val="2FC82F97"/>
    <w:rsid w:val="2FCD67FF"/>
    <w:rsid w:val="2FD44032"/>
    <w:rsid w:val="2FFC242B"/>
    <w:rsid w:val="300264A9"/>
    <w:rsid w:val="30073ABF"/>
    <w:rsid w:val="300A7A53"/>
    <w:rsid w:val="30110DE2"/>
    <w:rsid w:val="30161F54"/>
    <w:rsid w:val="302679BB"/>
    <w:rsid w:val="302A3C52"/>
    <w:rsid w:val="30316D8E"/>
    <w:rsid w:val="3034687E"/>
    <w:rsid w:val="30354AD0"/>
    <w:rsid w:val="3038011D"/>
    <w:rsid w:val="30517430"/>
    <w:rsid w:val="305A4537"/>
    <w:rsid w:val="307153DD"/>
    <w:rsid w:val="307C3A1B"/>
    <w:rsid w:val="308C2216"/>
    <w:rsid w:val="30965A6E"/>
    <w:rsid w:val="30A04CA8"/>
    <w:rsid w:val="30A25EDE"/>
    <w:rsid w:val="30AA08EF"/>
    <w:rsid w:val="30B6207A"/>
    <w:rsid w:val="30CA6005"/>
    <w:rsid w:val="30D373DA"/>
    <w:rsid w:val="30D75B88"/>
    <w:rsid w:val="30DA11D4"/>
    <w:rsid w:val="30E97669"/>
    <w:rsid w:val="310E0E7D"/>
    <w:rsid w:val="31172428"/>
    <w:rsid w:val="31244B45"/>
    <w:rsid w:val="312D57A8"/>
    <w:rsid w:val="31395673"/>
    <w:rsid w:val="31692558"/>
    <w:rsid w:val="318178A1"/>
    <w:rsid w:val="31853836"/>
    <w:rsid w:val="3196159F"/>
    <w:rsid w:val="319B4E07"/>
    <w:rsid w:val="31B23EFF"/>
    <w:rsid w:val="31DC1B9E"/>
    <w:rsid w:val="31ED4F37"/>
    <w:rsid w:val="32002EBC"/>
    <w:rsid w:val="323F27B7"/>
    <w:rsid w:val="324D1679"/>
    <w:rsid w:val="325A081E"/>
    <w:rsid w:val="325B0FE6"/>
    <w:rsid w:val="325F5E35"/>
    <w:rsid w:val="32686C99"/>
    <w:rsid w:val="326F1DF0"/>
    <w:rsid w:val="329D695D"/>
    <w:rsid w:val="32A016AF"/>
    <w:rsid w:val="32A0644D"/>
    <w:rsid w:val="32BA750F"/>
    <w:rsid w:val="32BD5A35"/>
    <w:rsid w:val="32C97752"/>
    <w:rsid w:val="32DC7485"/>
    <w:rsid w:val="32DF0D23"/>
    <w:rsid w:val="32F92B85"/>
    <w:rsid w:val="32FD4A2E"/>
    <w:rsid w:val="33050C4E"/>
    <w:rsid w:val="33152997"/>
    <w:rsid w:val="3321133C"/>
    <w:rsid w:val="332C1A8F"/>
    <w:rsid w:val="333A23FE"/>
    <w:rsid w:val="333E1EEE"/>
    <w:rsid w:val="334868C9"/>
    <w:rsid w:val="335A2AA0"/>
    <w:rsid w:val="337C6572"/>
    <w:rsid w:val="339A2E9C"/>
    <w:rsid w:val="33A1422B"/>
    <w:rsid w:val="33A2260A"/>
    <w:rsid w:val="33A61841"/>
    <w:rsid w:val="33A8380B"/>
    <w:rsid w:val="33B10912"/>
    <w:rsid w:val="33B43F5E"/>
    <w:rsid w:val="33D62126"/>
    <w:rsid w:val="33D95773"/>
    <w:rsid w:val="33E006B7"/>
    <w:rsid w:val="33FE342B"/>
    <w:rsid w:val="340622E0"/>
    <w:rsid w:val="340A1DD0"/>
    <w:rsid w:val="340B2B57"/>
    <w:rsid w:val="34126ED7"/>
    <w:rsid w:val="341449FD"/>
    <w:rsid w:val="34192013"/>
    <w:rsid w:val="344A48C2"/>
    <w:rsid w:val="344E43B3"/>
    <w:rsid w:val="344F1ED9"/>
    <w:rsid w:val="345117AD"/>
    <w:rsid w:val="34525525"/>
    <w:rsid w:val="346911EC"/>
    <w:rsid w:val="346E05B1"/>
    <w:rsid w:val="347B082D"/>
    <w:rsid w:val="34853B4C"/>
    <w:rsid w:val="34967B08"/>
    <w:rsid w:val="34A246FE"/>
    <w:rsid w:val="34AC732B"/>
    <w:rsid w:val="34AE30A3"/>
    <w:rsid w:val="34B85CD0"/>
    <w:rsid w:val="34BA37F6"/>
    <w:rsid w:val="34C77CC1"/>
    <w:rsid w:val="34C93A39"/>
    <w:rsid w:val="34E4516C"/>
    <w:rsid w:val="34FF38FF"/>
    <w:rsid w:val="353407B2"/>
    <w:rsid w:val="35492DCC"/>
    <w:rsid w:val="355A28E3"/>
    <w:rsid w:val="35610C1D"/>
    <w:rsid w:val="357F67EE"/>
    <w:rsid w:val="359009FB"/>
    <w:rsid w:val="35A10512"/>
    <w:rsid w:val="35A87AF3"/>
    <w:rsid w:val="35AF70D3"/>
    <w:rsid w:val="35BA7826"/>
    <w:rsid w:val="35C506A4"/>
    <w:rsid w:val="35C754D0"/>
    <w:rsid w:val="35E87EEF"/>
    <w:rsid w:val="362B4280"/>
    <w:rsid w:val="362F1FC2"/>
    <w:rsid w:val="363C648D"/>
    <w:rsid w:val="36401AD9"/>
    <w:rsid w:val="36483084"/>
    <w:rsid w:val="368045CB"/>
    <w:rsid w:val="36851BE2"/>
    <w:rsid w:val="369E4A52"/>
    <w:rsid w:val="36A06583"/>
    <w:rsid w:val="36A302BA"/>
    <w:rsid w:val="36A54032"/>
    <w:rsid w:val="36AF3103"/>
    <w:rsid w:val="36B10C29"/>
    <w:rsid w:val="36C26992"/>
    <w:rsid w:val="36D3294D"/>
    <w:rsid w:val="36DB5CA6"/>
    <w:rsid w:val="36DE12F2"/>
    <w:rsid w:val="36EA7C97"/>
    <w:rsid w:val="36EC3A0F"/>
    <w:rsid w:val="36EE59D9"/>
    <w:rsid w:val="36F34D9D"/>
    <w:rsid w:val="36F9612C"/>
    <w:rsid w:val="371346A3"/>
    <w:rsid w:val="371B42F4"/>
    <w:rsid w:val="3720190B"/>
    <w:rsid w:val="37212000"/>
    <w:rsid w:val="37227431"/>
    <w:rsid w:val="373830F8"/>
    <w:rsid w:val="37492047"/>
    <w:rsid w:val="378C557A"/>
    <w:rsid w:val="37906A90"/>
    <w:rsid w:val="379876F3"/>
    <w:rsid w:val="379A790F"/>
    <w:rsid w:val="37AE5168"/>
    <w:rsid w:val="37B22EAA"/>
    <w:rsid w:val="37C41066"/>
    <w:rsid w:val="37C4673A"/>
    <w:rsid w:val="37CB7AC8"/>
    <w:rsid w:val="37DA722C"/>
    <w:rsid w:val="37F06328"/>
    <w:rsid w:val="38033706"/>
    <w:rsid w:val="38082ACA"/>
    <w:rsid w:val="38174ABC"/>
    <w:rsid w:val="382B67B9"/>
    <w:rsid w:val="383218F5"/>
    <w:rsid w:val="383E029A"/>
    <w:rsid w:val="384A30E3"/>
    <w:rsid w:val="384C0292"/>
    <w:rsid w:val="385775AE"/>
    <w:rsid w:val="386121DB"/>
    <w:rsid w:val="38651CCB"/>
    <w:rsid w:val="386817BB"/>
    <w:rsid w:val="386C3059"/>
    <w:rsid w:val="387719FE"/>
    <w:rsid w:val="388A7983"/>
    <w:rsid w:val="388F6D48"/>
    <w:rsid w:val="38983E4E"/>
    <w:rsid w:val="389B749B"/>
    <w:rsid w:val="38A8605B"/>
    <w:rsid w:val="38BA4EF1"/>
    <w:rsid w:val="38C06F01"/>
    <w:rsid w:val="38DB1F8D"/>
    <w:rsid w:val="38E2156D"/>
    <w:rsid w:val="38E946AA"/>
    <w:rsid w:val="390F1A9A"/>
    <w:rsid w:val="39286278"/>
    <w:rsid w:val="393A4F06"/>
    <w:rsid w:val="393D67A4"/>
    <w:rsid w:val="39513FFD"/>
    <w:rsid w:val="39545FA7"/>
    <w:rsid w:val="395B4E7C"/>
    <w:rsid w:val="39643D30"/>
    <w:rsid w:val="397023F7"/>
    <w:rsid w:val="3971469F"/>
    <w:rsid w:val="397877DC"/>
    <w:rsid w:val="3991089E"/>
    <w:rsid w:val="39B301A7"/>
    <w:rsid w:val="39B609F3"/>
    <w:rsid w:val="39C25E7A"/>
    <w:rsid w:val="39CB0253"/>
    <w:rsid w:val="39D30EB6"/>
    <w:rsid w:val="39D32C64"/>
    <w:rsid w:val="39E76710"/>
    <w:rsid w:val="39FD5F33"/>
    <w:rsid w:val="39FF1ED5"/>
    <w:rsid w:val="3A0D43C8"/>
    <w:rsid w:val="3A184B1B"/>
    <w:rsid w:val="3A2160C5"/>
    <w:rsid w:val="3A3E0A25"/>
    <w:rsid w:val="3A461688"/>
    <w:rsid w:val="3A4B6C9E"/>
    <w:rsid w:val="3A5E4C24"/>
    <w:rsid w:val="3A8F74D3"/>
    <w:rsid w:val="3A98265A"/>
    <w:rsid w:val="3AA12D62"/>
    <w:rsid w:val="3AA54601"/>
    <w:rsid w:val="3AC74F4F"/>
    <w:rsid w:val="3ACC7DDF"/>
    <w:rsid w:val="3ACF5B21"/>
    <w:rsid w:val="3AD153F6"/>
    <w:rsid w:val="3AD95CCD"/>
    <w:rsid w:val="3AED7D56"/>
    <w:rsid w:val="3AEF3ACE"/>
    <w:rsid w:val="3AEF7F72"/>
    <w:rsid w:val="3AF410E4"/>
    <w:rsid w:val="3B082478"/>
    <w:rsid w:val="3B337E5E"/>
    <w:rsid w:val="3B366832"/>
    <w:rsid w:val="3B5878C5"/>
    <w:rsid w:val="3B5B73B5"/>
    <w:rsid w:val="3B5E27F9"/>
    <w:rsid w:val="3B660234"/>
    <w:rsid w:val="3B716BD9"/>
    <w:rsid w:val="3B787F67"/>
    <w:rsid w:val="3B7D732B"/>
    <w:rsid w:val="3B896C2D"/>
    <w:rsid w:val="3B8B1A48"/>
    <w:rsid w:val="3B9E22BD"/>
    <w:rsid w:val="3BA269FD"/>
    <w:rsid w:val="3BA743A8"/>
    <w:rsid w:val="3BAA45F3"/>
    <w:rsid w:val="3BB84807"/>
    <w:rsid w:val="3BBF5B96"/>
    <w:rsid w:val="3BCE04BC"/>
    <w:rsid w:val="3BD776F8"/>
    <w:rsid w:val="3BE60A52"/>
    <w:rsid w:val="3BF5780A"/>
    <w:rsid w:val="3BFA0A41"/>
    <w:rsid w:val="3C03025D"/>
    <w:rsid w:val="3C032881"/>
    <w:rsid w:val="3C1B0E77"/>
    <w:rsid w:val="3C320116"/>
    <w:rsid w:val="3C357C06"/>
    <w:rsid w:val="3C4816E7"/>
    <w:rsid w:val="3C6A3884"/>
    <w:rsid w:val="3C7921E9"/>
    <w:rsid w:val="3C876823"/>
    <w:rsid w:val="3C8841DA"/>
    <w:rsid w:val="3C8C1F1C"/>
    <w:rsid w:val="3C97441D"/>
    <w:rsid w:val="3CA37266"/>
    <w:rsid w:val="3CB7061B"/>
    <w:rsid w:val="3CC03974"/>
    <w:rsid w:val="3CC64D02"/>
    <w:rsid w:val="3CD1792F"/>
    <w:rsid w:val="3CF11D7F"/>
    <w:rsid w:val="3CF25AF7"/>
    <w:rsid w:val="3D0870C9"/>
    <w:rsid w:val="3D18555E"/>
    <w:rsid w:val="3D192B38"/>
    <w:rsid w:val="3D1B6DFC"/>
    <w:rsid w:val="3D200D67"/>
    <w:rsid w:val="3D285CC9"/>
    <w:rsid w:val="3D33448E"/>
    <w:rsid w:val="3D3B749E"/>
    <w:rsid w:val="3D474095"/>
    <w:rsid w:val="3D540560"/>
    <w:rsid w:val="3D5642D8"/>
    <w:rsid w:val="3D7309E6"/>
    <w:rsid w:val="3D8C1AA8"/>
    <w:rsid w:val="3D9358A3"/>
    <w:rsid w:val="3DA432F9"/>
    <w:rsid w:val="3DAC3EFC"/>
    <w:rsid w:val="3DE11DF4"/>
    <w:rsid w:val="3E09759C"/>
    <w:rsid w:val="3E1201FF"/>
    <w:rsid w:val="3E295549"/>
    <w:rsid w:val="3E2D328B"/>
    <w:rsid w:val="3E344619"/>
    <w:rsid w:val="3E37331B"/>
    <w:rsid w:val="3E38578C"/>
    <w:rsid w:val="3E46434D"/>
    <w:rsid w:val="3E4D1237"/>
    <w:rsid w:val="3E646581"/>
    <w:rsid w:val="3E6E11AD"/>
    <w:rsid w:val="3E894239"/>
    <w:rsid w:val="3E9B4698"/>
    <w:rsid w:val="3EAD1CD6"/>
    <w:rsid w:val="3EC00A31"/>
    <w:rsid w:val="3EDC080D"/>
    <w:rsid w:val="3EDF3E59"/>
    <w:rsid w:val="3EE871B2"/>
    <w:rsid w:val="3EF75647"/>
    <w:rsid w:val="3EF773F5"/>
    <w:rsid w:val="3F3970BD"/>
    <w:rsid w:val="3F3D5750"/>
    <w:rsid w:val="3F406FEE"/>
    <w:rsid w:val="3F4C7741"/>
    <w:rsid w:val="3F520ACF"/>
    <w:rsid w:val="3F530EB2"/>
    <w:rsid w:val="3F5B7984"/>
    <w:rsid w:val="3F7438C7"/>
    <w:rsid w:val="3F79605C"/>
    <w:rsid w:val="3F8213B4"/>
    <w:rsid w:val="3F8844F1"/>
    <w:rsid w:val="3F88629F"/>
    <w:rsid w:val="3F8A0269"/>
    <w:rsid w:val="3F8F762D"/>
    <w:rsid w:val="3F9966FE"/>
    <w:rsid w:val="3F9D61EE"/>
    <w:rsid w:val="3FB3156E"/>
    <w:rsid w:val="3FB377C0"/>
    <w:rsid w:val="3FE058A8"/>
    <w:rsid w:val="3FE74F8D"/>
    <w:rsid w:val="400242A3"/>
    <w:rsid w:val="4004001B"/>
    <w:rsid w:val="400B13AA"/>
    <w:rsid w:val="400B75FC"/>
    <w:rsid w:val="401364B0"/>
    <w:rsid w:val="40185875"/>
    <w:rsid w:val="40251D40"/>
    <w:rsid w:val="402E32EA"/>
    <w:rsid w:val="405A5E8D"/>
    <w:rsid w:val="407C5E04"/>
    <w:rsid w:val="4095063D"/>
    <w:rsid w:val="409A44DC"/>
    <w:rsid w:val="40A67324"/>
    <w:rsid w:val="40A84E4B"/>
    <w:rsid w:val="40CB0B39"/>
    <w:rsid w:val="40E8793D"/>
    <w:rsid w:val="40EA7211"/>
    <w:rsid w:val="40F8389B"/>
    <w:rsid w:val="41036525"/>
    <w:rsid w:val="410D2F00"/>
    <w:rsid w:val="412F731A"/>
    <w:rsid w:val="413761CE"/>
    <w:rsid w:val="41401527"/>
    <w:rsid w:val="418036D2"/>
    <w:rsid w:val="41872CB2"/>
    <w:rsid w:val="4191768D"/>
    <w:rsid w:val="419B49AF"/>
    <w:rsid w:val="41A01252"/>
    <w:rsid w:val="41A01FC6"/>
    <w:rsid w:val="41A27AEC"/>
    <w:rsid w:val="41A970CC"/>
    <w:rsid w:val="41AE46E3"/>
    <w:rsid w:val="41B11ADD"/>
    <w:rsid w:val="41D35EF7"/>
    <w:rsid w:val="41E00614"/>
    <w:rsid w:val="41EF72C8"/>
    <w:rsid w:val="41F06AA9"/>
    <w:rsid w:val="41FD4D22"/>
    <w:rsid w:val="42075BA1"/>
    <w:rsid w:val="42366486"/>
    <w:rsid w:val="423C1CEE"/>
    <w:rsid w:val="423F358D"/>
    <w:rsid w:val="425E3790"/>
    <w:rsid w:val="42641245"/>
    <w:rsid w:val="42672AE3"/>
    <w:rsid w:val="42721D88"/>
    <w:rsid w:val="4273590C"/>
    <w:rsid w:val="42770F78"/>
    <w:rsid w:val="428E62C2"/>
    <w:rsid w:val="4294443A"/>
    <w:rsid w:val="429513FF"/>
    <w:rsid w:val="42A47894"/>
    <w:rsid w:val="42BE6BA7"/>
    <w:rsid w:val="42C65A5C"/>
    <w:rsid w:val="42CF2B62"/>
    <w:rsid w:val="42DC4294"/>
    <w:rsid w:val="42DF267A"/>
    <w:rsid w:val="42E63A08"/>
    <w:rsid w:val="430F22F3"/>
    <w:rsid w:val="43167FA6"/>
    <w:rsid w:val="431E31A2"/>
    <w:rsid w:val="432602A9"/>
    <w:rsid w:val="432B1D63"/>
    <w:rsid w:val="433B60C3"/>
    <w:rsid w:val="43455505"/>
    <w:rsid w:val="4359242C"/>
    <w:rsid w:val="436D074D"/>
    <w:rsid w:val="43792ACE"/>
    <w:rsid w:val="43884ABF"/>
    <w:rsid w:val="438F5E4E"/>
    <w:rsid w:val="43993170"/>
    <w:rsid w:val="43A37B4B"/>
    <w:rsid w:val="43B35F95"/>
    <w:rsid w:val="43B6162D"/>
    <w:rsid w:val="43BB30E7"/>
    <w:rsid w:val="43BC2914"/>
    <w:rsid w:val="43C51732"/>
    <w:rsid w:val="43CC70A2"/>
    <w:rsid w:val="43CD6976"/>
    <w:rsid w:val="43D877F5"/>
    <w:rsid w:val="43E837B0"/>
    <w:rsid w:val="43E91A02"/>
    <w:rsid w:val="443F7874"/>
    <w:rsid w:val="445350CD"/>
    <w:rsid w:val="445B7548"/>
    <w:rsid w:val="445D7CFA"/>
    <w:rsid w:val="4475773A"/>
    <w:rsid w:val="447F469A"/>
    <w:rsid w:val="448501F9"/>
    <w:rsid w:val="449B0822"/>
    <w:rsid w:val="44A818BD"/>
    <w:rsid w:val="44B26298"/>
    <w:rsid w:val="44B648CE"/>
    <w:rsid w:val="44D22496"/>
    <w:rsid w:val="44D501D8"/>
    <w:rsid w:val="44DC1567"/>
    <w:rsid w:val="44E64193"/>
    <w:rsid w:val="44E87F0C"/>
    <w:rsid w:val="44ED5210"/>
    <w:rsid w:val="44F32BB8"/>
    <w:rsid w:val="4517259F"/>
    <w:rsid w:val="451E392D"/>
    <w:rsid w:val="45221714"/>
    <w:rsid w:val="452D3B70"/>
    <w:rsid w:val="453E5D7D"/>
    <w:rsid w:val="45401AF6"/>
    <w:rsid w:val="456D0411"/>
    <w:rsid w:val="458D460F"/>
    <w:rsid w:val="45B47338"/>
    <w:rsid w:val="45B93656"/>
    <w:rsid w:val="45C06792"/>
    <w:rsid w:val="45CC3389"/>
    <w:rsid w:val="45DE30BD"/>
    <w:rsid w:val="45E5269D"/>
    <w:rsid w:val="45F8417E"/>
    <w:rsid w:val="46087A54"/>
    <w:rsid w:val="462431C5"/>
    <w:rsid w:val="462C1A65"/>
    <w:rsid w:val="4630260D"/>
    <w:rsid w:val="46380A1F"/>
    <w:rsid w:val="463D4287"/>
    <w:rsid w:val="46517D32"/>
    <w:rsid w:val="46733805"/>
    <w:rsid w:val="467D0B27"/>
    <w:rsid w:val="468A6DA0"/>
    <w:rsid w:val="469D0882"/>
    <w:rsid w:val="469E3530"/>
    <w:rsid w:val="469F0A9E"/>
    <w:rsid w:val="46B61944"/>
    <w:rsid w:val="46E75FA1"/>
    <w:rsid w:val="46F51AD5"/>
    <w:rsid w:val="47240FA3"/>
    <w:rsid w:val="47376F28"/>
    <w:rsid w:val="473C453F"/>
    <w:rsid w:val="473C62ED"/>
    <w:rsid w:val="474A6558"/>
    <w:rsid w:val="474B6530"/>
    <w:rsid w:val="47590C4D"/>
    <w:rsid w:val="475F1FDB"/>
    <w:rsid w:val="476A2E5A"/>
    <w:rsid w:val="476B0980"/>
    <w:rsid w:val="477505C5"/>
    <w:rsid w:val="47794E4B"/>
    <w:rsid w:val="477D269F"/>
    <w:rsid w:val="477E0303"/>
    <w:rsid w:val="477F442B"/>
    <w:rsid w:val="478B4B7E"/>
    <w:rsid w:val="478F08C3"/>
    <w:rsid w:val="478F28C0"/>
    <w:rsid w:val="479779C7"/>
    <w:rsid w:val="479A3013"/>
    <w:rsid w:val="47A10846"/>
    <w:rsid w:val="47C167F2"/>
    <w:rsid w:val="47D46525"/>
    <w:rsid w:val="47D74267"/>
    <w:rsid w:val="47DE73A4"/>
    <w:rsid w:val="47E86474"/>
    <w:rsid w:val="48084421"/>
    <w:rsid w:val="480A63EB"/>
    <w:rsid w:val="48164D90"/>
    <w:rsid w:val="4819662E"/>
    <w:rsid w:val="48284AC3"/>
    <w:rsid w:val="482C1B4D"/>
    <w:rsid w:val="482C6F4F"/>
    <w:rsid w:val="48360F8E"/>
    <w:rsid w:val="484511D1"/>
    <w:rsid w:val="485F2BB9"/>
    <w:rsid w:val="486024AF"/>
    <w:rsid w:val="486C2C02"/>
    <w:rsid w:val="48741AB6"/>
    <w:rsid w:val="488A3088"/>
    <w:rsid w:val="488D7A30"/>
    <w:rsid w:val="48A56114"/>
    <w:rsid w:val="48D662CD"/>
    <w:rsid w:val="48DA400F"/>
    <w:rsid w:val="48F14EB5"/>
    <w:rsid w:val="49117305"/>
    <w:rsid w:val="491F1A22"/>
    <w:rsid w:val="492E6109"/>
    <w:rsid w:val="49495F6A"/>
    <w:rsid w:val="49530051"/>
    <w:rsid w:val="49584F34"/>
    <w:rsid w:val="495A373C"/>
    <w:rsid w:val="496B110B"/>
    <w:rsid w:val="496B4C67"/>
    <w:rsid w:val="497F295F"/>
    <w:rsid w:val="49926698"/>
    <w:rsid w:val="49A5744B"/>
    <w:rsid w:val="49C046F1"/>
    <w:rsid w:val="49C54BFC"/>
    <w:rsid w:val="49CF51F6"/>
    <w:rsid w:val="49D92519"/>
    <w:rsid w:val="49DB1F32"/>
    <w:rsid w:val="49E1317B"/>
    <w:rsid w:val="49F27137"/>
    <w:rsid w:val="4A05330E"/>
    <w:rsid w:val="4A111CB3"/>
    <w:rsid w:val="4A1D0657"/>
    <w:rsid w:val="4A201EF6"/>
    <w:rsid w:val="4A547DF1"/>
    <w:rsid w:val="4A5C2802"/>
    <w:rsid w:val="4A6242BC"/>
    <w:rsid w:val="4A653DAC"/>
    <w:rsid w:val="4A673681"/>
    <w:rsid w:val="4A7162AD"/>
    <w:rsid w:val="4A84199A"/>
    <w:rsid w:val="4A8D338B"/>
    <w:rsid w:val="4A977FEF"/>
    <w:rsid w:val="4AA2290B"/>
    <w:rsid w:val="4ABC614A"/>
    <w:rsid w:val="4AC22FAD"/>
    <w:rsid w:val="4ADA02F6"/>
    <w:rsid w:val="4AE72A13"/>
    <w:rsid w:val="4AE86B80"/>
    <w:rsid w:val="4AF036F1"/>
    <w:rsid w:val="4AFC64BF"/>
    <w:rsid w:val="4B014DB7"/>
    <w:rsid w:val="4B0610EB"/>
    <w:rsid w:val="4B294DDA"/>
    <w:rsid w:val="4B411787"/>
    <w:rsid w:val="4B447E66"/>
    <w:rsid w:val="4B6422B6"/>
    <w:rsid w:val="4B644030"/>
    <w:rsid w:val="4B647BC0"/>
    <w:rsid w:val="4B9E1324"/>
    <w:rsid w:val="4BAD1567"/>
    <w:rsid w:val="4BAD77B9"/>
    <w:rsid w:val="4BC36FDC"/>
    <w:rsid w:val="4BC52D55"/>
    <w:rsid w:val="4BC6087B"/>
    <w:rsid w:val="4BCB5E91"/>
    <w:rsid w:val="4BD034A7"/>
    <w:rsid w:val="4BD50ABE"/>
    <w:rsid w:val="4BDA60D4"/>
    <w:rsid w:val="4BE60F1D"/>
    <w:rsid w:val="4BEA1026"/>
    <w:rsid w:val="4C172E84"/>
    <w:rsid w:val="4C2E4AAE"/>
    <w:rsid w:val="4C373527"/>
    <w:rsid w:val="4C3861B2"/>
    <w:rsid w:val="4C392DFB"/>
    <w:rsid w:val="4C4A325A"/>
    <w:rsid w:val="4C51283A"/>
    <w:rsid w:val="4C5C2F8D"/>
    <w:rsid w:val="4C79769B"/>
    <w:rsid w:val="4C9D5A7F"/>
    <w:rsid w:val="4CA02E7A"/>
    <w:rsid w:val="4CB3199D"/>
    <w:rsid w:val="4CC254E6"/>
    <w:rsid w:val="4CD3324F"/>
    <w:rsid w:val="4CF51418"/>
    <w:rsid w:val="4CF5400E"/>
    <w:rsid w:val="4CF84A64"/>
    <w:rsid w:val="4D001B6A"/>
    <w:rsid w:val="4D007D19"/>
    <w:rsid w:val="4D245859"/>
    <w:rsid w:val="4D267823"/>
    <w:rsid w:val="4D396C29"/>
    <w:rsid w:val="4D3E601F"/>
    <w:rsid w:val="4D467EC5"/>
    <w:rsid w:val="4D587BF8"/>
    <w:rsid w:val="4D5A3970"/>
    <w:rsid w:val="4D655613"/>
    <w:rsid w:val="4D8077D2"/>
    <w:rsid w:val="4D8409ED"/>
    <w:rsid w:val="4D950505"/>
    <w:rsid w:val="4D986247"/>
    <w:rsid w:val="4D9C7AE5"/>
    <w:rsid w:val="4DA819E3"/>
    <w:rsid w:val="4DA92202"/>
    <w:rsid w:val="4DCB03CA"/>
    <w:rsid w:val="4DD3102D"/>
    <w:rsid w:val="4DDC25D7"/>
    <w:rsid w:val="4E0631B0"/>
    <w:rsid w:val="4E1A4EAE"/>
    <w:rsid w:val="4E1C4782"/>
    <w:rsid w:val="4E1F4272"/>
    <w:rsid w:val="4E2B2C17"/>
    <w:rsid w:val="4E8F764A"/>
    <w:rsid w:val="4E910DA4"/>
    <w:rsid w:val="4E9B1B4B"/>
    <w:rsid w:val="4E9C3B15"/>
    <w:rsid w:val="4EA03605"/>
    <w:rsid w:val="4EB42C0C"/>
    <w:rsid w:val="4ED17C62"/>
    <w:rsid w:val="4EDB463D"/>
    <w:rsid w:val="4EE334F2"/>
    <w:rsid w:val="4EE473BA"/>
    <w:rsid w:val="4EF31987"/>
    <w:rsid w:val="4F0040A4"/>
    <w:rsid w:val="4F1D07B2"/>
    <w:rsid w:val="4F277882"/>
    <w:rsid w:val="4F363F2D"/>
    <w:rsid w:val="4F3D70A6"/>
    <w:rsid w:val="4F42646A"/>
    <w:rsid w:val="4F552641"/>
    <w:rsid w:val="4F58517B"/>
    <w:rsid w:val="4F622668"/>
    <w:rsid w:val="4F6463E1"/>
    <w:rsid w:val="4F860A4D"/>
    <w:rsid w:val="4F894099"/>
    <w:rsid w:val="4F974A08"/>
    <w:rsid w:val="4F9C201E"/>
    <w:rsid w:val="4FBA6948"/>
    <w:rsid w:val="4FC9093A"/>
    <w:rsid w:val="4FD11648"/>
    <w:rsid w:val="4FE70DC0"/>
    <w:rsid w:val="50117696"/>
    <w:rsid w:val="50151DD1"/>
    <w:rsid w:val="501A73E7"/>
    <w:rsid w:val="50210776"/>
    <w:rsid w:val="50233F34"/>
    <w:rsid w:val="502D307F"/>
    <w:rsid w:val="503C2A84"/>
    <w:rsid w:val="503E1327"/>
    <w:rsid w:val="505E72D4"/>
    <w:rsid w:val="506F7733"/>
    <w:rsid w:val="50852AB2"/>
    <w:rsid w:val="5095081C"/>
    <w:rsid w:val="50AC3A48"/>
    <w:rsid w:val="50B74C36"/>
    <w:rsid w:val="50BD049E"/>
    <w:rsid w:val="50CA6717"/>
    <w:rsid w:val="50D61560"/>
    <w:rsid w:val="50E27F05"/>
    <w:rsid w:val="50F32112"/>
    <w:rsid w:val="50FE2865"/>
    <w:rsid w:val="51025EB1"/>
    <w:rsid w:val="512E4EF8"/>
    <w:rsid w:val="51621046"/>
    <w:rsid w:val="5176689F"/>
    <w:rsid w:val="51A624E0"/>
    <w:rsid w:val="51AC22C1"/>
    <w:rsid w:val="51C25640"/>
    <w:rsid w:val="51D90405"/>
    <w:rsid w:val="51DA0BDC"/>
    <w:rsid w:val="51E67581"/>
    <w:rsid w:val="51E97071"/>
    <w:rsid w:val="51EC090F"/>
    <w:rsid w:val="51F7178E"/>
    <w:rsid w:val="520B6FE7"/>
    <w:rsid w:val="52263E21"/>
    <w:rsid w:val="522C6173"/>
    <w:rsid w:val="5246001F"/>
    <w:rsid w:val="52584F80"/>
    <w:rsid w:val="526308B6"/>
    <w:rsid w:val="52734B8D"/>
    <w:rsid w:val="528079D5"/>
    <w:rsid w:val="528C4735"/>
    <w:rsid w:val="529813CF"/>
    <w:rsid w:val="52984C3B"/>
    <w:rsid w:val="52A80CDA"/>
    <w:rsid w:val="52A94012"/>
    <w:rsid w:val="52B21B59"/>
    <w:rsid w:val="52B256B5"/>
    <w:rsid w:val="52B61649"/>
    <w:rsid w:val="52CA0C50"/>
    <w:rsid w:val="52D84BFF"/>
    <w:rsid w:val="52E55A8A"/>
    <w:rsid w:val="52EB4176"/>
    <w:rsid w:val="52FB3500"/>
    <w:rsid w:val="53095C1D"/>
    <w:rsid w:val="53195734"/>
    <w:rsid w:val="532760A3"/>
    <w:rsid w:val="533E519B"/>
    <w:rsid w:val="534C7FF0"/>
    <w:rsid w:val="53986FA1"/>
    <w:rsid w:val="53A2397B"/>
    <w:rsid w:val="53B042EA"/>
    <w:rsid w:val="53B67427"/>
    <w:rsid w:val="53BA6F17"/>
    <w:rsid w:val="53BE28FB"/>
    <w:rsid w:val="53CE516A"/>
    <w:rsid w:val="53F266B1"/>
    <w:rsid w:val="53FC752F"/>
    <w:rsid w:val="5402266C"/>
    <w:rsid w:val="542C0846"/>
    <w:rsid w:val="542D76E9"/>
    <w:rsid w:val="543F741C"/>
    <w:rsid w:val="54505185"/>
    <w:rsid w:val="54610592"/>
    <w:rsid w:val="546724CF"/>
    <w:rsid w:val="54817A35"/>
    <w:rsid w:val="549C03CB"/>
    <w:rsid w:val="54A86D6F"/>
    <w:rsid w:val="54AB4AB2"/>
    <w:rsid w:val="54AD082A"/>
    <w:rsid w:val="54C44F4A"/>
    <w:rsid w:val="54D73556"/>
    <w:rsid w:val="54E57FC4"/>
    <w:rsid w:val="54E64340"/>
    <w:rsid w:val="54F55D2D"/>
    <w:rsid w:val="5503044A"/>
    <w:rsid w:val="550B72FE"/>
    <w:rsid w:val="551E7032"/>
    <w:rsid w:val="554A7E27"/>
    <w:rsid w:val="55560EC1"/>
    <w:rsid w:val="55562C6F"/>
    <w:rsid w:val="55577435"/>
    <w:rsid w:val="556A04C9"/>
    <w:rsid w:val="556D1D67"/>
    <w:rsid w:val="558E065B"/>
    <w:rsid w:val="559A7000"/>
    <w:rsid w:val="55A0038E"/>
    <w:rsid w:val="55C20305"/>
    <w:rsid w:val="55CA71B9"/>
    <w:rsid w:val="55CF47D0"/>
    <w:rsid w:val="55D5099A"/>
    <w:rsid w:val="55E4027B"/>
    <w:rsid w:val="55F54424"/>
    <w:rsid w:val="562B7C58"/>
    <w:rsid w:val="56332FB1"/>
    <w:rsid w:val="563F1955"/>
    <w:rsid w:val="56682C5A"/>
    <w:rsid w:val="56933A4F"/>
    <w:rsid w:val="569C6DA8"/>
    <w:rsid w:val="56A31EE4"/>
    <w:rsid w:val="56A93273"/>
    <w:rsid w:val="56B85264"/>
    <w:rsid w:val="56C02A96"/>
    <w:rsid w:val="56DB78D0"/>
    <w:rsid w:val="56E637D2"/>
    <w:rsid w:val="57034731"/>
    <w:rsid w:val="571065D9"/>
    <w:rsid w:val="5711306A"/>
    <w:rsid w:val="57250B4B"/>
    <w:rsid w:val="572A4CB6"/>
    <w:rsid w:val="5730129E"/>
    <w:rsid w:val="57566F57"/>
    <w:rsid w:val="57650F48"/>
    <w:rsid w:val="577B69BD"/>
    <w:rsid w:val="578735B4"/>
    <w:rsid w:val="578810DA"/>
    <w:rsid w:val="579B0E0D"/>
    <w:rsid w:val="57B7551B"/>
    <w:rsid w:val="57BD3696"/>
    <w:rsid w:val="57C32649"/>
    <w:rsid w:val="57CD58B9"/>
    <w:rsid w:val="57E72C95"/>
    <w:rsid w:val="57FB18AC"/>
    <w:rsid w:val="580544D9"/>
    <w:rsid w:val="580F1C97"/>
    <w:rsid w:val="583059FA"/>
    <w:rsid w:val="58356EA3"/>
    <w:rsid w:val="583A0626"/>
    <w:rsid w:val="5849381E"/>
    <w:rsid w:val="584D65AC"/>
    <w:rsid w:val="585039A6"/>
    <w:rsid w:val="585A7C7F"/>
    <w:rsid w:val="585F008D"/>
    <w:rsid w:val="585F1E3B"/>
    <w:rsid w:val="58647451"/>
    <w:rsid w:val="586A0A05"/>
    <w:rsid w:val="586C6306"/>
    <w:rsid w:val="587214D2"/>
    <w:rsid w:val="58737694"/>
    <w:rsid w:val="58942478"/>
    <w:rsid w:val="58AB32D2"/>
    <w:rsid w:val="58AD704A"/>
    <w:rsid w:val="58C46142"/>
    <w:rsid w:val="58C63C68"/>
    <w:rsid w:val="58F24A5D"/>
    <w:rsid w:val="58FA2064"/>
    <w:rsid w:val="590B22B6"/>
    <w:rsid w:val="593908DE"/>
    <w:rsid w:val="593C2FD0"/>
    <w:rsid w:val="59513E7A"/>
    <w:rsid w:val="59684D1F"/>
    <w:rsid w:val="596A0A97"/>
    <w:rsid w:val="597B2CA5"/>
    <w:rsid w:val="59815DE1"/>
    <w:rsid w:val="599124C8"/>
    <w:rsid w:val="599455CC"/>
    <w:rsid w:val="59B30362"/>
    <w:rsid w:val="59B54439"/>
    <w:rsid w:val="59C83A10"/>
    <w:rsid w:val="59E048F6"/>
    <w:rsid w:val="59E56B11"/>
    <w:rsid w:val="59E7658C"/>
    <w:rsid w:val="59EA4856"/>
    <w:rsid w:val="5A04713E"/>
    <w:rsid w:val="5A0709DC"/>
    <w:rsid w:val="5A1629CD"/>
    <w:rsid w:val="5A1C1CB8"/>
    <w:rsid w:val="5A1F7AD4"/>
    <w:rsid w:val="5A2570B4"/>
    <w:rsid w:val="5A3A490E"/>
    <w:rsid w:val="5A427C66"/>
    <w:rsid w:val="5A47702B"/>
    <w:rsid w:val="5A643739"/>
    <w:rsid w:val="5A6574B1"/>
    <w:rsid w:val="5A6C6FE1"/>
    <w:rsid w:val="5A9164F8"/>
    <w:rsid w:val="5A9A1850"/>
    <w:rsid w:val="5AA004E9"/>
    <w:rsid w:val="5AA955EF"/>
    <w:rsid w:val="5AB80AB5"/>
    <w:rsid w:val="5ABA77FD"/>
    <w:rsid w:val="5AC42429"/>
    <w:rsid w:val="5B0867BA"/>
    <w:rsid w:val="5B0F5D9A"/>
    <w:rsid w:val="5B372BFB"/>
    <w:rsid w:val="5B4D0671"/>
    <w:rsid w:val="5B500161"/>
    <w:rsid w:val="5B5C4D58"/>
    <w:rsid w:val="5B6272E2"/>
    <w:rsid w:val="5B6E2B54"/>
    <w:rsid w:val="5B6F4A8B"/>
    <w:rsid w:val="5B8027F4"/>
    <w:rsid w:val="5B8D4F11"/>
    <w:rsid w:val="5B975D90"/>
    <w:rsid w:val="5BB4249E"/>
    <w:rsid w:val="5BB865F9"/>
    <w:rsid w:val="5BC3570F"/>
    <w:rsid w:val="5BD42B40"/>
    <w:rsid w:val="5BD4669C"/>
    <w:rsid w:val="5BDB3ECE"/>
    <w:rsid w:val="5BDB5C7C"/>
    <w:rsid w:val="5BFC33FA"/>
    <w:rsid w:val="5BFC5BF3"/>
    <w:rsid w:val="5BFE196B"/>
    <w:rsid w:val="5C186ED1"/>
    <w:rsid w:val="5C381321"/>
    <w:rsid w:val="5C3871D2"/>
    <w:rsid w:val="5C4708E2"/>
    <w:rsid w:val="5C5B6DBD"/>
    <w:rsid w:val="5C693288"/>
    <w:rsid w:val="5C6E6AF1"/>
    <w:rsid w:val="5C82434A"/>
    <w:rsid w:val="5CA11446"/>
    <w:rsid w:val="5CA2679A"/>
    <w:rsid w:val="5CC2508E"/>
    <w:rsid w:val="5CC3512F"/>
    <w:rsid w:val="5CC901CB"/>
    <w:rsid w:val="5CE2303B"/>
    <w:rsid w:val="5CF214D0"/>
    <w:rsid w:val="5D177188"/>
    <w:rsid w:val="5D1A27D4"/>
    <w:rsid w:val="5D235B2D"/>
    <w:rsid w:val="5D2A318D"/>
    <w:rsid w:val="5D2D2508"/>
    <w:rsid w:val="5D3B1EF7"/>
    <w:rsid w:val="5D4635C9"/>
    <w:rsid w:val="5D561C40"/>
    <w:rsid w:val="5D6E48CE"/>
    <w:rsid w:val="5D7243BE"/>
    <w:rsid w:val="5D72616D"/>
    <w:rsid w:val="5D752101"/>
    <w:rsid w:val="5D7E07CE"/>
    <w:rsid w:val="5D84685A"/>
    <w:rsid w:val="5D897ECB"/>
    <w:rsid w:val="5DA43C29"/>
    <w:rsid w:val="5DAD53F7"/>
    <w:rsid w:val="5DC565A7"/>
    <w:rsid w:val="5DCD5A99"/>
    <w:rsid w:val="5DD030CB"/>
    <w:rsid w:val="5E0A36B4"/>
    <w:rsid w:val="5E102B2D"/>
    <w:rsid w:val="5E1436C8"/>
    <w:rsid w:val="5E197FB4"/>
    <w:rsid w:val="5E227B93"/>
    <w:rsid w:val="5E317DD6"/>
    <w:rsid w:val="5E5C147A"/>
    <w:rsid w:val="5E671A49"/>
    <w:rsid w:val="5E6E102A"/>
    <w:rsid w:val="5E6F6B50"/>
    <w:rsid w:val="5E8B1BDC"/>
    <w:rsid w:val="5E8C325E"/>
    <w:rsid w:val="5E99597B"/>
    <w:rsid w:val="5EB36A3D"/>
    <w:rsid w:val="5EBB1C78"/>
    <w:rsid w:val="5EC23124"/>
    <w:rsid w:val="5EF07C91"/>
    <w:rsid w:val="5EFD5F0A"/>
    <w:rsid w:val="5F0B6879"/>
    <w:rsid w:val="5F294F51"/>
    <w:rsid w:val="5F3863B7"/>
    <w:rsid w:val="5F553F98"/>
    <w:rsid w:val="5F6146EB"/>
    <w:rsid w:val="5F645F89"/>
    <w:rsid w:val="5F683CCB"/>
    <w:rsid w:val="5F8108E9"/>
    <w:rsid w:val="5F8D1984"/>
    <w:rsid w:val="5F93061C"/>
    <w:rsid w:val="5F942D12"/>
    <w:rsid w:val="5F954394"/>
    <w:rsid w:val="5F9C3975"/>
    <w:rsid w:val="5F9F3465"/>
    <w:rsid w:val="5FA6034F"/>
    <w:rsid w:val="5FAD5B82"/>
    <w:rsid w:val="5FB71F65"/>
    <w:rsid w:val="5FBA204D"/>
    <w:rsid w:val="5FEB0458"/>
    <w:rsid w:val="5FF7504F"/>
    <w:rsid w:val="5FF94923"/>
    <w:rsid w:val="6008100A"/>
    <w:rsid w:val="600840CA"/>
    <w:rsid w:val="600F05EB"/>
    <w:rsid w:val="600F4147"/>
    <w:rsid w:val="60261490"/>
    <w:rsid w:val="602B2A31"/>
    <w:rsid w:val="603C0CB4"/>
    <w:rsid w:val="60430294"/>
    <w:rsid w:val="604E1113"/>
    <w:rsid w:val="60545FFD"/>
    <w:rsid w:val="60563B24"/>
    <w:rsid w:val="60575AEE"/>
    <w:rsid w:val="60701D9F"/>
    <w:rsid w:val="60732927"/>
    <w:rsid w:val="607466A0"/>
    <w:rsid w:val="607B17DC"/>
    <w:rsid w:val="60874625"/>
    <w:rsid w:val="609A4D89"/>
    <w:rsid w:val="609B59DA"/>
    <w:rsid w:val="609E54CA"/>
    <w:rsid w:val="60A30D33"/>
    <w:rsid w:val="60A353E7"/>
    <w:rsid w:val="60C72C73"/>
    <w:rsid w:val="60D777F7"/>
    <w:rsid w:val="60DA0BF8"/>
    <w:rsid w:val="60E5134B"/>
    <w:rsid w:val="60EC6236"/>
    <w:rsid w:val="60F029BD"/>
    <w:rsid w:val="60F33A68"/>
    <w:rsid w:val="6131633F"/>
    <w:rsid w:val="61430ACE"/>
    <w:rsid w:val="614C5017"/>
    <w:rsid w:val="615A3AE7"/>
    <w:rsid w:val="61730705"/>
    <w:rsid w:val="61776447"/>
    <w:rsid w:val="618446C0"/>
    <w:rsid w:val="619A3EE4"/>
    <w:rsid w:val="61A60ADB"/>
    <w:rsid w:val="61B56F70"/>
    <w:rsid w:val="61CB0541"/>
    <w:rsid w:val="61D513C0"/>
    <w:rsid w:val="61D92C5E"/>
    <w:rsid w:val="61DE2022"/>
    <w:rsid w:val="61E0223F"/>
    <w:rsid w:val="61E3588B"/>
    <w:rsid w:val="61EF2482"/>
    <w:rsid w:val="61F5736C"/>
    <w:rsid w:val="61FB0E26"/>
    <w:rsid w:val="62053A53"/>
    <w:rsid w:val="620D6DAC"/>
    <w:rsid w:val="621D3848"/>
    <w:rsid w:val="622F05D2"/>
    <w:rsid w:val="62465E1A"/>
    <w:rsid w:val="62487DE4"/>
    <w:rsid w:val="6252656D"/>
    <w:rsid w:val="626A0D58"/>
    <w:rsid w:val="62743F92"/>
    <w:rsid w:val="627C183B"/>
    <w:rsid w:val="62854B94"/>
    <w:rsid w:val="62AE40EB"/>
    <w:rsid w:val="62AE5E99"/>
    <w:rsid w:val="62B86D17"/>
    <w:rsid w:val="62BF00A6"/>
    <w:rsid w:val="62E55633"/>
    <w:rsid w:val="62F45876"/>
    <w:rsid w:val="62FF66F4"/>
    <w:rsid w:val="63161C90"/>
    <w:rsid w:val="632717A7"/>
    <w:rsid w:val="6333639E"/>
    <w:rsid w:val="634B28AA"/>
    <w:rsid w:val="634E4F86"/>
    <w:rsid w:val="636522D0"/>
    <w:rsid w:val="638B442C"/>
    <w:rsid w:val="638B61DA"/>
    <w:rsid w:val="63991034"/>
    <w:rsid w:val="639D16DD"/>
    <w:rsid w:val="63A177AC"/>
    <w:rsid w:val="63A9020D"/>
    <w:rsid w:val="63A948B2"/>
    <w:rsid w:val="63AD43A2"/>
    <w:rsid w:val="63B35731"/>
    <w:rsid w:val="63B53257"/>
    <w:rsid w:val="63C67212"/>
    <w:rsid w:val="63C90AB0"/>
    <w:rsid w:val="63D11C53"/>
    <w:rsid w:val="63DE27AE"/>
    <w:rsid w:val="640A3BB9"/>
    <w:rsid w:val="641F4B74"/>
    <w:rsid w:val="64241E12"/>
    <w:rsid w:val="6438248B"/>
    <w:rsid w:val="64395C36"/>
    <w:rsid w:val="64462101"/>
    <w:rsid w:val="644A7E43"/>
    <w:rsid w:val="644F0FB6"/>
    <w:rsid w:val="6450005B"/>
    <w:rsid w:val="645C0C59"/>
    <w:rsid w:val="646031C3"/>
    <w:rsid w:val="646F78AA"/>
    <w:rsid w:val="6473752A"/>
    <w:rsid w:val="64963088"/>
    <w:rsid w:val="649C04A0"/>
    <w:rsid w:val="649C61C5"/>
    <w:rsid w:val="64B33C3A"/>
    <w:rsid w:val="64B74DAD"/>
    <w:rsid w:val="64BB664B"/>
    <w:rsid w:val="64F34037"/>
    <w:rsid w:val="64FB113D"/>
    <w:rsid w:val="650751C3"/>
    <w:rsid w:val="65091AAC"/>
    <w:rsid w:val="6529361A"/>
    <w:rsid w:val="65336B29"/>
    <w:rsid w:val="65401246"/>
    <w:rsid w:val="654C1999"/>
    <w:rsid w:val="65534AD5"/>
    <w:rsid w:val="65622F6B"/>
    <w:rsid w:val="6587477F"/>
    <w:rsid w:val="659155FE"/>
    <w:rsid w:val="659B022A"/>
    <w:rsid w:val="659C46CE"/>
    <w:rsid w:val="65A25A5D"/>
    <w:rsid w:val="65C77BFA"/>
    <w:rsid w:val="65D025CA"/>
    <w:rsid w:val="65D200F0"/>
    <w:rsid w:val="65F04A1A"/>
    <w:rsid w:val="660957E7"/>
    <w:rsid w:val="66124C93"/>
    <w:rsid w:val="661A55F3"/>
    <w:rsid w:val="66285F62"/>
    <w:rsid w:val="664803B2"/>
    <w:rsid w:val="665054B9"/>
    <w:rsid w:val="666D4361"/>
    <w:rsid w:val="667A3C6D"/>
    <w:rsid w:val="667A42E4"/>
    <w:rsid w:val="66805D9E"/>
    <w:rsid w:val="66846F11"/>
    <w:rsid w:val="66A55805"/>
    <w:rsid w:val="66AE6A0F"/>
    <w:rsid w:val="66C32DAD"/>
    <w:rsid w:val="66D25ECE"/>
    <w:rsid w:val="66D47E98"/>
    <w:rsid w:val="66DE4873"/>
    <w:rsid w:val="66F83B86"/>
    <w:rsid w:val="66FE4F15"/>
    <w:rsid w:val="670342D9"/>
    <w:rsid w:val="670A6AA8"/>
    <w:rsid w:val="6713648F"/>
    <w:rsid w:val="6716225F"/>
    <w:rsid w:val="67277FC8"/>
    <w:rsid w:val="67450B39"/>
    <w:rsid w:val="674768BC"/>
    <w:rsid w:val="67542D87"/>
    <w:rsid w:val="67564D51"/>
    <w:rsid w:val="675D7E8D"/>
    <w:rsid w:val="676905E0"/>
    <w:rsid w:val="676C6322"/>
    <w:rsid w:val="677E1BB2"/>
    <w:rsid w:val="678E6299"/>
    <w:rsid w:val="679F04A6"/>
    <w:rsid w:val="67A27F96"/>
    <w:rsid w:val="67D53EC8"/>
    <w:rsid w:val="67D6069A"/>
    <w:rsid w:val="67DD2D7C"/>
    <w:rsid w:val="680254F4"/>
    <w:rsid w:val="681A7B2C"/>
    <w:rsid w:val="681C38A5"/>
    <w:rsid w:val="681F3395"/>
    <w:rsid w:val="682D5AB2"/>
    <w:rsid w:val="6841155D"/>
    <w:rsid w:val="68437083"/>
    <w:rsid w:val="686314D3"/>
    <w:rsid w:val="68755D6E"/>
    <w:rsid w:val="68824896"/>
    <w:rsid w:val="6885769C"/>
    <w:rsid w:val="689615CB"/>
    <w:rsid w:val="689773CF"/>
    <w:rsid w:val="68AF4719"/>
    <w:rsid w:val="68B65AA7"/>
    <w:rsid w:val="68B74C98"/>
    <w:rsid w:val="68BE495C"/>
    <w:rsid w:val="68C83A2C"/>
    <w:rsid w:val="68DC3034"/>
    <w:rsid w:val="68E27673"/>
    <w:rsid w:val="68E33569"/>
    <w:rsid w:val="690A7750"/>
    <w:rsid w:val="690E618F"/>
    <w:rsid w:val="691C49C1"/>
    <w:rsid w:val="692228F9"/>
    <w:rsid w:val="692D1EC0"/>
    <w:rsid w:val="693052F5"/>
    <w:rsid w:val="693A3851"/>
    <w:rsid w:val="69513A22"/>
    <w:rsid w:val="696A4AE4"/>
    <w:rsid w:val="69821E2D"/>
    <w:rsid w:val="69B1626F"/>
    <w:rsid w:val="69B95123"/>
    <w:rsid w:val="69C2047C"/>
    <w:rsid w:val="69CF4947"/>
    <w:rsid w:val="69D1246D"/>
    <w:rsid w:val="69D411E4"/>
    <w:rsid w:val="6A0A597F"/>
    <w:rsid w:val="6A0C16F7"/>
    <w:rsid w:val="6A0C7949"/>
    <w:rsid w:val="6A172FA7"/>
    <w:rsid w:val="6A18009C"/>
    <w:rsid w:val="6A1F439D"/>
    <w:rsid w:val="6A294057"/>
    <w:rsid w:val="6A325601"/>
    <w:rsid w:val="6A6432E1"/>
    <w:rsid w:val="6A70612A"/>
    <w:rsid w:val="6A7E16CC"/>
    <w:rsid w:val="6A813E93"/>
    <w:rsid w:val="6A9736B6"/>
    <w:rsid w:val="6AA933EA"/>
    <w:rsid w:val="6AB778B5"/>
    <w:rsid w:val="6AC975E8"/>
    <w:rsid w:val="6AD246EE"/>
    <w:rsid w:val="6AD9782B"/>
    <w:rsid w:val="6AF01018"/>
    <w:rsid w:val="6B160A7F"/>
    <w:rsid w:val="6B1E7934"/>
    <w:rsid w:val="6B39651C"/>
    <w:rsid w:val="6B3E3B32"/>
    <w:rsid w:val="6B460C38"/>
    <w:rsid w:val="6B480E55"/>
    <w:rsid w:val="6B785296"/>
    <w:rsid w:val="6B7A1A9B"/>
    <w:rsid w:val="6BAE515B"/>
    <w:rsid w:val="6BB40298"/>
    <w:rsid w:val="6BC009EB"/>
    <w:rsid w:val="6BF32B6E"/>
    <w:rsid w:val="6BF3491C"/>
    <w:rsid w:val="6BF80185"/>
    <w:rsid w:val="6BFF7765"/>
    <w:rsid w:val="6C007039"/>
    <w:rsid w:val="6C0528A2"/>
    <w:rsid w:val="6C150D37"/>
    <w:rsid w:val="6C24541E"/>
    <w:rsid w:val="6C305B70"/>
    <w:rsid w:val="6C3C45F5"/>
    <w:rsid w:val="6C8445A7"/>
    <w:rsid w:val="6C8859AD"/>
    <w:rsid w:val="6C8D4D71"/>
    <w:rsid w:val="6CBA7B30"/>
    <w:rsid w:val="6CC8224D"/>
    <w:rsid w:val="6CD02EB0"/>
    <w:rsid w:val="6CD52274"/>
    <w:rsid w:val="6CE10C19"/>
    <w:rsid w:val="6CE40709"/>
    <w:rsid w:val="6CED3A62"/>
    <w:rsid w:val="6D0D4104"/>
    <w:rsid w:val="6D203E37"/>
    <w:rsid w:val="6D21370B"/>
    <w:rsid w:val="6D3671B7"/>
    <w:rsid w:val="6D6655C2"/>
    <w:rsid w:val="6DA02882"/>
    <w:rsid w:val="6DBD1686"/>
    <w:rsid w:val="6DBE0F5A"/>
    <w:rsid w:val="6DBE53FE"/>
    <w:rsid w:val="6DCA132B"/>
    <w:rsid w:val="6DCF4F15"/>
    <w:rsid w:val="6DDB5FB0"/>
    <w:rsid w:val="6DEA1D4F"/>
    <w:rsid w:val="6DEC3D19"/>
    <w:rsid w:val="6DF90D44"/>
    <w:rsid w:val="6E054DDB"/>
    <w:rsid w:val="6E1119D2"/>
    <w:rsid w:val="6E2434B3"/>
    <w:rsid w:val="6E4057D9"/>
    <w:rsid w:val="6E470F4F"/>
    <w:rsid w:val="6E4B6C92"/>
    <w:rsid w:val="6E4D6A7E"/>
    <w:rsid w:val="6E535B46"/>
    <w:rsid w:val="6E647D53"/>
    <w:rsid w:val="6E7004A6"/>
    <w:rsid w:val="6E8B3532"/>
    <w:rsid w:val="6EAB75D3"/>
    <w:rsid w:val="6EB72579"/>
    <w:rsid w:val="6EBF31DC"/>
    <w:rsid w:val="6EC10D02"/>
    <w:rsid w:val="6EE113A4"/>
    <w:rsid w:val="6EEB5DB6"/>
    <w:rsid w:val="6EF8049C"/>
    <w:rsid w:val="6F2836B5"/>
    <w:rsid w:val="6F3C482C"/>
    <w:rsid w:val="6F484F7F"/>
    <w:rsid w:val="6F675D4D"/>
    <w:rsid w:val="6F6C607A"/>
    <w:rsid w:val="6F7915DC"/>
    <w:rsid w:val="6F9A3937"/>
    <w:rsid w:val="6FB2689C"/>
    <w:rsid w:val="6FB865A9"/>
    <w:rsid w:val="6FD33FBD"/>
    <w:rsid w:val="6FE54EC4"/>
    <w:rsid w:val="6FE608AD"/>
    <w:rsid w:val="6FF3138F"/>
    <w:rsid w:val="6FF46EB5"/>
    <w:rsid w:val="6FF96F24"/>
    <w:rsid w:val="6FFF7F5D"/>
    <w:rsid w:val="7000585A"/>
    <w:rsid w:val="704E0CBB"/>
    <w:rsid w:val="705F07D2"/>
    <w:rsid w:val="707A1AB0"/>
    <w:rsid w:val="709057D7"/>
    <w:rsid w:val="70932B72"/>
    <w:rsid w:val="70A42689"/>
    <w:rsid w:val="70B0102E"/>
    <w:rsid w:val="70BB16AE"/>
    <w:rsid w:val="70C35547"/>
    <w:rsid w:val="70D94A29"/>
    <w:rsid w:val="70F051AD"/>
    <w:rsid w:val="70F33611"/>
    <w:rsid w:val="70FC24C5"/>
    <w:rsid w:val="71015D2D"/>
    <w:rsid w:val="710E3FA6"/>
    <w:rsid w:val="71233EF6"/>
    <w:rsid w:val="71241A1C"/>
    <w:rsid w:val="715C2AFE"/>
    <w:rsid w:val="717B788E"/>
    <w:rsid w:val="717C1858"/>
    <w:rsid w:val="718D75C1"/>
    <w:rsid w:val="71940950"/>
    <w:rsid w:val="71A37E47"/>
    <w:rsid w:val="71B11502"/>
    <w:rsid w:val="71B7463E"/>
    <w:rsid w:val="71BC3A02"/>
    <w:rsid w:val="71C034F3"/>
    <w:rsid w:val="71D7083C"/>
    <w:rsid w:val="71E52F59"/>
    <w:rsid w:val="71EF3DD8"/>
    <w:rsid w:val="71F15DA2"/>
    <w:rsid w:val="720F447A"/>
    <w:rsid w:val="721675B7"/>
    <w:rsid w:val="722A54E3"/>
    <w:rsid w:val="72330169"/>
    <w:rsid w:val="72374BF5"/>
    <w:rsid w:val="72514479"/>
    <w:rsid w:val="72516841"/>
    <w:rsid w:val="725620A9"/>
    <w:rsid w:val="725C58D5"/>
    <w:rsid w:val="726E73F3"/>
    <w:rsid w:val="7270316B"/>
    <w:rsid w:val="7278201F"/>
    <w:rsid w:val="728C5ACB"/>
    <w:rsid w:val="72952BD1"/>
    <w:rsid w:val="72987FCC"/>
    <w:rsid w:val="729C61E2"/>
    <w:rsid w:val="72AA7CFF"/>
    <w:rsid w:val="72AF5315"/>
    <w:rsid w:val="72C2773E"/>
    <w:rsid w:val="72C74B35"/>
    <w:rsid w:val="72DF5BFA"/>
    <w:rsid w:val="730613D9"/>
    <w:rsid w:val="732B7092"/>
    <w:rsid w:val="73353A6C"/>
    <w:rsid w:val="733F6699"/>
    <w:rsid w:val="734B045B"/>
    <w:rsid w:val="73702CF6"/>
    <w:rsid w:val="73742238"/>
    <w:rsid w:val="73880040"/>
    <w:rsid w:val="73A34E7A"/>
    <w:rsid w:val="73C03C7E"/>
    <w:rsid w:val="73E57241"/>
    <w:rsid w:val="73EA2AA9"/>
    <w:rsid w:val="73FE0302"/>
    <w:rsid w:val="741C4C2C"/>
    <w:rsid w:val="74251D33"/>
    <w:rsid w:val="74281823"/>
    <w:rsid w:val="742C30C1"/>
    <w:rsid w:val="74390E75"/>
    <w:rsid w:val="74396CB5"/>
    <w:rsid w:val="7456013E"/>
    <w:rsid w:val="74894C41"/>
    <w:rsid w:val="74945351"/>
    <w:rsid w:val="749649DF"/>
    <w:rsid w:val="74A71788"/>
    <w:rsid w:val="74AA048A"/>
    <w:rsid w:val="74AA1ED0"/>
    <w:rsid w:val="74B64875"/>
    <w:rsid w:val="74BF5CE3"/>
    <w:rsid w:val="74D86DA5"/>
    <w:rsid w:val="74E474F8"/>
    <w:rsid w:val="75061904"/>
    <w:rsid w:val="75184D35"/>
    <w:rsid w:val="7535244A"/>
    <w:rsid w:val="753F0BD2"/>
    <w:rsid w:val="754B0089"/>
    <w:rsid w:val="754C32EF"/>
    <w:rsid w:val="757F1917"/>
    <w:rsid w:val="7581743D"/>
    <w:rsid w:val="758D7B90"/>
    <w:rsid w:val="75994786"/>
    <w:rsid w:val="759F78C3"/>
    <w:rsid w:val="75A07DA5"/>
    <w:rsid w:val="75B25848"/>
    <w:rsid w:val="75B3511C"/>
    <w:rsid w:val="75BF1D13"/>
    <w:rsid w:val="75E03EE1"/>
    <w:rsid w:val="75F47FF3"/>
    <w:rsid w:val="760A7432"/>
    <w:rsid w:val="760C25E7"/>
    <w:rsid w:val="76120095"/>
    <w:rsid w:val="76197675"/>
    <w:rsid w:val="761E2458"/>
    <w:rsid w:val="762D1373"/>
    <w:rsid w:val="763C5112"/>
    <w:rsid w:val="7682521B"/>
    <w:rsid w:val="76854D0B"/>
    <w:rsid w:val="76A71125"/>
    <w:rsid w:val="76B31878"/>
    <w:rsid w:val="76B455F0"/>
    <w:rsid w:val="76C21ABB"/>
    <w:rsid w:val="76C45833"/>
    <w:rsid w:val="76D417EE"/>
    <w:rsid w:val="76E063E5"/>
    <w:rsid w:val="76EC2057"/>
    <w:rsid w:val="770E6D4C"/>
    <w:rsid w:val="771A5453"/>
    <w:rsid w:val="772366E0"/>
    <w:rsid w:val="773A78A3"/>
    <w:rsid w:val="774D1C68"/>
    <w:rsid w:val="774E77F3"/>
    <w:rsid w:val="77560455"/>
    <w:rsid w:val="7762504C"/>
    <w:rsid w:val="77731007"/>
    <w:rsid w:val="778D20C9"/>
    <w:rsid w:val="779F3912"/>
    <w:rsid w:val="77B91110"/>
    <w:rsid w:val="77C33D3D"/>
    <w:rsid w:val="77D45F4A"/>
    <w:rsid w:val="77D53A70"/>
    <w:rsid w:val="77E65C7D"/>
    <w:rsid w:val="77F739E6"/>
    <w:rsid w:val="77FE6B23"/>
    <w:rsid w:val="78014865"/>
    <w:rsid w:val="78160310"/>
    <w:rsid w:val="7820319C"/>
    <w:rsid w:val="78211E79"/>
    <w:rsid w:val="78243BEA"/>
    <w:rsid w:val="782B1186"/>
    <w:rsid w:val="78436C2C"/>
    <w:rsid w:val="7856695F"/>
    <w:rsid w:val="78650950"/>
    <w:rsid w:val="787466AD"/>
    <w:rsid w:val="78782D79"/>
    <w:rsid w:val="78784A88"/>
    <w:rsid w:val="7879264D"/>
    <w:rsid w:val="787943FB"/>
    <w:rsid w:val="7899274E"/>
    <w:rsid w:val="78A23952"/>
    <w:rsid w:val="78A3591C"/>
    <w:rsid w:val="78AB77B5"/>
    <w:rsid w:val="78BC253A"/>
    <w:rsid w:val="78BE3EE4"/>
    <w:rsid w:val="78C57641"/>
    <w:rsid w:val="78DA3FCE"/>
    <w:rsid w:val="78DA7590"/>
    <w:rsid w:val="78E21FA1"/>
    <w:rsid w:val="78EC1071"/>
    <w:rsid w:val="78EC5FFC"/>
    <w:rsid w:val="78F9553C"/>
    <w:rsid w:val="78FD5F0A"/>
    <w:rsid w:val="790E7239"/>
    <w:rsid w:val="791B54B2"/>
    <w:rsid w:val="791F31F5"/>
    <w:rsid w:val="79222CE5"/>
    <w:rsid w:val="794E7636"/>
    <w:rsid w:val="79556C16"/>
    <w:rsid w:val="796E1A86"/>
    <w:rsid w:val="797A48CF"/>
    <w:rsid w:val="79856DD0"/>
    <w:rsid w:val="79986B03"/>
    <w:rsid w:val="79BA4CCB"/>
    <w:rsid w:val="79BC0A44"/>
    <w:rsid w:val="79C93160"/>
    <w:rsid w:val="79C97604"/>
    <w:rsid w:val="79D0464E"/>
    <w:rsid w:val="79D264B9"/>
    <w:rsid w:val="79EF26F4"/>
    <w:rsid w:val="79F006ED"/>
    <w:rsid w:val="79FA3070"/>
    <w:rsid w:val="7A13262E"/>
    <w:rsid w:val="7A15284A"/>
    <w:rsid w:val="7A39455B"/>
    <w:rsid w:val="7A44043F"/>
    <w:rsid w:val="7A472206"/>
    <w:rsid w:val="7A472AEE"/>
    <w:rsid w:val="7A546ECE"/>
    <w:rsid w:val="7A603AC5"/>
    <w:rsid w:val="7A6F7A0B"/>
    <w:rsid w:val="7A7C7798"/>
    <w:rsid w:val="7A80583F"/>
    <w:rsid w:val="7A8263DF"/>
    <w:rsid w:val="7A8A28F0"/>
    <w:rsid w:val="7A8C2B0C"/>
    <w:rsid w:val="7A8D23E0"/>
    <w:rsid w:val="7AAA2F92"/>
    <w:rsid w:val="7AAC4F5C"/>
    <w:rsid w:val="7AAE1142"/>
    <w:rsid w:val="7AB12572"/>
    <w:rsid w:val="7ABE2599"/>
    <w:rsid w:val="7AC758F2"/>
    <w:rsid w:val="7AD9057B"/>
    <w:rsid w:val="7AD93877"/>
    <w:rsid w:val="7ADE49EA"/>
    <w:rsid w:val="7AE2272C"/>
    <w:rsid w:val="7AE446F6"/>
    <w:rsid w:val="7AF406B1"/>
    <w:rsid w:val="7B02692A"/>
    <w:rsid w:val="7B160627"/>
    <w:rsid w:val="7B2C1BF9"/>
    <w:rsid w:val="7B586985"/>
    <w:rsid w:val="7B7B048A"/>
    <w:rsid w:val="7B845591"/>
    <w:rsid w:val="7B98728E"/>
    <w:rsid w:val="7BB340C8"/>
    <w:rsid w:val="7BBA0FB3"/>
    <w:rsid w:val="7BBD4F47"/>
    <w:rsid w:val="7BC41E31"/>
    <w:rsid w:val="7BC63DFB"/>
    <w:rsid w:val="7BD137C8"/>
    <w:rsid w:val="7BEB5610"/>
    <w:rsid w:val="7BF02C26"/>
    <w:rsid w:val="7C02295A"/>
    <w:rsid w:val="7C077F70"/>
    <w:rsid w:val="7C246D74"/>
    <w:rsid w:val="7C330D65"/>
    <w:rsid w:val="7C4371FA"/>
    <w:rsid w:val="7C4411C4"/>
    <w:rsid w:val="7C6A0C2B"/>
    <w:rsid w:val="7C7E0232"/>
    <w:rsid w:val="7CAB2FF1"/>
    <w:rsid w:val="7CB926EE"/>
    <w:rsid w:val="7CC52305"/>
    <w:rsid w:val="7CF76DFD"/>
    <w:rsid w:val="7D0050EB"/>
    <w:rsid w:val="7D0C1CE2"/>
    <w:rsid w:val="7D0D15B6"/>
    <w:rsid w:val="7D1666BD"/>
    <w:rsid w:val="7D225061"/>
    <w:rsid w:val="7D3905FD"/>
    <w:rsid w:val="7D3D633F"/>
    <w:rsid w:val="7D537911"/>
    <w:rsid w:val="7D7358BD"/>
    <w:rsid w:val="7D8F021D"/>
    <w:rsid w:val="7D9817C8"/>
    <w:rsid w:val="7DB1450A"/>
    <w:rsid w:val="7DB30F95"/>
    <w:rsid w:val="7DB55ED6"/>
    <w:rsid w:val="7DB639FC"/>
    <w:rsid w:val="7DBA173E"/>
    <w:rsid w:val="7DCE6F97"/>
    <w:rsid w:val="7DCF4ABD"/>
    <w:rsid w:val="7DE277CD"/>
    <w:rsid w:val="7DED1B13"/>
    <w:rsid w:val="7DEE3196"/>
    <w:rsid w:val="7DFA4230"/>
    <w:rsid w:val="7E022D25"/>
    <w:rsid w:val="7E176B90"/>
    <w:rsid w:val="7E357016"/>
    <w:rsid w:val="7E39512C"/>
    <w:rsid w:val="7E431733"/>
    <w:rsid w:val="7E4534BC"/>
    <w:rsid w:val="7E6E6AD4"/>
    <w:rsid w:val="7E8B30DA"/>
    <w:rsid w:val="7E8D0C00"/>
    <w:rsid w:val="7E957AB5"/>
    <w:rsid w:val="7EC16AFC"/>
    <w:rsid w:val="7ED95BF4"/>
    <w:rsid w:val="7EF02F3D"/>
    <w:rsid w:val="7F1B445E"/>
    <w:rsid w:val="7F1D01D6"/>
    <w:rsid w:val="7F3E639F"/>
    <w:rsid w:val="7F6F0306"/>
    <w:rsid w:val="7F737DF6"/>
    <w:rsid w:val="7F800765"/>
    <w:rsid w:val="7F853FCE"/>
    <w:rsid w:val="7F9935D5"/>
    <w:rsid w:val="7FC22B2C"/>
    <w:rsid w:val="7FD840FD"/>
    <w:rsid w:val="7FFB603E"/>
    <w:rsid w:val="7FFD3B64"/>
    <w:rsid w:val="FF3A9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qFormat/>
    <w:uiPriority w:val="0"/>
    <w:pPr>
      <w:keepNext/>
      <w:keepLines/>
      <w:numPr>
        <w:ilvl w:val="3"/>
        <w:numId w:val="1"/>
      </w:numPr>
      <w:ind w:firstLine="0" w:firstLineChars="0"/>
      <w:outlineLvl w:val="3"/>
    </w:pPr>
    <w:rPr>
      <w:b/>
      <w:bCs/>
      <w:szCs w:val="28"/>
    </w:rPr>
  </w:style>
  <w:style w:type="character" w:default="1" w:styleId="25">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宋体" w:hAnsi="宋体" w:eastAsia="宋体" w:cs="宋体"/>
      <w:sz w:val="31"/>
      <w:szCs w:val="31"/>
      <w:lang w:val="en-US" w:eastAsia="en-US" w:bidi="ar-SA"/>
    </w:rPr>
  </w:style>
  <w:style w:type="paragraph" w:styleId="7">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8">
    <w:name w:val="toa heading"/>
    <w:basedOn w:val="1"/>
    <w:next w:val="1"/>
    <w:qFormat/>
    <w:uiPriority w:val="0"/>
    <w:pPr>
      <w:spacing w:before="120"/>
    </w:pPr>
    <w:rPr>
      <w:rFonts w:ascii="Cambria" w:hAnsi="Cambria" w:eastAsia="宋体" w:cs="Times New Roman"/>
      <w:sz w:val="24"/>
      <w:szCs w:val="24"/>
    </w:rPr>
  </w:style>
  <w:style w:type="paragraph" w:styleId="9">
    <w:name w:val="Body Text Indent"/>
    <w:basedOn w:val="1"/>
    <w:next w:val="10"/>
    <w:qFormat/>
    <w:uiPriority w:val="0"/>
    <w:pPr>
      <w:ind w:firstLine="645"/>
    </w:pPr>
    <w:rPr>
      <w:rFonts w:ascii="楷体_GB2312" w:eastAsia="楷体_GB2312"/>
      <w:sz w:val="32"/>
      <w:szCs w:val="32"/>
    </w:rPr>
  </w:style>
  <w:style w:type="paragraph" w:styleId="10">
    <w:name w:val="Body Text Indent 2"/>
    <w:basedOn w:val="1"/>
    <w:qFormat/>
    <w:uiPriority w:val="0"/>
    <w:pPr>
      <w:ind w:firstLine="480"/>
    </w:pPr>
    <w:rPr>
      <w:rFonts w:ascii="宋体" w:hAnsi="宋体"/>
      <w:sz w:val="30"/>
      <w:szCs w:val="24"/>
    </w:rPr>
  </w:style>
  <w:style w:type="paragraph" w:styleId="11">
    <w:name w:val="toc 3"/>
    <w:basedOn w:val="1"/>
    <w:next w:val="1"/>
    <w:qFormat/>
    <w:uiPriority w:val="39"/>
    <w:pPr>
      <w:tabs>
        <w:tab w:val="left" w:pos="1260"/>
        <w:tab w:val="right" w:leader="dot" w:pos="8630"/>
      </w:tabs>
      <w:ind w:left="840" w:leftChars="400"/>
    </w:pPr>
  </w:style>
  <w:style w:type="paragraph" w:styleId="12">
    <w:name w:val="Plain Text"/>
    <w:basedOn w:val="1"/>
    <w:next w:val="13"/>
    <w:qFormat/>
    <w:uiPriority w:val="0"/>
    <w:rPr>
      <w:rFonts w:ascii="宋体" w:hAnsi="Courier New"/>
      <w:szCs w:val="20"/>
    </w:rPr>
  </w:style>
  <w:style w:type="paragraph" w:styleId="13">
    <w:name w:val="List Number 5"/>
    <w:basedOn w:val="1"/>
    <w:qFormat/>
    <w:uiPriority w:val="0"/>
    <w:pPr>
      <w:numPr>
        <w:ilvl w:val="0"/>
        <w:numId w:val="2"/>
      </w:numPr>
    </w:p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39"/>
  </w:style>
  <w:style w:type="paragraph" w:styleId="17">
    <w:name w:val="footnote text"/>
    <w:basedOn w:val="1"/>
    <w:next w:val="2"/>
    <w:qFormat/>
    <w:uiPriority w:val="0"/>
    <w:pPr>
      <w:widowControl w:val="0"/>
      <w:adjustRightInd w:val="0"/>
      <w:spacing w:line="315" w:lineRule="atLeast"/>
      <w:jc w:val="both"/>
      <w:textAlignment w:val="baseline"/>
    </w:pPr>
    <w:rPr>
      <w:rFonts w:ascii="宋体" w:hAnsi="宋体"/>
      <w:sz w:val="18"/>
      <w:szCs w:val="18"/>
    </w:rPr>
  </w:style>
  <w:style w:type="paragraph" w:styleId="18">
    <w:name w:val="index 7"/>
    <w:basedOn w:val="1"/>
    <w:next w:val="1"/>
    <w:qFormat/>
    <w:uiPriority w:val="0"/>
    <w:pPr>
      <w:adjustRightInd w:val="0"/>
      <w:spacing w:beforeLines="0" w:afterLines="0" w:line="315" w:lineRule="atLeast"/>
      <w:ind w:left="2520"/>
      <w:jc w:val="left"/>
      <w:textAlignment w:val="baseline"/>
    </w:pPr>
    <w:rPr>
      <w:rFonts w:hint="eastAsia" w:ascii="宋体" w:hAnsi="Times New Roman" w:eastAsia="宋体" w:cs="Times New Roman"/>
      <w:kern w:val="0"/>
      <w:sz w:val="21"/>
    </w:rPr>
  </w:style>
  <w:style w:type="paragraph" w:styleId="19">
    <w:name w:val="toc 2"/>
    <w:basedOn w:val="1"/>
    <w:next w:val="1"/>
    <w:qFormat/>
    <w:uiPriority w:val="39"/>
    <w:pPr>
      <w:ind w:left="420" w:leftChars="200"/>
    </w:pPr>
  </w:style>
  <w:style w:type="paragraph" w:styleId="20">
    <w:name w:val="Body Text 2"/>
    <w:basedOn w:val="1"/>
    <w:unhideWhenUsed/>
    <w:qFormat/>
    <w:uiPriority w:val="99"/>
    <w:pPr>
      <w:spacing w:after="120" w:line="480" w:lineRule="auto"/>
    </w:pPr>
  </w:style>
  <w:style w:type="paragraph" w:styleId="2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2">
    <w:name w:val="Body Text First Indent"/>
    <w:basedOn w:val="2"/>
    <w:next w:val="1"/>
    <w:unhideWhenUsed/>
    <w:qFormat/>
    <w:uiPriority w:val="99"/>
    <w:pPr>
      <w:tabs>
        <w:tab w:val="left" w:pos="567"/>
      </w:tabs>
      <w:ind w:firstLine="420" w:firstLineChars="100"/>
    </w:pPr>
  </w:style>
  <w:style w:type="paragraph" w:styleId="23">
    <w:name w:val="Body Text First Indent 2"/>
    <w:basedOn w:val="9"/>
    <w:next w:val="7"/>
    <w:qFormat/>
    <w:uiPriority w:val="0"/>
    <w:pPr>
      <w:spacing w:line="360" w:lineRule="auto"/>
      <w:ind w:firstLine="420" w:firstLineChars="200"/>
    </w:pPr>
    <w:rPr>
      <w:rFonts w:ascii="宋体" w:hAnsi="宋体" w:eastAsia="宋体"/>
      <w:sz w:val="21"/>
      <w:szCs w:val="20"/>
    </w:r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_Style 1"/>
    <w:qFormat/>
    <w:uiPriority w:val="0"/>
    <w:pPr>
      <w:widowControl w:val="0"/>
      <w:ind w:firstLine="200" w:firstLineChars="200"/>
      <w:jc w:val="both"/>
    </w:pPr>
    <w:rPr>
      <w:rFonts w:ascii="Times New Roman" w:hAnsi="Times New Roman" w:eastAsia="仿宋_GB2312" w:cs="Times New Roman"/>
      <w:kern w:val="2"/>
      <w:sz w:val="24"/>
      <w:szCs w:val="22"/>
      <w:lang w:val="en-US" w:eastAsia="zh-CN" w:bidi="ar-SA"/>
    </w:rPr>
  </w:style>
  <w:style w:type="paragraph" w:customStyle="1" w:styleId="28">
    <w:name w:val="Table Text"/>
    <w:basedOn w:val="1"/>
    <w:semiHidden/>
    <w:qFormat/>
    <w:uiPriority w:val="0"/>
    <w:rPr>
      <w:rFonts w:ascii="宋体" w:hAnsi="宋体" w:eastAsia="宋体" w:cs="宋体"/>
      <w:sz w:val="24"/>
      <w:szCs w:val="24"/>
      <w:lang w:val="en-US" w:eastAsia="en-US" w:bidi="ar-SA"/>
    </w:rPr>
  </w:style>
  <w:style w:type="paragraph" w:customStyle="1" w:styleId="29">
    <w:name w:val="Default"/>
    <w:next w:val="18"/>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0">
    <w:name w:val="样式 样式 样式 左侧:  2 字符1 + 首行缩进:  2 字符1 + 首行缩进:  2 字符"/>
    <w:basedOn w:val="1"/>
    <w:qFormat/>
    <w:uiPriority w:val="0"/>
    <w:pPr>
      <w:widowControl/>
      <w:adjustRightInd w:val="0"/>
      <w:spacing w:before="60" w:beforeLines="0" w:after="120" w:afterLines="0" w:line="440" w:lineRule="atLeast"/>
      <w:ind w:firstLine="480"/>
      <w:textAlignment w:val="baseline"/>
    </w:pPr>
    <w:rPr>
      <w:sz w:val="24"/>
    </w:rPr>
  </w:style>
  <w:style w:type="paragraph" w:customStyle="1" w:styleId="31">
    <w:name w:val="列出段落1"/>
    <w:basedOn w:val="1"/>
    <w:qFormat/>
    <w:uiPriority w:val="99"/>
    <w:pPr>
      <w:ind w:firstLine="420" w:firstLineChars="200"/>
    </w:pPr>
  </w:style>
  <w:style w:type="paragraph" w:customStyle="1" w:styleId="32">
    <w:name w:val="图例"/>
    <w:basedOn w:val="1"/>
    <w:qFormat/>
    <w:uiPriority w:val="0"/>
    <w:pPr>
      <w:widowControl w:val="0"/>
      <w:spacing w:before="120" w:after="120"/>
      <w:jc w:val="center"/>
    </w:pPr>
    <w:rPr>
      <w:rFonts w:ascii="Times New Roman" w:hAnsi="Times New Roman" w:eastAsia="仿宋_GB2312" w:cs="Times New Roman"/>
      <w:b/>
      <w:kern w:val="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0" Type="http://schemas.openxmlformats.org/officeDocument/2006/relationships/fontTable" Target="fontTable.xml"/><Relationship Id="rId6" Type="http://schemas.openxmlformats.org/officeDocument/2006/relationships/header" Target="header1.xml"/><Relationship Id="rId59" Type="http://schemas.openxmlformats.org/officeDocument/2006/relationships/numbering" Target="numbering.xml"/><Relationship Id="rId58" Type="http://schemas.openxmlformats.org/officeDocument/2006/relationships/customXml" Target="../customXml/item1.xml"/><Relationship Id="rId57" Type="http://schemas.openxmlformats.org/officeDocument/2006/relationships/image" Target="media/image2.png"/><Relationship Id="rId56" Type="http://schemas.openxmlformats.org/officeDocument/2006/relationships/image" Target="media/image1.jpeg"/><Relationship Id="rId55" Type="http://schemas.openxmlformats.org/officeDocument/2006/relationships/theme" Target="theme/theme1.xml"/><Relationship Id="rId54" Type="http://schemas.openxmlformats.org/officeDocument/2006/relationships/footer" Target="footer47.xml"/><Relationship Id="rId53" Type="http://schemas.openxmlformats.org/officeDocument/2006/relationships/footer" Target="footer46.xml"/><Relationship Id="rId52" Type="http://schemas.openxmlformats.org/officeDocument/2006/relationships/footer" Target="footer45.xml"/><Relationship Id="rId51" Type="http://schemas.openxmlformats.org/officeDocument/2006/relationships/footer" Target="footer44.xml"/><Relationship Id="rId50" Type="http://schemas.openxmlformats.org/officeDocument/2006/relationships/footer" Target="footer43.xml"/><Relationship Id="rId5" Type="http://schemas.openxmlformats.org/officeDocument/2006/relationships/footer" Target="footer1.xml"/><Relationship Id="rId49" Type="http://schemas.openxmlformats.org/officeDocument/2006/relationships/footer" Target="footer42.xml"/><Relationship Id="rId48" Type="http://schemas.openxmlformats.org/officeDocument/2006/relationships/footer" Target="footer41.xml"/><Relationship Id="rId47" Type="http://schemas.openxmlformats.org/officeDocument/2006/relationships/footer" Target="footer40.xml"/><Relationship Id="rId46" Type="http://schemas.openxmlformats.org/officeDocument/2006/relationships/footer" Target="footer39.xml"/><Relationship Id="rId45" Type="http://schemas.openxmlformats.org/officeDocument/2006/relationships/footer" Target="footer38.xml"/><Relationship Id="rId44" Type="http://schemas.openxmlformats.org/officeDocument/2006/relationships/footer" Target="footer37.xml"/><Relationship Id="rId43" Type="http://schemas.openxmlformats.org/officeDocument/2006/relationships/footer" Target="footer36.xml"/><Relationship Id="rId42" Type="http://schemas.openxmlformats.org/officeDocument/2006/relationships/footer" Target="footer35.xml"/><Relationship Id="rId41" Type="http://schemas.openxmlformats.org/officeDocument/2006/relationships/footer" Target="footer34.xml"/><Relationship Id="rId40" Type="http://schemas.openxmlformats.org/officeDocument/2006/relationships/footer" Target="footer33.xml"/><Relationship Id="rId4" Type="http://schemas.openxmlformats.org/officeDocument/2006/relationships/endnotes" Target="endnotes.xml"/><Relationship Id="rId39" Type="http://schemas.openxmlformats.org/officeDocument/2006/relationships/footer" Target="footer32.xml"/><Relationship Id="rId38" Type="http://schemas.openxmlformats.org/officeDocument/2006/relationships/footer" Target="footer31.xml"/><Relationship Id="rId37" Type="http://schemas.openxmlformats.org/officeDocument/2006/relationships/footer" Target="footer30.xml"/><Relationship Id="rId36" Type="http://schemas.openxmlformats.org/officeDocument/2006/relationships/footer" Target="footer29.xml"/><Relationship Id="rId35" Type="http://schemas.openxmlformats.org/officeDocument/2006/relationships/footer" Target="footer28.xml"/><Relationship Id="rId34" Type="http://schemas.openxmlformats.org/officeDocument/2006/relationships/footer" Target="footer27.xml"/><Relationship Id="rId33" Type="http://schemas.openxmlformats.org/officeDocument/2006/relationships/footer" Target="footer26.xml"/><Relationship Id="rId32" Type="http://schemas.openxmlformats.org/officeDocument/2006/relationships/footer" Target="footer25.xml"/><Relationship Id="rId31" Type="http://schemas.openxmlformats.org/officeDocument/2006/relationships/footer" Target="footer24.xml"/><Relationship Id="rId30" Type="http://schemas.openxmlformats.org/officeDocument/2006/relationships/footer" Target="footer23.xml"/><Relationship Id="rId3" Type="http://schemas.openxmlformats.org/officeDocument/2006/relationships/footnotes" Target="footnotes.xml"/><Relationship Id="rId29" Type="http://schemas.openxmlformats.org/officeDocument/2006/relationships/footer" Target="footer22.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header" Target="header3.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2.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161</Pages>
  <Words>10331</Words>
  <Characters>10977</Characters>
  <Lines>1</Lines>
  <Paragraphs>1</Paragraphs>
  <TotalTime>13</TotalTime>
  <ScaleCrop>false</ScaleCrop>
  <LinksUpToDate>false</LinksUpToDate>
  <CharactersWithSpaces>11438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2024-04-15T17:44:00Z</dcterms:created>
  <dc:creator>Administrator</dc:creator>
  <cp:lastModifiedBy>王丽</cp:lastModifiedBy>
  <cp:lastPrinted>2025-02-21T11:00:00Z</cp:lastPrinted>
  <dcterms:modified xsi:type="dcterms:W3CDTF">2025-06-20T04:26:48Z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5B44C77B7F2041B6A99ADF192FCF8A08_13</vt:lpwstr>
  </property>
  <property fmtid="{D5CDD505-2E9C-101B-9397-08002B2CF9AE}" pid="4" name="KSOTemplateDocerSaveRecord">
    <vt:lpwstr>eyJoZGlkIjoiZTE5ZDQxZTQ0ZmRjYzNiZjZjNDFkZWEwM2M5MGNjYmYiLCJ1c2VySWQiOiI0MzgzODA5MDgifQ==</vt:lpwstr>
  </property>
</Properties>
</file>