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麦盖提县中小学功能室仪器及学生食堂设备购置项目（一标段）</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KSMGTX(GK)2025-05号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6"/>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 xml:space="preserve"> 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p>
    <w:p w14:paraId="2BAD37F9">
      <w:pPr>
        <w:spacing w:line="360" w:lineRule="auto"/>
        <w:jc w:val="center"/>
        <w:rPr>
          <w:rFonts w:hint="eastAsia" w:ascii="微软雅黑" w:hAnsi="微软雅黑" w:eastAsia="微软雅黑" w:cs="微软雅黑"/>
          <w:b/>
          <w:color w:val="auto"/>
          <w:sz w:val="32"/>
          <w:highlight w:val="none"/>
        </w:rPr>
      </w:pPr>
    </w:p>
    <w:p w14:paraId="09977524">
      <w:pPr>
        <w:spacing w:line="360" w:lineRule="auto"/>
        <w:jc w:val="center"/>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投标人为中小企业的，须提供《中小企业声明函（货物）》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9228"/>
      <w:bookmarkStart w:id="1" w:name="_Toc216582804"/>
      <w:bookmarkStart w:id="2" w:name="_Toc7254"/>
      <w:r>
        <w:rPr>
          <w:rFonts w:hint="eastAsia" w:ascii="微软雅黑" w:hAnsi="微软雅黑" w:eastAsia="微软雅黑" w:cs="微软雅黑"/>
          <w:color w:val="auto"/>
          <w:kern w:val="0"/>
          <w:szCs w:val="21"/>
          <w:highlight w:val="none"/>
        </w:rPr>
        <w:br w:type="page"/>
      </w:r>
      <w:bookmarkStart w:id="3" w:name="_Toc24295"/>
      <w:bookmarkStart w:id="4" w:name="_Toc518923059"/>
      <w:bookmarkStart w:id="5" w:name="_Toc18647"/>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3"/>
        <w:jc w:val="center"/>
        <w:rPr>
          <w:rFonts w:hint="eastAsia" w:ascii="微软雅黑" w:hAnsi="微软雅黑" w:eastAsia="微软雅黑" w:cs="微软雅黑"/>
          <w:color w:val="auto"/>
          <w:highlight w:val="none"/>
        </w:rPr>
      </w:pPr>
      <w:bookmarkStart w:id="6" w:name="_Toc518923060"/>
      <w:bookmarkStart w:id="7" w:name="_Toc17990"/>
      <w:bookmarkStart w:id="8" w:name="_Toc9485"/>
      <w:bookmarkStart w:id="9" w:name="_Toc22313"/>
      <w:bookmarkStart w:id="10" w:name="_Toc29666"/>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2013"/>
      <w:bookmarkStart w:id="12" w:name="_Toc520356144"/>
      <w:bookmarkStart w:id="13" w:name="_Toc1500"/>
      <w:bookmarkStart w:id="14" w:name="_Toc518923061"/>
      <w:bookmarkStart w:id="15" w:name="_Toc22535"/>
      <w:bookmarkStart w:id="16" w:name="_Toc10238"/>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518923062"/>
      <w:bookmarkStart w:id="18" w:name="_Toc30217"/>
      <w:bookmarkStart w:id="19" w:name="_Toc17203"/>
      <w:bookmarkStart w:id="20" w:name="_Toc2643"/>
      <w:bookmarkStart w:id="21" w:name="_Toc17198"/>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3551"/>
      <w:bookmarkStart w:id="23" w:name="_Toc28166"/>
      <w:bookmarkStart w:id="24" w:name="_Toc518923063"/>
      <w:bookmarkStart w:id="25" w:name="_Toc14892"/>
      <w:bookmarkStart w:id="26" w:name="_Toc520356145"/>
      <w:bookmarkStart w:id="27" w:name="_Toc22756"/>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28093"/>
      <w:bookmarkStart w:id="29" w:name="_Toc30739"/>
      <w:bookmarkStart w:id="30" w:name="_Toc26306"/>
      <w:bookmarkStart w:id="31" w:name="_Toc32365"/>
      <w:bookmarkStart w:id="32" w:name="_Toc518923064"/>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3"/>
        <w:spacing w:before="0" w:line="360" w:lineRule="auto"/>
        <w:ind w:left="1080" w:leftChars="257" w:hanging="540"/>
        <w:rPr>
          <w:rFonts w:hint="eastAsia" w:ascii="微软雅黑" w:hAnsi="微软雅黑" w:eastAsia="微软雅黑" w:cs="微软雅黑"/>
          <w:color w:val="auto"/>
          <w:sz w:val="28"/>
          <w:highlight w:val="none"/>
        </w:rPr>
      </w:pPr>
      <w:bookmarkStart w:id="33" w:name="_Toc4348"/>
      <w:bookmarkStart w:id="34" w:name="_Toc216582806"/>
      <w:bookmarkStart w:id="35" w:name="_Toc518923065"/>
      <w:bookmarkStart w:id="36" w:name="_Toc809"/>
      <w:bookmarkStart w:id="37" w:name="_Toc520356146"/>
      <w:bookmarkStart w:id="38" w:name="_Toc30516"/>
      <w:bookmarkStart w:id="39" w:name="_Toc8499"/>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29205"/>
      <w:bookmarkStart w:id="41" w:name="_Toc11127"/>
      <w:bookmarkStart w:id="42" w:name="_Toc520356147"/>
      <w:bookmarkStart w:id="43" w:name="_Toc22990"/>
      <w:bookmarkStart w:id="44" w:name="_Toc5195"/>
      <w:bookmarkStart w:id="45" w:name="_Toc518923066"/>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3735"/>
      <w:bookmarkStart w:id="48" w:name="_Toc21314"/>
      <w:bookmarkStart w:id="49" w:name="_Toc20560"/>
      <w:bookmarkStart w:id="50" w:name="_Toc518923067"/>
      <w:bookmarkStart w:id="51" w:name="_Toc25261"/>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Toc520356149"/>
      <w:bookmarkStart w:id="53" w:name="_Ref467378678"/>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10994"/>
      <w:bookmarkStart w:id="55" w:name="_Toc17979"/>
      <w:bookmarkStart w:id="56" w:name="_Toc19178"/>
      <w:bookmarkStart w:id="57" w:name="_Toc518923068"/>
      <w:bookmarkStart w:id="58" w:name="_Toc13430"/>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3"/>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216582807"/>
      <w:bookmarkStart w:id="61" w:name="_Toc518923069"/>
      <w:bookmarkStart w:id="62" w:name="_Toc25389"/>
      <w:bookmarkStart w:id="63" w:name="_Toc24640"/>
      <w:bookmarkStart w:id="64" w:name="_Toc12398"/>
      <w:bookmarkStart w:id="65" w:name="_Toc17255"/>
      <w:bookmarkStart w:id="66" w:name="_Toc520356150"/>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26751"/>
      <w:bookmarkStart w:id="68" w:name="_Toc25074"/>
      <w:bookmarkStart w:id="69" w:name="_Toc516367021"/>
      <w:bookmarkStart w:id="70" w:name="_Toc518923070"/>
      <w:bookmarkStart w:id="71" w:name="_Toc6728"/>
      <w:bookmarkStart w:id="72" w:name="_Toc520356151"/>
      <w:bookmarkStart w:id="73" w:name="_Toc12703"/>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676"/>
      <w:bookmarkStart w:id="75" w:name="_Toc516367022"/>
      <w:bookmarkStart w:id="76" w:name="_Ref467306195"/>
      <w:bookmarkStart w:id="77" w:name="_Toc520356152"/>
      <w:bookmarkStart w:id="78" w:name="_Toc15487"/>
      <w:bookmarkStart w:id="79" w:name="_Toc30846"/>
      <w:bookmarkStart w:id="80" w:name="_Toc14141"/>
      <w:bookmarkStart w:id="81" w:name="_Toc12543"/>
      <w:bookmarkStart w:id="82" w:name="_Toc518923071"/>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08185920"/>
      <w:bookmarkStart w:id="85" w:name="_Toc520356153"/>
      <w:bookmarkStart w:id="86" w:name="_Toc516367023"/>
      <w:bookmarkStart w:id="87" w:name="_Toc518923072"/>
      <w:bookmarkStart w:id="88" w:name="_Toc5095"/>
      <w:bookmarkStart w:id="89" w:name="_Toc1889"/>
      <w:bookmarkStart w:id="90" w:name="_Toc15670"/>
      <w:bookmarkStart w:id="91" w:name="_Toc2671"/>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8529"/>
      <w:bookmarkStart w:id="95" w:name="_Toc32744"/>
      <w:bookmarkStart w:id="96" w:name="_Toc518923073"/>
      <w:bookmarkStart w:id="97" w:name="_Toc23148"/>
      <w:bookmarkStart w:id="98" w:name="_Toc1302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8"/>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16199"/>
      <w:bookmarkStart w:id="100" w:name="_Toc3009"/>
      <w:bookmarkStart w:id="101" w:name="_Toc18305"/>
      <w:bookmarkStart w:id="102" w:name="_Toc520356156"/>
      <w:bookmarkStart w:id="103" w:name="_Toc518923074"/>
      <w:bookmarkStart w:id="104" w:name="_Ref467306513"/>
      <w:bookmarkStart w:id="105" w:name="_Toc24515"/>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25375"/>
      <w:bookmarkStart w:id="110" w:name="_Toc518923076"/>
      <w:bookmarkStart w:id="111" w:name="_Toc20355"/>
      <w:bookmarkStart w:id="112" w:name="_Toc22981"/>
      <w:bookmarkStart w:id="113" w:name="_Toc520356157"/>
      <w:bookmarkStart w:id="114" w:name="_Toc12440"/>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115" w:name="_Toc3050"/>
      <w:bookmarkStart w:id="116" w:name="_Toc22303"/>
      <w:bookmarkStart w:id="117" w:name="_Toc15497"/>
      <w:bookmarkStart w:id="118" w:name="_Toc216582808"/>
      <w:bookmarkStart w:id="119" w:name="_Toc4415"/>
      <w:bookmarkStart w:id="120" w:name="_Toc518923078"/>
      <w:bookmarkStart w:id="121" w:name="_Toc520356159"/>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6644"/>
      <w:bookmarkStart w:id="123" w:name="_Toc518923079"/>
      <w:bookmarkStart w:id="124" w:name="_Toc12245"/>
      <w:bookmarkStart w:id="125" w:name="_Toc520356160"/>
      <w:bookmarkStart w:id="126" w:name="_Toc3038"/>
      <w:bookmarkStart w:id="127" w:name="_Toc13247"/>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30605"/>
      <w:bookmarkStart w:id="129" w:name="_Toc518923080"/>
      <w:bookmarkStart w:id="130" w:name="_Toc10904"/>
      <w:bookmarkStart w:id="131" w:name="_Toc25787"/>
      <w:bookmarkStart w:id="132" w:name="_Toc30117"/>
      <w:bookmarkStart w:id="133" w:name="_Toc520356161"/>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518923081"/>
      <w:bookmarkStart w:id="135" w:name="_Toc25814"/>
      <w:bookmarkStart w:id="136" w:name="_Toc520356162"/>
      <w:bookmarkStart w:id="137" w:name="_Toc22116"/>
      <w:bookmarkStart w:id="138" w:name="_Toc1148"/>
      <w:bookmarkStart w:id="139" w:name="_Toc13921"/>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3"/>
        <w:spacing w:before="0" w:line="360" w:lineRule="auto"/>
        <w:rPr>
          <w:rFonts w:hint="eastAsia" w:ascii="微软雅黑" w:hAnsi="微软雅黑" w:eastAsia="微软雅黑" w:cs="微软雅黑"/>
          <w:color w:val="auto"/>
          <w:sz w:val="24"/>
          <w:highlight w:val="none"/>
        </w:rPr>
      </w:pPr>
      <w:bookmarkStart w:id="140" w:name="_Toc216582809"/>
      <w:bookmarkStart w:id="141" w:name="_Toc518923082"/>
      <w:bookmarkStart w:id="142" w:name="_Toc520356163"/>
      <w:bookmarkStart w:id="143" w:name="_Toc5784"/>
      <w:bookmarkStart w:id="144" w:name="_Toc10257"/>
      <w:bookmarkStart w:id="145" w:name="_Toc6389"/>
      <w:bookmarkStart w:id="146" w:name="_Toc23627"/>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518923083"/>
      <w:bookmarkStart w:id="148" w:name="_Toc17912"/>
      <w:bookmarkStart w:id="149" w:name="_Toc520356164"/>
      <w:bookmarkStart w:id="150" w:name="_Toc1813"/>
      <w:bookmarkStart w:id="151" w:name="_Toc16580"/>
      <w:bookmarkStart w:id="152" w:name="_Toc8653"/>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518923084"/>
      <w:bookmarkStart w:id="155" w:name="_Toc24828"/>
      <w:bookmarkStart w:id="156" w:name="_Toc34"/>
      <w:bookmarkStart w:id="157" w:name="_Toc5486"/>
      <w:bookmarkStart w:id="158" w:name="_Toc2093"/>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518923085"/>
      <w:bookmarkStart w:id="161" w:name="_Toc6842"/>
      <w:bookmarkStart w:id="162" w:name="_Toc23348"/>
      <w:bookmarkStart w:id="163" w:name="_Toc8768"/>
      <w:bookmarkStart w:id="164" w:name="_Toc22894"/>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518923086"/>
      <w:bookmarkStart w:id="168" w:name="_Toc8603"/>
      <w:bookmarkStart w:id="169" w:name="_Toc19998"/>
      <w:bookmarkStart w:id="170" w:name="_Toc18231"/>
      <w:bookmarkStart w:id="171" w:name="_Toc3679"/>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31087"/>
      <w:bookmarkStart w:id="173" w:name="_Toc17838"/>
      <w:bookmarkStart w:id="174" w:name="_Toc518923087"/>
      <w:bookmarkStart w:id="175" w:name="_Toc25255"/>
      <w:bookmarkStart w:id="176" w:name="_Toc16356"/>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46"/>
      <w:bookmarkStart w:id="180" w:name="_Toc15234"/>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518923089"/>
      <w:bookmarkStart w:id="184" w:name="_Toc5823"/>
      <w:bookmarkStart w:id="185" w:name="_Toc21286"/>
      <w:bookmarkStart w:id="186" w:name="_Toc21639"/>
      <w:bookmarkStart w:id="187" w:name="_Toc21098"/>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9809"/>
      <w:bookmarkStart w:id="189" w:name="_Toc23660"/>
      <w:bookmarkStart w:id="190" w:name="_Toc518923090"/>
      <w:bookmarkStart w:id="191" w:name="_Toc25392"/>
      <w:bookmarkStart w:id="192" w:name="_Toc10697"/>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3"/>
        <w:spacing w:before="0" w:line="360" w:lineRule="auto"/>
        <w:rPr>
          <w:rFonts w:hint="eastAsia" w:ascii="微软雅黑" w:hAnsi="微软雅黑" w:eastAsia="微软雅黑" w:cs="微软雅黑"/>
          <w:color w:val="auto"/>
          <w:sz w:val="24"/>
          <w:highlight w:val="none"/>
        </w:rPr>
      </w:pPr>
      <w:bookmarkStart w:id="194" w:name="_Toc24350"/>
      <w:bookmarkStart w:id="195" w:name="_Toc10964"/>
      <w:bookmarkStart w:id="196" w:name="_Toc905"/>
      <w:bookmarkStart w:id="197" w:name="_Toc15684"/>
      <w:bookmarkStart w:id="198" w:name="_Toc518923091"/>
      <w:bookmarkStart w:id="199" w:name="_Toc216582810"/>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9990"/>
      <w:bookmarkStart w:id="201" w:name="_Toc11388"/>
      <w:bookmarkStart w:id="202" w:name="_Toc520356170"/>
      <w:bookmarkStart w:id="203" w:name="_Ref467307010"/>
      <w:bookmarkStart w:id="204" w:name="_Toc32578"/>
      <w:bookmarkStart w:id="205" w:name="_Toc30436"/>
      <w:bookmarkStart w:id="206" w:name="_Toc518923092"/>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2277"/>
      <w:bookmarkStart w:id="209" w:name="_Toc3646"/>
      <w:bookmarkStart w:id="210" w:name="_Toc518923093"/>
      <w:bookmarkStart w:id="211" w:name="_Toc30599"/>
      <w:bookmarkStart w:id="212" w:name="_Toc10555"/>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Toc520356173"/>
      <w:bookmarkStart w:id="214" w:name="_Ref467306874"/>
      <w:bookmarkStart w:id="215" w:name="_Toc31903"/>
      <w:bookmarkStart w:id="216" w:name="_Toc12407"/>
      <w:bookmarkStart w:id="217" w:name="_Toc518923094"/>
      <w:bookmarkStart w:id="218" w:name="_Toc17138"/>
      <w:bookmarkStart w:id="219" w:name="_Toc19263"/>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29889"/>
      <w:bookmarkStart w:id="222" w:name="_Toc18072"/>
      <w:bookmarkStart w:id="223" w:name="_Toc518923095"/>
      <w:bookmarkStart w:id="224" w:name="_Toc9317"/>
      <w:bookmarkStart w:id="225" w:name="_Toc14874"/>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Toc169"/>
      <w:bookmarkStart w:id="227" w:name="_Toc13825"/>
      <w:bookmarkStart w:id="228" w:name="_Toc520356175"/>
      <w:bookmarkStart w:id="229" w:name="_Toc16952"/>
      <w:bookmarkStart w:id="230" w:name="_Ref467307062"/>
      <w:bookmarkStart w:id="231" w:name="_Ref467306377"/>
      <w:bookmarkStart w:id="232" w:name="_Toc21023"/>
      <w:bookmarkStart w:id="233" w:name="_Toc518923096"/>
      <w:bookmarkStart w:id="234" w:name="_Ref467306978"/>
      <w:bookmarkStart w:id="235" w:name="_Ref467307204"/>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Toc520356176"/>
      <w:bookmarkStart w:id="237" w:name="_Ref467306425"/>
      <w:bookmarkStart w:id="238" w:name="_Ref467307090"/>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302"/>
      <w:bookmarkStart w:id="240" w:name="_Toc8276"/>
      <w:bookmarkStart w:id="241" w:name="_Toc31416"/>
      <w:bookmarkStart w:id="242" w:name="_Toc4113"/>
      <w:bookmarkStart w:id="243" w:name="_Toc518923097"/>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17150"/>
      <w:bookmarkStart w:id="245" w:name="_Toc518923098"/>
      <w:bookmarkStart w:id="246" w:name="_Toc5576"/>
      <w:bookmarkStart w:id="247" w:name="_Toc8478"/>
      <w:bookmarkStart w:id="248" w:name="_Toc8476"/>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31411"/>
      <w:bookmarkStart w:id="250" w:name="_Toc10203"/>
      <w:bookmarkStart w:id="251" w:name="_Toc16784"/>
      <w:bookmarkStart w:id="252" w:name="_Toc518923099"/>
      <w:bookmarkStart w:id="253" w:name="_Toc18216"/>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32108"/>
      <w:bookmarkStart w:id="255" w:name="_Toc28987"/>
      <w:bookmarkStart w:id="256" w:name="_Toc10219"/>
      <w:bookmarkStart w:id="257" w:name="_Toc4701"/>
      <w:bookmarkStart w:id="258" w:name="_Toc518923100"/>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30899"/>
      <w:bookmarkStart w:id="260" w:name="_Toc21055"/>
      <w:bookmarkStart w:id="261" w:name="_Toc518923101"/>
      <w:bookmarkStart w:id="262" w:name="_Toc12715"/>
      <w:bookmarkStart w:id="263" w:name="_Toc743"/>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12358"/>
      <w:bookmarkStart w:id="265" w:name="_Toc12494"/>
      <w:bookmarkStart w:id="266" w:name="_Toc14752"/>
      <w:bookmarkStart w:id="267" w:name="_Toc24931"/>
      <w:bookmarkStart w:id="268" w:name="_Toc518923102"/>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3"/>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23883"/>
      <w:bookmarkStart w:id="270" w:name="_Toc28552"/>
      <w:bookmarkStart w:id="271" w:name="_Toc16661"/>
      <w:bookmarkStart w:id="272" w:name="_Toc10881"/>
      <w:bookmarkStart w:id="273" w:name="_Toc518923103"/>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3"/>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518923104"/>
      <w:bookmarkStart w:id="275" w:name="_Toc27788"/>
      <w:bookmarkStart w:id="276" w:name="_Toc2099"/>
      <w:bookmarkStart w:id="277" w:name="_Toc18040"/>
      <w:bookmarkStart w:id="278" w:name="_Toc6418"/>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279" w:name="_Toc515904842"/>
      <w:bookmarkStart w:id="280" w:name="_Toc518923105"/>
      <w:bookmarkStart w:id="281" w:name="_Toc10213"/>
      <w:bookmarkStart w:id="282" w:name="_Toc30995"/>
      <w:bookmarkStart w:id="283" w:name="_Toc13619"/>
      <w:bookmarkStart w:id="284" w:name="_Toc765"/>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216582812"/>
      <w:bookmarkStart w:id="286" w:name="_Toc26371"/>
      <w:bookmarkStart w:id="287" w:name="_Toc22884"/>
      <w:bookmarkStart w:id="288" w:name="_Toc518923106"/>
      <w:bookmarkStart w:id="289" w:name="_Toc1185"/>
      <w:bookmarkStart w:id="290" w:name="_Toc6923"/>
    </w:p>
    <w:p w14:paraId="205F5BD9">
      <w:pPr>
        <w:pStyle w:val="2"/>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9"/>
        <w:spacing w:line="380" w:lineRule="exact"/>
        <w:jc w:val="center"/>
        <w:rPr>
          <w:rFonts w:hint="eastAsia" w:ascii="微软雅黑" w:hAnsi="微软雅黑" w:eastAsia="微软雅黑" w:cs="微软雅黑"/>
          <w:color w:val="auto"/>
          <w:sz w:val="28"/>
          <w:szCs w:val="28"/>
          <w:highlight w:val="none"/>
        </w:rPr>
      </w:pPr>
    </w:p>
    <w:p w14:paraId="0164849E">
      <w:pPr>
        <w:pStyle w:val="29"/>
        <w:spacing w:line="380" w:lineRule="exact"/>
        <w:jc w:val="center"/>
        <w:rPr>
          <w:rFonts w:hint="eastAsia" w:ascii="微软雅黑" w:hAnsi="微软雅黑" w:eastAsia="微软雅黑" w:cs="微软雅黑"/>
          <w:color w:val="auto"/>
          <w:sz w:val="28"/>
          <w:szCs w:val="28"/>
          <w:highlight w:val="none"/>
        </w:rPr>
      </w:pPr>
    </w:p>
    <w:p w14:paraId="4E61A0CF">
      <w:pPr>
        <w:pStyle w:val="29"/>
        <w:spacing w:line="380" w:lineRule="exact"/>
        <w:jc w:val="center"/>
        <w:rPr>
          <w:rFonts w:hint="eastAsia" w:ascii="微软雅黑" w:hAnsi="微软雅黑" w:eastAsia="微软雅黑" w:cs="微软雅黑"/>
          <w:color w:val="auto"/>
          <w:sz w:val="28"/>
          <w:szCs w:val="28"/>
          <w:highlight w:val="none"/>
        </w:rPr>
      </w:pPr>
    </w:p>
    <w:p w14:paraId="6BD0F73A">
      <w:pPr>
        <w:pStyle w:val="29"/>
        <w:spacing w:line="380" w:lineRule="exact"/>
        <w:jc w:val="center"/>
        <w:rPr>
          <w:rFonts w:hint="eastAsia" w:ascii="微软雅黑" w:hAnsi="微软雅黑" w:eastAsia="微软雅黑" w:cs="微软雅黑"/>
          <w:color w:val="auto"/>
          <w:sz w:val="28"/>
          <w:szCs w:val="28"/>
          <w:highlight w:val="none"/>
        </w:rPr>
      </w:pPr>
    </w:p>
    <w:p w14:paraId="1559E39A">
      <w:pPr>
        <w:pStyle w:val="29"/>
        <w:spacing w:line="380" w:lineRule="exact"/>
        <w:jc w:val="center"/>
        <w:rPr>
          <w:rFonts w:hint="eastAsia" w:ascii="微软雅黑" w:hAnsi="微软雅黑" w:eastAsia="微软雅黑" w:cs="微软雅黑"/>
          <w:color w:val="auto"/>
          <w:sz w:val="28"/>
          <w:szCs w:val="28"/>
          <w:highlight w:val="none"/>
        </w:rPr>
      </w:pPr>
    </w:p>
    <w:p w14:paraId="0D8E09A0">
      <w:pPr>
        <w:pStyle w:val="29"/>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3"/>
        <w:spacing w:before="0" w:line="360" w:lineRule="auto"/>
        <w:rPr>
          <w:rFonts w:hint="eastAsia" w:ascii="微软雅黑" w:hAnsi="微软雅黑" w:eastAsia="微软雅黑" w:cs="微软雅黑"/>
          <w:color w:val="auto"/>
          <w:sz w:val="24"/>
          <w:highlight w:val="none"/>
        </w:rPr>
      </w:pPr>
      <w:bookmarkStart w:id="291" w:name="_Toc518923107"/>
      <w:bookmarkStart w:id="292" w:name="_Toc17893"/>
      <w:bookmarkStart w:id="293" w:name="_Toc10789"/>
      <w:bookmarkStart w:id="294" w:name="_Toc21715"/>
      <w:bookmarkStart w:id="295" w:name="_Toc15142"/>
      <w:bookmarkStart w:id="296" w:name="_Toc636"/>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518923108"/>
      <w:bookmarkStart w:id="298" w:name="_Toc29377"/>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Ref467988698"/>
      <w:bookmarkStart w:id="301" w:name="_Toc480942349"/>
      <w:bookmarkStart w:id="302" w:name="_Toc520356217"/>
      <w:bookmarkStart w:id="303" w:name="_Toc216582813"/>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3"/>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3"/>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29812"/>
      <w:bookmarkStart w:id="305" w:name="_Toc28753"/>
      <w:bookmarkStart w:id="306" w:name="_Toc1138"/>
      <w:bookmarkStart w:id="307" w:name="_Toc24623"/>
      <w:bookmarkStart w:id="308" w:name="_Toc130"/>
      <w:bookmarkStart w:id="309" w:name="_Toc32520"/>
      <w:bookmarkStart w:id="310" w:name="_Toc515647808"/>
      <w:bookmarkStart w:id="311" w:name="_Toc7039"/>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w:t>
      </w:r>
      <w:r>
        <w:rPr>
          <w:rFonts w:hint="eastAsia" w:ascii="微软雅黑" w:hAnsi="微软雅黑" w:eastAsia="微软雅黑" w:cs="微软雅黑"/>
          <w:color w:val="auto"/>
          <w:highlight w:val="none"/>
          <w:lang w:eastAsia="zh-CN"/>
        </w:rPr>
        <w:t>2023年度或2024年</w:t>
      </w:r>
      <w:r>
        <w:rPr>
          <w:rFonts w:hint="eastAsia" w:ascii="微软雅黑" w:hAnsi="微软雅黑" w:eastAsia="微软雅黑" w:cs="微软雅黑"/>
          <w:color w:val="auto"/>
          <w:highlight w:val="none"/>
        </w:rPr>
        <w:t>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sz w:val="24"/>
          <w:szCs w:val="24"/>
          <w:highlight w:val="none"/>
          <w:lang w:val="en-US" w:eastAsia="zh-CN"/>
        </w:rPr>
        <w:t>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kern w:val="2"/>
          <w:sz w:val="24"/>
          <w:szCs w:val="24"/>
          <w:highlight w:val="none"/>
          <w:lang w:val="en-US" w:eastAsia="zh-CN" w:bidi="ar-SA"/>
        </w:rPr>
        <w:t>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1096"/>
      <w:bookmarkStart w:id="313" w:name="_Toc22494204"/>
      <w:bookmarkStart w:id="314" w:name="_Toc39671745"/>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518923115"/>
      <w:bookmarkStart w:id="318" w:name="_Toc16844"/>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须提交）注：投标人为中小企业的，须提供</w:t>
      </w:r>
      <w:r>
        <w:rPr>
          <w:rFonts w:hint="eastAsia" w:ascii="微软雅黑" w:hAnsi="微软雅黑" w:eastAsia="微软雅黑" w:cs="微软雅黑"/>
          <w:color w:val="auto"/>
          <w:sz w:val="24"/>
          <w:highlight w:val="none"/>
          <w:lang w:eastAsia="zh-CN"/>
        </w:rPr>
        <w:t>《中小企业声明函（货物）》</w:t>
      </w:r>
      <w:r>
        <w:rPr>
          <w:rFonts w:hint="eastAsia" w:ascii="微软雅黑" w:hAnsi="微软雅黑" w:eastAsia="微软雅黑" w:cs="微软雅黑"/>
          <w:color w:val="auto"/>
          <w:sz w:val="24"/>
          <w:highlight w:val="none"/>
        </w:rPr>
        <w:t>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319" w:name="_Toc15081"/>
      <w:bookmarkStart w:id="320" w:name="_Toc26126"/>
      <w:bookmarkStart w:id="321" w:name="_Toc518923116"/>
      <w:bookmarkStart w:id="322" w:name="_Toc9768"/>
      <w:bookmarkStart w:id="323" w:name="_Toc10878"/>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24572"/>
      <w:bookmarkStart w:id="329" w:name="_Toc518923118"/>
      <w:bookmarkStart w:id="330" w:name="_Toc1893"/>
      <w:bookmarkStart w:id="331" w:name="_Toc2343"/>
    </w:p>
    <w:p w14:paraId="4E0470A4">
      <w:pPr>
        <w:pStyle w:val="3"/>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4276"/>
      <w:bookmarkStart w:id="334" w:name="_Toc20593"/>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3"/>
        <w:spacing w:before="0" w:line="360" w:lineRule="auto"/>
        <w:jc w:val="both"/>
        <w:rPr>
          <w:rFonts w:hint="eastAsia" w:ascii="微软雅黑" w:hAnsi="微软雅黑" w:eastAsia="微软雅黑" w:cs="微软雅黑"/>
          <w:color w:val="auto"/>
          <w:sz w:val="24"/>
          <w:highlight w:val="none"/>
        </w:rPr>
      </w:pPr>
    </w:p>
    <w:p w14:paraId="12B849C9">
      <w:pPr>
        <w:pStyle w:val="3"/>
        <w:spacing w:before="0" w:line="360" w:lineRule="auto"/>
        <w:jc w:val="both"/>
        <w:rPr>
          <w:rFonts w:hint="eastAsia" w:ascii="微软雅黑" w:hAnsi="微软雅黑" w:eastAsia="微软雅黑" w:cs="微软雅黑"/>
          <w:color w:val="auto"/>
          <w:sz w:val="24"/>
          <w:highlight w:val="none"/>
        </w:rPr>
      </w:pPr>
    </w:p>
    <w:p w14:paraId="0B80482B">
      <w:pPr>
        <w:pStyle w:val="3"/>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2103"/>
      <w:bookmarkStart w:id="336" w:name="_Toc31304"/>
      <w:bookmarkStart w:id="337" w:name="_Toc14331"/>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338" w:name="_Toc24529"/>
      <w:bookmarkStart w:id="339" w:name="_Toc216582818"/>
      <w:bookmarkStart w:id="340" w:name="_Toc15309"/>
      <w:bookmarkStart w:id="341" w:name="_Toc518923119"/>
      <w:bookmarkStart w:id="342" w:name="_Toc5567"/>
      <w:bookmarkStart w:id="343" w:name="_Toc8079"/>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4393"/>
      <w:bookmarkEnd w:id="344"/>
      <w:bookmarkStart w:id="345" w:name="_Hlt520350957"/>
      <w:bookmarkEnd w:id="345"/>
      <w:bookmarkStart w:id="346" w:name="_Hlt520274065"/>
      <w:bookmarkEnd w:id="346"/>
      <w:bookmarkStart w:id="347" w:name="_Hlt520273973"/>
      <w:bookmarkEnd w:id="347"/>
      <w:bookmarkStart w:id="348" w:name="_Hlt520273711"/>
      <w:bookmarkEnd w:id="348"/>
      <w:bookmarkStart w:id="349" w:name="_Hlt520271212"/>
      <w:bookmarkEnd w:id="349"/>
      <w:bookmarkStart w:id="350" w:name="_Hlt520274911"/>
      <w:bookmarkEnd w:id="350"/>
      <w:bookmarkStart w:id="351" w:name="_Hlt520274407"/>
      <w:bookmarkEnd w:id="351"/>
      <w:bookmarkStart w:id="352" w:name="_Hlt520343392"/>
      <w:bookmarkEnd w:id="352"/>
      <w:bookmarkStart w:id="353" w:name="_Hlt520343000"/>
      <w:bookmarkEnd w:id="353"/>
      <w:bookmarkStart w:id="354" w:name="_Hlt520350918"/>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17685"/>
      <w:bookmarkStart w:id="356" w:name="_Toc480"/>
      <w:bookmarkStart w:id="357" w:name="_Toc29458"/>
      <w:bookmarkStart w:id="358" w:name="_Toc518923120"/>
      <w:bookmarkStart w:id="359" w:name="_Toc12180"/>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方可享受优惠政策。</w:t>
      </w:r>
    </w:p>
    <w:p w14:paraId="075C4773">
      <w:pPr>
        <w:pStyle w:val="3"/>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3"/>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518923121"/>
      <w:bookmarkStart w:id="362" w:name="_Toc14769"/>
      <w:bookmarkStart w:id="363" w:name="_Toc25044"/>
      <w:bookmarkStart w:id="364" w:name="_Toc12477"/>
      <w:bookmarkStart w:id="365" w:name="_Toc625"/>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31"/>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4536"/>
      <w:bookmarkStart w:id="367" w:name="_Toc9995"/>
      <w:bookmarkStart w:id="368" w:name="_Toc9438"/>
      <w:bookmarkStart w:id="369" w:name="_Toc16978"/>
      <w:bookmarkStart w:id="370" w:name="_Toc7873"/>
      <w:bookmarkStart w:id="371" w:name="_Toc6862"/>
      <w:bookmarkStart w:id="372" w:name="_Toc22452"/>
      <w:bookmarkStart w:id="373" w:name="_Toc11460"/>
      <w:bookmarkStart w:id="374" w:name="_Toc17046"/>
      <w:bookmarkStart w:id="375" w:name="_Toc18316"/>
      <w:bookmarkStart w:id="376" w:name="_Toc8030"/>
      <w:bookmarkStart w:id="377" w:name="_Toc15690"/>
      <w:bookmarkStart w:id="378" w:name="_Toc682"/>
      <w:bookmarkStart w:id="379" w:name="_Toc23613"/>
      <w:bookmarkStart w:id="380" w:name="_Toc20579"/>
      <w:bookmarkStart w:id="381" w:name="_Toc32033"/>
      <w:bookmarkStart w:id="382" w:name="_Toc24952"/>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31"/>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31EF9A4D">
      <w:pPr>
        <w:widowControl/>
        <w:spacing w:line="360" w:lineRule="auto"/>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麦盖提县中小学功能室仪器及学生食堂设备购置项目（一标段）</w:t>
      </w:r>
    </w:p>
    <w:p w14:paraId="1339C8F6">
      <w:pPr>
        <w:widowControl/>
        <w:spacing w:line="360" w:lineRule="auto"/>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KSMGTX(GK)2025-05号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6"/>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lang w:eastAsia="zh-CN"/>
        </w:rPr>
        <w:t xml:space="preserve"> 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r>
        <w:rPr>
          <w:rFonts w:hint="eastAsia" w:ascii="微软雅黑" w:hAnsi="微软雅黑" w:eastAsia="微软雅黑" w:cs="微软雅黑"/>
          <w:color w:val="auto"/>
          <w:highlight w:val="none"/>
        </w:rPr>
        <w:br w:type="page"/>
      </w:r>
      <w:bookmarkStart w:id="383" w:name="_Toc219175634"/>
      <w:bookmarkStart w:id="384" w:name="_Toc218935350"/>
      <w:bookmarkStart w:id="385" w:name="_Toc507399902"/>
      <w:bookmarkStart w:id="386" w:name="_Toc9913"/>
      <w:bookmarkStart w:id="387" w:name="_Toc216582822"/>
      <w:bookmarkStart w:id="388" w:name="_Toc518923124"/>
    </w:p>
    <w:p w14:paraId="6989DB74">
      <w:pPr>
        <w:pStyle w:val="2"/>
        <w:tabs>
          <w:tab w:val="left" w:pos="0"/>
        </w:tabs>
        <w:spacing w:before="0" w:after="0" w:line="360" w:lineRule="auto"/>
        <w:rPr>
          <w:rFonts w:hint="eastAsia" w:ascii="微软雅黑" w:hAnsi="微软雅黑" w:eastAsia="微软雅黑" w:cs="微软雅黑"/>
          <w:color w:val="auto"/>
          <w:highlight w:val="none"/>
        </w:rPr>
      </w:pPr>
      <w:bookmarkStart w:id="389" w:name="_Toc14452"/>
      <w:bookmarkStart w:id="390" w:name="_Toc638"/>
      <w:bookmarkStart w:id="391" w:name="_Toc30701"/>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11106FCE">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麦盖提县中小学功能室仪器及学生食堂设备购置项目（一标段）</w:t>
      </w:r>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麦盖提县政府采购中心受麦盖提县教育局的委托，对麦盖提县中小学功能室仪器及学生食堂设备购置项目（一标段）进行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1.项目编号：KSMGTX(GK)2025-05号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麦盖提县中小学功能室仪器及学生食堂设备购置项目（一标段）</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367万元（叁佰陆拾柒万元整）</w:t>
      </w:r>
    </w:p>
    <w:p w14:paraId="5777EE2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为麦盖提县第一小学等10所学校采购中小学音乐教室11间、美术教室8间、科学教室7间、餐厨设备2套（详见招标文件）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28359090"/>
      <w:bookmarkStart w:id="394" w:name="_Toc35393799"/>
      <w:bookmarkStart w:id="395" w:name="_Toc35393630"/>
      <w:bookmarkStart w:id="396" w:name="_Toc28359013"/>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30400"/>
      <w:bookmarkStart w:id="398" w:name="_Toc35393794"/>
      <w:bookmarkStart w:id="399" w:name="_Toc35393625"/>
      <w:bookmarkStart w:id="400" w:name="_Toc28359084"/>
      <w:bookmarkStart w:id="401" w:name="_Toc28359007"/>
      <w:bookmarkStart w:id="402" w:name="_Toc23672"/>
      <w:bookmarkStart w:id="403" w:name="_Toc20863"/>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（2）获取采购文件时间：2025年06月17日至2025年06月24日。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07月08日10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07月08日10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35393805"/>
      <w:bookmarkStart w:id="406" w:name="_Toc28359018"/>
      <w:bookmarkStart w:id="407" w:name="_Toc35393636"/>
      <w:bookmarkStart w:id="408" w:name="_Toc28359095"/>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五</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六</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十七</w:t>
      </w:r>
      <w:r>
        <w:rPr>
          <w:rFonts w:hint="eastAsia" w:ascii="微软雅黑" w:hAnsi="微软雅黑" w:eastAsia="微软雅黑" w:cs="微软雅黑"/>
          <w:b/>
          <w:color w:val="auto"/>
          <w:sz w:val="24"/>
          <w:szCs w:val="24"/>
          <w:highlight w:val="none"/>
        </w:rPr>
        <w:t>日</w:t>
      </w:r>
    </w:p>
    <w:p w14:paraId="249D5173"/>
    <w:p w14:paraId="6E40637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113778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D3AC95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4DD404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791900C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2A6ABAF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30EB1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8"/>
          <w:szCs w:val="28"/>
          <w:highlight w:val="none"/>
        </w:rPr>
      </w:pP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7955"/>
      <w:bookmarkStart w:id="410" w:name="_Toc15034"/>
      <w:bookmarkStart w:id="411" w:name="_Toc518923125"/>
      <w:bookmarkStart w:id="412" w:name="_Toc20271"/>
      <w:bookmarkStart w:id="413" w:name="_Toc28647"/>
      <w:bookmarkStart w:id="414" w:name="_Toc507399903"/>
      <w:bookmarkStart w:id="415" w:name="_Toc216582823"/>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32"/>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麦盖提县中小学功能室仪器及学生食堂设备购置项目（一标段）</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32"/>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32"/>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32"/>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KSMGTX(GK)2025-05号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32"/>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32"/>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32"/>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 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5C15B20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000000"/>
                <w:highlight w:val="yellow"/>
                <w:u w:val="single"/>
                <w:lang w:val="en-US" w:eastAsia="zh-CN"/>
              </w:rPr>
            </w:pPr>
            <w:r>
              <w:rPr>
                <w:rFonts w:hint="eastAsia" w:ascii="微软雅黑" w:hAnsi="微软雅黑" w:eastAsia="微软雅黑" w:cs="微软雅黑"/>
                <w:color w:val="000000"/>
                <w:highlight w:val="none"/>
                <w:lang w:val="en-US" w:eastAsia="zh-CN"/>
              </w:rPr>
              <w:t>为麦盖提县第一小学等10所学校采购中小学音乐教室11间、美术教室8间、科学教室7间、餐厨设备2套</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lang w:val="en-US" w:eastAsia="zh-CN"/>
              </w:rPr>
              <w:t>367万元（叁佰陆拾柒万元整）</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2025年教育行业资金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本项目采取分批付款，本次招标项目签订合同后支付30%，所有货物全部到场后，支付货物款40%，完成本次招标项目所有货物安装调试完成并经最终验收合格后，支付剩余货物款30%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麦盖提县第六中学</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项目建设及供货期限</w:t>
            </w:r>
          </w:p>
        </w:tc>
        <w:tc>
          <w:tcPr>
            <w:tcW w:w="7815" w:type="dxa"/>
            <w:tcBorders>
              <w:top w:val="single" w:color="auto" w:sz="4" w:space="0"/>
              <w:left w:val="single" w:color="auto" w:sz="4" w:space="0"/>
              <w:bottom w:val="single" w:color="auto" w:sz="4" w:space="0"/>
              <w:right w:val="single" w:color="auto" w:sz="4" w:space="0"/>
            </w:tcBorders>
            <w:vAlign w:val="center"/>
          </w:tcPr>
          <w:p w14:paraId="7C25ED47">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本项目建设工期要求中标人在中标通知书核发后5日内签订采购合同，项目所涉及硬件要求在合同签订后15日内到货，45日内完工。达不到上述条件，每天按照3000元进行赔偿。</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1DF8161D">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（1）供应商所提供的产品为原厂原装正品、设备均应是全新、原装正品；</w:t>
            </w:r>
          </w:p>
          <w:p w14:paraId="5C96473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（2）所有设备必须配齐所有辅助配件及功能配件等附件；</w:t>
            </w:r>
          </w:p>
          <w:p w14:paraId="1F28767F">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（3）交货时需提供设备使用说明书、检验合格证、质量检测报告等中文技术文件。</w:t>
            </w:r>
          </w:p>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（4）质保要求：硬件质保期3年，质保期内出现质量问题，需免费上门进行售后服务。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3家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 xml:space="preserve">不允许  </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音乐功能室教学与评测系统</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2025年07月08日10：00（北京时间）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2025年07月08日10:00分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2025年07月08日11:30分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开标时间后30分钟内（2025年07月08日日10:00-10：30前）供应商登录“政采云”平台，用“项目采购-开标评标”功能进行解密投标文件。若供应商在规定时间内未按时解密的，视为无效投标。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（投标人提供2023年度或2024年度财务审计报告，新成立公司可提供有效内银行出具的资信证明）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注：所有资质及评标所需的资料证明不接受三次提供。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工业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32"/>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工业：</w:t>
            </w:r>
            <w:r>
              <w:rPr>
                <w:rFonts w:hint="eastAsia" w:ascii="微软雅黑" w:hAnsi="微软雅黑" w:eastAsia="微软雅黑" w:cs="微软雅黑"/>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投标保证金金额：36700元（叁万陆仟柒佰元整）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中小学功能室仪器及学生食堂设备购置项目（一标段）KSMGTX(GK)2025-05号；因项目名称字数多无法备注全称的，可简写：麦县中小学功能室项目一标GK202505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w:t>
            </w:r>
            <w:r>
              <w:rPr>
                <w:rFonts w:hint="eastAsia" w:ascii="微软雅黑" w:hAnsi="微软雅黑" w:eastAsia="微软雅黑" w:cs="微软雅黑"/>
                <w:color w:val="auto"/>
                <w:highlight w:val="none"/>
                <w:lang w:val="en-US" w:eastAsia="zh-CN"/>
              </w:rPr>
              <w:t>麦盖提县中小学功能室仪器及学生食堂设备购置项目（一标段）</w:t>
            </w:r>
            <w:r>
              <w:rPr>
                <w:rFonts w:hint="eastAsia" w:ascii="微软雅黑" w:hAnsi="微软雅黑" w:eastAsia="微软雅黑" w:cs="微软雅黑"/>
                <w:color w:val="auto"/>
                <w:kern w:val="2"/>
                <w:sz w:val="24"/>
                <w:szCs w:val="24"/>
                <w:highlight w:val="none"/>
                <w:lang w:val="en-US" w:eastAsia="zh-CN" w:bidi="ar-SA"/>
              </w:rPr>
              <w:t>KSMGTX(GK)2025-05号，投标保证金：36700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收件人：帕提古·艾力   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32"/>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1C4E66E4">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7801"/>
      <w:bookmarkStart w:id="417" w:name="_Toc6254"/>
      <w:bookmarkStart w:id="418" w:name="_Toc518923126"/>
      <w:bookmarkStart w:id="419" w:name="_Toc507399906"/>
      <w:bookmarkStart w:id="420" w:name="_Toc216582825"/>
      <w:bookmarkStart w:id="421" w:name="_Toc218935354"/>
      <w:bookmarkStart w:id="422" w:name="_Toc30821"/>
      <w:bookmarkStart w:id="423" w:name="_Toc7112"/>
      <w:bookmarkStart w:id="424" w:name="_Toc219175638"/>
      <w:bookmarkStart w:id="425" w:name="_Toc216582811"/>
      <w:bookmarkStart w:id="426" w:name="_Toc218935351"/>
      <w:bookmarkStart w:id="427" w:name="_Toc216513787"/>
      <w:bookmarkStart w:id="428" w:name="_Toc219175635"/>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44922978"/>
      <w:bookmarkStart w:id="431" w:name="_Toc399777825"/>
      <w:bookmarkStart w:id="432" w:name="_Toc382927112"/>
      <w:bookmarkStart w:id="433" w:name="_Toc219175639"/>
      <w:bookmarkStart w:id="434" w:name="_Toc218935355"/>
      <w:bookmarkStart w:id="435" w:name="_Toc216582826"/>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麦盖提县中小学功能室仪器及学生食堂设备购置项目（一标段）</w:t>
      </w:r>
    </w:p>
    <w:p w14:paraId="7A8FF43F">
      <w:pPr>
        <w:numPr>
          <w:ilvl w:val="0"/>
          <w:numId w:val="0"/>
        </w:numPr>
        <w:jc w:val="both"/>
        <w:rPr>
          <w:rFonts w:hint="eastAsia" w:ascii="微软雅黑" w:hAnsi="微软雅黑" w:eastAsia="微软雅黑" w:cs="微软雅黑"/>
          <w:b/>
          <w:kern w:val="2"/>
          <w:sz w:val="28"/>
          <w:szCs w:val="28"/>
          <w:highlight w:val="yellow"/>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r>
        <w:rPr>
          <w:rFonts w:hint="eastAsia" w:ascii="微软雅黑" w:hAnsi="微软雅黑" w:eastAsia="微软雅黑" w:cs="微软雅黑"/>
          <w:kern w:val="2"/>
          <w:sz w:val="28"/>
          <w:szCs w:val="28"/>
          <w:lang w:val="en-US" w:eastAsia="zh-CN" w:bidi="mn-Mong-CN"/>
        </w:rPr>
        <w:t>为麦盖提县第一小学等10所学校采购中小学音乐教室11间、美术教室8间、科学教室7间、餐厨设备2套。</w:t>
      </w:r>
    </w:p>
    <w:p w14:paraId="4C8A3E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微软雅黑" w:hAnsi="微软雅黑" w:eastAsia="微软雅黑" w:cs="微软雅黑"/>
          <w:kern w:val="2"/>
          <w:sz w:val="24"/>
          <w:szCs w:val="24"/>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三、项目概况：</w:t>
      </w:r>
      <w:r>
        <w:rPr>
          <w:rFonts w:hint="eastAsia" w:ascii="微软雅黑" w:hAnsi="微软雅黑" w:eastAsia="微软雅黑" w:cs="微软雅黑"/>
          <w:kern w:val="2"/>
          <w:sz w:val="28"/>
          <w:szCs w:val="28"/>
          <w:lang w:val="en-US" w:eastAsia="zh-CN" w:bidi="mn-Mong-CN"/>
        </w:rPr>
        <w:t>按照麦盖提县“十四五”规划设备采购安排，计划使用2025年义务教育薄弱环节改善与能力提升补助项目资金367万元，为麦盖提县第一小学等10所学校采购中小学音乐教室11间、美术教室8间、科学教室7间、餐厨设备2套。</w:t>
      </w:r>
    </w:p>
    <w:p w14:paraId="6CFCC7F1">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方正小标宋_GBK" w:hAnsi="方正小标宋_GBK" w:eastAsia="方正小标宋_GBK" w:cs="方正小标宋_GBK"/>
          <w:b/>
          <w:kern w:val="2"/>
          <w:sz w:val="28"/>
          <w:szCs w:val="28"/>
          <w:highlight w:val="none"/>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采购标的汇总表</w:t>
      </w:r>
    </w:p>
    <w:tbl>
      <w:tblPr>
        <w:tblStyle w:val="19"/>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615"/>
        <w:gridCol w:w="2595"/>
        <w:gridCol w:w="1710"/>
        <w:gridCol w:w="1485"/>
        <w:gridCol w:w="1080"/>
        <w:gridCol w:w="1080"/>
      </w:tblGrid>
      <w:tr w14:paraId="1864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4A5">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序号</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E8A4A">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标的名称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3AB2">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品目编码</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447">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CDC">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2A2A">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是否进口</w:t>
            </w:r>
          </w:p>
        </w:tc>
      </w:tr>
      <w:tr w14:paraId="127C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0CC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美术教室软硬件设备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7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F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C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06A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18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单反照相机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E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6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02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86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D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高清直播摄像机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1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A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8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26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68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2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7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6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0D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48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8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0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5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51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8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C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04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8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97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9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油画箱画架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0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8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2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AD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7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8E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B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B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32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B2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D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C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2EE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0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D2F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0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人体结构活动模型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D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9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9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29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A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7D31">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7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绘画触摸教育显示终端</w:t>
            </w:r>
          </w:p>
          <w:p w14:paraId="6E39B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FF0000"/>
                <w:kern w:val="0"/>
                <w:sz w:val="20"/>
                <w:szCs w:val="20"/>
                <w:u w:val="none"/>
                <w:lang w:val="en-US" w:eastAsia="zh-CN" w:bidi="ar"/>
              </w:rPr>
              <w:t>(节能产品）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C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A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04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B01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C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5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B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BC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1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FF6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民间美术欣赏及写生样本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6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C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11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C25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0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5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2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DC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421C">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7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2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0B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E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3B1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F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C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4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99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A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9DF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6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6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1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A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BC0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6629">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F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1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EE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4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FCB4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7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5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4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01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5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6A0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B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8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ED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38579">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B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BF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6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6C0E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音乐教室软硬件设备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C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F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5D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BB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602F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A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9F9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3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A6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6E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9C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F9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39B2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3855">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9E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D2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5D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BD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2F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4EA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EDB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音乐功能室教学系统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4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2E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33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07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604B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6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5D8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架子鼓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1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01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75041">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D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B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3F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F78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A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木吉他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BF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2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300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4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2E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FFC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4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电吉他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2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D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41D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738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电贝斯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7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A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01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6D34">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F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B4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785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笛子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3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4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72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8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FDC6">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7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笛子（F调）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7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0D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6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B925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EA1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4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D81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C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0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06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308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5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C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0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B1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8D8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9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2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C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03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34F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4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萨克斯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5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8C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D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A2E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B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琵琶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AC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2B2C">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唢呐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8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4E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A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A3D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弹拨尔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2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B1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0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05C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8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0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E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5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2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84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8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6C3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9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葫芦丝（C调）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E9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8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D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2C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394D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2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4A26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A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葫芦丝（降B调）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5A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9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5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7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3775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A58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21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电吉他音响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08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F8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BE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5E39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585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A1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电贝斯音响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5F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3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7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2386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8EA4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5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喀什热瓦普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E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7C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82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57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EA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7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42A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A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刀郎热瓦普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C1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64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3B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B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79B4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3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C3F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A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低音热瓦普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25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40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C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60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192B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E88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4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大手鼓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0B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2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B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2C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2D76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3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A6A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13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D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30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9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C2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903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4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0F1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9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5B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7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69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82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026D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926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4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B9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2A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E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2F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82A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0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0262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F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刀郎手鼓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21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DF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EA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78B9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E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1C0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B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萨塔尔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BC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09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5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D8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61AD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2CB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19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都塔尔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8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C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7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D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E1F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E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454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5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架子鼓鼓槌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9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2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C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79DE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B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B366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小学科学探究实验室软硬件设备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A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实验桌（教师演示台）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F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D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1D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79F4">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5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4BA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481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E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5E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BDB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2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6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2E8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B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3AC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1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智能吊装控制系统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0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87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200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F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0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6C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ED85">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化验水槽（配出水装置）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7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3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3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8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6F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7D4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6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DB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E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415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F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A3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441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4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1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D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11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4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299B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电源布线耗材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9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7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6E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2E696">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给/排水全套装置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6A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C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59C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系统安装辅件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2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A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37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39B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吊装系统安装调试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5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8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DE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F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285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1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8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1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F4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9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EBF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小学声学实验箱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F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4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9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B0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3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47D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7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小学光学实验箱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E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6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1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C4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EBB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5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小学电学实验箱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7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1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B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9C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036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小学磁学实验箱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2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2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B6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C8BC">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5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小学水实验箱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B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9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F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DD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A21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5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小学力与机械（一）实验箱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9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30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EC51">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小学力与机械（二）实验箱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6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C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9F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C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79E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小学热学实验箱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E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2C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625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E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植物的器官资源箱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8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B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3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0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F9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0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餐具消毒柜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E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3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14:paraId="4B98349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方正小标宋_GBK" w:hAnsi="方正小标宋_GBK" w:eastAsia="方正小标宋_GBK" w:cs="方正小标宋_GBK"/>
          <w:b/>
          <w:kern w:val="2"/>
          <w:sz w:val="28"/>
          <w:szCs w:val="28"/>
          <w:highlight w:val="none"/>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五、技术商务要求</w:t>
      </w:r>
    </w:p>
    <w:p w14:paraId="2A2B12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（1）技术要求</w:t>
      </w:r>
    </w:p>
    <w:tbl>
      <w:tblPr>
        <w:tblStyle w:val="19"/>
        <w:tblW w:w="5085" w:type="pct"/>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656"/>
        <w:gridCol w:w="6225"/>
        <w:gridCol w:w="638"/>
        <w:gridCol w:w="628"/>
      </w:tblGrid>
      <w:tr w14:paraId="3B99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555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4"/>
                <w:szCs w:val="24"/>
                <w:u w:val="none"/>
                <w:lang w:val="en-US" w:eastAsia="zh-CN" w:bidi="ar"/>
              </w:rPr>
              <w:t>美术教室器材清单</w:t>
            </w:r>
          </w:p>
        </w:tc>
      </w:tr>
      <w:tr w14:paraId="2589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476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3A4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3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578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技术参数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94E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63A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r>
      <w:tr w14:paraId="7009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2F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EB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显示屏</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4C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1.75吋4K全面屏电视，分辨率≥3840*2160，屏占比达≥95%；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2.亮度≥300nits,对比度≥1200：1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3.屏幕比例：16：9；最大可视角度：≥178°；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4.操作系统≥Android 9.0；处理器≥4核，主频≥1.8GHz，DDR4内存≥2G ；闪存≥32G，内置wifi模块；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5.HDMI2.0≥2、AV接口≥1、同轴接口≥1、RF（DTMB）接口≥1、USB2.0≥2、网络接口≥1、RS232接口≥1；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6.支持视频解码格式：H264|H265|MPEG1|MPEG2|MPEG4|VP8|AVS|AVS2|HLG|HDR10，jpg|jpeg|png|bmp等常见图片格式，MP3|MPEG2|MPEG4|Dolby MS12|Vorbis|FLAC|APE等音频格式；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7.支持HDR10高动态画质提升；支持.H.264/H.265高清视频处理技；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8.支持DLAN、AirPlay多屏互动；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50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54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6695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27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224D5A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B8897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3CED0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0C89B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6B35217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195D2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14CA1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152B92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EC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2B092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2045F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609D1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74C950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322B60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2BBA268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F62896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86DB5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单反照相机</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8CD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1.传感器类型：CMOS&gt; 传感器尺寸≥ 22.3×14.8mm ；</w:t>
            </w:r>
          </w:p>
          <w:p w14:paraId="2612FE6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2.像素：有效像素≥3250万，最高分辨率≥6960×4640；</w:t>
            </w:r>
          </w:p>
          <w:p w14:paraId="2170408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3.图像分辨率 L（大）：≥3230万像素（6960×4640）、 M（中）：≥1540万像素（4800×3200）、S1（小1）：≥810万像素（3472×2320）、S2（小2）：≥380万像素（2400×1600）、 RAW/C-RAW：≥3230万像素（6960×4640）</w:t>
            </w:r>
          </w:p>
          <w:p w14:paraId="0FB5B2F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3.镜头：可伸缩镜头，支持单次自动对焦，人工智能伺服自动对焦，人工智能自动对焦，手动对焦 手动选择：定点自动对焦，单点自动对焦，区域自动对焦，大区域自动对焦、</w:t>
            </w:r>
          </w:p>
          <w:p w14:paraId="49056D6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4.自动选择：45点自动对焦</w:t>
            </w:r>
          </w:p>
          <w:p w14:paraId="5E7A8F1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5.显示屏类型：触摸屏≥3英寸，液晶屏特性宽屏（3:2）</w:t>
            </w:r>
          </w:p>
          <w:p w14:paraId="534CE46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6.取景器类型：光学</w:t>
            </w:r>
          </w:p>
          <w:p w14:paraId="2A89674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7.快门类型：电子控制焦平面快门</w:t>
            </w:r>
          </w:p>
          <w:p w14:paraId="2AB9BAA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8.快门速度：取景器拍摄：总快门速度范围为1/8000至30秒，B门模式下可实现长时间曝光；闪光同步速度为1/250秒。实时显示拍摄：总快门速度范围为1/16000至30秒，1/16000至1/10000秒需设置电子快门才可使用。</w:t>
            </w:r>
          </w:p>
          <w:p w14:paraId="33D84C5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9.闪光灯：内置闪光灯，闪光范围≥17mm镜头视角，闪光指数：≥ISO100，</w:t>
            </w:r>
          </w:p>
          <w:p w14:paraId="57C52C3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闪光灯回电时间≤3秒。</w:t>
            </w:r>
          </w:p>
          <w:p w14:paraId="57FA6F4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曝光：手动曝光补偿：取景器拍摄时，可在±5级间以1/2或1/3级为单位调节。自动包围曝光：在±3级间以1/2或1/3级为单位调节，且可与手动曝光补偿组合使用。实时显示拍摄/短片拍摄：使用图像感应器进行实时测光，384分区（24×16）测光。</w:t>
            </w:r>
          </w:p>
          <w:p w14:paraId="4A1705A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11.静止图像拍摄：自动ISO（在ISO100～25600之间自动设置）；手动设置范围为ISO100～25600，以1/3或1级为单位调节，可扩展至H（相当于ISO51200）。</w:t>
            </w:r>
          </w:p>
          <w:p w14:paraId="45E46FC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12.短片拍摄：自动ISO（在ISO100～12800之间自动设置）；手动设置范围为ISO100～12800，以1/3或1级为单位调节，可扩展至H（相当于ISO25600）；HDR短片模式下ISO感光度自动设置。</w:t>
            </w:r>
          </w:p>
          <w:p w14:paraId="1619C39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13.场景模式：提供肖像、风景、微距、运动、日落、夜景肖像、夜景、手持夜景、抗运动模糊等多种场景模式。</w:t>
            </w:r>
          </w:p>
          <w:p w14:paraId="4C6CC2E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14.短片格式：采用MPEG-4AVC/H.264格式。</w:t>
            </w:r>
          </w:p>
          <w:p w14:paraId="666A645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15.自拍功能：支持自拍功能，可设置不同的延迟时间。</w:t>
            </w:r>
          </w:p>
          <w:p w14:paraId="2AC9991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16.高速连拍：取景器拍摄时最高约10张/秒，实时显示拍摄时最高约11张/秒。支持低速连拍、静音连拍。</w:t>
            </w:r>
          </w:p>
          <w:p w14:paraId="6706B2B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17.具备录音/音频系统功能。</w:t>
            </w:r>
          </w:p>
          <w:p w14:paraId="53C0CF6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18.存储卡类型：支持SD/SDHC/SDXC卡。</w:t>
            </w:r>
          </w:p>
          <w:p w14:paraId="4CAEC59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19.电池续航能力：使用取景器拍摄：室温（23℃）时约1860张，低温（0℃）时约1850张；使用实时显示拍摄：室温（23℃）时约510张，低温（0℃）时约500张</w:t>
            </w:r>
          </w:p>
          <w:p w14:paraId="5117F84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20.产品接口USB 2.0，Micro-B，HDMI min </w:t>
            </w:r>
          </w:p>
          <w:p w14:paraId="6E17604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21.无线功能NFC，WiFi，蓝牙</w:t>
            </w:r>
          </w:p>
          <w:p w14:paraId="00AF64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22.配件：18-200长焦镜头和100定焦镜头</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E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AA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6D8E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CD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A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高清直播摄像机</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C4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1.传感器类型：1/2.8" 4K CMOS，最高分辨率：2160 × 3840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2.最低照度：0.2 Lux @（F1.8~3.6，AGC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3.镜头：变焦：3.4 mm~40.8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4.视场角：水平视场角：50.5°~4.4°；垂直视场角：80.5°~7.6°；对角视场角：88.9°~8.7°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5.宽动态范围：≥120 dB，三轴或两轴调节角度：水平：-165°~165°；垂直：-30°~30°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6.麦克风：全向麦克风，拾音半径≥5 m，频响范围：100 Hz~8 kHz，灵敏度：-32 ± 3 dBV/Pa，信噪比：70 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7.采样率：16 kHz/32 kHz/48 kHz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8.图像功能：支持图像设置，包括曝光、白平衡、图像降噪、对比度、锐度、饱和度、色调、Gamma等参数调节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9.音频功能：支持智能（稳态）降噪算法、自动增益控制、回声消除、时域均衡算法，抑制环境噪音，增强人声，保证通话/音频质量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10.智能功能：支持人形跟随、人脸聚焦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11.通信方式：支持USB连接线通信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12.设备接口： USB Type C接口 、电源接口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13.音频：1路音频输入（line in）, 3.5 mm三段式端子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14.操作系统：支持Windows 、Android、Linux 、银河麒麟、统信2.0及以上版本）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15.电源：DC：12 V ± 25%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20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C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57B1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7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7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画架</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CC4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1.材质：榉木</w:t>
            </w:r>
          </w:p>
          <w:p w14:paraId="7DE71A4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2.样式：前倾，双重角度可调节</w:t>
            </w:r>
          </w:p>
          <w:p w14:paraId="1B777AA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3.规格尺寸：580*600*1730（2350）mm,</w:t>
            </w:r>
          </w:p>
          <w:p w14:paraId="3B86DA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4.最大夹画:126cm。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A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63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CD6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C7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07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画板</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9F9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1．规格：2#图板，外观尺寸不小于450mm×600mm×18mm。</w:t>
            </w:r>
          </w:p>
          <w:p w14:paraId="21115A2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2．材质：双面椴木，实木边框，边框宽≥10mm,45度割角拼接。</w:t>
            </w:r>
          </w:p>
          <w:p w14:paraId="0E6118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3．整体板面平整、表面光滑、洁净、无毛刺、无开裂、板面无疤痕，无挖补，无异味，对角线平面误差不大于2mm，四边直角误差不大于2mm。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A8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3A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r>
      <w:tr w14:paraId="6DEF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B9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1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写生凳</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A42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1.规格：41*30*25cm；</w:t>
            </w:r>
          </w:p>
          <w:p w14:paraId="0CFA354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2.材质：12mm厚密度板；</w:t>
            </w:r>
          </w:p>
          <w:p w14:paraId="445761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3.要求：支撑稳定，牢固可靠，工艺精细，表面光洁，圆润塑料边角处理防磕防划。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D2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92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2B45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03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32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油画箱画架</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35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.规格：箱体尺寸不小于 500mm×330mm 、三腿榉木对折式，箱内分格 5 个，用来存放绘画工具、颜料等；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2.材质：榉木；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3.箱体有提把，有背带，背带长短可调，产品表面环保清漆处理，接缝无开裂、 内部构造光滑无毛刺、零件无锈斑。</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B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D2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2A43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3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F2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素描套装</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0C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1.铅笔笔帘*1。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2.素描铅笔*18支；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3.炭笔*3；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4.可塑橡皮*1；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5.4B橡皮*1；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6.铅笔延长器*1；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7.美工刀*1；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8.纸擦笔*3。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D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C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4ADC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BF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0A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素描纸</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B6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规格：4K，8K,160g，黄色本色纸各一袋。</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CF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D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194A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27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E9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人体结构活动模型</w:t>
            </w:r>
          </w:p>
        </w:tc>
        <w:tc>
          <w:tcPr>
            <w:tcW w:w="3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53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尺寸≥300mm、表面无毛刺、关节活动灵活。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7B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6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A1F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7B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07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绘画触摸教育显示终端</w:t>
            </w:r>
            <w:r>
              <w:rPr>
                <w:rFonts w:hint="eastAsia" w:ascii="宋体" w:hAnsi="宋体" w:cs="宋体"/>
                <w:b/>
                <w:bCs/>
                <w:i w:val="0"/>
                <w:iCs w:val="0"/>
                <w:color w:val="FF0000"/>
                <w:kern w:val="0"/>
                <w:sz w:val="20"/>
                <w:szCs w:val="20"/>
                <w:u w:val="none"/>
                <w:lang w:val="en-US" w:eastAsia="zh-CN" w:bidi="ar"/>
              </w:rPr>
              <w:t>（节能产品</w:t>
            </w:r>
            <w:r>
              <w:rPr>
                <w:rFonts w:hint="eastAsia" w:ascii="宋体" w:hAnsi="宋体" w:cs="宋体"/>
                <w:i w:val="0"/>
                <w:iCs w:val="0"/>
                <w:color w:val="auto"/>
                <w:kern w:val="0"/>
                <w:sz w:val="20"/>
                <w:szCs w:val="20"/>
                <w:u w:val="none"/>
                <w:lang w:val="en-US" w:eastAsia="zh-CN" w:bidi="ar"/>
              </w:rPr>
              <w:t>）</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78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1.整机厚度≤18毫米，无需外接辅助主机；</w:t>
            </w:r>
          </w:p>
          <w:p w14:paraId="6CCFDB8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2.显示屏≥21.5寸，分辨率：≥1920*1080；可视角度≥178°；内置500W像素摄像头；</w:t>
            </w:r>
          </w:p>
          <w:p w14:paraId="2971217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3.接口要求：USB接口≥2个；DCIN接口≥1个；支持蓝牙4.0；支持WiFi-2.4G/5GHz；</w:t>
            </w:r>
          </w:p>
          <w:p w14:paraId="05C8E2BA">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4.支持屏幕横向竖向旋转。</w:t>
            </w:r>
          </w:p>
          <w:p w14:paraId="1F059F1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5.支持≥10触控功能，可用手指直接触控操作；支持电容压感笔，点击精准，触控灵敏，书写流畅，终端内置收纳笔槽，随取随用。</w:t>
            </w:r>
          </w:p>
          <w:p w14:paraId="1FD0256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护眼功能：智能光感技术，覆盖宣纸临摹时屏幕会自动将亮度调整到最高以保证字帖清晰度，未覆盖宣纸时亮度自动降低至250nit以下，保护视力；（需提供第三方权威检测机构出具的含有CNAS和CMA标志的检测报告复印件并加盖厂家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画板绘画可提供画笔功能，支持多种画笔形式选择，可调节画笔的粗细和透明度；可提供矩形、圆形、椭圆形和直线绘画模板；支持擦除功能，可选择性擦除或一键清空画布；支持画布还原、作品保存、保存记录查询和提交作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8.配专业绘画软件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A0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1E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292A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50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EC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写生教具</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EEA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1.规格：①彩陶2件、②釉陶2件、③木质关节人1件、④仿真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水果 4件、⑤仿真禽鸟标本 1件。</w:t>
            </w:r>
          </w:p>
          <w:p w14:paraId="1B9EFD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2.蜡制品表面应光洁、色泽自然协调,形态逼真,无明显凹凸不平。</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7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F9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5DB8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92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57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民间美术欣赏及写生样本</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381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中国结、京剧脸谱、扎染、蜡染、皮影、年画、木板年画、剪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纸、面具、泥塑、玩具、风车、纹样、风筝、唐三彩、彩陶器、瓷器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EF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CA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1FB0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02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60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画板</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9A5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1.规格：45cm×32。</w:t>
            </w:r>
          </w:p>
          <w:p w14:paraId="0CF8C59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2．材质：双面椴木，实木边框，边框宽≥10mm,45度割角拼接。</w:t>
            </w:r>
          </w:p>
          <w:p w14:paraId="76E98D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3．整体板面平整、表面光滑、洁净、无毛刺、无开裂、板面无疤痕。</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76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0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4376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1B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D3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写生灯</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AA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高度不低于2400mm照射角度可调，可升降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1F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E6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7B7E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13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A4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写生台</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D42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1.规格尺寸：180*80*78，台面用后成型≥18cm厚密度板木纹色，</w:t>
            </w:r>
          </w:p>
          <w:p w14:paraId="3EDAB9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2.钢架部分桌腿采用不小于30*30*1.0方管；桌面连接部采用≥30*30方管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B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1F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7D2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70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10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写生画箱</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26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箱体要求: 外形尺寸不小于400×300×110mm，箱内配有简易画板1块，面积不小于360×260mm，箱内分格不少于4个,用来存放绘画工具、颜料等，箱体应有提把,有背带,背带长短可调.铝合金腿，可升降调节。</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3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A7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4B9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8F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2A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衬布</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BF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供中小学校美术教学用。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衬布规格≥2000*1000mm。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衬布采用优质素色布料，无霉斑，无破损，色泽一致。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 裁剪后四周缝边、无漏线、无脱逢。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04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E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r>
      <w:tr w14:paraId="26C1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C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5A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石膏像</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D0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石膏像7种，石膏器材表面应色泽洁白，均匀一致，无污痕、无反光、无裂纹、无沙眼等缺陷。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98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B5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0911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46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92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几何形体</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A3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几何形体15件，石膏器材表面应色泽洁白，均匀一致，无污痕、无反光、无裂纹、无沙眼等缺陷。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F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F6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2763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49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90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静物</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A8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蜡果（苹果、香蕉、橘子、黄瓜、柿子椒、茄子）；器皿（花瓶、砂锅、玻璃杯、瓷盘、瓷碗、编织篮、陶罐、铝壶各两件）；玩具（毛绒、塑料、布质、木质）。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B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BD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bl>
    <w:p w14:paraId="74C79F5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bCs/>
          <w:i w:val="0"/>
          <w:iCs w:val="0"/>
          <w:color w:val="auto"/>
          <w:sz w:val="30"/>
          <w:szCs w:val="30"/>
        </w:rPr>
      </w:pPr>
    </w:p>
    <w:tbl>
      <w:tblPr>
        <w:tblStyle w:val="19"/>
        <w:tblW w:w="5077" w:type="pct"/>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696"/>
        <w:gridCol w:w="6234"/>
        <w:gridCol w:w="669"/>
        <w:gridCol w:w="605"/>
      </w:tblGrid>
      <w:tr w14:paraId="5F37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6FB86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音乐教室器材清单</w:t>
            </w:r>
          </w:p>
        </w:tc>
      </w:tr>
      <w:tr w14:paraId="0B45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40640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762E7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名称</w:t>
            </w:r>
          </w:p>
        </w:tc>
        <w:tc>
          <w:tcPr>
            <w:tcW w:w="3613" w:type="pct"/>
            <w:tcBorders>
              <w:top w:val="single" w:color="auto" w:sz="4" w:space="0"/>
              <w:left w:val="single" w:color="auto" w:sz="4" w:space="0"/>
              <w:bottom w:val="single" w:color="auto" w:sz="4" w:space="0"/>
              <w:right w:val="single" w:color="auto" w:sz="4" w:space="0"/>
            </w:tcBorders>
            <w:shd w:val="clear" w:color="auto" w:fill="auto"/>
            <w:vAlign w:val="center"/>
          </w:tcPr>
          <w:p w14:paraId="13A67F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型号（参数）</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1D07B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B9760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r>
      <w:tr w14:paraId="1243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17A0D7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E6E14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钢琴1</w:t>
            </w:r>
          </w:p>
        </w:tc>
        <w:tc>
          <w:tcPr>
            <w:tcW w:w="3613" w:type="pct"/>
            <w:tcBorders>
              <w:top w:val="single" w:color="auto" w:sz="4" w:space="0"/>
              <w:left w:val="single" w:color="auto" w:sz="4" w:space="0"/>
              <w:bottom w:val="single" w:color="auto" w:sz="4" w:space="0"/>
              <w:right w:val="single" w:color="auto" w:sz="4" w:space="0"/>
            </w:tcBorders>
            <w:shd w:val="clear" w:color="auto" w:fill="auto"/>
            <w:vAlign w:val="center"/>
          </w:tcPr>
          <w:p w14:paraId="1986FD4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1.▲规格尺寸：长度≥123cm；琴高度≥123cm；铁板高度≥113.6cm。</w:t>
            </w:r>
          </w:p>
          <w:p w14:paraId="2233D74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2.▲声学品质：标准音小字一组a音的频率在445～446Hz之间；音准稳定性≤2音分；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3.▲演奏性能：白键下沉深度10.2～10.7mm；琴键负荷下降0.46～0.58N；踏瓣负荷≤2.9N；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4.▲琴键：白键前端长度50.4～50.7mm；八度音程白键宽度164.8～165.0mm；黑键上端面宽度9.7～9.8mm；黑键长度95.1～95.2mm；黑键高度11.5～12.2mm；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5.▲钢琴外壳：表面涂饰高光平均值≥95.0；各部件之间平均值的差值≤2.3。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（以上5条内容需提供第三方检测机构出具的检测报告）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6.上门板使用弹簧式固定件固定，门板内侧安装金属长梁，防止变形。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7.铁板工艺：真空铸造工艺铁板。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9.琴弦：圆形弦（截面为正圆形）</w:t>
            </w:r>
          </w:p>
          <w:p w14:paraId="42152C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10.音板：实木音板。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11.弦槌：纯羊毛毡及桷木制作。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12.弦码：中高音弦码采用实木材料。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13.弦轴板：实木交错拼接。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14.肋木：数量≥11根。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15.音板有静音区：钢琴音板低音区具有静音角和静音区。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16.背柱：背柱截面尺寸≥100×60mm，硬木材质，无明显缝隙或粘贴痕迹。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17.击弦机顶杆及音头钮：纯实木材质。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18.击弦机调节档（缩调档）：实木材质，铝合金包裹加固。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19.键盘：实木材质，铅粒配重。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20.中盘：金属框架结构或不易变形的木材制作，底部或中盘其他位置加装金属材质加固。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21.弱音档：插装式弱音系统。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22.脚轮：静音非金属双脚轮。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23.▲五金件：钢琴外观可见的五金件采用不易氧化和腐蚀的金属，方铰链和长铰链耐腐蚀程度需达到中性盐雾试验不小于6级。（需提供第三方出具的检验报告扫描件）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24.▲踏瓣：金属踏瓣，为保证耐久性和耐腐蚀性，要求中性盐雾试验不小于6级。（需提供第三方出具的检验报告扫描件）</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00239D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EE8A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27F2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auto" w:sz="4" w:space="0"/>
              <w:left w:val="single" w:color="000000" w:sz="4" w:space="0"/>
              <w:bottom w:val="single" w:color="000000" w:sz="4" w:space="0"/>
              <w:right w:val="single" w:color="000000" w:sz="4" w:space="0"/>
            </w:tcBorders>
            <w:shd w:val="clear" w:color="auto" w:fill="auto"/>
            <w:vAlign w:val="center"/>
          </w:tcPr>
          <w:p w14:paraId="451A97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03" w:type="pct"/>
            <w:tcBorders>
              <w:top w:val="single" w:color="auto" w:sz="4" w:space="0"/>
              <w:left w:val="single" w:color="000000" w:sz="4" w:space="0"/>
              <w:bottom w:val="single" w:color="000000" w:sz="4" w:space="0"/>
              <w:right w:val="single" w:color="000000" w:sz="4" w:space="0"/>
            </w:tcBorders>
            <w:shd w:val="clear" w:color="auto" w:fill="auto"/>
            <w:vAlign w:val="center"/>
          </w:tcPr>
          <w:p w14:paraId="5A9D89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电钢琴</w:t>
            </w:r>
          </w:p>
        </w:tc>
        <w:tc>
          <w:tcPr>
            <w:tcW w:w="3613" w:type="pct"/>
            <w:tcBorders>
              <w:top w:val="single" w:color="auto" w:sz="4" w:space="0"/>
              <w:left w:val="single" w:color="000000" w:sz="4" w:space="0"/>
              <w:bottom w:val="single" w:color="000000" w:sz="4" w:space="0"/>
              <w:right w:val="single" w:color="000000" w:sz="4" w:space="0"/>
            </w:tcBorders>
            <w:shd w:val="clear" w:color="auto" w:fill="auto"/>
            <w:vAlign w:val="center"/>
          </w:tcPr>
          <w:p w14:paraId="54CA2D4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1.音源芯片：等同或优于DREAM SAM5504。</w:t>
            </w:r>
          </w:p>
          <w:p w14:paraId="6FAAA0D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2.复音数：≥128。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3.键盘：88键全重锤，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4.音色：128种音色（001-128）包含8种民族乐器。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5.节奏：100种节奏（001-100）包含4种钢琴伴奏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5.示范曲：≥88首（001-88）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6.显示：数码显示。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7.音色控制:c双音色，双键盘，键盘分割，键盘鼓，高低音调节。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8.音效：颤音，震音，(127级），混响，合唱，效果。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9.节奏控制：同步，单指。多指和弦，插入前尾奏，伴奏速度可调。伴奏音量可调。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10.移调25节（+-12）。八度。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11.节拍器：7种类型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12.录音：10轨录音，可录音符≥24000个。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13.脚踏控制：可实现，延音，弱音，后延音三种功能。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14.接口：音频输入/输出接口，电源接口，双耳机接口，脚踏板接口。USB MID接口。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15.喇叭：2A8欧15W.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钢琴乐理教具部分: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1.键盘:迷你键盘</w:t>
            </w:r>
          </w:p>
          <w:p w14:paraId="6C221EA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2.▲键位:圆形黑色按键，数量≥16个，每个按键对应具有升降号调节按键，可临时升降半个调(需在含CA、CNAS认证标识的检测报告中体现此条功能)</w:t>
            </w:r>
          </w:p>
          <w:p w14:paraId="67B8855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3.耳机:立体声迷你插孔(耳机/输出)</w:t>
            </w:r>
          </w:p>
          <w:p w14:paraId="29A2B9E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4.节拍选择:具有节拍快捷选择键四个，包含:2/4、3/4、4/4、6/8拍型。5.节拍速度:可在40-280/每分钟范围可调、调节速度在LED显示器中显示数值。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6.复音数:≥16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7.音符升降:音符升半音、降半音、原音三级可调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8.指示灯:三色指示灯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9.音量控制:电子电位器控制、音量加减1-10级调节</w:t>
            </w:r>
          </w:p>
        </w:tc>
        <w:tc>
          <w:tcPr>
            <w:tcW w:w="388" w:type="pct"/>
            <w:tcBorders>
              <w:top w:val="single" w:color="auto" w:sz="4" w:space="0"/>
              <w:left w:val="single" w:color="000000" w:sz="4" w:space="0"/>
              <w:bottom w:val="single" w:color="000000" w:sz="4" w:space="0"/>
              <w:right w:val="single" w:color="000000" w:sz="4" w:space="0"/>
            </w:tcBorders>
            <w:shd w:val="clear" w:color="auto" w:fill="auto"/>
            <w:vAlign w:val="center"/>
          </w:tcPr>
          <w:p w14:paraId="6E9CCC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350" w:type="pct"/>
            <w:tcBorders>
              <w:top w:val="single" w:color="auto" w:sz="4" w:space="0"/>
              <w:left w:val="single" w:color="000000" w:sz="4" w:space="0"/>
              <w:bottom w:val="single" w:color="000000" w:sz="4" w:space="0"/>
              <w:right w:val="single" w:color="000000" w:sz="4" w:space="0"/>
            </w:tcBorders>
            <w:shd w:val="clear" w:color="auto" w:fill="auto"/>
            <w:vAlign w:val="center"/>
          </w:tcPr>
          <w:p w14:paraId="1CA602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78E2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CC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47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钢琴2</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F72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1.音板：实木不等厚音板。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2.琴弦：绕铜低音琴弦，音色饱满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3.弦码：多层硬木材质.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4.弦轴板：多层硬木拼接材质.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5.弦椎：FFW弦椎。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6.琴键：键盘表面硬度为2H以上。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7.键板：实木键板。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8.脚轮：金属双脚轮.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9.脚踏：金属材质，负荷≥3.5KG。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11.键盖：键盖具有缓降器.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12.规格：1500*1550*101mm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二、钢琴乐理教具部分：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1.键盘：采用高质量迷你键盘</w:t>
            </w:r>
          </w:p>
          <w:p w14:paraId="17DAC6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2.键位：圆形黑色按键，数量16个，每个按键对应具有升降号调节按键，可临时升降半个调。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3.耳机：立体声迷你插孔（耳机/输出）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4.节拍选择：包含：2/4、3/4、4/4、6/8拍型。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5.节拍速度：可在40－280/每分钟范围可调、调节速度在LED显示器中显示数值。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6.复音数：≥16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7.音符升降：音符升半音、降半音、原音三级可调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8.音量控制：电子电位器控制、音量加减1-10级调节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9.▲五线谱表：一组可书写的高音谱表，谱表占硬件面积不低于3/4（需在含CMA、CNAS认证标识的检测报告中体现此条功能）。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EE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3F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1A36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8A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B9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音乐功能室教学与评测系统</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A485">
            <w:pPr>
              <w:keepNext w:val="0"/>
              <w:keepLines w:val="0"/>
              <w:widowControl/>
              <w:suppressLineNumbers w:val="0"/>
              <w:jc w:val="left"/>
              <w:textAlignment w:val="center"/>
              <w:rPr>
                <w:rFonts w:hint="default" w:ascii="宋体" w:hAnsi="宋体" w:cs="宋体" w:eastAsiaTheme="minorEastAsia"/>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音乐功能室教学与评测系统包含：</w:t>
            </w:r>
            <w:r>
              <w:rPr>
                <w:rFonts w:hint="eastAsia"/>
              </w:rPr>
              <w:t>数据</w:t>
            </w:r>
            <w:r>
              <w:rPr>
                <w:rFonts w:hint="eastAsia"/>
                <w:lang w:val="en-US" w:eastAsia="zh-CN"/>
              </w:rPr>
              <w:t>管理</w:t>
            </w:r>
            <w:r>
              <w:rPr>
                <w:rFonts w:hint="eastAsia"/>
              </w:rPr>
              <w:t>系统</w:t>
            </w:r>
            <w:r>
              <w:rPr>
                <w:rFonts w:hint="eastAsia"/>
                <w:lang w:eastAsia="zh-CN"/>
              </w:rPr>
              <w:t>、</w:t>
            </w:r>
            <w:r>
              <w:rPr>
                <w:rFonts w:hint="eastAsia"/>
              </w:rPr>
              <w:t>数字音乐教学应用</w:t>
            </w:r>
            <w:r>
              <w:rPr>
                <w:rFonts w:hint="eastAsia"/>
                <w:lang w:val="en-US" w:eastAsia="zh-CN"/>
              </w:rPr>
              <w:t>终</w:t>
            </w:r>
            <w:r>
              <w:rPr>
                <w:rFonts w:hint="eastAsia"/>
              </w:rPr>
              <w:t>端</w:t>
            </w:r>
            <w:r>
              <w:rPr>
                <w:rFonts w:hint="eastAsia"/>
                <w:lang w:eastAsia="zh-CN"/>
              </w:rPr>
              <w:t>、</w:t>
            </w:r>
            <w:r>
              <w:rPr>
                <w:rFonts w:hint="eastAsia"/>
              </w:rPr>
              <w:t>数字音乐素养测评系统-教研</w:t>
            </w:r>
            <w:r>
              <w:rPr>
                <w:rFonts w:hint="eastAsia"/>
                <w:lang w:val="en-US" w:eastAsia="zh-CN"/>
              </w:rPr>
              <w:t>终</w:t>
            </w:r>
            <w:r>
              <w:rPr>
                <w:rFonts w:hint="eastAsia"/>
              </w:rPr>
              <w:t>端</w:t>
            </w:r>
            <w:r>
              <w:rPr>
                <w:rFonts w:hint="eastAsia"/>
                <w:lang w:eastAsia="zh-CN"/>
              </w:rPr>
              <w:t>、</w:t>
            </w:r>
            <w:r>
              <w:rPr>
                <w:rFonts w:hint="eastAsia"/>
              </w:rPr>
              <w:t>数字音乐素养测评系统-学生</w:t>
            </w:r>
            <w:r>
              <w:rPr>
                <w:rFonts w:hint="eastAsia"/>
                <w:lang w:val="en-US" w:eastAsia="zh-CN"/>
              </w:rPr>
              <w:t>终</w:t>
            </w:r>
            <w:r>
              <w:rPr>
                <w:rFonts w:hint="eastAsia"/>
              </w:rPr>
              <w:t>端</w:t>
            </w:r>
            <w:r>
              <w:rPr>
                <w:rFonts w:hint="eastAsia"/>
                <w:lang w:eastAsia="zh-CN"/>
              </w:rPr>
              <w:t>，</w:t>
            </w:r>
            <w:r>
              <w:rPr>
                <w:rFonts w:hint="eastAsia"/>
                <w:lang w:val="en-US" w:eastAsia="zh-CN"/>
              </w:rPr>
              <w:t>本次采购1套，最少可供11所学校使用。</w:t>
            </w:r>
          </w:p>
          <w:p w14:paraId="572C69B8">
            <w:pPr>
              <w:keepNext w:val="0"/>
              <w:keepLines w:val="0"/>
              <w:widowControl/>
              <w:suppressLineNumbers w:val="0"/>
              <w:jc w:val="left"/>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数据管理系统</w:t>
            </w:r>
          </w:p>
          <w:p w14:paraId="62C76E4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1、教学统计：支持学校类型呈现，近三十天使用情况查询，学校使用时常查询，功能使用时常查询。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2、学校统计：支持区域学校筛选、学校教师人数查询，教学数据筛选查看。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3、教师统计：支持教师姓名查询、学生评分查询、登录次数查询、登录时间查询。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4、统计数据支持折线图、柱形图、饼图的形式详细呈现，展示数据起伏趋势。</w:t>
            </w:r>
          </w:p>
          <w:p w14:paraId="3E9E600D">
            <w:pPr>
              <w:keepNext w:val="0"/>
              <w:keepLines w:val="0"/>
              <w:widowControl/>
              <w:suppressLineNumbers w:val="0"/>
              <w:jc w:val="left"/>
              <w:textAlignment w:val="center"/>
              <w:rPr>
                <w:rFonts w:hint="eastAsia"/>
              </w:rPr>
            </w:pPr>
          </w:p>
          <w:p w14:paraId="70A4412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b/>
                <w:bCs/>
              </w:rPr>
              <w:t>数字音乐教学应用</w:t>
            </w:r>
            <w:r>
              <w:rPr>
                <w:rFonts w:hint="eastAsia"/>
                <w:b/>
                <w:bCs/>
                <w:lang w:val="en-US" w:eastAsia="zh-CN"/>
              </w:rPr>
              <w:t>终</w:t>
            </w:r>
            <w:r>
              <w:rPr>
                <w:rFonts w:hint="eastAsia"/>
                <w:b/>
                <w:bCs/>
              </w:rPr>
              <w:t>端</w:t>
            </w:r>
          </w:p>
          <w:p w14:paraId="506409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一、授课学习：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1、支持自动识别谱曲、音符、音高、歌词；支持进行一键AI女生、童声试唱播放功能。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2、支持曲谱一键转换：可转为简线双谱、节奏谱、钢琴谱、生成旋律线、唱名、音名、手势图、强弱对照、歌词拼音等功能。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3、支持谱曲一键生成：可生成竖笛、萧、葫芦丝、陶笛等小乐器指法。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4、支持原有五线谱一键生成唱名、音名与五线谱音符上下对照排列。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5、▲支持原有五线谱一键生成科尔文手势图与五线谱音符对照排列。（提供产品功能截图或官网截图佐证此条参数）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6、▲支持插入PPT格式课件、方便教师在同一系统内结合使用系统课件与PPT课件双模式授课。（提供产品功能截图或官网截图佐证此条参数）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7、包含缩略图、课件库两部分、缩略图内可以添加新建页、删除页、更换背景颜色、打印。课件库选择教学版本、年级上下册及其他乐谱。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8、谱曲教唱模式包含：谱曲播放、男生唱名、女生唱名、真人唱名、伴奏+旋律、范唱、伴奏、男声节奏、女声节奏、女声试唱、童声试唱等不低于十一种播放模式、播放时可选择播放、循环播放。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9、多声部谱曲支持不同声部音量调节、可关掉一个或多个声部音量、也可单独设定不同声部播放音量，音量可调节范围：0-100之间可选择。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10、▲调音台：对于合唱教学、乐队总谱等多声部曲谱，可进行选择性播放，以及对于每个声部进行不同音量的比例调节。（需在CMA或CNAS标识的软件测试报告体现此条功能）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11、多声部谱曲可通过选择歌词、音符确定播放起始点进行播放。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12、▲可将播放的乐曲转换到音乐创作界面进行改编，编辑内容包括：移调、变速、改变音高、歌词等，编辑完成后支持再次播放。（需在CMA或CNAS标识的软件测试报告体现此条功能）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13、可选择课件的播放的音色≥120种，包含直选键：钢琴、小提琴、单簧管、古筝、颤音琴等。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14、可选择课件的速度：包含播放倍速直选键：0.5、0.75、1、1.25、1.5；可手动调节播放速度：40-208之间可选。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16、▲支持五线谱、简谱课件一键互转、并可生成符合钢琴谱表。（提供产品功能截图或官网截图佐证此条参数）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17、支持显示虚拟键盘、键位数量：61、88键位可选，并可一键生成虚拟键盘对应的音名、唱名。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18、▲最近使用记录功能：系统自动记录近十次打开的课件记录，支持教师选择任一课件进行授课。可直接返回当时的教学内容，依然保留板书及各项设置。（提供产品功能截图或官网截图佐证此条参数）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工具包：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包含：截图、录屏、护眼色、课件打印、使用帮助、播放进度提示选择、节拍机、识谱图、幕布、指挥、五线谱本、隐藏白板、课堂互动等功能。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二、音乐理论：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包括：乐理电教板、智能电教板、教材、音基课堂、素养训练等五个模块。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A、乐理电教板：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1、虚拟键盘：具有一组大谱表、88键/61键/实体键/三种可选的虚拟键盘，弹奏外接设备的同时，虚拟键盘、谱表及简谱窗口同时高亮显示。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 88 键/61键/实体键三种虚拟键备组的显示，包含大字组、小字组、小字一组、小字二组等。分别有不同颜色区分键盘组。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3、具备键盘、谱表和简谱窗口三位一体同步功能，支持不低于15 种调式讲解，13 组音程尺，30组和弦同时对照讲解。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4、▲钢琴自动演：点击谱表或虚拟键/可通过钢琴自动演奏进行发声。（需在CMA或CNAS标识的软件测试报告体现此条功能）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p>
          <w:p w14:paraId="332DE05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B、智能电教板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1.▲界面五线谱谱表或简谱谱表与虚拟键盘组成，支持简谱、五线谱、高低音谱表、大谱表四种模式教学（需在CMA或CNAS标识的软件测试报告体现此条功能）。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2.五线谱谱表或简谱谱表支持四小节到八小节的编辑和输入教学，编辑后可进行播放。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3.五线谱谱表或简谱谱表输入音符时，音符可通过上下拖动改变音高。点击音符符杆可添加变音记号和符杠。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4.五线谱谱表或简谱谱表输入音符时可选择时值、音符及休止符，谱表小节自动识别时值。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5.▲四种拍号：可设置 4 种拍号，包含:四二拍、四三拍、四四拍、八六拍（需在CMA或CNAS标识的软件测试报告体现此条功能）。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C、音基课堂视频资源：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资源应包含：变调记号、节奏、节奏型、拍子、强弱、速度、五线谱、小节、休止符、音符、音乐记号、音名、音区、音级；认识领唱、结束句、歌曲间奏、高音点、独唱和合唱、大调音阶、七个音的介绍、高音点、初步认识小调音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D、素养训练</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1.训练模式≥7种。应</w:t>
            </w:r>
            <w:r>
              <w:rPr>
                <w:rFonts w:hint="eastAsia" w:ascii="宋体" w:hAnsi="宋体" w:eastAsia="宋体" w:cs="宋体"/>
                <w:i w:val="0"/>
                <w:iCs w:val="0"/>
                <w:color w:val="auto"/>
                <w:kern w:val="0"/>
                <w:sz w:val="20"/>
                <w:szCs w:val="20"/>
                <w:u w:val="none"/>
                <w:lang w:val="en-US" w:eastAsia="zh-CN" w:bidi="ar"/>
              </w:rPr>
              <w:t>包含识音找名称、识琴键找音、识音找琴键、音程识别、和弦识别、调号识别、音阶识别等。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2.训练中可显示答题总次数与正确次数统计，显示正确率百分比，以及答题时长。可选择训练的谱号、调号、变音记号、音符等范围；可选择线间提示显示，八度提示显示。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三、音乐鉴赏</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1.鉴赏内容：中国音乐、西方音乐、世界音乐、其它音乐、音乐周边等。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2.中国音乐不低于190种拓展知识、包括中国乐器、中国歌唱家、中国作词作曲家、中国舞蹈、中国戏曲、中国话剧、中国戏曲等。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3.西方音乐：不低于190种拓展知识、包括西洋乐器、西方音乐家、西方歌剧、西方指挥家、西方舞蹈、西方乐团等。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4.世界音乐、其他音乐、音乐周边：不低于20种拓展知识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四、动感乐器：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动感乐器：具备架子鼓、电子鼓机、吉他、竖笛、口琴、葫芦丝等乐器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A、架子鼓：包含架子鼓、军乐团、奥夫尔、自由组合等模式可选。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B、电子鼓机：最多可选择252个按键进行合成乐谱。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C、吉他：虚拟吉他和虚拟键盘均可进行弹奏，弹奏虚拟键盘后对应吉他弦位同步高亮显示。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竖笛：具有3D竖笛模型、弹奏虚拟键盘对应竖笛孔位同步高亮显示。▲竖笛谱曲：演奏时谱表，虚拟键盘、竖笛孔位同步高亮显示，播放速度可选择：0.5、0.75、1、1.25、1.5倍速调节。五线谱谱表、简谱谱表可一键互转（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E、口琴：弹奏虚拟键盘对应口琴按键同步高亮显示，具有口琴谱曲，谱曲播放时虚拟钢琴键位、谱曲、口琴同步高亮显示对应键位。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F、葫芦丝：弹奏虚拟键盘对应葫芦丝按键同步高亮显示，具有葫芦丝谱曲，谱曲播放时虚拟钢琴键位、谱曲、口琴同步高亮显示对应键位。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五、AI演唱评价系统：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AI演唱评分结合当地配套教材对学生歌唱掌握情况进行课程现场演唱测评，辅助教师进行演唱评价与重点难点深度学习。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AI演唱评分功能：歌曲支持演唱模式演唱过程中具有音频伴奏、音高线提示、音高时值实时显示分值、演唱完成后显示演唱得分，音准、节奏、完成度等百分比。支持音频回放、重新演唱。</w:t>
            </w:r>
            <w:r>
              <w:rPr>
                <w:rFonts w:hint="eastAsia" w:ascii="宋体" w:hAnsi="宋体" w:eastAsia="宋体" w:cs="宋体"/>
                <w:i w:val="0"/>
                <w:iCs w:val="0"/>
                <w:color w:val="auto"/>
                <w:kern w:val="0"/>
                <w:sz w:val="20"/>
                <w:szCs w:val="20"/>
                <w:u w:val="none"/>
                <w:lang w:val="en-US" w:eastAsia="zh-CN" w:bidi="ar"/>
              </w:rPr>
              <w:br w:type="textWrapping"/>
            </w:r>
          </w:p>
          <w:p w14:paraId="6ECDE9E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b/>
                <w:bCs/>
              </w:rPr>
              <w:t>数字音乐素养测评系统-教研</w:t>
            </w:r>
            <w:r>
              <w:rPr>
                <w:rFonts w:hint="eastAsia"/>
                <w:b/>
                <w:bCs/>
                <w:lang w:val="en-US" w:eastAsia="zh-CN"/>
              </w:rPr>
              <w:t>终</w:t>
            </w:r>
            <w:r>
              <w:rPr>
                <w:rFonts w:hint="eastAsia"/>
                <w:b/>
                <w:bCs/>
              </w:rPr>
              <w:t>端</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一、评价题库系统：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1、具备专业题库，支持快速检索，包括题目名称、出版社、题型、乐理知识、创建时间、修改时间等，满足不同条件的筛选。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2、试题范围应包含但不限于人民音乐出版社、人民教育出版社、湖南文艺出版社、广东花城出版社、江苏凤凰少年儿童出版社、广西接力出版社以及地方版音乐课本等题目。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3、▲支持实体范围选择：选择范围包含出版社、试题状态、试题来源、题型、乐理知识、对应年级、音乐家等范围进行精准筛选（提供产品功能截图或官网截图佐证此条参数）。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4、▲试题范围包含：听力、单选、多选、填空、判断、分析、问答、演唱、演奏、手写绘制、肢体动作等题型可选（提供产品功能截图或官网截图佐证此条参数）。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乐理知识包含：音及音高、音律、记谱法、调式总结、民族调式、大调式和小调式、音程、和弦、节奏节拍、音乐的速度与力度、转调及交替调式、调式变音与半音阶、移调、装饰音、音乐术语、乐理知识等类型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6、题型年级：1-12年级、教师级等类型可选，可对新建题目的不同年级选择不同出版社，试题类型、知识种类、题目难易度、选项及解析等进行设定。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二、评价管理系统：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1、支持快速检索：多套试卷支持输入试卷名称进行快速检索查找。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2、试卷范围包含：来源、类型、乐理知识、年级、学年、试卷状态进行范围选择。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3、支持随机组卷，根据需求选择固定试卷、随机试卷或历年真题的添加。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4、支持试卷展示列表，包括试卷名称、类型、乐理知识、年级、试卷来源、创建时间、修改时间等信息展示。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5、▲支持根据题库内容新建随机试卷，试卷在指定范围内、难易度相同的情况下随机生成。或执行教研统一考试的固定试卷（提供产品功能截图或官网截图佐证此条参数）。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6、▲试卷查看时，支持一键生成考试、一键打印，辅助线下考试（提供产品功能截图或官网截图佐证此条参数）。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三、评价测评系统：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1、模拟考试与正式考试：根据实际需要满足模式训练和集体大班考试。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2、发布考试包含：选择考试类型、考试名称、考试时长、考试期限、考试年级及试卷类型。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3、支持教师对未发布模拟考试的重新编辑，包含但不限于修改试卷类型、考试名称、考试时长等信息。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4、应具有考试列表，包含考试名称、试卷名称、考试年级、开始时间、结束时间、考试进行状态以及操作等内容。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查看考试数据，以图表的形式对考生数量详情（总人数、未通过、已通过、未考核）、完成率、通过率和平均分进行统计，助老师掌握每位学生的学习情况，明确进一步的教学方向（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6、支持客观题自动判卷，主观题手动判卷。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四、评价教务管理系统：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1、支持根据学生入学年份新建班级。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2、支持批量启用、禁用或删除班级和学生，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3、支持通过班级名称和使用状态对班级筛选。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4、支持通过学生名称、班级和使用状态对学生筛选。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5、支持表格批量导入学生信息。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4、▲具有班级展示列表，包括班级名称、地区、教室名称、创建时间等信息，老师可根据需要修改班级信息，选择启用、禁用或删除该班级（提供产品功能截图或官网截图佐证此条参数）。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5、具有学生信息列表，姓名、地区、学校、班级等信息。</w:t>
            </w:r>
          </w:p>
          <w:p w14:paraId="1DD2F92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p w14:paraId="43E36DE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p w14:paraId="2EBBA69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p w14:paraId="2A60076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数字音乐素养测评系统-学生端</w:t>
            </w:r>
          </w:p>
          <w:p w14:paraId="2A473BE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系统支持学生进行乐理、声乐、演唱、小乐器评测，支持学生评价结果收集、方便区域性艺术素养成果展现。</w:t>
            </w:r>
          </w:p>
          <w:p w14:paraId="33F6C84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▲具备电脑应用、安卓APP，可下载软件进行登录练习，可使用手机号注册、登录。（需在CMA或CNAS标识的软件测试报告体现此条功能）。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一、训练功能</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1.理论与知识题目应包含：音及音高、音律、 记谱法、调式总论、以五声调式为基础的各种调式、大调式和小调式、音程、和弦、节奏 节拍、音乐的速度与力度、转调及交替调式、调式半音与半音阶、移调、装饰音、旋律、简谱及工程谱、音乐素语、其他、乐理知识等训练功能。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2.实践与创造题目应包含：听力、单选、多选、填空、判断、分析问答演唱、演奏、手写绘制、肢体动作等不低于9种题目类型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声乐训练题目应包含：音高、单音、音程、和弦、音组、音阶、节奏、八分音符、十六分音符、附点音符、三连音符、八六拍子、旋律、C大调旋律、F大调旋律、G大调旋律、歌曲训练包含：一年级、二年级、三年级、四年级、五年级、六年级、七年级、八年级、九年级等题目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w:t>
            </w:r>
            <w:r>
              <w:rPr>
                <w:rFonts w:hint="eastAsia" w:ascii="宋体" w:hAnsi="宋体" w:eastAsia="宋体" w:cs="宋体"/>
                <w:b/>
                <w:bCs/>
                <w:i w:val="0"/>
                <w:iCs w:val="0"/>
                <w:color w:val="auto"/>
                <w:kern w:val="0"/>
                <w:sz w:val="20"/>
                <w:szCs w:val="20"/>
                <w:u w:val="none"/>
                <w:lang w:val="en-US" w:eastAsia="zh-CN" w:bidi="ar"/>
              </w:rPr>
              <w:t>模拟训练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1.具有搜索模式，教师可搜索自己想要的题目类型或题目。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2.考试发布者分为：平台、教研员、教师，乐理知识题目类型不低于19种选择，年级包括幼儿、一到九年级、中职、高职、大学、教师级及其他年级功能直选键可供教师直接选择。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3.页面可展示考试的名称、题目类型、对应的年级、总题数、总分数、考试次数、考试时长等。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4.开始考试功能中可看到题目类型、答题进度、考试倒计时时间表、考试类型。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5.点击交卷可直接查看客观题得分、错误题目、正确率、总得分、考试等级。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6.答错题目下方显示正确答案及得分情况、针对该题的解析。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7.音及音高、音律、记谱法、调式总论、以 五声调式为基础的各种调式(民族调式)大调式和小调式(作品中调的明确法)、音程、和弦、节奏节拍、音乐的速度与力度。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8.也可直接查看能力分析图。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三、正式考试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1.需在教师端下发考试，学生可点击正式考试参加本次考试。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2.▲可实现考试名称、答卷倒计时显示，答题 进度，每个类型题目的分数，切换题目不同颜色显示题目的状态（需在CMA或CNAS标识的软件测试报告体现此条功能）。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3.开始过程中学习选择上一题自动跳转下一题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4.交卷后学生需到个人中心查看考试成绩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四、个人中心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1.可展示学生姓名、学校名称、班级名称、学习次数、学习时长、我的收藏、我的错题、我的模考、我的考试等。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2.我的收藏可展示通过模拟练习题库收藏题目，也可直接搜索收藏的某一题，也可直选题型乐理知识。可选择题目进行批量删除。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3.我的错题里包含了做错的所有题型，学生可查看错题进行二次复习，以免下次出错。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4.▲我的考试显示近期≥20次的成绩。支持考试详情查看显示客观题得分、主观题得分、错误题数、正确率、总得分、考试等级（需在CMA或CNAS标识的软件测试报告体现此条功能）。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BF0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F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697C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C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E2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5E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一型，五鼓22”*16”、16”*16”、14”*5.5”、13”*11”、12”*10”、镲片12”*2、14”*1、聚酯鼓皮，压铸钢制鼓圈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5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D6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74F6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D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2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手风琴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7D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1、琴箱：长482mm,宽190mm.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2、风箱：表面覆盖条两端应一致，折层边棱应平整。风箱伸缩自如，与琴箱结合严密。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3、键盘：41个条形琴键，中心距20mm，琴键宽度19mm, 珍珠白银花键。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4、音域：从F到A。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5、键盘变音器：7个变音+一个总还原，排列整齐，音列组合标志准确、清楚。变音传动装置应灵敏有效，并能保证音孔的充分启闭。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6、贝斯：120个键钮，合金材质。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7、贝斯变音器：三个变音。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8、琴箱：色泽协调，表面平滑，线条流畅，镀层完整。</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7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B6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035E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C8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41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木吉他</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E6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面板 云杉。背侧板。椴木。 玫瑰木合成指板 、拉线板 白铜品丝。 全封闭弦轴。 琴头材质 秋木。 琴杆材质 秋木 高光油漆。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147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6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74E0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57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DC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古筝</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D20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1.面板选用纹理顺直的桐木，允许有 20mm×10mm 的活节疤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2.装饰板使用黑檀、紫檀或其他近似材质的板材。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3.框架选用优质的白松、红松或其他近似材质的木材。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4.弦马和弦枕选用红木、酸枝木或其他近似材质的木材。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5.大头宽约34cm，小头宽约29cm，高约21.5cm，长约163cm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6.古筝包一个，琴码21个，高级指甲一付，调音扳手一个。含配套支架。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F0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A5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F4B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03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1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电吉他</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DAA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音色：1个音量，1个音色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材质：桐木琴体，枫木琴颈，玫瑰木指板，白铜品丝，21品，3单单拾音器，五挡开关，6弦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表面：环保漆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2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53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53AA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175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10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电贝斯</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F7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桐木琴体，枫木琴颈，玫瑰木指板，白铜品丝，21品，单拾音器，四弦。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1C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9F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3530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086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F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72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1.含琴架、琴竹、调音扳手；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2.采用十二平均律.402型，基本音域F～a³；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3.面板宜选用纹理顺直的四拼板桐木，可有不大于10mm×10 mm的活疤节1个；弦轴板选用色木等制成的多层胶合板；音梁选用无死疤节、劈裂及油渍的白松；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4.演奏性能：发音较灵敏，音准稳定性能良好；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34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1B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353C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47A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64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笛子</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A9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G调音色：清脆明亮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材质：苦竹，不锈钢单插口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表面：光滑无毛刺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BD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E4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387C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F25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4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笛子（F调）</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30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苦竹、双插、白铜接口 F调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31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2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FA5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556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6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小提琴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9F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4/4，面板：云杉复合板，背侧板：枫木复合板，环保油漆，仿古颜色，黑色指板，弦轴，拉线板，配件：琴弓，松香，防水随行琴盒。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6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F4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56BA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69C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29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大号</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5B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调性：降B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表面处理：漆金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 黄铜管体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活塞： 不锈钢塞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连体式管体。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管径：内管直径18mm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口径：口径380mm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E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65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r>
      <w:tr w14:paraId="53D0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644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9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卡龙琴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ACD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规格：三十二弦卡龙琴：左曲边长54厘米，右直边长48厘米，下底长80厘米，上底43厘米，琴箱高12.5厘米</w:t>
            </w:r>
          </w:p>
          <w:p w14:paraId="2021E2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材质：桐木、桑木制作，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40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46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1696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40B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8F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二胡</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5D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规格；长*宽830MM*135MM（±10MM）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配置；牛津布琴盒、松香、擦琴布、琴码、说明书。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EF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BD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56B6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72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8D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萨克斯</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B3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调性：降E调；主体管用黄铜材质。表面电泳金工艺。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配置：配专用箱包、手套、擦拭布 、润滑油。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4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D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50F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78C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2B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琵琶</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F6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1.律制：采用十二平均律；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2.标准音440HZ，音域A～e²；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3.琴头、背板硬木材质，仿红木颜色，选用纹理顺直的桐木，允许有不大于5mm×5mm的活疤节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4.花开富贵头饰。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5.其余符合 QB/T 1207.2 标准规定。</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85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08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507E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CF0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1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唢呐</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DF2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调性：降B调、中音 </w:t>
            </w:r>
          </w:p>
          <w:p w14:paraId="7E10B8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规格：全长32CM；唢呐杆长25CM；唢呐高度9CM；喇叭口直径11.2CM； 配件：唢呐气盘、芯子、吹嘴各一个 （误差范围±5mm）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0D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03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3A3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14F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0E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弹拨尔</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1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1.42米，桑木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0B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A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1E96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08A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14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小号</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C5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调性：降B调；主体管用黄铜材质。表面漆金工艺。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配置：配专用箱包、手套、擦拭布 、润滑油、号嘴。</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55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C9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r>
      <w:tr w14:paraId="28E6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E24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09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葫芦丝（C调）</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D00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天然葫芦：形状规整、质地坚实，表皮光洁，</w:t>
            </w:r>
          </w:p>
          <w:p w14:paraId="4AAACC4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紫竹管：紫竹纹理细密。</w:t>
            </w:r>
          </w:p>
          <w:p w14:paraId="64ECD49E">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7个音孔。C调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C1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59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E23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613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75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葫芦丝（降B调）</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3B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天然葫芦：形状规整、质地坚实，表皮光洁，</w:t>
            </w:r>
          </w:p>
          <w:p w14:paraId="04B327D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紫竹管：紫竹纹理细密。</w:t>
            </w:r>
          </w:p>
          <w:p w14:paraId="531DE1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7个音孔。B调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2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09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7638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CDD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4C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电吉他音响</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5734">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效果:失真 过载 均衡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喇叭:8 英寸吉他专用喇叭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输入接口:耳机/6.5 CD IN接口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输出接口:线性输出/耳机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音频播放:6.5 CD IN 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净重:≤6KG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尺寸:340*310*180MM  ±5mm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4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01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4A1E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C97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0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电贝斯音响</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D3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TS112 功率30W8寸低音 2寸高音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1通道输入，清音/失真两种音色清音通道:高中低三段均衡 个 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BC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5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5144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D9A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A3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喀什热瓦普</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16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90公分，蒙面为蛇皮带花纹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EC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A1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411A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57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83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刀郎热瓦普</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4A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98公分，蒙面为蛇皮带花纹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67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CF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1AD4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95D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D8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低音热瓦普</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E9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115公分，蒙面为蛇皮带花纹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79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74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4C97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450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1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大手鼓</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E3B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40公分 牛皮</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1C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E5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190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D79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51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艾捷克</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CA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80公分， 中间部分为蛇皮，有花纹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55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82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765E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A42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6A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箫</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9D65">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G 调  550±mm  紫竹材质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66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6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390C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253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C0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打击板</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62B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1.产品尺寸 10英寸 27*27*1.5cm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2.产品材质 硅胶+楠竹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3.配件 鼓锤 转接线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4.支持安卓系统的手机、平板（Type-C接口）；和苹果系统的手机、平板（传统苹果接口）；以及win系统的电脑）。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5、包含智能哑鼓支架。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E1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0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414F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025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4F3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刀郎手鼓</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6E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敲击时内圈铁环连环撞击，能产生欢快的气氛单位：材质：牛皮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尺寸：约35CM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4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2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4FBD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5E96">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4D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萨塔尔</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96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140公分，有花纹，13根钢弦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6D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B0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2E57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49B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86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都塔尔</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04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135公分，双耳朵</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E2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F8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3CA1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92B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42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架子鼓鼓槌</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C9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配架子鼓使用。碳纤维材质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7A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F8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r>
    </w:tbl>
    <w:p w14:paraId="710869F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bCs/>
          <w:i w:val="0"/>
          <w:iCs w:val="0"/>
          <w:color w:val="auto"/>
          <w:sz w:val="30"/>
          <w:szCs w:val="30"/>
        </w:rPr>
      </w:pPr>
    </w:p>
    <w:tbl>
      <w:tblPr>
        <w:tblStyle w:val="19"/>
        <w:tblW w:w="5011" w:type="pct"/>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703"/>
        <w:gridCol w:w="6171"/>
        <w:gridCol w:w="609"/>
        <w:gridCol w:w="563"/>
      </w:tblGrid>
      <w:tr w14:paraId="7B94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9893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小学科学探究实验室配置清单</w:t>
            </w:r>
          </w:p>
        </w:tc>
      </w:tr>
      <w:tr w14:paraId="5798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F87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0C7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名称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990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型号参数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717A">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BFB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r>
      <w:tr w14:paraId="3CAD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741E">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一、教师控制演示区</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C3A9">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1BFD">
            <w:pPr>
              <w:rPr>
                <w:rFonts w:hint="eastAsia" w:ascii="宋体" w:hAnsi="宋体" w:eastAsia="宋体" w:cs="宋体"/>
                <w:b/>
                <w:bCs/>
                <w:i w:val="0"/>
                <w:iCs w:val="0"/>
                <w:color w:val="auto"/>
                <w:sz w:val="20"/>
                <w:szCs w:val="20"/>
                <w:u w:val="none"/>
              </w:rPr>
            </w:pPr>
          </w:p>
        </w:tc>
      </w:tr>
      <w:tr w14:paraId="54B2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4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8C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实验桌（教师演示台）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BA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规格：2800mm（L）×700mm（W）×850mm（H）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1.台面：≥13.0mm厚优抗板，台面边缘用同质材料板双层加厚至≥26.0mm。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为确保使用者的健康安全，台面板需通过国家质量监督管理部门认可的第三方检测机构检测，满足或优于以下6项性能检测要求，并提供带CMA或CNAS标识的优抗板检测报告复印件加盖投标人公章：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▲（1）化学性能检测：参照GB/T 17657-2022标准，台面板不少于136项化学试剂及有机溶液检测，且包含：硫酸（98%）、氢氟酸（48%）、硝酸（65%）、环丙甲酮、乙酸丁酯、饱和氯化锌等。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▲（2）环保性能检测：参照GB/T 39600-2021标准，甲醛释放量检测结果值≤0.006mg/m³;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▲（3）物理性能检测：参照GB/T 17657-2022标准及其他检测方法检测，满足静曲强度≥138Mpa；弹性模量≥9890Mpa；板面握螺钉力≥4350N；含水率≤0.8%；密度≥1.43g/cm³；耐臭氧（72h）：外观无明显变化；负荷变形温度：＞200℃；浸渍剥离性能：0；尺寸稳定性：纵向≤0.04，横向≤0.05；漆膜附着力：六级，切割边缘完全平滑，网格内无脱落；表面耐划痕性能：5N作用下试件表面无大于90%的连续划痕；耐沸水性能：质量增加百分率≤0.01%、厚度增加百分率≤0.06%，表面质量等级：5级：无变化，边缘质量等级：5级：无明显变化；表面耐磨性能：≥1540r，未出现磨损；体积电阻≤3.1*10¹²；表面电阻≤4.7*10¹²；弯曲强度≥140Mpa等不少于28项物理性能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▲（4）抗霉菌性能检测：参照JC/T 2039-2010标准：黑曲霉、土曲霉、宛氏拟青霉、绳状青霉、出芽短梗霉、球毛壳霉、长枝木霉等不少于7种霉菌检测长霉等级为0级；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▲（5）抗细菌性能检测：参照JC/T 2039-2010标准：大肠埃希氏菌、金黄色葡萄球菌、白色念珠菌、铜绿假单胞菌、肺炎克雷伯氏菌、鼠伤寒沙门氏菌、甲型溶血性链球群、枯草芽孢杆菌、耐甲氧西林金黄色葡萄球菌、肠沙门氏菌肠亚种、粪肠球菌、宋氏志贺氏菌、变异库克菌、表皮葡萄球菌、海氏肠球菌、单核细胞增生李斯特氏菌等不少于16种菌种抗菌率≥99.99%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▲（6）氙灯老化测试：参照GB/T 16422.2-2022标准，进行1450小时以上老化试验测试结果为样品无变色、发粘、裂纹等异常，等级为5级。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2.产品结构：铝木结构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3.台身用材：桌体结构为内槽式铝合金框架结构,框架立柱：壁厚≥1.0mm、截面尺寸≥50mm×50mm。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4.柜身：背板、吊板≥16mm实验室专用三聚氰胺板制作。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5.组装：接缝严密，连接牢固，无松动现象。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6.台身设计：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（1）箱体预设电脑主机箱柜、视频展台柜、电源控制台、键盘托等。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（2）台身前部为开门设计，便于电器维护。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7.台面根据需求可设有化验水槽、水嘴等的定位孔，各定位孔根据实际尺寸开设。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10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32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1989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FB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5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教师椅</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FA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1.规格：长度≥5500mm、宽度≥500、高度≥1070mm；人体工程学设计；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2.五星塑脚，φ50mm（偏差±5%）万向轮。</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93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1D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2921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F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8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A9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1、规格：长度≥310mm，宽度350mm；可安装于抽屉之内，两组数码管分别显示输出电压与电流；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2、交流输出：支持由教师操作输出0-30V交流电压，分辨率为1V，额定电流≥2A，具备过载保护功能；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3、直流输出：支持由教师操作输出0-30V直流电压，分辨率为0.1V，额定电流≥2A，具备过载保护功能；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4、两路220V多功能插座输出，额定电流≥5A。</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5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D7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1102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E4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50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控制柜</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48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1.控制柜尺寸：长度≥400mm、宽度≥230mm、高度≥×780mm；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2.材质：≥1.2mm冷轧钢板。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3.控制柜内置总电源开关，漏电保护器，主控制模块，急停控制模块，开关电源，工作指示灯。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4.显示：≥10.1寸触显操作单元。</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5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96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00D9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FF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48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智能吊装控制系统</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70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1.电源操作控制系统：可远程分组控制学生高低压电源开启与关闭；输出交流电范围0-30V，分辨率1V，输出直流电范围0-30V，分辨率0.1V设置实时显示，带学生电压锁定功能。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2.照明系统：可实现远程控制照明系统开启与关闭。可单个或全组进行控制，能现根据周围环境自动调节亮度（护眼模式）或手动调节亮度，实时显示照明工作状态。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3.升降控制系统：可实现控制电源升起或下降。可单个或全组进行控制，有全选及反选功能。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4.系统设置：（1）开机方式: ①直接开机; ②密码验证； （2）定时关机：0-240分钟时段设置；（3）教室编号设置；（4）自动分组功能；（5）更改密码功能。</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99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54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01EC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72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0B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温湿度监控系统</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C4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控制柜内置温湿度传感装置，在中控屏中实时显示当前环境的温度和湿度。</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59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1D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6CD4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14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26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化验水槽（配出水装置）</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7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1.材质：PP材质。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2.水槽外部规格：长度≥440mm、宽度≥330mm、高度≥200mm。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3.密封方式：水封式，可防止废水回流和堵塞。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4.槽体上部配备出水装置，出水口为铜质瓷芯，可拆卸清洗阻塞。</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A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A9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B88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AE45">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二、学生实验学习区</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BD33">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7F83">
            <w:pPr>
              <w:rPr>
                <w:rFonts w:hint="eastAsia" w:ascii="宋体" w:hAnsi="宋体" w:eastAsia="宋体" w:cs="宋体"/>
                <w:b/>
                <w:bCs/>
                <w:i w:val="0"/>
                <w:iCs w:val="0"/>
                <w:color w:val="auto"/>
                <w:sz w:val="20"/>
                <w:szCs w:val="20"/>
                <w:u w:val="none"/>
              </w:rPr>
            </w:pPr>
          </w:p>
        </w:tc>
      </w:tr>
      <w:tr w14:paraId="0538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FE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7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（六角）</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29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规格：500mm×1500mm×780mm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1.台面：选用厚度≥12.7mm实芯理化板，边缘加厚到≥25.4mm。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2.工艺：桌体采用ABS塑料。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3..桌身规格：桌体由6组规格为≥800mm×700mm×430mm的桌身组成。桌身中部安装规格为470mm×300mm的单开门盖板。桌身上部内置≥380mm×90mm×150mm的储物空间。桌身各部位采用隐藏连接扣连接。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5.桌体内部中心预留安装电源的空间。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6E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6A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2418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82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07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学生凳</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02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1.规格：≥φ300mm×440mm。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2.凳面：采用ABS材质。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3.学生凳产品满足以下性能要求，并提供经国家质量监督管理部门认可的第三方检测机构出具的检测报告复印件加盖投标人公章。（检测报告须带有CMA或CNAS标识及查询真伪的二维码。）：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外观性能要求：①金属件管材无裂缝、叠缝；②金属件焊接件焊接处无脱焊、虚焊、焊穿、错位，无夹渣、气孔、焊瘤、焊丝头、咬边、飞溅，表面波纹均匀；③金属件冲压件无脱层、裂缝；④金属件皱纹或波纹圆管和扁线管弯曲处弧形圆滑一致；⑤金属件喷涂层无漏喷、锈蚀和脱色、掉色现象，无流挂、疙瘩、皱皮、飞漆等缺陷；⑥塑料件无裂纹、无明显变形，无明显缩孔、气泡、杂质、伤痕，外表用塑料件表面光洁、无划痕、无污渍、无明显色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2）▲有害物质限量：4种重金属含量（限色漆）mg/kg（可溶性铅≤9.0、镉≤0.3、铬≤12、汞≤0.3）；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3）安全性能要求：①人体接触或收藏物品部位无毛刺、刃口、棱角；②固定部位结合牢固，无松动、少件、透钉、漏钉；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理化性能要求：金属喷漆（塑）涂层耐腐蚀性：100h内，在溶液中样板上划道两侧3mm以外，无鼓泡产生；100h后，划道两侧3mm以外，无锈迹、剥落、起皱、变色和失光等现象；附着力不低于2级；硬度≥2H；冲击高度≥400mm，无剥落、裂纹、皱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5）▲座面静载荷试验、椅腿前向静载荷试验、座面冲击试验、座面耐久性试验，结果均无损；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6）▲稳定性：凳子任意方向无倾翻。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164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336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53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C28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44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C8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升降电源</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B9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由电源转换及控制模块、升降模块、照明收纳模块、电源操作控制模块组成；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一、电源转换及控制模块：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1、材质：≥1.5mm厚冷轧钢板材质。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二、电源升降模块：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1、升降范围：1400mm-1800mm；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2、可自动升降，设置限位器；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3、电机及传动部件安装固定在箱体内。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三、电源照明收纳模块：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1、材质：ABS材质；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3、照明：LED灯，透明亚克力灯光片，功率≥45W。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四、电源操作控制模块：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1、接口：RJ45网口≥2；USB供电接口≥2；步进升降控制按钮≥2；到位供电触发按键≥1；220V多功能插座输出≥4路；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 ABS材质，可实现电流电压的显示设置及交直流输出的切换；控制系统以32位MCU为核心配合监测控制电路；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3、交流输出：支持由学生或教师操作输出0-30V电源，分辨率为1V，额定电流≥2A，有过载报警保护功能；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4、直流输出：支持由学生或教师操作输出0-30V电源，分辨率为0.1V，额定电流≥2A，有过载报警保护功能；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5、锁定：电源被教师端锁定时，电源内部锁定，此时只能由教师端控制此电源所有电压设置，学生端无法操作。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升降电源产品正常条件下，有一个或一个以上的措施来防止可触及零部件成为危险带电；与外部电路的连接，不会在正常条件和单一故障条件下使外部电路的可触及零部件变成为危险带电；可触及零部件（外壳顶部、底部、输入端）无法触及带电部件；设备外壳边缘光滑圆润无锐边。提供经国家质量监督管理部门认可的第三方检测机构出具的检测报告复印件加盖投标人公章。（检测报告须带有CMA或CNAS标识及查询真伪的二维码。）</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A3B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42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7E96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8D9B">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三、安装附件部分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D2EC">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D647">
            <w:pPr>
              <w:rPr>
                <w:rFonts w:hint="eastAsia" w:ascii="宋体" w:hAnsi="宋体" w:eastAsia="宋体" w:cs="宋体"/>
                <w:b/>
                <w:bCs/>
                <w:i w:val="0"/>
                <w:iCs w:val="0"/>
                <w:color w:val="auto"/>
                <w:sz w:val="20"/>
                <w:szCs w:val="20"/>
                <w:u w:val="none"/>
              </w:rPr>
            </w:pPr>
          </w:p>
        </w:tc>
      </w:tr>
      <w:tr w14:paraId="411B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7E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87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电源布线耗材</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307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电源主线采用4.0mm²BVR铜软线铺设；选用Ф20或Ф25PVC阻燃线管，每桌采用软铜质电线与主线对接取电；选用合适规格的线管包裹取电连接线。</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01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8E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w:t>
            </w:r>
          </w:p>
        </w:tc>
      </w:tr>
      <w:tr w14:paraId="7DBA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C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9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给/排水全套装置</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13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1.PPR材质水管，上水管和进水管为Ф25；UPVC材质排水管为Ф50。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2.开关阀门，外丝连接件、PVC胶水等。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00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62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52B1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1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系统安装辅件</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DBB8">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采用L型多孔位钢板固定于楼面，根据楼层的高度可自行调节所需适宜高度，辅材为高强度膨胀栓，及螺丝螺母。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7D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C8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32CC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B1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6F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吊装系统安装调试</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E2FA">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各项功能测试：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1、升降系统测试；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2、强弱电性能测试；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3、定时，分组测试；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4、照明测试。</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A7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9C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w:t>
            </w:r>
          </w:p>
        </w:tc>
      </w:tr>
      <w:tr w14:paraId="3A04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21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81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环境装饰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34B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教室顶部纳米材料，防尘防污，尺寸：600×600×0.8mm扣板吊顶。地面铺设瓷面静电地板</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8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38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w:t>
            </w:r>
          </w:p>
        </w:tc>
      </w:tr>
      <w:tr w14:paraId="029B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69D">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四、科学实验箱</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4ED8">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1CD2">
            <w:pPr>
              <w:rPr>
                <w:rFonts w:hint="eastAsia" w:ascii="宋体" w:hAnsi="宋体" w:eastAsia="宋体" w:cs="宋体"/>
                <w:b/>
                <w:bCs/>
                <w:i w:val="0"/>
                <w:iCs w:val="0"/>
                <w:color w:val="auto"/>
                <w:sz w:val="20"/>
                <w:szCs w:val="20"/>
                <w:u w:val="none"/>
              </w:rPr>
            </w:pPr>
          </w:p>
        </w:tc>
      </w:tr>
      <w:tr w14:paraId="592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11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AA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小学声学实验箱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1E7698D">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0A1BFBAC">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透明胶带（小）*1、8音铝板琴*1、音乐盒（带发条）*1、小铜钹*1、小铜锣*1、音叉（128HZ）*1、音叉（256HZ）*1、塑料白色乒乓球*2、白色细棉线*1、曲别针（40枚）*1、一次性纸杯*2、进口橡皮筋*5、电源适配器 DC12V/2A*1、共鸣盒模块*1、泡沫小球（1g）*1、听诊器*1、鼓膜振动模拟装置*1、小学消音盒*1、琴码三角条*1、领夹式麦克风*1、消音棉*1、塑料手鼓*1等。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1.物体振动发声实验；2.人耳鼓膜振动原理；3.声音大小实验；4.声音高低实验；5.音调感知实验；6.土电话的研究；7.消声实验等实验。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EF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E40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6335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5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32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小学光学实验箱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2C0A13AD">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04B15733">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300ml储物盒*1、F板*1、HB小学光学实验箱（手提）内衬*1、白板*2、玻璃平面镜*1、玻璃三棱镜*1、彩色蜡烛*2、电影原理胶片*1淀粉（20g）*1、光学底板324mm*1、光学反射玻璃(双凹)*1、光学反射玻璃(双凸)*1、光学折射玻璃(矩形）*1、光源盒框体*2、黑色20cm数据测试线*4、红色20cm数据测试线*3、激光笔（新款）*1、几何万花筒物镜端盖*1、磨砂玻璃板*1、鸟进笼不干胶贴纸*2、七色盘不干胶贴纸*1、潜望镜(圆形)*1、三棱镜片纸*1、塑料直尺*1、透明玻璃板（青玻璃）*1、透明胶带（小）*1、万花筒不干胶贴纸*1、万花筒目镜端盖*1、小学单刀单掷开关模块*1、小学多功能光源*1、小学光学凹透镜板(F=-70)*1、小学光学底座模块*4、小学光学光栅板*1、小学光学凸透镜板(F=120mm)*1、小学光学凸透镜板(F=60mm)*1、小学光学小孔板*3、小学双电池盒模块*2、小学调速底座模块*1、旋转翻板（鸟进笼）*1、旋转圆盘（带皮带轮）*1、亚克力管（φ40*180mm）*1、圆形小孔镜片*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小孔成像实验；2.狭缝光栏实验；3.验证光的直线传播实验；4.光影接力实验；5.万花筒实验（组装万花筒）；6.曲面镜实验；7.潜光镜原理实验；8.光的折射实验；9.光的散射实验；10.凸透镜汇聚实验；11.凹透镜发散实验；12.玻璃的折射实验；13.幻灯机实验；14.照相机实验；15.取景器实验；16.开普勒望远镜实验；17.伽利略望远镜实验；18.三棱镜色散实验；19.近视眼和远视眼的原理和矫正实验；20凸透镜成像实验；21.电影原理实验；22鸟进笼实验；23.气色盘实验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D7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33D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070B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7E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70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小学电学实验箱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09F8252">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玻璃棒*2、小学数字电流表*1、小学数字电压表*1、磁学旋转架*1、黑色磁学立杆*1、黑色磁学底座（无孔）*1、4.8V电珠*3、黑色20cm数据测试线*6、红色20cm数据测试线*6、滑动变阻器*1、不锈钢指南针*1、棒冰棍（小）*1、红色鳄鱼夹*1、黑色鳄鱼夹*1、金属片（铁板）*1、金属片（铝板）*1、金属片（铜板）*1、测试探针*1、U型接线端子（红色）*1、U型接线端子（黑色）*1、塑料条（亚克力）*1、摩擦起电橡胶棒*2、泡沫小球（1g）*1、小学双电池盒模块*2、小学单刀单掷开关模块*1、小学单刀双掷开关模块*1、小学双电珠模块*2、小学电流热效应模块*1、小学电路暗盒模块*1、小学红绿灯发光二极管模块*1、眼睛闪亮的猫咪模块*1、144硬导线*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摩擦起电实验；2.基本电路实验之小电珠发光实验；3.基本电路之开关电路实验；4.基本电路之电路故障实验；5.基本电路之电路连接暗盒；6.电路的串联与并联；7.电池的串联与并联；8.红绿灯；9.导体与绝缘体；10.电流的热效应；11.电流的磁效应；12.电路综合实验盒的探究实验之基本电路实验；13.电路综合实验盒的探究实验之电路的串联与并联；14.电路综合实验盒的探究实验之电路的串联与并联等自由探究实验；15.眼睛闪亮的猫咪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80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4B2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61CC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D0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D5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小学磁学实验箱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26F2CF75">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30C0765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磁学旋转架*1、黑色磁学立杆*1、黑色磁学底座（无孔）*1、圆形铁氧体磁铁（D32*18*6mm）*3、条形铁氧体磁铁（F75*18*6.5mm）*2、马蹄形铁氧体磁铁（U61*52*12*9mm）*1、磁分子模型*1、翼形磁针（单个）*1、磁悬浮旋转地球仪*1、黑白磁悬浮（旋转磁铁）*1、DIY指南针*1、不锈钢指南针*1、90mm长铁轴*1、测试探针*1、塑料条*1、1#条形磁铁*2、曲别针（40枚）*1、1#实验小车（黑色）*2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各种各样的磁铁；2.磁铁吸铁实验；3.磁铁隔物吸铁实验；4.那个地方磁力大实验；5.磁铁相互作用实验；6磁悬浮；7.360°旋转实验；8.磁化实验；9.自制指南针；10.组装指南针；11.磁力线；12.磁悬浮地球仪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98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650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64C0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4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85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小学水实验箱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309B56AB">
            <w:pPr>
              <w:keepNext w:val="0"/>
              <w:keepLines w:val="0"/>
              <w:widowControl/>
              <w:numPr>
                <w:ilvl w:val="0"/>
                <w:numId w:val="1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1D7F7E35">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玻璃棒*1、烧杯250ml*1、烧杯100ml*1、锥形壳体*1、方形壳体工具盒边盖*1、铁架台底板（整套）*1、功能指环*4、支撑环（100mm）*1、石棉网*1、不锈钢酒精灯*1、微小压强计*1、液体内部压强演示器*1、一次性针筒/注射器（30mL）*1、60mm塑料三角漏斗*1、1500ml储物盒*1、食用色素（蓝色）*1、瓷砂（100g）*1、花岗岩石子（120g）*1、进口橡皮筋*1、表面皿*1、硅胶管（4mm食品级）*0.4、硅胶管（8mm食品级）*0.4、棉球（25颗装棉球）*1、活性炭（50g）*1、1#铁架台立杆*1、潜水艇球*1、石英砂（20g）*1、小学升降块*2、小学万能夹*2、水轮小木马套装*1、不锈钢平头滚花手拧螺丝*1、滤水片*4、亚克力管（φ40*58mm）*4、HB小学水实验箱（手提）内衬*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1.水的压力演示实验；2.组装水轮小木马；3.水流有力量实验；4.潜水艇工作原理；5.净化谁实验；6.溶解实验；7.分离实验等实验。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09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A72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34DF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3C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6F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小学力与机械（一）实验箱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6DBB9FA">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6E87F736">
            <w:pPr>
              <w:keepNext w:val="0"/>
              <w:keepLines w:val="0"/>
              <w:widowControl/>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黑色磁学底座（无孔）*2、铁架台底板（整套）*1、七格梁*1、两格实销*2、圆筒测力计（1N）*1、圆筒测力计（2.5N）*1、圆筒测力计（5N）*1、50g金属钩码*1、白色细棉线*1、压强实验海绵*1、多功能铝板支架*1、天平托盘挂钩*2、1#铁架台立杆*1、金属天平平衡尺*1、多彩压强小桌子*1、单滑轮*1、三串滑轮组*2、三并滑轮组*2、不锈钢高头滚花螺丝*1、304不锈钢棒（Φ4*150mm）*1、摆动刻度盘*1、十字夹板螺丝*2、轮轴滑轮组*1、1#实验小车（黑色）*1、小学升降块*2、不锈钢平头滚花手拧螺丝*1、天平刻度盘*1、多功能铝板连接件*2、不干胶绒布/墙纸*1、金属铝板*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1.摆的实验；2.测量力实验；3.压强实验；4.摩擦力实验。5.杠杆实验；6.轮轴实验；7.滑轮实验；8.斜面实验；9.简易天平实验等实验。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1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BB0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4D20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1E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33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小学力与机械（二）实验箱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3247C01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小车齿条*1、销套*1、小滑轮*1、三格实销*2、50g金属钩码*1、60mm塑料三角漏斗*1、小号水槽*1、手推气球打气筒*1、食用色素（蓝色）*1、白色细棉线*1、加厚气球*1、进口橡皮筋*5、1#定制弹簧*1、不倒翁丝杆*1、小车滑轮重力竖杆*1、玻璃旋转件*1、不锈钢滚花螺母*1、不倒翁半球*1、1#实验小车（黑色）*1、反冲圆通*1、反冲圆通上盖*1、反冲旋转装置*1、等径直通（12.7）*1、EVA单面胶胶带*0.07、帆船*1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1.重力小车实验；2.橡皮筋动力小车实验；3.弹簧动力小车实验；4.空气动力小车实验；5.空气反冲与水的反冲；6.不倒翁实验；7.帆船稳定性实验等实验。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C9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0D56">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11C9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19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2F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小学热学实验箱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3889F488">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10E20000">
            <w:pPr>
              <w:keepNext w:val="0"/>
              <w:keepLines w:val="0"/>
              <w:widowControl/>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烧杯250ml*1、硅胶固定夹*1、304不锈钢棒（φ10*300mm）*1、热传导装置*1、铁架台底板（整套）*1、Mini-USB数据线*1、USB充电器 DC5V/1A*1、支撑环（100mm）*1、石棉网*1、不锈钢酒精灯*1、红水温度计*1、液体对流演示器*1、热膨胀仪*1、西林瓶*1、铝杯*1、食用色素（红色）*1、白色细棉线*1、火柴*1、加厚气球*1、进口橡皮筋*1、表面皿*1、锥形瓶100ml*1、1#铁架台立杆*1、玻璃直导管*1、温度计亚克力管（Φ5*300mm）*1、硅胶塞/橡胶塞*1、温差发电发电模块*1、小学LED模块*1、小学升降块*2、小学万能夹*1、不锈钢平头滚花手拧螺丝*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1.热传导实验；2.温差发电；3.水的热对流实验；4.铜球热胀冷缩实验；5.空气的热胀冷缩实验；6.模拟大自然水循环；7.温度计模拟实验；8.连续测量一杯水的温度等实验。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EC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40D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644D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C5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E3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植物的器官资源箱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6304413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6124F4A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包含但不限于植物解剖工具、自然植物压制根茎叶花的标本、根的图片、茎的图片、叶的图片、花的图片、果实的标本、果实的图片、种子的标本、种子图片等。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1.植物的解剖；2.植物结构的探究等实验。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1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053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r>
      <w:tr w14:paraId="5EA9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6AD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餐厨设备购置清单</w:t>
            </w:r>
          </w:p>
        </w:tc>
      </w:tr>
      <w:tr w14:paraId="6E88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5FA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153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消毒柜</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637650B">
            <w:pPr>
              <w:bidi w:val="0"/>
              <w:rPr>
                <w:rFonts w:hint="eastAsia" w:asciiTheme="minorHAnsi" w:hAnsiTheme="minorHAnsi" w:eastAsiaTheme="minorEastAsia" w:cstheme="minorBidi"/>
                <w:kern w:val="2"/>
                <w:sz w:val="21"/>
                <w:szCs w:val="24"/>
                <w:lang w:val="en-US" w:eastAsia="zh-CN" w:bidi="ar-SA"/>
              </w:rPr>
            </w:pPr>
          </w:p>
          <w:p w14:paraId="13AF548C">
            <w:pPr>
              <w:tabs>
                <w:tab w:val="left" w:pos="2113"/>
              </w:tabs>
              <w:bidi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1、规格材质：不锈钢材质，不少于1160*520*1790（长*宽*高）（mm）；</w:t>
            </w:r>
          </w:p>
          <w:p w14:paraId="68375D16">
            <w:pPr>
              <w:tabs>
                <w:tab w:val="left" w:pos="2113"/>
              </w:tabs>
              <w:bidi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2、消毒温度≥125℃；</w:t>
            </w:r>
          </w:p>
          <w:p w14:paraId="7A17E018">
            <w:pPr>
              <w:tabs>
                <w:tab w:val="left" w:pos="2113"/>
              </w:tabs>
              <w:bidi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3、具备沥快速烘干功能。</w:t>
            </w:r>
          </w:p>
          <w:p w14:paraId="13D78DAB">
            <w:pPr>
              <w:tabs>
                <w:tab w:val="left" w:pos="2113"/>
              </w:tabs>
              <w:bidi w:val="0"/>
              <w:jc w:val="left"/>
              <w:rPr>
                <w:rFonts w:hint="eastAsia"/>
                <w:lang w:val="en-US" w:eastAsia="zh-CN"/>
              </w:rPr>
            </w:pPr>
            <w:r>
              <w:rPr>
                <w:rFonts w:hint="eastAsia" w:ascii="宋体" w:hAnsi="宋体" w:eastAsia="宋体" w:cs="宋体"/>
                <w:i w:val="0"/>
                <w:iCs w:val="0"/>
                <w:color w:val="auto"/>
                <w:kern w:val="0"/>
                <w:sz w:val="20"/>
                <w:szCs w:val="20"/>
                <w:u w:val="none"/>
                <w:lang w:val="en-US" w:eastAsia="zh-CN" w:bidi="ar"/>
              </w:rPr>
              <w:t xml:space="preserve">4、单次消毒碗≥200个。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88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C4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6E03AC52">
      <w:pPr>
        <w:numPr>
          <w:ilvl w:val="0"/>
          <w:numId w:val="0"/>
        </w:numPr>
        <w:rPr>
          <w:rFonts w:hint="eastAsia" w:ascii="微软雅黑" w:hAnsi="微软雅黑" w:eastAsia="微软雅黑" w:cs="微软雅黑"/>
          <w:i w:val="0"/>
          <w:iCs w:val="0"/>
          <w:color w:val="FF0000"/>
          <w:kern w:val="0"/>
          <w:sz w:val="24"/>
          <w:szCs w:val="24"/>
          <w:u w:val="none"/>
          <w:lang w:val="en-US" w:eastAsia="zh-CN" w:bidi="ar"/>
        </w:rPr>
      </w:pPr>
      <w:r>
        <w:rPr>
          <w:rFonts w:hint="eastAsia" w:ascii="微软雅黑" w:hAnsi="微软雅黑" w:eastAsia="微软雅黑" w:cs="微软雅黑"/>
          <w:i w:val="0"/>
          <w:iCs w:val="0"/>
          <w:color w:val="FF0000"/>
          <w:kern w:val="0"/>
          <w:sz w:val="24"/>
          <w:szCs w:val="24"/>
          <w:u w:val="none"/>
          <w:lang w:val="en-US" w:eastAsia="zh-CN" w:bidi="ar"/>
        </w:rPr>
        <w:t>注：产品参数中带“▲”号项为重要参数，投标人需提供提供产品功能截图或国家认可的第三方检测机构出具的检测报告复印件并加盖公章作为佐证。</w:t>
      </w:r>
    </w:p>
    <w:p w14:paraId="59142FB9">
      <w:pPr>
        <w:pStyle w:val="36"/>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六、交货地点：</w:t>
      </w:r>
      <w:r>
        <w:rPr>
          <w:rFonts w:hint="eastAsia" w:ascii="微软雅黑" w:hAnsi="微软雅黑" w:eastAsia="微软雅黑" w:cs="微软雅黑"/>
          <w:kern w:val="2"/>
          <w:sz w:val="28"/>
          <w:szCs w:val="28"/>
          <w:lang w:val="en-US" w:eastAsia="zh-CN" w:bidi="mn-Mong-CN"/>
        </w:rPr>
        <w:t>麦盖提县第六中学。</w:t>
      </w:r>
    </w:p>
    <w:p w14:paraId="18B5F397">
      <w:pPr>
        <w:pStyle w:val="36"/>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七、项目建设及供货期限：</w:t>
      </w:r>
      <w:r>
        <w:rPr>
          <w:rFonts w:hint="eastAsia" w:ascii="微软雅黑" w:hAnsi="微软雅黑" w:eastAsia="微软雅黑" w:cs="微软雅黑"/>
          <w:kern w:val="2"/>
          <w:sz w:val="28"/>
          <w:szCs w:val="28"/>
          <w:lang w:val="en-US" w:eastAsia="zh-CN" w:bidi="mn-Mong-CN"/>
        </w:rPr>
        <w:t>本项目建设工期要求中标人在中标通知书核发后5日内签订采购合同，项目所涉及硬件要求在合同签订后15日内到货，45日内完工。达不到上述条件，每天按照3000元进行赔偿。</w:t>
      </w:r>
    </w:p>
    <w:p w14:paraId="5D01AF36">
      <w:pPr>
        <w:pStyle w:val="37"/>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八、付款方式：</w:t>
      </w:r>
      <w:r>
        <w:rPr>
          <w:rFonts w:hint="eastAsia" w:ascii="微软雅黑" w:hAnsi="微软雅黑" w:eastAsia="微软雅黑" w:cs="微软雅黑"/>
          <w:kern w:val="2"/>
          <w:sz w:val="28"/>
          <w:szCs w:val="28"/>
          <w:lang w:val="en-US" w:eastAsia="zh-CN" w:bidi="mn-Mong-CN"/>
        </w:rPr>
        <w:t>本项目采取分批付款，本次招标项目签订合同后支付30%，所有货物全部到场后，支付货物款40%，完成本次招标项目所有货物安装调试完成并经最终验收合格后，支付剩余货物款30%。</w:t>
      </w:r>
    </w:p>
    <w:p w14:paraId="78DD4B81">
      <w:pPr>
        <w:pStyle w:val="37"/>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九、售后服务：</w:t>
      </w:r>
      <w:r>
        <w:rPr>
          <w:rFonts w:hint="eastAsia" w:ascii="微软雅黑" w:hAnsi="微软雅黑" w:eastAsia="微软雅黑" w:cs="微软雅黑"/>
          <w:kern w:val="2"/>
          <w:sz w:val="28"/>
          <w:szCs w:val="28"/>
          <w:lang w:val="en-US" w:eastAsia="zh-CN" w:bidi="mn-Mong-CN"/>
        </w:rPr>
        <w:t>本次招标项目所有货物现场安装调试验收合格后3年免费质保服务。</w:t>
      </w:r>
    </w:p>
    <w:p w14:paraId="6FBDF259">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十、质量要求：</w:t>
      </w:r>
    </w:p>
    <w:p w14:paraId="1136FE0C">
      <w:pPr>
        <w:spacing w:line="570" w:lineRule="exact"/>
        <w:ind w:firstLine="560" w:firstLineChars="200"/>
        <w:rPr>
          <w:rFonts w:hint="eastAsia" w:ascii="微软雅黑" w:hAnsi="微软雅黑" w:eastAsia="微软雅黑" w:cs="微软雅黑"/>
          <w:kern w:val="2"/>
          <w:sz w:val="28"/>
          <w:szCs w:val="28"/>
          <w:lang w:val="en-US" w:eastAsia="zh-CN" w:bidi="mn-Mong-CN"/>
        </w:rPr>
      </w:pPr>
      <w:bookmarkStart w:id="436" w:name="bookmark450"/>
      <w:bookmarkEnd w:id="436"/>
      <w:r>
        <w:rPr>
          <w:rFonts w:hint="eastAsia" w:ascii="微软雅黑" w:hAnsi="微软雅黑" w:eastAsia="微软雅黑" w:cs="微软雅黑"/>
          <w:kern w:val="2"/>
          <w:sz w:val="28"/>
          <w:szCs w:val="28"/>
          <w:lang w:val="en-US" w:eastAsia="zh-CN" w:bidi="mn-Mong-CN"/>
        </w:rPr>
        <w:t>（1）供应商所提供的产品为原厂原装正品、设备均应是全新、原装正品；</w:t>
      </w:r>
    </w:p>
    <w:p w14:paraId="180EBF79">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（2）所有设备必须配齐所有辅助配件及功能配件等附件；</w:t>
      </w:r>
    </w:p>
    <w:p w14:paraId="54609657">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（3）交货时需提供设备使用说明书、检验合格证、质量检测报告等中文技术文件。</w:t>
      </w:r>
    </w:p>
    <w:p w14:paraId="1D1E3CCE">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（4）质保要求：硬件质保期3年，质保期内出现质量问题，需免费上门进行售后服务。</w:t>
      </w:r>
    </w:p>
    <w:p w14:paraId="7555D871">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十一、售后服务：</w:t>
      </w:r>
    </w:p>
    <w:p w14:paraId="5D4BC9EC">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（1）供应商需提供现场免费安装、调试，并进行操作测试，直至运行正常，为业务操作人员提供免费培训操作、维护。</w:t>
      </w:r>
    </w:p>
    <w:p w14:paraId="0B5E4340">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（2）供应商必须积极配合采购人共同参与项目验收，主动向采购方有关技术人员在使用现场提供全套技术指导及培训。</w:t>
      </w:r>
    </w:p>
    <w:p w14:paraId="28A20D47">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十二、配送要求：</w:t>
      </w:r>
    </w:p>
    <w:p w14:paraId="1D31388E">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供应商须按照采购人提供的配送要求，将中标货物配送至采购人指定地点，经采购方相关管理人员验收合格后，方为配送完成。若未通过配送验收、必须重新配送，不得以任何借口推诿。</w:t>
      </w:r>
    </w:p>
    <w:p w14:paraId="5E49615F">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十三、验收方式：</w:t>
      </w:r>
      <w:r>
        <w:rPr>
          <w:rFonts w:hint="eastAsia" w:ascii="微软雅黑" w:hAnsi="微软雅黑" w:eastAsia="微软雅黑" w:cs="微软雅黑"/>
          <w:kern w:val="2"/>
          <w:sz w:val="28"/>
          <w:szCs w:val="28"/>
          <w:lang w:val="en-US" w:eastAsia="zh-CN" w:bidi="mn-Mong-CN"/>
        </w:rPr>
        <w:t>麦盖提县教育局及第三方监督单位在合同期内对设备进行验收，符合合同约定且能正常运行为合格。</w:t>
      </w:r>
    </w:p>
    <w:p w14:paraId="60894958">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10A45A08">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135C2F5A">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十四、</w:t>
      </w:r>
      <w:r>
        <w:rPr>
          <w:rFonts w:hint="eastAsia" w:ascii="微软雅黑" w:hAnsi="微软雅黑" w:eastAsia="微软雅黑" w:cs="微软雅黑"/>
          <w:kern w:val="2"/>
          <w:sz w:val="28"/>
          <w:szCs w:val="28"/>
          <w:lang w:val="en-US" w:eastAsia="zh-CN" w:bidi="mn-Mong-CN"/>
        </w:rPr>
        <w:t>投标单位通过PS造假等手段提供虚假证明材料，隐瞒事实、虚假投标并中标，验收过程中经过严格验收发现问题后，立即终止并反馈当地采购办要求列入黑名单，并承担造成的一切后果。</w:t>
      </w:r>
    </w:p>
    <w:p w14:paraId="380128DD">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十五、</w:t>
      </w:r>
      <w:r>
        <w:rPr>
          <w:rFonts w:hint="eastAsia" w:ascii="微软雅黑" w:hAnsi="微软雅黑" w:eastAsia="微软雅黑" w:cs="微软雅黑"/>
          <w:kern w:val="2"/>
          <w:sz w:val="28"/>
          <w:szCs w:val="28"/>
          <w:lang w:val="en-US" w:eastAsia="zh-CN" w:bidi="mn-Mong-CN"/>
        </w:rPr>
        <w:t>投标单位以他人名义投标或者以其他方式弄虚作假，骗取中标的，中标无效给采购人造成损失的，依法承担赔偿责任;构成犯罪的，依法追究刑事责任。</w:t>
      </w:r>
    </w:p>
    <w:p w14:paraId="082BF499">
      <w:pPr>
        <w:spacing w:line="570" w:lineRule="exact"/>
        <w:ind w:firstLine="560" w:firstLineChars="20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kern w:val="2"/>
          <w:sz w:val="28"/>
          <w:szCs w:val="28"/>
          <w:lang w:val="en-US" w:eastAsia="zh-CN" w:bidi="mn-Mong-CN"/>
        </w:rPr>
        <w:t>十六、</w:t>
      </w:r>
      <w:r>
        <w:rPr>
          <w:rFonts w:hint="eastAsia" w:ascii="微软雅黑" w:hAnsi="微软雅黑" w:eastAsia="微软雅黑" w:cs="微软雅黑"/>
          <w:kern w:val="2"/>
          <w:sz w:val="28"/>
          <w:szCs w:val="28"/>
          <w:lang w:val="en-US" w:eastAsia="zh-CN" w:bidi="mn-Mong-CN"/>
        </w:rPr>
        <w:t>招标文件澄清或修改发出的形式:在原公告发布媒体上发布澄清或修改公告供应商在提交投标文件截止时间前须自行查看在原公告发布媒体上发布的澄清或修改公告，因供应商未及时查看而造成的后果自负。</w:t>
      </w:r>
      <w:bookmarkStart w:id="437" w:name="bookmark454"/>
      <w:bookmarkEnd w:id="437"/>
    </w:p>
    <w:p w14:paraId="48FB0634">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十七、</w:t>
      </w:r>
      <w:r>
        <w:rPr>
          <w:rFonts w:hint="eastAsia" w:ascii="微软雅黑" w:hAnsi="微软雅黑" w:eastAsia="微软雅黑" w:cs="微软雅黑"/>
          <w:kern w:val="2"/>
          <w:sz w:val="28"/>
          <w:szCs w:val="28"/>
          <w:lang w:val="en-US" w:eastAsia="zh-CN" w:bidi="mn-Mong-CN"/>
        </w:rPr>
        <w:t>履约保证金金额：合同总价的5%，中标方在签订合同前打入采购人账户，中标方可以转账支票、电汇、银行汇票或网上银行支付、保函等非现金形式公对公交纳。</w:t>
      </w:r>
    </w:p>
    <w:p w14:paraId="44B33379">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采购人账户信息：</w:t>
      </w:r>
    </w:p>
    <w:p w14:paraId="3D74592C">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开户银行：中国工商银行股份有限公司麦盖提支行</w:t>
      </w:r>
    </w:p>
    <w:p w14:paraId="068D3C0B">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开户名称：麦盖提县教育局</w:t>
      </w:r>
    </w:p>
    <w:p w14:paraId="6B68CD26">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开户账号：3012348009024900319</w:t>
      </w:r>
    </w:p>
    <w:p w14:paraId="624D57FA">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行号：102894800016</w:t>
      </w:r>
    </w:p>
    <w:p w14:paraId="6754BDA5">
      <w:pPr>
        <w:rPr>
          <w:rFonts w:hint="eastAsia"/>
          <w:lang w:val="en-US" w:eastAsia="zh-CN"/>
        </w:rPr>
      </w:pPr>
    </w:p>
    <w:p w14:paraId="107AD82A">
      <w:pPr>
        <w:rPr>
          <w:rFonts w:hint="eastAsia"/>
          <w:lang w:val="en-US" w:eastAsia="zh-CN"/>
        </w:rPr>
      </w:pPr>
    </w:p>
    <w:p w14:paraId="7252683C">
      <w:pPr>
        <w:rPr>
          <w:rFonts w:hint="eastAsia"/>
          <w:lang w:val="en-US" w:eastAsia="zh-CN"/>
        </w:rPr>
      </w:pPr>
    </w:p>
    <w:p w14:paraId="5F75A947">
      <w:pPr>
        <w:rPr>
          <w:rFonts w:hint="eastAsia"/>
          <w:lang w:val="en-US" w:eastAsia="zh-CN"/>
        </w:rPr>
      </w:pPr>
    </w:p>
    <w:p w14:paraId="225D5E2F">
      <w:pPr>
        <w:rPr>
          <w:rFonts w:hint="eastAsia"/>
          <w:lang w:val="en-US" w:eastAsia="zh-CN"/>
        </w:rPr>
      </w:pPr>
    </w:p>
    <w:p w14:paraId="4B57A486">
      <w:pPr>
        <w:rPr>
          <w:rFonts w:hint="eastAsia"/>
          <w:lang w:val="en-US" w:eastAsia="zh-CN"/>
        </w:rPr>
      </w:pPr>
    </w:p>
    <w:p w14:paraId="0C0B5398">
      <w:pPr>
        <w:rPr>
          <w:rFonts w:hint="eastAsia"/>
          <w:lang w:val="en-US" w:eastAsia="zh-CN"/>
        </w:rPr>
      </w:pPr>
    </w:p>
    <w:p w14:paraId="2DBC4B1B">
      <w:pPr>
        <w:rPr>
          <w:rFonts w:hint="eastAsia"/>
          <w:lang w:val="en-US" w:eastAsia="zh-CN"/>
        </w:rPr>
      </w:pPr>
    </w:p>
    <w:p w14:paraId="2E5F7F2A">
      <w:pPr>
        <w:rPr>
          <w:rFonts w:hint="eastAsia"/>
          <w:lang w:val="en-US" w:eastAsia="zh-CN"/>
        </w:rPr>
      </w:pPr>
    </w:p>
    <w:p w14:paraId="423FD017">
      <w:pPr>
        <w:rPr>
          <w:rFonts w:hint="eastAsia"/>
          <w:lang w:val="en-US" w:eastAsia="zh-CN"/>
        </w:rPr>
      </w:pPr>
    </w:p>
    <w:p w14:paraId="135EF387">
      <w:pPr>
        <w:rPr>
          <w:rFonts w:hint="eastAsia"/>
          <w:lang w:val="en-US" w:eastAsia="zh-CN"/>
        </w:rPr>
      </w:pPr>
    </w:p>
    <w:p w14:paraId="2FF61670">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38" w:name="_Toc7943"/>
      <w:r>
        <w:rPr>
          <w:rFonts w:hint="eastAsia" w:ascii="微软雅黑" w:hAnsi="微软雅黑" w:eastAsia="微软雅黑" w:cs="微软雅黑"/>
          <w:b/>
          <w:bCs/>
          <w:color w:val="auto"/>
          <w:sz w:val="28"/>
          <w:szCs w:val="28"/>
          <w:highlight w:val="none"/>
        </w:rPr>
        <w:t>第6章</w:t>
      </w:r>
      <w:bookmarkStart w:id="439" w:name="_Toc507399907"/>
      <w:bookmarkStart w:id="440" w:name="_Toc518923127"/>
      <w:bookmarkStart w:id="441" w:name="_Toc10220"/>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38"/>
      <w:bookmarkEnd w:id="439"/>
      <w:bookmarkEnd w:id="440"/>
      <w:bookmarkEnd w:id="441"/>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2"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2"/>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具有良好的商业信誉和健全的财务会计制度（投标人提供2023年度或2024年度财务审计报告，新成立公司可提供有效内银行出具的资信证明）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 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2" w:type="pct"/>
            <w:noWrap w:val="0"/>
            <w:vAlign w:val="center"/>
          </w:tcPr>
          <w:p w14:paraId="540BD8A0">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622A9239">
      <w:pPr>
        <w:pageBreakBefore w:val="0"/>
        <w:kinsoku/>
        <w:wordWrap/>
        <w:overflowPunct/>
        <w:topLinePunct w:val="0"/>
        <w:bidi w:val="0"/>
        <w:spacing w:line="500" w:lineRule="exac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73D9EDDF">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微软雅黑" w:hAnsi="微软雅黑" w:eastAsia="微软雅黑" w:cs="微软雅黑"/>
          <w:b/>
          <w:bCs w:val="0"/>
          <w:color w:val="auto"/>
          <w:kern w:val="44"/>
          <w:sz w:val="32"/>
          <w:szCs w:val="32"/>
          <w:highlight w:val="none"/>
          <w:lang w:val="en-US" w:eastAsia="zh-CN" w:bidi="ar-SA"/>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4469F782">
      <w:pPr>
        <w:jc w:val="center"/>
        <w:rPr>
          <w:rFonts w:hint="eastAsia" w:ascii="微软雅黑" w:hAnsi="微软雅黑" w:eastAsia="微软雅黑" w:cs="微软雅黑"/>
          <w:b/>
          <w:bCs w:val="0"/>
          <w:color w:val="auto"/>
          <w:kern w:val="0"/>
          <w:highlight w:val="none"/>
        </w:rPr>
      </w:pPr>
      <w:r>
        <w:rPr>
          <w:rFonts w:hint="eastAsia" w:ascii="微软雅黑" w:hAnsi="微软雅黑" w:eastAsia="微软雅黑" w:cs="微软雅黑"/>
          <w:b/>
          <w:bCs w:val="0"/>
          <w:color w:val="auto"/>
          <w:kern w:val="44"/>
          <w:sz w:val="32"/>
          <w:szCs w:val="32"/>
          <w:highlight w:val="none"/>
          <w:lang w:val="en-US" w:eastAsia="zh-CN" w:bidi="ar-SA"/>
        </w:rPr>
        <w:t>综合评分法评分标准</w:t>
      </w:r>
      <w:bookmarkStart w:id="443" w:name="_Toc507399904"/>
    </w:p>
    <w:tbl>
      <w:tblPr>
        <w:tblStyle w:val="19"/>
        <w:tblW w:w="8886"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9"/>
        <w:gridCol w:w="1112"/>
        <w:gridCol w:w="1188"/>
        <w:gridCol w:w="5637"/>
      </w:tblGrid>
      <w:tr w14:paraId="619B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2061"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DEFEA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spacing w:val="-20"/>
                <w:sz w:val="36"/>
                <w:szCs w:val="36"/>
              </w:rPr>
            </w:pPr>
            <w:r>
              <w:rPr>
                <w:rFonts w:hint="eastAsia" w:ascii="方正黑体_GBK" w:hAnsi="方正黑体_GBK" w:eastAsia="方正黑体_GBK" w:cs="方正黑体_GBK"/>
                <w:b w:val="0"/>
                <w:bCs w:val="0"/>
                <w:spacing w:val="-20"/>
                <w:sz w:val="36"/>
                <w:szCs w:val="36"/>
              </w:rPr>
              <w:t>评标项目</w:t>
            </w:r>
          </w:p>
        </w:tc>
        <w:tc>
          <w:tcPr>
            <w:tcW w:w="118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56EB1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spacing w:val="-20"/>
                <w:sz w:val="36"/>
                <w:szCs w:val="36"/>
              </w:rPr>
            </w:pPr>
            <w:r>
              <w:rPr>
                <w:rFonts w:hint="eastAsia" w:ascii="方正黑体_GBK" w:hAnsi="方正黑体_GBK" w:eastAsia="方正黑体_GBK" w:cs="方正黑体_GBK"/>
                <w:b w:val="0"/>
                <w:bCs w:val="0"/>
                <w:spacing w:val="-20"/>
                <w:sz w:val="36"/>
                <w:szCs w:val="36"/>
              </w:rPr>
              <w:t>评标分值</w:t>
            </w:r>
          </w:p>
        </w:tc>
        <w:tc>
          <w:tcPr>
            <w:tcW w:w="563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6F0D2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spacing w:val="-20"/>
                <w:sz w:val="36"/>
                <w:szCs w:val="36"/>
              </w:rPr>
            </w:pPr>
            <w:r>
              <w:rPr>
                <w:rFonts w:hint="eastAsia" w:ascii="方正黑体_GBK" w:hAnsi="方正黑体_GBK" w:eastAsia="方正黑体_GBK" w:cs="方正黑体_GBK"/>
                <w:b w:val="0"/>
                <w:bCs w:val="0"/>
                <w:spacing w:val="-20"/>
                <w:sz w:val="36"/>
                <w:szCs w:val="36"/>
              </w:rPr>
              <w:t>评标方法描述</w:t>
            </w:r>
          </w:p>
        </w:tc>
      </w:tr>
      <w:tr w14:paraId="10D5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4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3D609C">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价格</w:t>
            </w:r>
          </w:p>
        </w:tc>
        <w:tc>
          <w:tcPr>
            <w:tcW w:w="111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A921799">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投标报价</w:t>
            </w: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393FE04">
            <w:pPr>
              <w:spacing w:line="240" w:lineRule="auto"/>
              <w:jc w:val="center"/>
              <w:rPr>
                <w:rFonts w:hint="default" w:ascii="宋体" w:hAnsi="宋体" w:eastAsia="宋体" w:cs="宋体"/>
                <w:b w:val="0"/>
                <w:bCs/>
                <w:kern w:val="2"/>
                <w:sz w:val="28"/>
                <w:szCs w:val="28"/>
                <w:lang w:val="en-US" w:eastAsia="zh-CN" w:bidi="ar-SA"/>
              </w:rPr>
            </w:pPr>
            <w:r>
              <w:rPr>
                <w:rFonts w:hint="default" w:ascii="宋体" w:hAnsi="宋体" w:eastAsia="宋体" w:cs="宋体"/>
                <w:b w:val="0"/>
                <w:bCs/>
                <w:kern w:val="2"/>
                <w:sz w:val="28"/>
                <w:szCs w:val="28"/>
                <w:lang w:val="en-US" w:eastAsia="zh-CN"/>
              </w:rPr>
              <w:t>30</w:t>
            </w:r>
          </w:p>
        </w:tc>
        <w:tc>
          <w:tcPr>
            <w:tcW w:w="563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5CAC98">
            <w:pPr>
              <w:spacing w:line="240" w:lineRule="auto"/>
              <w:jc w:val="left"/>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rPr>
              <w:t>价格分采用低价优先法计算，即满足招标文件要求且投标价格最低的投标报价为评标基准价，其价格分为满分。其他投标人的价格分统一按照下列公式计算：投标报价得分=（评标基准价／投标报价）×100%×权重分值。（四舍五入后保留小数点后两位）对于高于项目采购预算金额的投标报价不予接受，视为无效投标。</w:t>
            </w:r>
          </w:p>
        </w:tc>
      </w:tr>
      <w:tr w14:paraId="746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9" w:type="dxa"/>
            <w:vMerge w:val="restart"/>
            <w:tcBorders>
              <w:top w:val="nil"/>
              <w:left w:val="single" w:color="000000" w:sz="6" w:space="0"/>
              <w:right w:val="single" w:color="000000" w:sz="6" w:space="0"/>
            </w:tcBorders>
            <w:shd w:val="clear" w:color="auto" w:fill="auto"/>
            <w:tcMar>
              <w:left w:w="105" w:type="dxa"/>
              <w:right w:w="105" w:type="dxa"/>
            </w:tcMar>
            <w:vAlign w:val="center"/>
          </w:tcPr>
          <w:p w14:paraId="49F0AD3E">
            <w:pPr>
              <w:spacing w:line="240" w:lineRule="auto"/>
              <w:jc w:val="center"/>
              <w:rPr>
                <w:rFonts w:hint="eastAsia"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技术</w:t>
            </w:r>
          </w:p>
          <w:p w14:paraId="02724F52">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部分</w:t>
            </w:r>
          </w:p>
        </w:tc>
        <w:tc>
          <w:tcPr>
            <w:tcW w:w="1112"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0253C9F7">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产品技术参数响应情况</w:t>
            </w:r>
          </w:p>
        </w:tc>
        <w:tc>
          <w:tcPr>
            <w:tcW w:w="1188" w:type="dxa"/>
            <w:tcBorders>
              <w:top w:val="nil"/>
              <w:left w:val="nil"/>
              <w:bottom w:val="single" w:color="auto" w:sz="4" w:space="0"/>
              <w:right w:val="single" w:color="000000" w:sz="6" w:space="0"/>
            </w:tcBorders>
            <w:shd w:val="clear" w:color="auto" w:fill="auto"/>
            <w:tcMar>
              <w:left w:w="105" w:type="dxa"/>
              <w:right w:w="105" w:type="dxa"/>
            </w:tcMar>
            <w:vAlign w:val="center"/>
          </w:tcPr>
          <w:p w14:paraId="09FAF78B">
            <w:pPr>
              <w:spacing w:line="240" w:lineRule="auto"/>
              <w:jc w:val="center"/>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40</w:t>
            </w:r>
          </w:p>
        </w:tc>
        <w:tc>
          <w:tcPr>
            <w:tcW w:w="5637" w:type="dxa"/>
            <w:tcBorders>
              <w:top w:val="nil"/>
              <w:left w:val="nil"/>
              <w:bottom w:val="single" w:color="auto" w:sz="4" w:space="0"/>
              <w:right w:val="single" w:color="000000" w:sz="6" w:space="0"/>
            </w:tcBorders>
            <w:shd w:val="clear" w:color="auto" w:fill="auto"/>
            <w:tcMar>
              <w:left w:w="105" w:type="dxa"/>
              <w:right w:w="105" w:type="dxa"/>
            </w:tcMar>
            <w:vAlign w:val="center"/>
          </w:tcPr>
          <w:p w14:paraId="15751004">
            <w:pPr>
              <w:pStyle w:val="43"/>
              <w:spacing w:before="22" w:line="233" w:lineRule="auto"/>
              <w:ind w:left="118" w:right="98" w:hanging="17"/>
              <w:rPr>
                <w:rFonts w:hint="eastAsia"/>
                <w:spacing w:val="-1"/>
                <w:kern w:val="0"/>
                <w:sz w:val="24"/>
                <w:szCs w:val="24"/>
                <w:highlight w:val="none"/>
              </w:rPr>
            </w:pPr>
            <w:r>
              <w:rPr>
                <w:rFonts w:hint="eastAsia"/>
                <w:bCs/>
                <w:sz w:val="24"/>
                <w:szCs w:val="24"/>
              </w:rPr>
              <w:t>投标文件所投产品技术参数</w:t>
            </w:r>
            <w:r>
              <w:rPr>
                <w:rFonts w:hint="eastAsia"/>
                <w:bCs/>
                <w:sz w:val="24"/>
                <w:szCs w:val="24"/>
                <w:lang w:val="zh-CN"/>
              </w:rPr>
              <w:t>中</w:t>
            </w:r>
            <w:bookmarkStart w:id="444" w:name="OLE_LINK2"/>
            <w:r>
              <w:rPr>
                <w:rFonts w:hint="eastAsia"/>
                <w:bCs/>
                <w:sz w:val="24"/>
                <w:szCs w:val="24"/>
                <w:lang w:val="zh-CN"/>
              </w:rPr>
              <w:t>标注</w:t>
            </w:r>
            <w:bookmarkEnd w:id="444"/>
            <w:r>
              <w:rPr>
                <w:rFonts w:hint="eastAsia"/>
                <w:bCs/>
                <w:sz w:val="24"/>
                <w:szCs w:val="24"/>
                <w:lang w:val="zh-CN"/>
              </w:rPr>
              <w:t>▲号的参数为重要参数</w:t>
            </w:r>
            <w:r>
              <w:rPr>
                <w:rFonts w:hint="eastAsia"/>
                <w:bCs/>
                <w:sz w:val="24"/>
                <w:szCs w:val="24"/>
              </w:rPr>
              <w:t>共40条</w:t>
            </w:r>
            <w:r>
              <w:rPr>
                <w:rFonts w:hint="eastAsia"/>
                <w:bCs/>
                <w:sz w:val="24"/>
                <w:szCs w:val="24"/>
                <w:highlight w:val="none"/>
                <w:lang w:val="zh-CN"/>
              </w:rPr>
              <w:t>，</w:t>
            </w:r>
            <w:r>
              <w:rPr>
                <w:rFonts w:hint="eastAsia"/>
                <w:bCs/>
                <w:sz w:val="24"/>
                <w:szCs w:val="24"/>
                <w:highlight w:val="none"/>
              </w:rPr>
              <w:t>按照招标文件要求</w:t>
            </w:r>
            <w:r>
              <w:rPr>
                <w:rFonts w:hint="eastAsia"/>
                <w:bCs/>
                <w:sz w:val="24"/>
                <w:szCs w:val="24"/>
                <w:highlight w:val="none"/>
                <w:lang w:val="zh-CN"/>
              </w:rPr>
              <w:t>提供满足参数要求的</w:t>
            </w:r>
            <w:r>
              <w:rPr>
                <w:rFonts w:hint="eastAsia"/>
                <w:bCs/>
                <w:sz w:val="24"/>
                <w:szCs w:val="24"/>
                <w:highlight w:val="none"/>
              </w:rPr>
              <w:t>实物图片及相关证明材料，全部满足要求得40分，每负偏离一项扣1分，最多扣40分，</w:t>
            </w:r>
            <w:r>
              <w:rPr>
                <w:rFonts w:hint="eastAsia"/>
                <w:spacing w:val="-1"/>
                <w:kern w:val="0"/>
                <w:sz w:val="24"/>
                <w:szCs w:val="24"/>
                <w:highlight w:val="none"/>
              </w:rPr>
              <w:t>正偏离不加分。</w:t>
            </w:r>
          </w:p>
          <w:p w14:paraId="69436B61">
            <w:pPr>
              <w:spacing w:line="240" w:lineRule="auto"/>
              <w:jc w:val="left"/>
              <w:rPr>
                <w:rFonts w:hint="eastAsia" w:ascii="宋体" w:hAnsi="宋体" w:eastAsia="宋体" w:cs="宋体"/>
                <w:b w:val="0"/>
                <w:bCs/>
                <w:kern w:val="2"/>
                <w:sz w:val="28"/>
                <w:szCs w:val="28"/>
                <w:lang w:val="en-US" w:eastAsia="zh-CN" w:bidi="ar-SA"/>
              </w:rPr>
            </w:pPr>
            <w:r>
              <w:rPr>
                <w:rFonts w:hint="eastAsia"/>
                <w:spacing w:val="-1"/>
                <w:kern w:val="0"/>
                <w:sz w:val="24"/>
                <w:szCs w:val="24"/>
                <w:highlight w:val="none"/>
              </w:rPr>
              <w:t>注：技术参数中要求提供证明材料的，以投标人提</w:t>
            </w:r>
            <w:r>
              <w:rPr>
                <w:rFonts w:hint="eastAsia"/>
                <w:spacing w:val="-1"/>
                <w:kern w:val="0"/>
                <w:sz w:val="24"/>
                <w:szCs w:val="24"/>
              </w:rPr>
              <w:t>供的有效证明材料为准，不提供证明材料或证明材料不符合技术参数要求的视为不满足。</w:t>
            </w:r>
          </w:p>
        </w:tc>
      </w:tr>
      <w:tr w14:paraId="4A1B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000000" w:sz="6" w:space="0"/>
              <w:right w:val="single" w:color="000000" w:sz="6" w:space="0"/>
            </w:tcBorders>
            <w:shd w:val="clear" w:color="auto" w:fill="auto"/>
            <w:tcMar>
              <w:left w:w="105" w:type="dxa"/>
              <w:right w:w="105" w:type="dxa"/>
            </w:tcMar>
            <w:vAlign w:val="center"/>
          </w:tcPr>
          <w:p w14:paraId="5C858FEF">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C63EFF">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实施方案</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959284">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5</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AEA156">
            <w:pPr>
              <w:pStyle w:val="43"/>
              <w:spacing w:before="181" w:line="236" w:lineRule="auto"/>
              <w:ind w:left="101" w:right="97" w:firstLine="2"/>
              <w:rPr>
                <w:rFonts w:hint="default"/>
                <w:spacing w:val="-5"/>
                <w:kern w:val="0"/>
                <w:sz w:val="24"/>
                <w:szCs w:val="24"/>
                <w:lang w:val="en-US"/>
              </w:rPr>
            </w:pPr>
            <w:r>
              <w:rPr>
                <w:rFonts w:hint="eastAsia"/>
                <w:kern w:val="0"/>
                <w:sz w:val="24"/>
                <w:szCs w:val="24"/>
                <w:lang w:val="en-US" w:eastAsia="zh-CN"/>
              </w:rPr>
              <w:t>项目实施方案应包含：1.供货方案；2.设备安装方案；3.人员配置方案；4.项目工期</w:t>
            </w:r>
            <w:r>
              <w:rPr>
                <w:rFonts w:hint="eastAsia" w:ascii="宋体" w:hAnsi="宋体" w:eastAsia="宋体" w:cs="宋体"/>
                <w:b w:val="0"/>
                <w:bCs/>
                <w:kern w:val="2"/>
                <w:sz w:val="28"/>
                <w:szCs w:val="28"/>
              </w:rPr>
              <w:t>进度</w:t>
            </w:r>
            <w:r>
              <w:rPr>
                <w:rFonts w:hint="eastAsia"/>
                <w:kern w:val="0"/>
                <w:sz w:val="24"/>
                <w:szCs w:val="24"/>
                <w:lang w:val="en-US" w:eastAsia="zh-CN"/>
              </w:rPr>
              <w:t>安排；5.应急预案。</w:t>
            </w:r>
          </w:p>
          <w:p w14:paraId="0C75A553">
            <w:pPr>
              <w:spacing w:line="240" w:lineRule="auto"/>
              <w:jc w:val="left"/>
              <w:rPr>
                <w:rFonts w:hint="eastAsia"/>
                <w:spacing w:val="-1"/>
                <w:kern w:val="0"/>
                <w:sz w:val="24"/>
                <w:szCs w:val="24"/>
                <w:highlight w:val="none"/>
              </w:rPr>
            </w:pPr>
            <w:r>
              <w:rPr>
                <w:rFonts w:hint="eastAsia"/>
                <w:spacing w:val="-5"/>
                <w:kern w:val="0"/>
                <w:sz w:val="24"/>
                <w:szCs w:val="24"/>
              </w:rPr>
              <w:t>以上内容齐全、描述详细、与本项目需求及实际情况吻合得5分，任意一项内容缺失或存在不足（不足是指：逻辑不严谨、内容不完整、表述不清晰、实操性不强或不符合项目实际情况）扣1分，扣完为止。</w:t>
            </w:r>
          </w:p>
        </w:tc>
      </w:tr>
      <w:tr w14:paraId="41FB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000000" w:sz="6" w:space="0"/>
              <w:right w:val="single" w:color="000000" w:sz="6" w:space="0"/>
            </w:tcBorders>
            <w:shd w:val="clear" w:color="auto" w:fill="auto"/>
            <w:tcMar>
              <w:left w:w="105" w:type="dxa"/>
              <w:right w:w="105" w:type="dxa"/>
            </w:tcMar>
            <w:vAlign w:val="center"/>
          </w:tcPr>
          <w:p w14:paraId="75BA2202">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8D6BD4">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培训方案</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234732">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5</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13E933">
            <w:pPr>
              <w:pStyle w:val="43"/>
              <w:spacing w:before="181" w:line="236" w:lineRule="auto"/>
              <w:ind w:left="101" w:right="97" w:firstLine="2"/>
              <w:rPr>
                <w:rFonts w:hint="eastAsia"/>
                <w:spacing w:val="-5"/>
                <w:kern w:val="0"/>
                <w:sz w:val="24"/>
                <w:szCs w:val="24"/>
              </w:rPr>
            </w:pPr>
            <w:r>
              <w:rPr>
                <w:rFonts w:hint="eastAsia"/>
                <w:kern w:val="0"/>
                <w:sz w:val="24"/>
                <w:szCs w:val="24"/>
              </w:rPr>
              <w:t>投标人根据本项目特点对甲方操作及维修技术人员进行培训，提供项目</w:t>
            </w:r>
            <w:r>
              <w:rPr>
                <w:rFonts w:hint="eastAsia"/>
                <w:spacing w:val="-1"/>
                <w:kern w:val="0"/>
                <w:sz w:val="24"/>
                <w:szCs w:val="24"/>
              </w:rPr>
              <w:t>培训方案文本，包</w:t>
            </w:r>
            <w:r>
              <w:rPr>
                <w:rFonts w:hint="eastAsia"/>
                <w:spacing w:val="1"/>
                <w:kern w:val="0"/>
                <w:sz w:val="24"/>
                <w:szCs w:val="24"/>
              </w:rPr>
              <w:t>括但不限于：1.培训计划</w:t>
            </w:r>
            <w:r>
              <w:rPr>
                <w:rFonts w:hint="eastAsia"/>
                <w:spacing w:val="1"/>
                <w:kern w:val="0"/>
                <w:sz w:val="24"/>
                <w:szCs w:val="24"/>
                <w:lang w:val="en-US" w:eastAsia="zh-CN"/>
              </w:rPr>
              <w:t>与</w:t>
            </w:r>
            <w:r>
              <w:rPr>
                <w:rFonts w:hint="eastAsia"/>
                <w:spacing w:val="1"/>
                <w:kern w:val="0"/>
                <w:sz w:val="24"/>
                <w:szCs w:val="24"/>
              </w:rPr>
              <w:t>时间安排；</w:t>
            </w:r>
            <w:r>
              <w:rPr>
                <w:rFonts w:hint="eastAsia"/>
                <w:spacing w:val="1"/>
                <w:kern w:val="0"/>
                <w:sz w:val="24"/>
                <w:szCs w:val="24"/>
                <w:lang w:val="en-US" w:eastAsia="zh-CN"/>
              </w:rPr>
              <w:t>2</w:t>
            </w:r>
            <w:r>
              <w:rPr>
                <w:rFonts w:hint="eastAsia"/>
                <w:spacing w:val="1"/>
                <w:kern w:val="0"/>
                <w:sz w:val="24"/>
                <w:szCs w:val="24"/>
              </w:rPr>
              <w:t>.</w:t>
            </w:r>
            <w:r>
              <w:rPr>
                <w:rFonts w:hint="eastAsia"/>
                <w:spacing w:val="1"/>
                <w:kern w:val="0"/>
                <w:sz w:val="24"/>
                <w:szCs w:val="24"/>
                <w:lang w:val="en-US" w:eastAsia="zh-CN"/>
              </w:rPr>
              <w:t>培训目标与需求分析；3.</w:t>
            </w:r>
            <w:r>
              <w:rPr>
                <w:rFonts w:hint="eastAsia"/>
                <w:spacing w:val="1"/>
                <w:kern w:val="0"/>
                <w:sz w:val="24"/>
                <w:szCs w:val="24"/>
              </w:rPr>
              <w:t>培训</w:t>
            </w:r>
            <w:r>
              <w:rPr>
                <w:rFonts w:hint="eastAsia"/>
                <w:spacing w:val="1"/>
                <w:kern w:val="0"/>
                <w:sz w:val="24"/>
                <w:szCs w:val="24"/>
                <w:lang w:val="en-US" w:eastAsia="zh-CN"/>
              </w:rPr>
              <w:t>主讲</w:t>
            </w:r>
            <w:r>
              <w:rPr>
                <w:rFonts w:hint="eastAsia"/>
                <w:spacing w:val="1"/>
                <w:kern w:val="0"/>
                <w:sz w:val="24"/>
                <w:szCs w:val="24"/>
              </w:rPr>
              <w:t>人员配置；</w:t>
            </w:r>
            <w:r>
              <w:rPr>
                <w:rFonts w:hint="eastAsia"/>
                <w:spacing w:val="1"/>
                <w:kern w:val="0"/>
                <w:sz w:val="24"/>
                <w:szCs w:val="24"/>
                <w:lang w:val="en-US" w:eastAsia="zh-CN"/>
              </w:rPr>
              <w:t>4</w:t>
            </w:r>
            <w:r>
              <w:rPr>
                <w:rFonts w:hint="eastAsia"/>
                <w:spacing w:val="1"/>
                <w:kern w:val="0"/>
                <w:sz w:val="24"/>
                <w:szCs w:val="24"/>
              </w:rPr>
              <w:t>.设备设施使用方法</w:t>
            </w:r>
            <w:r>
              <w:rPr>
                <w:rFonts w:hint="eastAsia"/>
                <w:spacing w:val="1"/>
                <w:kern w:val="0"/>
                <w:sz w:val="24"/>
                <w:szCs w:val="24"/>
                <w:lang w:val="en-US" w:eastAsia="zh-CN"/>
              </w:rPr>
              <w:t>与</w:t>
            </w:r>
            <w:r>
              <w:rPr>
                <w:rFonts w:hint="eastAsia"/>
                <w:spacing w:val="1"/>
                <w:kern w:val="0"/>
                <w:sz w:val="24"/>
                <w:szCs w:val="24"/>
              </w:rPr>
              <w:t>日常维护</w:t>
            </w:r>
            <w:r>
              <w:rPr>
                <w:rFonts w:hint="eastAsia"/>
                <w:spacing w:val="-5"/>
                <w:kern w:val="0"/>
                <w:sz w:val="24"/>
                <w:szCs w:val="24"/>
              </w:rPr>
              <w:t>保养</w:t>
            </w:r>
            <w:r>
              <w:rPr>
                <w:rFonts w:hint="eastAsia"/>
                <w:spacing w:val="-5"/>
                <w:kern w:val="0"/>
                <w:sz w:val="24"/>
                <w:szCs w:val="24"/>
                <w:lang w:eastAsia="zh-CN"/>
              </w:rPr>
              <w:t>（</w:t>
            </w:r>
            <w:r>
              <w:rPr>
                <w:rFonts w:hint="eastAsia"/>
                <w:spacing w:val="-5"/>
                <w:kern w:val="0"/>
                <w:sz w:val="24"/>
                <w:szCs w:val="24"/>
                <w:lang w:val="en-US" w:eastAsia="zh-CN"/>
              </w:rPr>
              <w:t>现场</w:t>
            </w:r>
            <w:r>
              <w:rPr>
                <w:rFonts w:hint="eastAsia"/>
                <w:spacing w:val="-5"/>
                <w:kern w:val="0"/>
                <w:sz w:val="24"/>
                <w:szCs w:val="24"/>
                <w:lang w:eastAsia="zh-CN"/>
              </w:rPr>
              <w:t>）</w:t>
            </w:r>
            <w:r>
              <w:rPr>
                <w:rFonts w:hint="eastAsia"/>
                <w:spacing w:val="-5"/>
                <w:kern w:val="0"/>
                <w:sz w:val="24"/>
                <w:szCs w:val="24"/>
              </w:rPr>
              <w:t>；</w:t>
            </w:r>
            <w:r>
              <w:rPr>
                <w:rFonts w:hint="eastAsia"/>
                <w:spacing w:val="-5"/>
                <w:kern w:val="0"/>
                <w:sz w:val="24"/>
                <w:szCs w:val="24"/>
                <w:lang w:val="en-US" w:eastAsia="zh-CN"/>
              </w:rPr>
              <w:t>5</w:t>
            </w:r>
            <w:r>
              <w:rPr>
                <w:rFonts w:hint="eastAsia"/>
                <w:spacing w:val="-5"/>
                <w:kern w:val="0"/>
                <w:sz w:val="24"/>
                <w:szCs w:val="24"/>
              </w:rPr>
              <w:t>.设备常见故障的排查及简单维修等</w:t>
            </w:r>
            <w:r>
              <w:rPr>
                <w:rFonts w:hint="eastAsia"/>
                <w:spacing w:val="-5"/>
                <w:kern w:val="0"/>
                <w:sz w:val="24"/>
                <w:szCs w:val="24"/>
                <w:lang w:eastAsia="zh-CN"/>
              </w:rPr>
              <w:t>（</w:t>
            </w:r>
            <w:r>
              <w:rPr>
                <w:rFonts w:hint="eastAsia"/>
                <w:spacing w:val="-5"/>
                <w:kern w:val="0"/>
                <w:sz w:val="24"/>
                <w:szCs w:val="24"/>
                <w:lang w:val="en-US" w:eastAsia="zh-CN"/>
              </w:rPr>
              <w:t>现场</w:t>
            </w:r>
            <w:r>
              <w:rPr>
                <w:rFonts w:hint="eastAsia"/>
                <w:spacing w:val="-5"/>
                <w:kern w:val="0"/>
                <w:sz w:val="24"/>
                <w:szCs w:val="24"/>
                <w:lang w:eastAsia="zh-CN"/>
              </w:rPr>
              <w:t>）</w:t>
            </w:r>
            <w:r>
              <w:rPr>
                <w:rFonts w:hint="eastAsia"/>
                <w:spacing w:val="-5"/>
                <w:kern w:val="0"/>
                <w:sz w:val="24"/>
                <w:szCs w:val="24"/>
              </w:rPr>
              <w:t>。</w:t>
            </w:r>
          </w:p>
          <w:p w14:paraId="4030CEA5">
            <w:pPr>
              <w:spacing w:line="240" w:lineRule="auto"/>
              <w:jc w:val="left"/>
              <w:rPr>
                <w:rFonts w:hint="eastAsia" w:asciiTheme="minorHAnsi" w:hAnsiTheme="minorHAnsi" w:eastAsiaTheme="minorEastAsia" w:cstheme="minorBidi"/>
                <w:spacing w:val="-1"/>
                <w:kern w:val="0"/>
                <w:sz w:val="24"/>
                <w:szCs w:val="24"/>
                <w:highlight w:val="none"/>
                <w:lang w:val="en-US" w:eastAsia="zh-CN" w:bidi="ar-SA"/>
              </w:rPr>
            </w:pPr>
            <w:r>
              <w:rPr>
                <w:rFonts w:hint="eastAsia"/>
                <w:spacing w:val="-5"/>
                <w:kern w:val="0"/>
                <w:sz w:val="24"/>
                <w:szCs w:val="24"/>
              </w:rPr>
              <w:t>以上每具有一项内</w:t>
            </w:r>
            <w:bookmarkStart w:id="1064" w:name="_GoBack"/>
            <w:bookmarkEnd w:id="1064"/>
            <w:r>
              <w:rPr>
                <w:rFonts w:hint="eastAsia"/>
                <w:spacing w:val="-5"/>
                <w:kern w:val="0"/>
                <w:sz w:val="24"/>
                <w:szCs w:val="24"/>
              </w:rPr>
              <w:t>容且满足项目实际需求得1分，</w:t>
            </w:r>
            <w:r>
              <w:rPr>
                <w:rFonts w:hint="eastAsia"/>
                <w:color w:val="000000"/>
                <w:spacing w:val="-5"/>
                <w:kern w:val="0"/>
                <w:sz w:val="24"/>
                <w:szCs w:val="24"/>
                <w:highlight w:val="none"/>
              </w:rPr>
              <w:t>最</w:t>
            </w:r>
            <w:r>
              <w:rPr>
                <w:rFonts w:hint="eastAsia"/>
                <w:color w:val="000000"/>
                <w:spacing w:val="-6"/>
                <w:kern w:val="0"/>
                <w:sz w:val="24"/>
                <w:szCs w:val="24"/>
                <w:highlight w:val="none"/>
              </w:rPr>
              <w:t>多得</w:t>
            </w:r>
            <w:r>
              <w:rPr>
                <w:rFonts w:hint="eastAsia"/>
                <w:color w:val="000000"/>
                <w:spacing w:val="-6"/>
                <w:kern w:val="0"/>
                <w:sz w:val="24"/>
                <w:szCs w:val="24"/>
                <w:highlight w:val="none"/>
                <w:lang w:val="en-US" w:eastAsia="zh-CN"/>
              </w:rPr>
              <w:t>5</w:t>
            </w:r>
            <w:r>
              <w:rPr>
                <w:rFonts w:hint="eastAsia"/>
                <w:color w:val="000000"/>
                <w:spacing w:val="-1"/>
                <w:kern w:val="0"/>
                <w:sz w:val="24"/>
                <w:szCs w:val="24"/>
                <w:highlight w:val="none"/>
              </w:rPr>
              <w:t>分</w:t>
            </w:r>
            <w:r>
              <w:rPr>
                <w:rFonts w:hint="eastAsia"/>
                <w:spacing w:val="-1"/>
                <w:kern w:val="0"/>
                <w:sz w:val="24"/>
                <w:szCs w:val="24"/>
                <w:highlight w:val="none"/>
              </w:rPr>
              <w:t>，任</w:t>
            </w:r>
            <w:r>
              <w:rPr>
                <w:rFonts w:hint="eastAsia"/>
                <w:spacing w:val="-1"/>
                <w:kern w:val="0"/>
                <w:sz w:val="24"/>
                <w:szCs w:val="24"/>
              </w:rPr>
              <w:t>意一项内容缺失或存在不足扣1分，未提供不得分。（不足是指：前后内容不</w:t>
            </w:r>
            <w:r>
              <w:rPr>
                <w:rFonts w:hint="eastAsia"/>
                <w:kern w:val="0"/>
                <w:sz w:val="24"/>
                <w:szCs w:val="24"/>
              </w:rPr>
              <w:t>一致、存在凭空编造、前后逻辑错误、涉及的规范及标准错误、项目名称或实</w:t>
            </w:r>
            <w:r>
              <w:rPr>
                <w:rFonts w:hint="eastAsia"/>
                <w:spacing w:val="-1"/>
                <w:kern w:val="0"/>
                <w:sz w:val="24"/>
                <w:szCs w:val="24"/>
              </w:rPr>
              <w:t>施地点</w:t>
            </w:r>
            <w:r>
              <w:rPr>
                <w:rFonts w:hint="eastAsia"/>
                <w:kern w:val="0"/>
                <w:sz w:val="24"/>
                <w:szCs w:val="24"/>
              </w:rPr>
              <w:t>区域错误、培训方案内容简略、培训计划无规划无针对性、培训人员配备不合</w:t>
            </w:r>
            <w:r>
              <w:rPr>
                <w:rFonts w:hint="eastAsia"/>
                <w:spacing w:val="-1"/>
                <w:kern w:val="0"/>
                <w:sz w:val="24"/>
                <w:szCs w:val="24"/>
              </w:rPr>
              <w:t>理、或</w:t>
            </w:r>
            <w:r>
              <w:rPr>
                <w:rFonts w:hint="eastAsia"/>
                <w:spacing w:val="-2"/>
                <w:kern w:val="0"/>
                <w:sz w:val="24"/>
                <w:szCs w:val="24"/>
              </w:rPr>
              <w:t>与本项目无关等任意一种情形）</w:t>
            </w:r>
          </w:p>
        </w:tc>
      </w:tr>
      <w:tr w14:paraId="13B5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000000" w:sz="6" w:space="0"/>
              <w:bottom w:val="single" w:color="auto" w:sz="4" w:space="0"/>
              <w:right w:val="single" w:color="000000" w:sz="6" w:space="0"/>
            </w:tcBorders>
            <w:shd w:val="clear" w:color="auto" w:fill="auto"/>
            <w:tcMar>
              <w:left w:w="105" w:type="dxa"/>
              <w:right w:w="105" w:type="dxa"/>
            </w:tcMar>
            <w:vAlign w:val="center"/>
          </w:tcPr>
          <w:p w14:paraId="59E0724C">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D7835D">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售后服务</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69B0B8">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10</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FA7D0C">
            <w:pPr>
              <w:pStyle w:val="43"/>
              <w:spacing w:before="197" w:line="220" w:lineRule="auto"/>
              <w:ind w:left="101"/>
              <w:rPr>
                <w:rFonts w:hint="eastAsia"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根据投标人制定的售后服务进行综合评定，最多</w:t>
            </w:r>
            <w:r>
              <w:rPr>
                <w:rFonts w:hint="eastAsia" w:cs="Times New Roman" w:asciiTheme="minorEastAsia" w:hAnsiTheme="minorEastAsia" w:eastAsiaTheme="minorEastAsia"/>
                <w:spacing w:val="-1"/>
                <w:sz w:val="24"/>
                <w:szCs w:val="24"/>
                <w:lang w:val="en-US" w:eastAsia="zh-CN"/>
              </w:rPr>
              <w:t>8</w:t>
            </w:r>
            <w:r>
              <w:rPr>
                <w:rFonts w:asciiTheme="minorEastAsia" w:hAnsiTheme="minorEastAsia" w:eastAsiaTheme="minorEastAsia"/>
                <w:spacing w:val="-2"/>
                <w:sz w:val="24"/>
                <w:szCs w:val="24"/>
                <w:lang w:eastAsia="zh-CN"/>
              </w:rPr>
              <w:t>分。</w:t>
            </w:r>
          </w:p>
          <w:p w14:paraId="35E77D86">
            <w:pPr>
              <w:pStyle w:val="43"/>
              <w:spacing w:before="25" w:line="235" w:lineRule="auto"/>
              <w:ind w:left="100" w:right="24" w:firstLine="17"/>
              <w:rPr>
                <w:rFonts w:asciiTheme="minorEastAsia" w:hAnsiTheme="minorEastAsia" w:eastAsiaTheme="minorEastAsia"/>
                <w:spacing w:val="-10"/>
                <w:sz w:val="24"/>
                <w:szCs w:val="24"/>
                <w:lang w:eastAsia="zh-CN"/>
              </w:rPr>
            </w:pPr>
            <w:r>
              <w:rPr>
                <w:rFonts w:cs="Times New Roman"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、有完善的售后服务体系，各阶段服务计划详尽完整，内容包括</w:t>
            </w:r>
            <w:r>
              <w:rPr>
                <w:rFonts w:asciiTheme="minorEastAsia" w:hAnsiTheme="minorEastAsia" w:eastAsiaTheme="minorEastAsia"/>
                <w:spacing w:val="-10"/>
                <w:sz w:val="24"/>
                <w:szCs w:val="24"/>
                <w:lang w:eastAsia="zh-CN"/>
              </w:rPr>
              <w:t>：</w:t>
            </w:r>
          </w:p>
          <w:p w14:paraId="303B6EC1">
            <w:pPr>
              <w:pStyle w:val="43"/>
              <w:spacing w:before="25" w:line="235" w:lineRule="auto"/>
              <w:ind w:right="24"/>
              <w:rPr>
                <w:rFonts w:asciiTheme="minorEastAsia" w:hAnsiTheme="minorEastAsia" w:eastAsiaTheme="minorEastAsia"/>
                <w:spacing w:val="-6"/>
                <w:sz w:val="24"/>
                <w:szCs w:val="24"/>
                <w:lang w:eastAsia="zh-CN"/>
              </w:rPr>
            </w:pPr>
            <w:r>
              <w:rPr>
                <w:rFonts w:asciiTheme="minorEastAsia" w:hAnsiTheme="minorEastAsia" w:eastAsiaTheme="minorEastAsia"/>
                <w:spacing w:val="-10"/>
                <w:sz w:val="24"/>
                <w:szCs w:val="24"/>
                <w:lang w:eastAsia="zh-CN"/>
              </w:rPr>
              <w:t>（</w:t>
            </w:r>
            <w:r>
              <w:rPr>
                <w:rFonts w:cs="Times New Roman"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）售后服务流程方案</w:t>
            </w:r>
            <w:r>
              <w:rPr>
                <w:rFonts w:asciiTheme="minorEastAsia" w:hAnsiTheme="minorEastAsia" w:eastAsiaTheme="minorEastAsia"/>
                <w:spacing w:val="-6"/>
                <w:sz w:val="24"/>
                <w:szCs w:val="24"/>
                <w:lang w:eastAsia="zh-CN"/>
              </w:rPr>
              <w:t>；</w:t>
            </w:r>
          </w:p>
          <w:p w14:paraId="3F4CD3E6">
            <w:pPr>
              <w:pStyle w:val="43"/>
              <w:spacing w:before="25" w:line="235" w:lineRule="auto"/>
              <w:ind w:right="24"/>
              <w:rPr>
                <w:rFonts w:cs="Times New Roman"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cs="Times New Roman"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）产品保修服务方案</w:t>
            </w:r>
            <w:r>
              <w:rPr>
                <w:rFonts w:cs="Times New Roman"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免费退换货或返修方案</w:t>
            </w:r>
            <w:r>
              <w:rPr>
                <w:rFonts w:cs="Times New Roman" w:asciiTheme="minorEastAsia" w:hAnsiTheme="minorEastAsia" w:eastAsiaTheme="minorEastAsia"/>
                <w:sz w:val="24"/>
                <w:szCs w:val="24"/>
                <w:lang w:eastAsia="zh-CN"/>
              </w:rPr>
              <w:t>);</w:t>
            </w:r>
          </w:p>
          <w:p w14:paraId="42ECE4BF">
            <w:pPr>
              <w:pStyle w:val="43"/>
              <w:spacing w:before="25" w:line="235" w:lineRule="auto"/>
              <w:ind w:right="24"/>
              <w:rPr>
                <w:rFonts w:asciiTheme="minorEastAsia" w:hAnsiTheme="minorEastAsia" w:eastAsiaTheme="minorEastAsia"/>
                <w:spacing w:val="-6"/>
                <w:sz w:val="24"/>
                <w:szCs w:val="24"/>
                <w:lang w:eastAsia="zh-CN"/>
              </w:rPr>
            </w:pPr>
            <w:r>
              <w:rPr>
                <w:rFonts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）设备维护方案</w:t>
            </w:r>
            <w:r>
              <w:rPr>
                <w:rFonts w:asciiTheme="minorEastAsia" w:hAnsiTheme="minorEastAsia" w:eastAsiaTheme="minorEastAsia"/>
                <w:spacing w:val="-6"/>
                <w:sz w:val="24"/>
                <w:szCs w:val="24"/>
                <w:lang w:eastAsia="zh-CN"/>
              </w:rPr>
              <w:t>；</w:t>
            </w:r>
          </w:p>
          <w:p w14:paraId="4ED5B6ED">
            <w:pPr>
              <w:pStyle w:val="43"/>
              <w:spacing w:before="25" w:line="235" w:lineRule="auto"/>
              <w:ind w:right="24"/>
              <w:rPr>
                <w:rFonts w:asciiTheme="minorEastAsia" w:hAnsiTheme="minorEastAsia" w:eastAsiaTheme="minorEastAsia"/>
                <w:spacing w:val="-55"/>
                <w:w w:val="98"/>
                <w:sz w:val="24"/>
                <w:szCs w:val="24"/>
                <w:lang w:eastAsia="zh-CN"/>
              </w:rPr>
            </w:pPr>
            <w:r>
              <w:rPr>
                <w:rFonts w:asciiTheme="minorEastAsia" w:hAnsiTheme="minorEastAsia" w:eastAsiaTheme="minorEastAsia"/>
                <w:spacing w:val="-6"/>
                <w:sz w:val="24"/>
                <w:szCs w:val="24"/>
                <w:lang w:eastAsia="zh-CN"/>
              </w:rPr>
              <w:t>（</w:t>
            </w:r>
            <w:r>
              <w:rPr>
                <w:rFonts w:cs="Times New Roman"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）售后人员配置方案</w:t>
            </w:r>
            <w:r>
              <w:rPr>
                <w:rFonts w:asciiTheme="minorEastAsia" w:hAnsiTheme="minorEastAsia" w:eastAsiaTheme="minorEastAsia"/>
                <w:spacing w:val="-55"/>
                <w:w w:val="98"/>
                <w:sz w:val="24"/>
                <w:szCs w:val="24"/>
                <w:lang w:eastAsia="zh-CN"/>
              </w:rPr>
              <w:t>；</w:t>
            </w:r>
          </w:p>
          <w:p w14:paraId="08CF4E17">
            <w:pPr>
              <w:pStyle w:val="43"/>
              <w:spacing w:before="25" w:line="235" w:lineRule="auto"/>
              <w:ind w:right="24"/>
              <w:rPr>
                <w:rFonts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hint="eastAsia" w:cs="Times New Roman"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）应急预案。</w:t>
            </w:r>
          </w:p>
          <w:p w14:paraId="24E3D8BC">
            <w:pPr>
              <w:pStyle w:val="43"/>
              <w:spacing w:before="25" w:line="235" w:lineRule="auto"/>
              <w:ind w:right="24" w:firstLine="240" w:firstLineChars="1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以上内容齐全、描述详细、与本项目需求及实际情况吻合得</w:t>
            </w:r>
            <w:r>
              <w:rPr>
                <w:rFonts w:hint="eastAsia" w:cs="Times New Roman"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分，任意一项内容缺失或存在不足（不足</w:t>
            </w:r>
            <w:r>
              <w:rPr>
                <w:rFonts w:asciiTheme="minorEastAsia" w:hAnsiTheme="minorEastAsia" w:eastAsiaTheme="minorEastAsia"/>
                <w:spacing w:val="-1"/>
                <w:sz w:val="24"/>
                <w:szCs w:val="24"/>
                <w:lang w:eastAsia="zh-CN"/>
              </w:rPr>
              <w:t>是指：逻辑不严谨、内容不完</w:t>
            </w:r>
            <w:r>
              <w:rPr>
                <w:rFonts w:asciiTheme="minorEastAsia" w:hAnsiTheme="minorEastAsia" w:eastAsiaTheme="minorEastAsia"/>
                <w:spacing w:val="-2"/>
                <w:sz w:val="24"/>
                <w:szCs w:val="24"/>
                <w:lang w:eastAsia="zh-CN"/>
              </w:rPr>
              <w:t>整、表述不清晰、实操性不强或不符合项目实际情况）扣</w:t>
            </w:r>
            <w:r>
              <w:rPr>
                <w:rFonts w:hint="eastAsia" w:cs="Times New Roman" w:asciiTheme="minorEastAsia" w:hAnsiTheme="minorEastAsia" w:eastAsiaTheme="minorEastAsia"/>
                <w:spacing w:val="-2"/>
                <w:sz w:val="24"/>
                <w:szCs w:val="24"/>
                <w:lang w:val="en-US" w:eastAsia="zh-CN"/>
              </w:rPr>
              <w:t>1</w:t>
            </w:r>
            <w:r>
              <w:rPr>
                <w:rFonts w:asciiTheme="minorEastAsia" w:hAnsiTheme="minorEastAsia" w:eastAsiaTheme="minorEastAsia"/>
                <w:spacing w:val="-2"/>
                <w:sz w:val="24"/>
                <w:szCs w:val="24"/>
                <w:lang w:eastAsia="zh-CN"/>
              </w:rPr>
              <w:t>分，扣完为止。</w:t>
            </w:r>
          </w:p>
          <w:p w14:paraId="226785C7">
            <w:pPr>
              <w:pStyle w:val="43"/>
              <w:spacing w:before="23" w:line="230" w:lineRule="auto"/>
              <w:ind w:right="47"/>
              <w:rPr>
                <w:rFonts w:hint="eastAsia"/>
                <w:spacing w:val="-2"/>
                <w:kern w:val="0"/>
                <w:sz w:val="24"/>
                <w:szCs w:val="24"/>
              </w:rPr>
            </w:pPr>
            <w:r>
              <w:rPr>
                <w:rFonts w:hint="eastAsia"/>
                <w:spacing w:val="1"/>
                <w:kern w:val="0"/>
                <w:sz w:val="24"/>
                <w:szCs w:val="24"/>
                <w:lang w:val="en-US" w:eastAsia="zh-CN"/>
              </w:rPr>
              <w:t>2</w:t>
            </w:r>
            <w:r>
              <w:rPr>
                <w:rFonts w:hint="eastAsia"/>
                <w:spacing w:val="1"/>
                <w:kern w:val="0"/>
                <w:sz w:val="24"/>
                <w:szCs w:val="24"/>
              </w:rPr>
              <w:t>、售后服务响应时间的承诺：提供响应售后服务时间承诺,货物使用过程中出现问题</w:t>
            </w:r>
            <w:r>
              <w:rPr>
                <w:rFonts w:hint="eastAsia"/>
                <w:spacing w:val="-5"/>
                <w:kern w:val="0"/>
                <w:sz w:val="24"/>
                <w:szCs w:val="24"/>
              </w:rPr>
              <w:t>能在2小时内响应，4小时内解决问题得2分；在4小时内响应，8小时内解决问题得</w:t>
            </w:r>
            <w:r>
              <w:rPr>
                <w:rFonts w:hint="eastAsia"/>
                <w:spacing w:val="-1"/>
                <w:kern w:val="0"/>
                <w:sz w:val="24"/>
                <w:szCs w:val="24"/>
                <w:highlight w:val="none"/>
              </w:rPr>
              <w:t>1分</w:t>
            </w:r>
            <w:r>
              <w:rPr>
                <w:rFonts w:hint="eastAsia"/>
                <w:spacing w:val="-1"/>
                <w:kern w:val="0"/>
                <w:sz w:val="24"/>
                <w:szCs w:val="24"/>
              </w:rPr>
              <w:t>；其它响应时间或未提供售后服务响应时间的不得分。(必须提供</w:t>
            </w:r>
            <w:r>
              <w:rPr>
                <w:rFonts w:hint="eastAsia"/>
                <w:spacing w:val="-2"/>
                <w:kern w:val="0"/>
                <w:sz w:val="24"/>
                <w:szCs w:val="24"/>
              </w:rPr>
              <w:t>相关的承诺函)。</w:t>
            </w:r>
          </w:p>
          <w:p w14:paraId="38A6D8E9">
            <w:pPr>
              <w:spacing w:line="240" w:lineRule="auto"/>
              <w:jc w:val="left"/>
              <w:rPr>
                <w:rFonts w:hint="eastAsia"/>
                <w:spacing w:val="-5"/>
                <w:kern w:val="0"/>
                <w:sz w:val="24"/>
                <w:szCs w:val="24"/>
              </w:rPr>
            </w:pPr>
            <w:r>
              <w:rPr>
                <w:rFonts w:hint="eastAsia"/>
                <w:spacing w:val="-2"/>
                <w:kern w:val="0"/>
                <w:sz w:val="24"/>
                <w:szCs w:val="24"/>
                <w:lang w:val="en-US" w:eastAsia="zh-CN"/>
              </w:rPr>
              <w:t>3</w:t>
            </w:r>
            <w:r>
              <w:rPr>
                <w:rFonts w:hint="eastAsia"/>
                <w:spacing w:val="-2"/>
                <w:kern w:val="0"/>
                <w:sz w:val="24"/>
                <w:szCs w:val="24"/>
              </w:rPr>
              <w:t>、提供投标人的交付和售后服务能力的承诺： ①能够提供所投产</w:t>
            </w:r>
            <w:r>
              <w:rPr>
                <w:rFonts w:hint="eastAsia"/>
                <w:spacing w:val="-3"/>
                <w:kern w:val="0"/>
                <w:sz w:val="24"/>
                <w:szCs w:val="24"/>
              </w:rPr>
              <w:t>品3年质保，</w:t>
            </w:r>
            <w:r>
              <w:rPr>
                <w:rFonts w:hint="eastAsia"/>
                <w:spacing w:val="-5"/>
                <w:kern w:val="0"/>
                <w:sz w:val="24"/>
                <w:szCs w:val="24"/>
              </w:rPr>
              <w:t>3年免费上门服务得</w:t>
            </w:r>
            <w:r>
              <w:rPr>
                <w:rFonts w:hint="eastAsia"/>
                <w:spacing w:val="-5"/>
                <w:kern w:val="0"/>
                <w:sz w:val="24"/>
                <w:szCs w:val="24"/>
                <w:highlight w:val="none"/>
              </w:rPr>
              <w:t>1分；②供应商在第①条基础上，每多提供</w:t>
            </w:r>
            <w:r>
              <w:rPr>
                <w:rFonts w:hint="eastAsia"/>
                <w:spacing w:val="-6"/>
                <w:kern w:val="0"/>
                <w:sz w:val="24"/>
                <w:szCs w:val="24"/>
                <w:highlight w:val="none"/>
              </w:rPr>
              <w:t>一年质保服务的，加1</w:t>
            </w:r>
            <w:r>
              <w:rPr>
                <w:rFonts w:hint="eastAsia"/>
                <w:spacing w:val="-4"/>
                <w:kern w:val="0"/>
                <w:sz w:val="24"/>
                <w:szCs w:val="24"/>
                <w:highlight w:val="none"/>
              </w:rPr>
              <w:t>分，最多得</w:t>
            </w:r>
            <w:r>
              <w:rPr>
                <w:rFonts w:hint="eastAsia"/>
                <w:b w:val="0"/>
                <w:bCs w:val="0"/>
                <w:color w:val="000000"/>
                <w:spacing w:val="-4"/>
                <w:kern w:val="0"/>
                <w:sz w:val="24"/>
                <w:szCs w:val="24"/>
                <w:highlight w:val="none"/>
              </w:rPr>
              <w:t>3分</w:t>
            </w:r>
            <w:r>
              <w:rPr>
                <w:rFonts w:hint="eastAsia"/>
                <w:spacing w:val="-4"/>
                <w:kern w:val="0"/>
                <w:sz w:val="24"/>
                <w:szCs w:val="24"/>
                <w:highlight w:val="none"/>
              </w:rPr>
              <w:t>。</w:t>
            </w:r>
            <w:r>
              <w:rPr>
                <w:rFonts w:hint="eastAsia"/>
                <w:spacing w:val="-1"/>
                <w:kern w:val="0"/>
                <w:sz w:val="24"/>
                <w:szCs w:val="24"/>
                <w:highlight w:val="none"/>
              </w:rPr>
              <w:t>(必</w:t>
            </w:r>
            <w:r>
              <w:rPr>
                <w:rFonts w:hint="eastAsia"/>
                <w:spacing w:val="-1"/>
                <w:kern w:val="0"/>
                <w:sz w:val="24"/>
                <w:szCs w:val="24"/>
              </w:rPr>
              <w:t>须提供</w:t>
            </w:r>
            <w:r>
              <w:rPr>
                <w:rFonts w:hint="eastAsia"/>
                <w:spacing w:val="-2"/>
                <w:kern w:val="0"/>
                <w:sz w:val="24"/>
                <w:szCs w:val="24"/>
              </w:rPr>
              <w:t>相关的承诺函)。</w:t>
            </w:r>
          </w:p>
        </w:tc>
      </w:tr>
      <w:tr w14:paraId="6A4D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8" w:hRule="atLeast"/>
        </w:trPr>
        <w:tc>
          <w:tcPr>
            <w:tcW w:w="949"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4F5FE1CE">
            <w:pPr>
              <w:spacing w:line="240" w:lineRule="auto"/>
              <w:jc w:val="center"/>
              <w:rPr>
                <w:rFonts w:hint="eastAsia"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商务</w:t>
            </w:r>
          </w:p>
          <w:p w14:paraId="11132438">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部分</w:t>
            </w: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5A2DF6">
            <w:pPr>
              <w:spacing w:line="240" w:lineRule="auto"/>
              <w:jc w:val="center"/>
              <w:rPr>
                <w:rFonts w:hint="default" w:ascii="宋体" w:hAnsi="宋体" w:eastAsia="宋体" w:cs="宋体"/>
                <w:b w:val="0"/>
                <w:bCs/>
                <w:color w:val="auto"/>
                <w:kern w:val="2"/>
                <w:sz w:val="28"/>
                <w:szCs w:val="28"/>
                <w:lang w:val="en-US" w:eastAsia="zh-CN"/>
              </w:rPr>
            </w:pPr>
            <w:r>
              <w:rPr>
                <w:rFonts w:hint="eastAsia" w:ascii="宋体" w:hAnsi="宋体" w:eastAsia="宋体" w:cs="宋体"/>
                <w:b w:val="0"/>
                <w:bCs/>
                <w:color w:val="auto"/>
                <w:kern w:val="2"/>
                <w:sz w:val="28"/>
                <w:szCs w:val="28"/>
                <w:lang w:val="en-US" w:eastAsia="zh-CN"/>
              </w:rPr>
              <w:t>履约能力</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26338C">
            <w:pPr>
              <w:spacing w:line="240" w:lineRule="auto"/>
              <w:jc w:val="center"/>
              <w:rPr>
                <w:rFonts w:hint="default" w:ascii="宋体" w:hAnsi="宋体" w:eastAsia="宋体" w:cs="宋体"/>
                <w:b w:val="0"/>
                <w:bCs/>
                <w:color w:val="auto"/>
                <w:kern w:val="2"/>
                <w:sz w:val="28"/>
                <w:szCs w:val="28"/>
                <w:lang w:val="en-US" w:eastAsia="zh-CN"/>
              </w:rPr>
            </w:pPr>
            <w:r>
              <w:rPr>
                <w:rFonts w:hint="eastAsia" w:ascii="宋体" w:hAnsi="宋体" w:eastAsia="宋体" w:cs="宋体"/>
                <w:b w:val="0"/>
                <w:bCs/>
                <w:color w:val="auto"/>
                <w:kern w:val="2"/>
                <w:sz w:val="28"/>
                <w:szCs w:val="28"/>
                <w:lang w:val="en-US" w:eastAsia="zh-CN"/>
              </w:rPr>
              <w:t>4</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B2E336">
            <w:pPr>
              <w:spacing w:line="240" w:lineRule="auto"/>
              <w:jc w:val="left"/>
              <w:rPr>
                <w:rFonts w:hint="eastAsia"/>
                <w:color w:val="auto"/>
                <w:spacing w:val="-2"/>
                <w:kern w:val="0"/>
                <w:sz w:val="24"/>
                <w:szCs w:val="24"/>
                <w:lang w:val="en-US" w:eastAsia="zh-CN"/>
              </w:rPr>
            </w:pPr>
            <w:r>
              <w:rPr>
                <w:rFonts w:hint="eastAsia"/>
                <w:color w:val="auto"/>
                <w:spacing w:val="-2"/>
                <w:kern w:val="0"/>
                <w:sz w:val="24"/>
                <w:szCs w:val="24"/>
                <w:lang w:val="en-US" w:eastAsia="zh-CN"/>
              </w:rPr>
              <w:t>1、投标人所投绘画触摸教育显示终端符合IECQ-QC080000:2017有害物质过程管理体系认证证书得2分，未提供不得分。（必须提供有效期内证书复印件并加盖单位公章）。</w:t>
            </w:r>
          </w:p>
          <w:p w14:paraId="7EF65CC2">
            <w:pPr>
              <w:spacing w:line="240" w:lineRule="auto"/>
              <w:jc w:val="left"/>
              <w:rPr>
                <w:rFonts w:hint="default"/>
                <w:color w:val="auto"/>
                <w:spacing w:val="-2"/>
                <w:kern w:val="0"/>
                <w:sz w:val="24"/>
                <w:szCs w:val="24"/>
                <w:lang w:val="en-US" w:eastAsia="zh-CN"/>
              </w:rPr>
            </w:pPr>
            <w:r>
              <w:rPr>
                <w:rFonts w:hint="eastAsia"/>
                <w:color w:val="auto"/>
                <w:spacing w:val="-2"/>
                <w:kern w:val="0"/>
                <w:sz w:val="24"/>
                <w:szCs w:val="24"/>
                <w:lang w:val="en-US" w:eastAsia="zh-CN"/>
              </w:rPr>
              <w:t>2、投标人所投小学科学探究实验室实验桌椅通过中国环境标志产品认证证证书得2分，未提供不得分。（必须提供有效期内证书复印件并加盖单位公章）。</w:t>
            </w:r>
          </w:p>
        </w:tc>
      </w:tr>
      <w:tr w14:paraId="40C7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2ED15634">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69CD5C">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投标人业绩</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8752D2">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6</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CD96F8">
            <w:pPr>
              <w:pStyle w:val="43"/>
              <w:spacing w:before="36" w:line="233" w:lineRule="auto"/>
              <w:ind w:left="101" w:right="97"/>
              <w:jc w:val="both"/>
              <w:rPr>
                <w:rFonts w:hint="eastAsia" w:asciiTheme="minorEastAsia" w:hAnsiTheme="minorEastAsia" w:eastAsiaTheme="minorEastAsia"/>
                <w:spacing w:val="-2"/>
                <w:sz w:val="24"/>
                <w:szCs w:val="24"/>
                <w:lang w:eastAsia="zh-CN"/>
              </w:rPr>
            </w:pPr>
            <w:r>
              <w:rPr>
                <w:rFonts w:asciiTheme="minorEastAsia" w:hAnsiTheme="minorEastAsia" w:eastAsiaTheme="minorEastAsia"/>
                <w:spacing w:val="-2"/>
                <w:sz w:val="24"/>
                <w:szCs w:val="24"/>
                <w:lang w:eastAsia="zh-CN"/>
              </w:rPr>
              <w:t>提供202</w:t>
            </w:r>
            <w:r>
              <w:rPr>
                <w:rFonts w:hint="eastAsia" w:asciiTheme="minorEastAsia" w:hAnsiTheme="minorEastAsia" w:eastAsiaTheme="minorEastAsia"/>
                <w:spacing w:val="-2"/>
                <w:sz w:val="24"/>
                <w:szCs w:val="24"/>
                <w:lang w:val="en-US" w:eastAsia="zh-CN"/>
              </w:rPr>
              <w:t>3</w:t>
            </w:r>
            <w:r>
              <w:rPr>
                <w:rFonts w:asciiTheme="minorEastAsia" w:hAnsiTheme="minorEastAsia" w:eastAsiaTheme="minorEastAsia"/>
                <w:spacing w:val="-2"/>
                <w:sz w:val="24"/>
                <w:szCs w:val="24"/>
                <w:lang w:eastAsia="zh-CN"/>
              </w:rPr>
              <w:t>年</w:t>
            </w:r>
            <w:r>
              <w:rPr>
                <w:rFonts w:hint="eastAsia" w:asciiTheme="minorEastAsia" w:hAnsiTheme="minorEastAsia" w:eastAsiaTheme="minorEastAsia"/>
                <w:spacing w:val="-2"/>
                <w:sz w:val="24"/>
                <w:szCs w:val="24"/>
                <w:lang w:val="en-US" w:eastAsia="zh-CN"/>
              </w:rPr>
              <w:t>4</w:t>
            </w:r>
            <w:r>
              <w:rPr>
                <w:rFonts w:asciiTheme="minorEastAsia" w:hAnsiTheme="minorEastAsia" w:eastAsiaTheme="minorEastAsia"/>
                <w:spacing w:val="-2"/>
                <w:sz w:val="24"/>
                <w:szCs w:val="24"/>
                <w:lang w:eastAsia="zh-CN"/>
              </w:rPr>
              <w:t>月以来类似业绩，每提供一个得2分，总计</w:t>
            </w:r>
            <w:r>
              <w:rPr>
                <w:rFonts w:hint="eastAsia" w:asciiTheme="minorEastAsia" w:hAnsiTheme="minorEastAsia" w:eastAsiaTheme="minorEastAsia"/>
                <w:spacing w:val="-2"/>
                <w:sz w:val="24"/>
                <w:szCs w:val="24"/>
                <w:lang w:val="en-US" w:eastAsia="zh-CN"/>
              </w:rPr>
              <w:t>6</w:t>
            </w:r>
            <w:r>
              <w:rPr>
                <w:rFonts w:asciiTheme="minorEastAsia" w:hAnsiTheme="minorEastAsia" w:eastAsiaTheme="minorEastAsia"/>
                <w:spacing w:val="-2"/>
                <w:sz w:val="24"/>
                <w:szCs w:val="24"/>
                <w:lang w:eastAsia="zh-CN"/>
              </w:rPr>
              <w:t>分。</w:t>
            </w:r>
          </w:p>
          <w:p w14:paraId="0DB6AC8A">
            <w:pPr>
              <w:pStyle w:val="43"/>
              <w:spacing w:before="36" w:line="233" w:lineRule="auto"/>
              <w:ind w:left="101" w:right="97"/>
              <w:jc w:val="both"/>
              <w:rPr>
                <w:rFonts w:hint="eastAsia"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注：</w:t>
            </w:r>
            <w:r>
              <w:rPr>
                <w:rFonts w:cs="Times New Roman" w:asciiTheme="minorEastAsia" w:hAnsiTheme="minorEastAsia" w:eastAsiaTheme="minorEastAsia"/>
                <w:spacing w:val="-2"/>
                <w:sz w:val="24"/>
                <w:szCs w:val="24"/>
                <w:lang w:eastAsia="zh-CN"/>
              </w:rPr>
              <w:t>1.</w:t>
            </w:r>
            <w:r>
              <w:rPr>
                <w:rFonts w:asciiTheme="minorEastAsia" w:hAnsiTheme="minorEastAsia" w:eastAsiaTheme="minorEastAsia"/>
                <w:spacing w:val="-2"/>
                <w:sz w:val="24"/>
                <w:szCs w:val="24"/>
                <w:lang w:eastAsia="zh-CN"/>
              </w:rPr>
              <w:t>须提供</w:t>
            </w:r>
            <w:r>
              <w:rPr>
                <w:rFonts w:hint="eastAsia" w:asciiTheme="minorEastAsia" w:hAnsiTheme="minorEastAsia" w:eastAsiaTheme="minorEastAsia"/>
                <w:spacing w:val="-2"/>
                <w:sz w:val="24"/>
                <w:szCs w:val="24"/>
                <w:lang w:val="en-US" w:eastAsia="zh-CN"/>
              </w:rPr>
              <w:t>成交项目</w:t>
            </w:r>
            <w:r>
              <w:rPr>
                <w:rFonts w:asciiTheme="minorEastAsia" w:hAnsiTheme="minorEastAsia" w:eastAsiaTheme="minorEastAsia"/>
                <w:spacing w:val="-2"/>
                <w:sz w:val="24"/>
                <w:szCs w:val="24"/>
                <w:lang w:eastAsia="zh-CN"/>
              </w:rPr>
              <w:t>中标</w:t>
            </w:r>
            <w:r>
              <w:rPr>
                <w:rFonts w:asciiTheme="minorEastAsia" w:hAnsiTheme="minorEastAsia" w:eastAsiaTheme="minorEastAsia"/>
                <w:sz w:val="24"/>
                <w:szCs w:val="24"/>
                <w:lang w:eastAsia="zh-CN"/>
              </w:rPr>
              <w:t>通知书（成交通知书）</w:t>
            </w:r>
            <w:r>
              <w:rPr>
                <w:rFonts w:hint="eastAsia" w:asciiTheme="minorEastAsia" w:hAnsiTheme="minorEastAsia" w:eastAsiaTheme="minorEastAsia"/>
                <w:sz w:val="24"/>
                <w:szCs w:val="24"/>
                <w:lang w:eastAsia="zh-CN"/>
              </w:rPr>
              <w:t>或</w:t>
            </w:r>
            <w:r>
              <w:rPr>
                <w:rFonts w:hint="eastAsia" w:asciiTheme="minorEastAsia" w:hAnsiTheme="minorEastAsia" w:eastAsiaTheme="minorEastAsia"/>
                <w:sz w:val="24"/>
                <w:szCs w:val="24"/>
                <w:lang w:val="en-US" w:eastAsia="zh-CN"/>
              </w:rPr>
              <w:t>项目</w:t>
            </w:r>
            <w:r>
              <w:rPr>
                <w:rFonts w:asciiTheme="minorEastAsia" w:hAnsiTheme="minorEastAsia" w:eastAsiaTheme="minorEastAsia"/>
                <w:sz w:val="24"/>
                <w:szCs w:val="24"/>
                <w:lang w:eastAsia="zh-CN"/>
              </w:rPr>
              <w:t>合同</w:t>
            </w:r>
            <w:r>
              <w:rPr>
                <w:rFonts w:hint="eastAsia" w:asciiTheme="minorEastAsia" w:hAnsiTheme="minorEastAsia" w:eastAsiaTheme="minorEastAsia"/>
                <w:sz w:val="24"/>
                <w:szCs w:val="24"/>
                <w:lang w:eastAsia="zh-CN"/>
              </w:rPr>
              <w:t>的</w:t>
            </w:r>
            <w:r>
              <w:rPr>
                <w:rFonts w:asciiTheme="minorEastAsia" w:hAnsiTheme="minorEastAsia" w:eastAsiaTheme="minorEastAsia"/>
                <w:sz w:val="24"/>
                <w:szCs w:val="24"/>
                <w:lang w:eastAsia="zh-CN"/>
              </w:rPr>
              <w:t>扫描件</w:t>
            </w:r>
            <w:r>
              <w:rPr>
                <w:rFonts w:hint="eastAsia" w:asciiTheme="minorEastAsia" w:hAnsiTheme="minorEastAsia" w:eastAsiaTheme="minorEastAsia"/>
                <w:sz w:val="24"/>
                <w:szCs w:val="24"/>
                <w:lang w:val="en-US" w:eastAsia="zh-CN"/>
              </w:rPr>
              <w:t>以及项目发票</w:t>
            </w:r>
            <w:r>
              <w:rPr>
                <w:rFonts w:asciiTheme="minorEastAsia" w:hAnsiTheme="minorEastAsia" w:eastAsiaTheme="minorEastAsia"/>
                <w:sz w:val="24"/>
                <w:szCs w:val="24"/>
                <w:lang w:eastAsia="zh-CN"/>
              </w:rPr>
              <w:t>作为证明材料，未提供相关证明</w:t>
            </w:r>
            <w:r>
              <w:rPr>
                <w:rFonts w:asciiTheme="minorEastAsia" w:hAnsiTheme="minorEastAsia" w:eastAsiaTheme="minorEastAsia"/>
                <w:spacing w:val="-1"/>
                <w:sz w:val="24"/>
                <w:szCs w:val="24"/>
                <w:lang w:eastAsia="zh-CN"/>
              </w:rPr>
              <w:t>材料或</w:t>
            </w:r>
            <w:r>
              <w:rPr>
                <w:rFonts w:asciiTheme="minorEastAsia" w:hAnsiTheme="minorEastAsia" w:eastAsiaTheme="minorEastAsia"/>
                <w:spacing w:val="-2"/>
                <w:sz w:val="24"/>
                <w:szCs w:val="24"/>
                <w:lang w:eastAsia="zh-CN"/>
              </w:rPr>
              <w:t>提供证明材料不全者</w:t>
            </w:r>
            <w:r>
              <w:rPr>
                <w:rFonts w:hint="eastAsia" w:asciiTheme="minorEastAsia" w:hAnsiTheme="minorEastAsia" w:eastAsiaTheme="minorEastAsia"/>
                <w:spacing w:val="-2"/>
                <w:sz w:val="24"/>
                <w:szCs w:val="24"/>
                <w:lang w:eastAsia="zh-CN"/>
              </w:rPr>
              <w:t>不得</w:t>
            </w:r>
            <w:r>
              <w:rPr>
                <w:rFonts w:asciiTheme="minorEastAsia" w:hAnsiTheme="minorEastAsia" w:eastAsiaTheme="minorEastAsia"/>
                <w:spacing w:val="-2"/>
                <w:sz w:val="24"/>
                <w:szCs w:val="24"/>
                <w:lang w:eastAsia="zh-CN"/>
              </w:rPr>
              <w:t>分。</w:t>
            </w:r>
          </w:p>
          <w:p w14:paraId="7AB0B2B8">
            <w:pPr>
              <w:spacing w:line="240" w:lineRule="auto"/>
              <w:jc w:val="left"/>
              <w:rPr>
                <w:rFonts w:hint="eastAsia"/>
                <w:spacing w:val="-2"/>
                <w:kern w:val="0"/>
                <w:sz w:val="24"/>
                <w:szCs w:val="24"/>
                <w:lang w:val="en-US" w:eastAsia="zh-CN"/>
              </w:rPr>
            </w:pPr>
            <w:r>
              <w:rPr>
                <w:rFonts w:cs="Times New Roman" w:asciiTheme="minorEastAsia" w:hAnsiTheme="minorEastAsia" w:eastAsiaTheme="minorEastAsia"/>
                <w:spacing w:val="-2"/>
                <w:sz w:val="24"/>
                <w:szCs w:val="24"/>
                <w:lang w:eastAsia="zh-CN"/>
              </w:rPr>
              <w:t>2.</w:t>
            </w:r>
            <w:r>
              <w:rPr>
                <w:rFonts w:asciiTheme="minorEastAsia" w:hAnsiTheme="minorEastAsia" w:eastAsiaTheme="minorEastAsia"/>
                <w:spacing w:val="-2"/>
                <w:sz w:val="24"/>
                <w:szCs w:val="24"/>
                <w:lang w:eastAsia="zh-CN"/>
              </w:rPr>
              <w:t>投标人提供虚假</w:t>
            </w:r>
            <w:r>
              <w:rPr>
                <w:rFonts w:hint="eastAsia" w:asciiTheme="minorEastAsia" w:hAnsiTheme="minorEastAsia"/>
                <w:spacing w:val="-2"/>
                <w:sz w:val="24"/>
                <w:szCs w:val="24"/>
                <w:lang w:val="en-US" w:eastAsia="zh-CN"/>
              </w:rPr>
              <w:t>材料</w:t>
            </w:r>
            <w:r>
              <w:rPr>
                <w:rFonts w:asciiTheme="minorEastAsia" w:hAnsiTheme="minorEastAsia" w:eastAsiaTheme="minorEastAsia"/>
                <w:spacing w:val="-2"/>
                <w:sz w:val="24"/>
                <w:szCs w:val="24"/>
                <w:lang w:eastAsia="zh-CN"/>
              </w:rPr>
              <w:t>的，按虚假投标处理。</w:t>
            </w:r>
          </w:p>
        </w:tc>
      </w:tr>
    </w:tbl>
    <w:p w14:paraId="7D3F2B39">
      <w:pPr>
        <w:pStyle w:val="9"/>
        <w:rPr>
          <w:rFonts w:hint="eastAsia" w:ascii="微软雅黑" w:hAnsi="微软雅黑" w:eastAsia="微软雅黑" w:cs="微软雅黑"/>
          <w:b/>
          <w:color w:val="auto"/>
          <w:sz w:val="52"/>
          <w:szCs w:val="52"/>
          <w:highlight w:val="none"/>
          <w:lang w:val="en-US" w:eastAsia="zh-CN"/>
        </w:rPr>
      </w:pPr>
    </w:p>
    <w:p w14:paraId="57CD27E9">
      <w:pPr>
        <w:pStyle w:val="9"/>
        <w:rPr>
          <w:rFonts w:hint="eastAsia" w:ascii="微软雅黑" w:hAnsi="微软雅黑" w:eastAsia="微软雅黑" w:cs="微软雅黑"/>
          <w:b/>
          <w:color w:val="auto"/>
          <w:sz w:val="52"/>
          <w:szCs w:val="52"/>
          <w:highlight w:val="none"/>
          <w:lang w:val="en-US" w:eastAsia="zh-CN"/>
        </w:rPr>
      </w:pPr>
    </w:p>
    <w:p w14:paraId="318BFF33">
      <w:pPr>
        <w:spacing w:line="400" w:lineRule="atLeast"/>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麦盖提县中小学功能室仪器及学生食堂设备购置项目（一标段）</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KSMGTX(GK)2025-05号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6"/>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4"/>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p>
    <w:p w14:paraId="3E4B4AEB">
      <w:pPr>
        <w:pStyle w:val="2"/>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5" w:name="_Toc3601"/>
      <w:bookmarkStart w:id="446" w:name="_Toc10930"/>
      <w:bookmarkStart w:id="447" w:name="_Toc27580"/>
      <w:bookmarkStart w:id="448" w:name="_Toc518923128"/>
      <w:bookmarkStart w:id="449" w:name="_Toc23018"/>
    </w:p>
    <w:p w14:paraId="731011C4">
      <w:pPr>
        <w:pStyle w:val="2"/>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3"/>
      <w:bookmarkEnd w:id="445"/>
      <w:bookmarkEnd w:id="446"/>
      <w:bookmarkEnd w:id="447"/>
      <w:bookmarkEnd w:id="448"/>
      <w:bookmarkEnd w:id="449"/>
      <w:bookmarkStart w:id="450" w:name="_Hlt487972895"/>
      <w:bookmarkEnd w:id="450"/>
      <w:bookmarkStart w:id="451" w:name="_Toc487900382"/>
      <w:bookmarkStart w:id="452" w:name="_Toc216513788"/>
    </w:p>
    <w:bookmarkEnd w:id="451"/>
    <w:bookmarkEnd w:id="452"/>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5"/>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41"/>
        <w:spacing w:before="120" w:line="360" w:lineRule="exact"/>
        <w:rPr>
          <w:rFonts w:hint="eastAsia" w:ascii="宋体" w:hAnsi="宋体" w:eastAsia="宋体" w:cs="宋体"/>
          <w:color w:val="auto"/>
          <w:szCs w:val="24"/>
        </w:rPr>
      </w:pPr>
    </w:p>
    <w:p w14:paraId="60712604">
      <w:pPr>
        <w:pStyle w:val="41"/>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B278B8B">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3" w:name="_Toc1846"/>
      <w:bookmarkStart w:id="454" w:name="_Toc26721"/>
      <w:bookmarkStart w:id="455" w:name="_Toc3029"/>
      <w:bookmarkStart w:id="456" w:name="_Toc2659"/>
      <w:bookmarkStart w:id="457" w:name="_Toc24059"/>
      <w:bookmarkStart w:id="458" w:name="_Toc2232"/>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3"/>
    <w:bookmarkEnd w:id="454"/>
    <w:bookmarkEnd w:id="455"/>
    <w:bookmarkEnd w:id="456"/>
    <w:bookmarkEnd w:id="457"/>
    <w:bookmarkEnd w:id="458"/>
    <w:p w14:paraId="7BE124D5">
      <w:pPr>
        <w:spacing w:line="360" w:lineRule="exact"/>
        <w:ind w:firstLine="482" w:firstLineChars="200"/>
        <w:outlineLvl w:val="0"/>
        <w:rPr>
          <w:rFonts w:hint="eastAsia" w:ascii="宋体" w:hAnsi="宋体" w:eastAsia="宋体" w:cs="宋体"/>
          <w:b/>
          <w:color w:val="auto"/>
          <w:sz w:val="24"/>
        </w:rPr>
      </w:pPr>
      <w:bookmarkStart w:id="459" w:name="_Toc4751"/>
      <w:bookmarkStart w:id="460" w:name="_Toc14142"/>
      <w:bookmarkStart w:id="461" w:name="_Toc4498"/>
      <w:bookmarkStart w:id="462" w:name="_Toc24186"/>
      <w:bookmarkStart w:id="463" w:name="_Toc25202"/>
      <w:bookmarkStart w:id="464" w:name="_Toc29481"/>
      <w:bookmarkStart w:id="465" w:name="_Toc25352"/>
      <w:bookmarkStart w:id="466" w:name="_Toc12974"/>
      <w:bookmarkStart w:id="467" w:name="_Toc28090"/>
      <w:bookmarkStart w:id="468" w:name="_Toc6038"/>
      <w:bookmarkStart w:id="469" w:name="_Toc18247"/>
      <w:bookmarkStart w:id="470" w:name="_Toc21386"/>
      <w:bookmarkStart w:id="471" w:name="_Toc30575"/>
      <w:r>
        <w:rPr>
          <w:rFonts w:hint="eastAsia" w:ascii="宋体" w:hAnsi="宋体" w:eastAsia="宋体" w:cs="宋体"/>
          <w:b/>
          <w:color w:val="auto"/>
          <w:sz w:val="24"/>
        </w:rPr>
        <w:t>1.1 合同组成部分</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2" w:name="_Toc27126"/>
      <w:bookmarkStart w:id="473" w:name="_Toc1446"/>
      <w:bookmarkStart w:id="474" w:name="_Toc411"/>
      <w:bookmarkStart w:id="475" w:name="_Toc7977"/>
      <w:bookmarkStart w:id="476" w:name="_Toc21295"/>
      <w:bookmarkStart w:id="477" w:name="_Toc24300"/>
      <w:bookmarkStart w:id="478" w:name="_Toc19432"/>
      <w:bookmarkStart w:id="479" w:name="_Toc5906"/>
      <w:bookmarkStart w:id="480" w:name="_Toc21217"/>
      <w:bookmarkStart w:id="481" w:name="_Toc9006"/>
      <w:bookmarkStart w:id="482" w:name="_Toc25735"/>
      <w:bookmarkStart w:id="483" w:name="_Toc25402"/>
      <w:bookmarkStart w:id="484" w:name="_Toc13138"/>
      <w:bookmarkStart w:id="485" w:name="_Toc29371"/>
      <w:bookmarkStart w:id="486" w:name="_Toc8631"/>
      <w:bookmarkStart w:id="487" w:name="_Toc27318"/>
      <w:bookmarkStart w:id="488" w:name="_Toc14235"/>
      <w:bookmarkStart w:id="489" w:name="_Toc15345"/>
      <w:r>
        <w:rPr>
          <w:rFonts w:hint="eastAsia" w:ascii="宋体" w:hAnsi="宋体" w:eastAsia="宋体" w:cs="宋体"/>
          <w:b/>
          <w:color w:val="auto"/>
          <w:sz w:val="24"/>
        </w:rPr>
        <w:t>1.2 货物</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0" w:name="_Toc21040"/>
      <w:bookmarkStart w:id="491" w:name="_Toc30667"/>
      <w:bookmarkStart w:id="492" w:name="_Toc19682"/>
      <w:bookmarkStart w:id="493" w:name="_Toc21631"/>
      <w:bookmarkStart w:id="494" w:name="_Toc11045"/>
      <w:bookmarkStart w:id="495" w:name="_Toc10942"/>
      <w:bookmarkStart w:id="496" w:name="_Toc25368"/>
      <w:bookmarkStart w:id="497" w:name="_Toc11537"/>
      <w:bookmarkStart w:id="498" w:name="_Toc30755"/>
      <w:bookmarkStart w:id="499" w:name="_Toc24353"/>
      <w:bookmarkStart w:id="500" w:name="_Toc13898"/>
      <w:bookmarkStart w:id="501" w:name="_Toc9364"/>
      <w:bookmarkStart w:id="502" w:name="_Toc8386"/>
      <w:bookmarkStart w:id="503" w:name="_Toc633"/>
      <w:bookmarkStart w:id="504" w:name="_Toc21551"/>
      <w:bookmarkStart w:id="505" w:name="_Toc6395"/>
      <w:bookmarkStart w:id="506" w:name="_Toc12266"/>
      <w:bookmarkStart w:id="507" w:name="_Toc23292"/>
      <w:bookmarkStart w:id="508" w:name="_Toc1267"/>
      <w:r>
        <w:rPr>
          <w:rFonts w:hint="eastAsia" w:ascii="宋体" w:hAnsi="宋体" w:eastAsia="宋体" w:cs="宋体"/>
          <w:b/>
          <w:color w:val="auto"/>
          <w:sz w:val="24"/>
        </w:rPr>
        <w:t>1.3 价款</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319" w:type="dxa"/>
            <w:noWrap w:val="0"/>
            <w:vAlign w:val="center"/>
          </w:tcPr>
          <w:p w14:paraId="2F0BBF43">
            <w:pPr>
              <w:pStyle w:val="30"/>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30"/>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30"/>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30"/>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30"/>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30"/>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30"/>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30"/>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30"/>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30"/>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30"/>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09" w:name="_Toc24781"/>
      <w:bookmarkStart w:id="510" w:name="_Toc28773"/>
      <w:bookmarkStart w:id="511" w:name="_Toc6407"/>
      <w:bookmarkStart w:id="512" w:name="_Toc28790"/>
      <w:bookmarkStart w:id="513" w:name="_Toc10086"/>
      <w:bookmarkStart w:id="514" w:name="_Toc30643"/>
      <w:bookmarkStart w:id="515" w:name="_Toc27654"/>
      <w:bookmarkStart w:id="516" w:name="_Toc5736"/>
      <w:bookmarkStart w:id="517" w:name="_Toc27811"/>
      <w:bookmarkStart w:id="518" w:name="_Toc7458"/>
      <w:bookmarkStart w:id="519" w:name="_Toc4585"/>
      <w:bookmarkStart w:id="520" w:name="_Toc26470"/>
      <w:bookmarkStart w:id="521" w:name="_Toc27817"/>
      <w:bookmarkStart w:id="522" w:name="_Toc21349"/>
      <w:bookmarkStart w:id="523" w:name="_Toc16850"/>
      <w:r>
        <w:rPr>
          <w:rFonts w:hint="eastAsia" w:ascii="宋体" w:hAnsi="宋体" w:eastAsia="宋体" w:cs="宋体"/>
          <w:b/>
          <w:color w:val="auto"/>
          <w:sz w:val="24"/>
        </w:rPr>
        <w:t>1.4 付款方式和发票开具方式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4" w:name="_Toc17448"/>
      <w:bookmarkStart w:id="525" w:name="_Toc4501"/>
      <w:bookmarkStart w:id="526" w:name="_Toc12017"/>
      <w:bookmarkStart w:id="527" w:name="_Toc30563"/>
      <w:bookmarkStart w:id="528" w:name="_Toc2083"/>
      <w:bookmarkStart w:id="529" w:name="_Toc18454"/>
      <w:bookmarkStart w:id="530" w:name="_Toc23862"/>
      <w:bookmarkStart w:id="531" w:name="_Toc2852"/>
      <w:bookmarkStart w:id="532" w:name="_Toc10276"/>
      <w:bookmarkStart w:id="533" w:name="_Toc22861"/>
      <w:bookmarkStart w:id="534" w:name="_Toc9478"/>
      <w:bookmarkStart w:id="535" w:name="_Toc11920"/>
      <w:bookmarkStart w:id="536" w:name="_Toc16823"/>
      <w:bookmarkStart w:id="537" w:name="_Toc30447"/>
      <w:bookmarkStart w:id="538" w:name="_Toc25278"/>
      <w:bookmarkStart w:id="539" w:name="_Toc17179"/>
      <w:r>
        <w:rPr>
          <w:rFonts w:hint="eastAsia" w:ascii="宋体" w:hAnsi="宋体" w:eastAsia="宋体" w:cs="宋体"/>
          <w:b/>
          <w:color w:val="auto"/>
          <w:sz w:val="24"/>
        </w:rPr>
        <w:t>1.5 货物交付期限、地点和方式</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0" w:name="_Toc15865"/>
      <w:bookmarkStart w:id="541" w:name="_Toc6841"/>
      <w:bookmarkStart w:id="542" w:name="_Toc12629"/>
      <w:bookmarkStart w:id="543" w:name="_Toc13854"/>
      <w:bookmarkStart w:id="544" w:name="_Toc11237"/>
      <w:bookmarkStart w:id="545" w:name="_Toc7847"/>
      <w:bookmarkStart w:id="546" w:name="_Toc13569"/>
      <w:bookmarkStart w:id="547" w:name="_Toc12753"/>
      <w:bookmarkStart w:id="548" w:name="_Toc26792"/>
      <w:bookmarkStart w:id="549" w:name="_Toc4190"/>
      <w:bookmarkStart w:id="550" w:name="_Toc2529"/>
      <w:bookmarkStart w:id="551" w:name="_Toc21406"/>
      <w:bookmarkStart w:id="552" w:name="_Toc1835"/>
      <w:bookmarkStart w:id="553" w:name="_Toc8754"/>
      <w:bookmarkStart w:id="554" w:name="_Toc12988"/>
      <w:bookmarkStart w:id="555" w:name="_Toc26850"/>
      <w:r>
        <w:rPr>
          <w:rFonts w:hint="eastAsia" w:ascii="宋体" w:hAnsi="宋体" w:eastAsia="宋体" w:cs="宋体"/>
          <w:b/>
          <w:color w:val="auto"/>
          <w:sz w:val="24"/>
        </w:rPr>
        <w:t>1.6 违约责任</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6" w:name="_Toc8914"/>
      <w:bookmarkStart w:id="557" w:name="_Toc17792"/>
      <w:bookmarkStart w:id="558" w:name="_Toc3403"/>
      <w:bookmarkStart w:id="559" w:name="_Toc16341"/>
      <w:bookmarkStart w:id="560" w:name="_Toc29338"/>
      <w:bookmarkStart w:id="561" w:name="_Toc9202"/>
      <w:bookmarkStart w:id="562" w:name="_Toc5482"/>
      <w:bookmarkStart w:id="563" w:name="_Toc25915"/>
      <w:bookmarkStart w:id="564" w:name="_Toc27927"/>
      <w:bookmarkStart w:id="565" w:name="_Toc19011"/>
      <w:bookmarkStart w:id="566" w:name="_Toc15583"/>
      <w:bookmarkStart w:id="567" w:name="_Toc6344"/>
      <w:bookmarkStart w:id="568" w:name="_Toc7216"/>
      <w:bookmarkStart w:id="569" w:name="_Toc28375"/>
      <w:bookmarkStart w:id="570" w:name="_Toc10362"/>
      <w:bookmarkStart w:id="571" w:name="_Toc16021"/>
      <w:bookmarkStart w:id="572" w:name="_Toc20610"/>
      <w:bookmarkStart w:id="573" w:name="_Toc27762"/>
      <w:bookmarkStart w:id="574" w:name="_Toc495"/>
      <w:r>
        <w:rPr>
          <w:rFonts w:hint="eastAsia" w:ascii="宋体" w:hAnsi="宋体" w:eastAsia="宋体" w:cs="宋体"/>
          <w:b/>
          <w:color w:val="auto"/>
          <w:sz w:val="24"/>
        </w:rPr>
        <w:t>1.7 合同争议的解决</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5" w:name="_Toc518"/>
      <w:bookmarkStart w:id="576" w:name="_Toc2901"/>
      <w:bookmarkStart w:id="577" w:name="_Toc6411"/>
      <w:bookmarkStart w:id="578" w:name="_Toc30260"/>
      <w:bookmarkStart w:id="579" w:name="_Toc7245"/>
      <w:bookmarkStart w:id="580" w:name="_Toc10043"/>
      <w:bookmarkStart w:id="581" w:name="_Toc17113"/>
      <w:bookmarkStart w:id="582" w:name="_Toc4106"/>
      <w:bookmarkStart w:id="583" w:name="_Toc10255"/>
      <w:bookmarkStart w:id="584" w:name="_Toc16410"/>
      <w:bookmarkStart w:id="585" w:name="_Toc11173"/>
      <w:bookmarkStart w:id="586" w:name="_Toc9329"/>
      <w:bookmarkStart w:id="587" w:name="_Toc1647"/>
      <w:bookmarkStart w:id="588" w:name="_Toc2894"/>
      <w:bookmarkStart w:id="589" w:name="_Toc31952"/>
      <w:bookmarkStart w:id="590" w:name="_Toc15322"/>
      <w:bookmarkStart w:id="591" w:name="_Toc28642"/>
      <w:bookmarkStart w:id="592" w:name="_Toc4516"/>
      <w:bookmarkStart w:id="593" w:name="_Toc10429"/>
      <w:r>
        <w:rPr>
          <w:rFonts w:hint="eastAsia" w:ascii="宋体" w:hAnsi="宋体" w:eastAsia="宋体" w:cs="宋体"/>
          <w:b/>
          <w:color w:val="auto"/>
          <w:sz w:val="24"/>
        </w:rPr>
        <w:t>1.8 合同生效</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4" w:name="_Toc331685783"/>
    </w:p>
    <w:p w14:paraId="1744118F">
      <w:pPr>
        <w:widowControl/>
        <w:spacing w:line="360" w:lineRule="exact"/>
        <w:jc w:val="left"/>
        <w:rPr>
          <w:rFonts w:hint="eastAsia" w:ascii="宋体" w:hAnsi="宋体" w:eastAsia="宋体" w:cs="宋体"/>
          <w:b/>
          <w:color w:val="auto"/>
        </w:rPr>
      </w:pPr>
    </w:p>
    <w:p w14:paraId="380DFBAD">
      <w:pPr>
        <w:pStyle w:val="35"/>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4"/>
    </w:p>
    <w:p w14:paraId="3A78B508">
      <w:pPr>
        <w:spacing w:line="360" w:lineRule="exact"/>
        <w:ind w:firstLine="482" w:firstLineChars="200"/>
        <w:outlineLvl w:val="0"/>
        <w:rPr>
          <w:rFonts w:hint="eastAsia" w:ascii="宋体" w:hAnsi="宋体" w:eastAsia="宋体" w:cs="宋体"/>
          <w:b/>
          <w:color w:val="auto"/>
          <w:sz w:val="24"/>
        </w:rPr>
      </w:pPr>
      <w:bookmarkStart w:id="595" w:name="_Toc20709"/>
      <w:bookmarkStart w:id="596" w:name="_Toc14827"/>
      <w:bookmarkStart w:id="597" w:name="_Ref467378463"/>
      <w:bookmarkStart w:id="598" w:name="_Ref467378499"/>
      <w:bookmarkStart w:id="599" w:name="_Toc17886"/>
      <w:bookmarkStart w:id="600" w:name="_Toc19614"/>
      <w:bookmarkStart w:id="601" w:name="_Toc28763"/>
      <w:bookmarkStart w:id="602" w:name="_Toc14433"/>
      <w:bookmarkStart w:id="603" w:name="_Ref467379109"/>
      <w:bookmarkStart w:id="604" w:name="_Toc15647"/>
      <w:bookmarkStart w:id="605" w:name="_Toc31417"/>
      <w:bookmarkStart w:id="606" w:name="_Toc2034"/>
      <w:bookmarkStart w:id="607" w:name="_Ref467379225"/>
      <w:bookmarkStart w:id="608" w:name="_Toc26415"/>
      <w:bookmarkStart w:id="609" w:name="_Toc259093669"/>
      <w:bookmarkStart w:id="610" w:name="_Ref467379205"/>
      <w:bookmarkStart w:id="611" w:name="_Ref467379195"/>
      <w:bookmarkStart w:id="612" w:name="_Toc5579"/>
      <w:bookmarkStart w:id="613" w:name="_Toc25554"/>
      <w:bookmarkStart w:id="614" w:name="_Toc17718"/>
      <w:bookmarkStart w:id="615" w:name="_Toc279701240"/>
      <w:bookmarkStart w:id="616" w:name="_Toc510"/>
      <w:bookmarkStart w:id="617" w:name="_Toc29788"/>
      <w:bookmarkStart w:id="618" w:name="_Toc487900349"/>
      <w:bookmarkStart w:id="619" w:name="_Toc32624"/>
      <w:bookmarkStart w:id="620" w:name="_Toc26936"/>
      <w:bookmarkStart w:id="621" w:name="_Ref467378404"/>
      <w:bookmarkStart w:id="622" w:name="_Ref467379094"/>
      <w:bookmarkStart w:id="623" w:name="_Toc29659"/>
      <w:bookmarkStart w:id="624" w:name="_Ref467379101"/>
      <w:bookmarkStart w:id="625" w:name="_Ref467379214"/>
      <w:bookmarkStart w:id="626" w:name="_Toc16917"/>
      <w:r>
        <w:rPr>
          <w:rFonts w:hint="eastAsia" w:ascii="宋体" w:hAnsi="宋体" w:eastAsia="宋体" w:cs="宋体"/>
          <w:b/>
          <w:color w:val="auto"/>
          <w:sz w:val="24"/>
        </w:rPr>
        <w:t>2.1 定义</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7"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7"/>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28" w:name="_Ref467379400"/>
      <w:r>
        <w:rPr>
          <w:rFonts w:hint="eastAsia" w:ascii="宋体" w:hAnsi="宋体" w:eastAsia="宋体" w:cs="宋体"/>
          <w:color w:val="auto"/>
          <w:sz w:val="24"/>
        </w:rPr>
        <w:t>2.1.5 “乙方”系指根据合同约定交付货物的中标</w:t>
      </w:r>
      <w:bookmarkEnd w:id="628"/>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29" w:name="_Ref467379436"/>
      <w:r>
        <w:rPr>
          <w:rFonts w:hint="eastAsia" w:ascii="宋体" w:hAnsi="宋体" w:eastAsia="宋体" w:cs="宋体"/>
          <w:color w:val="auto"/>
          <w:sz w:val="24"/>
        </w:rPr>
        <w:t>2.1.6 “现场”系指合同约定货物将要运至或者安装的地点。</w:t>
      </w:r>
      <w:bookmarkEnd w:id="629"/>
    </w:p>
    <w:p w14:paraId="43D57EF0">
      <w:pPr>
        <w:spacing w:line="360" w:lineRule="exact"/>
        <w:ind w:firstLine="482" w:firstLineChars="200"/>
        <w:outlineLvl w:val="0"/>
        <w:rPr>
          <w:rFonts w:hint="eastAsia" w:ascii="宋体" w:hAnsi="宋体" w:eastAsia="宋体" w:cs="宋体"/>
          <w:b/>
          <w:color w:val="auto"/>
          <w:sz w:val="24"/>
        </w:rPr>
      </w:pPr>
      <w:bookmarkStart w:id="630" w:name="_Toc5592"/>
      <w:bookmarkStart w:id="631" w:name="_Toc10701"/>
      <w:bookmarkStart w:id="632" w:name="_Toc32504"/>
      <w:bookmarkStart w:id="633" w:name="_Toc279701241"/>
      <w:bookmarkStart w:id="634" w:name="_Toc13336"/>
      <w:bookmarkStart w:id="635" w:name="_Toc24639"/>
      <w:bookmarkStart w:id="636" w:name="_Toc17151"/>
      <w:bookmarkStart w:id="637" w:name="_Toc23689"/>
      <w:bookmarkStart w:id="638" w:name="_Toc1447"/>
      <w:bookmarkStart w:id="639" w:name="_Toc487900350"/>
      <w:bookmarkStart w:id="640" w:name="_Toc1183"/>
      <w:bookmarkStart w:id="641" w:name="_Toc24523"/>
      <w:bookmarkStart w:id="642" w:name="_Toc22122"/>
      <w:bookmarkStart w:id="643" w:name="_Toc11142"/>
      <w:bookmarkStart w:id="644" w:name="_Toc27635"/>
      <w:bookmarkStart w:id="645" w:name="_Toc1221"/>
      <w:bookmarkStart w:id="646" w:name="_Toc22104"/>
      <w:bookmarkStart w:id="647" w:name="_Toc259093670"/>
      <w:bookmarkStart w:id="648" w:name="_Toc7416"/>
      <w:bookmarkStart w:id="649" w:name="_Toc24792"/>
      <w:bookmarkStart w:id="650" w:name="_Toc11263"/>
      <w:bookmarkStart w:id="651" w:name="_Toc1352"/>
      <w:r>
        <w:rPr>
          <w:rFonts w:hint="eastAsia" w:ascii="宋体" w:hAnsi="宋体" w:eastAsia="宋体" w:cs="宋体"/>
          <w:b/>
          <w:color w:val="auto"/>
          <w:sz w:val="24"/>
        </w:rPr>
        <w:t>2.2 技术规范</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2" w:name="_Toc14632"/>
      <w:bookmarkStart w:id="653" w:name="_Toc12032"/>
      <w:bookmarkStart w:id="654" w:name="_Toc30552"/>
      <w:bookmarkStart w:id="655" w:name="_Toc15733"/>
      <w:bookmarkStart w:id="656" w:name="_Toc19191"/>
      <w:bookmarkStart w:id="657" w:name="_Toc7722"/>
      <w:bookmarkStart w:id="658" w:name="_Toc975"/>
      <w:bookmarkStart w:id="659" w:name="_Toc6121"/>
      <w:bookmarkStart w:id="660" w:name="_Toc27853"/>
      <w:bookmarkStart w:id="661" w:name="_Toc487900351"/>
      <w:bookmarkStart w:id="662" w:name="_Toc20130"/>
      <w:bookmarkStart w:id="663" w:name="_Toc259093671"/>
      <w:bookmarkStart w:id="664" w:name="_Toc23649"/>
      <w:bookmarkStart w:id="665" w:name="_Toc4029"/>
      <w:bookmarkStart w:id="666" w:name="_Toc4916"/>
      <w:bookmarkStart w:id="667" w:name="_Toc24537"/>
      <w:bookmarkStart w:id="668" w:name="_Toc9829"/>
      <w:bookmarkStart w:id="669" w:name="_Toc279701242"/>
      <w:bookmarkStart w:id="670" w:name="_Toc21622"/>
      <w:bookmarkStart w:id="671" w:name="_Toc31634"/>
      <w:bookmarkStart w:id="672" w:name="_Toc32048"/>
      <w:r>
        <w:rPr>
          <w:rFonts w:hint="eastAsia" w:ascii="宋体" w:hAnsi="宋体" w:eastAsia="宋体" w:cs="宋体"/>
          <w:b/>
          <w:color w:val="auto"/>
          <w:sz w:val="24"/>
        </w:rPr>
        <w:t>2.3 知识产权</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3" w:name="_Toc10546"/>
      <w:bookmarkStart w:id="674" w:name="_Toc6781"/>
      <w:bookmarkStart w:id="675" w:name="_Toc20620"/>
      <w:bookmarkStart w:id="676" w:name="_Toc17080"/>
      <w:bookmarkStart w:id="677" w:name="_Toc3486"/>
      <w:bookmarkStart w:id="678" w:name="_Toc479"/>
      <w:bookmarkStart w:id="679" w:name="_Toc9470"/>
      <w:bookmarkStart w:id="680" w:name="_Toc9332"/>
      <w:bookmarkStart w:id="681" w:name="_Toc28714"/>
      <w:bookmarkStart w:id="682" w:name="_Toc19638"/>
      <w:bookmarkStart w:id="683" w:name="_Toc365"/>
      <w:bookmarkStart w:id="684" w:name="_Toc12219"/>
      <w:bookmarkStart w:id="685" w:name="_Toc5395"/>
      <w:bookmarkStart w:id="686" w:name="_Toc23105"/>
      <w:bookmarkStart w:id="687" w:name="_Toc26731"/>
      <w:bookmarkStart w:id="688" w:name="_Toc25767"/>
      <w:r>
        <w:rPr>
          <w:rFonts w:hint="eastAsia" w:ascii="宋体" w:hAnsi="宋体" w:eastAsia="宋体" w:cs="宋体"/>
          <w:b/>
          <w:color w:val="auto"/>
          <w:sz w:val="24"/>
        </w:rPr>
        <w:t>2.4 包装和装运</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89" w:name="_Toc487900354"/>
      <w:bookmarkStart w:id="690" w:name="_Ref467378591"/>
      <w:bookmarkStart w:id="691" w:name="_Toc259093674"/>
      <w:bookmarkStart w:id="692" w:name="_Ref467379527"/>
      <w:bookmarkStart w:id="693" w:name="_Toc279701245"/>
      <w:bookmarkStart w:id="694" w:name="_Ref467379536"/>
      <w:bookmarkStart w:id="695" w:name="_Ref467379542"/>
      <w:bookmarkStart w:id="696" w:name="_Ref467378541"/>
      <w:bookmarkStart w:id="697" w:name="_Toc18307"/>
      <w:bookmarkStart w:id="698" w:name="_Toc4831"/>
      <w:bookmarkStart w:id="699" w:name="_Toc5927"/>
      <w:bookmarkStart w:id="700" w:name="_Toc7299"/>
      <w:bookmarkStart w:id="701" w:name="_Toc28937"/>
      <w:bookmarkStart w:id="702" w:name="_Toc19870"/>
      <w:bookmarkStart w:id="703" w:name="_Toc16539"/>
      <w:bookmarkStart w:id="704" w:name="_Toc24299"/>
      <w:bookmarkStart w:id="705" w:name="_Toc1641"/>
      <w:bookmarkStart w:id="706" w:name="_Toc21198"/>
      <w:bookmarkStart w:id="707" w:name="_Toc12428"/>
      <w:bookmarkStart w:id="708" w:name="_Toc18515"/>
      <w:bookmarkStart w:id="709" w:name="_Toc26182"/>
      <w:bookmarkStart w:id="710" w:name="_Toc24935"/>
      <w:bookmarkStart w:id="711" w:name="_Toc30272"/>
      <w:bookmarkStart w:id="712" w:name="_Toc2815"/>
      <w:bookmarkStart w:id="713" w:name="_Toc19074"/>
      <w:r>
        <w:rPr>
          <w:rFonts w:hint="eastAsia" w:ascii="宋体" w:hAnsi="宋体" w:eastAsia="宋体" w:cs="宋体"/>
          <w:b/>
          <w:color w:val="auto"/>
          <w:sz w:val="24"/>
        </w:rPr>
        <w:t>2.</w:t>
      </w:r>
      <w:bookmarkEnd w:id="689"/>
      <w:bookmarkEnd w:id="690"/>
      <w:bookmarkEnd w:id="691"/>
      <w:bookmarkEnd w:id="692"/>
      <w:bookmarkEnd w:id="693"/>
      <w:bookmarkEnd w:id="694"/>
      <w:bookmarkEnd w:id="695"/>
      <w:bookmarkEnd w:id="696"/>
      <w:r>
        <w:rPr>
          <w:rFonts w:hint="eastAsia" w:ascii="宋体" w:hAnsi="宋体" w:eastAsia="宋体" w:cs="宋体"/>
          <w:b/>
          <w:color w:val="auto"/>
          <w:sz w:val="24"/>
        </w:rPr>
        <w:t>5 履约检查和问题反馈</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400AEF2">
      <w:pPr>
        <w:spacing w:line="360" w:lineRule="exact"/>
        <w:ind w:firstLine="480" w:firstLineChars="200"/>
        <w:rPr>
          <w:rFonts w:hint="eastAsia" w:ascii="宋体" w:hAnsi="宋体" w:eastAsia="宋体" w:cs="宋体"/>
          <w:color w:val="auto"/>
          <w:sz w:val="24"/>
        </w:rPr>
      </w:pPr>
      <w:bookmarkStart w:id="714" w:name="_Ref467379657"/>
      <w:r>
        <w:rPr>
          <w:rFonts w:hint="eastAsia" w:ascii="宋体" w:hAnsi="宋体" w:eastAsia="宋体" w:cs="宋体"/>
          <w:color w:val="auto"/>
          <w:sz w:val="24"/>
        </w:rPr>
        <w:t>2.5.1</w:t>
      </w:r>
      <w:bookmarkEnd w:id="714"/>
      <w:bookmarkStart w:id="715" w:name="_Toc186431854"/>
      <w:bookmarkStart w:id="716" w:name="_Toc259093676"/>
      <w:bookmarkStart w:id="717" w:name="_Ref467379793"/>
      <w:bookmarkStart w:id="718" w:name="_Toc487900357"/>
      <w:bookmarkStart w:id="719" w:name="_Ref467379807"/>
      <w:bookmarkStart w:id="720" w:name="_Toc27970124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5"/>
      <w:bookmarkStart w:id="721" w:name="_Toc186431855"/>
      <w:r>
        <w:rPr>
          <w:rFonts w:hint="eastAsia" w:ascii="宋体" w:hAnsi="宋体" w:eastAsia="宋体" w:cs="宋体"/>
          <w:color w:val="auto"/>
          <w:sz w:val="24"/>
        </w:rPr>
        <w:t>。</w:t>
      </w:r>
    </w:p>
    <w:bookmarkEnd w:id="721"/>
    <w:p w14:paraId="313250AD">
      <w:pPr>
        <w:spacing w:line="360" w:lineRule="exact"/>
        <w:ind w:firstLine="482" w:firstLineChars="200"/>
        <w:outlineLvl w:val="0"/>
        <w:rPr>
          <w:rFonts w:hint="eastAsia" w:ascii="宋体" w:hAnsi="宋体" w:eastAsia="宋体" w:cs="宋体"/>
          <w:b/>
          <w:color w:val="auto"/>
          <w:sz w:val="24"/>
        </w:rPr>
      </w:pPr>
      <w:bookmarkStart w:id="722" w:name="_Toc19219"/>
      <w:bookmarkStart w:id="723" w:name="_Toc4522"/>
      <w:bookmarkStart w:id="724" w:name="_Toc28451"/>
      <w:bookmarkStart w:id="725" w:name="_Toc23261"/>
      <w:bookmarkStart w:id="726" w:name="_Toc17283"/>
      <w:bookmarkStart w:id="727" w:name="_Toc11522"/>
      <w:bookmarkStart w:id="728" w:name="_Toc30354"/>
      <w:bookmarkStart w:id="729" w:name="_Toc26232"/>
      <w:bookmarkStart w:id="730" w:name="_Toc582"/>
      <w:bookmarkStart w:id="731" w:name="_Toc26298"/>
      <w:bookmarkStart w:id="732" w:name="_Toc2067"/>
      <w:bookmarkStart w:id="733" w:name="_Toc12360"/>
      <w:bookmarkStart w:id="734" w:name="_Toc31520"/>
      <w:bookmarkStart w:id="735" w:name="_Toc234"/>
      <w:bookmarkStart w:id="736" w:name="_Toc7836"/>
      <w:bookmarkStart w:id="737" w:name="_Toc5304"/>
      <w:bookmarkStart w:id="738" w:name="_Toc5007"/>
      <w:r>
        <w:rPr>
          <w:rFonts w:hint="eastAsia" w:ascii="宋体" w:hAnsi="宋体" w:eastAsia="宋体" w:cs="宋体"/>
          <w:b/>
          <w:color w:val="auto"/>
          <w:sz w:val="24"/>
        </w:rPr>
        <w:t>2.6 结算方式和付款条件</w:t>
      </w:r>
      <w:bookmarkEnd w:id="716"/>
      <w:bookmarkEnd w:id="717"/>
      <w:bookmarkEnd w:id="718"/>
      <w:bookmarkEnd w:id="719"/>
      <w:bookmarkEnd w:id="720"/>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39" w:name="_Ref467379852"/>
      <w:bookmarkStart w:id="740" w:name="_Toc279701248"/>
      <w:bookmarkStart w:id="741" w:name="_Toc259093677"/>
      <w:bookmarkStart w:id="742" w:name="_Toc487900358"/>
      <w:bookmarkStart w:id="743" w:name="_Ref467379863"/>
      <w:bookmarkStart w:id="744" w:name="_Ref467379923"/>
      <w:bookmarkStart w:id="745" w:name="_Toc17051"/>
      <w:bookmarkStart w:id="746" w:name="_Toc29616"/>
      <w:bookmarkStart w:id="747" w:name="_Toc10114"/>
      <w:bookmarkStart w:id="748" w:name="_Toc29030"/>
      <w:bookmarkStart w:id="749" w:name="_Toc1200"/>
      <w:bookmarkStart w:id="750" w:name="_Toc10173"/>
      <w:bookmarkStart w:id="751" w:name="_Toc28781"/>
      <w:bookmarkStart w:id="752" w:name="_Toc3225"/>
      <w:bookmarkStart w:id="753" w:name="_Toc17607"/>
      <w:bookmarkStart w:id="754" w:name="_Toc9845"/>
      <w:bookmarkStart w:id="755" w:name="_Toc3497"/>
      <w:bookmarkStart w:id="756" w:name="_Toc31971"/>
      <w:bookmarkStart w:id="757" w:name="_Toc18668"/>
      <w:bookmarkStart w:id="758" w:name="_Toc13023"/>
      <w:bookmarkStart w:id="759" w:name="_Toc11236"/>
      <w:bookmarkStart w:id="760" w:name="_Toc31305"/>
      <w:bookmarkStart w:id="761" w:name="_Toc774"/>
      <w:bookmarkStart w:id="762" w:name="_Toc16110"/>
      <w:bookmarkStart w:id="763" w:name="_Toc14491"/>
      <w:r>
        <w:rPr>
          <w:rFonts w:hint="eastAsia" w:ascii="宋体" w:hAnsi="宋体" w:eastAsia="宋体" w:cs="宋体"/>
          <w:b/>
          <w:color w:val="auto"/>
          <w:sz w:val="24"/>
        </w:rPr>
        <w:t>2.7 技术资料</w:t>
      </w:r>
      <w:bookmarkEnd w:id="739"/>
      <w:bookmarkEnd w:id="740"/>
      <w:bookmarkEnd w:id="741"/>
      <w:bookmarkEnd w:id="742"/>
      <w:bookmarkEnd w:id="743"/>
      <w:bookmarkEnd w:id="744"/>
      <w:r>
        <w:rPr>
          <w:rFonts w:hint="eastAsia" w:ascii="宋体" w:hAnsi="宋体" w:eastAsia="宋体" w:cs="宋体"/>
          <w:b/>
          <w:color w:val="auto"/>
          <w:sz w:val="24"/>
        </w:rPr>
        <w:t>和保密义务</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4" w:name="_Toc7860"/>
      <w:bookmarkStart w:id="765" w:name="_Toc5200"/>
      <w:bookmarkStart w:id="766" w:name="_Toc19177"/>
      <w:bookmarkStart w:id="767" w:name="_Toc30386"/>
      <w:bookmarkStart w:id="768" w:name="_Toc16190"/>
      <w:bookmarkStart w:id="769" w:name="_Toc3156"/>
      <w:bookmarkStart w:id="770" w:name="_Toc30477"/>
      <w:bookmarkStart w:id="771" w:name="_Toc27453"/>
      <w:bookmarkStart w:id="772" w:name="_Toc10326"/>
      <w:bookmarkStart w:id="773" w:name="_Toc11328"/>
      <w:bookmarkStart w:id="774" w:name="_Toc21267"/>
      <w:bookmarkStart w:id="775" w:name="_Toc30503"/>
      <w:bookmarkStart w:id="776" w:name="_Toc18551"/>
      <w:bookmarkStart w:id="777" w:name="_Toc11530"/>
      <w:bookmarkStart w:id="778" w:name="_Toc4252"/>
      <w:bookmarkStart w:id="779" w:name="_Toc8288"/>
      <w:bookmarkStart w:id="780" w:name="_Toc23081"/>
      <w:r>
        <w:rPr>
          <w:rFonts w:hint="eastAsia" w:ascii="宋体" w:hAnsi="宋体" w:eastAsia="宋体" w:cs="宋体"/>
          <w:b/>
          <w:color w:val="auto"/>
          <w:sz w:val="24"/>
        </w:rPr>
        <w:t>2.8 质量保证</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1" w:name="_Toc26555"/>
      <w:bookmarkStart w:id="782" w:name="_Toc14663"/>
      <w:bookmarkStart w:id="783" w:name="_Toc12010"/>
      <w:bookmarkStart w:id="784" w:name="_Toc14596"/>
      <w:bookmarkStart w:id="785" w:name="_Toc18977"/>
      <w:bookmarkStart w:id="786" w:name="_Toc13812"/>
      <w:bookmarkStart w:id="787" w:name="_Toc27238"/>
      <w:bookmarkStart w:id="788" w:name="_Toc812"/>
      <w:bookmarkStart w:id="789" w:name="_Toc23172"/>
      <w:bookmarkStart w:id="790" w:name="_Toc17497"/>
      <w:bookmarkStart w:id="791" w:name="_Toc27708"/>
      <w:bookmarkStart w:id="792" w:name="_Toc22016"/>
      <w:bookmarkStart w:id="793" w:name="_Toc17030"/>
      <w:bookmarkStart w:id="794" w:name="_Toc27234"/>
      <w:bookmarkStart w:id="795" w:name="_Toc25529"/>
      <w:bookmarkStart w:id="796" w:name="_Toc487900362"/>
      <w:bookmarkStart w:id="797" w:name="_Toc259093681"/>
      <w:bookmarkStart w:id="798" w:name="_Toc279701252"/>
      <w:r>
        <w:rPr>
          <w:rFonts w:hint="eastAsia" w:ascii="宋体" w:hAnsi="宋体" w:eastAsia="宋体" w:cs="宋体"/>
          <w:b/>
          <w:color w:val="auto"/>
          <w:sz w:val="24"/>
        </w:rPr>
        <w:t>2.9 货物的风险负担</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799" w:name="_Toc19684"/>
      <w:bookmarkStart w:id="800" w:name="_Toc5196"/>
      <w:bookmarkStart w:id="801" w:name="_Toc15465"/>
      <w:bookmarkStart w:id="802" w:name="_Toc15972"/>
      <w:bookmarkStart w:id="803" w:name="_Toc7986"/>
      <w:bookmarkStart w:id="804" w:name="_Toc29837"/>
      <w:bookmarkStart w:id="805" w:name="_Toc25231"/>
      <w:bookmarkStart w:id="806" w:name="_Toc6602"/>
      <w:bookmarkStart w:id="807" w:name="_Toc1299"/>
      <w:bookmarkStart w:id="808" w:name="_Toc11963"/>
      <w:bookmarkStart w:id="809" w:name="_Toc25663"/>
      <w:bookmarkStart w:id="810" w:name="_Toc29224"/>
      <w:bookmarkStart w:id="811" w:name="_Toc22674"/>
      <w:bookmarkStart w:id="812" w:name="_Toc14055"/>
      <w:bookmarkStart w:id="813" w:name="_Toc14698"/>
      <w:bookmarkStart w:id="814" w:name="_Toc2"/>
      <w:bookmarkStart w:id="815" w:name="_Toc6601"/>
      <w:r>
        <w:rPr>
          <w:rFonts w:hint="eastAsia" w:ascii="宋体" w:hAnsi="宋体" w:eastAsia="宋体" w:cs="宋体"/>
          <w:b/>
          <w:color w:val="auto"/>
          <w:sz w:val="24"/>
        </w:rPr>
        <w:t>2.10 延迟交货</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6" w:name="_Toc18704"/>
      <w:bookmarkStart w:id="817" w:name="_Toc12175"/>
      <w:bookmarkStart w:id="818" w:name="_Toc4586"/>
      <w:bookmarkStart w:id="819" w:name="_Toc7444"/>
      <w:bookmarkStart w:id="820" w:name="_Toc17237"/>
      <w:bookmarkStart w:id="821" w:name="_Toc25717"/>
      <w:bookmarkStart w:id="822" w:name="_Toc10956"/>
      <w:bookmarkStart w:id="823" w:name="_Toc16810"/>
      <w:bookmarkStart w:id="824" w:name="_Toc16430"/>
      <w:bookmarkStart w:id="825" w:name="_Toc8441"/>
      <w:bookmarkStart w:id="826" w:name="_Toc7502"/>
      <w:bookmarkStart w:id="827" w:name="_Toc26108"/>
      <w:bookmarkStart w:id="828" w:name="_Toc27737"/>
      <w:bookmarkStart w:id="829" w:name="_Toc507"/>
      <w:bookmarkStart w:id="830" w:name="_Toc3064"/>
      <w:bookmarkStart w:id="831" w:name="_Toc16528"/>
      <w:bookmarkStart w:id="832" w:name="_Toc14851"/>
      <w:bookmarkStart w:id="833" w:name="_Ref467378121"/>
      <w:bookmarkStart w:id="834" w:name="_Toc487900364"/>
      <w:bookmarkStart w:id="835" w:name="_Toc279701254"/>
      <w:bookmarkStart w:id="836" w:name="_Toc259093683"/>
      <w:r>
        <w:rPr>
          <w:rFonts w:hint="eastAsia" w:ascii="宋体" w:hAnsi="宋体" w:eastAsia="宋体" w:cs="宋体"/>
          <w:b/>
          <w:color w:val="auto"/>
          <w:sz w:val="24"/>
        </w:rPr>
        <w:t>2.11 合同变更</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7" w:name="_Toc259093688"/>
      <w:bookmarkStart w:id="838" w:name="_Toc487900369"/>
      <w:bookmarkStart w:id="839" w:name="_Toc279701259"/>
    </w:p>
    <w:p w14:paraId="1E4DEC64">
      <w:pPr>
        <w:spacing w:line="360" w:lineRule="exact"/>
        <w:ind w:firstLine="482" w:firstLineChars="200"/>
        <w:outlineLvl w:val="0"/>
        <w:rPr>
          <w:rFonts w:hint="eastAsia" w:ascii="宋体" w:hAnsi="宋体" w:eastAsia="宋体" w:cs="宋体"/>
          <w:b/>
          <w:color w:val="auto"/>
          <w:sz w:val="24"/>
        </w:rPr>
      </w:pPr>
      <w:bookmarkStart w:id="840" w:name="_Toc22955"/>
      <w:bookmarkStart w:id="841" w:name="_Toc26224"/>
      <w:bookmarkStart w:id="842" w:name="_Toc3931"/>
      <w:bookmarkStart w:id="843" w:name="_Toc27772"/>
      <w:bookmarkStart w:id="844" w:name="_Toc23079"/>
      <w:bookmarkStart w:id="845" w:name="_Toc14895"/>
      <w:bookmarkStart w:id="846" w:name="_Toc19380"/>
      <w:bookmarkStart w:id="847" w:name="_Toc10366"/>
      <w:bookmarkStart w:id="848" w:name="_Toc10537"/>
      <w:bookmarkStart w:id="849" w:name="_Toc24511"/>
      <w:bookmarkStart w:id="850" w:name="_Toc21817"/>
      <w:bookmarkStart w:id="851" w:name="_Toc25508"/>
      <w:bookmarkStart w:id="852" w:name="_Toc15237"/>
      <w:bookmarkStart w:id="853" w:name="_Toc28630"/>
      <w:bookmarkStart w:id="854" w:name="_Toc19839"/>
      <w:bookmarkStart w:id="855" w:name="_Toc11626"/>
      <w:bookmarkStart w:id="856" w:name="_Toc3825"/>
      <w:bookmarkStart w:id="857" w:name="_Toc3928"/>
      <w:bookmarkStart w:id="858" w:name="_Toc3062"/>
      <w:r>
        <w:rPr>
          <w:rFonts w:hint="eastAsia" w:ascii="宋体" w:hAnsi="宋体" w:eastAsia="宋体" w:cs="宋体"/>
          <w:b/>
          <w:color w:val="auto"/>
          <w:sz w:val="24"/>
        </w:rPr>
        <w:t>2.12 合同转让</w:t>
      </w:r>
      <w:bookmarkEnd w:id="837"/>
      <w:bookmarkEnd w:id="838"/>
      <w:bookmarkEnd w:id="839"/>
      <w:r>
        <w:rPr>
          <w:rFonts w:hint="eastAsia" w:ascii="宋体" w:hAnsi="宋体" w:eastAsia="宋体" w:cs="宋体"/>
          <w:b/>
          <w:color w:val="auto"/>
          <w:sz w:val="24"/>
        </w:rPr>
        <w:t>和分包</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59" w:name="_Toc2586"/>
      <w:bookmarkStart w:id="860" w:name="_Toc16893"/>
      <w:bookmarkStart w:id="861" w:name="_Toc3533"/>
      <w:bookmarkStart w:id="862" w:name="_Toc4540"/>
      <w:bookmarkStart w:id="863" w:name="_Toc8114"/>
      <w:bookmarkStart w:id="864" w:name="_Toc17498"/>
      <w:bookmarkStart w:id="865" w:name="_Toc12809"/>
      <w:bookmarkStart w:id="866" w:name="_Toc13566"/>
      <w:bookmarkStart w:id="867" w:name="_Toc11252"/>
      <w:bookmarkStart w:id="868" w:name="_Toc1850"/>
      <w:bookmarkStart w:id="869" w:name="_Toc13557"/>
      <w:bookmarkStart w:id="870" w:name="_Toc5484"/>
      <w:bookmarkStart w:id="871" w:name="_Toc12165"/>
      <w:bookmarkStart w:id="872" w:name="_Toc14066"/>
      <w:bookmarkStart w:id="873" w:name="_Toc16508"/>
      <w:bookmarkStart w:id="874" w:name="_Toc15496"/>
      <w:bookmarkStart w:id="875" w:name="_Toc15741"/>
      <w:bookmarkStart w:id="876" w:name="_Toc24741"/>
      <w:r>
        <w:rPr>
          <w:rFonts w:hint="eastAsia" w:ascii="宋体" w:hAnsi="宋体" w:eastAsia="宋体" w:cs="宋体"/>
          <w:b/>
          <w:color w:val="auto"/>
          <w:sz w:val="24"/>
        </w:rPr>
        <w:t>2.13 不可抗力</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7" w:name="_Toc19677"/>
      <w:bookmarkStart w:id="878" w:name="_Toc7145"/>
      <w:bookmarkStart w:id="879" w:name="_Toc279701255"/>
      <w:bookmarkStart w:id="880" w:name="_Toc19312"/>
      <w:bookmarkStart w:id="881" w:name="_Toc20686"/>
      <w:bookmarkStart w:id="882" w:name="_Toc11423"/>
      <w:bookmarkStart w:id="883" w:name="_Toc259093684"/>
      <w:bookmarkStart w:id="884" w:name="_Toc30676"/>
      <w:bookmarkStart w:id="885" w:name="_Toc10528"/>
      <w:bookmarkStart w:id="886" w:name="_Toc487900365"/>
      <w:bookmarkStart w:id="887" w:name="_Toc6047"/>
      <w:bookmarkStart w:id="888" w:name="_Toc26085"/>
      <w:bookmarkStart w:id="889" w:name="_Toc3463"/>
      <w:bookmarkStart w:id="890" w:name="_Toc1584"/>
      <w:bookmarkStart w:id="891" w:name="_Toc11876"/>
      <w:bookmarkStart w:id="892" w:name="_Toc6676"/>
      <w:bookmarkStart w:id="893" w:name="_Toc6288"/>
      <w:bookmarkStart w:id="894" w:name="_Toc689"/>
      <w:bookmarkStart w:id="895" w:name="_Toc6969"/>
      <w:bookmarkStart w:id="896" w:name="_Toc31597"/>
      <w:bookmarkStart w:id="897" w:name="_Toc4006"/>
      <w:bookmarkStart w:id="898" w:name="_Toc13910"/>
      <w:r>
        <w:rPr>
          <w:rFonts w:hint="eastAsia" w:ascii="宋体" w:hAnsi="宋体" w:eastAsia="宋体" w:cs="宋体"/>
          <w:b/>
          <w:color w:val="auto"/>
          <w:sz w:val="24"/>
        </w:rPr>
        <w:t>2.14 税费</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899" w:name="_Toc14403"/>
      <w:bookmarkStart w:id="900" w:name="_Toc12141"/>
      <w:bookmarkStart w:id="901" w:name="_Toc515"/>
      <w:bookmarkStart w:id="902" w:name="_Toc20424"/>
      <w:bookmarkStart w:id="903" w:name="_Toc7117"/>
      <w:bookmarkStart w:id="904" w:name="_Toc11308"/>
      <w:bookmarkStart w:id="905" w:name="_Toc487900368"/>
      <w:bookmarkStart w:id="906" w:name="_Toc8298"/>
      <w:bookmarkStart w:id="907" w:name="_Toc29869"/>
      <w:bookmarkStart w:id="908" w:name="_Toc259093687"/>
      <w:bookmarkStart w:id="909" w:name="_Toc8934"/>
      <w:bookmarkStart w:id="910" w:name="_Toc16959"/>
      <w:bookmarkStart w:id="911" w:name="_Toc29948"/>
      <w:bookmarkStart w:id="912" w:name="_Toc23266"/>
      <w:bookmarkStart w:id="913" w:name="_Toc22239"/>
      <w:bookmarkStart w:id="914" w:name="_Toc7102"/>
      <w:bookmarkStart w:id="915" w:name="_Toc279701258"/>
      <w:bookmarkStart w:id="916" w:name="_Toc20594"/>
      <w:bookmarkStart w:id="917" w:name="_Toc13626"/>
      <w:bookmarkStart w:id="918" w:name="_Toc32313"/>
      <w:bookmarkStart w:id="919" w:name="_Toc25260"/>
      <w:bookmarkStart w:id="920" w:name="_Toc4812"/>
      <w:r>
        <w:rPr>
          <w:rFonts w:hint="eastAsia" w:ascii="宋体" w:hAnsi="宋体" w:eastAsia="宋体" w:cs="宋体"/>
          <w:b/>
          <w:color w:val="auto"/>
          <w:sz w:val="24"/>
        </w:rPr>
        <w:t>2.15 乙方破产</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1" w:name="_Toc15387"/>
      <w:bookmarkStart w:id="922" w:name="_Toc24976"/>
      <w:bookmarkStart w:id="923" w:name="_Toc29333"/>
      <w:bookmarkStart w:id="924" w:name="_Toc4227"/>
      <w:bookmarkStart w:id="925" w:name="_Toc26255"/>
      <w:bookmarkStart w:id="926" w:name="_Toc818"/>
      <w:bookmarkStart w:id="927" w:name="_Toc27106"/>
      <w:bookmarkStart w:id="928" w:name="_Toc31639"/>
      <w:bookmarkStart w:id="929" w:name="_Toc24867"/>
      <w:bookmarkStart w:id="930" w:name="_Toc8550"/>
      <w:bookmarkStart w:id="931" w:name="_Toc15445"/>
      <w:bookmarkStart w:id="932" w:name="_Toc24066"/>
      <w:bookmarkStart w:id="933" w:name="_Toc9318"/>
      <w:bookmarkStart w:id="934" w:name="_Toc29764"/>
      <w:bookmarkStart w:id="935" w:name="_Toc12606"/>
      <w:bookmarkStart w:id="936" w:name="_Toc6134"/>
      <w:bookmarkStart w:id="937" w:name="_Toc8260"/>
      <w:bookmarkStart w:id="938" w:name="_Toc15605"/>
      <w:r>
        <w:rPr>
          <w:rFonts w:hint="eastAsia" w:ascii="宋体" w:hAnsi="宋体" w:eastAsia="宋体" w:cs="宋体"/>
          <w:b/>
          <w:color w:val="auto"/>
          <w:sz w:val="24"/>
        </w:rPr>
        <w:t>2.16 合同中止、终止</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39" w:name="_Toc19755"/>
      <w:bookmarkStart w:id="940" w:name="_Toc20145"/>
      <w:bookmarkStart w:id="941" w:name="_Toc4111"/>
      <w:bookmarkStart w:id="942" w:name="_Toc11658"/>
      <w:bookmarkStart w:id="943" w:name="_Toc25710"/>
      <w:bookmarkStart w:id="944" w:name="_Toc23927"/>
      <w:bookmarkStart w:id="945" w:name="_Toc24731"/>
      <w:bookmarkStart w:id="946" w:name="_Toc13150"/>
      <w:bookmarkStart w:id="947" w:name="_Toc25844"/>
      <w:bookmarkStart w:id="948" w:name="_Toc26299"/>
      <w:bookmarkStart w:id="949" w:name="_Toc30958"/>
      <w:bookmarkStart w:id="950" w:name="_Toc6596"/>
      <w:bookmarkStart w:id="951" w:name="_Toc1125"/>
      <w:bookmarkStart w:id="952" w:name="_Toc25358"/>
      <w:bookmarkStart w:id="953" w:name="_Toc30476"/>
      <w:bookmarkStart w:id="954" w:name="_Toc14890"/>
      <w:bookmarkStart w:id="955" w:name="_Toc30133"/>
      <w:bookmarkStart w:id="956" w:name="_Toc20534"/>
      <w:bookmarkStart w:id="957" w:name="_Toc14563"/>
      <w:r>
        <w:rPr>
          <w:rFonts w:hint="eastAsia" w:ascii="宋体" w:hAnsi="宋体" w:eastAsia="宋体" w:cs="宋体"/>
          <w:b/>
          <w:color w:val="auto"/>
          <w:sz w:val="24"/>
        </w:rPr>
        <w:t>2.17 检验和验收</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3"/>
    <w:bookmarkEnd w:id="834"/>
    <w:bookmarkEnd w:id="835"/>
    <w:bookmarkEnd w:id="836"/>
    <w:p w14:paraId="39172759">
      <w:pPr>
        <w:spacing w:line="360" w:lineRule="exact"/>
        <w:ind w:firstLine="482" w:firstLineChars="200"/>
        <w:outlineLvl w:val="0"/>
        <w:rPr>
          <w:rFonts w:hint="eastAsia" w:ascii="宋体" w:hAnsi="宋体" w:eastAsia="宋体" w:cs="宋体"/>
          <w:b/>
          <w:color w:val="auto"/>
          <w:sz w:val="24"/>
        </w:rPr>
      </w:pPr>
      <w:bookmarkStart w:id="958" w:name="_Toc487900371"/>
      <w:bookmarkStart w:id="959" w:name="_Toc259093690"/>
      <w:bookmarkStart w:id="960" w:name="_Toc279701261"/>
      <w:bookmarkStart w:id="961" w:name="_Toc25182"/>
      <w:bookmarkStart w:id="962" w:name="_Toc27621"/>
      <w:bookmarkStart w:id="963" w:name="_Toc13220"/>
      <w:bookmarkStart w:id="964" w:name="_Toc8096"/>
      <w:bookmarkStart w:id="965" w:name="_Toc15037"/>
      <w:bookmarkStart w:id="966" w:name="_Toc31218"/>
      <w:bookmarkStart w:id="967" w:name="_Toc14242"/>
      <w:bookmarkStart w:id="968" w:name="_Toc22021"/>
      <w:bookmarkStart w:id="969" w:name="_Toc12493"/>
      <w:bookmarkStart w:id="970" w:name="_Toc26892"/>
      <w:bookmarkStart w:id="971" w:name="_Toc26823"/>
      <w:bookmarkStart w:id="972" w:name="_Toc9266"/>
      <w:bookmarkStart w:id="973" w:name="_Toc725"/>
      <w:bookmarkStart w:id="974" w:name="_Toc18538"/>
      <w:bookmarkStart w:id="975" w:name="_Toc4983"/>
      <w:bookmarkStart w:id="976" w:name="_Toc19604"/>
      <w:bookmarkStart w:id="977" w:name="_Toc11284"/>
      <w:bookmarkStart w:id="978" w:name="_Toc17270"/>
      <w:bookmarkStart w:id="979" w:name="_Toc197"/>
      <w:r>
        <w:rPr>
          <w:rFonts w:hint="eastAsia" w:ascii="宋体" w:hAnsi="宋体" w:eastAsia="宋体" w:cs="宋体"/>
          <w:b/>
          <w:color w:val="auto"/>
          <w:sz w:val="24"/>
        </w:rPr>
        <w:t>2.18 通知</w:t>
      </w:r>
      <w:bookmarkEnd w:id="958"/>
      <w:bookmarkEnd w:id="959"/>
      <w:bookmarkEnd w:id="960"/>
      <w:r>
        <w:rPr>
          <w:rFonts w:hint="eastAsia" w:ascii="宋体" w:hAnsi="宋体" w:eastAsia="宋体" w:cs="宋体"/>
          <w:b/>
          <w:color w:val="auto"/>
          <w:sz w:val="24"/>
        </w:rPr>
        <w:t>和送达</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50AA9093">
      <w:pPr>
        <w:spacing w:line="360" w:lineRule="exact"/>
        <w:ind w:firstLine="480" w:firstLineChars="200"/>
        <w:rPr>
          <w:rFonts w:hint="eastAsia" w:ascii="宋体" w:hAnsi="宋体" w:eastAsia="宋体" w:cs="宋体"/>
          <w:color w:val="auto"/>
          <w:sz w:val="24"/>
        </w:rPr>
      </w:pPr>
      <w:bookmarkStart w:id="980" w:name="_Toc6698"/>
      <w:bookmarkStart w:id="981" w:name="_Toc3135"/>
      <w:bookmarkStart w:id="982" w:name="_Toc279701262"/>
      <w:bookmarkStart w:id="983" w:name="_Toc259093691"/>
      <w:bookmarkStart w:id="984" w:name="_Toc48790037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0"/>
      <w:bookmarkEnd w:id="981"/>
    </w:p>
    <w:p w14:paraId="69F728D3">
      <w:pPr>
        <w:spacing w:line="360" w:lineRule="exact"/>
        <w:ind w:firstLine="480" w:firstLineChars="200"/>
        <w:rPr>
          <w:rFonts w:hint="eastAsia" w:ascii="宋体" w:hAnsi="宋体" w:eastAsia="宋体" w:cs="宋体"/>
          <w:color w:val="auto"/>
          <w:sz w:val="24"/>
        </w:rPr>
      </w:pPr>
      <w:bookmarkStart w:id="985" w:name="_Toc23294"/>
      <w:bookmarkStart w:id="986"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5"/>
      <w:bookmarkEnd w:id="986"/>
    </w:p>
    <w:p w14:paraId="5162C17A">
      <w:pPr>
        <w:spacing w:line="360" w:lineRule="exact"/>
        <w:ind w:firstLine="482" w:firstLineChars="200"/>
        <w:outlineLvl w:val="0"/>
        <w:rPr>
          <w:rFonts w:hint="eastAsia" w:ascii="宋体" w:hAnsi="宋体" w:eastAsia="宋体" w:cs="宋体"/>
          <w:b/>
          <w:color w:val="auto"/>
          <w:sz w:val="24"/>
        </w:rPr>
      </w:pPr>
      <w:bookmarkStart w:id="987" w:name="_Toc4241"/>
      <w:bookmarkStart w:id="988" w:name="_Toc27038"/>
      <w:bookmarkStart w:id="989" w:name="_Toc2623"/>
      <w:bookmarkStart w:id="990" w:name="_Toc12721"/>
      <w:bookmarkStart w:id="991" w:name="_Toc31861"/>
      <w:bookmarkStart w:id="992" w:name="_Toc9371"/>
      <w:bookmarkStart w:id="993" w:name="_Toc7327"/>
      <w:bookmarkStart w:id="994" w:name="_Toc20309"/>
      <w:bookmarkStart w:id="995" w:name="_Toc20914"/>
      <w:bookmarkStart w:id="996" w:name="_Toc21923"/>
      <w:bookmarkStart w:id="997" w:name="_Toc19885"/>
      <w:bookmarkStart w:id="998" w:name="_Toc11892"/>
      <w:bookmarkStart w:id="999" w:name="_Toc14810"/>
      <w:bookmarkStart w:id="1000" w:name="_Toc29312"/>
      <w:bookmarkStart w:id="1001" w:name="_Toc32268"/>
      <w:bookmarkStart w:id="1002" w:name="_Toc4747"/>
      <w:r>
        <w:rPr>
          <w:rFonts w:hint="eastAsia" w:ascii="宋体" w:hAnsi="宋体" w:eastAsia="宋体" w:cs="宋体"/>
          <w:b/>
          <w:color w:val="auto"/>
          <w:sz w:val="24"/>
        </w:rPr>
        <w:t>2.19 计量单位</w:t>
      </w:r>
      <w:bookmarkEnd w:id="982"/>
      <w:bookmarkEnd w:id="983"/>
      <w:bookmarkEnd w:id="984"/>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3" w:name="_Toc20624"/>
      <w:bookmarkStart w:id="1004" w:name="_Toc21095"/>
      <w:bookmarkStart w:id="1005" w:name="_Toc27589"/>
      <w:bookmarkStart w:id="1006" w:name="_Toc8800"/>
      <w:bookmarkStart w:id="1007" w:name="_Toc279701263"/>
      <w:bookmarkStart w:id="1008" w:name="_Toc13131"/>
      <w:bookmarkStart w:id="1009" w:name="_Toc10330"/>
      <w:bookmarkStart w:id="1010" w:name="_Toc19154"/>
      <w:bookmarkStart w:id="1011" w:name="_Toc5796"/>
      <w:bookmarkStart w:id="1012" w:name="_Toc15868"/>
      <w:bookmarkStart w:id="1013" w:name="_Toc18322"/>
      <w:bookmarkStart w:id="1014" w:name="_Toc32583"/>
      <w:bookmarkStart w:id="1015" w:name="_Toc15428"/>
      <w:bookmarkStart w:id="1016" w:name="_Toc17517"/>
      <w:bookmarkStart w:id="1017" w:name="_Toc259093692"/>
      <w:bookmarkStart w:id="1018" w:name="_Toc18567"/>
      <w:bookmarkStart w:id="1019" w:name="_Toc16880"/>
      <w:bookmarkStart w:id="1020" w:name="_Toc12773"/>
      <w:bookmarkStart w:id="1021" w:name="_Toc9626"/>
      <w:bookmarkStart w:id="1022" w:name="_Toc487900373"/>
      <w:bookmarkStart w:id="1023" w:name="_Toc18634"/>
      <w:r>
        <w:rPr>
          <w:rFonts w:hint="eastAsia" w:ascii="宋体" w:hAnsi="宋体" w:eastAsia="宋体" w:cs="宋体"/>
          <w:b/>
          <w:color w:val="auto"/>
          <w:sz w:val="24"/>
        </w:rPr>
        <w:t>2.20 合同使用的文字和适用的法律</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4" w:name="_Toc14308"/>
      <w:bookmarkStart w:id="1025" w:name="_Toc16673"/>
      <w:bookmarkStart w:id="1026" w:name="_Toc11628"/>
      <w:bookmarkStart w:id="1027" w:name="_Toc31790"/>
      <w:bookmarkStart w:id="1028" w:name="_Toc18845"/>
      <w:bookmarkStart w:id="1029" w:name="_Toc259093693"/>
      <w:bookmarkStart w:id="1030" w:name="_Toc15434"/>
      <w:bookmarkStart w:id="1031" w:name="_Toc25551"/>
      <w:bookmarkStart w:id="1032" w:name="_Toc23680"/>
      <w:bookmarkStart w:id="1033" w:name="_Toc5000"/>
      <w:bookmarkStart w:id="1034" w:name="_Toc279701264"/>
      <w:bookmarkStart w:id="1035" w:name="_Toc8022"/>
      <w:bookmarkStart w:id="1036" w:name="_Toc8602"/>
      <w:bookmarkStart w:id="1037" w:name="_Toc14964"/>
      <w:bookmarkStart w:id="1038" w:name="_Toc26372"/>
      <w:bookmarkStart w:id="1039" w:name="_Toc12004"/>
      <w:bookmarkStart w:id="1040" w:name="_Toc32497"/>
      <w:bookmarkStart w:id="1041" w:name="_Toc3148"/>
      <w:bookmarkStart w:id="1042" w:name="_Toc1670"/>
      <w:bookmarkStart w:id="1043" w:name="_Toc538"/>
      <w:bookmarkStart w:id="1044" w:name="_Toc487900374"/>
      <w:r>
        <w:rPr>
          <w:rFonts w:hint="eastAsia" w:ascii="宋体" w:hAnsi="宋体" w:eastAsia="宋体" w:cs="宋体"/>
          <w:b/>
          <w:color w:val="auto"/>
          <w:sz w:val="24"/>
        </w:rPr>
        <w:t>2.21 履约保证金</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4"/>
    <w:p w14:paraId="5171E930">
      <w:pPr>
        <w:spacing w:line="360" w:lineRule="exact"/>
        <w:ind w:firstLine="482" w:firstLineChars="200"/>
        <w:outlineLvl w:val="0"/>
        <w:rPr>
          <w:rFonts w:hint="eastAsia" w:ascii="宋体" w:hAnsi="宋体" w:eastAsia="宋体" w:cs="宋体"/>
          <w:b/>
          <w:color w:val="auto"/>
          <w:sz w:val="24"/>
        </w:rPr>
      </w:pPr>
      <w:bookmarkStart w:id="1045" w:name="_Toc8495"/>
      <w:bookmarkStart w:id="1046" w:name="_Toc8867"/>
      <w:bookmarkStart w:id="1047" w:name="_Toc24006"/>
      <w:bookmarkStart w:id="1048" w:name="_Toc30847"/>
      <w:bookmarkStart w:id="1049" w:name="_Toc14001"/>
      <w:bookmarkStart w:id="1050" w:name="_Toc27563"/>
      <w:bookmarkStart w:id="1051" w:name="_Toc15273"/>
      <w:bookmarkStart w:id="1052" w:name="_Toc6885"/>
      <w:bookmarkStart w:id="1053" w:name="_Toc10801"/>
      <w:bookmarkStart w:id="1054" w:name="_Toc11103"/>
      <w:bookmarkStart w:id="1055" w:name="_Toc22496"/>
      <w:bookmarkStart w:id="1056" w:name="_Toc5227"/>
      <w:bookmarkStart w:id="1057" w:name="_Toc22184"/>
      <w:bookmarkStart w:id="1058" w:name="_Toc25691"/>
      <w:bookmarkStart w:id="1059" w:name="_Toc2720"/>
      <w:bookmarkStart w:id="1060" w:name="_Toc22821"/>
      <w:bookmarkStart w:id="1061" w:name="_Toc32408"/>
      <w:bookmarkStart w:id="1062" w:name="_Toc19890"/>
      <w:bookmarkStart w:id="1063" w:name="_Toc30496"/>
      <w:r>
        <w:rPr>
          <w:rFonts w:hint="eastAsia" w:ascii="宋体" w:hAnsi="宋体" w:eastAsia="宋体" w:cs="宋体"/>
          <w:b/>
          <w:color w:val="auto"/>
          <w:sz w:val="24"/>
        </w:rPr>
        <w:t>2.22 合同份数</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5"/>
        <w:spacing w:line="360" w:lineRule="exact"/>
        <w:ind w:firstLine="0"/>
        <w:jc w:val="center"/>
        <w:rPr>
          <w:rFonts w:hint="eastAsia" w:ascii="宋体" w:hAnsi="宋体" w:eastAsia="宋体" w:cs="宋体"/>
          <w:b/>
          <w:color w:val="auto"/>
          <w:szCs w:val="24"/>
        </w:rPr>
      </w:pPr>
    </w:p>
    <w:p w14:paraId="39B9D046">
      <w:pPr>
        <w:pStyle w:val="35"/>
        <w:spacing w:line="360" w:lineRule="exact"/>
        <w:ind w:firstLine="0"/>
        <w:jc w:val="center"/>
        <w:rPr>
          <w:rFonts w:hint="eastAsia" w:ascii="宋体" w:hAnsi="宋体" w:eastAsia="宋体" w:cs="宋体"/>
          <w:b/>
          <w:color w:val="auto"/>
          <w:szCs w:val="24"/>
        </w:rPr>
      </w:pPr>
    </w:p>
    <w:p w14:paraId="08D3F9A1">
      <w:pPr>
        <w:pStyle w:val="35"/>
        <w:spacing w:line="360" w:lineRule="exact"/>
        <w:ind w:firstLine="0"/>
        <w:jc w:val="center"/>
        <w:rPr>
          <w:rFonts w:hint="eastAsia" w:ascii="宋体" w:hAnsi="宋体" w:eastAsia="宋体" w:cs="宋体"/>
          <w:b/>
          <w:color w:val="auto"/>
          <w:szCs w:val="24"/>
        </w:rPr>
      </w:pPr>
    </w:p>
    <w:p w14:paraId="1BD211A6">
      <w:pPr>
        <w:pStyle w:val="35"/>
        <w:spacing w:line="360" w:lineRule="exact"/>
        <w:ind w:firstLine="0"/>
        <w:jc w:val="center"/>
        <w:rPr>
          <w:rFonts w:hint="eastAsia" w:ascii="宋体" w:hAnsi="宋体" w:eastAsia="宋体" w:cs="宋体"/>
          <w:b/>
          <w:color w:val="auto"/>
          <w:szCs w:val="24"/>
        </w:rPr>
      </w:pPr>
    </w:p>
    <w:p w14:paraId="3892CE80">
      <w:pPr>
        <w:pStyle w:val="35"/>
        <w:spacing w:line="360" w:lineRule="exact"/>
        <w:ind w:firstLine="0"/>
        <w:jc w:val="center"/>
        <w:rPr>
          <w:rFonts w:hint="eastAsia" w:ascii="宋体" w:hAnsi="宋体" w:eastAsia="宋体" w:cs="宋体"/>
          <w:b/>
          <w:color w:val="auto"/>
          <w:szCs w:val="24"/>
        </w:rPr>
      </w:pPr>
    </w:p>
    <w:p w14:paraId="6CB3E7C7">
      <w:pPr>
        <w:pStyle w:val="35"/>
        <w:spacing w:line="360" w:lineRule="exact"/>
        <w:ind w:firstLine="0"/>
        <w:jc w:val="center"/>
        <w:rPr>
          <w:rFonts w:hint="eastAsia" w:ascii="宋体" w:hAnsi="宋体" w:eastAsia="宋体" w:cs="宋体"/>
          <w:b/>
          <w:color w:val="auto"/>
          <w:szCs w:val="24"/>
        </w:rPr>
      </w:pPr>
    </w:p>
    <w:p w14:paraId="1353874E">
      <w:pPr>
        <w:pStyle w:val="35"/>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5E3FD9C9">
      <w:pPr>
        <w:rPr>
          <w:rFonts w:hint="eastAsia" w:ascii="微软雅黑" w:hAnsi="微软雅黑" w:eastAsia="微软雅黑" w:cs="微软雅黑"/>
          <w:color w:val="auto"/>
          <w:sz w:val="28"/>
          <w:highlight w:val="none"/>
        </w:rPr>
      </w:pPr>
    </w:p>
    <w:p w14:paraId="1386ACE0">
      <w:pPr>
        <w:rPr>
          <w:rFonts w:hint="eastAsia" w:ascii="微软雅黑" w:hAnsi="微软雅黑" w:eastAsia="微软雅黑" w:cs="微软雅黑"/>
          <w:color w:val="auto"/>
          <w:sz w:val="28"/>
          <w:highlight w:val="none"/>
        </w:rPr>
      </w:pPr>
    </w:p>
    <w:p w14:paraId="60BDD7F4">
      <w:pPr>
        <w:rPr>
          <w:rFonts w:hint="eastAsia" w:ascii="微软雅黑" w:hAnsi="微软雅黑" w:eastAsia="微软雅黑" w:cs="微软雅黑"/>
          <w:color w:val="auto"/>
          <w:sz w:val="28"/>
          <w:highlight w:val="none"/>
        </w:rPr>
      </w:pPr>
    </w:p>
    <w:p w14:paraId="514AF412">
      <w:pPr>
        <w:rPr>
          <w:rFonts w:hint="eastAsia" w:ascii="微软雅黑" w:hAnsi="微软雅黑" w:eastAsia="微软雅黑" w:cs="微软雅黑"/>
          <w:color w:val="auto"/>
          <w:sz w:val="28"/>
          <w:highlight w:val="none"/>
        </w:rPr>
      </w:pPr>
    </w:p>
    <w:p w14:paraId="6B3EEEC2">
      <w:pPr>
        <w:rPr>
          <w:rFonts w:hint="eastAsia" w:ascii="微软雅黑" w:hAnsi="微软雅黑" w:eastAsia="微软雅黑" w:cs="微软雅黑"/>
          <w:color w:val="auto"/>
          <w:sz w:val="28"/>
          <w:highlight w:val="none"/>
        </w:rPr>
      </w:pPr>
    </w:p>
    <w:p w14:paraId="650AE7D1">
      <w:pPr>
        <w:rPr>
          <w:rFonts w:hint="eastAsia" w:ascii="微软雅黑" w:hAnsi="微软雅黑" w:eastAsia="微软雅黑" w:cs="微软雅黑"/>
          <w:color w:val="auto"/>
          <w:sz w:val="28"/>
          <w:highlight w:val="none"/>
        </w:rPr>
      </w:pPr>
    </w:p>
    <w:p w14:paraId="7C11084F">
      <w:pPr>
        <w:rPr>
          <w:rFonts w:hint="eastAsia" w:ascii="微软雅黑" w:hAnsi="微软雅黑" w:eastAsia="微软雅黑" w:cs="微软雅黑"/>
          <w:color w:val="auto"/>
          <w:sz w:val="28"/>
          <w:highlight w:val="none"/>
        </w:rPr>
      </w:pPr>
    </w:p>
    <w:p w14:paraId="76D362D2">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3"/>
                            </w:rPr>
                          </w:pPr>
                          <w:r>
                            <w:fldChar w:fldCharType="begin"/>
                          </w:r>
                          <w:r>
                            <w:rPr>
                              <w:rStyle w:val="23"/>
                            </w:rPr>
                            <w:instrText xml:space="preserve">PAGE  </w:instrText>
                          </w:r>
                          <w:r>
                            <w:fldChar w:fldCharType="separate"/>
                          </w:r>
                          <w:r>
                            <w:rPr>
                              <w:rStyle w:val="23"/>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3"/>
                      </w:rPr>
                    </w:pPr>
                    <w:r>
                      <w:fldChar w:fldCharType="begin"/>
                    </w:r>
                    <w:r>
                      <w:rPr>
                        <w:rStyle w:val="23"/>
                      </w:rPr>
                      <w:instrText xml:space="preserve">PAGE  </w:instrText>
                    </w:r>
                    <w:r>
                      <w:fldChar w:fldCharType="separate"/>
                    </w:r>
                    <w:r>
                      <w:rPr>
                        <w:rStyle w:val="23"/>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3"/>
      </w:rPr>
    </w:pPr>
    <w:r>
      <w:fldChar w:fldCharType="begin"/>
    </w:r>
    <w:r>
      <w:rPr>
        <w:rStyle w:val="23"/>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KSMGTX(GK)2025-05号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
    <w:nsid w:val="0467AE96"/>
    <w:multiLevelType w:val="singleLevel"/>
    <w:tmpl w:val="0467AE96"/>
    <w:lvl w:ilvl="0" w:tentative="0">
      <w:start w:val="1"/>
      <w:numFmt w:val="chineseCounting"/>
      <w:suff w:val="nothing"/>
      <w:lvlText w:val="%1、"/>
      <w:lvlJc w:val="left"/>
      <w:rPr>
        <w:rFonts w:hint="eastAsia"/>
      </w:rPr>
    </w:lvl>
  </w:abstractNum>
  <w:abstractNum w:abstractNumId="2">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3">
    <w:nsid w:val="0B69BD99"/>
    <w:multiLevelType w:val="singleLevel"/>
    <w:tmpl w:val="0B69BD99"/>
    <w:lvl w:ilvl="0" w:tentative="0">
      <w:start w:val="2"/>
      <w:numFmt w:val="decimal"/>
      <w:suff w:val="nothing"/>
      <w:lvlText w:val="%1、"/>
      <w:lvlJc w:val="left"/>
    </w:lvl>
  </w:abstractNum>
  <w:abstractNum w:abstractNumId="4">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5">
    <w:nsid w:val="210D458D"/>
    <w:multiLevelType w:val="singleLevel"/>
    <w:tmpl w:val="210D458D"/>
    <w:lvl w:ilvl="0" w:tentative="0">
      <w:start w:val="4"/>
      <w:numFmt w:val="chineseCounting"/>
      <w:suff w:val="nothing"/>
      <w:lvlText w:val="%1、"/>
      <w:lvlJc w:val="left"/>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A50A04B"/>
    <w:multiLevelType w:val="singleLevel"/>
    <w:tmpl w:val="3A50A04B"/>
    <w:lvl w:ilvl="0" w:tentative="0">
      <w:start w:val="1"/>
      <w:numFmt w:val="chineseCounting"/>
      <w:suff w:val="nothing"/>
      <w:lvlText w:val="%1、"/>
      <w:lvlJc w:val="left"/>
      <w:rPr>
        <w:rFonts w:hint="eastAsia"/>
      </w:rPr>
    </w:lvl>
  </w:abstractNum>
  <w:abstractNum w:abstractNumId="8">
    <w:nsid w:val="3D3EC3C1"/>
    <w:multiLevelType w:val="singleLevel"/>
    <w:tmpl w:val="3D3EC3C1"/>
    <w:lvl w:ilvl="0" w:tentative="0">
      <w:start w:val="11"/>
      <w:numFmt w:val="chineseCounting"/>
      <w:suff w:val="nothing"/>
      <w:lvlText w:val="%1、"/>
      <w:lvlJc w:val="left"/>
      <w:rPr>
        <w:rFonts w:hint="eastAsia"/>
      </w:rPr>
    </w:lvl>
  </w:abstractNum>
  <w:abstractNum w:abstractNumId="9">
    <w:nsid w:val="7D94A426"/>
    <w:multiLevelType w:val="singleLevel"/>
    <w:tmpl w:val="7D94A426"/>
    <w:lvl w:ilvl="0" w:tentative="0">
      <w:start w:val="2"/>
      <w:numFmt w:val="decimal"/>
      <w:suff w:val="nothing"/>
      <w:lvlText w:val="（%1）"/>
      <w:lvlJc w:val="left"/>
    </w:lvl>
  </w:abstractNum>
  <w:num w:numId="1">
    <w:abstractNumId w:val="6"/>
  </w:num>
  <w:num w:numId="2">
    <w:abstractNumId w:val="4"/>
  </w:num>
  <w:num w:numId="3">
    <w:abstractNumId w:val="3"/>
  </w:num>
  <w:num w:numId="4">
    <w:abstractNumId w:val="2"/>
  </w:num>
  <w:num w:numId="5">
    <w:abstractNumId w:val="9"/>
  </w:num>
  <w:num w:numId="6">
    <w:abstractNumId w:val="0"/>
  </w:num>
  <w:num w:numId="7">
    <w:abstractNumId w:val="8"/>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9269A2"/>
    <w:rsid w:val="00A9324D"/>
    <w:rsid w:val="00B32DBF"/>
    <w:rsid w:val="00E80370"/>
    <w:rsid w:val="018E4AA0"/>
    <w:rsid w:val="02290C40"/>
    <w:rsid w:val="02F76817"/>
    <w:rsid w:val="02F96864"/>
    <w:rsid w:val="036A59B4"/>
    <w:rsid w:val="03CE5F43"/>
    <w:rsid w:val="047F5D4C"/>
    <w:rsid w:val="048C361D"/>
    <w:rsid w:val="04CC35A6"/>
    <w:rsid w:val="04E2157A"/>
    <w:rsid w:val="05917D69"/>
    <w:rsid w:val="06AD6EE6"/>
    <w:rsid w:val="072B3C09"/>
    <w:rsid w:val="08216398"/>
    <w:rsid w:val="0958005D"/>
    <w:rsid w:val="09AB7597"/>
    <w:rsid w:val="09BA5BDC"/>
    <w:rsid w:val="0B350656"/>
    <w:rsid w:val="0B5F1B77"/>
    <w:rsid w:val="0C7B653C"/>
    <w:rsid w:val="0D113477"/>
    <w:rsid w:val="0DBF68FD"/>
    <w:rsid w:val="0DE66A97"/>
    <w:rsid w:val="0E0364D1"/>
    <w:rsid w:val="0E9733D5"/>
    <w:rsid w:val="0FA90F70"/>
    <w:rsid w:val="0FB07DDE"/>
    <w:rsid w:val="121A2353"/>
    <w:rsid w:val="12920546"/>
    <w:rsid w:val="130C25E4"/>
    <w:rsid w:val="13A57770"/>
    <w:rsid w:val="142E0338"/>
    <w:rsid w:val="147B68EB"/>
    <w:rsid w:val="14BC59D6"/>
    <w:rsid w:val="14DC30B0"/>
    <w:rsid w:val="15340416"/>
    <w:rsid w:val="156F0C08"/>
    <w:rsid w:val="1571672E"/>
    <w:rsid w:val="16783AEC"/>
    <w:rsid w:val="16AE3581"/>
    <w:rsid w:val="16F615E1"/>
    <w:rsid w:val="17712A16"/>
    <w:rsid w:val="17C20BA8"/>
    <w:rsid w:val="17D66D1D"/>
    <w:rsid w:val="18055854"/>
    <w:rsid w:val="18420856"/>
    <w:rsid w:val="18BD7EDC"/>
    <w:rsid w:val="19020C0B"/>
    <w:rsid w:val="19033B41"/>
    <w:rsid w:val="194D1260"/>
    <w:rsid w:val="197472D5"/>
    <w:rsid w:val="19882298"/>
    <w:rsid w:val="19A0097A"/>
    <w:rsid w:val="19EF2318"/>
    <w:rsid w:val="1A654A23"/>
    <w:rsid w:val="1A8E2925"/>
    <w:rsid w:val="1ACD2659"/>
    <w:rsid w:val="1B9273FE"/>
    <w:rsid w:val="1B99253B"/>
    <w:rsid w:val="1C275D99"/>
    <w:rsid w:val="1C4701E9"/>
    <w:rsid w:val="1DC046F7"/>
    <w:rsid w:val="1DEA52D0"/>
    <w:rsid w:val="1F212F73"/>
    <w:rsid w:val="1F9D59EC"/>
    <w:rsid w:val="1FCA3451"/>
    <w:rsid w:val="204D7D98"/>
    <w:rsid w:val="20D1583D"/>
    <w:rsid w:val="219860B0"/>
    <w:rsid w:val="21B53E47"/>
    <w:rsid w:val="21E70D7C"/>
    <w:rsid w:val="22592A24"/>
    <w:rsid w:val="22E108B3"/>
    <w:rsid w:val="22F4686C"/>
    <w:rsid w:val="231B1CFB"/>
    <w:rsid w:val="23561618"/>
    <w:rsid w:val="23750E48"/>
    <w:rsid w:val="249D6FE0"/>
    <w:rsid w:val="24CD1CD6"/>
    <w:rsid w:val="252217F3"/>
    <w:rsid w:val="25B74631"/>
    <w:rsid w:val="25CD79B1"/>
    <w:rsid w:val="260E1E57"/>
    <w:rsid w:val="261455E0"/>
    <w:rsid w:val="26351F00"/>
    <w:rsid w:val="266B0F78"/>
    <w:rsid w:val="26C054D7"/>
    <w:rsid w:val="274A27F7"/>
    <w:rsid w:val="27D668C5"/>
    <w:rsid w:val="282A5F55"/>
    <w:rsid w:val="28F74D45"/>
    <w:rsid w:val="29672A4D"/>
    <w:rsid w:val="2987431B"/>
    <w:rsid w:val="298C38F4"/>
    <w:rsid w:val="29C70958"/>
    <w:rsid w:val="2A0C563C"/>
    <w:rsid w:val="2ABA427C"/>
    <w:rsid w:val="2B6A3EF4"/>
    <w:rsid w:val="2B722A9E"/>
    <w:rsid w:val="2B857A80"/>
    <w:rsid w:val="2C014067"/>
    <w:rsid w:val="2C804090"/>
    <w:rsid w:val="2CF5641F"/>
    <w:rsid w:val="2D744BB6"/>
    <w:rsid w:val="2D92328E"/>
    <w:rsid w:val="2DC7118A"/>
    <w:rsid w:val="2DC84F02"/>
    <w:rsid w:val="2DD438A6"/>
    <w:rsid w:val="2E0F48DF"/>
    <w:rsid w:val="2E35500F"/>
    <w:rsid w:val="2E960AE5"/>
    <w:rsid w:val="2EDC2B09"/>
    <w:rsid w:val="2F08725D"/>
    <w:rsid w:val="2FBF40DD"/>
    <w:rsid w:val="30400B12"/>
    <w:rsid w:val="31C45633"/>
    <w:rsid w:val="329830F5"/>
    <w:rsid w:val="32A977CA"/>
    <w:rsid w:val="32B36180"/>
    <w:rsid w:val="33A361F5"/>
    <w:rsid w:val="34736989"/>
    <w:rsid w:val="35683252"/>
    <w:rsid w:val="35CD7559"/>
    <w:rsid w:val="362664E5"/>
    <w:rsid w:val="362F5B1E"/>
    <w:rsid w:val="36AF6DEB"/>
    <w:rsid w:val="36D41421"/>
    <w:rsid w:val="37184804"/>
    <w:rsid w:val="37876757"/>
    <w:rsid w:val="3791039E"/>
    <w:rsid w:val="38271103"/>
    <w:rsid w:val="3842422E"/>
    <w:rsid w:val="385160B7"/>
    <w:rsid w:val="387A4C2A"/>
    <w:rsid w:val="38FA1967"/>
    <w:rsid w:val="394A449E"/>
    <w:rsid w:val="39D1167F"/>
    <w:rsid w:val="3AB02FA5"/>
    <w:rsid w:val="3AB22872"/>
    <w:rsid w:val="3AD43598"/>
    <w:rsid w:val="3AEE5F7D"/>
    <w:rsid w:val="3B0F5F1E"/>
    <w:rsid w:val="3CBE19AA"/>
    <w:rsid w:val="3CE80E5E"/>
    <w:rsid w:val="3D7F382F"/>
    <w:rsid w:val="3E863281"/>
    <w:rsid w:val="3F6E5909"/>
    <w:rsid w:val="400C1FED"/>
    <w:rsid w:val="401144E6"/>
    <w:rsid w:val="401C3871"/>
    <w:rsid w:val="40980764"/>
    <w:rsid w:val="40BD06A8"/>
    <w:rsid w:val="40DA0D7C"/>
    <w:rsid w:val="40FB05FF"/>
    <w:rsid w:val="415E375B"/>
    <w:rsid w:val="419453CF"/>
    <w:rsid w:val="42076048"/>
    <w:rsid w:val="425D3A13"/>
    <w:rsid w:val="42B555FD"/>
    <w:rsid w:val="440E1469"/>
    <w:rsid w:val="44B57B36"/>
    <w:rsid w:val="44BD69EB"/>
    <w:rsid w:val="4565330A"/>
    <w:rsid w:val="45A3364E"/>
    <w:rsid w:val="46050649"/>
    <w:rsid w:val="467A1037"/>
    <w:rsid w:val="46D22E5E"/>
    <w:rsid w:val="474745F6"/>
    <w:rsid w:val="47673D7E"/>
    <w:rsid w:val="47DF335F"/>
    <w:rsid w:val="49B44A85"/>
    <w:rsid w:val="4A7331A3"/>
    <w:rsid w:val="4B4B6AFE"/>
    <w:rsid w:val="4B553E21"/>
    <w:rsid w:val="4B642B9F"/>
    <w:rsid w:val="4BDB1F80"/>
    <w:rsid w:val="4C8610C7"/>
    <w:rsid w:val="4CE07A5A"/>
    <w:rsid w:val="4D596628"/>
    <w:rsid w:val="4E270132"/>
    <w:rsid w:val="4E81258F"/>
    <w:rsid w:val="4F2A014F"/>
    <w:rsid w:val="4FAA0623"/>
    <w:rsid w:val="50463D38"/>
    <w:rsid w:val="510D2AA8"/>
    <w:rsid w:val="522D4F30"/>
    <w:rsid w:val="52410C5B"/>
    <w:rsid w:val="52C47453"/>
    <w:rsid w:val="52C602E1"/>
    <w:rsid w:val="52FB705C"/>
    <w:rsid w:val="53784B50"/>
    <w:rsid w:val="53980D4F"/>
    <w:rsid w:val="53BD6A07"/>
    <w:rsid w:val="54213D6D"/>
    <w:rsid w:val="545E16C8"/>
    <w:rsid w:val="54674CED"/>
    <w:rsid w:val="547C4811"/>
    <w:rsid w:val="548D6D04"/>
    <w:rsid w:val="551B5793"/>
    <w:rsid w:val="55A36253"/>
    <w:rsid w:val="55F239DB"/>
    <w:rsid w:val="564406D0"/>
    <w:rsid w:val="569752EE"/>
    <w:rsid w:val="56FE711B"/>
    <w:rsid w:val="571903F8"/>
    <w:rsid w:val="575431DF"/>
    <w:rsid w:val="576A0977"/>
    <w:rsid w:val="59024359"/>
    <w:rsid w:val="59360827"/>
    <w:rsid w:val="595A5713"/>
    <w:rsid w:val="59B44408"/>
    <w:rsid w:val="5A6E0A5B"/>
    <w:rsid w:val="5A751DEA"/>
    <w:rsid w:val="5B6B21CB"/>
    <w:rsid w:val="5BB81613"/>
    <w:rsid w:val="5BD91F04"/>
    <w:rsid w:val="5BEC60DC"/>
    <w:rsid w:val="5C3929A3"/>
    <w:rsid w:val="5C410404"/>
    <w:rsid w:val="5CA32A14"/>
    <w:rsid w:val="5DD60DF1"/>
    <w:rsid w:val="5DDC5CDC"/>
    <w:rsid w:val="5DF609F7"/>
    <w:rsid w:val="5E860E5C"/>
    <w:rsid w:val="5EFB1AB0"/>
    <w:rsid w:val="5F37703F"/>
    <w:rsid w:val="5F681F1D"/>
    <w:rsid w:val="5F814D8D"/>
    <w:rsid w:val="60A0265F"/>
    <w:rsid w:val="61A84853"/>
    <w:rsid w:val="61BF394A"/>
    <w:rsid w:val="61E65DE7"/>
    <w:rsid w:val="62A74B0A"/>
    <w:rsid w:val="62B17737"/>
    <w:rsid w:val="63155E2C"/>
    <w:rsid w:val="632223E3"/>
    <w:rsid w:val="64850116"/>
    <w:rsid w:val="64882719"/>
    <w:rsid w:val="64B74DAD"/>
    <w:rsid w:val="653603C7"/>
    <w:rsid w:val="65427495"/>
    <w:rsid w:val="65A45331"/>
    <w:rsid w:val="65BF2BC3"/>
    <w:rsid w:val="65E844FE"/>
    <w:rsid w:val="66320B8F"/>
    <w:rsid w:val="663658B2"/>
    <w:rsid w:val="66D32372"/>
    <w:rsid w:val="66E71979"/>
    <w:rsid w:val="670267B3"/>
    <w:rsid w:val="67A23AF2"/>
    <w:rsid w:val="68255D19"/>
    <w:rsid w:val="68DE0B5A"/>
    <w:rsid w:val="68FA5C34"/>
    <w:rsid w:val="69C9180A"/>
    <w:rsid w:val="6AED10F4"/>
    <w:rsid w:val="6C2A3A55"/>
    <w:rsid w:val="6CB0280D"/>
    <w:rsid w:val="6D395F15"/>
    <w:rsid w:val="6DCE3893"/>
    <w:rsid w:val="6DFF2573"/>
    <w:rsid w:val="6E5E53C9"/>
    <w:rsid w:val="6E654EFF"/>
    <w:rsid w:val="6EDF1F2E"/>
    <w:rsid w:val="6F0A08FB"/>
    <w:rsid w:val="6F2D2750"/>
    <w:rsid w:val="6FEF5D43"/>
    <w:rsid w:val="70082960"/>
    <w:rsid w:val="703379DD"/>
    <w:rsid w:val="703B4AE4"/>
    <w:rsid w:val="70BB443C"/>
    <w:rsid w:val="717B5AE0"/>
    <w:rsid w:val="71801EC8"/>
    <w:rsid w:val="72800ED4"/>
    <w:rsid w:val="72A6253E"/>
    <w:rsid w:val="739509AF"/>
    <w:rsid w:val="73DB0AB8"/>
    <w:rsid w:val="7443040B"/>
    <w:rsid w:val="745F3497"/>
    <w:rsid w:val="747B1953"/>
    <w:rsid w:val="74E92D60"/>
    <w:rsid w:val="758128AB"/>
    <w:rsid w:val="7590142E"/>
    <w:rsid w:val="7634625D"/>
    <w:rsid w:val="76D67314"/>
    <w:rsid w:val="774D3A7A"/>
    <w:rsid w:val="77626DFA"/>
    <w:rsid w:val="7771703D"/>
    <w:rsid w:val="77D575CC"/>
    <w:rsid w:val="78280044"/>
    <w:rsid w:val="78B72E35"/>
    <w:rsid w:val="78CF0F1C"/>
    <w:rsid w:val="798C63B0"/>
    <w:rsid w:val="79BA21CE"/>
    <w:rsid w:val="7A422F3B"/>
    <w:rsid w:val="7A49740A"/>
    <w:rsid w:val="7A9E0310"/>
    <w:rsid w:val="7AB45BBF"/>
    <w:rsid w:val="7AC35E02"/>
    <w:rsid w:val="7BF74F49"/>
    <w:rsid w:val="7C596102"/>
    <w:rsid w:val="7C6B49A3"/>
    <w:rsid w:val="7C8F7444"/>
    <w:rsid w:val="7CE54755"/>
    <w:rsid w:val="7D382E62"/>
    <w:rsid w:val="7D580A83"/>
    <w:rsid w:val="7DB3215D"/>
    <w:rsid w:val="7E355268"/>
    <w:rsid w:val="7E4234E1"/>
    <w:rsid w:val="7E521976"/>
    <w:rsid w:val="7E595AF6"/>
    <w:rsid w:val="7E834226"/>
    <w:rsid w:val="7E972DE5"/>
    <w:rsid w:val="7EBC3294"/>
    <w:rsid w:val="7EC67839"/>
    <w:rsid w:val="7F391313"/>
    <w:rsid w:val="7F5033CE"/>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qFormat/>
    <w:uiPriority w:val="0"/>
  </w:style>
  <w:style w:type="character" w:styleId="24">
    <w:name w:val="Emphasis"/>
    <w:basedOn w:val="21"/>
    <w:qFormat/>
    <w:uiPriority w:val="0"/>
    <w:rPr>
      <w:i/>
    </w:rPr>
  </w:style>
  <w:style w:type="character" w:styleId="25">
    <w:name w:val="footnote reference"/>
    <w:basedOn w:val="21"/>
    <w:qFormat/>
    <w:uiPriority w:val="0"/>
    <w:rPr>
      <w:vertAlign w:val="superscript"/>
    </w:rPr>
  </w:style>
  <w:style w:type="paragraph" w:customStyle="1" w:styleId="26">
    <w:name w:val="表格文字"/>
    <w:basedOn w:val="27"/>
    <w:autoRedefine/>
    <w:qFormat/>
    <w:uiPriority w:val="0"/>
    <w:pPr>
      <w:spacing w:before="25" w:after="25"/>
      <w:jc w:val="left"/>
    </w:pPr>
    <w:rPr>
      <w:bCs/>
      <w:spacing w:val="10"/>
      <w:sz w:val="24"/>
      <w:szCs w:val="20"/>
    </w:rPr>
  </w:style>
  <w:style w:type="paragraph" w:customStyle="1" w:styleId="27">
    <w:name w:val="表格文字（两侧对齐）"/>
    <w:basedOn w:val="1"/>
    <w:autoRedefine/>
    <w:qFormat/>
    <w:uiPriority w:val="0"/>
    <w:rPr>
      <w:rFonts w:ascii="Calibri" w:hAnsi="Calibri"/>
      <w:kern w:val="0"/>
      <w:sz w:val="20"/>
    </w:rPr>
  </w:style>
  <w:style w:type="paragraph" w:customStyle="1" w:styleId="28">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纯文本1"/>
    <w:basedOn w:val="1"/>
    <w:autoRedefine/>
    <w:qFormat/>
    <w:uiPriority w:val="0"/>
    <w:rPr>
      <w:rFonts w:ascii="宋体" w:hAnsi="Courier New"/>
      <w:kern w:val="0"/>
      <w:sz w:val="20"/>
      <w:szCs w:val="20"/>
    </w:rPr>
  </w:style>
  <w:style w:type="paragraph" w:customStyle="1" w:styleId="31">
    <w:name w:val="列出段落2"/>
    <w:basedOn w:val="1"/>
    <w:autoRedefine/>
    <w:qFormat/>
    <w:uiPriority w:val="34"/>
    <w:pPr>
      <w:ind w:firstLine="420" w:firstLineChars="200"/>
    </w:pPr>
  </w:style>
  <w:style w:type="paragraph" w:customStyle="1" w:styleId="32">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3">
    <w:name w:val="font01"/>
    <w:basedOn w:val="21"/>
    <w:autoRedefine/>
    <w:qFormat/>
    <w:uiPriority w:val="0"/>
    <w:rPr>
      <w:rFonts w:hint="eastAsia" w:ascii="宋体" w:hAnsi="宋体" w:eastAsia="宋体" w:cs="宋体"/>
      <w:color w:val="000000"/>
      <w:sz w:val="22"/>
      <w:szCs w:val="22"/>
      <w:u w:val="none"/>
    </w:rPr>
  </w:style>
  <w:style w:type="paragraph" w:customStyle="1" w:styleId="3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6">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7">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8">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9">
    <w:name w:val="NormalCharacter"/>
    <w:qFormat/>
    <w:uiPriority w:val="0"/>
    <w:rPr>
      <w:rFonts w:ascii="Times New Roman" w:hAnsi="Times New Roman" w:eastAsia="宋体" w:cs="Times New Roman"/>
      <w:kern w:val="2"/>
      <w:sz w:val="21"/>
      <w:szCs w:val="24"/>
      <w:lang w:val="en-US" w:eastAsia="zh-CN" w:bidi="ar-SA"/>
    </w:rPr>
  </w:style>
  <w:style w:type="paragraph" w:styleId="40">
    <w:name w:val="List Paragraph"/>
    <w:basedOn w:val="1"/>
    <w:qFormat/>
    <w:uiPriority w:val="99"/>
    <w:pPr>
      <w:ind w:firstLine="420" w:firstLineChars="200"/>
    </w:pPr>
  </w:style>
  <w:style w:type="paragraph" w:customStyle="1" w:styleId="41">
    <w:name w:val="索引 11"/>
    <w:basedOn w:val="1"/>
    <w:next w:val="1"/>
    <w:qFormat/>
    <w:uiPriority w:val="0"/>
    <w:pPr>
      <w:spacing w:line="360" w:lineRule="auto"/>
    </w:pPr>
    <w:rPr>
      <w:rFonts w:ascii="仿宋_GB2312" w:eastAsia="仿宋_GB2312"/>
      <w:sz w:val="24"/>
      <w:szCs w:val="20"/>
    </w:rPr>
  </w:style>
  <w:style w:type="paragraph" w:customStyle="1" w:styleId="4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3">
    <w:name w:val="Table Text"/>
    <w:basedOn w:val="1"/>
    <w:semiHidden/>
    <w:qFormat/>
    <w:uiPriority w:val="0"/>
    <w:rPr>
      <w:rFonts w:ascii="宋体" w:hAnsi="宋体" w:eastAsia="宋体" w:cs="宋体"/>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11"/>
    <w:qFormat/>
    <w:uiPriority w:val="0"/>
    <w:rPr>
      <w:rFonts w:hint="eastAsia" w:ascii="宋体" w:hAnsi="宋体" w:eastAsia="宋体" w:cs="宋体"/>
      <w:color w:val="000000"/>
      <w:sz w:val="21"/>
      <w:szCs w:val="21"/>
      <w:u w:val="none"/>
    </w:rPr>
  </w:style>
  <w:style w:type="character" w:customStyle="1" w:styleId="46">
    <w:name w:val="font31"/>
    <w:qFormat/>
    <w:uiPriority w:val="0"/>
    <w:rPr>
      <w:rFonts w:hint="eastAsia" w:ascii="宋体" w:hAnsi="宋体" w:eastAsia="宋体" w:cs="宋体"/>
      <w:color w:val="000000"/>
      <w:sz w:val="20"/>
      <w:szCs w:val="20"/>
      <w:u w:val="none"/>
    </w:rPr>
  </w:style>
  <w:style w:type="character" w:customStyle="1" w:styleId="47">
    <w:name w:val="font41"/>
    <w:qFormat/>
    <w:uiPriority w:val="0"/>
    <w:rPr>
      <w:rFonts w:hint="eastAsia" w:ascii="宋体" w:hAnsi="宋体" w:eastAsia="宋体" w:cs="宋体"/>
      <w:i/>
      <w:iCs/>
      <w:color w:val="000000"/>
      <w:sz w:val="20"/>
      <w:szCs w:val="20"/>
      <w:u w:val="none"/>
    </w:rPr>
  </w:style>
  <w:style w:type="character" w:customStyle="1" w:styleId="48">
    <w:name w:val="font21"/>
    <w:qFormat/>
    <w:uiPriority w:val="0"/>
    <w:rPr>
      <w:rFonts w:hint="eastAsia" w:ascii="宋体" w:hAnsi="宋体" w:eastAsia="宋体" w:cs="宋体"/>
      <w:b/>
      <w:bCs/>
      <w:color w:val="000000"/>
      <w:sz w:val="20"/>
      <w:szCs w:val="20"/>
      <w:u w:val="none"/>
    </w:rPr>
  </w:style>
  <w:style w:type="character" w:customStyle="1" w:styleId="49">
    <w:name w:val="font91"/>
    <w:qFormat/>
    <w:uiPriority w:val="0"/>
    <w:rPr>
      <w:rFonts w:hint="eastAsia" w:ascii="宋体" w:hAnsi="宋体" w:eastAsia="宋体" w:cs="宋体"/>
      <w:color w:val="000000"/>
      <w:sz w:val="20"/>
      <w:szCs w:val="20"/>
      <w:u w:val="none"/>
      <w:vertAlign w:val="superscript"/>
    </w:rPr>
  </w:style>
  <w:style w:type="character" w:customStyle="1" w:styleId="50">
    <w:name w:val="font61"/>
    <w:qFormat/>
    <w:uiPriority w:val="0"/>
    <w:rPr>
      <w:rFonts w:hint="eastAsia" w:ascii="宋体" w:hAnsi="宋体" w:eastAsia="宋体" w:cs="宋体"/>
      <w:color w:val="000000"/>
      <w:sz w:val="20"/>
      <w:szCs w:val="20"/>
      <w:u w:val="none"/>
      <w:vertAlign w:val="superscript"/>
    </w:rPr>
  </w:style>
  <w:style w:type="paragraph" w:customStyle="1" w:styleId="51">
    <w:name w:val="正文_1"/>
    <w:next w:val="1"/>
    <w:qFormat/>
    <w:uiPriority w:val="0"/>
    <w:pPr>
      <w:widowControl w:val="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16994</Words>
  <Characters>17799</Characters>
  <Lines>0</Lines>
  <Paragraphs>0</Paragraphs>
  <TotalTime>0</TotalTime>
  <ScaleCrop>false</ScaleCrop>
  <LinksUpToDate>false</LinksUpToDate>
  <CharactersWithSpaces>18032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2025-06-17T10:54:31Z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3E4F53A2D22249FCA0B617BCF849A042_13</vt:lpwstr>
  </property>
  <property fmtid="{D5CDD505-2E9C-101B-9397-08002B2CF9AE}" pid="4" name="KSOTemplateDocerSaveRecord">
    <vt:lpwstr>eyJoZGlkIjoiZDM0M2M1YTY3OGQzNjdmNDMyMmQ4ZTk3YTk1Y2U5NWUifQ==</vt:lpwstr>
  </property>
</Properties>
</file>