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outlineLvl w:val="0"/>
        <w:rPr>
          <w:rFonts w:hint="eastAsia"/>
          <w:lang w:val="en-US"/>
        </w:rPr>
      </w:pPr>
      <w:r>
        <w:rPr>
          <w:rFonts w:hint="eastAsia" w:ascii="仿宋" w:hAnsi="仿宋" w:eastAsia="仿宋" w:cs="仿宋"/>
          <w:b/>
          <w:bCs/>
          <w:snapToGrid w:val="0"/>
          <w:color w:val="000000"/>
          <w:spacing w:val="5"/>
          <w:kern w:val="0"/>
          <w:sz w:val="48"/>
          <w:szCs w:val="48"/>
          <w:lang w:val="en-US" w:eastAsia="zh-CN" w:bidi="ar-SA"/>
        </w:rPr>
        <w:t>莎车县教育系统2025年中职、高中学校食堂食材联合采购项目第4、5、6标段</w:t>
      </w:r>
    </w:p>
    <w:p>
      <w:pPr>
        <w:rPr>
          <w:rFonts w:hint="eastAsia"/>
          <w:lang w:val="en-US"/>
        </w:rPr>
      </w:pPr>
    </w:p>
    <w:p>
      <w:pPr>
        <w:pStyle w:val="6"/>
        <w:rPr>
          <w:rFonts w:hint="eastAsia"/>
          <w:lang w:val="en-US"/>
        </w:rPr>
      </w:pPr>
    </w:p>
    <w:p>
      <w:pPr>
        <w:pStyle w:val="6"/>
        <w:ind w:left="0" w:leftChars="0" w:firstLine="0" w:firstLineChars="0"/>
        <w:rPr>
          <w:rFonts w:hint="eastAsia"/>
          <w:lang w:val="en-US"/>
        </w:rPr>
      </w:pPr>
    </w:p>
    <w:p>
      <w:pPr>
        <w:rPr>
          <w:rFonts w:hint="eastAsia"/>
          <w:lang w:val="en-US"/>
        </w:rPr>
      </w:pPr>
    </w:p>
    <w:p>
      <w:pPr>
        <w:pStyle w:val="9"/>
        <w:spacing w:before="57" w:line="224" w:lineRule="auto"/>
        <w:jc w:val="center"/>
        <w:outlineLvl w:val="0"/>
        <w:rPr>
          <w:rFonts w:hint="eastAsia" w:ascii="仿宋" w:hAnsi="仿宋" w:eastAsia="仿宋" w:cs="仿宋"/>
          <w:sz w:val="40"/>
          <w:szCs w:val="40"/>
        </w:rPr>
      </w:pPr>
      <w:bookmarkStart w:id="0" w:name="_Toc23063"/>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0"/>
    </w:p>
    <w:p>
      <w:pPr>
        <w:spacing w:line="354" w:lineRule="auto"/>
        <w:rPr>
          <w:rFonts w:hint="eastAsia" w:ascii="仿宋" w:hAnsi="仿宋" w:eastAsia="仿宋" w:cs="仿宋"/>
          <w:sz w:val="21"/>
        </w:rPr>
      </w:pPr>
    </w:p>
    <w:p>
      <w:pPr>
        <w:spacing w:line="316" w:lineRule="auto"/>
        <w:rPr>
          <w:rFonts w:hint="eastAsia" w:ascii="仿宋" w:hAnsi="仿宋" w:eastAsia="仿宋" w:cs="仿宋"/>
          <w:sz w:val="21"/>
        </w:rPr>
      </w:pPr>
    </w:p>
    <w:p>
      <w:pPr>
        <w:pStyle w:val="9"/>
        <w:rPr>
          <w:rFonts w:hint="eastAsia" w:ascii="仿宋" w:hAnsi="仿宋" w:eastAsia="仿宋" w:cs="仿宋"/>
          <w:sz w:val="21"/>
        </w:rPr>
      </w:pPr>
    </w:p>
    <w:p>
      <w:pPr>
        <w:pStyle w:val="28"/>
        <w:rPr>
          <w:rFonts w:hint="eastAsia" w:ascii="仿宋" w:hAnsi="仿宋" w:eastAsia="仿宋" w:cs="仿宋"/>
          <w:sz w:val="21"/>
        </w:rPr>
      </w:pPr>
    </w:p>
    <w:p>
      <w:pPr>
        <w:spacing w:line="360" w:lineRule="auto"/>
        <w:rPr>
          <w:rFonts w:hint="eastAsia" w:ascii="仿宋" w:hAnsi="仿宋" w:eastAsia="仿宋" w:cs="仿宋"/>
        </w:rPr>
      </w:pPr>
    </w:p>
    <w:p>
      <w:pPr>
        <w:adjustRightInd w:val="0"/>
        <w:spacing w:line="336" w:lineRule="auto"/>
        <w:ind w:firstLine="1375" w:firstLineChars="500"/>
        <w:rPr>
          <w:rFonts w:hint="default" w:ascii="Times New Roman" w:hAnsi="Times New Roman" w:eastAsia="仿宋" w:cs="Times New Roman"/>
          <w:b/>
          <w:bCs/>
          <w:lang w:val="en-US" w:eastAsia="zh-CN"/>
        </w:rPr>
      </w:pPr>
      <w:r>
        <w:rPr>
          <w:rFonts w:hint="eastAsia" w:ascii="Times New Roman" w:hAnsi="Times New Roman" w:eastAsia="仿宋" w:cs="Times New Roman"/>
          <w:b/>
          <w:bCs/>
          <w:snapToGrid w:val="0"/>
          <w:color w:val="000000"/>
          <w:spacing w:val="-3"/>
          <w:kern w:val="0"/>
          <w:sz w:val="28"/>
          <w:szCs w:val="28"/>
          <w:lang w:val="en-US" w:eastAsia="en-US" w:bidi="ar-SA"/>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default" w:ascii="Times New Roman" w:hAnsi="Times New Roman" w:eastAsia="仿宋" w:cs="Times New Roman"/>
          <w:b/>
          <w:bCs/>
          <w:spacing w:val="-2"/>
          <w:u w:val="single" w:color="auto"/>
          <w:lang w:val="en-US" w:eastAsia="zh-CN"/>
        </w:rPr>
        <w:t xml:space="preserve"> </w:t>
      </w:r>
      <w:r>
        <w:rPr>
          <w:rFonts w:hint="default" w:ascii="Times New Roman" w:hAnsi="Times New Roman" w:eastAsia="仿宋" w:cs="Times New Roman"/>
          <w:b/>
          <w:bCs/>
          <w:color w:val="auto"/>
          <w:sz w:val="24"/>
          <w:szCs w:val="24"/>
          <w:u w:val="single"/>
          <w:lang w:val="en-US" w:eastAsia="zh-CN"/>
        </w:rPr>
        <w:t>KSSCX(GK)2025-015号</w:t>
      </w:r>
      <w:r>
        <w:rPr>
          <w:rFonts w:hint="default" w:ascii="Times New Roman" w:hAnsi="Times New Roman" w:eastAsia="仿宋" w:cs="Times New Roman"/>
          <w:b/>
          <w:bCs/>
          <w:spacing w:val="-2"/>
          <w:u w:val="single" w:color="auto"/>
          <w:lang w:val="en-US" w:eastAsia="zh-CN"/>
        </w:rPr>
        <w:t xml:space="preserve">                </w:t>
      </w:r>
      <w:r>
        <w:rPr>
          <w:rFonts w:hint="default" w:ascii="Times New Roman" w:hAnsi="Times New Roman" w:eastAsia="仿宋" w:cs="Times New Roman"/>
          <w:b/>
          <w:bCs/>
          <w:u w:val="single" w:color="auto"/>
          <w:lang w:val="en-US" w:eastAsia="zh-CN"/>
        </w:rPr>
        <w:t xml:space="preserve">               </w:t>
      </w:r>
    </w:p>
    <w:p>
      <w:pPr>
        <w:pStyle w:val="9"/>
        <w:spacing w:before="213" w:line="360" w:lineRule="auto"/>
        <w:ind w:left="1420"/>
        <w:rPr>
          <w:rFonts w:hint="default" w:ascii="Times New Roman" w:hAnsi="Times New Roman" w:eastAsia="仿宋" w:cs="Times New Roman"/>
          <w:b/>
          <w:bCs/>
          <w:lang w:val="en-US"/>
        </w:rPr>
      </w:pPr>
      <w:r>
        <w:rPr>
          <w:rFonts w:hint="default" w:ascii="Times New Roman" w:hAnsi="Times New Roman" w:eastAsia="仿宋" w:cs="Times New Roman"/>
          <w:b/>
          <w:bCs/>
          <w:spacing w:val="-3"/>
        </w:rPr>
        <w:t>采购单位：</w:t>
      </w:r>
      <w:r>
        <w:rPr>
          <w:rFonts w:hint="default" w:ascii="Times New Roman" w:hAnsi="Times New Roman" w:eastAsia="仿宋" w:cs="Times New Roman"/>
          <w:b/>
          <w:bCs/>
          <w:spacing w:val="-3"/>
          <w:u w:val="single" w:color="auto"/>
        </w:rPr>
        <w:t xml:space="preserve">   </w:t>
      </w:r>
      <w:r>
        <w:rPr>
          <w:rFonts w:hint="default" w:ascii="Times New Roman" w:hAnsi="Times New Roman" w:eastAsia="仿宋" w:cs="Times New Roman"/>
          <w:b/>
          <w:bCs/>
          <w:spacing w:val="-3"/>
          <w:u w:val="single" w:color="auto"/>
          <w:lang w:val="en-US" w:eastAsia="zh-CN"/>
        </w:rPr>
        <w:t xml:space="preserve">       </w:t>
      </w:r>
      <w:r>
        <w:rPr>
          <w:rFonts w:hint="default" w:ascii="Times New Roman" w:hAnsi="Times New Roman" w:eastAsia="仿宋" w:cs="Times New Roman"/>
          <w:b/>
          <w:bCs/>
          <w:spacing w:val="-3"/>
          <w:u w:val="single" w:color="auto"/>
          <w:lang w:eastAsia="zh-CN"/>
        </w:rPr>
        <w:t>莎车县教育局</w:t>
      </w:r>
      <w:r>
        <w:rPr>
          <w:rFonts w:hint="default" w:ascii="Times New Roman" w:hAnsi="Times New Roman" w:eastAsia="仿宋" w:cs="Times New Roman"/>
          <w:b/>
          <w:bCs/>
          <w:spacing w:val="5"/>
          <w:u w:val="single" w:color="auto"/>
        </w:rPr>
        <w:t xml:space="preserve">  </w:t>
      </w:r>
      <w:r>
        <w:rPr>
          <w:rFonts w:hint="default" w:ascii="Times New Roman" w:hAnsi="Times New Roman" w:eastAsia="仿宋" w:cs="Times New Roman"/>
          <w:b/>
          <w:bCs/>
          <w:spacing w:val="5"/>
          <w:u w:val="single" w:color="auto"/>
          <w:lang w:val="en-US" w:eastAsia="zh-CN"/>
        </w:rPr>
        <w:t xml:space="preserve">              </w:t>
      </w:r>
    </w:p>
    <w:p>
      <w:pPr>
        <w:pStyle w:val="9"/>
        <w:spacing w:before="212" w:line="360" w:lineRule="auto"/>
        <w:ind w:left="1427"/>
        <w:rPr>
          <w:rFonts w:hint="default" w:ascii="Times New Roman" w:hAnsi="Times New Roman" w:eastAsia="仿宋" w:cs="Times New Roman"/>
          <w:b/>
          <w:bCs/>
          <w:lang w:val="en-US" w:eastAsia="zh-CN"/>
        </w:rPr>
      </w:pPr>
      <w:r>
        <w:rPr>
          <w:rFonts w:hint="default" w:ascii="Times New Roman" w:hAnsi="Times New Roman" w:eastAsia="仿宋" w:cs="Times New Roman"/>
          <w:b/>
          <w:bCs/>
          <w:spacing w:val="-2"/>
        </w:rPr>
        <w:t>联系电话：</w:t>
      </w:r>
      <w:r>
        <w:rPr>
          <w:rFonts w:hint="default" w:ascii="Times New Roman" w:hAnsi="Times New Roman" w:eastAsia="仿宋" w:cs="Times New Roman"/>
          <w:b/>
          <w:bCs/>
          <w:spacing w:val="-2"/>
          <w:u w:val="single" w:color="auto"/>
        </w:rPr>
        <w:t xml:space="preserve">   </w:t>
      </w:r>
      <w:r>
        <w:rPr>
          <w:rFonts w:hint="default" w:ascii="Times New Roman" w:hAnsi="Times New Roman" w:eastAsia="仿宋" w:cs="Times New Roman"/>
          <w:b/>
          <w:bCs/>
          <w:spacing w:val="-2"/>
          <w:u w:val="single" w:color="auto"/>
          <w:lang w:val="en-US" w:eastAsia="zh-CN"/>
        </w:rPr>
        <w:t xml:space="preserve">       </w:t>
      </w:r>
      <w:r>
        <w:rPr>
          <w:rFonts w:hint="default" w:ascii="Times New Roman" w:hAnsi="Times New Roman" w:eastAsia="仿宋" w:cs="Times New Roman"/>
          <w:b/>
          <w:bCs/>
          <w:spacing w:val="-2"/>
          <w:u w:val="single" w:color="auto"/>
          <w:lang w:eastAsia="zh-CN"/>
        </w:rPr>
        <w:t>18699857582</w:t>
      </w:r>
      <w:r>
        <w:rPr>
          <w:rFonts w:hint="default" w:ascii="Times New Roman" w:hAnsi="Times New Roman" w:eastAsia="仿宋" w:cs="Times New Roman"/>
          <w:b/>
          <w:bCs/>
          <w:spacing w:val="1"/>
          <w:u w:val="single" w:color="auto"/>
        </w:rPr>
        <w:t xml:space="preserve">      </w:t>
      </w:r>
      <w:r>
        <w:rPr>
          <w:rFonts w:hint="default" w:ascii="Times New Roman" w:hAnsi="Times New Roman" w:eastAsia="仿宋" w:cs="Times New Roman"/>
          <w:b/>
          <w:bCs/>
          <w:spacing w:val="1"/>
          <w:u w:val="single" w:color="auto"/>
          <w:lang w:val="en-US" w:eastAsia="zh-CN"/>
        </w:rPr>
        <w:t xml:space="preserve">            </w:t>
      </w:r>
    </w:p>
    <w:p>
      <w:pPr>
        <w:pStyle w:val="9"/>
        <w:spacing w:before="209" w:line="360" w:lineRule="auto"/>
        <w:ind w:left="1420"/>
        <w:outlineLvl w:val="0"/>
        <w:rPr>
          <w:rFonts w:hint="default" w:ascii="Times New Roman" w:hAnsi="Times New Roman" w:eastAsia="仿宋" w:cs="Times New Roman"/>
          <w:b/>
          <w:bCs/>
          <w:lang w:val="en-US" w:eastAsia="zh-CN"/>
        </w:rPr>
      </w:pPr>
      <w:bookmarkStart w:id="1" w:name="_Toc6249"/>
      <w:r>
        <w:rPr>
          <w:rFonts w:hint="default" w:ascii="Times New Roman" w:hAnsi="Times New Roman" w:eastAsia="仿宋" w:cs="Times New Roman"/>
          <w:b/>
          <w:bCs/>
          <w:spacing w:val="-3"/>
        </w:rPr>
        <w:t>代理机构：</w:t>
      </w:r>
      <w:r>
        <w:rPr>
          <w:rFonts w:hint="default" w:ascii="Times New Roman" w:hAnsi="Times New Roman" w:eastAsia="仿宋" w:cs="Times New Roman"/>
          <w:b/>
          <w:bCs/>
          <w:spacing w:val="-3"/>
          <w:u w:val="single"/>
          <w:lang w:val="en-US" w:eastAsia="zh-CN"/>
        </w:rPr>
        <w:t xml:space="preserve">   </w:t>
      </w:r>
      <w:bookmarkEnd w:id="1"/>
      <w:r>
        <w:rPr>
          <w:rFonts w:hint="default" w:ascii="Times New Roman" w:hAnsi="Times New Roman" w:eastAsia="仿宋" w:cs="Times New Roman"/>
          <w:b/>
          <w:bCs/>
          <w:spacing w:val="-3"/>
          <w:u w:val="single"/>
          <w:lang w:val="en-US" w:eastAsia="zh-CN"/>
        </w:rPr>
        <w:t xml:space="preserve">    </w:t>
      </w:r>
      <w:r>
        <w:rPr>
          <w:rFonts w:hint="default" w:ascii="Times New Roman" w:hAnsi="Times New Roman" w:eastAsia="仿宋" w:cs="Times New Roman"/>
          <w:b/>
          <w:bCs/>
          <w:sz w:val="24"/>
          <w:szCs w:val="24"/>
          <w:u w:val="single"/>
          <w:lang w:eastAsia="zh-CN"/>
        </w:rPr>
        <w:t>莎车县</w:t>
      </w:r>
      <w:r>
        <w:rPr>
          <w:rFonts w:hint="default" w:ascii="Times New Roman" w:hAnsi="Times New Roman" w:eastAsia="仿宋" w:cs="Times New Roman"/>
          <w:b/>
          <w:bCs/>
          <w:sz w:val="24"/>
          <w:szCs w:val="24"/>
          <w:u w:val="single"/>
          <w:lang w:val="en-US" w:eastAsia="zh-CN"/>
        </w:rPr>
        <w:t>政府</w:t>
      </w:r>
      <w:r>
        <w:rPr>
          <w:rFonts w:hint="default" w:ascii="Times New Roman" w:hAnsi="Times New Roman" w:eastAsia="仿宋" w:cs="Times New Roman"/>
          <w:b/>
          <w:bCs/>
          <w:sz w:val="24"/>
          <w:szCs w:val="24"/>
          <w:u w:val="single"/>
          <w:lang w:eastAsia="zh-CN"/>
        </w:rPr>
        <w:t>采购中心</w:t>
      </w:r>
      <w:r>
        <w:rPr>
          <w:rFonts w:hint="default" w:ascii="Times New Roman" w:hAnsi="Times New Roman" w:eastAsia="仿宋" w:cs="Times New Roman"/>
          <w:b/>
          <w:bCs/>
          <w:spacing w:val="-3"/>
          <w:u w:val="single"/>
          <w:lang w:val="en-US" w:eastAsia="zh-CN"/>
        </w:rPr>
        <w:t xml:space="preserve">                             </w:t>
      </w:r>
      <w:r>
        <w:rPr>
          <w:rFonts w:hint="default" w:ascii="Times New Roman" w:hAnsi="Times New Roman" w:eastAsia="仿宋" w:cs="Times New Roman"/>
          <w:b/>
          <w:bCs/>
          <w:spacing w:val="-3"/>
          <w:u w:val="single" w:color="auto"/>
          <w:lang w:val="en-US" w:eastAsia="zh-CN"/>
        </w:rPr>
        <w:t xml:space="preserve"> </w:t>
      </w:r>
      <w:r>
        <w:rPr>
          <w:rFonts w:hint="default" w:ascii="Times New Roman" w:hAnsi="Times New Roman" w:eastAsia="仿宋" w:cs="Times New Roman"/>
          <w:b/>
          <w:bCs/>
          <w:spacing w:val="5"/>
          <w:u w:val="single" w:color="auto"/>
        </w:rPr>
        <w:t xml:space="preserve"> </w:t>
      </w:r>
      <w:r>
        <w:rPr>
          <w:rFonts w:hint="default" w:ascii="Times New Roman" w:hAnsi="Times New Roman" w:eastAsia="仿宋" w:cs="Times New Roman"/>
          <w:b/>
          <w:bCs/>
          <w:spacing w:val="5"/>
          <w:u w:val="single" w:color="auto"/>
          <w:lang w:val="en-US" w:eastAsia="zh-CN"/>
        </w:rPr>
        <w:t xml:space="preserve">   </w:t>
      </w:r>
    </w:p>
    <w:p>
      <w:pPr>
        <w:pStyle w:val="9"/>
        <w:spacing w:before="211" w:line="360" w:lineRule="auto"/>
        <w:ind w:left="1422"/>
        <w:rPr>
          <w:rFonts w:hint="default" w:ascii="Times New Roman" w:hAnsi="Times New Roman" w:eastAsia="仿宋" w:cs="Times New Roman"/>
          <w:b/>
          <w:bCs/>
          <w:u w:val="single" w:color="auto"/>
          <w:lang w:val="en-US" w:eastAsia="zh-CN"/>
        </w:rPr>
      </w:pPr>
      <w:r>
        <w:rPr>
          <w:rFonts w:hint="default" w:ascii="Times New Roman" w:hAnsi="Times New Roman" w:eastAsia="仿宋" w:cs="Times New Roman"/>
          <w:b/>
          <w:bCs/>
          <w:spacing w:val="-12"/>
        </w:rPr>
        <w:t>联</w:t>
      </w:r>
      <w:r>
        <w:rPr>
          <w:rFonts w:hint="default" w:ascii="Times New Roman" w:hAnsi="Times New Roman" w:eastAsia="仿宋" w:cs="Times New Roman"/>
          <w:b/>
          <w:bCs/>
          <w:spacing w:val="19"/>
        </w:rPr>
        <w:t xml:space="preserve"> </w:t>
      </w:r>
      <w:r>
        <w:rPr>
          <w:rFonts w:hint="default" w:ascii="Times New Roman" w:hAnsi="Times New Roman" w:eastAsia="仿宋" w:cs="Times New Roman"/>
          <w:b/>
          <w:bCs/>
          <w:spacing w:val="-12"/>
        </w:rPr>
        <w:t>系</w:t>
      </w:r>
      <w:r>
        <w:rPr>
          <w:rFonts w:hint="default" w:ascii="Times New Roman" w:hAnsi="Times New Roman" w:eastAsia="仿宋" w:cs="Times New Roman"/>
          <w:b/>
          <w:bCs/>
          <w:spacing w:val="15"/>
        </w:rPr>
        <w:t xml:space="preserve"> </w:t>
      </w:r>
      <w:r>
        <w:rPr>
          <w:rFonts w:hint="default" w:ascii="Times New Roman" w:hAnsi="Times New Roman" w:eastAsia="仿宋" w:cs="Times New Roman"/>
          <w:b/>
          <w:bCs/>
          <w:spacing w:val="-12"/>
        </w:rPr>
        <w:t>人：</w:t>
      </w:r>
      <w:r>
        <w:rPr>
          <w:rFonts w:hint="default" w:ascii="Times New Roman" w:hAnsi="Times New Roman" w:eastAsia="仿宋" w:cs="Times New Roman"/>
          <w:b/>
          <w:bCs/>
          <w:spacing w:val="1"/>
          <w:u w:val="single" w:color="auto"/>
        </w:rPr>
        <w:t xml:space="preserve">     </w:t>
      </w:r>
      <w:r>
        <w:rPr>
          <w:rFonts w:hint="default" w:ascii="Times New Roman" w:hAnsi="Times New Roman" w:eastAsia="仿宋" w:cs="Times New Roman"/>
          <w:b/>
          <w:bCs/>
          <w:spacing w:val="1"/>
          <w:u w:val="single" w:color="auto"/>
          <w:lang w:val="en-US" w:eastAsia="zh-CN"/>
        </w:rPr>
        <w:t xml:space="preserve">      牛 雪    </w:t>
      </w:r>
      <w:r>
        <w:rPr>
          <w:rFonts w:hint="default" w:ascii="Times New Roman" w:hAnsi="Times New Roman" w:eastAsia="仿宋" w:cs="Times New Roman"/>
          <w:b/>
          <w:bCs/>
          <w:spacing w:val="1"/>
          <w:u w:val="single" w:color="auto"/>
        </w:rPr>
        <w:t xml:space="preserve">  </w:t>
      </w:r>
      <w:r>
        <w:rPr>
          <w:rFonts w:hint="default" w:ascii="Times New Roman" w:hAnsi="Times New Roman" w:eastAsia="仿宋" w:cs="Times New Roman"/>
          <w:b/>
          <w:bCs/>
          <w:spacing w:val="1"/>
          <w:u w:val="single" w:color="auto"/>
          <w:lang w:val="en-US" w:eastAsia="zh-CN"/>
        </w:rPr>
        <w:t xml:space="preserve">     </w:t>
      </w:r>
      <w:r>
        <w:rPr>
          <w:rFonts w:hint="default" w:ascii="Times New Roman" w:hAnsi="Times New Roman" w:eastAsia="仿宋" w:cs="Times New Roman"/>
          <w:b/>
          <w:bCs/>
          <w:u w:val="single" w:color="auto"/>
        </w:rPr>
        <w:t xml:space="preserve">           </w:t>
      </w:r>
      <w:r>
        <w:rPr>
          <w:rFonts w:hint="default" w:ascii="Times New Roman" w:hAnsi="Times New Roman" w:eastAsia="仿宋" w:cs="Times New Roman"/>
          <w:b/>
          <w:bCs/>
          <w:u w:val="single" w:color="auto"/>
          <w:lang w:val="en-US" w:eastAsia="zh-CN"/>
        </w:rPr>
        <w:t xml:space="preserve">          </w:t>
      </w:r>
    </w:p>
    <w:p>
      <w:pPr>
        <w:pStyle w:val="9"/>
        <w:spacing w:before="211" w:line="360" w:lineRule="auto"/>
        <w:ind w:left="1422"/>
        <w:rPr>
          <w:rFonts w:hint="default" w:ascii="仿宋" w:hAnsi="仿宋" w:eastAsia="仿宋" w:cs="仿宋"/>
          <w:spacing w:val="5"/>
          <w:u w:val="single" w:color="auto"/>
          <w:lang w:val="en-US" w:eastAsia="zh-CN"/>
        </w:rPr>
      </w:pPr>
      <w:r>
        <w:rPr>
          <w:rFonts w:hint="default" w:ascii="Times New Roman" w:hAnsi="Times New Roman" w:eastAsia="仿宋" w:cs="Times New Roman"/>
          <w:b/>
          <w:bCs/>
          <w:spacing w:val="-5"/>
        </w:rPr>
        <w:t>联系电话：</w:t>
      </w:r>
      <w:r>
        <w:rPr>
          <w:rFonts w:hint="default" w:ascii="Times New Roman" w:hAnsi="Times New Roman" w:eastAsia="仿宋" w:cs="Times New Roman"/>
          <w:b/>
          <w:bCs/>
          <w:spacing w:val="5"/>
          <w:u w:val="single" w:color="auto"/>
        </w:rPr>
        <w:t xml:space="preserve">   </w:t>
      </w:r>
      <w:r>
        <w:rPr>
          <w:rFonts w:hint="default" w:ascii="Times New Roman" w:hAnsi="Times New Roman" w:eastAsia="仿宋" w:cs="Times New Roman"/>
          <w:b/>
          <w:bCs/>
          <w:spacing w:val="5"/>
          <w:u w:val="single" w:color="auto"/>
          <w:lang w:val="en-US" w:eastAsia="zh-CN"/>
        </w:rPr>
        <w:t xml:space="preserve">    </w:t>
      </w:r>
      <w:r>
        <w:rPr>
          <w:rFonts w:hint="default" w:ascii="仿宋" w:hAnsi="仿宋" w:eastAsia="仿宋" w:cs="仿宋"/>
          <w:b/>
          <w:bCs/>
          <w:kern w:val="2"/>
          <w:sz w:val="24"/>
          <w:szCs w:val="24"/>
          <w:u w:val="single" w:color="auto"/>
          <w:lang w:val="en-US" w:eastAsia="zh-CN" w:bidi="ar-SA"/>
        </w:rPr>
        <w:t>0998-8512672</w:t>
      </w:r>
      <w:r>
        <w:rPr>
          <w:rFonts w:hint="default" w:ascii="Times New Roman" w:hAnsi="Times New Roman" w:eastAsia="仿宋" w:cs="Times New Roman"/>
          <w:b/>
          <w:bCs/>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spacing w:val="5"/>
          <w:u w:val="single" w:color="auto"/>
          <w:lang w:val="en-US" w:eastAsia="zh-CN"/>
        </w:rPr>
        <w:t xml:space="preserve">                </w:t>
      </w:r>
    </w:p>
    <w:p>
      <w:pPr>
        <w:spacing w:line="247" w:lineRule="auto"/>
        <w:rPr>
          <w:rFonts w:hint="eastAsia" w:ascii="仿宋" w:hAnsi="仿宋" w:eastAsia="仿宋" w:cs="仿宋"/>
          <w:sz w:val="21"/>
        </w:rPr>
      </w:pPr>
    </w:p>
    <w:p>
      <w:pPr>
        <w:spacing w:line="248" w:lineRule="auto"/>
        <w:rPr>
          <w:rFonts w:hint="eastAsia" w:ascii="仿宋" w:hAnsi="仿宋" w:eastAsia="仿宋" w:cs="仿宋"/>
          <w:sz w:val="21"/>
        </w:rPr>
      </w:pPr>
    </w:p>
    <w:p>
      <w:pPr>
        <w:spacing w:line="248" w:lineRule="auto"/>
        <w:rPr>
          <w:rFonts w:hint="eastAsia" w:ascii="仿宋" w:hAnsi="仿宋" w:eastAsia="仿宋" w:cs="仿宋"/>
          <w:sz w:val="21"/>
        </w:rPr>
      </w:pPr>
    </w:p>
    <w:p>
      <w:pPr>
        <w:pStyle w:val="6"/>
        <w:rPr>
          <w:rFonts w:hint="eastAsia" w:ascii="仿宋" w:hAnsi="仿宋" w:eastAsia="仿宋" w:cs="仿宋"/>
          <w:sz w:val="21"/>
        </w:rPr>
      </w:pPr>
    </w:p>
    <w:p>
      <w:pPr>
        <w:rPr>
          <w:rFonts w:hint="eastAsia"/>
        </w:rPr>
      </w:pPr>
    </w:p>
    <w:p>
      <w:pPr>
        <w:pStyle w:val="6"/>
        <w:rPr>
          <w:rFonts w:hint="eastAsia"/>
        </w:rPr>
      </w:pPr>
    </w:p>
    <w:p>
      <w:pPr>
        <w:pStyle w:val="9"/>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p>
    <w:p>
      <w:pPr>
        <w:spacing w:line="225" w:lineRule="auto"/>
        <w:rPr>
          <w:rFonts w:hint="eastAsia" w:ascii="仿宋" w:hAnsi="仿宋" w:eastAsia="仿宋" w:cs="仿宋"/>
          <w:sz w:val="31"/>
          <w:szCs w:val="31"/>
        </w:rPr>
        <w:sectPr>
          <w:pgSz w:w="11906" w:h="16839"/>
          <w:pgMar w:top="1440" w:right="1800" w:bottom="1440" w:left="1800" w:header="1134" w:footer="850" w:gutter="0"/>
          <w:pgBorders>
            <w:top w:val="single" w:color="auto" w:sz="4" w:space="1"/>
            <w:left w:val="none" w:sz="0" w:space="0"/>
            <w:bottom w:val="none" w:sz="0" w:space="0"/>
            <w:right w:val="none" w:sz="0" w:space="0"/>
          </w:pgBorders>
          <w:pgNumType w:fmt="decimal"/>
          <w:cols w:space="720" w:num="1"/>
        </w:sectPr>
      </w:pPr>
    </w:p>
    <w:sdt>
      <w:sdtPr>
        <w:rPr>
          <w:rFonts w:ascii="宋体" w:hAnsi="宋体" w:eastAsia="宋体" w:cs="Arial"/>
          <w:snapToGrid w:val="0"/>
          <w:color w:val="000000"/>
          <w:kern w:val="0"/>
          <w:sz w:val="21"/>
          <w:szCs w:val="21"/>
          <w:lang w:val="en-US" w:eastAsia="en-US" w:bidi="ar-SA"/>
        </w:rPr>
        <w:id w:val="147481606"/>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5"/>
            <w:tabs>
              <w:tab w:val="right" w:leader="dot" w:pos="8336"/>
            </w:tabs>
          </w:pPr>
          <w:r>
            <w:fldChar w:fldCharType="begin"/>
          </w:r>
          <w:r>
            <w:instrText xml:space="preserve">TOC \o "1-3" \h \u </w:instrText>
          </w:r>
          <w:r>
            <w:fldChar w:fldCharType="separate"/>
          </w:r>
        </w:p>
        <w:p>
          <w:pPr>
            <w:pStyle w:val="45"/>
            <w:tabs>
              <w:tab w:val="right" w:leader="dot" w:pos="8336"/>
            </w:tabs>
            <w:spacing w:line="360" w:lineRule="auto"/>
          </w:pPr>
          <w:r>
            <w:fldChar w:fldCharType="begin"/>
          </w:r>
          <w:r>
            <w:instrText xml:space="preserve"> HYPERLINK \l _Toc16515 </w:instrText>
          </w:r>
          <w: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tab/>
          </w:r>
          <w:r>
            <w:fldChar w:fldCharType="begin"/>
          </w:r>
          <w:r>
            <w:instrText xml:space="preserve"> PAGEREF _Toc16515 \h </w:instrText>
          </w:r>
          <w:r>
            <w:fldChar w:fldCharType="separate"/>
          </w:r>
          <w:r>
            <w:t>3</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_Toc3631 </w:instrText>
          </w:r>
          <w: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_Toc3631 \h </w:instrText>
          </w:r>
          <w:r>
            <w:fldChar w:fldCharType="separate"/>
          </w:r>
          <w:r>
            <w:t>3</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_Toc17839 </w:instrText>
          </w:r>
          <w: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_Toc17839 \h </w:instrText>
          </w:r>
          <w:r>
            <w:fldChar w:fldCharType="separate"/>
          </w:r>
          <w:r>
            <w:t>3</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_Toc4876 </w:instrText>
          </w:r>
          <w: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_Toc4876 \h </w:instrText>
          </w:r>
          <w:r>
            <w:fldChar w:fldCharType="separate"/>
          </w:r>
          <w:r>
            <w:t>4</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_Toc1587 </w:instrText>
          </w:r>
          <w:r>
            <w:fldChar w:fldCharType="separate"/>
          </w:r>
          <w:r>
            <w:rPr>
              <w:rFonts w:hint="eastAsia" w:ascii="仿宋" w:hAnsi="仿宋" w:eastAsia="仿宋" w:cs="仿宋"/>
              <w:bCs/>
              <w:spacing w:val="-2"/>
              <w:szCs w:val="24"/>
            </w:rPr>
            <w:t>3.投标费用</w:t>
          </w:r>
          <w:r>
            <w:tab/>
          </w:r>
          <w:r>
            <w:fldChar w:fldCharType="begin"/>
          </w:r>
          <w:r>
            <w:instrText xml:space="preserve"> PAGEREF _Toc1587 \h </w:instrText>
          </w:r>
          <w:r>
            <w:fldChar w:fldCharType="separate"/>
          </w:r>
          <w:r>
            <w:t>4</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_Toc1782 </w:instrText>
          </w:r>
          <w:r>
            <w:fldChar w:fldCharType="separate"/>
          </w:r>
          <w:r>
            <w:rPr>
              <w:rFonts w:hint="eastAsia" w:ascii="仿宋" w:hAnsi="仿宋" w:eastAsia="仿宋" w:cs="仿宋"/>
              <w:bCs/>
              <w:spacing w:val="-3"/>
              <w:szCs w:val="24"/>
            </w:rPr>
            <w:t>4.适用法律</w:t>
          </w:r>
          <w:r>
            <w:tab/>
          </w:r>
          <w:r>
            <w:fldChar w:fldCharType="begin"/>
          </w:r>
          <w:r>
            <w:instrText xml:space="preserve"> PAGEREF _Toc1782 \h </w:instrText>
          </w:r>
          <w:r>
            <w:fldChar w:fldCharType="separate"/>
          </w:r>
          <w:r>
            <w:t>5</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_Toc7967 </w:instrText>
          </w:r>
          <w:r>
            <w:fldChar w:fldCharType="separate"/>
          </w:r>
          <w:r>
            <w:rPr>
              <w:rFonts w:hint="eastAsia" w:ascii="仿宋" w:hAnsi="仿宋" w:eastAsia="仿宋" w:cs="仿宋"/>
              <w:bCs/>
              <w:spacing w:val="-12"/>
              <w:szCs w:val="28"/>
            </w:rPr>
            <w:t>二</w:t>
          </w:r>
          <w:r>
            <w:rPr>
              <w:rFonts w:hint="eastAsia" w:ascii="仿宋" w:hAnsi="仿宋" w:eastAsia="仿宋" w:cs="仿宋"/>
              <w:spacing w:val="7"/>
              <w:szCs w:val="28"/>
            </w:rPr>
            <w:t xml:space="preserve">   </w:t>
          </w:r>
          <w:r>
            <w:rPr>
              <w:rFonts w:hint="eastAsia" w:ascii="仿宋" w:hAnsi="仿宋" w:eastAsia="仿宋" w:cs="仿宋"/>
              <w:bCs/>
              <w:spacing w:val="-12"/>
              <w:szCs w:val="28"/>
            </w:rPr>
            <w:t>招标文件</w:t>
          </w:r>
          <w:r>
            <w:tab/>
          </w:r>
          <w:r>
            <w:fldChar w:fldCharType="begin"/>
          </w:r>
          <w:r>
            <w:instrText xml:space="preserve"> PAGEREF _Toc7967 \h </w:instrText>
          </w:r>
          <w:r>
            <w:fldChar w:fldCharType="separate"/>
          </w:r>
          <w:r>
            <w:t>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_Toc28965 </w:instrText>
          </w:r>
          <w:r>
            <w:fldChar w:fldCharType="separate"/>
          </w:r>
          <w:r>
            <w:rPr>
              <w:rFonts w:hint="eastAsia" w:ascii="仿宋" w:hAnsi="仿宋" w:eastAsia="仿宋" w:cs="仿宋"/>
              <w:bCs/>
              <w:spacing w:val="-3"/>
              <w:szCs w:val="24"/>
            </w:rPr>
            <w:t>5.招标文件构成</w:t>
          </w:r>
          <w:r>
            <w:tab/>
          </w:r>
          <w:r>
            <w:fldChar w:fldCharType="begin"/>
          </w:r>
          <w:r>
            <w:instrText xml:space="preserve"> PAGEREF _Toc28965 \h </w:instrText>
          </w:r>
          <w:r>
            <w:fldChar w:fldCharType="separate"/>
          </w:r>
          <w:r>
            <w:t>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_Toc26560 </w:instrText>
          </w:r>
          <w:r>
            <w:fldChar w:fldCharType="separate"/>
          </w:r>
          <w:r>
            <w:rPr>
              <w:rFonts w:hint="eastAsia" w:ascii="仿宋" w:hAnsi="仿宋" w:eastAsia="仿宋" w:cs="仿宋"/>
              <w:bCs/>
              <w:spacing w:val="-3"/>
              <w:szCs w:val="24"/>
            </w:rPr>
            <w:t>6.招标文件的澄清与修改</w:t>
          </w:r>
          <w:r>
            <w:tab/>
          </w:r>
          <w:r>
            <w:fldChar w:fldCharType="begin"/>
          </w:r>
          <w:r>
            <w:instrText xml:space="preserve"> PAGEREF _Toc26560 \h </w:instrText>
          </w:r>
          <w:r>
            <w:fldChar w:fldCharType="separate"/>
          </w:r>
          <w:r>
            <w:t>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_Toc18778 </w:instrText>
          </w:r>
          <w:r>
            <w:fldChar w:fldCharType="separate"/>
          </w:r>
          <w:r>
            <w:rPr>
              <w:rFonts w:hint="eastAsia" w:ascii="仿宋" w:hAnsi="仿宋" w:eastAsia="仿宋" w:cs="仿宋"/>
              <w:bCs/>
              <w:spacing w:val="-3"/>
              <w:szCs w:val="24"/>
            </w:rPr>
            <w:t>7.投标截止时间的顺延</w:t>
          </w:r>
          <w:r>
            <w:tab/>
          </w:r>
          <w:r>
            <w:fldChar w:fldCharType="begin"/>
          </w:r>
          <w:r>
            <w:instrText xml:space="preserve"> PAGEREF _Toc18778 \h </w:instrText>
          </w:r>
          <w:r>
            <w:fldChar w:fldCharType="separate"/>
          </w:r>
          <w:r>
            <w:t>6</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_Toc29177 </w:instrText>
          </w:r>
          <w: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_Toc29177 \h </w:instrText>
          </w:r>
          <w:r>
            <w:fldChar w:fldCharType="separate"/>
          </w:r>
          <w:r>
            <w:t>6</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_Toc30406 </w:instrText>
          </w:r>
          <w: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_Toc30406 \h </w:instrText>
          </w:r>
          <w:r>
            <w:fldChar w:fldCharType="separate"/>
          </w:r>
          <w:r>
            <w:t>6</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_Toc30611 </w:instrText>
          </w:r>
          <w:r>
            <w:fldChar w:fldCharType="separate"/>
          </w:r>
          <w:r>
            <w:rPr>
              <w:rFonts w:hint="eastAsia" w:ascii="仿宋" w:hAnsi="仿宋" w:eastAsia="仿宋" w:cs="仿宋"/>
              <w:bCs/>
              <w:spacing w:val="-3"/>
              <w:szCs w:val="24"/>
            </w:rPr>
            <w:t>9.投标文件构成</w:t>
          </w:r>
          <w:r>
            <w:tab/>
          </w:r>
          <w:r>
            <w:fldChar w:fldCharType="begin"/>
          </w:r>
          <w:r>
            <w:instrText xml:space="preserve"> PAGEREF _Toc30611 \h </w:instrText>
          </w:r>
          <w:r>
            <w:fldChar w:fldCharType="separate"/>
          </w:r>
          <w:r>
            <w:t>6</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_Toc26109 </w:instrText>
          </w:r>
          <w:r>
            <w:fldChar w:fldCharType="separate"/>
          </w:r>
          <w:r>
            <w:rPr>
              <w:rFonts w:hint="eastAsia" w:ascii="仿宋" w:hAnsi="仿宋" w:eastAsia="仿宋" w:cs="仿宋"/>
              <w:bCs/>
              <w:spacing w:val="-2"/>
              <w:szCs w:val="24"/>
            </w:rPr>
            <w:t>10.    证明投标标的的合格性和符合招标文件规定的响应文件</w:t>
          </w:r>
          <w:r>
            <w:tab/>
          </w:r>
          <w:r>
            <w:fldChar w:fldCharType="begin"/>
          </w:r>
          <w:r>
            <w:instrText xml:space="preserve"> PAGEREF _Toc26109 \h </w:instrText>
          </w:r>
          <w:r>
            <w:fldChar w:fldCharType="separate"/>
          </w:r>
          <w:r>
            <w:t>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_Toc13115 </w:instrText>
          </w:r>
          <w:r>
            <w:fldChar w:fldCharType="separate"/>
          </w:r>
          <w:r>
            <w:rPr>
              <w:rFonts w:hint="eastAsia" w:ascii="仿宋" w:hAnsi="仿宋" w:eastAsia="仿宋" w:cs="仿宋"/>
              <w:bCs/>
              <w:spacing w:val="-4"/>
              <w:szCs w:val="24"/>
            </w:rPr>
            <w:t>11.投标报价</w:t>
          </w:r>
          <w:r>
            <w:tab/>
          </w:r>
          <w:r>
            <w:fldChar w:fldCharType="begin"/>
          </w:r>
          <w:r>
            <w:instrText xml:space="preserve"> PAGEREF _Toc13115 \h </w:instrText>
          </w:r>
          <w:r>
            <w:fldChar w:fldCharType="separate"/>
          </w:r>
          <w:r>
            <w:t>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_Toc8135 </w:instrText>
          </w:r>
          <w:r>
            <w:fldChar w:fldCharType="separate"/>
          </w:r>
          <w:r>
            <w:rPr>
              <w:rFonts w:hint="eastAsia" w:ascii="仿宋" w:hAnsi="仿宋" w:eastAsia="仿宋" w:cs="仿宋"/>
              <w:bCs/>
              <w:spacing w:val="-3"/>
              <w:szCs w:val="24"/>
            </w:rPr>
            <w:t>12.投标保证金</w:t>
          </w:r>
          <w:r>
            <w:tab/>
          </w:r>
          <w:r>
            <w:fldChar w:fldCharType="begin"/>
          </w:r>
          <w:r>
            <w:instrText xml:space="preserve"> PAGEREF _Toc8135 \h </w:instrText>
          </w:r>
          <w:r>
            <w:fldChar w:fldCharType="separate"/>
          </w:r>
          <w:r>
            <w:t>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_Toc3430 </w:instrText>
          </w:r>
          <w:r>
            <w:fldChar w:fldCharType="separate"/>
          </w:r>
          <w:r>
            <w:rPr>
              <w:rFonts w:hint="eastAsia" w:ascii="仿宋" w:hAnsi="仿宋" w:eastAsia="仿宋" w:cs="仿宋"/>
              <w:bCs/>
              <w:spacing w:val="-3"/>
              <w:szCs w:val="24"/>
            </w:rPr>
            <w:t>13.投标有效期</w:t>
          </w:r>
          <w:r>
            <w:tab/>
          </w:r>
          <w:r>
            <w:fldChar w:fldCharType="begin"/>
          </w:r>
          <w:r>
            <w:instrText xml:space="preserve"> PAGEREF _Toc3430 \h </w:instrText>
          </w:r>
          <w:r>
            <w:fldChar w:fldCharType="separate"/>
          </w:r>
          <w:r>
            <w:t>9</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_Toc3638 </w:instrText>
          </w:r>
          <w: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_Toc3638 \h </w:instrText>
          </w:r>
          <w:r>
            <w:fldChar w:fldCharType="separate"/>
          </w:r>
          <w:r>
            <w:t>9</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_Toc10327 </w:instrText>
          </w:r>
          <w: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_Toc10327 \h </w:instrText>
          </w:r>
          <w:r>
            <w:fldChar w:fldCharType="separate"/>
          </w:r>
          <w:r>
            <w:t>10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_Toc25021 </w:instrText>
          </w:r>
          <w:r>
            <w:fldChar w:fldCharType="separate"/>
          </w:r>
          <w:r>
            <w:rPr>
              <w:rFonts w:hint="eastAsia" w:ascii="仿宋" w:hAnsi="仿宋" w:eastAsia="仿宋" w:cs="仿宋"/>
              <w:bCs/>
              <w:spacing w:val="-3"/>
              <w:szCs w:val="24"/>
            </w:rPr>
            <w:t>15.投标文件的密封和标记</w:t>
          </w:r>
          <w:r>
            <w:tab/>
          </w:r>
          <w:r>
            <w:fldChar w:fldCharType="begin"/>
          </w:r>
          <w:r>
            <w:instrText xml:space="preserve"> PAGEREF _Toc25021 \h </w:instrText>
          </w:r>
          <w:r>
            <w:fldChar w:fldCharType="separate"/>
          </w:r>
          <w:r>
            <w:t>10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_Toc25803 </w:instrText>
          </w:r>
          <w:r>
            <w:fldChar w:fldCharType="separate"/>
          </w:r>
          <w:r>
            <w:rPr>
              <w:rFonts w:hint="eastAsia" w:ascii="仿宋" w:hAnsi="仿宋" w:eastAsia="仿宋" w:cs="仿宋"/>
              <w:bCs/>
              <w:spacing w:val="-4"/>
              <w:szCs w:val="24"/>
            </w:rPr>
            <w:t>16.投标截止</w:t>
          </w:r>
          <w:r>
            <w:tab/>
          </w:r>
          <w:r>
            <w:fldChar w:fldCharType="begin"/>
          </w:r>
          <w:r>
            <w:instrText xml:space="preserve"> PAGEREF _Toc25803 \h </w:instrText>
          </w:r>
          <w:r>
            <w:fldChar w:fldCharType="separate"/>
          </w:r>
          <w:r>
            <w:t>10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_Toc30743 </w:instrText>
          </w:r>
          <w:r>
            <w:fldChar w:fldCharType="separate"/>
          </w:r>
          <w:r>
            <w:rPr>
              <w:rFonts w:hint="eastAsia" w:ascii="仿宋" w:hAnsi="仿宋" w:eastAsia="仿宋" w:cs="仿宋"/>
              <w:bCs/>
              <w:spacing w:val="-3"/>
              <w:szCs w:val="24"/>
            </w:rPr>
            <w:t>17.</w:t>
          </w:r>
          <w:r>
            <w:rPr>
              <w:rFonts w:hint="eastAsia" w:ascii="仿宋" w:hAnsi="仿宋" w:eastAsia="仿宋" w:cs="仿宋"/>
              <w:bCs/>
              <w:spacing w:val="-3"/>
              <w:szCs w:val="24"/>
              <w:lang w:val="en-US" w:eastAsia="zh-CN"/>
            </w:rPr>
            <w:t xml:space="preserve">   </w:t>
          </w:r>
          <w:r>
            <w:rPr>
              <w:rFonts w:hint="eastAsia" w:ascii="仿宋" w:hAnsi="仿宋" w:eastAsia="仿宋" w:cs="仿宋"/>
              <w:bCs/>
              <w:spacing w:val="-3"/>
              <w:szCs w:val="24"/>
            </w:rPr>
            <w:t>投标文件的接收、修改与撤回</w:t>
          </w:r>
          <w:r>
            <w:tab/>
          </w:r>
          <w:r>
            <w:fldChar w:fldCharType="begin"/>
          </w:r>
          <w:r>
            <w:instrText xml:space="preserve"> PAGEREF _Toc30743 \h </w:instrText>
          </w:r>
          <w:r>
            <w:fldChar w:fldCharType="separate"/>
          </w:r>
          <w:r>
            <w:t>10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_Toc23577 </w:instrText>
          </w:r>
          <w: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_Toc23577 \h </w:instrText>
          </w:r>
          <w:r>
            <w:fldChar w:fldCharType="separate"/>
          </w:r>
          <w:r>
            <w:t>11</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_Toc6179 </w:instrText>
          </w:r>
          <w:r>
            <w:fldChar w:fldCharType="separate"/>
          </w:r>
          <w:r>
            <w:rPr>
              <w:rFonts w:hint="eastAsia" w:ascii="仿宋" w:hAnsi="仿宋" w:eastAsia="仿宋" w:cs="仿宋"/>
              <w:bCs/>
              <w:spacing w:val="-5"/>
              <w:szCs w:val="24"/>
            </w:rPr>
            <w:t>18.开标</w:t>
          </w:r>
          <w:r>
            <w:tab/>
          </w:r>
          <w:r>
            <w:fldChar w:fldCharType="begin"/>
          </w:r>
          <w:r>
            <w:instrText xml:space="preserve"> PAGEREF _Toc6179 \h </w:instrText>
          </w:r>
          <w:r>
            <w:fldChar w:fldCharType="separate"/>
          </w:r>
          <w:r>
            <w:t>11</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_Toc10724 </w:instrText>
          </w:r>
          <w: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资格审查及组建评标委员会</w:t>
          </w:r>
          <w:r>
            <w:tab/>
          </w:r>
          <w:r>
            <w:fldChar w:fldCharType="begin"/>
          </w:r>
          <w:r>
            <w:instrText xml:space="preserve"> PAGEREF _Toc10724 \h </w:instrText>
          </w:r>
          <w:r>
            <w:fldChar w:fldCharType="separate"/>
          </w:r>
          <w:r>
            <w:t>11</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_Toc25802 </w:instrText>
          </w:r>
          <w: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_Toc25802 \h </w:instrText>
          </w:r>
          <w:r>
            <w:fldChar w:fldCharType="separate"/>
          </w:r>
          <w:r>
            <w:t>14</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_Toc26850 </w:instrText>
          </w:r>
          <w:r>
            <w:fldChar w:fldCharType="separate"/>
          </w:r>
          <w:r>
            <w:rPr>
              <w:rFonts w:hint="eastAsia" w:ascii="仿宋" w:hAnsi="仿宋" w:eastAsia="仿宋" w:cs="仿宋"/>
              <w:bCs/>
              <w:spacing w:val="-2"/>
              <w:szCs w:val="24"/>
            </w:rPr>
            <w:t>21.投标偏离</w:t>
          </w:r>
          <w:r>
            <w:tab/>
          </w:r>
          <w:r>
            <w:fldChar w:fldCharType="begin"/>
          </w:r>
          <w:r>
            <w:instrText xml:space="preserve"> PAGEREF _Toc26850 \h </w:instrText>
          </w:r>
          <w:r>
            <w:fldChar w:fldCharType="separate"/>
          </w:r>
          <w:r>
            <w:t>15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_Toc31066 </w:instrText>
          </w:r>
          <w:r>
            <w:fldChar w:fldCharType="separate"/>
          </w:r>
          <w:r>
            <w:rPr>
              <w:rFonts w:hint="eastAsia"/>
            </w:rPr>
            <w:t>22.投标无效</w:t>
          </w:r>
          <w:r>
            <w:tab/>
          </w:r>
          <w:r>
            <w:fldChar w:fldCharType="begin"/>
          </w:r>
          <w:r>
            <w:instrText xml:space="preserve"> PAGEREF _Toc31066 \h </w:instrText>
          </w:r>
          <w:r>
            <w:fldChar w:fldCharType="separate"/>
          </w:r>
          <w:r>
            <w:t>15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_Toc4235 </w:instrText>
          </w:r>
          <w: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tab/>
          </w:r>
          <w:r>
            <w:fldChar w:fldCharType="begin"/>
          </w:r>
          <w:r>
            <w:instrText xml:space="preserve"> PAGEREF _Toc4235 \h </w:instrText>
          </w:r>
          <w:r>
            <w:fldChar w:fldCharType="separate"/>
          </w:r>
          <w:r>
            <w:t>16</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_Toc1640 </w:instrText>
          </w:r>
          <w:r>
            <w:fldChar w:fldCharType="separate"/>
          </w:r>
          <w:r>
            <w:rPr>
              <w:rFonts w:hint="eastAsia" w:ascii="仿宋" w:hAnsi="仿宋" w:eastAsia="仿宋" w:cs="仿宋"/>
              <w:bCs/>
              <w:spacing w:val="-3"/>
              <w:szCs w:val="24"/>
            </w:rPr>
            <w:t>24.废标</w:t>
          </w:r>
          <w:r>
            <w:tab/>
          </w:r>
          <w:r>
            <w:fldChar w:fldCharType="begin"/>
          </w:r>
          <w:r>
            <w:instrText xml:space="preserve"> PAGEREF _Toc1640 \h </w:instrText>
          </w:r>
          <w:r>
            <w:fldChar w:fldCharType="separate"/>
          </w:r>
          <w:r>
            <w:t>17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_Toc31414 </w:instrText>
          </w:r>
          <w:r>
            <w:fldChar w:fldCharType="separate"/>
          </w:r>
          <w:r>
            <w:rPr>
              <w:rFonts w:hint="eastAsia" w:ascii="仿宋" w:hAnsi="仿宋" w:eastAsia="仿宋" w:cs="仿宋"/>
              <w:bCs/>
              <w:spacing w:val="-2"/>
              <w:szCs w:val="24"/>
            </w:rPr>
            <w:t>25.保密原则</w:t>
          </w:r>
          <w:r>
            <w:tab/>
          </w:r>
          <w:r>
            <w:fldChar w:fldCharType="begin"/>
          </w:r>
          <w:r>
            <w:instrText xml:space="preserve"> PAGEREF _Toc31414 \h </w:instrText>
          </w:r>
          <w:r>
            <w:fldChar w:fldCharType="separate"/>
          </w:r>
          <w:r>
            <w:t>17</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_Toc27575 </w:instrText>
          </w:r>
          <w: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_Toc27575 \h </w:instrText>
          </w:r>
          <w:r>
            <w:fldChar w:fldCharType="separate"/>
          </w:r>
          <w:r>
            <w:t>17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_Toc28283 </w:instrText>
          </w:r>
          <w: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_Toc28283 \h </w:instrText>
          </w:r>
          <w:r>
            <w:fldChar w:fldCharType="separate"/>
          </w:r>
          <w:r>
            <w:t>17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_Toc14420 </w:instrText>
          </w:r>
          <w: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_Toc14420 \h </w:instrText>
          </w:r>
          <w:r>
            <w:fldChar w:fldCharType="separate"/>
          </w:r>
          <w:r>
            <w:t>18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_Toc1103 </w:instrText>
          </w:r>
          <w:r>
            <w:fldChar w:fldCharType="separate"/>
          </w:r>
          <w:r>
            <w:rPr>
              <w:rFonts w:hint="eastAsia" w:ascii="仿宋" w:hAnsi="仿宋" w:eastAsia="仿宋" w:cs="仿宋"/>
              <w:bCs/>
              <w:spacing w:val="-2"/>
              <w:szCs w:val="24"/>
            </w:rPr>
            <w:t>28.采购任务取消</w:t>
          </w:r>
          <w:r>
            <w:tab/>
          </w:r>
          <w:r>
            <w:fldChar w:fldCharType="begin"/>
          </w:r>
          <w:r>
            <w:instrText xml:space="preserve"> PAGEREF _Toc1103 \h </w:instrText>
          </w:r>
          <w:r>
            <w:fldChar w:fldCharType="separate"/>
          </w:r>
          <w:r>
            <w:t>18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_Toc20122 </w:instrText>
          </w:r>
          <w: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_Toc20122 \h </w:instrText>
          </w:r>
          <w:r>
            <w:fldChar w:fldCharType="separate"/>
          </w:r>
          <w:r>
            <w:t>18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_Toc15494 </w:instrText>
          </w:r>
          <w:r>
            <w:fldChar w:fldCharType="separate"/>
          </w:r>
          <w:r>
            <w:rPr>
              <w:rFonts w:hint="eastAsia" w:ascii="仿宋" w:hAnsi="仿宋" w:eastAsia="仿宋" w:cs="仿宋"/>
              <w:bCs/>
              <w:spacing w:val="-2"/>
              <w:szCs w:val="24"/>
            </w:rPr>
            <w:t>30.签订合同</w:t>
          </w:r>
          <w:r>
            <w:tab/>
          </w:r>
          <w:r>
            <w:fldChar w:fldCharType="begin"/>
          </w:r>
          <w:r>
            <w:instrText xml:space="preserve"> PAGEREF _Toc15494 \h </w:instrText>
          </w:r>
          <w:r>
            <w:fldChar w:fldCharType="separate"/>
          </w:r>
          <w:r>
            <w:t>18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_Toc31225 </w:instrText>
          </w:r>
          <w:r>
            <w:fldChar w:fldCharType="separate"/>
          </w:r>
          <w:r>
            <w:rPr>
              <w:rFonts w:hint="eastAsia" w:ascii="仿宋" w:hAnsi="仿宋" w:eastAsia="仿宋" w:cs="仿宋"/>
              <w:bCs/>
              <w:spacing w:val="-2"/>
              <w:szCs w:val="24"/>
            </w:rPr>
            <w:t>31.履约保证金</w:t>
          </w:r>
          <w:r>
            <w:tab/>
          </w:r>
          <w:r>
            <w:fldChar w:fldCharType="begin"/>
          </w:r>
          <w:r>
            <w:instrText xml:space="preserve"> PAGEREF _Toc31225 \h </w:instrText>
          </w:r>
          <w:r>
            <w:fldChar w:fldCharType="separate"/>
          </w:r>
          <w:r>
            <w:t>19</w:t>
          </w:r>
          <w:r>
            <w:fldChar w:fldCharType="end"/>
          </w:r>
          <w:r>
            <w:fldChar w:fldCharType="end"/>
          </w:r>
        </w:p>
        <w:p>
          <w:pPr>
            <w:pStyle w:val="46"/>
            <w:tabs>
              <w:tab w:val="right" w:leader="dot" w:pos="8336"/>
            </w:tabs>
            <w:spacing w:line="360" w:lineRule="auto"/>
            <w:ind w:left="0" w:leftChars="0" w:firstLine="0" w:firstLineChars="0"/>
            <w:rPr>
              <w:rFonts w:hint="eastAsia" w:eastAsia="宋体"/>
              <w:lang w:val="en-US" w:eastAsia="zh-CN"/>
            </w:rPr>
          </w:pPr>
          <w:r>
            <w:fldChar w:fldCharType="begin"/>
          </w:r>
          <w:r>
            <w:instrText xml:space="preserve"> HYPERLINK \l _Toc31006 </w:instrText>
          </w:r>
          <w:r>
            <w:fldChar w:fldCharType="separate"/>
          </w:r>
          <w:r>
            <w:rPr>
              <w:rFonts w:hint="eastAsia" w:ascii="仿宋" w:hAnsi="仿宋" w:eastAsia="仿宋" w:cs="仿宋"/>
              <w:bCs/>
              <w:spacing w:val="-8"/>
              <w:szCs w:val="24"/>
            </w:rPr>
            <w:t>32.</w:t>
          </w:r>
          <w:r>
            <w:rPr>
              <w:rFonts w:hint="eastAsia" w:ascii="仿宋" w:hAnsi="仿宋" w:eastAsia="仿宋" w:cs="仿宋"/>
              <w:bCs/>
              <w:spacing w:val="-9"/>
              <w:szCs w:val="24"/>
            </w:rPr>
            <w:t xml:space="preserve"> </w:t>
          </w:r>
          <w:r>
            <w:rPr>
              <w:rFonts w:hint="eastAsia" w:ascii="仿宋" w:hAnsi="仿宋" w:eastAsia="仿宋" w:cs="仿宋"/>
              <w:bCs/>
              <w:spacing w:val="-8"/>
              <w:szCs w:val="24"/>
            </w:rPr>
            <w:t>中标服务费</w:t>
          </w:r>
          <w:r>
            <w:tab/>
          </w:r>
          <w:r>
            <w:rPr>
              <w:rFonts w:hint="eastAsia"/>
              <w:lang w:val="en-US" w:eastAsia="zh-CN"/>
            </w:rPr>
            <w:t>1</w:t>
          </w:r>
          <w:r>
            <w:fldChar w:fldCharType="end"/>
          </w:r>
          <w:r>
            <w:rPr>
              <w:rFonts w:hint="eastAsia"/>
              <w:lang w:val="en-US" w:eastAsia="zh-CN"/>
            </w:rPr>
            <w:t>7</w:t>
          </w:r>
        </w:p>
        <w:p>
          <w:pPr>
            <w:pStyle w:val="46"/>
            <w:tabs>
              <w:tab w:val="right" w:leader="dot" w:pos="8336"/>
            </w:tabs>
            <w:spacing w:line="360" w:lineRule="auto"/>
            <w:ind w:left="0" w:leftChars="0" w:firstLine="0" w:firstLineChars="0"/>
          </w:pPr>
          <w:r>
            <w:fldChar w:fldCharType="begin"/>
          </w:r>
          <w:r>
            <w:instrText xml:space="preserve"> HYPERLINK \l _Toc25822 </w:instrText>
          </w:r>
          <w:r>
            <w:fldChar w:fldCharType="separate"/>
          </w:r>
          <w:r>
            <w:rPr>
              <w:rFonts w:hint="eastAsia" w:ascii="仿宋" w:hAnsi="仿宋" w:eastAsia="仿宋" w:cs="仿宋"/>
              <w:bCs/>
              <w:spacing w:val="-2"/>
              <w:szCs w:val="24"/>
            </w:rPr>
            <w:t>33.政府采购信用担保</w:t>
          </w:r>
          <w:r>
            <w:tab/>
          </w:r>
          <w:r>
            <w:fldChar w:fldCharType="begin"/>
          </w:r>
          <w:r>
            <w:instrText xml:space="preserve"> PAGEREF _Toc25822 \h </w:instrText>
          </w:r>
          <w:r>
            <w:fldChar w:fldCharType="separate"/>
          </w:r>
          <w:r>
            <w:t>19</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_Toc30464 </w:instrText>
          </w:r>
          <w:r>
            <w:fldChar w:fldCharType="separate"/>
          </w:r>
          <w:r>
            <w:rPr>
              <w:rFonts w:hint="eastAsia" w:ascii="仿宋" w:hAnsi="仿宋" w:eastAsia="仿宋" w:cs="仿宋"/>
              <w:bCs/>
              <w:spacing w:val="-2"/>
              <w:szCs w:val="24"/>
            </w:rPr>
            <w:t>34.廉洁自律规定</w:t>
          </w:r>
          <w:r>
            <w:tab/>
          </w:r>
          <w:r>
            <w:fldChar w:fldCharType="begin"/>
          </w:r>
          <w:r>
            <w:instrText xml:space="preserve"> PAGEREF _Toc30464 \h </w:instrText>
          </w:r>
          <w:r>
            <w:fldChar w:fldCharType="separate"/>
          </w:r>
          <w:r>
            <w:t>19</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_Toc15105 </w:instrText>
          </w:r>
          <w:r>
            <w:fldChar w:fldCharType="separate"/>
          </w:r>
          <w:r>
            <w:rPr>
              <w:rFonts w:hint="eastAsia" w:ascii="仿宋" w:hAnsi="仿宋" w:eastAsia="仿宋" w:cs="仿宋"/>
              <w:bCs/>
              <w:spacing w:val="-2"/>
              <w:szCs w:val="24"/>
            </w:rPr>
            <w:t>35.人员回避</w:t>
          </w:r>
          <w:r>
            <w:tab/>
          </w:r>
          <w:r>
            <w:fldChar w:fldCharType="begin"/>
          </w:r>
          <w:r>
            <w:instrText xml:space="preserve"> PAGEREF _Toc15105 \h </w:instrText>
          </w:r>
          <w:r>
            <w:fldChar w:fldCharType="separate"/>
          </w:r>
          <w:r>
            <w:t>20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_Toc5558 </w:instrText>
          </w:r>
          <w:r>
            <w:fldChar w:fldCharType="separate"/>
          </w:r>
          <w:r>
            <w:rPr>
              <w:rFonts w:hint="eastAsia" w:ascii="仿宋" w:hAnsi="仿宋" w:eastAsia="仿宋" w:cs="仿宋"/>
              <w:bCs/>
              <w:spacing w:val="-2"/>
              <w:szCs w:val="24"/>
            </w:rPr>
            <w:t>36.质疑与接收</w:t>
          </w:r>
          <w:r>
            <w:tab/>
          </w:r>
          <w:r>
            <w:fldChar w:fldCharType="begin"/>
          </w:r>
          <w:r>
            <w:instrText xml:space="preserve"> PAGEREF _Toc5558 \h </w:instrText>
          </w:r>
          <w:r>
            <w:fldChar w:fldCharType="separate"/>
          </w:r>
          <w:r>
            <w:t>20</w:t>
          </w:r>
          <w:r>
            <w:fldChar w:fldCharType="end"/>
          </w:r>
          <w:r>
            <w:fldChar w:fldCharType="end"/>
          </w:r>
        </w:p>
        <w:p>
          <w:pPr>
            <w:pStyle w:val="45"/>
            <w:tabs>
              <w:tab w:val="right" w:leader="dot" w:pos="8336"/>
            </w:tabs>
            <w:spacing w:line="360" w:lineRule="auto"/>
          </w:pPr>
          <w:r>
            <w:fldChar w:fldCharType="begin"/>
          </w:r>
          <w:r>
            <w:instrText xml:space="preserve"> HYPERLINK \l _Toc25976 </w:instrText>
          </w:r>
          <w:r>
            <w:fldChar w:fldCharType="separate"/>
          </w:r>
          <w:r>
            <w:rPr>
              <w:rFonts w:hint="eastAsia" w:ascii="仿宋" w:hAnsi="仿宋" w:eastAsia="仿宋" w:cs="仿宋"/>
              <w:spacing w:val="-4"/>
              <w:szCs w:val="24"/>
            </w:rPr>
            <w:t xml:space="preserve">37.    </w:t>
          </w:r>
          <w:r>
            <w:rPr>
              <w:rFonts w:hint="eastAsia" w:ascii="仿宋" w:hAnsi="仿宋" w:eastAsia="仿宋" w:cs="仿宋"/>
              <w:snapToGrid w:val="0"/>
              <w:spacing w:val="2"/>
              <w:kern w:val="0"/>
              <w:szCs w:val="24"/>
              <w:lang w:val="en-US" w:eastAsia="en-US" w:bidi="ar-SA"/>
            </w:rPr>
            <w:t>提出质疑应当具有明确的请求和提供必要的证明材料。</w:t>
          </w:r>
          <w:r>
            <w:tab/>
          </w:r>
          <w:r>
            <w:fldChar w:fldCharType="begin"/>
          </w:r>
          <w:r>
            <w:instrText xml:space="preserve"> PAGEREF _Toc25976 \h </w:instrText>
          </w:r>
          <w:r>
            <w:fldChar w:fldCharType="separate"/>
          </w:r>
          <w:r>
            <w:t>22</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_Toc7767 </w:instrText>
          </w:r>
          <w:r>
            <w:fldChar w:fldCharType="separate"/>
          </w:r>
          <w:r>
            <w:rPr>
              <w:rFonts w:hint="eastAsia" w:ascii="仿宋" w:hAnsi="仿宋" w:eastAsia="仿宋" w:cs="仿宋"/>
              <w:snapToGrid w:val="0"/>
              <w:spacing w:val="2"/>
              <w:kern w:val="0"/>
              <w:szCs w:val="24"/>
              <w:lang w:val="en-US" w:eastAsia="en-US" w:bidi="ar-SA"/>
            </w:rPr>
            <w:t>38.   质疑处理过程中，质疑人书面申请撤回质疑的，将终止质疑处理程序。</w:t>
          </w:r>
          <w:r>
            <w:tab/>
          </w:r>
          <w:r>
            <w:fldChar w:fldCharType="begin"/>
          </w:r>
          <w:r>
            <w:instrText xml:space="preserve"> PAGEREF _Toc7767 \h </w:instrText>
          </w:r>
          <w:r>
            <w:fldChar w:fldCharType="separate"/>
          </w:r>
          <w:r>
            <w:t>23</w:t>
          </w:r>
          <w:r>
            <w:fldChar w:fldCharType="end"/>
          </w:r>
          <w:r>
            <w:fldChar w:fldCharType="end"/>
          </w:r>
        </w:p>
        <w:p>
          <w:pPr>
            <w:pStyle w:val="47"/>
            <w:tabs>
              <w:tab w:val="right" w:leader="dot" w:pos="8336"/>
            </w:tabs>
            <w:spacing w:line="360" w:lineRule="auto"/>
            <w:ind w:left="0" w:leftChars="0" w:firstLine="0" w:firstLineChars="0"/>
            <w:rPr>
              <w:rFonts w:hint="eastAsia" w:ascii="仿宋" w:hAnsi="仿宋" w:eastAsia="仿宋" w:cs="仿宋"/>
              <w:snapToGrid w:val="0"/>
              <w:spacing w:val="2"/>
              <w:kern w:val="0"/>
              <w:sz w:val="20"/>
              <w:szCs w:val="24"/>
              <w:lang w:val="en-US" w:eastAsia="en-US" w:bidi="ar-SA"/>
            </w:rPr>
          </w:pPr>
          <w:r>
            <w:rPr>
              <w:rFonts w:hint="eastAsia" w:ascii="仿宋" w:hAnsi="仿宋" w:eastAsia="仿宋" w:cs="仿宋"/>
              <w:snapToGrid w:val="0"/>
              <w:spacing w:val="2"/>
              <w:kern w:val="0"/>
              <w:sz w:val="20"/>
              <w:szCs w:val="24"/>
              <w:lang w:val="en-US" w:eastAsia="en-US" w:bidi="ar-SA"/>
            </w:rPr>
            <w:fldChar w:fldCharType="begin"/>
          </w:r>
          <w:r>
            <w:rPr>
              <w:rFonts w:hint="eastAsia" w:ascii="仿宋" w:hAnsi="仿宋" w:eastAsia="仿宋" w:cs="仿宋"/>
              <w:snapToGrid w:val="0"/>
              <w:spacing w:val="2"/>
              <w:kern w:val="0"/>
              <w:sz w:val="20"/>
              <w:szCs w:val="24"/>
              <w:lang w:val="en-US" w:eastAsia="en-US" w:bidi="ar-SA"/>
            </w:rPr>
            <w:instrText xml:space="preserve"> HYPERLINK \l _Toc17254 </w:instrText>
          </w:r>
          <w:r>
            <w:rPr>
              <w:rFonts w:hint="eastAsia" w:ascii="仿宋" w:hAnsi="仿宋" w:eastAsia="仿宋" w:cs="仿宋"/>
              <w:snapToGrid w:val="0"/>
              <w:spacing w:val="2"/>
              <w:kern w:val="0"/>
              <w:sz w:val="20"/>
              <w:szCs w:val="24"/>
              <w:lang w:val="en-US" w:eastAsia="en-US" w:bidi="ar-SA"/>
            </w:rPr>
            <w:fldChar w:fldCharType="separate"/>
          </w:r>
          <w:r>
            <w:rPr>
              <w:rFonts w:hint="eastAsia" w:ascii="仿宋" w:hAnsi="仿宋" w:eastAsia="仿宋" w:cs="仿宋"/>
              <w:snapToGrid w:val="0"/>
              <w:spacing w:val="2"/>
              <w:kern w:val="0"/>
              <w:sz w:val="20"/>
              <w:szCs w:val="24"/>
              <w:lang w:val="en-US" w:eastAsia="en-US" w:bidi="ar-SA"/>
            </w:rPr>
            <w:t>附件1：履约保证金保函（格式）</w:t>
          </w:r>
          <w:r>
            <w:rPr>
              <w:rFonts w:hint="eastAsia" w:ascii="仿宋" w:hAnsi="仿宋" w:eastAsia="仿宋" w:cs="仿宋"/>
              <w:snapToGrid w:val="0"/>
              <w:spacing w:val="2"/>
              <w:kern w:val="0"/>
              <w:sz w:val="20"/>
              <w:szCs w:val="24"/>
              <w:lang w:val="en-US" w:eastAsia="en-US" w:bidi="ar-SA"/>
            </w:rPr>
            <w:tab/>
          </w:r>
          <w:r>
            <w:rPr>
              <w:rFonts w:hint="eastAsia" w:ascii="仿宋" w:hAnsi="仿宋" w:eastAsia="仿宋" w:cs="仿宋"/>
              <w:snapToGrid w:val="0"/>
              <w:spacing w:val="2"/>
              <w:kern w:val="0"/>
              <w:sz w:val="20"/>
              <w:szCs w:val="24"/>
              <w:lang w:val="en-US" w:eastAsia="en-US" w:bidi="ar-SA"/>
            </w:rPr>
            <w:fldChar w:fldCharType="begin"/>
          </w:r>
          <w:r>
            <w:rPr>
              <w:rFonts w:hint="eastAsia" w:ascii="仿宋" w:hAnsi="仿宋" w:eastAsia="仿宋" w:cs="仿宋"/>
              <w:snapToGrid w:val="0"/>
              <w:spacing w:val="2"/>
              <w:kern w:val="0"/>
              <w:sz w:val="20"/>
              <w:szCs w:val="24"/>
              <w:lang w:val="en-US" w:eastAsia="en-US" w:bidi="ar-SA"/>
            </w:rPr>
            <w:instrText xml:space="preserve"> PAGEREF _Toc17254 \h </w:instrText>
          </w:r>
          <w:r>
            <w:rPr>
              <w:rFonts w:hint="eastAsia" w:ascii="仿宋" w:hAnsi="仿宋" w:eastAsia="仿宋" w:cs="仿宋"/>
              <w:snapToGrid w:val="0"/>
              <w:spacing w:val="2"/>
              <w:kern w:val="0"/>
              <w:sz w:val="20"/>
              <w:szCs w:val="24"/>
              <w:lang w:val="en-US" w:eastAsia="en-US" w:bidi="ar-SA"/>
            </w:rPr>
            <w:fldChar w:fldCharType="separate"/>
          </w:r>
          <w:r>
            <w:rPr>
              <w:rFonts w:hint="eastAsia" w:ascii="仿宋" w:hAnsi="仿宋" w:eastAsia="仿宋" w:cs="仿宋"/>
              <w:snapToGrid w:val="0"/>
              <w:spacing w:val="2"/>
              <w:kern w:val="0"/>
              <w:sz w:val="20"/>
              <w:szCs w:val="24"/>
              <w:lang w:val="en-US" w:eastAsia="en-US" w:bidi="ar-SA"/>
            </w:rPr>
            <w:t>27</w:t>
          </w:r>
          <w:r>
            <w:rPr>
              <w:rFonts w:hint="eastAsia" w:ascii="仿宋" w:hAnsi="仿宋" w:eastAsia="仿宋" w:cs="仿宋"/>
              <w:snapToGrid w:val="0"/>
              <w:spacing w:val="2"/>
              <w:kern w:val="0"/>
              <w:sz w:val="20"/>
              <w:szCs w:val="24"/>
              <w:lang w:val="en-US" w:eastAsia="en-US" w:bidi="ar-SA"/>
            </w:rPr>
            <w:fldChar w:fldCharType="end"/>
          </w:r>
          <w:r>
            <w:rPr>
              <w:rFonts w:hint="eastAsia" w:ascii="仿宋" w:hAnsi="仿宋" w:eastAsia="仿宋" w:cs="仿宋"/>
              <w:snapToGrid w:val="0"/>
              <w:spacing w:val="2"/>
              <w:kern w:val="0"/>
              <w:sz w:val="20"/>
              <w:szCs w:val="24"/>
              <w:lang w:val="en-US" w:eastAsia="en-US" w:bidi="ar-SA"/>
            </w:rPr>
            <w:fldChar w:fldCharType="end"/>
          </w:r>
        </w:p>
        <w:p>
          <w:pPr>
            <w:pStyle w:val="47"/>
            <w:tabs>
              <w:tab w:val="right" w:leader="dot" w:pos="8336"/>
            </w:tabs>
            <w:spacing w:line="360" w:lineRule="auto"/>
            <w:ind w:left="0" w:leftChars="0" w:firstLine="0" w:firstLineChars="0"/>
          </w:pPr>
          <w:r>
            <w:rPr>
              <w:rFonts w:hint="eastAsia" w:ascii="仿宋" w:hAnsi="仿宋" w:eastAsia="仿宋" w:cs="仿宋"/>
              <w:snapToGrid w:val="0"/>
              <w:spacing w:val="2"/>
              <w:kern w:val="0"/>
              <w:sz w:val="20"/>
              <w:szCs w:val="24"/>
              <w:lang w:val="en-US" w:eastAsia="en-US" w:bidi="ar-SA"/>
            </w:rPr>
            <w:fldChar w:fldCharType="begin"/>
          </w:r>
          <w:r>
            <w:rPr>
              <w:rFonts w:hint="eastAsia" w:ascii="仿宋" w:hAnsi="仿宋" w:eastAsia="仿宋" w:cs="仿宋"/>
              <w:snapToGrid w:val="0"/>
              <w:spacing w:val="2"/>
              <w:kern w:val="0"/>
              <w:sz w:val="20"/>
              <w:szCs w:val="24"/>
              <w:lang w:val="en-US" w:eastAsia="en-US" w:bidi="ar-SA"/>
            </w:rPr>
            <w:instrText xml:space="preserve"> HYPERLINK \l _Toc18747 </w:instrText>
          </w:r>
          <w:r>
            <w:rPr>
              <w:rFonts w:hint="eastAsia" w:ascii="仿宋" w:hAnsi="仿宋" w:eastAsia="仿宋" w:cs="仿宋"/>
              <w:snapToGrid w:val="0"/>
              <w:spacing w:val="2"/>
              <w:kern w:val="0"/>
              <w:sz w:val="20"/>
              <w:szCs w:val="24"/>
              <w:lang w:val="en-US" w:eastAsia="en-US" w:bidi="ar-SA"/>
            </w:rPr>
            <w:fldChar w:fldCharType="separate"/>
          </w:r>
          <w:r>
            <w:rPr>
              <w:rFonts w:hint="eastAsia" w:ascii="仿宋" w:hAnsi="仿宋" w:eastAsia="仿宋" w:cs="仿宋"/>
              <w:snapToGrid w:val="0"/>
              <w:spacing w:val="2"/>
              <w:kern w:val="0"/>
              <w:sz w:val="20"/>
              <w:szCs w:val="24"/>
              <w:lang w:val="en-US" w:eastAsia="en-US" w:bidi="ar-SA"/>
            </w:rPr>
            <w:t>附件2：履约担保函格式</w:t>
          </w:r>
          <w:r>
            <w:rPr>
              <w:rFonts w:hint="eastAsia" w:ascii="仿宋" w:hAnsi="仿宋" w:eastAsia="仿宋" w:cs="仿宋"/>
              <w:snapToGrid w:val="0"/>
              <w:spacing w:val="2"/>
              <w:kern w:val="0"/>
              <w:sz w:val="20"/>
              <w:szCs w:val="24"/>
              <w:lang w:val="en-US" w:eastAsia="en-US" w:bidi="ar-SA"/>
            </w:rPr>
            <w:tab/>
          </w:r>
          <w:r>
            <w:rPr>
              <w:rFonts w:hint="eastAsia" w:ascii="仿宋" w:hAnsi="仿宋" w:eastAsia="仿宋" w:cs="仿宋"/>
              <w:snapToGrid w:val="0"/>
              <w:spacing w:val="2"/>
              <w:kern w:val="0"/>
              <w:sz w:val="20"/>
              <w:szCs w:val="24"/>
              <w:lang w:val="en-US" w:eastAsia="en-US" w:bidi="ar-SA"/>
            </w:rPr>
            <w:fldChar w:fldCharType="begin"/>
          </w:r>
          <w:r>
            <w:rPr>
              <w:rFonts w:hint="eastAsia" w:ascii="仿宋" w:hAnsi="仿宋" w:eastAsia="仿宋" w:cs="仿宋"/>
              <w:snapToGrid w:val="0"/>
              <w:spacing w:val="2"/>
              <w:kern w:val="0"/>
              <w:sz w:val="20"/>
              <w:szCs w:val="24"/>
              <w:lang w:val="en-US" w:eastAsia="en-US" w:bidi="ar-SA"/>
            </w:rPr>
            <w:instrText xml:space="preserve"> PAGEREF _Toc18747 \h </w:instrText>
          </w:r>
          <w:r>
            <w:rPr>
              <w:rFonts w:hint="eastAsia" w:ascii="仿宋" w:hAnsi="仿宋" w:eastAsia="仿宋" w:cs="仿宋"/>
              <w:snapToGrid w:val="0"/>
              <w:spacing w:val="2"/>
              <w:kern w:val="0"/>
              <w:sz w:val="20"/>
              <w:szCs w:val="24"/>
              <w:lang w:val="en-US" w:eastAsia="en-US" w:bidi="ar-SA"/>
            </w:rPr>
            <w:fldChar w:fldCharType="separate"/>
          </w:r>
          <w:r>
            <w:rPr>
              <w:rFonts w:hint="eastAsia" w:ascii="仿宋" w:hAnsi="仿宋" w:eastAsia="仿宋" w:cs="仿宋"/>
              <w:snapToGrid w:val="0"/>
              <w:spacing w:val="2"/>
              <w:kern w:val="0"/>
              <w:sz w:val="20"/>
              <w:szCs w:val="24"/>
              <w:lang w:val="en-US" w:eastAsia="en-US" w:bidi="ar-SA"/>
            </w:rPr>
            <w:t>28</w:t>
          </w:r>
          <w:r>
            <w:rPr>
              <w:rFonts w:hint="eastAsia" w:ascii="仿宋" w:hAnsi="仿宋" w:eastAsia="仿宋" w:cs="仿宋"/>
              <w:snapToGrid w:val="0"/>
              <w:spacing w:val="2"/>
              <w:kern w:val="0"/>
              <w:sz w:val="20"/>
              <w:szCs w:val="24"/>
              <w:lang w:val="en-US" w:eastAsia="en-US" w:bidi="ar-SA"/>
            </w:rPr>
            <w:fldChar w:fldCharType="end"/>
          </w:r>
          <w:r>
            <w:rPr>
              <w:rFonts w:hint="eastAsia" w:ascii="仿宋" w:hAnsi="仿宋" w:eastAsia="仿宋" w:cs="仿宋"/>
              <w:snapToGrid w:val="0"/>
              <w:spacing w:val="2"/>
              <w:kern w:val="0"/>
              <w:sz w:val="20"/>
              <w:szCs w:val="24"/>
              <w:lang w:val="en-US" w:eastAsia="en-US" w:bidi="ar-SA"/>
            </w:rPr>
            <w:fldChar w:fldCharType="end"/>
          </w:r>
        </w:p>
        <w:p>
          <w:pPr>
            <w:pStyle w:val="45"/>
            <w:tabs>
              <w:tab w:val="right" w:leader="dot" w:pos="8336"/>
            </w:tabs>
            <w:spacing w:line="360" w:lineRule="auto"/>
          </w:pPr>
          <w:r>
            <w:fldChar w:fldCharType="begin"/>
          </w:r>
          <w:r>
            <w:instrText xml:space="preserve"> HYPERLINK \l _Toc22248 </w:instrText>
          </w:r>
          <w: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_Toc22248 \h </w:instrText>
          </w:r>
          <w:r>
            <w:fldChar w:fldCharType="separate"/>
          </w:r>
          <w:r>
            <w:t>30</w:t>
          </w:r>
          <w:r>
            <w:fldChar w:fldCharType="end"/>
          </w:r>
          <w:r>
            <w:fldChar w:fldCharType="end"/>
          </w:r>
        </w:p>
        <w:p>
          <w:pPr>
            <w:pStyle w:val="46"/>
            <w:tabs>
              <w:tab w:val="right" w:leader="dot" w:pos="8336"/>
            </w:tabs>
            <w:spacing w:line="360" w:lineRule="auto"/>
          </w:pPr>
          <w:r>
            <w:fldChar w:fldCharType="begin"/>
          </w:r>
          <w:r>
            <w:instrText xml:space="preserve"> HYPERLINK \l _Toc21312 </w:instrText>
          </w:r>
          <w: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_Toc21312 \h </w:instrText>
          </w:r>
          <w:r>
            <w:fldChar w:fldCharType="separate"/>
          </w:r>
          <w:r>
            <w:t>30</w:t>
          </w:r>
          <w:r>
            <w:fldChar w:fldCharType="end"/>
          </w:r>
          <w:r>
            <w:fldChar w:fldCharType="end"/>
          </w:r>
        </w:p>
        <w:p>
          <w:pPr>
            <w:pStyle w:val="46"/>
            <w:tabs>
              <w:tab w:val="right" w:leader="dot" w:pos="8336"/>
            </w:tabs>
            <w:spacing w:line="360" w:lineRule="auto"/>
          </w:pPr>
          <w:r>
            <w:fldChar w:fldCharType="begin"/>
          </w:r>
          <w:r>
            <w:instrText xml:space="preserve"> HYPERLINK \l _Toc19762 </w:instrText>
          </w:r>
          <w:r>
            <w:fldChar w:fldCharType="separate"/>
          </w:r>
          <w:r>
            <w:rPr>
              <w:rFonts w:hint="eastAsia" w:ascii="仿宋" w:hAnsi="仿宋" w:eastAsia="仿宋" w:cs="仿宋"/>
              <w:bCs/>
              <w:spacing w:val="-5"/>
              <w:szCs w:val="24"/>
            </w:rPr>
            <w:t>第二部分</w:t>
          </w:r>
          <w:r>
            <w:rPr>
              <w:rFonts w:hint="eastAsia" w:ascii="仿宋" w:hAnsi="仿宋" w:eastAsia="仿宋" w:cs="仿宋"/>
              <w:bCs/>
              <w:spacing w:val="13"/>
              <w:szCs w:val="24"/>
            </w:rPr>
            <w:t xml:space="preserve">  </w:t>
          </w:r>
          <w:r>
            <w:rPr>
              <w:rFonts w:hint="eastAsia" w:ascii="仿宋" w:hAnsi="仿宋" w:eastAsia="仿宋" w:cs="仿宋"/>
              <w:bCs/>
              <w:spacing w:val="-5"/>
              <w:szCs w:val="24"/>
            </w:rPr>
            <w:t>商务及技术文件</w:t>
          </w:r>
          <w:r>
            <w:tab/>
          </w:r>
          <w:r>
            <w:fldChar w:fldCharType="begin"/>
          </w:r>
          <w:r>
            <w:instrText xml:space="preserve"> PAGEREF _Toc19762 \h </w:instrText>
          </w:r>
          <w:r>
            <w:fldChar w:fldCharType="separate"/>
          </w:r>
          <w:r>
            <w:t>44</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_Toc32544 </w:instrText>
          </w:r>
          <w:r>
            <w:fldChar w:fldCharType="separate"/>
          </w:r>
          <w:r>
            <w:rPr>
              <w:rFonts w:hint="eastAsia" w:ascii="仿宋" w:hAnsi="仿宋" w:eastAsia="仿宋" w:cs="仿宋"/>
              <w:snapToGrid w:val="0"/>
              <w:spacing w:val="2"/>
              <w:kern w:val="0"/>
              <w:sz w:val="20"/>
              <w:szCs w:val="24"/>
              <w:lang w:val="en-US" w:eastAsia="en-US" w:bidi="ar-SA"/>
            </w:rPr>
            <w:t>1 投标书</w:t>
          </w:r>
          <w:r>
            <w:tab/>
          </w:r>
          <w:r>
            <w:fldChar w:fldCharType="begin"/>
          </w:r>
          <w:r>
            <w:instrText xml:space="preserve"> PAGEREF _Toc32544 \h </w:instrText>
          </w:r>
          <w:r>
            <w:fldChar w:fldCharType="separate"/>
          </w:r>
          <w:r>
            <w:t>45</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_Toc6983 </w:instrText>
          </w:r>
          <w:r>
            <w:fldChar w:fldCharType="separate"/>
          </w:r>
          <w:r>
            <w:rPr>
              <w:rFonts w:hint="eastAsia" w:ascii="仿宋" w:hAnsi="仿宋" w:eastAsia="仿宋" w:cs="仿宋"/>
              <w:bCs/>
              <w:spacing w:val="-3"/>
              <w:szCs w:val="24"/>
            </w:rPr>
            <w:t>2</w:t>
          </w:r>
          <w:r>
            <w:rPr>
              <w:rFonts w:hint="eastAsia" w:ascii="仿宋" w:hAnsi="仿宋" w:eastAsia="仿宋" w:cs="仿宋"/>
              <w:bCs/>
              <w:spacing w:val="12"/>
              <w:szCs w:val="24"/>
            </w:rPr>
            <w:t xml:space="preserve">   </w:t>
          </w:r>
          <w:r>
            <w:rPr>
              <w:rFonts w:hint="eastAsia" w:ascii="仿宋" w:hAnsi="仿宋" w:eastAsia="仿宋" w:cs="仿宋"/>
              <w:bCs/>
              <w:spacing w:val="-3"/>
              <w:szCs w:val="24"/>
            </w:rPr>
            <w:t>投标分项报价表</w:t>
          </w:r>
          <w:r>
            <w:tab/>
          </w:r>
          <w:r>
            <w:fldChar w:fldCharType="begin"/>
          </w:r>
          <w:r>
            <w:instrText xml:space="preserve"> PAGEREF _Toc6983 \h </w:instrText>
          </w:r>
          <w:r>
            <w:fldChar w:fldCharType="separate"/>
          </w:r>
          <w:r>
            <w:t>47</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_Toc22506 </w:instrText>
          </w:r>
          <w:r>
            <w:fldChar w:fldCharType="separate"/>
          </w:r>
          <w:r>
            <w:rPr>
              <w:rFonts w:hint="eastAsia" w:ascii="仿宋" w:hAnsi="仿宋" w:eastAsia="仿宋" w:cs="仿宋"/>
              <w:bCs/>
              <w:spacing w:val="-4"/>
              <w:szCs w:val="24"/>
            </w:rPr>
            <w:t>3、</w:t>
          </w:r>
          <w:r>
            <w:rPr>
              <w:rFonts w:hint="eastAsia" w:ascii="仿宋" w:hAnsi="仿宋" w:eastAsia="仿宋" w:cs="仿宋"/>
              <w:bCs/>
              <w:spacing w:val="-4"/>
              <w:lang w:val="en-US" w:eastAsia="zh-CN"/>
            </w:rPr>
            <w:t>货物</w:t>
          </w:r>
          <w:r>
            <w:rPr>
              <w:rFonts w:hint="eastAsia" w:ascii="仿宋" w:hAnsi="仿宋" w:eastAsia="仿宋" w:cs="仿宋"/>
              <w:bCs/>
              <w:spacing w:val="-4"/>
            </w:rPr>
            <w:t>说明一览表</w:t>
          </w:r>
          <w:r>
            <w:tab/>
          </w:r>
          <w:r>
            <w:fldChar w:fldCharType="begin"/>
          </w:r>
          <w:r>
            <w:instrText xml:space="preserve"> PAGEREF _Toc22506 \h </w:instrText>
          </w:r>
          <w:r>
            <w:fldChar w:fldCharType="separate"/>
          </w:r>
          <w:r>
            <w:t>51</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_Toc24089 </w:instrText>
          </w:r>
          <w:r>
            <w:fldChar w:fldCharType="separate"/>
          </w:r>
          <w:r>
            <w:rPr>
              <w:rFonts w:hint="eastAsia" w:ascii="仿宋" w:hAnsi="仿宋" w:eastAsia="仿宋" w:cs="仿宋"/>
              <w:bCs/>
              <w:spacing w:val="-3"/>
            </w:rPr>
            <w:t>4</w:t>
          </w:r>
          <w:r>
            <w:rPr>
              <w:rFonts w:hint="eastAsia" w:ascii="仿宋" w:hAnsi="仿宋" w:eastAsia="仿宋" w:cs="仿宋"/>
              <w:spacing w:val="-3"/>
            </w:rPr>
            <w:t xml:space="preserve">   </w:t>
          </w:r>
          <w:r>
            <w:rPr>
              <w:rFonts w:hint="eastAsia" w:ascii="仿宋" w:hAnsi="仿宋" w:eastAsia="仿宋" w:cs="仿宋"/>
              <w:bCs/>
              <w:spacing w:val="-3"/>
            </w:rPr>
            <w:t>技术规格偏离表</w:t>
          </w:r>
          <w:r>
            <w:tab/>
          </w:r>
          <w:r>
            <w:fldChar w:fldCharType="begin"/>
          </w:r>
          <w:r>
            <w:instrText xml:space="preserve"> PAGEREF _Toc24089 \h </w:instrText>
          </w:r>
          <w:r>
            <w:fldChar w:fldCharType="separate"/>
          </w:r>
          <w:r>
            <w:t>53</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_Toc10528 </w:instrText>
          </w:r>
          <w:r>
            <w:fldChar w:fldCharType="separate"/>
          </w:r>
          <w:r>
            <w:rPr>
              <w:rFonts w:hint="eastAsia" w:ascii="仿宋" w:hAnsi="仿宋" w:eastAsia="仿宋" w:cs="仿宋"/>
              <w:bCs/>
              <w:spacing w:val="-3"/>
            </w:rPr>
            <w:t>5</w:t>
          </w:r>
          <w:r>
            <w:rPr>
              <w:rFonts w:hint="eastAsia" w:ascii="仿宋" w:hAnsi="仿宋" w:eastAsia="仿宋" w:cs="仿宋"/>
              <w:spacing w:val="-3"/>
            </w:rPr>
            <w:t xml:space="preserve">   </w:t>
          </w:r>
          <w:r>
            <w:rPr>
              <w:rFonts w:hint="eastAsia" w:ascii="仿宋" w:hAnsi="仿宋" w:eastAsia="仿宋" w:cs="仿宋"/>
              <w:bCs/>
              <w:spacing w:val="-3"/>
            </w:rPr>
            <w:t>商务条款偏离表</w:t>
          </w:r>
          <w:r>
            <w:tab/>
          </w:r>
          <w:r>
            <w:fldChar w:fldCharType="begin"/>
          </w:r>
          <w:r>
            <w:instrText xml:space="preserve"> PAGEREF _Toc10528 \h </w:instrText>
          </w:r>
          <w:r>
            <w:fldChar w:fldCharType="separate"/>
          </w:r>
          <w:r>
            <w:t>54</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_Toc10009 </w:instrText>
          </w:r>
          <w:r>
            <w:fldChar w:fldCharType="separate"/>
          </w:r>
          <w:r>
            <w:rPr>
              <w:rFonts w:hint="eastAsia" w:ascii="仿宋" w:hAnsi="仿宋" w:eastAsia="仿宋" w:cs="仿宋"/>
              <w:bCs/>
              <w:szCs w:val="24"/>
            </w:rPr>
            <w:t>6-1   投标人企业（单位）类型声明函</w:t>
          </w:r>
          <w:r>
            <w:tab/>
          </w:r>
          <w:r>
            <w:fldChar w:fldCharType="begin"/>
          </w:r>
          <w:r>
            <w:instrText xml:space="preserve"> PAGEREF _Toc10009 \h </w:instrText>
          </w:r>
          <w:r>
            <w:fldChar w:fldCharType="separate"/>
          </w:r>
          <w:r>
            <w:t>55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_Toc9092 </w:instrText>
          </w:r>
          <w:r>
            <w:fldChar w:fldCharType="separate"/>
          </w:r>
          <w:r>
            <w:rPr>
              <w:rFonts w:hint="eastAsia" w:ascii="仿宋" w:hAnsi="仿宋" w:eastAsia="仿宋" w:cs="仿宋"/>
              <w:bCs/>
              <w:spacing w:val="-1"/>
              <w:szCs w:val="24"/>
            </w:rPr>
            <w:t>6-</w:t>
          </w:r>
          <w:r>
            <w:rPr>
              <w:rFonts w:hint="eastAsia" w:ascii="仿宋" w:hAnsi="仿宋" w:eastAsia="仿宋" w:cs="仿宋"/>
              <w:bCs/>
              <w:spacing w:val="-1"/>
              <w:szCs w:val="24"/>
              <w:lang w:val="en-US" w:eastAsia="zh-CN"/>
            </w:rPr>
            <w:t>2</w:t>
          </w:r>
          <w:r>
            <w:rPr>
              <w:rFonts w:hint="eastAsia" w:ascii="仿宋" w:hAnsi="仿宋" w:eastAsia="仿宋" w:cs="仿宋"/>
              <w:bCs/>
              <w:spacing w:val="-1"/>
              <w:szCs w:val="24"/>
            </w:rPr>
            <w:t xml:space="preserve">     残疾人福利性单位声明函（本项目不适用）</w:t>
          </w:r>
          <w:r>
            <w:tab/>
          </w:r>
          <w:r>
            <w:fldChar w:fldCharType="begin"/>
          </w:r>
          <w:r>
            <w:instrText xml:space="preserve"> PAGEREF _Toc9092 \h </w:instrText>
          </w:r>
          <w:r>
            <w:fldChar w:fldCharType="separate"/>
          </w:r>
          <w:r>
            <w:t>56</w:t>
          </w:r>
          <w:r>
            <w:fldChar w:fldCharType="end"/>
          </w:r>
          <w:r>
            <w:fldChar w:fldCharType="end"/>
          </w:r>
        </w:p>
        <w:p>
          <w:pPr>
            <w:pStyle w:val="45"/>
            <w:tabs>
              <w:tab w:val="right" w:leader="dot" w:pos="8336"/>
            </w:tabs>
            <w:spacing w:line="360" w:lineRule="auto"/>
          </w:pPr>
          <w:r>
            <w:fldChar w:fldCharType="begin"/>
          </w:r>
          <w:r>
            <w:instrText xml:space="preserve"> HYPERLINK \l _Toc24712 </w:instrText>
          </w:r>
          <w:r>
            <w:fldChar w:fldCharType="separate"/>
          </w:r>
          <w:r>
            <w:rPr>
              <w:rFonts w:hint="eastAsia" w:ascii="仿宋" w:hAnsi="仿宋" w:eastAsia="仿宋" w:cs="仿宋"/>
              <w:bCs/>
              <w:szCs w:val="24"/>
            </w:rPr>
            <w:t>6-</w:t>
          </w:r>
          <w:r>
            <w:rPr>
              <w:rFonts w:hint="eastAsia" w:ascii="仿宋" w:hAnsi="仿宋" w:eastAsia="仿宋" w:cs="仿宋"/>
              <w:bCs/>
              <w:szCs w:val="24"/>
              <w:lang w:val="en-US" w:eastAsia="zh-CN"/>
            </w:rPr>
            <w:t>3</w:t>
          </w:r>
          <w:r>
            <w:rPr>
              <w:rFonts w:hint="eastAsia" w:ascii="仿宋" w:hAnsi="仿宋" w:eastAsia="仿宋" w:cs="仿宋"/>
              <w:bCs/>
              <w:spacing w:val="-1"/>
              <w:szCs w:val="24"/>
            </w:rPr>
            <w:t>《中小企业声明函》（</w:t>
          </w:r>
          <w:r>
            <w:rPr>
              <w:rFonts w:hint="eastAsia" w:ascii="仿宋" w:hAnsi="仿宋" w:eastAsia="仿宋" w:cs="仿宋"/>
              <w:bCs/>
              <w:spacing w:val="-1"/>
              <w:szCs w:val="24"/>
              <w:lang w:val="en-US" w:eastAsia="zh-CN"/>
            </w:rPr>
            <w:t>货物</w:t>
          </w:r>
          <w:r>
            <w:rPr>
              <w:rFonts w:hint="eastAsia" w:ascii="仿宋" w:hAnsi="仿宋" w:eastAsia="仿宋" w:cs="仿宋"/>
              <w:bCs/>
              <w:spacing w:val="-1"/>
              <w:szCs w:val="24"/>
            </w:rPr>
            <w:t>）</w:t>
          </w:r>
          <w:r>
            <w:tab/>
          </w:r>
          <w:r>
            <w:fldChar w:fldCharType="begin"/>
          </w:r>
          <w:r>
            <w:instrText xml:space="preserve"> PAGEREF _Toc24712 \h </w:instrText>
          </w:r>
          <w:r>
            <w:fldChar w:fldCharType="separate"/>
          </w:r>
          <w:r>
            <w:t>57</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_Toc15434 </w:instrText>
          </w:r>
          <w:r>
            <w:fldChar w:fldCharType="separate"/>
          </w:r>
          <w:r>
            <w:rPr>
              <w:rFonts w:hint="eastAsia" w:ascii="仿宋" w:hAnsi="仿宋" w:eastAsia="仿宋" w:cs="仿宋"/>
              <w:bCs/>
              <w:snapToGrid w:val="0"/>
              <w:spacing w:val="-1"/>
              <w:kern w:val="0"/>
              <w:szCs w:val="24"/>
              <w:lang w:val="en-US" w:eastAsia="en-US" w:bidi="ar-SA"/>
            </w:rPr>
            <w:t>7     投标人关联单位的说明</w:t>
          </w:r>
          <w:r>
            <w:tab/>
          </w:r>
          <w:r>
            <w:fldChar w:fldCharType="begin"/>
          </w:r>
          <w:r>
            <w:instrText xml:space="preserve"> PAGEREF _Toc15434 \h </w:instrText>
          </w:r>
          <w:r>
            <w:fldChar w:fldCharType="separate"/>
          </w:r>
          <w:r>
            <w:t>58</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_Toc8960 </w:instrText>
          </w:r>
          <w:r>
            <w:fldChar w:fldCharType="separate"/>
          </w:r>
          <w:r>
            <w:rPr>
              <w:rFonts w:hint="eastAsia" w:ascii="仿宋" w:hAnsi="仿宋" w:eastAsia="仿宋" w:cs="仿宋"/>
              <w:bCs/>
              <w:spacing w:val="-1"/>
              <w:szCs w:val="24"/>
            </w:rPr>
            <w:t>8</w:t>
          </w:r>
          <w:r>
            <w:rPr>
              <w:rFonts w:hint="eastAsia" w:ascii="仿宋" w:hAnsi="仿宋" w:eastAsia="仿宋" w:cs="仿宋"/>
              <w:bCs/>
              <w:spacing w:val="56"/>
              <w:w w:val="101"/>
              <w:szCs w:val="24"/>
            </w:rPr>
            <w:t xml:space="preserve"> </w:t>
          </w:r>
          <w:r>
            <w:rPr>
              <w:rFonts w:hint="eastAsia" w:ascii="仿宋" w:hAnsi="仿宋" w:eastAsia="仿宋" w:cs="仿宋"/>
              <w:bCs/>
              <w:spacing w:val="-1"/>
              <w:szCs w:val="24"/>
            </w:rPr>
            <w:t>投标人可提供有利于投标的其他资格证明材料</w:t>
          </w:r>
          <w:r>
            <w:tab/>
          </w:r>
          <w:r>
            <w:fldChar w:fldCharType="begin"/>
          </w:r>
          <w:r>
            <w:instrText xml:space="preserve"> PAGEREF _Toc8960 \h </w:instrText>
          </w:r>
          <w:r>
            <w:fldChar w:fldCharType="separate"/>
          </w:r>
          <w:r>
            <w:t>58</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_Toc6424 </w:instrText>
          </w:r>
          <w:r>
            <w:fldChar w:fldCharType="separate"/>
          </w:r>
          <w:r>
            <w:rPr>
              <w:rFonts w:hint="eastAsia" w:ascii="仿宋" w:hAnsi="仿宋" w:eastAsia="仿宋" w:cs="仿宋"/>
              <w:bCs/>
              <w:spacing w:val="-1"/>
              <w:szCs w:val="24"/>
              <w:lang w:val="en-US" w:eastAsia="zh-CN"/>
            </w:rPr>
            <w:t>9  投标保证金缴纳凭证或投标保证金保函证明材料</w:t>
          </w:r>
          <w:r>
            <w:tab/>
          </w:r>
          <w:r>
            <w:fldChar w:fldCharType="begin"/>
          </w:r>
          <w:r>
            <w:instrText xml:space="preserve"> PAGEREF _Toc6424 \h </w:instrText>
          </w:r>
          <w:r>
            <w:fldChar w:fldCharType="separate"/>
          </w:r>
          <w:r>
            <w:t>58</w:t>
          </w:r>
          <w:r>
            <w:fldChar w:fldCharType="end"/>
          </w:r>
          <w:r>
            <w:fldChar w:fldCharType="end"/>
          </w:r>
        </w:p>
        <w:p>
          <w:pPr>
            <w:pStyle w:val="45"/>
            <w:tabs>
              <w:tab w:val="right" w:leader="dot" w:pos="8336"/>
            </w:tabs>
            <w:spacing w:line="360" w:lineRule="auto"/>
            <w:rPr>
              <w:rFonts w:hint="eastAsia" w:ascii="仿宋" w:hAnsi="仿宋" w:eastAsia="仿宋" w:cs="仿宋"/>
              <w:bCs/>
              <w:spacing w:val="-1"/>
              <w:sz w:val="20"/>
              <w:szCs w:val="24"/>
              <w:lang w:val="en-US" w:eastAsia="zh-CN"/>
            </w:rPr>
          </w:pP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HYPERLINK \l _Toc14228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投标文件格式范本</w:t>
          </w:r>
          <w:r>
            <w:rPr>
              <w:rFonts w:hint="eastAsia" w:ascii="仿宋" w:hAnsi="仿宋" w:eastAsia="仿宋" w:cs="仿宋"/>
              <w:bCs/>
              <w:spacing w:val="-1"/>
              <w:sz w:val="20"/>
              <w:szCs w:val="24"/>
              <w:lang w:val="en-US" w:eastAsia="zh-CN"/>
            </w:rPr>
            <w:tab/>
          </w: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PAGEREF _Toc14228 \h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59</w:t>
          </w:r>
          <w:r>
            <w:rPr>
              <w:rFonts w:hint="eastAsia" w:ascii="仿宋" w:hAnsi="仿宋" w:eastAsia="仿宋" w:cs="仿宋"/>
              <w:bCs/>
              <w:spacing w:val="-1"/>
              <w:sz w:val="20"/>
              <w:szCs w:val="24"/>
              <w:lang w:val="en-US" w:eastAsia="zh-CN"/>
            </w:rPr>
            <w:fldChar w:fldCharType="end"/>
          </w:r>
          <w:r>
            <w:rPr>
              <w:rFonts w:hint="eastAsia" w:ascii="仿宋" w:hAnsi="仿宋" w:eastAsia="仿宋" w:cs="仿宋"/>
              <w:bCs/>
              <w:spacing w:val="-1"/>
              <w:sz w:val="20"/>
              <w:szCs w:val="24"/>
              <w:lang w:val="en-US" w:eastAsia="zh-CN"/>
            </w:rPr>
            <w:fldChar w:fldCharType="end"/>
          </w:r>
        </w:p>
        <w:p>
          <w:pPr>
            <w:pStyle w:val="45"/>
            <w:tabs>
              <w:tab w:val="right" w:leader="dot" w:pos="8336"/>
            </w:tabs>
            <w:spacing w:line="360" w:lineRule="auto"/>
            <w:rPr>
              <w:rFonts w:hint="eastAsia" w:ascii="仿宋" w:hAnsi="仿宋" w:eastAsia="仿宋" w:cs="仿宋"/>
              <w:bCs/>
              <w:spacing w:val="-1"/>
              <w:sz w:val="20"/>
              <w:szCs w:val="24"/>
              <w:lang w:val="en-US" w:eastAsia="zh-CN"/>
            </w:rPr>
          </w:pP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HYPERLINK \l _Toc7042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招标文件-【电子评标】</w:t>
          </w:r>
          <w:r>
            <w:rPr>
              <w:rFonts w:hint="eastAsia" w:ascii="仿宋" w:hAnsi="仿宋" w:eastAsia="仿宋" w:cs="仿宋"/>
              <w:bCs/>
              <w:spacing w:val="-1"/>
              <w:sz w:val="20"/>
              <w:szCs w:val="24"/>
              <w:lang w:val="en-US" w:eastAsia="zh-CN"/>
            </w:rPr>
            <w:tab/>
          </w: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PAGEREF _Toc7042 \h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60</w:t>
          </w:r>
          <w:r>
            <w:rPr>
              <w:rFonts w:hint="eastAsia" w:ascii="仿宋" w:hAnsi="仿宋" w:eastAsia="仿宋" w:cs="仿宋"/>
              <w:bCs/>
              <w:spacing w:val="-1"/>
              <w:sz w:val="20"/>
              <w:szCs w:val="24"/>
              <w:lang w:val="en-US" w:eastAsia="zh-CN"/>
            </w:rPr>
            <w:fldChar w:fldCharType="end"/>
          </w:r>
          <w:r>
            <w:rPr>
              <w:rFonts w:hint="eastAsia" w:ascii="仿宋" w:hAnsi="仿宋" w:eastAsia="仿宋" w:cs="仿宋"/>
              <w:bCs/>
              <w:spacing w:val="-1"/>
              <w:sz w:val="20"/>
              <w:szCs w:val="24"/>
              <w:lang w:val="en-US" w:eastAsia="zh-CN"/>
            </w:rPr>
            <w:fldChar w:fldCharType="end"/>
          </w:r>
        </w:p>
        <w:p>
          <w:pPr>
            <w:pStyle w:val="45"/>
            <w:tabs>
              <w:tab w:val="right" w:leader="dot" w:pos="8336"/>
            </w:tabs>
            <w:spacing w:line="360" w:lineRule="auto"/>
          </w:pP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HYPERLINK \l _Toc11395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第3章  投标邀请</w:t>
          </w:r>
          <w:r>
            <w:rPr>
              <w:rFonts w:hint="eastAsia" w:ascii="仿宋" w:hAnsi="仿宋" w:eastAsia="仿宋" w:cs="仿宋"/>
              <w:bCs/>
              <w:spacing w:val="-1"/>
              <w:sz w:val="20"/>
              <w:szCs w:val="24"/>
              <w:lang w:val="en-US" w:eastAsia="zh-CN"/>
            </w:rPr>
            <w:tab/>
          </w: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PAGEREF _Toc11395 \h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61</w:t>
          </w:r>
          <w:r>
            <w:rPr>
              <w:rFonts w:hint="eastAsia" w:ascii="仿宋" w:hAnsi="仿宋" w:eastAsia="仿宋" w:cs="仿宋"/>
              <w:bCs/>
              <w:spacing w:val="-1"/>
              <w:sz w:val="20"/>
              <w:szCs w:val="24"/>
              <w:lang w:val="en-US" w:eastAsia="zh-CN"/>
            </w:rPr>
            <w:fldChar w:fldCharType="end"/>
          </w:r>
          <w:r>
            <w:rPr>
              <w:rFonts w:hint="eastAsia" w:ascii="仿宋" w:hAnsi="仿宋" w:eastAsia="仿宋" w:cs="仿宋"/>
              <w:bCs/>
              <w:spacing w:val="-1"/>
              <w:sz w:val="20"/>
              <w:szCs w:val="24"/>
              <w:lang w:val="en-US" w:eastAsia="zh-CN"/>
            </w:rPr>
            <w:fldChar w:fldCharType="end"/>
          </w:r>
        </w:p>
        <w:p>
          <w:pPr>
            <w:pStyle w:val="45"/>
            <w:tabs>
              <w:tab w:val="right" w:leader="dot" w:pos="8336"/>
            </w:tabs>
            <w:spacing w:line="360" w:lineRule="auto"/>
            <w:rPr>
              <w:rFonts w:hint="eastAsia" w:ascii="仿宋" w:hAnsi="仿宋" w:eastAsia="仿宋" w:cs="仿宋"/>
              <w:bCs/>
              <w:sz w:val="20"/>
              <w:szCs w:val="24"/>
              <w:lang w:eastAsia="zh-CN"/>
            </w:rPr>
          </w:pP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HYPERLINK \l _Toc8700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第4章  投标人须知资料表</w:t>
          </w:r>
          <w:r>
            <w:rPr>
              <w:rFonts w:hint="eastAsia" w:ascii="仿宋" w:hAnsi="仿宋" w:eastAsia="仿宋" w:cs="仿宋"/>
              <w:bCs/>
              <w:sz w:val="20"/>
              <w:szCs w:val="24"/>
              <w:lang w:eastAsia="zh-CN"/>
            </w:rPr>
            <w:tab/>
          </w: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PAGEREF _Toc8700 \h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66</w:t>
          </w:r>
          <w:r>
            <w:rPr>
              <w:rFonts w:hint="eastAsia" w:ascii="仿宋" w:hAnsi="仿宋" w:eastAsia="仿宋" w:cs="仿宋"/>
              <w:bCs/>
              <w:sz w:val="20"/>
              <w:szCs w:val="24"/>
              <w:lang w:eastAsia="zh-CN"/>
            </w:rPr>
            <w:fldChar w:fldCharType="end"/>
          </w:r>
          <w:r>
            <w:rPr>
              <w:rFonts w:hint="eastAsia" w:ascii="仿宋" w:hAnsi="仿宋" w:eastAsia="仿宋" w:cs="仿宋"/>
              <w:bCs/>
              <w:sz w:val="20"/>
              <w:szCs w:val="24"/>
              <w:lang w:eastAsia="zh-CN"/>
            </w:rPr>
            <w:fldChar w:fldCharType="end"/>
          </w:r>
        </w:p>
        <w:p>
          <w:pPr>
            <w:pStyle w:val="46"/>
            <w:tabs>
              <w:tab w:val="right" w:leader="dot" w:pos="8336"/>
            </w:tabs>
            <w:spacing w:line="360" w:lineRule="auto"/>
            <w:ind w:left="0" w:leftChars="0" w:firstLine="0" w:firstLineChars="0"/>
            <w:rPr>
              <w:rFonts w:hint="eastAsia" w:ascii="仿宋" w:hAnsi="仿宋" w:eastAsia="仿宋" w:cs="仿宋"/>
              <w:bCs/>
              <w:sz w:val="20"/>
              <w:szCs w:val="24"/>
              <w:lang w:eastAsia="zh-CN"/>
            </w:rPr>
          </w:pP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HYPERLINK \l _Toc22382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资格审查表</w:t>
          </w:r>
          <w:r>
            <w:rPr>
              <w:rFonts w:hint="eastAsia" w:ascii="仿宋" w:hAnsi="仿宋" w:eastAsia="仿宋" w:cs="仿宋"/>
              <w:bCs/>
              <w:sz w:val="20"/>
              <w:szCs w:val="24"/>
              <w:lang w:eastAsia="zh-CN"/>
            </w:rPr>
            <w:tab/>
          </w: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PAGEREF _Toc22382 \h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80</w:t>
          </w:r>
          <w:r>
            <w:rPr>
              <w:rFonts w:hint="eastAsia" w:ascii="仿宋" w:hAnsi="仿宋" w:eastAsia="仿宋" w:cs="仿宋"/>
              <w:bCs/>
              <w:sz w:val="20"/>
              <w:szCs w:val="24"/>
              <w:lang w:eastAsia="zh-CN"/>
            </w:rPr>
            <w:fldChar w:fldCharType="end"/>
          </w:r>
          <w:r>
            <w:rPr>
              <w:rFonts w:hint="eastAsia" w:ascii="仿宋" w:hAnsi="仿宋" w:eastAsia="仿宋" w:cs="仿宋"/>
              <w:bCs/>
              <w:sz w:val="20"/>
              <w:szCs w:val="24"/>
              <w:lang w:eastAsia="zh-CN"/>
            </w:rPr>
            <w:fldChar w:fldCharType="end"/>
          </w:r>
        </w:p>
        <w:p>
          <w:pPr>
            <w:pStyle w:val="45"/>
            <w:tabs>
              <w:tab w:val="right" w:leader="dot" w:pos="8336"/>
            </w:tabs>
            <w:spacing w:line="360" w:lineRule="auto"/>
          </w:pP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HYPERLINK \l _Toc26665 </w:instrText>
          </w:r>
          <w:r>
            <w:rPr>
              <w:rFonts w:hint="eastAsia" w:ascii="仿宋" w:hAnsi="仿宋" w:eastAsia="仿宋" w:cs="仿宋"/>
              <w:bCs/>
              <w:sz w:val="20"/>
              <w:szCs w:val="24"/>
              <w:lang w:eastAsia="zh-CN"/>
            </w:rPr>
            <w:fldChar w:fldCharType="separate"/>
          </w:r>
          <w:r>
            <w:rPr>
              <w:rFonts w:hint="default" w:ascii="仿宋" w:hAnsi="仿宋" w:eastAsia="仿宋" w:cs="仿宋"/>
              <w:bCs/>
              <w:sz w:val="20"/>
              <w:szCs w:val="24"/>
              <w:lang w:val="en-US" w:eastAsia="zh-CN"/>
            </w:rPr>
            <w:t xml:space="preserve">第5章 </w:t>
          </w:r>
          <w:r>
            <w:rPr>
              <w:rFonts w:hint="eastAsia" w:ascii="仿宋" w:hAnsi="仿宋" w:eastAsia="仿宋" w:cs="仿宋"/>
              <w:bCs/>
              <w:sz w:val="20"/>
              <w:szCs w:val="24"/>
              <w:lang w:val="en-US" w:eastAsia="zh-CN"/>
            </w:rPr>
            <w:t>货物</w:t>
          </w:r>
          <w:r>
            <w:rPr>
              <w:rFonts w:hint="eastAsia" w:ascii="仿宋" w:hAnsi="仿宋" w:eastAsia="仿宋" w:cs="仿宋"/>
              <w:bCs/>
              <w:sz w:val="20"/>
              <w:szCs w:val="24"/>
              <w:lang w:eastAsia="zh-CN"/>
            </w:rPr>
            <w:t>需求一览表</w:t>
          </w:r>
          <w:r>
            <w:rPr>
              <w:rFonts w:hint="eastAsia" w:ascii="仿宋" w:hAnsi="仿宋" w:eastAsia="仿宋" w:cs="仿宋"/>
              <w:bCs/>
              <w:sz w:val="20"/>
              <w:szCs w:val="24"/>
              <w:lang w:eastAsia="zh-CN"/>
            </w:rPr>
            <w:tab/>
          </w: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PAGEREF _Toc26665 \h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81</w:t>
          </w:r>
          <w:r>
            <w:rPr>
              <w:rFonts w:hint="eastAsia" w:ascii="仿宋" w:hAnsi="仿宋" w:eastAsia="仿宋" w:cs="仿宋"/>
              <w:bCs/>
              <w:sz w:val="20"/>
              <w:szCs w:val="24"/>
              <w:lang w:eastAsia="zh-CN"/>
            </w:rPr>
            <w:fldChar w:fldCharType="end"/>
          </w:r>
          <w:r>
            <w:rPr>
              <w:rFonts w:hint="eastAsia" w:ascii="仿宋" w:hAnsi="仿宋" w:eastAsia="仿宋" w:cs="仿宋"/>
              <w:bCs/>
              <w:sz w:val="20"/>
              <w:szCs w:val="24"/>
              <w:lang w:eastAsia="zh-CN"/>
            </w:rPr>
            <w:fldChar w:fldCharType="end"/>
          </w:r>
        </w:p>
        <w:p>
          <w:pPr>
            <w:pStyle w:val="45"/>
            <w:tabs>
              <w:tab w:val="right" w:leader="dot" w:pos="8336"/>
            </w:tabs>
            <w:spacing w:line="360" w:lineRule="auto"/>
          </w:pPr>
          <w:r>
            <w:fldChar w:fldCharType="begin"/>
          </w:r>
          <w:r>
            <w:instrText xml:space="preserve"> HYPERLINK \l _Toc32140 </w:instrText>
          </w:r>
          <w: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tab/>
          </w:r>
          <w:r>
            <w:fldChar w:fldCharType="begin"/>
          </w:r>
          <w:r>
            <w:instrText xml:space="preserve"> PAGEREF _Toc32140 \h </w:instrText>
          </w:r>
          <w:r>
            <w:fldChar w:fldCharType="separate"/>
          </w:r>
          <w:r>
            <w:t>103</w:t>
          </w:r>
          <w:r>
            <w:fldChar w:fldCharType="end"/>
          </w:r>
          <w:r>
            <w:fldChar w:fldCharType="end"/>
          </w:r>
        </w:p>
        <w:p>
          <w:pPr>
            <w:pStyle w:val="46"/>
            <w:tabs>
              <w:tab w:val="right" w:leader="dot" w:pos="8336"/>
            </w:tabs>
            <w:spacing w:line="360" w:lineRule="auto"/>
          </w:pPr>
          <w:r>
            <w:fldChar w:fldCharType="begin"/>
          </w:r>
          <w:r>
            <w:instrText xml:space="preserve"> HYPERLINK \l _Toc3072 </w:instrText>
          </w:r>
          <w:r>
            <w:fldChar w:fldCharType="separate"/>
          </w:r>
          <w:r>
            <w:rPr>
              <w:rFonts w:hint="eastAsia" w:ascii="仿宋" w:hAnsi="仿宋" w:eastAsia="仿宋" w:cs="仿宋"/>
              <w:spacing w:val="-2"/>
              <w:szCs w:val="24"/>
            </w:rPr>
            <w:t>标”及本章的规定评标。</w:t>
          </w:r>
          <w:r>
            <w:rPr>
              <w:rFonts w:hint="eastAsia" w:ascii="仿宋" w:hAnsi="仿宋" w:eastAsia="仿宋" w:cs="仿宋"/>
              <w:i/>
              <w:iCs/>
              <w:spacing w:val="-7"/>
              <w:szCs w:val="25"/>
            </w:rPr>
            <w:t>（内容要包括</w:t>
          </w:r>
          <w:r>
            <w:rPr>
              <w:rFonts w:hint="eastAsia" w:ascii="仿宋" w:hAnsi="仿宋" w:eastAsia="仿宋" w:cs="仿宋"/>
              <w:bCs/>
              <w:i/>
              <w:iCs/>
              <w:spacing w:val="-7"/>
              <w:szCs w:val="25"/>
            </w:rPr>
            <w:t>投标无效</w:t>
          </w:r>
          <w:r>
            <w:rPr>
              <w:rFonts w:hint="eastAsia" w:ascii="仿宋" w:hAnsi="仿宋" w:eastAsia="仿宋" w:cs="仿宋"/>
              <w:i/>
              <w:iCs/>
              <w:spacing w:val="-7"/>
              <w:szCs w:val="25"/>
            </w:rPr>
            <w:t>界定和详细评标标准）</w:t>
          </w:r>
          <w:r>
            <w:tab/>
          </w:r>
          <w:r>
            <w:fldChar w:fldCharType="begin"/>
          </w:r>
          <w:r>
            <w:instrText xml:space="preserve"> PAGEREF _Toc3072 \h </w:instrText>
          </w:r>
          <w:r>
            <w:fldChar w:fldCharType="separate"/>
          </w:r>
          <w:r>
            <w:t>103</w:t>
          </w:r>
          <w:r>
            <w:fldChar w:fldCharType="end"/>
          </w:r>
          <w:r>
            <w:fldChar w:fldCharType="end"/>
          </w:r>
        </w:p>
        <w:p>
          <w:pPr>
            <w:pStyle w:val="45"/>
            <w:tabs>
              <w:tab w:val="right" w:leader="dot" w:pos="8336"/>
            </w:tabs>
            <w:spacing w:line="360" w:lineRule="auto"/>
          </w:pPr>
          <w:r>
            <w:fldChar w:fldCharType="begin"/>
          </w:r>
          <w:r>
            <w:instrText xml:space="preserve"> HYPERLINK \l _Toc4982 </w:instrText>
          </w:r>
          <w:r>
            <w:fldChar w:fldCharType="separate"/>
          </w:r>
          <w:r>
            <w:rPr>
              <w:rFonts w:hint="eastAsia" w:ascii="仿宋" w:hAnsi="仿宋" w:eastAsia="仿宋" w:cs="仿宋"/>
              <w:bCs/>
              <w:spacing w:val="5"/>
              <w:szCs w:val="40"/>
              <w:lang w:val="en-US" w:eastAsia="zh-CN"/>
            </w:rPr>
            <w:t>招标文件-</w:t>
          </w:r>
          <w:r>
            <w:rPr>
              <w:rFonts w:hint="eastAsia" w:ascii="仿宋" w:hAnsi="仿宋" w:eastAsia="仿宋" w:cs="仿宋"/>
              <w:bCs/>
              <w:spacing w:val="5"/>
              <w:szCs w:val="40"/>
            </w:rPr>
            <w:t>【电子评标】</w:t>
          </w:r>
          <w:r>
            <w:tab/>
          </w:r>
          <w:r>
            <w:fldChar w:fldCharType="begin"/>
          </w:r>
          <w:r>
            <w:instrText xml:space="preserve"> PAGEREF _Toc4982 \h </w:instrText>
          </w:r>
          <w:r>
            <w:fldChar w:fldCharType="separate"/>
          </w:r>
          <w:r>
            <w:t>116</w:t>
          </w:r>
          <w:r>
            <w:fldChar w:fldCharType="end"/>
          </w:r>
          <w:r>
            <w:fldChar w:fldCharType="end"/>
          </w:r>
        </w:p>
        <w:p>
          <w:pPr>
            <w:pStyle w:val="45"/>
            <w:tabs>
              <w:tab w:val="right" w:leader="dot" w:pos="8336"/>
            </w:tabs>
            <w:spacing w:line="360" w:lineRule="auto"/>
          </w:pPr>
          <w:r>
            <w:fldChar w:fldCharType="begin"/>
          </w:r>
          <w:r>
            <w:instrText xml:space="preserve"> HYPERLINK \l _Toc1145 </w:instrText>
          </w:r>
          <w: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tab/>
          </w:r>
          <w:r>
            <w:fldChar w:fldCharType="begin"/>
          </w:r>
          <w:r>
            <w:instrText xml:space="preserve"> PAGEREF _Toc1145 \h </w:instrText>
          </w:r>
          <w:r>
            <w:fldChar w:fldCharType="separate"/>
          </w:r>
          <w:r>
            <w:t>117</w:t>
          </w:r>
          <w:r>
            <w:fldChar w:fldCharType="end"/>
          </w:r>
          <w:r>
            <w:fldChar w:fldCharType="end"/>
          </w:r>
        </w:p>
        <w:p>
          <w:pPr>
            <w:pStyle w:val="46"/>
            <w:tabs>
              <w:tab w:val="right" w:leader="dot" w:pos="8336"/>
            </w:tabs>
            <w:spacing w:line="360" w:lineRule="auto"/>
            <w:ind w:left="0" w:leftChars="0" w:firstLine="0" w:firstLineChars="0"/>
            <w:rPr>
              <w:rFonts w:hint="default"/>
              <w:lang w:val="en-US"/>
            </w:rPr>
          </w:pPr>
          <w:r>
            <w:fldChar w:fldCharType="begin"/>
          </w:r>
          <w:r>
            <w:instrText xml:space="preserve"> HYPERLINK \l _Toc6872 </w:instrText>
          </w:r>
          <w:r>
            <w:fldChar w:fldCharType="separate"/>
          </w:r>
          <w:r>
            <w:rPr>
              <w:rFonts w:hint="eastAsia" w:ascii="仿宋" w:hAnsi="仿宋" w:eastAsia="仿宋" w:cs="仿宋"/>
              <w:spacing w:val="-2"/>
              <w:szCs w:val="24"/>
              <w:lang w:val="en-US" w:eastAsia="zh-CN"/>
            </w:rPr>
            <w:t>新疆维吾尔自治区学校食堂食材采购合同</w:t>
          </w:r>
          <w:r>
            <w:tab/>
          </w:r>
          <w:r>
            <w:rPr>
              <w:rFonts w:hint="eastAsia"/>
              <w:lang w:val="en-US" w:eastAsia="zh-CN"/>
            </w:rPr>
            <w:t>1</w:t>
          </w:r>
          <w:r>
            <w:fldChar w:fldCharType="end"/>
          </w:r>
          <w:r>
            <w:rPr>
              <w:rFonts w:hint="eastAsia"/>
              <w:lang w:val="en-US" w:eastAsia="zh-CN"/>
            </w:rPr>
            <w:t>15</w:t>
          </w:r>
        </w:p>
        <w:p>
          <w:r>
            <w:fldChar w:fldCharType="end"/>
          </w:r>
          <w:bookmarkStart w:id="2" w:name="_Toc16515"/>
        </w:p>
      </w:sdtContent>
    </w:sdt>
    <w:p>
      <w:pPr>
        <w:spacing w:before="213" w:line="228" w:lineRule="auto"/>
        <w:ind w:left="3029"/>
        <w:outlineLvl w:val="0"/>
        <w:rPr>
          <w:rFonts w:hint="eastAsia" w:ascii="仿宋" w:hAnsi="仿宋" w:eastAsia="仿宋" w:cs="仿宋"/>
          <w:sz w:val="31"/>
          <w:szCs w:val="31"/>
        </w:rPr>
      </w:pPr>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2"/>
    </w:p>
    <w:p>
      <w:pPr>
        <w:spacing w:line="308" w:lineRule="auto"/>
        <w:rPr>
          <w:rFonts w:hint="eastAsia" w:ascii="仿宋" w:hAnsi="仿宋" w:eastAsia="仿宋" w:cs="仿宋"/>
          <w:sz w:val="21"/>
        </w:rPr>
      </w:pPr>
    </w:p>
    <w:p>
      <w:pPr>
        <w:spacing w:before="98" w:line="222" w:lineRule="auto"/>
        <w:ind w:left="3356"/>
        <w:outlineLvl w:val="1"/>
        <w:rPr>
          <w:rFonts w:hint="eastAsia" w:ascii="仿宋" w:hAnsi="仿宋" w:eastAsia="仿宋" w:cs="仿宋"/>
          <w:b/>
          <w:bCs/>
          <w:spacing w:val="-15"/>
          <w:sz w:val="30"/>
          <w:szCs w:val="30"/>
        </w:rPr>
      </w:pPr>
      <w:bookmarkStart w:id="3" w:name="bookmark3"/>
      <w:bookmarkEnd w:id="3"/>
      <w:bookmarkStart w:id="4" w:name="_Toc3631"/>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4"/>
    </w:p>
    <w:p>
      <w:pPr>
        <w:pStyle w:val="6"/>
        <w:rPr>
          <w:rFonts w:hint="eastAsia"/>
        </w:rPr>
      </w:pPr>
    </w:p>
    <w:p>
      <w:pPr>
        <w:spacing w:before="78" w:line="360" w:lineRule="auto"/>
        <w:ind w:left="27"/>
        <w:outlineLvl w:val="1"/>
        <w:rPr>
          <w:rFonts w:hint="eastAsia" w:ascii="仿宋" w:hAnsi="仿宋" w:eastAsia="仿宋" w:cs="仿宋"/>
          <w:sz w:val="24"/>
          <w:szCs w:val="24"/>
        </w:rPr>
      </w:pPr>
      <w:bookmarkStart w:id="5" w:name="_Toc17839"/>
      <w:r>
        <w:rPr>
          <w:rFonts w:hint="eastAsia" w:ascii="仿宋" w:hAnsi="仿宋" w:eastAsia="仿宋" w:cs="仿宋"/>
          <w:b/>
          <w:bCs/>
          <w:spacing w:val="-3"/>
          <w:sz w:val="24"/>
          <w:szCs w:val="24"/>
        </w:rPr>
        <w:t>1.采购人、采购代理机构及投标人</w:t>
      </w:r>
      <w:bookmarkEnd w:id="5"/>
    </w:p>
    <w:p>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pPr>
        <w:spacing w:before="180" w:line="360" w:lineRule="auto"/>
        <w:ind w:left="930" w:right="83" w:hanging="891"/>
        <w:outlineLvl w:val="2"/>
        <w:rPr>
          <w:rFonts w:hint="eastAsia" w:ascii="仿宋" w:hAnsi="仿宋" w:eastAsia="仿宋" w:cs="仿宋"/>
          <w:sz w:val="24"/>
          <w:szCs w:val="24"/>
        </w:rPr>
      </w:pPr>
      <w:bookmarkStart w:id="6" w:name="_Toc9816"/>
      <w:r>
        <w:rPr>
          <w:rFonts w:hint="eastAsia" w:ascii="仿宋" w:hAnsi="仿宋" w:eastAsia="仿宋" w:cs="仿宋"/>
          <w:sz w:val="24"/>
          <w:szCs w:val="24"/>
        </w:rPr>
        <w:t>1.3.1  在中华人民共和国境内注册，能够独立承担民事责任，有生产或供应能</w:t>
      </w:r>
      <w:bookmarkEnd w:id="6"/>
    </w:p>
    <w:p>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pPr>
        <w:spacing w:before="180" w:line="360" w:lineRule="auto"/>
        <w:ind w:left="39"/>
        <w:outlineLvl w:val="2"/>
        <w:rPr>
          <w:rFonts w:hint="eastAsia" w:ascii="仿宋" w:hAnsi="仿宋" w:eastAsia="仿宋" w:cs="仿宋"/>
          <w:sz w:val="24"/>
          <w:szCs w:val="24"/>
        </w:rPr>
      </w:pPr>
      <w:bookmarkStart w:id="7" w:name="_Toc29906"/>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bookmarkEnd w:id="7"/>
    </w:p>
    <w:p>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pPr>
        <w:spacing w:before="179" w:line="360" w:lineRule="auto"/>
        <w:ind w:left="39"/>
        <w:outlineLvl w:val="2"/>
        <w:rPr>
          <w:rFonts w:hint="eastAsia" w:ascii="仿宋" w:hAnsi="仿宋" w:eastAsia="仿宋" w:cs="仿宋"/>
          <w:sz w:val="24"/>
          <w:szCs w:val="24"/>
        </w:rPr>
      </w:pPr>
      <w:bookmarkStart w:id="8" w:name="_Toc26162"/>
      <w:r>
        <w:rPr>
          <w:rFonts w:hint="eastAsia" w:ascii="仿宋" w:hAnsi="仿宋" w:eastAsia="仿宋" w:cs="仿宋"/>
          <w:sz w:val="24"/>
          <w:szCs w:val="24"/>
        </w:rPr>
        <w:t>1.4.3  采购人根据采购项目对投标人的特殊要求，联合体中至少应当有一方符</w:t>
      </w:r>
      <w:bookmarkEnd w:id="8"/>
    </w:p>
    <w:p>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pPr>
        <w:spacing w:before="180" w:line="360" w:lineRule="auto"/>
        <w:ind w:left="39"/>
        <w:outlineLvl w:val="2"/>
        <w:rPr>
          <w:rFonts w:hint="eastAsia" w:ascii="仿宋" w:hAnsi="仿宋" w:eastAsia="仿宋" w:cs="仿宋"/>
          <w:sz w:val="24"/>
          <w:szCs w:val="24"/>
        </w:rPr>
      </w:pPr>
      <w:bookmarkStart w:id="9" w:name="_Toc12567"/>
      <w:r>
        <w:rPr>
          <w:rFonts w:hint="eastAsia" w:ascii="仿宋" w:hAnsi="仿宋" w:eastAsia="仿宋" w:cs="仿宋"/>
          <w:sz w:val="24"/>
          <w:szCs w:val="24"/>
        </w:rPr>
        <w:t>1.4.4  联合体各方应签订共同投标协议，明确约定联合体各方承担的工作和相</w:t>
      </w:r>
      <w:bookmarkEnd w:id="9"/>
    </w:p>
    <w:p>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pPr>
        <w:spacing w:before="180" w:line="360" w:lineRule="auto"/>
        <w:ind w:left="720" w:hanging="720" w:hangingChars="300"/>
        <w:rPr>
          <w:rFonts w:hint="eastAsia" w:ascii="仿宋" w:hAnsi="仿宋" w:eastAsia="仿宋" w:cs="仿宋"/>
          <w:spacing w:val="-3"/>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w:t>
      </w:r>
    </w:p>
    <w:p>
      <w:pPr>
        <w:spacing w:before="180" w:line="360" w:lineRule="auto"/>
        <w:ind w:left="720" w:hanging="702" w:hangingChars="300"/>
        <w:rPr>
          <w:rFonts w:hint="eastAsia" w:ascii="仿宋" w:hAnsi="仿宋" w:eastAsia="仿宋" w:cs="仿宋"/>
          <w:spacing w:val="-2"/>
          <w:sz w:val="24"/>
          <w:szCs w:val="24"/>
        </w:rPr>
      </w:pPr>
      <w:r>
        <w:rPr>
          <w:rFonts w:hint="eastAsia" w:ascii="仿宋" w:hAnsi="仿宋" w:eastAsia="仿宋" w:cs="仿宋"/>
          <w:spacing w:val="-3"/>
          <w:sz w:val="24"/>
          <w:szCs w:val="24"/>
        </w:rPr>
        <w:t>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pPr>
        <w:spacing w:before="181" w:line="360" w:lineRule="auto"/>
        <w:ind w:left="17"/>
        <w:outlineLvl w:val="1"/>
        <w:rPr>
          <w:rFonts w:hint="eastAsia" w:ascii="仿宋" w:hAnsi="仿宋" w:eastAsia="仿宋" w:cs="仿宋"/>
          <w:sz w:val="24"/>
          <w:szCs w:val="24"/>
        </w:rPr>
      </w:pPr>
      <w:bookmarkStart w:id="10" w:name="bookmark4"/>
      <w:bookmarkEnd w:id="10"/>
      <w:bookmarkStart w:id="11" w:name="_Toc4876"/>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11"/>
    </w:p>
    <w:p>
      <w:pPr>
        <w:spacing w:before="177" w:line="360" w:lineRule="auto"/>
        <w:ind w:left="931" w:right="14" w:hanging="915"/>
        <w:rPr>
          <w:rFonts w:hint="eastAsia" w:ascii="仿宋" w:hAnsi="仿宋" w:eastAsia="仿宋" w:cs="仿宋"/>
          <w:b/>
          <w:bCs/>
          <w:sz w:val="24"/>
          <w:szCs w:val="24"/>
          <w:highlight w:val="none"/>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r>
        <w:rPr>
          <w:rFonts w:hint="eastAsia" w:ascii="仿宋" w:hAnsi="仿宋" w:eastAsia="仿宋" w:cs="仿宋"/>
          <w:b/>
          <w:bCs/>
          <w:spacing w:val="-6"/>
          <w:sz w:val="24"/>
          <w:szCs w:val="24"/>
          <w:highlight w:val="none"/>
          <w:u w:val="single"/>
          <w:lang w:val="en-US" w:eastAsia="zh-CN"/>
        </w:rPr>
        <w:t>本项目资金来源：学生上缴资金</w:t>
      </w:r>
      <w:r>
        <w:rPr>
          <w:rFonts w:hint="eastAsia" w:ascii="仿宋" w:hAnsi="仿宋" w:eastAsia="仿宋" w:cs="仿宋"/>
          <w:b/>
          <w:bCs/>
          <w:spacing w:val="-6"/>
          <w:sz w:val="24"/>
          <w:szCs w:val="24"/>
          <w:highlight w:val="none"/>
          <w:u w:val="single"/>
        </w:rPr>
        <w:t>。</w:t>
      </w:r>
    </w:p>
    <w:p>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78" w:line="360" w:lineRule="auto"/>
        <w:ind w:left="15"/>
        <w:outlineLvl w:val="1"/>
        <w:rPr>
          <w:rFonts w:hint="eastAsia" w:ascii="仿宋" w:hAnsi="仿宋" w:eastAsia="仿宋" w:cs="仿宋"/>
          <w:sz w:val="24"/>
          <w:szCs w:val="24"/>
        </w:rPr>
      </w:pPr>
      <w:bookmarkStart w:id="12" w:name="bookmark5"/>
      <w:bookmarkEnd w:id="12"/>
      <w:bookmarkStart w:id="13" w:name="_Toc1587"/>
      <w:r>
        <w:rPr>
          <w:rFonts w:hint="eastAsia" w:ascii="仿宋" w:hAnsi="仿宋" w:eastAsia="仿宋" w:cs="仿宋"/>
          <w:b/>
          <w:bCs/>
          <w:spacing w:val="-2"/>
          <w:sz w:val="24"/>
          <w:szCs w:val="24"/>
        </w:rPr>
        <w:t>3.投标费用</w:t>
      </w:r>
      <w:bookmarkEnd w:id="13"/>
    </w:p>
    <w:p>
      <w:pPr>
        <w:spacing w:before="179" w:line="360" w:lineRule="auto"/>
        <w:ind w:right="14"/>
        <w:jc w:val="center"/>
        <w:outlineLvl w:val="2"/>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bookmarkStart w:id="14" w:name="_Toc32475"/>
      <w:r>
        <w:rPr>
          <w:rFonts w:hint="eastAsia" w:ascii="仿宋" w:hAnsi="仿宋" w:eastAsia="仿宋" w:cs="仿宋"/>
          <w:spacing w:val="6"/>
          <w:position w:val="17"/>
          <w:sz w:val="24"/>
          <w:szCs w:val="24"/>
        </w:rPr>
        <w:t>不论投标的结果如何，投标人应承担所有与准备和参加投标有关的费</w:t>
      </w:r>
      <w:bookmarkEnd w:id="14"/>
    </w:p>
    <w:p>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pPr>
        <w:spacing w:before="175" w:line="360" w:lineRule="auto"/>
        <w:ind w:left="17"/>
        <w:outlineLvl w:val="1"/>
        <w:rPr>
          <w:rFonts w:hint="eastAsia" w:ascii="仿宋" w:hAnsi="仿宋" w:eastAsia="仿宋" w:cs="仿宋"/>
          <w:sz w:val="24"/>
          <w:szCs w:val="24"/>
        </w:rPr>
      </w:pPr>
      <w:bookmarkStart w:id="15" w:name="bookmark6"/>
      <w:bookmarkEnd w:id="15"/>
      <w:bookmarkStart w:id="16" w:name="_Toc1782"/>
      <w:r>
        <w:rPr>
          <w:rFonts w:hint="eastAsia" w:ascii="仿宋" w:hAnsi="仿宋" w:eastAsia="仿宋" w:cs="仿宋"/>
          <w:b/>
          <w:bCs/>
          <w:spacing w:val="-3"/>
          <w:sz w:val="24"/>
          <w:szCs w:val="24"/>
        </w:rPr>
        <w:t>4.适用法律</w:t>
      </w:r>
      <w:bookmarkEnd w:id="16"/>
    </w:p>
    <w:p>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bookmarkStart w:id="17" w:name="bookmark8"/>
      <w:bookmarkEnd w:id="17"/>
      <w:bookmarkStart w:id="18" w:name="bookmark7"/>
      <w:bookmarkEnd w:id="18"/>
    </w:p>
    <w:p>
      <w:pPr>
        <w:pStyle w:val="3"/>
        <w:bidi w:val="0"/>
        <w:outlineLvl w:val="2"/>
        <w:rPr>
          <w:rFonts w:hint="eastAsia" w:ascii="仿宋" w:hAnsi="仿宋" w:eastAsia="仿宋" w:cs="仿宋"/>
          <w:sz w:val="21"/>
        </w:rPr>
      </w:pPr>
      <w:bookmarkStart w:id="19" w:name="_Toc7967"/>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bookmarkEnd w:id="19"/>
    </w:p>
    <w:p>
      <w:pPr>
        <w:spacing w:before="78" w:line="222" w:lineRule="auto"/>
        <w:ind w:left="19"/>
        <w:outlineLvl w:val="1"/>
        <w:rPr>
          <w:rFonts w:hint="eastAsia" w:ascii="仿宋" w:hAnsi="仿宋" w:eastAsia="仿宋" w:cs="仿宋"/>
          <w:sz w:val="24"/>
          <w:szCs w:val="24"/>
        </w:rPr>
      </w:pPr>
      <w:bookmarkStart w:id="20" w:name="_Toc28965"/>
      <w:r>
        <w:rPr>
          <w:rFonts w:hint="eastAsia" w:ascii="仿宋" w:hAnsi="仿宋" w:eastAsia="仿宋" w:cs="仿宋"/>
          <w:b/>
          <w:bCs/>
          <w:spacing w:val="-3"/>
          <w:sz w:val="24"/>
          <w:szCs w:val="24"/>
        </w:rPr>
        <w:t>5.招标文件构成</w:t>
      </w:r>
      <w:bookmarkEnd w:id="20"/>
    </w:p>
    <w:p>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pPr>
        <w:spacing w:line="176" w:lineRule="exact"/>
        <w:rPr>
          <w:rFonts w:hint="eastAsia" w:ascii="仿宋" w:hAnsi="仿宋" w:eastAsia="仿宋" w:cs="仿宋"/>
        </w:rPr>
      </w:pPr>
    </w:p>
    <w:tbl>
      <w:tblPr>
        <w:tblStyle w:val="31"/>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0"/>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pPr>
              <w:pStyle w:val="30"/>
              <w:spacing w:line="240" w:lineRule="auto"/>
              <w:rPr>
                <w:rFonts w:hint="eastAsia" w:ascii="仿宋" w:hAnsi="仿宋" w:eastAsia="仿宋" w:cs="仿宋"/>
                <w:spacing w:val="-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0"/>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pPr>
              <w:pStyle w:val="30"/>
              <w:spacing w:line="240" w:lineRule="auto"/>
              <w:rPr>
                <w:rFonts w:hint="eastAsia" w:ascii="仿宋" w:hAnsi="仿宋" w:eastAsia="仿宋" w:cs="仿宋"/>
              </w:rPr>
            </w:pPr>
            <w:r>
              <w:rPr>
                <w:rFonts w:hint="eastAsia" w:ascii="仿宋" w:hAnsi="仿宋" w:eastAsia="仿宋" w:cs="仿宋"/>
                <w:spacing w:val="-4"/>
              </w:rPr>
              <w:t>投标人须知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0"/>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pPr>
              <w:pStyle w:val="30"/>
              <w:spacing w:before="112" w:line="240" w:lineRule="auto"/>
              <w:rPr>
                <w:rFonts w:hint="eastAsia" w:ascii="仿宋" w:hAnsi="仿宋" w:eastAsia="仿宋" w:cs="仿宋"/>
              </w:rPr>
            </w:pPr>
            <w:r>
              <w:rPr>
                <w:rFonts w:hint="eastAsia" w:ascii="仿宋" w:hAnsi="仿宋" w:eastAsia="仿宋" w:cs="仿宋"/>
                <w:spacing w:val="-3"/>
              </w:rPr>
              <w:t>投标文件格式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0"/>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pPr>
              <w:spacing w:line="240" w:lineRule="auto"/>
              <w:rPr>
                <w:rFonts w:hint="eastAsia" w:ascii="仿宋" w:hAnsi="仿宋" w:eastAsia="仿宋" w:cs="仿宋"/>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0"/>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pPr>
              <w:pStyle w:val="30"/>
              <w:spacing w:before="111" w:line="240" w:lineRule="auto"/>
              <w:rPr>
                <w:rFonts w:hint="eastAsia" w:ascii="仿宋" w:hAnsi="仿宋" w:eastAsia="仿宋" w:cs="仿宋"/>
              </w:rPr>
            </w:pPr>
            <w:r>
              <w:rPr>
                <w:rFonts w:hint="eastAsia" w:ascii="仿宋" w:hAnsi="仿宋" w:eastAsia="仿宋" w:cs="仿宋"/>
                <w:spacing w:val="-4"/>
              </w:rPr>
              <w:t>投标邀请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0"/>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pPr>
              <w:pStyle w:val="30"/>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0"/>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pPr>
              <w:pStyle w:val="30"/>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pPr>
              <w:pStyle w:val="30"/>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pPr>
              <w:pStyle w:val="30"/>
              <w:spacing w:before="110" w:line="240" w:lineRule="auto"/>
              <w:jc w:val="both"/>
              <w:rPr>
                <w:rFonts w:hint="eastAsia" w:ascii="仿宋" w:hAnsi="仿宋" w:eastAsia="仿宋" w:cs="仿宋"/>
                <w:spacing w:val="-2"/>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0"/>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pPr>
              <w:pStyle w:val="30"/>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83" w:line="222" w:lineRule="auto"/>
        <w:ind w:left="20"/>
        <w:outlineLvl w:val="1"/>
        <w:rPr>
          <w:rFonts w:hint="eastAsia" w:ascii="仿宋" w:hAnsi="仿宋" w:eastAsia="仿宋" w:cs="仿宋"/>
          <w:sz w:val="24"/>
          <w:szCs w:val="24"/>
        </w:rPr>
      </w:pPr>
      <w:bookmarkStart w:id="21" w:name="bookmark9"/>
      <w:bookmarkEnd w:id="21"/>
      <w:bookmarkStart w:id="22" w:name="_Toc26560"/>
      <w:r>
        <w:rPr>
          <w:rFonts w:hint="eastAsia" w:ascii="仿宋" w:hAnsi="仿宋" w:eastAsia="仿宋" w:cs="仿宋"/>
          <w:b/>
          <w:bCs/>
          <w:spacing w:val="-3"/>
          <w:sz w:val="24"/>
          <w:szCs w:val="24"/>
        </w:rPr>
        <w:t>6.招标文件的澄清与修改</w:t>
      </w:r>
      <w:bookmarkEnd w:id="22"/>
    </w:p>
    <w:p>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pPr>
        <w:spacing w:before="183" w:line="360" w:lineRule="auto"/>
        <w:ind w:left="19"/>
        <w:outlineLvl w:val="1"/>
        <w:rPr>
          <w:rFonts w:hint="eastAsia" w:ascii="仿宋" w:hAnsi="仿宋" w:eastAsia="仿宋" w:cs="仿宋"/>
          <w:sz w:val="24"/>
          <w:szCs w:val="24"/>
        </w:rPr>
      </w:pPr>
      <w:bookmarkStart w:id="23" w:name="bookmark10"/>
      <w:bookmarkEnd w:id="23"/>
      <w:bookmarkStart w:id="24" w:name="_Toc18778"/>
      <w:r>
        <w:rPr>
          <w:rFonts w:hint="eastAsia" w:ascii="仿宋" w:hAnsi="仿宋" w:eastAsia="仿宋" w:cs="仿宋"/>
          <w:b/>
          <w:bCs/>
          <w:spacing w:val="-3"/>
          <w:sz w:val="24"/>
          <w:szCs w:val="24"/>
        </w:rPr>
        <w:t>7.投标截止时间的顺延</w:t>
      </w:r>
      <w:bookmarkEnd w:id="24"/>
    </w:p>
    <w:p>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pPr>
        <w:spacing w:before="1" w:line="360" w:lineRule="auto"/>
        <w:ind w:left="929"/>
        <w:rPr>
          <w:rFonts w:hint="eastAsia" w:ascii="仿宋" w:hAnsi="仿宋" w:eastAsia="仿宋" w:cs="仿宋"/>
          <w:sz w:val="21"/>
        </w:rPr>
      </w:pPr>
      <w:r>
        <w:rPr>
          <w:rFonts w:hint="eastAsia" w:ascii="仿宋" w:hAnsi="仿宋" w:eastAsia="仿宋" w:cs="仿宋"/>
          <w:spacing w:val="-1"/>
          <w:sz w:val="24"/>
          <w:szCs w:val="24"/>
        </w:rPr>
        <w:t>进行研究，采购人将依法决定是否顺延投标截止时间。</w:t>
      </w:r>
    </w:p>
    <w:p>
      <w:pPr>
        <w:spacing w:line="264" w:lineRule="auto"/>
        <w:rPr>
          <w:rFonts w:hint="eastAsia" w:ascii="仿宋" w:hAnsi="仿宋" w:eastAsia="仿宋" w:cs="仿宋"/>
          <w:sz w:val="21"/>
        </w:rPr>
      </w:pPr>
    </w:p>
    <w:p>
      <w:pPr>
        <w:spacing w:before="91" w:line="222" w:lineRule="auto"/>
        <w:ind w:left="3129"/>
        <w:outlineLvl w:val="2"/>
        <w:rPr>
          <w:rFonts w:hint="eastAsia" w:ascii="仿宋" w:hAnsi="仿宋" w:eastAsia="仿宋" w:cs="仿宋"/>
          <w:sz w:val="28"/>
          <w:szCs w:val="28"/>
        </w:rPr>
      </w:pPr>
      <w:bookmarkStart w:id="25" w:name="bookmark11"/>
      <w:bookmarkEnd w:id="25"/>
      <w:bookmarkStart w:id="26" w:name="bookmark12"/>
      <w:bookmarkEnd w:id="26"/>
      <w:bookmarkStart w:id="27" w:name="_Toc29177"/>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27"/>
    </w:p>
    <w:p>
      <w:pPr>
        <w:spacing w:line="267" w:lineRule="auto"/>
        <w:rPr>
          <w:rFonts w:hint="eastAsia" w:ascii="仿宋" w:hAnsi="仿宋" w:eastAsia="仿宋" w:cs="仿宋"/>
          <w:sz w:val="21"/>
        </w:rPr>
      </w:pPr>
    </w:p>
    <w:p>
      <w:pPr>
        <w:spacing w:before="78" w:line="360" w:lineRule="auto"/>
        <w:ind w:left="20"/>
        <w:outlineLvl w:val="1"/>
        <w:rPr>
          <w:rFonts w:hint="eastAsia" w:ascii="仿宋" w:hAnsi="仿宋" w:eastAsia="仿宋" w:cs="仿宋"/>
          <w:sz w:val="24"/>
          <w:szCs w:val="24"/>
        </w:rPr>
      </w:pPr>
      <w:bookmarkStart w:id="28" w:name="_Toc30406"/>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28"/>
    </w:p>
    <w:p>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pPr>
        <w:spacing w:before="179" w:line="360" w:lineRule="auto"/>
        <w:ind w:left="19"/>
        <w:outlineLvl w:val="1"/>
        <w:rPr>
          <w:rFonts w:hint="eastAsia" w:ascii="仿宋" w:hAnsi="仿宋" w:eastAsia="仿宋" w:cs="仿宋"/>
          <w:sz w:val="24"/>
          <w:szCs w:val="24"/>
        </w:rPr>
      </w:pPr>
      <w:bookmarkStart w:id="29" w:name="bookmark13"/>
      <w:bookmarkEnd w:id="29"/>
      <w:bookmarkStart w:id="30" w:name="_Toc30611"/>
      <w:r>
        <w:rPr>
          <w:rFonts w:hint="eastAsia" w:ascii="仿宋" w:hAnsi="仿宋" w:eastAsia="仿宋" w:cs="仿宋"/>
          <w:b/>
          <w:bCs/>
          <w:spacing w:val="-3"/>
          <w:sz w:val="24"/>
          <w:szCs w:val="24"/>
        </w:rPr>
        <w:t>9.投标文件构成</w:t>
      </w:r>
      <w:bookmarkEnd w:id="30"/>
    </w:p>
    <w:p>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pPr>
        <w:spacing w:before="183" w:line="360" w:lineRule="auto"/>
        <w:ind w:left="936"/>
        <w:rPr>
          <w:rFonts w:hint="eastAsia" w:ascii="仿宋" w:hAnsi="仿宋" w:eastAsia="仿宋" w:cs="仿宋"/>
          <w:sz w:val="24"/>
          <w:szCs w:val="24"/>
        </w:rPr>
      </w:pPr>
      <w:bookmarkStart w:id="31" w:name="bookmark14"/>
      <w:bookmarkEnd w:id="31"/>
      <w:r>
        <w:rPr>
          <w:rFonts w:hint="eastAsia" w:ascii="仿宋" w:hAnsi="仿宋" w:eastAsia="仿宋" w:cs="仿宋"/>
          <w:b/>
          <w:bCs/>
          <w:spacing w:val="-6"/>
          <w:sz w:val="24"/>
          <w:szCs w:val="24"/>
        </w:rPr>
        <w:t>为无效投标。</w:t>
      </w:r>
    </w:p>
    <w:p>
      <w:pPr>
        <w:spacing w:before="176" w:line="360" w:lineRule="auto"/>
        <w:ind w:left="27"/>
        <w:outlineLvl w:val="1"/>
        <w:rPr>
          <w:rFonts w:hint="eastAsia" w:ascii="仿宋" w:hAnsi="仿宋" w:eastAsia="仿宋" w:cs="仿宋"/>
          <w:sz w:val="24"/>
          <w:szCs w:val="24"/>
        </w:rPr>
      </w:pPr>
      <w:bookmarkStart w:id="32" w:name="_Toc26109"/>
      <w:r>
        <w:rPr>
          <w:rFonts w:hint="eastAsia" w:ascii="仿宋" w:hAnsi="仿宋" w:eastAsia="仿宋" w:cs="仿宋"/>
          <w:b/>
          <w:bCs/>
          <w:spacing w:val="-2"/>
          <w:sz w:val="24"/>
          <w:szCs w:val="24"/>
        </w:rPr>
        <w:t>10.    证明投标标的的合格性和符合招标文件规定的响应文件</w:t>
      </w:r>
      <w:bookmarkEnd w:id="32"/>
    </w:p>
    <w:p>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pPr>
        <w:spacing w:before="181" w:line="360" w:lineRule="auto"/>
        <w:ind w:left="39"/>
        <w:outlineLvl w:val="2"/>
        <w:rPr>
          <w:rFonts w:hint="eastAsia" w:ascii="仿宋" w:hAnsi="仿宋" w:eastAsia="仿宋" w:cs="仿宋"/>
          <w:sz w:val="24"/>
          <w:szCs w:val="24"/>
        </w:rPr>
      </w:pPr>
      <w:bookmarkStart w:id="33" w:name="_Toc11516"/>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bookmarkEnd w:id="33"/>
    </w:p>
    <w:p>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pPr>
        <w:spacing w:before="182" w:line="360" w:lineRule="auto"/>
        <w:ind w:left="27"/>
        <w:outlineLvl w:val="1"/>
        <w:rPr>
          <w:rFonts w:hint="eastAsia" w:ascii="仿宋" w:hAnsi="仿宋" w:eastAsia="仿宋" w:cs="仿宋"/>
          <w:sz w:val="24"/>
          <w:szCs w:val="24"/>
        </w:rPr>
      </w:pPr>
      <w:bookmarkStart w:id="34" w:name="bookmark15"/>
      <w:bookmarkEnd w:id="34"/>
      <w:bookmarkStart w:id="35" w:name="_Toc13115"/>
      <w:r>
        <w:rPr>
          <w:rFonts w:hint="eastAsia" w:ascii="仿宋" w:hAnsi="仿宋" w:eastAsia="仿宋" w:cs="仿宋"/>
          <w:b/>
          <w:bCs/>
          <w:spacing w:val="-4"/>
          <w:sz w:val="24"/>
          <w:szCs w:val="24"/>
        </w:rPr>
        <w:t>11.投标报价</w:t>
      </w:r>
      <w:bookmarkEnd w:id="35"/>
    </w:p>
    <w:p>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pPr>
        <w:spacing w:before="180" w:line="360" w:lineRule="auto"/>
        <w:ind w:left="39"/>
        <w:outlineLvl w:val="2"/>
        <w:rPr>
          <w:rFonts w:hint="eastAsia" w:ascii="仿宋" w:hAnsi="仿宋" w:eastAsia="仿宋" w:cs="仿宋"/>
          <w:sz w:val="24"/>
          <w:szCs w:val="24"/>
        </w:rPr>
      </w:pPr>
      <w:bookmarkStart w:id="36" w:name="_Toc6391"/>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bookmarkEnd w:id="36"/>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pPr>
        <w:spacing w:before="178" w:line="360" w:lineRule="auto"/>
        <w:ind w:left="27"/>
        <w:outlineLvl w:val="1"/>
        <w:rPr>
          <w:rFonts w:hint="eastAsia" w:ascii="仿宋" w:hAnsi="仿宋" w:eastAsia="仿宋" w:cs="仿宋"/>
          <w:sz w:val="24"/>
          <w:szCs w:val="24"/>
        </w:rPr>
      </w:pPr>
      <w:bookmarkStart w:id="37" w:name="bookmark16"/>
      <w:bookmarkEnd w:id="37"/>
      <w:bookmarkStart w:id="38" w:name="_Toc8135"/>
      <w:r>
        <w:rPr>
          <w:rFonts w:hint="eastAsia" w:ascii="仿宋" w:hAnsi="仿宋" w:eastAsia="仿宋" w:cs="仿宋"/>
          <w:b/>
          <w:bCs/>
          <w:spacing w:val="-3"/>
          <w:sz w:val="24"/>
          <w:szCs w:val="24"/>
        </w:rPr>
        <w:t>12.投标保证金</w:t>
      </w:r>
      <w:bookmarkEnd w:id="38"/>
    </w:p>
    <w:p>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pPr>
        <w:spacing w:before="178" w:line="360" w:lineRule="auto"/>
        <w:ind w:left="39"/>
        <w:outlineLvl w:val="2"/>
        <w:rPr>
          <w:rFonts w:hint="eastAsia" w:ascii="仿宋" w:hAnsi="仿宋" w:eastAsia="仿宋" w:cs="仿宋"/>
          <w:sz w:val="24"/>
          <w:szCs w:val="24"/>
        </w:rPr>
      </w:pPr>
      <w:bookmarkStart w:id="39" w:name="_Toc16127"/>
      <w:r>
        <w:rPr>
          <w:rFonts w:hint="eastAsia" w:ascii="仿宋" w:hAnsi="仿宋" w:eastAsia="仿宋" w:cs="仿宋"/>
          <w:spacing w:val="-1"/>
          <w:sz w:val="24"/>
          <w:szCs w:val="24"/>
        </w:rPr>
        <w:t>12.2   投标人存在下列情形的，投标保证金不予退还：</w:t>
      </w:r>
      <w:bookmarkEnd w:id="39"/>
    </w:p>
    <w:p>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pPr>
        <w:spacing w:before="183" w:line="360" w:lineRule="auto"/>
        <w:ind w:left="39"/>
        <w:outlineLvl w:val="2"/>
        <w:rPr>
          <w:rFonts w:hint="eastAsia" w:ascii="仿宋" w:hAnsi="仿宋" w:eastAsia="仿宋" w:cs="仿宋"/>
          <w:sz w:val="24"/>
          <w:szCs w:val="24"/>
        </w:rPr>
      </w:pPr>
      <w:bookmarkStart w:id="40" w:name="_Toc29522"/>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bookmarkEnd w:id="40"/>
    </w:p>
    <w:p>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pPr>
        <w:spacing w:before="179" w:line="360" w:lineRule="auto"/>
        <w:jc w:val="right"/>
        <w:outlineLvl w:val="2"/>
        <w:rPr>
          <w:rFonts w:hint="eastAsia" w:ascii="仿宋" w:hAnsi="仿宋" w:eastAsia="仿宋" w:cs="仿宋"/>
          <w:sz w:val="24"/>
          <w:szCs w:val="24"/>
        </w:rPr>
      </w:pPr>
      <w:bookmarkStart w:id="41" w:name="_Toc22930"/>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bookmarkEnd w:id="41"/>
    </w:p>
    <w:p>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pPr>
        <w:spacing w:before="182" w:line="360" w:lineRule="auto"/>
        <w:ind w:left="39"/>
        <w:outlineLvl w:val="2"/>
        <w:rPr>
          <w:rFonts w:hint="eastAsia" w:ascii="仿宋" w:hAnsi="仿宋" w:eastAsia="仿宋" w:cs="仿宋"/>
          <w:sz w:val="24"/>
          <w:szCs w:val="24"/>
        </w:rPr>
      </w:pPr>
      <w:bookmarkStart w:id="42" w:name="_Toc12691"/>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bookmarkEnd w:id="42"/>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pPr>
        <w:spacing w:before="180" w:line="360" w:lineRule="auto"/>
        <w:ind w:left="39"/>
        <w:outlineLvl w:val="2"/>
        <w:rPr>
          <w:rFonts w:hint="eastAsia" w:ascii="仿宋" w:hAnsi="仿宋" w:eastAsia="仿宋" w:cs="仿宋"/>
          <w:sz w:val="24"/>
          <w:szCs w:val="24"/>
        </w:rPr>
      </w:pPr>
      <w:bookmarkStart w:id="43" w:name="_Toc3070"/>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bookmarkEnd w:id="43"/>
    </w:p>
    <w:p>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pPr>
        <w:spacing w:before="180" w:line="360" w:lineRule="auto"/>
        <w:ind w:left="27"/>
        <w:outlineLvl w:val="1"/>
        <w:rPr>
          <w:rFonts w:hint="eastAsia" w:ascii="仿宋" w:hAnsi="仿宋" w:eastAsia="仿宋" w:cs="仿宋"/>
          <w:sz w:val="24"/>
          <w:szCs w:val="24"/>
        </w:rPr>
      </w:pPr>
      <w:bookmarkStart w:id="44" w:name="bookmark17"/>
      <w:bookmarkEnd w:id="44"/>
      <w:bookmarkStart w:id="45" w:name="_Toc3430"/>
      <w:r>
        <w:rPr>
          <w:rFonts w:hint="eastAsia" w:ascii="仿宋" w:hAnsi="仿宋" w:eastAsia="仿宋" w:cs="仿宋"/>
          <w:b/>
          <w:bCs/>
          <w:spacing w:val="-3"/>
          <w:sz w:val="24"/>
          <w:szCs w:val="24"/>
        </w:rPr>
        <w:t>13.投标有效期</w:t>
      </w:r>
      <w:bookmarkEnd w:id="45"/>
    </w:p>
    <w:p>
      <w:pPr>
        <w:spacing w:before="178" w:line="360" w:lineRule="auto"/>
        <w:ind w:left="39"/>
        <w:outlineLvl w:val="2"/>
        <w:rPr>
          <w:rFonts w:hint="eastAsia" w:ascii="仿宋" w:hAnsi="仿宋" w:eastAsia="仿宋" w:cs="仿宋"/>
          <w:sz w:val="24"/>
          <w:szCs w:val="24"/>
        </w:rPr>
      </w:pPr>
      <w:bookmarkStart w:id="46" w:name="_Toc28516"/>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bookmarkEnd w:id="46"/>
    </w:p>
    <w:p>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pPr>
        <w:spacing w:before="178" w:line="360" w:lineRule="auto"/>
        <w:ind w:left="27"/>
        <w:outlineLvl w:val="1"/>
        <w:rPr>
          <w:rFonts w:hint="eastAsia" w:ascii="仿宋" w:hAnsi="仿宋" w:eastAsia="仿宋" w:cs="仿宋"/>
          <w:sz w:val="24"/>
          <w:szCs w:val="24"/>
        </w:rPr>
      </w:pPr>
      <w:bookmarkStart w:id="47" w:name="bookmark18"/>
      <w:bookmarkEnd w:id="47"/>
      <w:bookmarkStart w:id="48" w:name="_Toc3638"/>
      <w:r>
        <w:rPr>
          <w:rFonts w:hint="eastAsia" w:ascii="仿宋" w:hAnsi="仿宋" w:eastAsia="仿宋" w:cs="仿宋"/>
          <w:b/>
          <w:bCs/>
          <w:spacing w:val="-3"/>
          <w:sz w:val="24"/>
          <w:szCs w:val="24"/>
        </w:rPr>
        <w:t>14.投标文件的签署及规定</w:t>
      </w:r>
      <w:bookmarkEnd w:id="48"/>
    </w:p>
    <w:p>
      <w:pPr>
        <w:spacing w:before="177" w:line="360" w:lineRule="auto"/>
        <w:ind w:left="39"/>
        <w:outlineLvl w:val="2"/>
        <w:rPr>
          <w:rFonts w:hint="eastAsia" w:ascii="仿宋" w:hAnsi="仿宋" w:eastAsia="仿宋" w:cs="仿宋"/>
          <w:sz w:val="24"/>
          <w:szCs w:val="24"/>
        </w:rPr>
      </w:pPr>
      <w:bookmarkStart w:id="49" w:name="_Toc15631"/>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投标文件、投标报</w:t>
      </w:r>
      <w:bookmarkEnd w:id="49"/>
    </w:p>
    <w:p>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pPr>
        <w:spacing w:before="180" w:line="360" w:lineRule="auto"/>
        <w:outlineLvl w:val="2"/>
        <w:rPr>
          <w:rFonts w:hint="eastAsia" w:ascii="仿宋" w:hAnsi="仿宋" w:eastAsia="仿宋" w:cs="仿宋"/>
          <w:sz w:val="24"/>
          <w:szCs w:val="24"/>
        </w:rPr>
      </w:pPr>
      <w:bookmarkStart w:id="50" w:name="_Toc16772"/>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bookmarkEnd w:id="50"/>
    </w:p>
    <w:p>
      <w:pPr>
        <w:spacing w:before="179" w:line="360" w:lineRule="auto"/>
        <w:ind w:left="930" w:right="11" w:hanging="3"/>
        <w:jc w:val="both"/>
        <w:rPr>
          <w:rFonts w:hint="eastAsia"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pPr>
        <w:spacing w:before="183" w:line="360" w:lineRule="auto"/>
        <w:ind w:left="39"/>
        <w:rPr>
          <w:rFonts w:hint="eastAsia" w:ascii="仿宋" w:hAnsi="仿宋" w:eastAsia="仿宋" w:cs="仿宋"/>
          <w:sz w:val="21"/>
        </w:rPr>
      </w:pPr>
      <w:r>
        <w:rPr>
          <w:rFonts w:hint="eastAsia" w:ascii="仿宋" w:hAnsi="仿宋" w:eastAsia="仿宋" w:cs="仿宋"/>
          <w:spacing w:val="-1"/>
          <w:sz w:val="24"/>
          <w:szCs w:val="24"/>
        </w:rPr>
        <w:t>14.3    投标文件因字迹潦草、表达不清所引起的后果由投标人负责。</w:t>
      </w:r>
    </w:p>
    <w:p>
      <w:pPr>
        <w:spacing w:before="78" w:line="360" w:lineRule="auto"/>
        <w:ind w:left="3336"/>
        <w:outlineLvl w:val="1"/>
        <w:rPr>
          <w:rFonts w:hint="eastAsia" w:ascii="仿宋" w:hAnsi="仿宋" w:eastAsia="仿宋" w:cs="仿宋"/>
          <w:sz w:val="21"/>
        </w:rPr>
      </w:pPr>
      <w:bookmarkStart w:id="51" w:name="bookmark19"/>
      <w:bookmarkEnd w:id="51"/>
      <w:bookmarkStart w:id="52" w:name="_Toc10327"/>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52"/>
    </w:p>
    <w:p>
      <w:pPr>
        <w:spacing w:before="78" w:line="360" w:lineRule="auto"/>
        <w:ind w:left="27"/>
        <w:outlineLvl w:val="1"/>
        <w:rPr>
          <w:rFonts w:hint="eastAsia" w:ascii="仿宋" w:hAnsi="仿宋" w:eastAsia="仿宋" w:cs="仿宋"/>
          <w:sz w:val="24"/>
          <w:szCs w:val="24"/>
        </w:rPr>
      </w:pPr>
      <w:bookmarkStart w:id="53" w:name="bookmark20"/>
      <w:bookmarkEnd w:id="53"/>
      <w:bookmarkStart w:id="54" w:name="_Toc25021"/>
      <w:r>
        <w:rPr>
          <w:rFonts w:hint="eastAsia" w:ascii="仿宋" w:hAnsi="仿宋" w:eastAsia="仿宋" w:cs="仿宋"/>
          <w:b/>
          <w:bCs/>
          <w:spacing w:val="-3"/>
          <w:sz w:val="24"/>
          <w:szCs w:val="24"/>
        </w:rPr>
        <w:t>15.投标文件的密封和标记</w:t>
      </w:r>
      <w:bookmarkEnd w:id="54"/>
    </w:p>
    <w:p>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pPr>
        <w:spacing w:before="178" w:line="360" w:lineRule="auto"/>
        <w:ind w:left="39"/>
        <w:outlineLvl w:val="2"/>
        <w:rPr>
          <w:rFonts w:hint="eastAsia" w:ascii="仿宋" w:hAnsi="仿宋" w:eastAsia="仿宋" w:cs="仿宋"/>
          <w:sz w:val="24"/>
          <w:szCs w:val="24"/>
        </w:rPr>
      </w:pPr>
      <w:bookmarkStart w:id="55" w:name="_Toc19608"/>
      <w:r>
        <w:rPr>
          <w:rFonts w:hint="eastAsia" w:ascii="仿宋" w:hAnsi="仿宋" w:eastAsia="仿宋" w:cs="仿宋"/>
          <w:spacing w:val="-2"/>
          <w:sz w:val="24"/>
          <w:szCs w:val="24"/>
        </w:rPr>
        <w:t>15.2    所有电子投标文件封皮应：</w:t>
      </w:r>
      <w:bookmarkEnd w:id="55"/>
    </w:p>
    <w:p>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pPr>
        <w:spacing w:before="181" w:line="360" w:lineRule="auto"/>
        <w:ind w:left="27"/>
        <w:outlineLvl w:val="1"/>
        <w:rPr>
          <w:rFonts w:hint="eastAsia" w:ascii="仿宋" w:hAnsi="仿宋" w:eastAsia="仿宋" w:cs="仿宋"/>
          <w:sz w:val="24"/>
          <w:szCs w:val="24"/>
        </w:rPr>
      </w:pPr>
      <w:bookmarkStart w:id="56" w:name="bookmark21"/>
      <w:bookmarkEnd w:id="56"/>
      <w:bookmarkStart w:id="57" w:name="_Toc25803"/>
      <w:r>
        <w:rPr>
          <w:rFonts w:hint="eastAsia" w:ascii="仿宋" w:hAnsi="仿宋" w:eastAsia="仿宋" w:cs="仿宋"/>
          <w:b/>
          <w:bCs/>
          <w:spacing w:val="-4"/>
          <w:sz w:val="24"/>
          <w:szCs w:val="24"/>
        </w:rPr>
        <w:t>16.投标截止</w:t>
      </w:r>
      <w:bookmarkEnd w:id="57"/>
    </w:p>
    <w:p>
      <w:pPr>
        <w:spacing w:before="177" w:line="360" w:lineRule="auto"/>
        <w:ind w:left="982" w:leftChars="18" w:hanging="944" w:hangingChars="400"/>
        <w:rPr>
          <w:rFonts w:hint="eastAsia"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val="en-US" w:eastAsia="zh-CN"/>
        </w:rPr>
        <w:t>上传至新疆政府采购网政采云平台</w:t>
      </w:r>
    </w:p>
    <w:p>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pPr>
        <w:spacing w:before="181" w:line="360" w:lineRule="auto"/>
        <w:ind w:left="27"/>
        <w:outlineLvl w:val="1"/>
        <w:rPr>
          <w:rFonts w:hint="eastAsia" w:ascii="仿宋" w:hAnsi="仿宋" w:eastAsia="仿宋" w:cs="仿宋"/>
          <w:sz w:val="24"/>
          <w:szCs w:val="24"/>
        </w:rPr>
      </w:pPr>
      <w:bookmarkStart w:id="58" w:name="bookmark22"/>
      <w:bookmarkEnd w:id="58"/>
      <w:bookmarkStart w:id="59" w:name="_Toc30743"/>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bookmarkEnd w:id="59"/>
    </w:p>
    <w:p>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pPr>
        <w:spacing w:before="180" w:line="360" w:lineRule="auto"/>
        <w:ind w:left="39"/>
        <w:outlineLvl w:val="2"/>
        <w:rPr>
          <w:rFonts w:hint="eastAsia" w:ascii="仿宋" w:hAnsi="仿宋" w:eastAsia="仿宋" w:cs="仿宋"/>
          <w:sz w:val="24"/>
          <w:szCs w:val="24"/>
        </w:rPr>
      </w:pPr>
      <w:bookmarkStart w:id="60" w:name="_Toc14327"/>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申</w:t>
      </w:r>
      <w:bookmarkEnd w:id="60"/>
    </w:p>
    <w:p>
      <w:pPr>
        <w:spacing w:before="180" w:line="360" w:lineRule="auto"/>
        <w:ind w:left="944" w:hanging="944" w:hangingChars="4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pPr>
        <w:spacing w:before="180" w:line="360" w:lineRule="auto"/>
        <w:ind w:left="39"/>
        <w:outlineLvl w:val="2"/>
        <w:rPr>
          <w:rFonts w:hint="eastAsia" w:ascii="仿宋" w:hAnsi="仿宋" w:eastAsia="仿宋" w:cs="仿宋"/>
          <w:sz w:val="24"/>
          <w:szCs w:val="24"/>
        </w:rPr>
      </w:pPr>
      <w:bookmarkStart w:id="61" w:name="_Toc8896"/>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bookmarkEnd w:id="61"/>
    </w:p>
    <w:p>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pPr>
        <w:spacing w:before="177" w:line="360" w:lineRule="auto"/>
        <w:ind w:left="39"/>
        <w:rPr>
          <w:rFonts w:hint="eastAsia" w:ascii="仿宋" w:hAnsi="仿宋" w:eastAsia="仿宋" w:cs="仿宋"/>
          <w:sz w:val="21"/>
        </w:rPr>
      </w:pPr>
      <w:r>
        <w:rPr>
          <w:rFonts w:hint="eastAsia" w:ascii="仿宋" w:hAnsi="仿宋" w:eastAsia="仿宋" w:cs="仿宋"/>
          <w:spacing w:val="-1"/>
          <w:sz w:val="24"/>
          <w:szCs w:val="24"/>
        </w:rPr>
        <w:t>17.4    采购人和采购代理机构对所接收投标文件概不退回。</w:t>
      </w:r>
    </w:p>
    <w:p>
      <w:pPr>
        <w:spacing w:before="78" w:line="360" w:lineRule="auto"/>
        <w:ind w:left="3283"/>
        <w:outlineLvl w:val="1"/>
        <w:rPr>
          <w:rFonts w:hint="eastAsia" w:ascii="仿宋" w:hAnsi="仿宋" w:eastAsia="仿宋" w:cs="仿宋"/>
          <w:sz w:val="21"/>
        </w:rPr>
      </w:pPr>
      <w:bookmarkStart w:id="62" w:name="bookmark23"/>
      <w:bookmarkEnd w:id="62"/>
      <w:bookmarkStart w:id="63" w:name="_Toc23577"/>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63"/>
    </w:p>
    <w:p>
      <w:pPr>
        <w:spacing w:before="78" w:line="360" w:lineRule="auto"/>
        <w:ind w:left="27"/>
        <w:outlineLvl w:val="1"/>
        <w:rPr>
          <w:rFonts w:hint="eastAsia" w:ascii="仿宋" w:hAnsi="仿宋" w:eastAsia="仿宋" w:cs="仿宋"/>
          <w:sz w:val="24"/>
          <w:szCs w:val="24"/>
        </w:rPr>
      </w:pPr>
      <w:bookmarkStart w:id="64" w:name="bookmark24"/>
      <w:bookmarkEnd w:id="64"/>
      <w:bookmarkStart w:id="65" w:name="_Toc6179"/>
      <w:r>
        <w:rPr>
          <w:rFonts w:hint="eastAsia" w:ascii="仿宋" w:hAnsi="仿宋" w:eastAsia="仿宋" w:cs="仿宋"/>
          <w:b/>
          <w:bCs/>
          <w:spacing w:val="-5"/>
          <w:sz w:val="24"/>
          <w:szCs w:val="24"/>
        </w:rPr>
        <w:t>18.开标</w:t>
      </w:r>
      <w:bookmarkEnd w:id="65"/>
    </w:p>
    <w:p>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pPr>
        <w:spacing w:before="181" w:line="360" w:lineRule="auto"/>
        <w:ind w:left="39"/>
        <w:outlineLvl w:val="2"/>
        <w:rPr>
          <w:rFonts w:hint="eastAsia" w:ascii="仿宋" w:hAnsi="仿宋" w:eastAsia="仿宋" w:cs="仿宋"/>
          <w:sz w:val="24"/>
          <w:szCs w:val="24"/>
        </w:rPr>
      </w:pPr>
      <w:bookmarkStart w:id="66" w:name="_Toc27700"/>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bookmarkEnd w:id="66"/>
    </w:p>
    <w:p>
      <w:pPr>
        <w:spacing w:before="1" w:line="360"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val="en-US" w:eastAsia="zh-CN"/>
        </w:rPr>
        <w:t>解密</w:t>
      </w:r>
      <w:r>
        <w:rPr>
          <w:rFonts w:hint="eastAsia" w:ascii="仿宋" w:hAnsi="仿宋" w:eastAsia="仿宋" w:cs="仿宋"/>
          <w:spacing w:val="-2"/>
          <w:sz w:val="24"/>
          <w:szCs w:val="24"/>
        </w:rPr>
        <w:t>其电子投标文件。</w:t>
      </w:r>
    </w:p>
    <w:p>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pPr>
        <w:spacing w:before="180" w:line="360" w:lineRule="auto"/>
        <w:ind w:left="39"/>
        <w:outlineLvl w:val="2"/>
        <w:rPr>
          <w:rFonts w:hint="eastAsia" w:ascii="仿宋" w:hAnsi="仿宋" w:eastAsia="仿宋" w:cs="仿宋"/>
          <w:sz w:val="24"/>
          <w:szCs w:val="24"/>
        </w:rPr>
      </w:pPr>
      <w:bookmarkStart w:id="67" w:name="_Toc22051"/>
      <w:r>
        <w:rPr>
          <w:rFonts w:hint="eastAsia" w:ascii="仿宋" w:hAnsi="仿宋" w:eastAsia="仿宋" w:cs="仿宋"/>
          <w:spacing w:val="-1"/>
          <w:position w:val="16"/>
          <w:sz w:val="24"/>
          <w:szCs w:val="24"/>
        </w:rPr>
        <w:t>18.6   投标人代表对开标过程和开标记录有疑义，以及认为采购人、采购代</w:t>
      </w:r>
      <w:bookmarkEnd w:id="67"/>
    </w:p>
    <w:p>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pPr>
        <w:spacing w:before="182" w:line="360" w:lineRule="auto"/>
        <w:ind w:left="27"/>
        <w:outlineLvl w:val="1"/>
        <w:rPr>
          <w:rFonts w:hint="eastAsia" w:ascii="仿宋" w:hAnsi="仿宋" w:eastAsia="仿宋" w:cs="仿宋"/>
          <w:sz w:val="24"/>
          <w:szCs w:val="24"/>
        </w:rPr>
      </w:pPr>
      <w:bookmarkStart w:id="68" w:name="bookmark25"/>
      <w:bookmarkEnd w:id="68"/>
      <w:bookmarkStart w:id="69" w:name="_Toc10724"/>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bookmarkEnd w:id="69"/>
    </w:p>
    <w:p>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pPr>
        <w:spacing w:before="177" w:line="360" w:lineRule="auto"/>
        <w:ind w:left="508"/>
        <w:jc w:val="both"/>
        <w:rPr>
          <w:rFonts w:hint="eastAsia"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2、授权人参与投标提供法定代表人授权书及被授权人身份证；法人本人参与投标提供法人身份证及法人资格证明；</w:t>
      </w:r>
    </w:p>
    <w:p>
      <w:pPr>
        <w:spacing w:before="177" w:line="360" w:lineRule="auto"/>
        <w:ind w:left="508"/>
        <w:jc w:val="both"/>
        <w:rPr>
          <w:rFonts w:hint="eastAsia" w:ascii="仿宋" w:hAnsi="仿宋" w:eastAsia="仿宋" w:cs="仿宋"/>
          <w:b w:val="0"/>
          <w:bCs w:val="0"/>
          <w:color w:val="auto"/>
          <w:spacing w:val="-3"/>
          <w:sz w:val="24"/>
          <w:szCs w:val="24"/>
          <w:highlight w:val="none"/>
          <w:lang w:val="en-US" w:eastAsia="zh-CN"/>
        </w:rPr>
      </w:pPr>
      <w:r>
        <w:rPr>
          <w:rFonts w:hint="eastAsia" w:ascii="仿宋" w:hAnsi="仿宋" w:eastAsia="仿宋" w:cs="仿宋"/>
          <w:b w:val="0"/>
          <w:bCs w:val="0"/>
          <w:color w:val="auto"/>
          <w:spacing w:val="-3"/>
          <w:sz w:val="24"/>
          <w:szCs w:val="24"/>
          <w:lang w:val="en-US" w:eastAsia="zh-CN"/>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b w:val="0"/>
          <w:bCs w:val="0"/>
          <w:color w:val="auto"/>
          <w:kern w:val="0"/>
          <w:sz w:val="24"/>
          <w:szCs w:val="24"/>
          <w:lang w:val="en-US" w:eastAsia="zh-CN" w:bidi="ar"/>
        </w:rPr>
        <w:t>（</w:t>
      </w:r>
      <w:r>
        <w:rPr>
          <w:rFonts w:hint="default" w:ascii="仿宋" w:hAnsi="仿宋" w:eastAsia="仿宋" w:cs="仿宋_GB2312"/>
          <w:b w:val="0"/>
          <w:bCs w:val="0"/>
          <w:color w:val="auto"/>
          <w:kern w:val="0"/>
          <w:sz w:val="24"/>
          <w:szCs w:val="24"/>
          <w:highlight w:val="none"/>
          <w:lang w:val="en-US" w:eastAsia="zh-CN" w:bidi="ar"/>
        </w:rPr>
        <w:t>新成立公司不足3个月的提供成立至今缴纳证明）</w:t>
      </w:r>
      <w:r>
        <w:rPr>
          <w:rFonts w:hint="eastAsia" w:ascii="仿宋" w:hAnsi="仿宋" w:eastAsia="仿宋" w:cs="仿宋_GB2312"/>
          <w:b w:val="0"/>
          <w:bCs w:val="0"/>
          <w:color w:val="auto"/>
          <w:kern w:val="0"/>
          <w:sz w:val="24"/>
          <w:szCs w:val="24"/>
          <w:highlight w:val="none"/>
          <w:lang w:val="en-US" w:eastAsia="zh-CN" w:bidi="ar"/>
        </w:rPr>
        <w:t>；</w:t>
      </w:r>
    </w:p>
    <w:p>
      <w:pPr>
        <w:adjustRightInd w:val="0"/>
        <w:spacing w:line="360" w:lineRule="auto"/>
        <w:ind w:firstLine="468" w:firstLineChars="200"/>
        <w:rPr>
          <w:rFonts w:hint="eastAsia" w:ascii="仿宋" w:hAnsi="仿宋" w:eastAsia="仿宋" w:cs="仿宋_GB2312"/>
          <w:color w:val="000000"/>
          <w:kern w:val="0"/>
          <w:sz w:val="24"/>
          <w:szCs w:val="24"/>
          <w:highlight w:val="none"/>
          <w:lang w:val="en-US" w:eastAsia="zh-CN" w:bidi="ar"/>
        </w:rPr>
      </w:pPr>
      <w:r>
        <w:rPr>
          <w:rFonts w:hint="eastAsia" w:ascii="仿宋" w:hAnsi="仿宋" w:eastAsia="仿宋" w:cs="仿宋"/>
          <w:b w:val="0"/>
          <w:bCs w:val="0"/>
          <w:color w:val="auto"/>
          <w:spacing w:val="-3"/>
          <w:sz w:val="24"/>
          <w:szCs w:val="24"/>
          <w:lang w:val="en-US" w:eastAsia="zh-CN"/>
        </w:rPr>
        <w:t>4、2024年的财务审计报告</w:t>
      </w:r>
      <w:r>
        <w:rPr>
          <w:rFonts w:hint="eastAsia" w:ascii="仿宋" w:hAnsi="仿宋" w:eastAsia="仿宋" w:cs="仿宋_GB2312"/>
          <w:color w:val="000000"/>
          <w:kern w:val="0"/>
          <w:sz w:val="24"/>
          <w:szCs w:val="24"/>
          <w:lang w:val="en-US" w:eastAsia="zh-CN" w:bidi="ar"/>
        </w:rPr>
        <w:t>（</w:t>
      </w:r>
      <w:r>
        <w:rPr>
          <w:rFonts w:hint="eastAsia" w:ascii="仿宋" w:hAnsi="仿宋" w:eastAsia="仿宋" w:cs="仿宋_GB2312"/>
          <w:color w:val="000000"/>
          <w:kern w:val="0"/>
          <w:sz w:val="24"/>
          <w:szCs w:val="24"/>
          <w:highlight w:val="none"/>
          <w:lang w:val="en-US" w:eastAsia="zh-CN" w:bidi="ar"/>
        </w:rPr>
        <w:t>新成立的公司提供自成立以来最新的银行资信证明）；</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7、提供参加政府采购活动前3年内在经营活动中没有重大违法记录的书面声明；</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8、提供针对本次项目《反商业贿赂承诺书》；</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9、</w:t>
      </w:r>
      <w:r>
        <w:rPr>
          <w:rFonts w:hint="default" w:ascii="仿宋" w:hAnsi="仿宋" w:eastAsia="仿宋" w:cs="仿宋"/>
          <w:b w:val="0"/>
          <w:bCs w:val="0"/>
          <w:color w:val="auto"/>
          <w:spacing w:val="-3"/>
          <w:sz w:val="24"/>
          <w:szCs w:val="24"/>
          <w:lang w:val="en-US" w:eastAsia="zh-CN"/>
        </w:rPr>
        <w:t>投标单位为生产商的需提供有效期的《食品生产许可证》</w:t>
      </w:r>
      <w:r>
        <w:rPr>
          <w:rFonts w:hint="eastAsia" w:ascii="仿宋" w:hAnsi="仿宋" w:eastAsia="仿宋" w:cs="仿宋"/>
          <w:b w:val="0"/>
          <w:bCs w:val="0"/>
          <w:color w:val="auto"/>
          <w:spacing w:val="-3"/>
          <w:sz w:val="24"/>
          <w:szCs w:val="24"/>
          <w:lang w:val="en-US" w:eastAsia="zh-CN"/>
        </w:rPr>
        <w:t>；</w:t>
      </w:r>
      <w:r>
        <w:rPr>
          <w:rFonts w:hint="default" w:ascii="仿宋" w:hAnsi="仿宋" w:eastAsia="仿宋" w:cs="仿宋"/>
          <w:b w:val="0"/>
          <w:bCs w:val="0"/>
          <w:color w:val="auto"/>
          <w:spacing w:val="-3"/>
          <w:sz w:val="24"/>
          <w:szCs w:val="24"/>
          <w:lang w:val="en-US" w:eastAsia="zh-CN"/>
        </w:rPr>
        <w:t>投标单位为经销商的需提供有效期《食品经营许可证》或《仅销售预包装食品经营者信息采集备案表》</w:t>
      </w:r>
      <w:r>
        <w:rPr>
          <w:rFonts w:hint="eastAsia" w:ascii="仿宋" w:hAnsi="仿宋" w:eastAsia="仿宋" w:cs="仿宋"/>
          <w:b w:val="0"/>
          <w:bCs w:val="0"/>
          <w:color w:val="auto"/>
          <w:spacing w:val="-3"/>
          <w:sz w:val="24"/>
          <w:szCs w:val="24"/>
          <w:lang w:val="en-US" w:eastAsia="zh-CN"/>
        </w:rPr>
        <w:t>；第6标段：</w:t>
      </w:r>
      <w:r>
        <w:rPr>
          <w:rFonts w:hint="default" w:ascii="仿宋" w:hAnsi="仿宋" w:eastAsia="仿宋" w:cs="仿宋"/>
          <w:b w:val="0"/>
          <w:bCs w:val="0"/>
          <w:color w:val="auto"/>
          <w:spacing w:val="-3"/>
          <w:sz w:val="24"/>
          <w:szCs w:val="24"/>
          <w:lang w:val="en-US" w:eastAsia="zh-CN"/>
        </w:rPr>
        <w:t>若投标供应商为生产商，须提供有效</w:t>
      </w:r>
      <w:r>
        <w:rPr>
          <w:rFonts w:hint="eastAsia" w:ascii="仿宋" w:hAnsi="仿宋" w:eastAsia="仿宋" w:cs="仿宋"/>
          <w:b w:val="0"/>
          <w:bCs w:val="0"/>
          <w:color w:val="auto"/>
          <w:spacing w:val="-3"/>
          <w:sz w:val="24"/>
          <w:szCs w:val="24"/>
          <w:lang w:val="en-US" w:eastAsia="zh-CN"/>
        </w:rPr>
        <w:t>期内</w:t>
      </w:r>
      <w:r>
        <w:rPr>
          <w:rFonts w:hint="default" w:ascii="仿宋" w:hAnsi="仿宋" w:eastAsia="仿宋" w:cs="仿宋"/>
          <w:b w:val="0"/>
          <w:bCs w:val="0"/>
          <w:color w:val="auto"/>
          <w:spacing w:val="-3"/>
          <w:sz w:val="24"/>
          <w:szCs w:val="24"/>
          <w:lang w:val="en-US" w:eastAsia="zh-CN"/>
        </w:rPr>
        <w:t>的《食品生产许可证》</w:t>
      </w:r>
      <w:r>
        <w:rPr>
          <w:rFonts w:hint="eastAsia" w:ascii="仿宋" w:hAnsi="仿宋" w:eastAsia="仿宋" w:cs="仿宋"/>
          <w:b w:val="0"/>
          <w:bCs w:val="0"/>
          <w:color w:val="auto"/>
          <w:spacing w:val="-3"/>
          <w:sz w:val="24"/>
          <w:szCs w:val="24"/>
          <w:lang w:val="en-US" w:eastAsia="zh-CN"/>
        </w:rPr>
        <w:t>、有效期内的</w:t>
      </w:r>
      <w:r>
        <w:rPr>
          <w:rFonts w:hint="default" w:ascii="仿宋" w:hAnsi="仿宋" w:eastAsia="仿宋" w:cs="仿宋"/>
          <w:b w:val="0"/>
          <w:bCs w:val="0"/>
          <w:color w:val="auto"/>
          <w:spacing w:val="-3"/>
          <w:sz w:val="24"/>
          <w:szCs w:val="24"/>
          <w:lang w:val="en-US" w:eastAsia="zh-CN"/>
        </w:rPr>
        <w:t>《动物防疫条件合格证》</w:t>
      </w:r>
      <w:r>
        <w:rPr>
          <w:rFonts w:hint="eastAsia" w:ascii="仿宋" w:hAnsi="仿宋" w:eastAsia="仿宋" w:cs="仿宋"/>
          <w:b w:val="0"/>
          <w:bCs w:val="0"/>
          <w:color w:val="auto"/>
          <w:spacing w:val="-3"/>
          <w:sz w:val="24"/>
          <w:szCs w:val="24"/>
          <w:lang w:val="en-US" w:eastAsia="zh-CN"/>
        </w:rPr>
        <w:t>及其在有效期内的官方证明材料，</w:t>
      </w:r>
      <w:r>
        <w:rPr>
          <w:rFonts w:hint="default" w:ascii="仿宋" w:hAnsi="仿宋" w:eastAsia="仿宋" w:cs="仿宋"/>
          <w:b w:val="0"/>
          <w:bCs w:val="0"/>
          <w:color w:val="auto"/>
          <w:spacing w:val="-3"/>
          <w:sz w:val="24"/>
          <w:szCs w:val="24"/>
          <w:lang w:val="en-US" w:eastAsia="zh-CN"/>
        </w:rPr>
        <w:t>若投标供应商为经销商或代理商</w:t>
      </w:r>
      <w:r>
        <w:rPr>
          <w:rFonts w:hint="eastAsia" w:ascii="仿宋" w:hAnsi="仿宋" w:eastAsia="仿宋" w:cs="仿宋"/>
          <w:b w:val="0"/>
          <w:bCs w:val="0"/>
          <w:color w:val="auto"/>
          <w:spacing w:val="-3"/>
          <w:sz w:val="24"/>
          <w:szCs w:val="24"/>
          <w:lang w:val="en-US" w:eastAsia="zh-CN"/>
        </w:rPr>
        <w:t>，</w:t>
      </w:r>
      <w:r>
        <w:rPr>
          <w:rFonts w:hint="default" w:ascii="仿宋" w:hAnsi="仿宋" w:eastAsia="仿宋" w:cs="仿宋"/>
          <w:b w:val="0"/>
          <w:bCs w:val="0"/>
          <w:color w:val="auto"/>
          <w:spacing w:val="-3"/>
          <w:sz w:val="24"/>
          <w:szCs w:val="24"/>
          <w:lang w:val="en-US" w:eastAsia="zh-CN"/>
        </w:rPr>
        <w:t>须提供</w:t>
      </w:r>
      <w:r>
        <w:rPr>
          <w:rFonts w:hint="eastAsia" w:ascii="仿宋" w:hAnsi="仿宋" w:eastAsia="仿宋" w:cs="仿宋"/>
          <w:b w:val="0"/>
          <w:bCs w:val="0"/>
          <w:color w:val="auto"/>
          <w:spacing w:val="-3"/>
          <w:sz w:val="24"/>
          <w:szCs w:val="24"/>
          <w:lang w:val="en-US" w:eastAsia="zh-CN"/>
        </w:rPr>
        <w:t>自身在有效期内的</w:t>
      </w:r>
      <w:r>
        <w:rPr>
          <w:rFonts w:hint="default" w:ascii="仿宋" w:hAnsi="仿宋" w:eastAsia="仿宋" w:cs="仿宋"/>
          <w:b w:val="0"/>
          <w:bCs w:val="0"/>
          <w:color w:val="auto"/>
          <w:spacing w:val="-3"/>
          <w:sz w:val="24"/>
          <w:szCs w:val="24"/>
          <w:lang w:val="en-US" w:eastAsia="zh-CN"/>
        </w:rPr>
        <w:t>《食品经营许可证》或《仅销售预包装食品经营者信息采集备案表</w:t>
      </w:r>
      <w:r>
        <w:rPr>
          <w:rFonts w:hint="eastAsia" w:ascii="仿宋" w:hAnsi="仿宋" w:eastAsia="仿宋" w:cs="仿宋"/>
          <w:b w:val="0"/>
          <w:bCs w:val="0"/>
          <w:color w:val="auto"/>
          <w:spacing w:val="-3"/>
          <w:sz w:val="24"/>
          <w:szCs w:val="24"/>
          <w:lang w:val="en-US" w:eastAsia="zh-CN"/>
        </w:rPr>
        <w:t>》；并提供自身或上游供货商有效期内的《动物防疫条件合格证》及其在有效期内的官方证明材料，若使用上游供货商的《动物防疫条件合格证》，还需提供与上游供货商的合作协议等证明材料；</w:t>
      </w:r>
    </w:p>
    <w:p>
      <w:pPr>
        <w:spacing w:before="177" w:line="360" w:lineRule="auto"/>
        <w:ind w:left="508"/>
        <w:jc w:val="both"/>
        <w:rPr>
          <w:rFonts w:hint="default"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10、</w:t>
      </w:r>
      <w:r>
        <w:rPr>
          <w:rFonts w:hint="default" w:ascii="仿宋" w:hAnsi="仿宋" w:eastAsia="仿宋" w:cs="仿宋"/>
          <w:b w:val="0"/>
          <w:bCs w:val="0"/>
          <w:color w:val="auto"/>
          <w:spacing w:val="-3"/>
          <w:sz w:val="24"/>
          <w:szCs w:val="24"/>
          <w:lang w:val="en-US" w:eastAsia="zh-CN"/>
        </w:rPr>
        <w:t>必须具有履行合同所必需的设备和专业技术能力；</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11、本项目不接受联合体投标；</w:t>
      </w:r>
    </w:p>
    <w:p>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pPr>
        <w:spacing w:before="179" w:line="360" w:lineRule="auto"/>
        <w:ind w:left="878" w:hanging="839"/>
        <w:rPr>
          <w:rFonts w:hint="eastAsia"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pPr>
        <w:spacing w:before="177"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19.2.1 不良信用记录指：</w:t>
      </w:r>
      <w:r>
        <w:rPr>
          <w:rFonts w:hint="eastAsia" w:ascii="仿宋" w:hAnsi="仿宋" w:eastAsia="仿宋" w:cs="仿宋"/>
          <w:spacing w:val="-3"/>
          <w:sz w:val="24"/>
          <w:szCs w:val="24"/>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根据《中华人民共和国政府采购法实施条例》第十九条第一款规定的“较大数额罚款”认定为200万元以上的罚款，法律、行政法规以及国务院有关部门明确规定相关领域“较大数额罚款”标准高于200万元的，从其规定。本意见自2022年2月8日起施行,此前颁布的有关规定与本意见不一致的，按照本意见执行；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79" w:line="360" w:lineRule="auto"/>
        <w:ind w:left="878" w:hanging="839"/>
        <w:rPr>
          <w:rFonts w:hint="eastAsia" w:ascii="仿宋" w:hAnsi="仿宋" w:eastAsia="仿宋" w:cs="仿宋"/>
          <w:spacing w:val="-5"/>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pPr>
        <w:spacing w:before="179" w:line="360" w:lineRule="auto"/>
        <w:ind w:left="886" w:leftChars="422" w:firstLine="0" w:firstLineChars="0"/>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pPr>
        <w:spacing w:before="223" w:line="360" w:lineRule="auto"/>
        <w:ind w:left="39"/>
        <w:outlineLvl w:val="2"/>
        <w:rPr>
          <w:rFonts w:hint="eastAsia" w:ascii="仿宋" w:hAnsi="仿宋" w:eastAsia="仿宋" w:cs="仿宋"/>
          <w:sz w:val="24"/>
          <w:szCs w:val="24"/>
        </w:rPr>
      </w:pPr>
      <w:bookmarkStart w:id="70" w:name="_Toc17995"/>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bookmarkEnd w:id="70"/>
    </w:p>
    <w:p>
      <w:pPr>
        <w:spacing w:before="71" w:line="360" w:lineRule="auto"/>
        <w:ind w:left="884" w:right="83" w:hanging="8"/>
        <w:rPr>
          <w:rFonts w:hint="eastAsia" w:ascii="仿宋" w:hAnsi="仿宋" w:eastAsia="仿宋" w:cs="仿宋"/>
          <w:color w:val="FF0000"/>
          <w:sz w:val="25"/>
          <w:szCs w:val="25"/>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color w:val="FF0000"/>
          <w:sz w:val="24"/>
          <w:szCs w:val="24"/>
          <w:u w:val="single"/>
        </w:rPr>
        <w:t>本项目评标委员会由</w:t>
      </w:r>
      <w:r>
        <w:rPr>
          <w:rFonts w:hint="eastAsia" w:ascii="仿宋" w:hAnsi="仿宋" w:eastAsia="仿宋" w:cs="仿宋"/>
          <w:b/>
          <w:bCs/>
          <w:color w:val="FF0000"/>
          <w:sz w:val="24"/>
          <w:szCs w:val="24"/>
          <w:u w:val="single"/>
          <w:lang w:val="en-US" w:eastAsia="zh-CN"/>
        </w:rPr>
        <w:t>7</w:t>
      </w:r>
      <w:r>
        <w:rPr>
          <w:rFonts w:hint="eastAsia" w:ascii="仿宋" w:hAnsi="仿宋" w:eastAsia="仿宋" w:cs="仿宋"/>
          <w:b/>
          <w:bCs/>
          <w:color w:val="FF0000"/>
          <w:sz w:val="24"/>
          <w:szCs w:val="24"/>
          <w:u w:val="single"/>
        </w:rPr>
        <w:t>人组成</w:t>
      </w:r>
      <w:r>
        <w:rPr>
          <w:rFonts w:hint="eastAsia" w:ascii="仿宋" w:hAnsi="仿宋" w:eastAsia="仿宋" w:cs="仿宋"/>
          <w:b/>
          <w:bCs/>
          <w:i/>
          <w:iCs/>
          <w:color w:val="FF0000"/>
          <w:spacing w:val="-2"/>
          <w:sz w:val="25"/>
          <w:szCs w:val="25"/>
          <w:u w:val="single" w:color="auto"/>
        </w:rPr>
        <w:t>。</w:t>
      </w:r>
    </w:p>
    <w:p>
      <w:pPr>
        <w:spacing w:before="200" w:line="360" w:lineRule="auto"/>
        <w:ind w:left="17"/>
        <w:outlineLvl w:val="1"/>
        <w:rPr>
          <w:rFonts w:hint="eastAsia" w:ascii="仿宋" w:hAnsi="仿宋" w:eastAsia="仿宋" w:cs="仿宋"/>
          <w:sz w:val="24"/>
          <w:szCs w:val="24"/>
        </w:rPr>
      </w:pPr>
      <w:bookmarkStart w:id="71" w:name="bookmark26"/>
      <w:bookmarkEnd w:id="71"/>
      <w:bookmarkStart w:id="72" w:name="_Toc25802"/>
      <w:r>
        <w:rPr>
          <w:rFonts w:hint="eastAsia" w:ascii="仿宋" w:hAnsi="仿宋" w:eastAsia="仿宋" w:cs="仿宋"/>
          <w:b/>
          <w:bCs/>
          <w:spacing w:val="-2"/>
          <w:sz w:val="24"/>
          <w:szCs w:val="24"/>
        </w:rPr>
        <w:t>20.投标文件的符合性审查与澄清</w:t>
      </w:r>
      <w:bookmarkEnd w:id="72"/>
    </w:p>
    <w:p>
      <w:pPr>
        <w:spacing w:before="182" w:line="360" w:lineRule="auto"/>
        <w:ind w:left="16"/>
        <w:outlineLvl w:val="2"/>
        <w:rPr>
          <w:rFonts w:hint="eastAsia" w:ascii="仿宋" w:hAnsi="仿宋" w:eastAsia="仿宋" w:cs="仿宋"/>
          <w:sz w:val="24"/>
          <w:szCs w:val="24"/>
        </w:rPr>
      </w:pPr>
      <w:bookmarkStart w:id="73" w:name="_Toc4965"/>
      <w:r>
        <w:rPr>
          <w:rFonts w:hint="eastAsia" w:ascii="仿宋" w:hAnsi="仿宋" w:eastAsia="仿宋" w:cs="仿宋"/>
          <w:spacing w:val="2"/>
          <w:sz w:val="24"/>
          <w:szCs w:val="24"/>
        </w:rPr>
        <w:t>20.1   符合性审查是指依据招标文件的规定，从投标文件的有效性和完整性对</w:t>
      </w:r>
      <w:bookmarkEnd w:id="73"/>
    </w:p>
    <w:p>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pPr>
        <w:spacing w:before="176" w:line="360" w:lineRule="auto"/>
        <w:ind w:left="16"/>
        <w:outlineLvl w:val="2"/>
        <w:rPr>
          <w:rFonts w:hint="eastAsia" w:ascii="仿宋" w:hAnsi="仿宋" w:eastAsia="仿宋" w:cs="仿宋"/>
          <w:sz w:val="24"/>
          <w:szCs w:val="24"/>
        </w:rPr>
      </w:pPr>
      <w:bookmarkStart w:id="74" w:name="_Toc11391"/>
      <w:r>
        <w:rPr>
          <w:rFonts w:hint="eastAsia" w:ascii="仿宋" w:hAnsi="仿宋" w:eastAsia="仿宋" w:cs="仿宋"/>
          <w:spacing w:val="-1"/>
          <w:sz w:val="24"/>
          <w:szCs w:val="24"/>
        </w:rPr>
        <w:t>20.2    投标文件的澄清</w:t>
      </w:r>
      <w:bookmarkEnd w:id="74"/>
    </w:p>
    <w:p>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val="en-US"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val="en-US"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pPr>
        <w:spacing w:before="178" w:line="360" w:lineRule="auto"/>
        <w:ind w:right="32"/>
        <w:jc w:val="center"/>
        <w:rPr>
          <w:rFonts w:hint="eastAsia" w:ascii="仿宋" w:hAnsi="仿宋" w:eastAsia="仿宋" w:cs="仿宋"/>
          <w:sz w:val="24"/>
          <w:szCs w:val="24"/>
        </w:rPr>
      </w:pPr>
      <w:r>
        <w:rPr>
          <w:rFonts w:hint="eastAsia" w:ascii="仿宋" w:hAnsi="仿宋" w:eastAsia="仿宋" w:cs="仿宋"/>
          <w:spacing w:val="-3"/>
          <w:position w:val="17"/>
          <w:sz w:val="24"/>
          <w:szCs w:val="24"/>
          <w:lang w:val="en-US" w:eastAsia="zh-CN"/>
        </w:rPr>
        <w:t xml:space="preserve">     </w:t>
      </w:r>
      <w:r>
        <w:rPr>
          <w:rFonts w:hint="eastAsia" w:ascii="仿宋" w:hAnsi="仿宋" w:eastAsia="仿宋" w:cs="仿宋"/>
          <w:spacing w:val="-3"/>
          <w:position w:val="17"/>
          <w:sz w:val="24"/>
          <w:szCs w:val="24"/>
        </w:rPr>
        <w:t>（一）投标文件中开标一览表（报价表）内容与投标文件中相应内容不一</w:t>
      </w:r>
    </w:p>
    <w:p>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pPr>
        <w:spacing w:before="177" w:line="360" w:lineRule="auto"/>
        <w:ind w:left="17"/>
        <w:outlineLvl w:val="1"/>
        <w:rPr>
          <w:rFonts w:hint="eastAsia" w:ascii="仿宋" w:hAnsi="仿宋" w:eastAsia="仿宋" w:cs="仿宋"/>
          <w:sz w:val="24"/>
          <w:szCs w:val="24"/>
        </w:rPr>
      </w:pPr>
      <w:bookmarkStart w:id="75" w:name="bookmark27"/>
      <w:bookmarkEnd w:id="75"/>
      <w:bookmarkStart w:id="76" w:name="_Toc26850"/>
      <w:r>
        <w:rPr>
          <w:rFonts w:hint="eastAsia" w:ascii="仿宋" w:hAnsi="仿宋" w:eastAsia="仿宋" w:cs="仿宋"/>
          <w:b/>
          <w:bCs/>
          <w:spacing w:val="-2"/>
          <w:sz w:val="24"/>
          <w:szCs w:val="24"/>
        </w:rPr>
        <w:t>21.投标偏离</w:t>
      </w:r>
      <w:bookmarkEnd w:id="76"/>
    </w:p>
    <w:p>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bookmarkStart w:id="77" w:name="bookmark28"/>
      <w:bookmarkEnd w:id="77"/>
    </w:p>
    <w:p>
      <w:pPr>
        <w:pStyle w:val="3"/>
        <w:bidi w:val="0"/>
        <w:jc w:val="left"/>
        <w:outlineLvl w:val="1"/>
        <w:rPr>
          <w:rFonts w:hint="eastAsia"/>
        </w:rPr>
      </w:pPr>
      <w:bookmarkStart w:id="78" w:name="_Toc31066"/>
      <w:r>
        <w:rPr>
          <w:rFonts w:hint="eastAsia"/>
        </w:rPr>
        <w:t>22.</w:t>
      </w:r>
      <w:r>
        <w:rPr>
          <w:rFonts w:hint="eastAsia" w:ascii="仿宋" w:hAnsi="仿宋" w:eastAsia="仿宋" w:cs="仿宋"/>
          <w:b/>
          <w:bCs/>
          <w:snapToGrid w:val="0"/>
          <w:color w:val="000000"/>
          <w:spacing w:val="-2"/>
          <w:kern w:val="0"/>
          <w:sz w:val="24"/>
          <w:szCs w:val="24"/>
          <w:lang w:val="en-US" w:eastAsia="en-US" w:bidi="ar-SA"/>
        </w:rPr>
        <w:t>投标无效</w:t>
      </w:r>
      <w:bookmarkEnd w:id="78"/>
    </w:p>
    <w:p>
      <w:pPr>
        <w:spacing w:before="179" w:line="360" w:lineRule="auto"/>
        <w:outlineLvl w:val="2"/>
        <w:rPr>
          <w:rFonts w:hint="eastAsia" w:ascii="仿宋" w:hAnsi="仿宋" w:eastAsia="仿宋" w:cs="仿宋"/>
          <w:sz w:val="24"/>
          <w:szCs w:val="24"/>
        </w:rPr>
      </w:pPr>
      <w:bookmarkStart w:id="79" w:name="_Toc8444"/>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bookmarkEnd w:id="79"/>
    </w:p>
    <w:p>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pPr>
        <w:spacing w:before="182" w:line="360" w:lineRule="auto"/>
        <w:ind w:left="48"/>
        <w:outlineLvl w:val="2"/>
        <w:rPr>
          <w:rFonts w:hint="eastAsia" w:ascii="仿宋" w:hAnsi="仿宋" w:eastAsia="仿宋" w:cs="仿宋"/>
          <w:sz w:val="24"/>
          <w:szCs w:val="24"/>
        </w:rPr>
      </w:pPr>
      <w:bookmarkStart w:id="80" w:name="_Toc24870"/>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bookmarkEnd w:id="80"/>
    </w:p>
    <w:p>
      <w:pPr>
        <w:spacing w:before="1" w:line="360" w:lineRule="auto"/>
        <w:ind w:left="960"/>
        <w:outlineLvl w:val="1"/>
        <w:rPr>
          <w:rFonts w:hint="eastAsia" w:ascii="仿宋" w:hAnsi="仿宋" w:eastAsia="仿宋" w:cs="仿宋"/>
          <w:sz w:val="24"/>
          <w:szCs w:val="24"/>
        </w:rPr>
      </w:pPr>
      <w:bookmarkStart w:id="81" w:name="_Toc29929"/>
      <w:r>
        <w:rPr>
          <w:rFonts w:hint="eastAsia" w:ascii="仿宋" w:hAnsi="仿宋" w:eastAsia="仿宋" w:cs="仿宋"/>
          <w:spacing w:val="-1"/>
          <w:sz w:val="24"/>
          <w:szCs w:val="24"/>
        </w:rPr>
        <w:t>在招标文件中规定，并以醒目的方式标明）</w:t>
      </w:r>
      <w:bookmarkEnd w:id="81"/>
    </w:p>
    <w:p>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pPr>
        <w:spacing w:before="1" w:line="360" w:lineRule="auto"/>
        <w:ind w:left="48"/>
        <w:outlineLvl w:val="1"/>
        <w:rPr>
          <w:rFonts w:hint="eastAsia" w:ascii="仿宋" w:hAnsi="仿宋" w:eastAsia="仿宋" w:cs="仿宋"/>
          <w:sz w:val="24"/>
          <w:szCs w:val="24"/>
        </w:rPr>
      </w:pPr>
      <w:bookmarkStart w:id="82" w:name="_Toc4235"/>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82"/>
    </w:p>
    <w:p>
      <w:pPr>
        <w:spacing w:before="177" w:line="360" w:lineRule="auto"/>
        <w:ind w:left="48"/>
        <w:outlineLvl w:val="2"/>
        <w:rPr>
          <w:rFonts w:hint="eastAsia" w:ascii="仿宋" w:hAnsi="仿宋" w:eastAsia="仿宋" w:cs="仿宋"/>
          <w:sz w:val="24"/>
          <w:szCs w:val="24"/>
        </w:rPr>
      </w:pPr>
      <w:bookmarkStart w:id="83" w:name="_Toc32208"/>
      <w:r>
        <w:rPr>
          <w:rFonts w:hint="eastAsia" w:ascii="仿宋" w:hAnsi="仿宋" w:eastAsia="仿宋" w:cs="仿宋"/>
          <w:spacing w:val="-1"/>
          <w:sz w:val="24"/>
          <w:szCs w:val="24"/>
        </w:rPr>
        <w:t>23.1    经符合性审查合格的投标文件，评标委员会将根据招标文件确定的评标</w:t>
      </w:r>
      <w:bookmarkEnd w:id="83"/>
    </w:p>
    <w:p>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pPr>
        <w:spacing w:before="1" w:line="360" w:lineRule="auto"/>
        <w:ind w:left="1000" w:leftChars="476" w:firstLine="0" w:firstLineChars="0"/>
        <w:jc w:val="left"/>
        <w:rPr>
          <w:rFonts w:hint="eastAsia" w:ascii="仿宋" w:hAnsi="仿宋" w:eastAsia="仿宋" w:cs="仿宋"/>
          <w:i w:val="0"/>
          <w:iCs w:val="0"/>
          <w:color w:val="FF0000"/>
          <w:sz w:val="25"/>
          <w:szCs w:val="25"/>
        </w:rPr>
      </w:pPr>
      <w:r>
        <w:rPr>
          <w:rFonts w:hint="eastAsia" w:ascii="仿宋" w:hAnsi="仿宋" w:eastAsia="仿宋" w:cs="仿宋"/>
          <w:b/>
          <w:bCs/>
          <w:i w:val="0"/>
          <w:iCs w:val="0"/>
          <w:color w:val="FF0000"/>
          <w:spacing w:val="-10"/>
          <w:sz w:val="25"/>
          <w:szCs w:val="25"/>
          <w:u w:val="single" w:color="auto"/>
        </w:rPr>
        <w:t>本项目采用招标方式：公开招标，评分方法：综合评分法。本项目采用</w:t>
      </w:r>
      <w:bookmarkStart w:id="84" w:name="bookmark29"/>
      <w:bookmarkEnd w:id="84"/>
      <w:r>
        <w:rPr>
          <w:rFonts w:hint="eastAsia" w:ascii="仿宋" w:hAnsi="仿宋" w:eastAsia="仿宋" w:cs="仿宋"/>
          <w:b/>
          <w:bCs/>
          <w:i w:val="0"/>
          <w:iCs w:val="0"/>
          <w:color w:val="FF0000"/>
          <w:spacing w:val="-7"/>
          <w:sz w:val="25"/>
          <w:szCs w:val="25"/>
          <w:u w:val="single" w:color="auto"/>
        </w:rPr>
        <w:t>政采云线上电子招投标及评标。</w:t>
      </w:r>
    </w:p>
    <w:p>
      <w:pPr>
        <w:spacing w:before="260" w:line="360" w:lineRule="auto"/>
        <w:ind w:left="959" w:leftChars="7" w:hanging="944" w:hangingChars="400"/>
        <w:outlineLvl w:val="0"/>
        <w:rPr>
          <w:rFonts w:hint="eastAsia" w:ascii="仿宋" w:hAnsi="仿宋" w:eastAsia="仿宋" w:cs="仿宋"/>
          <w:sz w:val="24"/>
          <w:szCs w:val="24"/>
        </w:rPr>
      </w:pPr>
      <w:bookmarkStart w:id="85" w:name="_Toc26291"/>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bookmarkEnd w:id="85"/>
    </w:p>
    <w:p>
      <w:pPr>
        <w:spacing w:before="297" w:line="360" w:lineRule="auto"/>
        <w:ind w:left="17"/>
        <w:outlineLvl w:val="1"/>
        <w:rPr>
          <w:rFonts w:hint="eastAsia" w:ascii="仿宋" w:hAnsi="仿宋" w:eastAsia="仿宋" w:cs="仿宋"/>
          <w:sz w:val="24"/>
          <w:szCs w:val="24"/>
        </w:rPr>
      </w:pPr>
      <w:bookmarkStart w:id="86" w:name="bookmark30"/>
      <w:bookmarkEnd w:id="86"/>
      <w:bookmarkStart w:id="87" w:name="_Toc1640"/>
      <w:r>
        <w:rPr>
          <w:rFonts w:hint="eastAsia" w:ascii="仿宋" w:hAnsi="仿宋" w:eastAsia="仿宋" w:cs="仿宋"/>
          <w:b/>
          <w:bCs/>
          <w:spacing w:val="-3"/>
          <w:sz w:val="24"/>
          <w:szCs w:val="24"/>
        </w:rPr>
        <w:t>24.废标</w:t>
      </w:r>
      <w:bookmarkEnd w:id="87"/>
    </w:p>
    <w:p>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pPr>
        <w:spacing w:before="180" w:line="360" w:lineRule="auto"/>
        <w:ind w:right="63"/>
        <w:jc w:val="right"/>
        <w:outlineLvl w:val="2"/>
        <w:rPr>
          <w:rFonts w:hint="eastAsia" w:ascii="仿宋" w:hAnsi="仿宋" w:eastAsia="仿宋" w:cs="仿宋"/>
          <w:sz w:val="24"/>
          <w:szCs w:val="24"/>
        </w:rPr>
      </w:pPr>
      <w:bookmarkStart w:id="88" w:name="_Toc4828"/>
      <w:r>
        <w:rPr>
          <w:rFonts w:hint="eastAsia" w:ascii="仿宋" w:hAnsi="仿宋" w:eastAsia="仿宋" w:cs="仿宋"/>
          <w:position w:val="17"/>
          <w:sz w:val="24"/>
          <w:szCs w:val="24"/>
        </w:rPr>
        <w:t>（1）符合专业条件的供应商或者对招标文件做实质性响应的供应商不足</w:t>
      </w:r>
      <w:bookmarkEnd w:id="88"/>
    </w:p>
    <w:p>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pPr>
        <w:spacing w:before="180" w:line="360" w:lineRule="auto"/>
        <w:ind w:left="17"/>
        <w:outlineLvl w:val="1"/>
        <w:rPr>
          <w:rFonts w:hint="eastAsia" w:ascii="仿宋" w:hAnsi="仿宋" w:eastAsia="仿宋" w:cs="仿宋"/>
          <w:sz w:val="24"/>
          <w:szCs w:val="24"/>
        </w:rPr>
      </w:pPr>
      <w:bookmarkStart w:id="89" w:name="bookmark31"/>
      <w:bookmarkEnd w:id="89"/>
      <w:bookmarkStart w:id="90" w:name="_Toc31414"/>
      <w:r>
        <w:rPr>
          <w:rFonts w:hint="eastAsia" w:ascii="仿宋" w:hAnsi="仿宋" w:eastAsia="仿宋" w:cs="仿宋"/>
          <w:b/>
          <w:bCs/>
          <w:spacing w:val="-2"/>
          <w:sz w:val="24"/>
          <w:szCs w:val="24"/>
        </w:rPr>
        <w:t>25.保密原则</w:t>
      </w:r>
      <w:bookmarkEnd w:id="90"/>
    </w:p>
    <w:p>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pPr>
        <w:spacing w:line="254" w:lineRule="auto"/>
        <w:rPr>
          <w:rFonts w:hint="eastAsia" w:ascii="仿宋" w:hAnsi="仿宋" w:eastAsia="仿宋" w:cs="仿宋"/>
          <w:sz w:val="21"/>
        </w:rPr>
      </w:pPr>
    </w:p>
    <w:p>
      <w:pPr>
        <w:spacing w:before="79" w:line="222" w:lineRule="auto"/>
        <w:ind w:left="3401"/>
        <w:outlineLvl w:val="2"/>
        <w:rPr>
          <w:rFonts w:hint="eastAsia" w:ascii="仿宋" w:hAnsi="仿宋" w:eastAsia="仿宋" w:cs="仿宋"/>
          <w:sz w:val="21"/>
        </w:rPr>
      </w:pPr>
      <w:bookmarkStart w:id="91" w:name="bookmark32"/>
      <w:bookmarkEnd w:id="91"/>
      <w:bookmarkStart w:id="92" w:name="_Toc27575"/>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92"/>
    </w:p>
    <w:p>
      <w:pPr>
        <w:spacing w:line="256" w:lineRule="auto"/>
        <w:rPr>
          <w:rFonts w:hint="eastAsia" w:ascii="仿宋" w:hAnsi="仿宋" w:eastAsia="仿宋" w:cs="仿宋"/>
          <w:sz w:val="21"/>
        </w:rPr>
      </w:pPr>
    </w:p>
    <w:p>
      <w:pPr>
        <w:spacing w:before="78" w:line="360" w:lineRule="auto"/>
        <w:ind w:left="17"/>
        <w:outlineLvl w:val="1"/>
        <w:rPr>
          <w:rFonts w:hint="eastAsia" w:ascii="仿宋" w:hAnsi="仿宋" w:eastAsia="仿宋" w:cs="仿宋"/>
          <w:sz w:val="24"/>
          <w:szCs w:val="24"/>
        </w:rPr>
      </w:pPr>
      <w:bookmarkStart w:id="93" w:name="bookmark33"/>
      <w:bookmarkEnd w:id="93"/>
      <w:bookmarkStart w:id="94" w:name="_Toc28283"/>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94"/>
    </w:p>
    <w:p>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pPr>
        <w:spacing w:before="178" w:line="360" w:lineRule="auto"/>
        <w:ind w:right="65"/>
        <w:jc w:val="right"/>
        <w:outlineLvl w:val="2"/>
        <w:rPr>
          <w:rFonts w:hint="eastAsia" w:ascii="仿宋" w:hAnsi="仿宋" w:eastAsia="仿宋" w:cs="仿宋"/>
          <w:sz w:val="24"/>
          <w:szCs w:val="24"/>
        </w:rPr>
      </w:pPr>
      <w:bookmarkStart w:id="95" w:name="_Toc13958"/>
      <w:r>
        <w:rPr>
          <w:rFonts w:hint="eastAsia" w:ascii="仿宋" w:hAnsi="仿宋" w:eastAsia="仿宋" w:cs="仿宋"/>
          <w:spacing w:val="2"/>
          <w:position w:val="17"/>
          <w:sz w:val="24"/>
          <w:szCs w:val="24"/>
        </w:rPr>
        <w:t>（1）采用最低评标价法的，除了算术修正和落实政府采购政策需进行</w:t>
      </w:r>
      <w:bookmarkEnd w:id="95"/>
    </w:p>
    <w:p>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6章。</w:t>
      </w:r>
    </w:p>
    <w:p>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pPr>
        <w:spacing w:before="180" w:line="360" w:lineRule="auto"/>
        <w:ind w:left="17"/>
        <w:outlineLvl w:val="1"/>
        <w:rPr>
          <w:rFonts w:hint="eastAsia" w:ascii="仿宋" w:hAnsi="仿宋" w:eastAsia="仿宋" w:cs="仿宋"/>
          <w:sz w:val="24"/>
          <w:szCs w:val="24"/>
        </w:rPr>
      </w:pPr>
      <w:bookmarkStart w:id="96" w:name="bookmark34"/>
      <w:bookmarkEnd w:id="96"/>
      <w:bookmarkStart w:id="97" w:name="_Toc14420"/>
      <w:r>
        <w:rPr>
          <w:rFonts w:hint="eastAsia" w:ascii="仿宋" w:hAnsi="仿宋" w:eastAsia="仿宋" w:cs="仿宋"/>
          <w:b/>
          <w:bCs/>
          <w:spacing w:val="-2"/>
          <w:sz w:val="24"/>
          <w:szCs w:val="24"/>
        </w:rPr>
        <w:t>27.确定中标候选人和中标人</w:t>
      </w:r>
      <w:bookmarkEnd w:id="97"/>
    </w:p>
    <w:p>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pPr>
        <w:spacing w:before="181" w:line="360" w:lineRule="auto"/>
        <w:ind w:left="17"/>
        <w:outlineLvl w:val="1"/>
        <w:rPr>
          <w:rFonts w:hint="eastAsia" w:ascii="仿宋" w:hAnsi="仿宋" w:eastAsia="仿宋" w:cs="仿宋"/>
          <w:sz w:val="24"/>
          <w:szCs w:val="24"/>
        </w:rPr>
      </w:pPr>
      <w:bookmarkStart w:id="98" w:name="bookmark35"/>
      <w:bookmarkEnd w:id="98"/>
      <w:bookmarkStart w:id="99" w:name="_Toc1103"/>
      <w:r>
        <w:rPr>
          <w:rFonts w:hint="eastAsia" w:ascii="仿宋" w:hAnsi="仿宋" w:eastAsia="仿宋" w:cs="仿宋"/>
          <w:b/>
          <w:bCs/>
          <w:spacing w:val="-2"/>
          <w:sz w:val="24"/>
          <w:szCs w:val="24"/>
        </w:rPr>
        <w:t>28.采购任务取消</w:t>
      </w:r>
      <w:bookmarkEnd w:id="99"/>
    </w:p>
    <w:p>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pPr>
        <w:spacing w:before="180" w:line="360" w:lineRule="auto"/>
        <w:ind w:left="17"/>
        <w:outlineLvl w:val="1"/>
        <w:rPr>
          <w:rFonts w:hint="eastAsia" w:ascii="仿宋" w:hAnsi="仿宋" w:eastAsia="仿宋" w:cs="仿宋"/>
          <w:sz w:val="24"/>
          <w:szCs w:val="24"/>
        </w:rPr>
      </w:pPr>
      <w:bookmarkStart w:id="100" w:name="bookmark36"/>
      <w:bookmarkEnd w:id="100"/>
      <w:bookmarkStart w:id="101" w:name="_Toc20122"/>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101"/>
    </w:p>
    <w:p>
      <w:pPr>
        <w:spacing w:before="179" w:line="360" w:lineRule="auto"/>
        <w:ind w:left="16"/>
        <w:outlineLvl w:val="2"/>
        <w:rPr>
          <w:rFonts w:hint="eastAsia" w:ascii="仿宋" w:hAnsi="仿宋" w:eastAsia="仿宋" w:cs="仿宋"/>
          <w:sz w:val="24"/>
          <w:szCs w:val="24"/>
        </w:rPr>
      </w:pPr>
      <w:bookmarkStart w:id="102" w:name="_Toc15790"/>
      <w:r>
        <w:rPr>
          <w:rFonts w:hint="eastAsia" w:ascii="仿宋" w:hAnsi="仿宋" w:eastAsia="仿宋" w:cs="仿宋"/>
          <w:spacing w:val="-1"/>
          <w:sz w:val="24"/>
          <w:szCs w:val="24"/>
        </w:rPr>
        <w:t>29.1    在投标有效期内，中标人确定后，采购人或者采购代理机构发布中标公</w:t>
      </w:r>
      <w:bookmarkEnd w:id="102"/>
    </w:p>
    <w:p>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pPr>
        <w:spacing w:before="179" w:line="360" w:lineRule="auto"/>
        <w:ind w:left="15"/>
        <w:outlineLvl w:val="1"/>
        <w:rPr>
          <w:rFonts w:hint="eastAsia" w:ascii="仿宋" w:hAnsi="仿宋" w:eastAsia="仿宋" w:cs="仿宋"/>
          <w:sz w:val="24"/>
          <w:szCs w:val="24"/>
        </w:rPr>
      </w:pPr>
      <w:bookmarkStart w:id="103" w:name="bookmark37"/>
      <w:bookmarkEnd w:id="103"/>
      <w:bookmarkStart w:id="104" w:name="_Toc15494"/>
      <w:r>
        <w:rPr>
          <w:rFonts w:hint="eastAsia" w:ascii="仿宋" w:hAnsi="仿宋" w:eastAsia="仿宋" w:cs="仿宋"/>
          <w:b/>
          <w:bCs/>
          <w:spacing w:val="-2"/>
          <w:sz w:val="24"/>
          <w:szCs w:val="24"/>
        </w:rPr>
        <w:t>30.签订合同</w:t>
      </w:r>
      <w:bookmarkEnd w:id="104"/>
    </w:p>
    <w:p>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lang w:val="en-US" w:eastAsia="zh-CN"/>
        </w:rPr>
        <w:t>20天</w:t>
      </w:r>
      <w:r>
        <w:rPr>
          <w:rFonts w:hint="eastAsia" w:ascii="仿宋" w:hAnsi="仿宋" w:eastAsia="仿宋" w:cs="仿宋"/>
          <w:spacing w:val="-2"/>
          <w:sz w:val="24"/>
          <w:szCs w:val="24"/>
        </w:rPr>
        <w:t>内</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最长不超过30天</w:t>
      </w:r>
      <w:r>
        <w:rPr>
          <w:rFonts w:hint="eastAsia" w:ascii="仿宋" w:hAnsi="仿宋" w:eastAsia="仿宋" w:cs="仿宋"/>
          <w:spacing w:val="-2"/>
          <w:sz w:val="24"/>
          <w:szCs w:val="24"/>
        </w:rPr>
        <w:t>，与采购人签</w:t>
      </w:r>
      <w:r>
        <w:rPr>
          <w:rFonts w:hint="eastAsia" w:ascii="仿宋" w:hAnsi="仿宋" w:eastAsia="仿宋" w:cs="仿宋"/>
          <w:spacing w:val="-3"/>
          <w:sz w:val="24"/>
          <w:szCs w:val="24"/>
        </w:rPr>
        <w:t>订合同。</w:t>
      </w:r>
    </w:p>
    <w:p>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pPr>
        <w:spacing w:before="181" w:line="360" w:lineRule="auto"/>
        <w:ind w:left="15"/>
        <w:outlineLvl w:val="1"/>
        <w:rPr>
          <w:rFonts w:hint="eastAsia" w:ascii="仿宋" w:hAnsi="仿宋" w:eastAsia="仿宋" w:cs="仿宋"/>
          <w:sz w:val="24"/>
          <w:szCs w:val="24"/>
        </w:rPr>
      </w:pPr>
      <w:bookmarkStart w:id="105" w:name="bookmark38"/>
      <w:bookmarkEnd w:id="105"/>
      <w:bookmarkStart w:id="106" w:name="_Toc31225"/>
      <w:r>
        <w:rPr>
          <w:rFonts w:hint="eastAsia" w:ascii="仿宋" w:hAnsi="仿宋" w:eastAsia="仿宋" w:cs="仿宋"/>
          <w:b/>
          <w:bCs/>
          <w:spacing w:val="-2"/>
          <w:sz w:val="24"/>
          <w:szCs w:val="24"/>
        </w:rPr>
        <w:t>31.履约保证金</w:t>
      </w:r>
      <w:bookmarkEnd w:id="106"/>
    </w:p>
    <w:p>
      <w:pPr>
        <w:spacing w:before="179" w:line="360" w:lineRule="auto"/>
        <w:ind w:left="971" w:leftChars="9" w:hanging="952" w:hangingChars="400"/>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val="en-US"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pPr>
        <w:spacing w:line="360" w:lineRule="auto"/>
        <w:ind w:left="931"/>
        <w:rPr>
          <w:rFonts w:hint="eastAsia" w:ascii="仿宋" w:hAnsi="仿宋" w:eastAsia="仿宋" w:cs="仿宋"/>
          <w:spacing w:val="-2"/>
          <w:sz w:val="24"/>
          <w:szCs w:val="24"/>
        </w:rPr>
      </w:pPr>
      <w:r>
        <w:rPr>
          <w:rFonts w:hint="eastAsia" w:ascii="仿宋" w:hAnsi="仿宋" w:eastAsia="仿宋" w:cs="仿宋"/>
          <w:spacing w:val="-2"/>
          <w:sz w:val="24"/>
          <w:szCs w:val="24"/>
        </w:rPr>
        <w:t>人为中标人，也可以重新开展采购活动。</w:t>
      </w:r>
    </w:p>
    <w:p>
      <w:pPr>
        <w:spacing w:before="179" w:line="360" w:lineRule="auto"/>
        <w:ind w:left="967" w:leftChars="9" w:hanging="948" w:hangingChars="400"/>
        <w:rPr>
          <w:rFonts w:hint="default" w:ascii="仿宋" w:hAnsi="仿宋" w:eastAsia="仿宋" w:cs="仿宋"/>
          <w:b/>
          <w:bCs/>
          <w:spacing w:val="-1"/>
          <w:sz w:val="24"/>
          <w:szCs w:val="24"/>
          <w:lang w:eastAsia="zh-CN"/>
        </w:rPr>
      </w:pPr>
      <w:bookmarkStart w:id="107" w:name="_Toc13002"/>
      <w:r>
        <w:rPr>
          <w:rFonts w:hint="default" w:ascii="仿宋" w:hAnsi="仿宋" w:eastAsia="仿宋" w:cs="仿宋"/>
          <w:b/>
          <w:bCs/>
          <w:spacing w:val="-2"/>
          <w:sz w:val="24"/>
          <w:szCs w:val="24"/>
          <w:lang w:eastAsia="zh-CN"/>
        </w:rPr>
        <w:t xml:space="preserve">32. </w:t>
      </w:r>
      <w:r>
        <w:rPr>
          <w:rFonts w:hint="default" w:ascii="仿宋" w:hAnsi="仿宋" w:eastAsia="仿宋" w:cs="仿宋"/>
          <w:b/>
          <w:bCs/>
          <w:spacing w:val="-1"/>
          <w:sz w:val="24"/>
          <w:szCs w:val="24"/>
          <w:lang w:eastAsia="zh-CN"/>
        </w:rPr>
        <w:t>中标服务费</w:t>
      </w:r>
      <w:bookmarkEnd w:id="107"/>
    </w:p>
    <w:p>
      <w:pPr>
        <w:spacing w:before="179" w:line="360" w:lineRule="auto"/>
        <w:ind w:left="976" w:leftChars="465" w:firstLine="0" w:firstLineChars="0"/>
        <w:rPr>
          <w:rFonts w:hint="eastAsia"/>
        </w:rPr>
      </w:pPr>
      <w:r>
        <w:rPr>
          <w:rFonts w:hint="default" w:ascii="仿宋" w:hAnsi="仿宋" w:eastAsia="仿宋" w:cs="仿宋"/>
          <w:spacing w:val="-1"/>
          <w:sz w:val="24"/>
          <w:szCs w:val="24"/>
          <w:lang w:eastAsia="zh-CN"/>
        </w:rPr>
        <w:t>本项目不收取任何费用。</w:t>
      </w:r>
    </w:p>
    <w:p>
      <w:pPr>
        <w:spacing w:before="176" w:line="360" w:lineRule="auto"/>
        <w:ind w:left="15"/>
        <w:outlineLvl w:val="1"/>
        <w:rPr>
          <w:rFonts w:hint="eastAsia" w:ascii="仿宋" w:hAnsi="仿宋" w:eastAsia="仿宋" w:cs="仿宋"/>
          <w:sz w:val="24"/>
          <w:szCs w:val="24"/>
        </w:rPr>
      </w:pPr>
      <w:bookmarkStart w:id="108" w:name="bookmark40"/>
      <w:bookmarkEnd w:id="108"/>
      <w:bookmarkStart w:id="109" w:name="bookmark39"/>
      <w:bookmarkEnd w:id="109"/>
      <w:bookmarkStart w:id="110" w:name="_Toc25822"/>
      <w:r>
        <w:rPr>
          <w:rFonts w:hint="eastAsia" w:ascii="仿宋" w:hAnsi="仿宋" w:eastAsia="仿宋" w:cs="仿宋"/>
          <w:b/>
          <w:bCs/>
          <w:spacing w:val="-2"/>
          <w:sz w:val="24"/>
          <w:szCs w:val="24"/>
        </w:rPr>
        <w:t>33.政府采购信用担保</w:t>
      </w:r>
      <w:bookmarkEnd w:id="110"/>
    </w:p>
    <w:p>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pPr>
        <w:spacing w:before="180" w:line="360" w:lineRule="auto"/>
        <w:ind w:left="15"/>
        <w:outlineLvl w:val="1"/>
        <w:rPr>
          <w:rFonts w:hint="eastAsia" w:ascii="仿宋" w:hAnsi="仿宋" w:eastAsia="仿宋" w:cs="仿宋"/>
          <w:sz w:val="24"/>
          <w:szCs w:val="24"/>
        </w:rPr>
      </w:pPr>
      <w:bookmarkStart w:id="111" w:name="bookmark41"/>
      <w:bookmarkEnd w:id="111"/>
      <w:bookmarkStart w:id="112" w:name="_Toc30464"/>
      <w:r>
        <w:rPr>
          <w:rFonts w:hint="eastAsia" w:ascii="仿宋" w:hAnsi="仿宋" w:eastAsia="仿宋" w:cs="仿宋"/>
          <w:b/>
          <w:bCs/>
          <w:spacing w:val="-2"/>
          <w:sz w:val="24"/>
          <w:szCs w:val="24"/>
        </w:rPr>
        <w:t>34.廉洁自律规定</w:t>
      </w:r>
      <w:bookmarkEnd w:id="112"/>
    </w:p>
    <w:p>
      <w:pPr>
        <w:spacing w:before="179" w:line="360" w:lineRule="auto"/>
        <w:ind w:left="21"/>
        <w:outlineLvl w:val="2"/>
        <w:rPr>
          <w:rFonts w:hint="eastAsia" w:ascii="仿宋" w:hAnsi="仿宋" w:eastAsia="仿宋" w:cs="仿宋"/>
          <w:sz w:val="24"/>
          <w:szCs w:val="24"/>
        </w:rPr>
      </w:pPr>
      <w:bookmarkStart w:id="113" w:name="_Toc19878"/>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bookmarkEnd w:id="113"/>
    </w:p>
    <w:p>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pPr>
        <w:spacing w:before="179" w:line="360" w:lineRule="auto"/>
        <w:ind w:left="15"/>
        <w:outlineLvl w:val="1"/>
        <w:rPr>
          <w:rFonts w:hint="eastAsia" w:ascii="仿宋" w:hAnsi="仿宋" w:eastAsia="仿宋" w:cs="仿宋"/>
          <w:sz w:val="24"/>
          <w:szCs w:val="24"/>
        </w:rPr>
      </w:pPr>
      <w:bookmarkStart w:id="114" w:name="bookmark42"/>
      <w:bookmarkEnd w:id="114"/>
      <w:bookmarkStart w:id="115" w:name="_Toc15105"/>
      <w:r>
        <w:rPr>
          <w:rFonts w:hint="eastAsia" w:ascii="仿宋" w:hAnsi="仿宋" w:eastAsia="仿宋" w:cs="仿宋"/>
          <w:b/>
          <w:bCs/>
          <w:spacing w:val="-2"/>
          <w:sz w:val="24"/>
          <w:szCs w:val="24"/>
        </w:rPr>
        <w:t>35.人员回避</w:t>
      </w:r>
      <w:bookmarkEnd w:id="115"/>
    </w:p>
    <w:p>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pPr>
        <w:spacing w:before="182" w:line="360" w:lineRule="auto"/>
        <w:ind w:left="15"/>
        <w:outlineLvl w:val="1"/>
        <w:rPr>
          <w:rFonts w:hint="eastAsia" w:ascii="仿宋" w:hAnsi="仿宋" w:eastAsia="仿宋" w:cs="仿宋"/>
          <w:sz w:val="24"/>
          <w:szCs w:val="24"/>
        </w:rPr>
      </w:pPr>
      <w:bookmarkStart w:id="116" w:name="bookmark43"/>
      <w:bookmarkEnd w:id="116"/>
      <w:bookmarkStart w:id="117" w:name="_Toc5558"/>
      <w:r>
        <w:rPr>
          <w:rFonts w:hint="eastAsia" w:ascii="仿宋" w:hAnsi="仿宋" w:eastAsia="仿宋" w:cs="仿宋"/>
          <w:b/>
          <w:bCs/>
          <w:spacing w:val="-2"/>
          <w:sz w:val="24"/>
          <w:szCs w:val="24"/>
        </w:rPr>
        <w:t>36.质疑与接收</w:t>
      </w:r>
      <w:bookmarkEnd w:id="117"/>
    </w:p>
    <w:p>
      <w:pPr>
        <w:spacing w:before="179" w:line="360" w:lineRule="auto"/>
        <w:ind w:left="726"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pPr>
        <w:spacing w:before="178" w:line="360" w:lineRule="auto"/>
        <w:outlineLvl w:val="2"/>
        <w:rPr>
          <w:rFonts w:hint="eastAsia" w:ascii="仿宋" w:hAnsi="仿宋" w:eastAsia="仿宋" w:cs="仿宋"/>
          <w:sz w:val="24"/>
          <w:szCs w:val="24"/>
        </w:rPr>
      </w:pPr>
      <w:bookmarkStart w:id="118" w:name="_Toc31029"/>
      <w:r>
        <w:rPr>
          <w:rFonts w:hint="eastAsia" w:ascii="仿宋" w:hAnsi="仿宋" w:eastAsia="仿宋" w:cs="仿宋"/>
          <w:spacing w:val="1"/>
          <w:sz w:val="24"/>
          <w:szCs w:val="24"/>
        </w:rPr>
        <w:t>36.2  质疑供应商应按照财政部制定的《政府采购质疑函范本》格式（可从财</w:t>
      </w:r>
      <w:bookmarkEnd w:id="118"/>
    </w:p>
    <w:p>
      <w:pPr>
        <w:spacing w:before="177" w:line="360" w:lineRule="auto"/>
        <w:ind w:left="718" w:leftChars="342" w:right="83" w:firstLine="0" w:firstLineChars="0"/>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pPr>
        <w:spacing w:line="360" w:lineRule="auto"/>
        <w:ind w:firstLine="792" w:firstLineChars="400"/>
        <w:rPr>
          <w:rFonts w:hint="eastAsia" w:ascii="仿宋" w:hAnsi="仿宋" w:eastAsia="仿宋" w:cs="仿宋"/>
          <w:sz w:val="24"/>
          <w:szCs w:val="24"/>
        </w:rPr>
      </w:pPr>
      <w:r>
        <w:rPr>
          <w:rFonts w:hint="eastAsia" w:ascii="仿宋" w:hAnsi="仿宋" w:eastAsia="仿宋" w:cs="仿宋"/>
          <w:spacing w:val="-21"/>
          <w:sz w:val="24"/>
          <w:szCs w:val="24"/>
        </w:rPr>
        <w:t>出。</w:t>
      </w:r>
    </w:p>
    <w:p>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pPr>
        <w:spacing w:before="178" w:line="360" w:lineRule="auto"/>
        <w:outlineLvl w:val="2"/>
        <w:rPr>
          <w:rFonts w:hint="eastAsia" w:ascii="仿宋" w:hAnsi="仿宋" w:eastAsia="仿宋" w:cs="仿宋"/>
          <w:sz w:val="24"/>
          <w:szCs w:val="24"/>
        </w:rPr>
      </w:pPr>
      <w:bookmarkStart w:id="119" w:name="_Toc8209"/>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bookmarkEnd w:id="119"/>
    </w:p>
    <w:p>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pPr>
        <w:spacing w:before="176" w:line="360" w:lineRule="auto"/>
        <w:outlineLvl w:val="2"/>
        <w:rPr>
          <w:rFonts w:hint="eastAsia" w:ascii="仿宋" w:hAnsi="仿宋" w:eastAsia="仿宋" w:cs="仿宋"/>
          <w:sz w:val="24"/>
          <w:szCs w:val="24"/>
        </w:rPr>
      </w:pPr>
      <w:bookmarkStart w:id="120" w:name="_Toc29414"/>
      <w:r>
        <w:rPr>
          <w:rFonts w:hint="eastAsia" w:ascii="仿宋" w:hAnsi="仿宋" w:eastAsia="仿宋" w:cs="仿宋"/>
          <w:spacing w:val="-1"/>
          <w:sz w:val="24"/>
          <w:szCs w:val="24"/>
        </w:rPr>
        <w:t>36.4  质疑的提出：一次提出全部质疑</w:t>
      </w:r>
      <w:bookmarkEnd w:id="120"/>
    </w:p>
    <w:p>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pPr>
        <w:spacing w:before="178" w:line="360" w:lineRule="auto"/>
        <w:ind w:firstLine="720" w:firstLineChars="300"/>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pPr>
        <w:spacing w:before="2" w:line="360" w:lineRule="auto"/>
        <w:ind w:firstLine="702" w:firstLineChars="300"/>
        <w:rPr>
          <w:rFonts w:hint="eastAsia" w:ascii="仿宋" w:hAnsi="仿宋" w:eastAsia="仿宋" w:cs="仿宋"/>
          <w:sz w:val="24"/>
          <w:szCs w:val="24"/>
        </w:rPr>
      </w:pPr>
      <w:r>
        <w:rPr>
          <w:rFonts w:hint="eastAsia" w:ascii="仿宋" w:hAnsi="仿宋" w:eastAsia="仿宋" w:cs="仿宋"/>
          <w:spacing w:val="-3"/>
          <w:sz w:val="24"/>
          <w:szCs w:val="24"/>
        </w:rPr>
        <w:t>方答复质疑的行为。</w:t>
      </w:r>
    </w:p>
    <w:p>
      <w:pPr>
        <w:spacing w:before="178" w:line="360" w:lineRule="auto"/>
        <w:ind w:left="732" w:right="83" w:hanging="732" w:hangingChars="300"/>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pPr>
        <w:spacing w:before="178"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pPr>
        <w:spacing w:before="180" w:line="360" w:lineRule="auto"/>
        <w:outlineLvl w:val="2"/>
        <w:rPr>
          <w:rFonts w:hint="eastAsia" w:ascii="仿宋" w:hAnsi="仿宋" w:eastAsia="仿宋" w:cs="仿宋"/>
          <w:sz w:val="24"/>
          <w:szCs w:val="24"/>
        </w:rPr>
      </w:pPr>
      <w:bookmarkStart w:id="121" w:name="_Toc12767"/>
      <w:r>
        <w:rPr>
          <w:rFonts w:hint="eastAsia" w:ascii="仿宋" w:hAnsi="仿宋" w:eastAsia="仿宋" w:cs="仿宋"/>
          <w:spacing w:val="-1"/>
          <w:position w:val="17"/>
          <w:sz w:val="24"/>
          <w:szCs w:val="24"/>
        </w:rPr>
        <w:t>36.9   提出质疑应当符合下列条件：</w:t>
      </w:r>
      <w:bookmarkEnd w:id="121"/>
    </w:p>
    <w:p>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pPr>
        <w:pStyle w:val="3"/>
        <w:bidi w:val="0"/>
        <w:ind w:left="699" w:hanging="699" w:hangingChars="300"/>
        <w:jc w:val="left"/>
        <w:rPr>
          <w:rFonts w:hint="eastAsia" w:ascii="仿宋" w:hAnsi="仿宋" w:eastAsia="仿宋" w:cs="仿宋"/>
          <w:b w:val="0"/>
          <w:snapToGrid w:val="0"/>
          <w:color w:val="000000"/>
          <w:spacing w:val="2"/>
          <w:kern w:val="0"/>
          <w:sz w:val="24"/>
          <w:szCs w:val="24"/>
          <w:lang w:val="en-US" w:eastAsia="en-US" w:bidi="ar-SA"/>
        </w:rPr>
      </w:pPr>
      <w:bookmarkStart w:id="122" w:name="_Toc25976"/>
      <w:r>
        <w:rPr>
          <w:rFonts w:hint="eastAsia" w:ascii="仿宋" w:hAnsi="仿宋" w:eastAsia="仿宋" w:cs="仿宋"/>
          <w:spacing w:val="-4"/>
          <w:sz w:val="24"/>
          <w:szCs w:val="24"/>
        </w:rPr>
        <w:t xml:space="preserve">37.    </w:t>
      </w:r>
      <w:r>
        <w:rPr>
          <w:rFonts w:hint="eastAsia" w:ascii="仿宋" w:hAnsi="仿宋" w:eastAsia="仿宋" w:cs="仿宋"/>
          <w:b w:val="0"/>
          <w:snapToGrid w:val="0"/>
          <w:color w:val="000000"/>
          <w:spacing w:val="2"/>
          <w:kern w:val="0"/>
          <w:sz w:val="24"/>
          <w:szCs w:val="24"/>
          <w:lang w:val="en-US" w:eastAsia="en-US" w:bidi="ar-SA"/>
        </w:rPr>
        <w:t>提出质疑应当具有明确的请求和提供必要的证明材料。明确的请求, 即质疑人在质疑函中提出的，要求采购方对其予以支持的主张。必要的证明材料, 即能够证明质疑人的质疑请求成立的必要材料，包括相关证据、依据和其他有关材料。</w:t>
      </w:r>
      <w:bookmarkEnd w:id="122"/>
    </w:p>
    <w:p>
      <w:pPr>
        <w:spacing w:before="179" w:line="360" w:lineRule="auto"/>
        <w:ind w:left="696" w:right="11" w:hanging="732" w:hangingChars="300"/>
        <w:outlineLvl w:val="2"/>
        <w:rPr>
          <w:rFonts w:hint="eastAsia" w:ascii="仿宋" w:hAnsi="仿宋" w:eastAsia="仿宋" w:cs="仿宋"/>
          <w:sz w:val="24"/>
          <w:szCs w:val="24"/>
        </w:rPr>
      </w:pPr>
      <w:bookmarkStart w:id="123" w:name="_Toc29774"/>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bookmarkEnd w:id="123"/>
    </w:p>
    <w:p>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pPr>
        <w:spacing w:before="179" w:line="360" w:lineRule="auto"/>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pPr>
        <w:spacing w:before="182" w:line="360" w:lineRule="auto"/>
        <w:ind w:right="11"/>
        <w:jc w:val="center"/>
        <w:outlineLvl w:val="2"/>
        <w:rPr>
          <w:rFonts w:hint="eastAsia" w:ascii="仿宋" w:hAnsi="仿宋" w:eastAsia="仿宋" w:cs="仿宋"/>
          <w:sz w:val="24"/>
          <w:szCs w:val="24"/>
        </w:rPr>
      </w:pPr>
      <w:bookmarkStart w:id="124" w:name="_Toc6489"/>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bookmarkEnd w:id="124"/>
    </w:p>
    <w:p>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pPr>
        <w:spacing w:line="360" w:lineRule="auto"/>
        <w:outlineLvl w:val="2"/>
        <w:rPr>
          <w:rFonts w:hint="eastAsia" w:ascii="仿宋" w:hAnsi="仿宋" w:eastAsia="仿宋" w:cs="仿宋"/>
          <w:sz w:val="24"/>
          <w:szCs w:val="24"/>
        </w:rPr>
      </w:pPr>
      <w:bookmarkStart w:id="125" w:name="_Toc2625"/>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bookmarkEnd w:id="125"/>
    </w:p>
    <w:p>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1"/>
          <w:position w:val="17"/>
          <w:sz w:val="24"/>
          <w:szCs w:val="24"/>
          <w:lang w:val="en-US" w:eastAsia="zh-CN"/>
        </w:rPr>
        <w:t xml:space="preserve">      </w:t>
      </w:r>
      <w:r>
        <w:rPr>
          <w:rFonts w:hint="eastAsia" w:ascii="仿宋" w:hAnsi="仿宋" w:eastAsia="仿宋" w:cs="仿宋"/>
          <w:spacing w:val="-1"/>
          <w:position w:val="17"/>
          <w:sz w:val="24"/>
          <w:szCs w:val="24"/>
        </w:rPr>
        <w:t>采购方在收到质疑函后应当及时审查是否符合质疑受理条件，对符合质</w:t>
      </w:r>
    </w:p>
    <w:p>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pPr>
        <w:spacing w:before="176" w:line="360" w:lineRule="auto"/>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pPr>
        <w:spacing w:before="181" w:line="360" w:lineRule="auto"/>
        <w:ind w:left="719" w:leftChars="228" w:right="11" w:hanging="240" w:hangingChars="10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pPr>
        <w:numPr>
          <w:ilvl w:val="0"/>
          <w:numId w:val="2"/>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pPr>
        <w:numPr>
          <w:ilvl w:val="0"/>
          <w:numId w:val="3"/>
        </w:numPr>
        <w:spacing w:before="179" w:line="360" w:lineRule="auto"/>
        <w:ind w:left="174"/>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pPr>
        <w:numPr>
          <w:ilvl w:val="0"/>
          <w:numId w:val="0"/>
        </w:numPr>
        <w:spacing w:before="179" w:line="360" w:lineRule="auto"/>
        <w:outlineLvl w:val="2"/>
        <w:rPr>
          <w:rFonts w:hint="eastAsia" w:ascii="仿宋" w:hAnsi="仿宋" w:eastAsia="仿宋" w:cs="仿宋"/>
          <w:sz w:val="24"/>
          <w:szCs w:val="24"/>
        </w:rPr>
      </w:pPr>
      <w:bookmarkStart w:id="126" w:name="_Toc22881"/>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bookmarkEnd w:id="126"/>
    </w:p>
    <w:p>
      <w:pPr>
        <w:spacing w:before="178" w:line="360" w:lineRule="auto"/>
        <w:ind w:left="708" w:right="76" w:hanging="708" w:hangingChars="300"/>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pPr>
        <w:spacing w:before="179"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pPr>
        <w:spacing w:before="178" w:line="360" w:lineRule="auto"/>
        <w:ind w:firstLine="960" w:firstLineChars="400"/>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pPr>
        <w:spacing w:before="161" w:line="360" w:lineRule="auto"/>
        <w:outlineLvl w:val="2"/>
        <w:rPr>
          <w:rFonts w:hint="eastAsia" w:ascii="仿宋" w:hAnsi="仿宋" w:eastAsia="仿宋" w:cs="仿宋"/>
          <w:sz w:val="24"/>
          <w:szCs w:val="24"/>
        </w:rPr>
      </w:pPr>
      <w:bookmarkStart w:id="127" w:name="_Toc166"/>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bookmarkEnd w:id="127"/>
    </w:p>
    <w:p>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pPr>
        <w:pStyle w:val="3"/>
        <w:bidi w:val="0"/>
        <w:jc w:val="left"/>
        <w:outlineLvl w:val="1"/>
        <w:rPr>
          <w:rFonts w:hint="eastAsia" w:ascii="仿宋" w:hAnsi="仿宋" w:eastAsia="仿宋" w:cs="仿宋"/>
          <w:b w:val="0"/>
          <w:snapToGrid w:val="0"/>
          <w:color w:val="000000"/>
          <w:spacing w:val="2"/>
          <w:kern w:val="0"/>
          <w:sz w:val="24"/>
          <w:szCs w:val="24"/>
          <w:lang w:val="en-US" w:eastAsia="en-US" w:bidi="ar-SA"/>
        </w:rPr>
      </w:pPr>
      <w:bookmarkStart w:id="128" w:name="_Toc7767"/>
      <w:r>
        <w:rPr>
          <w:rFonts w:hint="eastAsia" w:ascii="仿宋" w:hAnsi="仿宋" w:eastAsia="仿宋" w:cs="仿宋"/>
          <w:b w:val="0"/>
          <w:snapToGrid w:val="0"/>
          <w:color w:val="000000"/>
          <w:spacing w:val="2"/>
          <w:kern w:val="0"/>
          <w:sz w:val="24"/>
          <w:szCs w:val="24"/>
          <w:lang w:val="en-US" w:eastAsia="en-US" w:bidi="ar-SA"/>
        </w:rPr>
        <w:t>38.   质疑处理过程中，质疑人书面申请撤回质疑的，将终止质疑处理程序。</w:t>
      </w:r>
      <w:bookmarkEnd w:id="128"/>
    </w:p>
    <w:p>
      <w:pPr>
        <w:spacing w:before="179" w:line="360" w:lineRule="auto"/>
        <w:outlineLvl w:val="2"/>
        <w:rPr>
          <w:rFonts w:hint="eastAsia" w:ascii="仿宋" w:hAnsi="仿宋" w:eastAsia="仿宋" w:cs="仿宋"/>
          <w:sz w:val="24"/>
          <w:szCs w:val="24"/>
        </w:rPr>
      </w:pPr>
      <w:bookmarkStart w:id="129" w:name="_Toc22134"/>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bookmarkEnd w:id="129"/>
    </w:p>
    <w:p>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pPr>
        <w:spacing w:before="180" w:line="360" w:lineRule="auto"/>
        <w:outlineLvl w:val="2"/>
        <w:rPr>
          <w:rFonts w:hint="eastAsia" w:ascii="仿宋" w:hAnsi="仿宋" w:eastAsia="仿宋" w:cs="仿宋"/>
          <w:sz w:val="24"/>
          <w:szCs w:val="24"/>
        </w:rPr>
      </w:pPr>
      <w:bookmarkStart w:id="130" w:name="_Toc22387"/>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bookmarkEnd w:id="130"/>
    </w:p>
    <w:p>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pPr>
        <w:spacing w:before="180" w:line="360" w:lineRule="auto"/>
        <w:jc w:val="both"/>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pPr>
        <w:spacing w:before="177" w:line="360" w:lineRule="auto"/>
        <w:ind w:right="76"/>
        <w:outlineLvl w:val="2"/>
        <w:rPr>
          <w:rFonts w:hint="eastAsia" w:ascii="仿宋" w:hAnsi="仿宋" w:eastAsia="仿宋" w:cs="仿宋"/>
          <w:sz w:val="24"/>
          <w:szCs w:val="24"/>
        </w:rPr>
      </w:pPr>
      <w:bookmarkStart w:id="131" w:name="_Toc418"/>
      <w:r>
        <w:rPr>
          <w:rFonts w:hint="eastAsia" w:ascii="仿宋" w:hAnsi="仿宋" w:eastAsia="仿宋" w:cs="仿宋"/>
          <w:spacing w:val="-1"/>
          <w:position w:val="17"/>
          <w:sz w:val="24"/>
          <w:szCs w:val="24"/>
        </w:rPr>
        <w:t>38.4  采购方将书面答复质疑，质疑答复包括下列内容：</w:t>
      </w:r>
      <w:bookmarkEnd w:id="131"/>
    </w:p>
    <w:p>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pPr>
        <w:spacing w:before="176" w:line="360" w:lineRule="auto"/>
        <w:ind w:right="11"/>
        <w:jc w:val="right"/>
        <w:outlineLvl w:val="2"/>
        <w:rPr>
          <w:rFonts w:hint="eastAsia" w:ascii="仿宋" w:hAnsi="仿宋" w:eastAsia="仿宋" w:cs="仿宋"/>
          <w:sz w:val="24"/>
          <w:szCs w:val="24"/>
        </w:rPr>
      </w:pPr>
      <w:bookmarkStart w:id="132" w:name="_Toc16401"/>
      <w:r>
        <w:rPr>
          <w:rFonts w:hint="eastAsia" w:ascii="仿宋" w:hAnsi="仿宋" w:eastAsia="仿宋" w:cs="仿宋"/>
          <w:spacing w:val="-2"/>
          <w:position w:val="17"/>
          <w:sz w:val="24"/>
          <w:szCs w:val="24"/>
        </w:rPr>
        <w:t>38.5  质疑人有下列行为之一的，属于虚假、恶意质疑，将由采购方建议财政部</w:t>
      </w:r>
      <w:bookmarkEnd w:id="132"/>
    </w:p>
    <w:p>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pPr>
        <w:spacing w:before="1" w:line="360" w:lineRule="auto"/>
        <w:ind w:left="174" w:firstLine="472" w:firstLineChars="200"/>
        <w:rPr>
          <w:rFonts w:hint="eastAsia"/>
        </w:rPr>
      </w:pPr>
      <w:r>
        <w:rPr>
          <w:rFonts w:hint="eastAsia" w:ascii="仿宋" w:hAnsi="仿宋" w:eastAsia="仿宋" w:cs="仿宋"/>
          <w:spacing w:val="-2"/>
          <w:sz w:val="24"/>
          <w:szCs w:val="24"/>
        </w:rPr>
        <w:t>（四）法律法规规定的其他违法情形。</w:t>
      </w:r>
    </w:p>
    <w:p>
      <w:pPr>
        <w:pStyle w:val="6"/>
        <w:ind w:left="0" w:leftChars="0" w:firstLine="0" w:firstLineChars="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pPr>
        <w:spacing w:line="360" w:lineRule="auto"/>
        <w:rPr>
          <w:rFonts w:hint="eastAsia" w:ascii="仿宋" w:hAnsi="仿宋" w:eastAsia="仿宋" w:cs="仿宋"/>
          <w:sz w:val="21"/>
        </w:rPr>
      </w:pPr>
    </w:p>
    <w:p>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pPr>
        <w:spacing w:before="26" w:line="360" w:lineRule="auto"/>
        <w:outlineLvl w:val="1"/>
        <w:rPr>
          <w:rFonts w:hint="eastAsia" w:ascii="仿宋" w:hAnsi="仿宋" w:eastAsia="仿宋" w:cs="仿宋"/>
          <w:sz w:val="24"/>
          <w:szCs w:val="24"/>
        </w:rPr>
      </w:pPr>
      <w:bookmarkStart w:id="133" w:name="_Toc1651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133"/>
    </w:p>
    <w:p>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pPr>
        <w:spacing w:before="25" w:line="360" w:lineRule="auto"/>
        <w:ind w:left="165" w:right="777" w:hanging="5"/>
        <w:outlineLvl w:val="1"/>
        <w:rPr>
          <w:rFonts w:hint="eastAsia" w:ascii="仿宋" w:hAnsi="仿宋" w:eastAsia="仿宋" w:cs="仿宋"/>
          <w:spacing w:val="-1"/>
          <w:sz w:val="24"/>
          <w:szCs w:val="24"/>
        </w:rPr>
      </w:pPr>
      <w:bookmarkStart w:id="134" w:name="_Toc29691"/>
      <w:r>
        <w:rPr>
          <w:rFonts w:hint="eastAsia" w:ascii="仿宋" w:hAnsi="仿宋" w:eastAsia="仿宋" w:cs="仿宋"/>
          <w:spacing w:val="-1"/>
          <w:sz w:val="24"/>
          <w:szCs w:val="24"/>
        </w:rPr>
        <w:t>5.质疑函的质疑请求应与质疑事项相关。</w:t>
      </w:r>
      <w:bookmarkEnd w:id="134"/>
    </w:p>
    <w:p>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pPr>
        <w:spacing w:before="25" w:line="360" w:lineRule="auto"/>
        <w:ind w:left="165" w:right="777" w:hanging="5"/>
        <w:rPr>
          <w:rFonts w:hint="eastAsia"/>
        </w:rPr>
        <w:sectPr>
          <w:headerReference r:id="rId5" w:type="default"/>
          <w:footerReference r:id="rId6"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start="1"/>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pPr>
        <w:pStyle w:val="3"/>
        <w:bidi w:val="0"/>
        <w:outlineLvl w:val="2"/>
        <w:rPr>
          <w:rFonts w:hint="eastAsia" w:ascii="方正仿宋_GBK" w:hAnsi="方正仿宋_GBK" w:eastAsia="方正仿宋_GBK" w:cs="方正仿宋_GBK"/>
        </w:rPr>
      </w:pPr>
      <w:bookmarkStart w:id="135" w:name="bookmark44"/>
      <w:bookmarkEnd w:id="135"/>
      <w:bookmarkStart w:id="136" w:name="_Toc17254"/>
      <w:r>
        <w:rPr>
          <w:rFonts w:hint="eastAsia" w:ascii="方正仿宋_GBK" w:hAnsi="方正仿宋_GBK" w:eastAsia="方正仿宋_GBK" w:cs="方正仿宋_GBK"/>
        </w:rPr>
        <w:t>附件1：履约保证金保函（格式）</w:t>
      </w:r>
      <w:bookmarkEnd w:id="136"/>
    </w:p>
    <w:p>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pPr>
        <w:spacing w:before="109" w:line="360" w:lineRule="auto"/>
        <w:ind w:left="555"/>
        <w:outlineLvl w:val="1"/>
        <w:rPr>
          <w:rFonts w:hint="eastAsia" w:ascii="仿宋" w:hAnsi="仿宋" w:eastAsia="仿宋" w:cs="仿宋"/>
          <w:sz w:val="20"/>
          <w:szCs w:val="20"/>
        </w:rPr>
      </w:pPr>
      <w:bookmarkStart w:id="137" w:name="_Toc16109"/>
      <w:r>
        <w:rPr>
          <w:rFonts w:hint="eastAsia" w:ascii="仿宋" w:hAnsi="仿宋" w:eastAsia="仿宋" w:cs="仿宋"/>
          <w:spacing w:val="-1"/>
          <w:sz w:val="22"/>
          <w:szCs w:val="22"/>
        </w:rPr>
        <w:t>4.本保函在本合同规定的保证期期满前完全有效。</w:t>
      </w:r>
      <w:bookmarkEnd w:id="137"/>
    </w:p>
    <w:p>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pPr>
        <w:spacing w:before="107" w:line="360" w:lineRule="auto"/>
        <w:ind w:left="572"/>
        <w:outlineLvl w:val="1"/>
        <w:rPr>
          <w:rFonts w:hint="eastAsia" w:ascii="仿宋" w:hAnsi="仿宋" w:eastAsia="仿宋" w:cs="仿宋"/>
          <w:sz w:val="22"/>
          <w:szCs w:val="22"/>
        </w:rPr>
      </w:pPr>
      <w:bookmarkStart w:id="138" w:name="_Toc22708"/>
      <w:r>
        <w:rPr>
          <w:rFonts w:hint="eastAsia" w:ascii="仿宋" w:hAnsi="仿宋" w:eastAsia="仿宋" w:cs="仿宋"/>
          <w:spacing w:val="-8"/>
          <w:sz w:val="22"/>
          <w:szCs w:val="22"/>
        </w:rPr>
        <w:t>公章：</w:t>
      </w:r>
      <w:bookmarkEnd w:id="138"/>
      <w:r>
        <w:rPr>
          <w:rFonts w:hint="eastAsia" w:ascii="仿宋" w:hAnsi="仿宋" w:eastAsia="仿宋" w:cs="仿宋"/>
          <w:sz w:val="22"/>
          <w:szCs w:val="22"/>
          <w:u w:val="single" w:color="auto"/>
        </w:rPr>
        <w:t xml:space="preserve">                                         </w:t>
      </w:r>
    </w:p>
    <w:p>
      <w:pPr>
        <w:spacing w:line="360" w:lineRule="auto"/>
        <w:rPr>
          <w:rFonts w:hint="eastAsia" w:ascii="仿宋" w:hAnsi="仿宋" w:eastAsia="仿宋" w:cs="仿宋"/>
          <w:sz w:val="22"/>
          <w:szCs w:val="22"/>
        </w:rPr>
        <w:sectPr>
          <w:headerReference r:id="rId7" w:type="default"/>
          <w:footerReference r:id="rId8" w:type="default"/>
          <w:pgSz w:w="11906" w:h="16839"/>
          <w:pgMar w:top="1274" w:right="1720" w:bottom="1171" w:left="1785" w:header="852" w:footer="992" w:gutter="0"/>
          <w:pgBorders>
            <w:top w:val="single" w:color="auto" w:sz="4" w:space="1"/>
            <w:left w:val="none" w:sz="0" w:space="0"/>
            <w:bottom w:val="none" w:sz="0" w:space="0"/>
            <w:right w:val="none" w:sz="0" w:space="0"/>
          </w:pgBorders>
          <w:pgNumType w:fmt="decimal"/>
          <w:cols w:space="720" w:num="1"/>
        </w:sectPr>
      </w:pPr>
    </w:p>
    <w:p>
      <w:pPr>
        <w:pStyle w:val="3"/>
        <w:bidi w:val="0"/>
        <w:outlineLvl w:val="2"/>
        <w:rPr>
          <w:rFonts w:hint="eastAsia" w:ascii="方正仿宋_GBK" w:hAnsi="方正仿宋_GBK" w:eastAsia="方正仿宋_GBK" w:cs="方正仿宋_GBK"/>
        </w:rPr>
      </w:pPr>
      <w:bookmarkStart w:id="139" w:name="bookmark46"/>
      <w:bookmarkEnd w:id="139"/>
      <w:bookmarkStart w:id="140" w:name="bookmark45"/>
      <w:bookmarkEnd w:id="140"/>
      <w:bookmarkStart w:id="141" w:name="_Toc18747"/>
      <w:r>
        <w:rPr>
          <w:rFonts w:hint="eastAsia" w:ascii="方正仿宋_GBK" w:hAnsi="方正仿宋_GBK" w:eastAsia="方正仿宋_GBK" w:cs="方正仿宋_GBK"/>
        </w:rPr>
        <w:t>附件2：履约担保函格式</w:t>
      </w:r>
      <w:bookmarkEnd w:id="141"/>
    </w:p>
    <w:p>
      <w:pPr>
        <w:spacing w:before="29" w:line="360" w:lineRule="auto"/>
        <w:ind w:left="1901"/>
        <w:outlineLvl w:val="1"/>
        <w:rPr>
          <w:rFonts w:hint="eastAsia" w:ascii="仿宋" w:hAnsi="仿宋" w:eastAsia="仿宋" w:cs="仿宋"/>
          <w:sz w:val="30"/>
          <w:szCs w:val="30"/>
        </w:rPr>
      </w:pPr>
      <w:bookmarkStart w:id="142" w:name="_Toc21824"/>
      <w:r>
        <w:rPr>
          <w:rFonts w:hint="eastAsia" w:ascii="仿宋" w:hAnsi="仿宋" w:eastAsia="仿宋" w:cs="仿宋"/>
          <w:b/>
          <w:bCs/>
          <w:spacing w:val="-4"/>
          <w:sz w:val="30"/>
          <w:szCs w:val="30"/>
        </w:rPr>
        <w:t>（采用政府采购信用担保形式时使用）</w:t>
      </w:r>
      <w:bookmarkEnd w:id="142"/>
    </w:p>
    <w:p>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pPr>
        <w:spacing w:before="24" w:line="360" w:lineRule="auto"/>
        <w:ind w:left="511" w:firstLine="216" w:firstLineChars="100"/>
        <w:outlineLvl w:val="2"/>
        <w:rPr>
          <w:rFonts w:hint="eastAsia" w:ascii="仿宋" w:hAnsi="仿宋" w:eastAsia="仿宋" w:cs="仿宋"/>
          <w:sz w:val="22"/>
          <w:szCs w:val="22"/>
        </w:rPr>
      </w:pPr>
      <w:bookmarkStart w:id="143" w:name="_Toc4814"/>
      <w:r>
        <w:rPr>
          <w:rFonts w:hint="eastAsia" w:ascii="仿宋" w:hAnsi="仿宋" w:eastAsia="仿宋" w:cs="仿宋"/>
          <w:spacing w:val="-2"/>
          <w:sz w:val="22"/>
          <w:szCs w:val="22"/>
        </w:rPr>
        <w:t>一、保证责任的情形及保证金额</w:t>
      </w:r>
      <w:bookmarkEnd w:id="143"/>
    </w:p>
    <w:p>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pPr>
        <w:spacing w:before="22" w:line="360" w:lineRule="auto"/>
        <w:ind w:left="496"/>
        <w:outlineLvl w:val="1"/>
        <w:rPr>
          <w:rFonts w:hint="eastAsia" w:ascii="仿宋" w:hAnsi="仿宋" w:eastAsia="仿宋" w:cs="仿宋"/>
          <w:sz w:val="22"/>
          <w:szCs w:val="22"/>
        </w:rPr>
      </w:pPr>
      <w:bookmarkStart w:id="144" w:name="_Toc1536"/>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144"/>
    </w:p>
    <w:p>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pPr>
        <w:spacing w:before="25" w:line="360" w:lineRule="auto"/>
        <w:ind w:left="515"/>
        <w:outlineLvl w:val="2"/>
        <w:rPr>
          <w:rFonts w:hint="eastAsia" w:ascii="仿宋" w:hAnsi="仿宋" w:eastAsia="仿宋" w:cs="仿宋"/>
          <w:sz w:val="22"/>
          <w:szCs w:val="22"/>
        </w:rPr>
      </w:pPr>
      <w:bookmarkStart w:id="145" w:name="_Toc30408"/>
      <w:r>
        <w:rPr>
          <w:rFonts w:hint="eastAsia" w:ascii="仿宋" w:hAnsi="仿宋" w:eastAsia="仿宋" w:cs="仿宋"/>
          <w:spacing w:val="-2"/>
          <w:sz w:val="22"/>
          <w:szCs w:val="22"/>
        </w:rPr>
        <w:t>二、保证的方式及保证期间</w:t>
      </w:r>
      <w:bookmarkEnd w:id="145"/>
    </w:p>
    <w:p>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pPr>
        <w:spacing w:before="27" w:line="360" w:lineRule="auto"/>
        <w:ind w:left="514"/>
        <w:outlineLvl w:val="2"/>
        <w:rPr>
          <w:rFonts w:hint="eastAsia" w:ascii="仿宋" w:hAnsi="仿宋" w:eastAsia="仿宋" w:cs="仿宋"/>
          <w:sz w:val="22"/>
          <w:szCs w:val="22"/>
        </w:rPr>
      </w:pPr>
      <w:bookmarkStart w:id="146" w:name="_Toc7041"/>
      <w:r>
        <w:rPr>
          <w:rFonts w:hint="eastAsia" w:ascii="仿宋" w:hAnsi="仿宋" w:eastAsia="仿宋" w:cs="仿宋"/>
          <w:spacing w:val="-3"/>
          <w:sz w:val="22"/>
          <w:szCs w:val="22"/>
        </w:rPr>
        <w:t>三、承担保证责任的程序</w:t>
      </w:r>
      <w:bookmarkEnd w:id="146"/>
    </w:p>
    <w:p>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pPr>
        <w:spacing w:before="25" w:line="360" w:lineRule="auto"/>
        <w:ind w:left="535"/>
        <w:outlineLvl w:val="2"/>
        <w:rPr>
          <w:rFonts w:hint="eastAsia" w:ascii="仿宋" w:hAnsi="仿宋" w:eastAsia="仿宋" w:cs="仿宋"/>
          <w:sz w:val="22"/>
          <w:szCs w:val="22"/>
        </w:rPr>
      </w:pPr>
      <w:bookmarkStart w:id="147" w:name="_Toc1429"/>
      <w:r>
        <w:rPr>
          <w:rFonts w:hint="eastAsia" w:ascii="仿宋" w:hAnsi="仿宋" w:eastAsia="仿宋" w:cs="仿宋"/>
          <w:spacing w:val="-5"/>
          <w:sz w:val="22"/>
          <w:szCs w:val="22"/>
        </w:rPr>
        <w:t>四、保证责任的终止</w:t>
      </w:r>
      <w:bookmarkEnd w:id="147"/>
    </w:p>
    <w:p>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pPr>
        <w:spacing w:before="19" w:line="360" w:lineRule="auto"/>
        <w:ind w:left="511"/>
        <w:outlineLvl w:val="2"/>
        <w:rPr>
          <w:rFonts w:hint="eastAsia" w:ascii="仿宋" w:hAnsi="仿宋" w:eastAsia="仿宋" w:cs="仿宋"/>
          <w:sz w:val="22"/>
          <w:szCs w:val="22"/>
        </w:rPr>
      </w:pPr>
      <w:bookmarkStart w:id="148" w:name="_Toc17999"/>
      <w:r>
        <w:rPr>
          <w:rFonts w:hint="eastAsia" w:ascii="仿宋" w:hAnsi="仿宋" w:eastAsia="仿宋" w:cs="仿宋"/>
          <w:spacing w:val="-4"/>
          <w:sz w:val="22"/>
          <w:szCs w:val="22"/>
        </w:rPr>
        <w:t>五、免责条款</w:t>
      </w:r>
      <w:bookmarkEnd w:id="148"/>
    </w:p>
    <w:p>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pPr>
        <w:spacing w:before="23" w:line="360" w:lineRule="auto"/>
        <w:ind w:left="509"/>
        <w:outlineLvl w:val="2"/>
        <w:rPr>
          <w:rFonts w:hint="eastAsia" w:ascii="仿宋" w:hAnsi="仿宋" w:eastAsia="仿宋" w:cs="仿宋"/>
          <w:sz w:val="22"/>
          <w:szCs w:val="22"/>
        </w:rPr>
      </w:pPr>
      <w:bookmarkStart w:id="149" w:name="_Toc12337"/>
      <w:r>
        <w:rPr>
          <w:rFonts w:hint="eastAsia" w:ascii="仿宋" w:hAnsi="仿宋" w:eastAsia="仿宋" w:cs="仿宋"/>
          <w:spacing w:val="-3"/>
          <w:sz w:val="22"/>
          <w:szCs w:val="22"/>
        </w:rPr>
        <w:t>六、争议的解决</w:t>
      </w:r>
      <w:bookmarkEnd w:id="149"/>
    </w:p>
    <w:p>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pPr>
        <w:spacing w:before="25" w:line="360" w:lineRule="auto"/>
        <w:ind w:left="512"/>
        <w:outlineLvl w:val="2"/>
        <w:rPr>
          <w:rFonts w:hint="eastAsia" w:ascii="仿宋" w:hAnsi="仿宋" w:eastAsia="仿宋" w:cs="仿宋"/>
          <w:sz w:val="22"/>
          <w:szCs w:val="22"/>
        </w:rPr>
      </w:pPr>
      <w:bookmarkStart w:id="150" w:name="_Toc13196"/>
      <w:r>
        <w:rPr>
          <w:rFonts w:hint="eastAsia" w:ascii="仿宋" w:hAnsi="仿宋" w:eastAsia="仿宋" w:cs="仿宋"/>
          <w:spacing w:val="-3"/>
          <w:sz w:val="22"/>
          <w:szCs w:val="22"/>
        </w:rPr>
        <w:t>七、保函的生效</w:t>
      </w:r>
      <w:bookmarkEnd w:id="150"/>
    </w:p>
    <w:p>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pPr>
        <w:spacing w:before="23" w:line="360" w:lineRule="auto"/>
        <w:ind w:left="6032"/>
        <w:rPr>
          <w:rFonts w:hint="eastAsia" w:ascii="仿宋" w:hAnsi="仿宋" w:eastAsia="仿宋" w:cs="仿宋"/>
          <w:sz w:val="24"/>
          <w:szCs w:val="24"/>
        </w:rPr>
        <w:sectPr>
          <w:headerReference r:id="rId9" w:type="default"/>
          <w:footerReference r:id="rId10"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 xml:space="preserve">月      </w:t>
      </w:r>
    </w:p>
    <w:p>
      <w:pPr>
        <w:spacing w:before="101" w:line="228" w:lineRule="auto"/>
        <w:ind w:firstLine="2801" w:firstLineChars="900"/>
        <w:outlineLvl w:val="0"/>
        <w:rPr>
          <w:rFonts w:hint="eastAsia" w:ascii="仿宋" w:hAnsi="仿宋" w:eastAsia="仿宋" w:cs="仿宋"/>
          <w:sz w:val="31"/>
          <w:szCs w:val="31"/>
        </w:rPr>
      </w:pPr>
      <w:bookmarkStart w:id="151" w:name="bookmark48"/>
      <w:bookmarkEnd w:id="151"/>
      <w:bookmarkStart w:id="152" w:name="bookmark47"/>
      <w:bookmarkEnd w:id="152"/>
      <w:bookmarkStart w:id="153" w:name="_Toc22248"/>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153"/>
    </w:p>
    <w:p>
      <w:pPr>
        <w:spacing w:before="228" w:line="360" w:lineRule="auto"/>
        <w:ind w:left="2205"/>
        <w:outlineLvl w:val="1"/>
        <w:rPr>
          <w:rFonts w:hint="eastAsia" w:ascii="仿宋" w:hAnsi="仿宋" w:eastAsia="仿宋" w:cs="仿宋"/>
          <w:b/>
          <w:bCs/>
          <w:spacing w:val="-4"/>
          <w:sz w:val="24"/>
          <w:szCs w:val="24"/>
        </w:rPr>
      </w:pPr>
      <w:bookmarkStart w:id="154" w:name="_Toc21312"/>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154"/>
    </w:p>
    <w:p>
      <w:pPr>
        <w:adjustRightInd w:val="0"/>
        <w:spacing w:line="360" w:lineRule="auto"/>
        <w:ind w:firstLine="482" w:firstLineChars="200"/>
        <w:rPr>
          <w:rFonts w:hint="default"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1、开标一览表</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3、授权人参与投标提供法定代表人授权书及被授权人身份证；法人本人参与投标提供法人身份证及法人资格证明；</w:t>
      </w:r>
    </w:p>
    <w:p>
      <w:pPr>
        <w:adjustRightInd w:val="0"/>
        <w:spacing w:line="360" w:lineRule="auto"/>
        <w:ind w:firstLine="482" w:firstLineChars="200"/>
        <w:rPr>
          <w:rFonts w:hint="eastAsia" w:ascii="仿宋" w:hAnsi="仿宋" w:eastAsia="仿宋" w:cs="仿宋_GB2312"/>
          <w:b/>
          <w:bCs/>
          <w:color w:val="auto"/>
          <w:kern w:val="0"/>
          <w:sz w:val="24"/>
          <w:szCs w:val="24"/>
          <w:highlight w:val="none"/>
          <w:lang w:val="en-US" w:eastAsia="zh-CN" w:bidi="ar"/>
        </w:rPr>
      </w:pPr>
      <w:r>
        <w:rPr>
          <w:rFonts w:hint="eastAsia" w:ascii="仿宋" w:hAnsi="仿宋" w:eastAsia="仿宋" w:cs="仿宋_GB2312"/>
          <w:b/>
          <w:bCs/>
          <w:color w:val="auto"/>
          <w:kern w:val="0"/>
          <w:sz w:val="24"/>
          <w:szCs w:val="24"/>
          <w:lang w:val="en-US" w:eastAsia="zh-CN" w:bidi="ar"/>
        </w:rPr>
        <w:t>4、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b/>
          <w:bCs/>
          <w:color w:val="auto"/>
          <w:kern w:val="0"/>
          <w:sz w:val="24"/>
          <w:szCs w:val="24"/>
          <w:highlight w:val="none"/>
          <w:lang w:val="en-US" w:eastAsia="zh-CN" w:bidi="ar"/>
        </w:rPr>
        <w:t>（新成立公司不足3个月的提供成立至今缴纳证明）</w:t>
      </w:r>
      <w:r>
        <w:rPr>
          <w:rFonts w:hint="eastAsia" w:ascii="仿宋" w:hAnsi="仿宋" w:eastAsia="仿宋" w:cs="仿宋_GB2312"/>
          <w:b/>
          <w:bCs/>
          <w:color w:val="auto"/>
          <w:kern w:val="0"/>
          <w:sz w:val="24"/>
          <w:szCs w:val="24"/>
          <w:highlight w:val="none"/>
          <w:lang w:val="en-US" w:eastAsia="zh-CN" w:bidi="ar"/>
        </w:rPr>
        <w:t>；</w:t>
      </w:r>
    </w:p>
    <w:p>
      <w:pPr>
        <w:adjustRightInd w:val="0"/>
        <w:spacing w:line="360" w:lineRule="auto"/>
        <w:ind w:firstLine="482" w:firstLineChars="200"/>
        <w:rPr>
          <w:rFonts w:hint="eastAsia" w:ascii="仿宋" w:hAnsi="仿宋" w:eastAsia="仿宋" w:cs="仿宋_GB2312"/>
          <w:b/>
          <w:bCs/>
          <w:color w:val="000000"/>
          <w:kern w:val="0"/>
          <w:sz w:val="24"/>
          <w:szCs w:val="24"/>
          <w:highlight w:val="none"/>
          <w:lang w:val="en-US" w:eastAsia="zh-CN" w:bidi="ar"/>
        </w:rPr>
      </w:pPr>
      <w:r>
        <w:rPr>
          <w:rFonts w:hint="eastAsia" w:ascii="仿宋" w:hAnsi="仿宋" w:eastAsia="仿宋" w:cs="仿宋_GB2312"/>
          <w:b/>
          <w:bCs/>
          <w:color w:val="auto"/>
          <w:kern w:val="0"/>
          <w:sz w:val="24"/>
          <w:szCs w:val="24"/>
          <w:lang w:val="en-US" w:eastAsia="zh-CN" w:bidi="ar"/>
        </w:rPr>
        <w:t>5、2024年的财务审计报告</w:t>
      </w:r>
      <w:r>
        <w:rPr>
          <w:rFonts w:hint="eastAsia" w:ascii="仿宋" w:hAnsi="仿宋" w:eastAsia="仿宋" w:cs="仿宋_GB2312"/>
          <w:b/>
          <w:bCs/>
          <w:color w:val="000000"/>
          <w:kern w:val="0"/>
          <w:sz w:val="24"/>
          <w:szCs w:val="24"/>
          <w:highlight w:val="none"/>
          <w:lang w:val="en-US" w:eastAsia="zh-CN" w:bidi="ar"/>
        </w:rPr>
        <w:t>（新成立的公司提供自成立以来最新的银行资信证明）；</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8、参加政府采购活动前3年内在经营活动中没有重大违法记录的书面声明；</w:t>
      </w:r>
    </w:p>
    <w:p>
      <w:pPr>
        <w:adjustRightInd w:val="0"/>
        <w:spacing w:line="360" w:lineRule="auto"/>
        <w:ind w:firstLine="482" w:firstLineChars="200"/>
        <w:outlineLvl w:val="2"/>
        <w:rPr>
          <w:rFonts w:hint="eastAsia" w:ascii="仿宋" w:hAnsi="仿宋" w:eastAsia="仿宋" w:cs="仿宋_GB2312"/>
          <w:b/>
          <w:bCs/>
          <w:color w:val="auto"/>
          <w:kern w:val="0"/>
          <w:sz w:val="24"/>
          <w:szCs w:val="24"/>
          <w:lang w:val="en-US" w:eastAsia="zh-CN" w:bidi="ar"/>
        </w:rPr>
      </w:pPr>
      <w:bookmarkStart w:id="155" w:name="_Toc7905"/>
      <w:r>
        <w:rPr>
          <w:rFonts w:hint="eastAsia" w:ascii="仿宋" w:hAnsi="仿宋" w:eastAsia="仿宋" w:cs="仿宋_GB2312"/>
          <w:b/>
          <w:bCs/>
          <w:color w:val="auto"/>
          <w:kern w:val="0"/>
          <w:sz w:val="24"/>
          <w:szCs w:val="24"/>
          <w:lang w:val="en-US" w:eastAsia="zh-CN" w:bidi="ar"/>
        </w:rPr>
        <w:t>9、提供针对本次项目《反商业贿赂承诺书》；</w:t>
      </w:r>
      <w:bookmarkEnd w:id="155"/>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10、</w:t>
      </w:r>
      <w:r>
        <w:rPr>
          <w:rFonts w:hint="default" w:ascii="仿宋" w:hAnsi="仿宋" w:eastAsia="仿宋" w:cs="仿宋_GB2312"/>
          <w:b/>
          <w:bCs/>
          <w:color w:val="auto"/>
          <w:kern w:val="0"/>
          <w:sz w:val="24"/>
          <w:szCs w:val="24"/>
          <w:lang w:val="en-US" w:eastAsia="zh-CN" w:bidi="ar"/>
        </w:rPr>
        <w:t>投标单位为生产商的需提供有效期的《食品生产许可证》</w:t>
      </w:r>
      <w:r>
        <w:rPr>
          <w:rFonts w:hint="eastAsia" w:ascii="仿宋" w:hAnsi="仿宋" w:eastAsia="仿宋" w:cs="仿宋_GB2312"/>
          <w:b/>
          <w:bCs/>
          <w:color w:val="auto"/>
          <w:kern w:val="0"/>
          <w:sz w:val="24"/>
          <w:szCs w:val="24"/>
          <w:lang w:val="en-US" w:eastAsia="zh-CN" w:bidi="ar"/>
        </w:rPr>
        <w:t>。</w:t>
      </w:r>
      <w:r>
        <w:rPr>
          <w:rFonts w:hint="default" w:ascii="仿宋" w:hAnsi="仿宋" w:eastAsia="仿宋" w:cs="仿宋_GB2312"/>
          <w:b/>
          <w:bCs/>
          <w:color w:val="auto"/>
          <w:kern w:val="0"/>
          <w:sz w:val="24"/>
          <w:szCs w:val="24"/>
          <w:lang w:val="en-US" w:eastAsia="zh-CN" w:bidi="ar"/>
        </w:rPr>
        <w:t>投标单位为经销商的需提供有效期《食品经营许可证》或《仅销售预包装食品经营者信息采集备案表》</w:t>
      </w:r>
      <w:r>
        <w:rPr>
          <w:rFonts w:hint="eastAsia" w:ascii="仿宋" w:hAnsi="仿宋" w:eastAsia="仿宋" w:cs="仿宋_GB2312"/>
          <w:b/>
          <w:bCs/>
          <w:color w:val="auto"/>
          <w:kern w:val="0"/>
          <w:sz w:val="24"/>
          <w:szCs w:val="24"/>
          <w:lang w:val="en-US" w:eastAsia="zh-CN" w:bidi="ar"/>
        </w:rPr>
        <w:t>；第六标段：</w:t>
      </w:r>
      <w:r>
        <w:rPr>
          <w:rFonts w:hint="default" w:ascii="仿宋" w:hAnsi="仿宋" w:eastAsia="仿宋" w:cs="仿宋_GB2312"/>
          <w:b/>
          <w:bCs/>
          <w:color w:val="auto"/>
          <w:kern w:val="0"/>
          <w:sz w:val="24"/>
          <w:szCs w:val="24"/>
          <w:lang w:val="en-US" w:eastAsia="zh-CN" w:bidi="ar"/>
        </w:rPr>
        <w:t>若投标供应商为生产商，须提供有效</w:t>
      </w:r>
      <w:r>
        <w:rPr>
          <w:rFonts w:hint="eastAsia" w:ascii="仿宋" w:hAnsi="仿宋" w:eastAsia="仿宋" w:cs="仿宋_GB2312"/>
          <w:b/>
          <w:bCs/>
          <w:color w:val="auto"/>
          <w:kern w:val="0"/>
          <w:sz w:val="24"/>
          <w:szCs w:val="24"/>
          <w:lang w:val="en-US" w:eastAsia="zh-CN" w:bidi="ar"/>
        </w:rPr>
        <w:t>期内</w:t>
      </w:r>
      <w:r>
        <w:rPr>
          <w:rFonts w:hint="default" w:ascii="仿宋" w:hAnsi="仿宋" w:eastAsia="仿宋" w:cs="仿宋_GB2312"/>
          <w:b/>
          <w:bCs/>
          <w:color w:val="auto"/>
          <w:kern w:val="0"/>
          <w:sz w:val="24"/>
          <w:szCs w:val="24"/>
          <w:lang w:val="en-US" w:eastAsia="zh-CN" w:bidi="ar"/>
        </w:rPr>
        <w:t>的《食品生产许可证》</w:t>
      </w:r>
      <w:r>
        <w:rPr>
          <w:rFonts w:hint="eastAsia" w:ascii="仿宋" w:hAnsi="仿宋" w:eastAsia="仿宋" w:cs="仿宋_GB2312"/>
          <w:b/>
          <w:bCs/>
          <w:color w:val="auto"/>
          <w:kern w:val="0"/>
          <w:sz w:val="24"/>
          <w:szCs w:val="24"/>
          <w:lang w:val="en-US" w:eastAsia="zh-CN" w:bidi="ar"/>
        </w:rPr>
        <w:t>、有效期内的</w:t>
      </w:r>
      <w:r>
        <w:rPr>
          <w:rFonts w:hint="default" w:ascii="仿宋" w:hAnsi="仿宋" w:eastAsia="仿宋" w:cs="仿宋_GB2312"/>
          <w:b/>
          <w:bCs/>
          <w:color w:val="auto"/>
          <w:kern w:val="0"/>
          <w:sz w:val="24"/>
          <w:szCs w:val="24"/>
          <w:lang w:val="en-US" w:eastAsia="zh-CN" w:bidi="ar"/>
        </w:rPr>
        <w:t>《动物防疫条件合格证》</w:t>
      </w:r>
      <w:r>
        <w:rPr>
          <w:rFonts w:hint="eastAsia" w:ascii="仿宋" w:hAnsi="仿宋" w:eastAsia="仿宋" w:cs="仿宋_GB2312"/>
          <w:b/>
          <w:bCs/>
          <w:color w:val="auto"/>
          <w:kern w:val="0"/>
          <w:sz w:val="24"/>
          <w:szCs w:val="24"/>
          <w:lang w:val="en-US" w:eastAsia="zh-CN" w:bidi="ar"/>
        </w:rPr>
        <w:t>及其在有效期内的官方证明材料，</w:t>
      </w:r>
      <w:r>
        <w:rPr>
          <w:rFonts w:hint="default" w:ascii="仿宋" w:hAnsi="仿宋" w:eastAsia="仿宋" w:cs="仿宋_GB2312"/>
          <w:b/>
          <w:bCs/>
          <w:color w:val="auto"/>
          <w:kern w:val="0"/>
          <w:sz w:val="24"/>
          <w:szCs w:val="24"/>
          <w:lang w:val="en-US" w:eastAsia="zh-CN" w:bidi="ar"/>
        </w:rPr>
        <w:t>若投标供应商为经销商或代理商</w:t>
      </w:r>
      <w:r>
        <w:rPr>
          <w:rFonts w:hint="eastAsia" w:ascii="仿宋" w:hAnsi="仿宋" w:eastAsia="仿宋" w:cs="仿宋_GB2312"/>
          <w:b/>
          <w:bCs/>
          <w:color w:val="auto"/>
          <w:kern w:val="0"/>
          <w:sz w:val="24"/>
          <w:szCs w:val="24"/>
          <w:lang w:val="en-US" w:eastAsia="zh-CN" w:bidi="ar"/>
        </w:rPr>
        <w:t>，</w:t>
      </w:r>
      <w:r>
        <w:rPr>
          <w:rFonts w:hint="default" w:ascii="仿宋" w:hAnsi="仿宋" w:eastAsia="仿宋" w:cs="仿宋_GB2312"/>
          <w:b/>
          <w:bCs/>
          <w:color w:val="auto"/>
          <w:kern w:val="0"/>
          <w:sz w:val="24"/>
          <w:szCs w:val="24"/>
          <w:lang w:val="en-US" w:eastAsia="zh-CN" w:bidi="ar"/>
        </w:rPr>
        <w:t>须提供</w:t>
      </w:r>
      <w:r>
        <w:rPr>
          <w:rFonts w:hint="eastAsia" w:ascii="仿宋" w:hAnsi="仿宋" w:eastAsia="仿宋" w:cs="仿宋_GB2312"/>
          <w:b/>
          <w:bCs/>
          <w:color w:val="auto"/>
          <w:kern w:val="0"/>
          <w:sz w:val="24"/>
          <w:szCs w:val="24"/>
          <w:lang w:val="en-US" w:eastAsia="zh-CN" w:bidi="ar"/>
        </w:rPr>
        <w:t>自身在有效期内的</w:t>
      </w:r>
      <w:r>
        <w:rPr>
          <w:rFonts w:hint="default" w:ascii="仿宋" w:hAnsi="仿宋" w:eastAsia="仿宋" w:cs="仿宋_GB2312"/>
          <w:b/>
          <w:bCs/>
          <w:color w:val="auto"/>
          <w:kern w:val="0"/>
          <w:sz w:val="24"/>
          <w:szCs w:val="24"/>
          <w:lang w:val="en-US" w:eastAsia="zh-CN" w:bidi="ar"/>
        </w:rPr>
        <w:t>《食品经营许可证》或《仅销售预包装食品经营者信息采集备案表</w:t>
      </w:r>
      <w:r>
        <w:rPr>
          <w:rFonts w:hint="eastAsia" w:ascii="仿宋" w:hAnsi="仿宋" w:eastAsia="仿宋" w:cs="仿宋_GB2312"/>
          <w:b/>
          <w:bCs/>
          <w:color w:val="auto"/>
          <w:kern w:val="0"/>
          <w:sz w:val="24"/>
          <w:szCs w:val="24"/>
          <w:lang w:val="en-US" w:eastAsia="zh-CN" w:bidi="ar"/>
        </w:rPr>
        <w:t>》；并提供自身或上游供货商有效期内的《动物防疫条件合格证》及其在有效期内的官方证明材料，若使用上游供货商的《动物防疫条件合格证》，还需提供与上游供货商的合作协议等证明材料；</w:t>
      </w:r>
    </w:p>
    <w:p>
      <w:pPr>
        <w:adjustRightInd w:val="0"/>
        <w:spacing w:line="360" w:lineRule="auto"/>
        <w:ind w:firstLine="482" w:firstLineChars="200"/>
        <w:rPr>
          <w:rFonts w:hint="default"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11、</w:t>
      </w:r>
      <w:r>
        <w:rPr>
          <w:rFonts w:hint="default" w:ascii="仿宋" w:hAnsi="仿宋" w:eastAsia="仿宋" w:cs="仿宋_GB2312"/>
          <w:b/>
          <w:bCs/>
          <w:color w:val="auto"/>
          <w:kern w:val="0"/>
          <w:sz w:val="24"/>
          <w:szCs w:val="24"/>
          <w:lang w:val="en-US" w:eastAsia="zh-CN" w:bidi="ar"/>
        </w:rPr>
        <w:t>必须具有履行合同所必需的设备和专业技术能力；</w:t>
      </w:r>
    </w:p>
    <w:p>
      <w:pPr>
        <w:adjustRightInd w:val="0"/>
        <w:spacing w:line="360" w:lineRule="auto"/>
        <w:ind w:firstLine="482" w:firstLineChars="200"/>
        <w:rPr>
          <w:rFonts w:hint="eastAsia" w:ascii="仿宋" w:hAnsi="仿宋" w:eastAsia="仿宋" w:cs="仿宋"/>
          <w:b/>
          <w:bCs/>
          <w:color w:val="auto"/>
          <w:spacing w:val="-3"/>
          <w:sz w:val="24"/>
          <w:szCs w:val="24"/>
          <w:lang w:val="en-US" w:eastAsia="zh-CN"/>
        </w:rPr>
      </w:pPr>
      <w:r>
        <w:rPr>
          <w:rFonts w:hint="eastAsia" w:ascii="仿宋" w:hAnsi="仿宋" w:eastAsia="仿宋" w:cs="仿宋_GB2312"/>
          <w:b/>
          <w:bCs/>
          <w:color w:val="auto"/>
          <w:kern w:val="0"/>
          <w:sz w:val="24"/>
          <w:szCs w:val="24"/>
          <w:lang w:val="en-US" w:eastAsia="zh-CN" w:bidi="ar"/>
        </w:rPr>
        <w:t>12、本项目不接受联合体投标</w:t>
      </w:r>
      <w:r>
        <w:rPr>
          <w:rFonts w:hint="eastAsia" w:ascii="仿宋" w:hAnsi="仿宋" w:eastAsia="仿宋" w:cs="仿宋"/>
          <w:b/>
          <w:bCs/>
          <w:color w:val="auto"/>
          <w:spacing w:val="-3"/>
          <w:sz w:val="24"/>
          <w:szCs w:val="24"/>
          <w:lang w:val="en-US" w:eastAsia="zh-CN"/>
        </w:rPr>
        <w:t>；</w:t>
      </w: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default" w:ascii="仿宋" w:hAnsi="仿宋" w:eastAsia="仿宋" w:cs="仿宋"/>
          <w:b/>
          <w:bCs/>
          <w:color w:val="FF0000"/>
          <w:spacing w:val="-3"/>
          <w:sz w:val="24"/>
          <w:szCs w:val="24"/>
          <w:lang w:val="en-US" w:eastAsia="zh-CN"/>
        </w:rPr>
      </w:pPr>
    </w:p>
    <w:p>
      <w:pPr>
        <w:numPr>
          <w:ilvl w:val="0"/>
          <w:numId w:val="4"/>
        </w:numPr>
        <w:spacing w:before="200" w:line="222" w:lineRule="auto"/>
        <w:ind w:left="1052" w:firstLine="1398" w:firstLineChars="600"/>
        <w:jc w:val="both"/>
        <w:rPr>
          <w:rFonts w:hint="eastAsia" w:ascii="仿宋" w:hAnsi="仿宋" w:eastAsia="仿宋" w:cs="仿宋"/>
          <w:b/>
          <w:bCs/>
          <w:spacing w:val="-4"/>
          <w:sz w:val="24"/>
          <w:szCs w:val="24"/>
        </w:rPr>
      </w:pPr>
      <w:r>
        <w:rPr>
          <w:rFonts w:hint="eastAsia" w:ascii="仿宋" w:hAnsi="仿宋" w:eastAsia="仿宋" w:cs="仿宋"/>
          <w:b/>
          <w:bCs/>
          <w:spacing w:val="-4"/>
          <w:sz w:val="24"/>
          <w:szCs w:val="24"/>
        </w:rPr>
        <w:t>开标一览表（投标文件格式一）</w:t>
      </w:r>
    </w:p>
    <w:p>
      <w:pPr>
        <w:numPr>
          <w:ilvl w:val="0"/>
          <w:numId w:val="0"/>
        </w:numPr>
        <w:spacing w:before="200" w:line="222" w:lineRule="auto"/>
        <w:ind w:leftChars="600" w:firstLine="1490" w:firstLineChars="700"/>
        <w:jc w:val="both"/>
        <w:rPr>
          <w:rFonts w:hint="eastAsia" w:ascii="仿宋" w:hAnsi="仿宋" w:eastAsia="仿宋" w:cs="仿宋"/>
          <w:sz w:val="22"/>
          <w:szCs w:val="22"/>
          <w:lang w:eastAsia="zh-CN"/>
        </w:rPr>
      </w:pPr>
      <w:r>
        <w:rPr>
          <w:rFonts w:hint="eastAsia" w:ascii="仿宋" w:hAnsi="仿宋" w:eastAsia="仿宋" w:cs="仿宋"/>
          <w:b/>
          <w:bCs/>
          <w:spacing w:val="-4"/>
          <w:sz w:val="22"/>
          <w:szCs w:val="22"/>
          <w:lang w:eastAsia="zh-CN"/>
        </w:rPr>
        <w:t>（</w:t>
      </w:r>
      <w:r>
        <w:rPr>
          <w:rFonts w:hint="eastAsia" w:ascii="仿宋" w:hAnsi="仿宋" w:eastAsia="仿宋" w:cs="仿宋"/>
          <w:b/>
          <w:bCs/>
          <w:color w:val="FF0000"/>
          <w:spacing w:val="2"/>
          <w:sz w:val="28"/>
          <w:szCs w:val="28"/>
          <w:lang w:val="en-US" w:eastAsia="zh-CN"/>
        </w:rPr>
        <w:t>蔬菜、时令水果、鲜鸡蛋</w:t>
      </w:r>
      <w:r>
        <w:rPr>
          <w:rFonts w:hint="eastAsia" w:ascii="仿宋" w:hAnsi="仿宋" w:eastAsia="仿宋" w:cs="仿宋"/>
          <w:b/>
          <w:bCs/>
          <w:spacing w:val="-4"/>
          <w:sz w:val="22"/>
          <w:szCs w:val="22"/>
          <w:lang w:eastAsia="zh-CN"/>
        </w:rPr>
        <w:t>）</w:t>
      </w:r>
    </w:p>
    <w:p>
      <w:pPr>
        <w:spacing w:line="307" w:lineRule="auto"/>
        <w:rPr>
          <w:rFonts w:hint="eastAsia" w:ascii="仿宋" w:hAnsi="仿宋" w:eastAsia="仿宋" w:cs="仿宋"/>
          <w:sz w:val="21"/>
        </w:rPr>
      </w:pPr>
    </w:p>
    <w:p>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元</w:t>
      </w:r>
    </w:p>
    <w:p>
      <w:pPr>
        <w:spacing w:line="144" w:lineRule="exact"/>
        <w:rPr>
          <w:rFonts w:hint="eastAsia" w:ascii="仿宋" w:hAnsi="仿宋" w:eastAsia="仿宋" w:cs="仿宋"/>
        </w:rPr>
      </w:pPr>
    </w:p>
    <w:tbl>
      <w:tblPr>
        <w:tblStyle w:val="31"/>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pPr>
              <w:pStyle w:val="30"/>
              <w:spacing w:before="274" w:line="221" w:lineRule="auto"/>
              <w:ind w:left="348"/>
              <w:rPr>
                <w:rFonts w:hint="eastAsia" w:ascii="仿宋" w:hAnsi="仿宋" w:eastAsia="仿宋" w:cs="仿宋"/>
              </w:rPr>
            </w:pPr>
            <w:r>
              <w:rPr>
                <w:rFonts w:hint="eastAsia" w:cs="仿宋"/>
                <w:spacing w:val="-6"/>
                <w:lang w:val="en-US" w:eastAsia="zh-CN"/>
              </w:rPr>
              <w:t>货物</w:t>
            </w:r>
            <w:r>
              <w:rPr>
                <w:rFonts w:hint="eastAsia" w:ascii="仿宋" w:hAnsi="仿宋" w:eastAsia="仿宋" w:cs="仿宋"/>
                <w:spacing w:val="-6"/>
              </w:rPr>
              <w:t>名称</w:t>
            </w:r>
          </w:p>
        </w:tc>
        <w:tc>
          <w:tcPr>
            <w:tcW w:w="1678" w:type="dxa"/>
            <w:vAlign w:val="top"/>
          </w:tcPr>
          <w:p>
            <w:pPr>
              <w:pStyle w:val="30"/>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pPr>
              <w:pStyle w:val="30"/>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pPr>
              <w:pStyle w:val="30"/>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pPr>
              <w:pStyle w:val="30"/>
              <w:spacing w:line="223" w:lineRule="auto"/>
              <w:rPr>
                <w:rFonts w:hint="eastAsia" w:cs="仿宋"/>
                <w:spacing w:val="-3"/>
                <w:position w:val="16"/>
                <w:lang w:val="en-US" w:eastAsia="zh-CN"/>
              </w:rPr>
            </w:pPr>
          </w:p>
          <w:p>
            <w:pPr>
              <w:pStyle w:val="30"/>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供货期限</w:t>
            </w:r>
          </w:p>
        </w:tc>
        <w:tc>
          <w:tcPr>
            <w:tcW w:w="1309" w:type="dxa"/>
            <w:vAlign w:val="top"/>
          </w:tcPr>
          <w:p>
            <w:pPr>
              <w:pStyle w:val="30"/>
              <w:spacing w:before="275" w:line="224" w:lineRule="auto"/>
              <w:ind w:left="263"/>
              <w:rPr>
                <w:rFonts w:hint="eastAsia" w:ascii="仿宋" w:hAnsi="仿宋" w:eastAsia="仿宋" w:cs="仿宋"/>
              </w:rPr>
            </w:pPr>
            <w:r>
              <w:rPr>
                <w:rFonts w:hint="eastAsia" w:ascii="仿宋" w:hAnsi="仿宋" w:eastAsia="仿宋" w:cs="仿宋"/>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pPr>
              <w:rPr>
                <w:rFonts w:hint="eastAsia" w:ascii="仿宋" w:hAnsi="仿宋" w:eastAsia="仿宋" w:cs="仿宋"/>
                <w:sz w:val="21"/>
              </w:rPr>
            </w:pPr>
          </w:p>
        </w:tc>
        <w:tc>
          <w:tcPr>
            <w:tcW w:w="1678" w:type="dxa"/>
            <w:vAlign w:val="top"/>
          </w:tcPr>
          <w:p>
            <w:pPr>
              <w:pStyle w:val="30"/>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pPr>
              <w:pStyle w:val="30"/>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pPr>
              <w:rPr>
                <w:rFonts w:hint="eastAsia" w:ascii="仿宋" w:hAnsi="仿宋" w:eastAsia="仿宋" w:cs="仿宋"/>
                <w:sz w:val="21"/>
              </w:rPr>
            </w:pPr>
          </w:p>
        </w:tc>
        <w:tc>
          <w:tcPr>
            <w:tcW w:w="2319" w:type="dxa"/>
            <w:vAlign w:val="top"/>
          </w:tcPr>
          <w:p>
            <w:pPr>
              <w:rPr>
                <w:rFonts w:hint="eastAsia" w:ascii="仿宋" w:hAnsi="仿宋" w:eastAsia="仿宋" w:cs="仿宋"/>
                <w:sz w:val="21"/>
              </w:rPr>
            </w:pPr>
          </w:p>
        </w:tc>
        <w:tc>
          <w:tcPr>
            <w:tcW w:w="130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pPr>
              <w:rPr>
                <w:rFonts w:hint="eastAsia" w:ascii="仿宋" w:hAnsi="仿宋" w:eastAsia="仿宋" w:cs="仿宋"/>
                <w:sz w:val="21"/>
              </w:rPr>
            </w:pPr>
          </w:p>
        </w:tc>
        <w:tc>
          <w:tcPr>
            <w:tcW w:w="1678" w:type="dxa"/>
            <w:vAlign w:val="top"/>
          </w:tcPr>
          <w:p>
            <w:pPr>
              <w:pStyle w:val="30"/>
              <w:spacing w:before="78" w:line="465" w:lineRule="exact"/>
              <w:ind w:left="19"/>
              <w:rPr>
                <w:rFonts w:hint="default" w:ascii="仿宋" w:hAnsi="仿宋" w:eastAsia="仿宋" w:cs="仿宋"/>
                <w:spacing w:val="-7"/>
                <w:position w:val="16"/>
                <w:lang w:val="en-US" w:eastAsia="zh-CN"/>
              </w:rPr>
            </w:pPr>
            <w:r>
              <w:rPr>
                <w:rFonts w:hint="eastAsia" w:cs="仿宋"/>
                <w:spacing w:val="-7"/>
                <w:position w:val="16"/>
                <w:lang w:val="en-US" w:eastAsia="zh-CN"/>
              </w:rPr>
              <w:t>下浮率：  %</w:t>
            </w:r>
          </w:p>
          <w:p>
            <w:pPr>
              <w:pStyle w:val="30"/>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pPr>
              <w:pStyle w:val="30"/>
              <w:spacing w:line="224" w:lineRule="auto"/>
              <w:ind w:left="16"/>
              <w:rPr>
                <w:rFonts w:hint="eastAsia" w:ascii="仿宋" w:hAnsi="仿宋" w:eastAsia="仿宋" w:cs="仿宋"/>
                <w:spacing w:val="-6"/>
              </w:rPr>
            </w:pPr>
            <w:r>
              <w:rPr>
                <w:rFonts w:hint="eastAsia" w:ascii="仿宋" w:hAnsi="仿宋" w:eastAsia="仿宋" w:cs="仿宋"/>
                <w:spacing w:val="-6"/>
              </w:rPr>
              <w:t>小写：</w:t>
            </w:r>
          </w:p>
        </w:tc>
        <w:tc>
          <w:tcPr>
            <w:tcW w:w="1867" w:type="dxa"/>
            <w:vAlign w:val="top"/>
          </w:tcPr>
          <w:p>
            <w:pPr>
              <w:rPr>
                <w:rFonts w:hint="eastAsia" w:ascii="仿宋" w:hAnsi="仿宋" w:eastAsia="仿宋" w:cs="仿宋"/>
                <w:sz w:val="21"/>
              </w:rPr>
            </w:pPr>
          </w:p>
        </w:tc>
        <w:tc>
          <w:tcPr>
            <w:tcW w:w="2319" w:type="dxa"/>
            <w:vAlign w:val="top"/>
          </w:tcPr>
          <w:p>
            <w:pPr>
              <w:rPr>
                <w:rFonts w:hint="eastAsia" w:ascii="仿宋" w:hAnsi="仿宋" w:eastAsia="仿宋" w:cs="仿宋"/>
                <w:sz w:val="21"/>
              </w:rPr>
            </w:pPr>
          </w:p>
        </w:tc>
        <w:tc>
          <w:tcPr>
            <w:tcW w:w="1309" w:type="dxa"/>
            <w:vAlign w:val="top"/>
          </w:tcPr>
          <w:p>
            <w:pPr>
              <w:rPr>
                <w:rFonts w:hint="eastAsia" w:ascii="仿宋" w:hAnsi="仿宋" w:eastAsia="仿宋" w:cs="仿宋"/>
                <w:sz w:val="21"/>
              </w:rPr>
            </w:pPr>
          </w:p>
        </w:tc>
      </w:tr>
    </w:tbl>
    <w:p>
      <w:pPr>
        <w:spacing w:line="260" w:lineRule="auto"/>
        <w:rPr>
          <w:rFonts w:hint="eastAsia" w:ascii="仿宋" w:hAnsi="仿宋" w:eastAsia="仿宋" w:cs="仿宋"/>
          <w:sz w:val="21"/>
        </w:rPr>
      </w:pPr>
    </w:p>
    <w:p>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pPr>
        <w:numPr>
          <w:ilvl w:val="0"/>
          <w:numId w:val="5"/>
        </w:numPr>
        <w:spacing w:before="192" w:line="360" w:lineRule="auto"/>
        <w:rPr>
          <w:rFonts w:hint="eastAsia" w:ascii="仿宋" w:hAnsi="仿宋" w:eastAsia="仿宋" w:cs="仿宋"/>
          <w:spacing w:val="-1"/>
          <w:sz w:val="24"/>
          <w:szCs w:val="24"/>
        </w:rPr>
      </w:pPr>
      <w:r>
        <w:rPr>
          <w:rFonts w:hint="eastAsia" w:ascii="仿宋" w:hAnsi="仿宋" w:eastAsia="仿宋" w:cs="仿宋"/>
          <w:spacing w:val="-1"/>
          <w:sz w:val="24"/>
          <w:szCs w:val="24"/>
        </w:rPr>
        <w:t>投标商报价时包含税费等一切与本次项目相关的费用。</w:t>
      </w:r>
    </w:p>
    <w:p>
      <w:pPr>
        <w:numPr>
          <w:ilvl w:val="0"/>
          <w:numId w:val="5"/>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pPr>
        <w:numPr>
          <w:ilvl w:val="0"/>
          <w:numId w:val="5"/>
        </w:numPr>
        <w:spacing w:before="192" w:line="360" w:lineRule="auto"/>
        <w:ind w:left="0" w:leftChars="0" w:firstLine="0" w:firstLineChars="0"/>
        <w:rPr>
          <w:rFonts w:hint="eastAsia" w:ascii="仿宋" w:hAnsi="仿宋" w:eastAsia="仿宋" w:cs="仿宋"/>
          <w:b/>
          <w:bCs/>
          <w:color w:val="FF0000"/>
          <w:spacing w:val="2"/>
          <w:sz w:val="30"/>
          <w:szCs w:val="30"/>
          <w:lang w:val="en-US" w:eastAsia="zh-CN"/>
        </w:rPr>
      </w:pPr>
      <w:r>
        <w:rPr>
          <w:rFonts w:hint="eastAsia" w:ascii="仿宋" w:hAnsi="仿宋" w:eastAsia="仿宋" w:cs="仿宋"/>
          <w:b/>
          <w:bCs/>
          <w:color w:val="FF0000"/>
          <w:spacing w:val="2"/>
          <w:sz w:val="30"/>
          <w:szCs w:val="30"/>
          <w:lang w:val="en-US" w:eastAsia="zh-CN"/>
        </w:rPr>
        <w:t>蔬菜、时令水果、鲜鸡蛋以下浮率形式填写开标一览表（包含：报价下浮率、总金额-报价下浮率*总金额=此项总报价）。</w:t>
      </w:r>
    </w:p>
    <w:p>
      <w:pPr>
        <w:numPr>
          <w:ilvl w:val="0"/>
          <w:numId w:val="5"/>
        </w:numPr>
        <w:spacing w:before="192" w:line="360" w:lineRule="auto"/>
        <w:ind w:left="0" w:leftChars="0" w:firstLine="0" w:firstLineChars="0"/>
        <w:rPr>
          <w:rFonts w:hint="default" w:ascii="仿宋" w:hAnsi="仿宋" w:eastAsia="仿宋" w:cs="仿宋"/>
          <w:b/>
          <w:bCs/>
          <w:color w:val="FF0000"/>
          <w:spacing w:val="2"/>
          <w:sz w:val="30"/>
          <w:szCs w:val="30"/>
          <w:lang w:val="en-US" w:eastAsia="zh-CN"/>
        </w:rPr>
      </w:pPr>
      <w:r>
        <w:rPr>
          <w:rFonts w:hint="eastAsia" w:ascii="仿宋" w:hAnsi="仿宋" w:eastAsia="仿宋" w:cs="仿宋"/>
          <w:b/>
          <w:bCs/>
          <w:color w:val="FF0000"/>
          <w:spacing w:val="2"/>
          <w:sz w:val="30"/>
          <w:szCs w:val="30"/>
          <w:lang w:val="en-US" w:eastAsia="zh-CN"/>
        </w:rPr>
        <w:t>蔬菜、时令水果、鲜鸡蛋最终以下浮率与甲方签订合同。</w:t>
      </w:r>
    </w:p>
    <w:p>
      <w:pPr>
        <w:numPr>
          <w:ilvl w:val="0"/>
          <w:numId w:val="5"/>
        </w:numPr>
        <w:spacing w:before="192" w:line="360" w:lineRule="auto"/>
        <w:ind w:left="0" w:leftChars="0" w:firstLine="0" w:firstLineChars="0"/>
        <w:rPr>
          <w:rFonts w:hint="default" w:ascii="仿宋" w:hAnsi="仿宋" w:eastAsia="仿宋" w:cs="仿宋"/>
          <w:b/>
          <w:bCs/>
          <w:color w:val="FF0000"/>
          <w:spacing w:val="2"/>
          <w:sz w:val="30"/>
          <w:szCs w:val="30"/>
          <w:lang w:val="en-US" w:eastAsia="zh-CN"/>
        </w:rPr>
      </w:pPr>
      <w:r>
        <w:rPr>
          <w:rFonts w:hint="eastAsia" w:ascii="仿宋" w:hAnsi="仿宋" w:eastAsia="仿宋" w:cs="仿宋"/>
          <w:b/>
          <w:bCs/>
          <w:color w:val="FF0000"/>
          <w:spacing w:val="2"/>
          <w:sz w:val="30"/>
          <w:szCs w:val="30"/>
          <w:lang w:val="en-US" w:eastAsia="zh-CN"/>
        </w:rPr>
        <w:t>开标一览表可自行调整增加行列。</w:t>
      </w:r>
    </w:p>
    <w:p>
      <w:pPr>
        <w:spacing w:before="200" w:line="222" w:lineRule="auto"/>
        <w:ind w:left="1052" w:firstLine="1398" w:firstLineChars="600"/>
        <w:jc w:val="both"/>
        <w:rPr>
          <w:rFonts w:hint="eastAsia" w:ascii="仿宋" w:hAnsi="仿宋" w:eastAsia="仿宋" w:cs="仿宋"/>
          <w:b/>
          <w:bCs/>
          <w:spacing w:val="-4"/>
          <w:sz w:val="24"/>
          <w:szCs w:val="24"/>
        </w:rPr>
      </w:pPr>
      <w:r>
        <w:rPr>
          <w:rFonts w:hint="eastAsia" w:ascii="仿宋" w:hAnsi="仿宋" w:eastAsia="仿宋" w:cs="仿宋"/>
          <w:b/>
          <w:bCs/>
          <w:spacing w:val="-4"/>
          <w:sz w:val="24"/>
          <w:szCs w:val="24"/>
        </w:rPr>
        <w:t>开标一览表（投标文件格式一）</w:t>
      </w:r>
    </w:p>
    <w:p>
      <w:pPr>
        <w:pStyle w:val="16"/>
        <w:rPr>
          <w:rFonts w:hint="eastAsia"/>
        </w:rPr>
      </w:pPr>
    </w:p>
    <w:p>
      <w:pPr>
        <w:spacing w:line="307" w:lineRule="auto"/>
        <w:ind w:firstLine="2520" w:firstLineChars="1200"/>
        <w:rPr>
          <w:rFonts w:hint="eastAsia" w:ascii="仿宋" w:hAnsi="仿宋" w:eastAsia="仿宋" w:cs="仿宋"/>
          <w:sz w:val="21"/>
          <w:lang w:eastAsia="zh-CN"/>
        </w:rPr>
      </w:pPr>
      <w:r>
        <w:rPr>
          <w:rFonts w:hint="eastAsia" w:ascii="仿宋" w:hAnsi="仿宋" w:eastAsia="仿宋" w:cs="仿宋"/>
          <w:sz w:val="21"/>
          <w:lang w:eastAsia="zh-CN"/>
        </w:rPr>
        <w:t>（</w:t>
      </w:r>
      <w:r>
        <w:rPr>
          <w:rFonts w:hint="eastAsia" w:ascii="仿宋" w:hAnsi="仿宋" w:eastAsia="仿宋" w:cs="仿宋"/>
          <w:b/>
          <w:bCs/>
          <w:color w:val="FF0000"/>
          <w:spacing w:val="2"/>
          <w:sz w:val="32"/>
          <w:szCs w:val="32"/>
          <w:lang w:val="en-US" w:eastAsia="zh-CN"/>
        </w:rPr>
        <w:t>学生饮用奶、调料</w:t>
      </w:r>
      <w:r>
        <w:rPr>
          <w:rFonts w:hint="eastAsia" w:ascii="仿宋" w:hAnsi="仿宋" w:eastAsia="仿宋" w:cs="仿宋"/>
          <w:sz w:val="21"/>
          <w:lang w:eastAsia="zh-CN"/>
        </w:rPr>
        <w:t>）</w:t>
      </w:r>
    </w:p>
    <w:p>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元</w:t>
      </w:r>
    </w:p>
    <w:p>
      <w:pPr>
        <w:spacing w:line="144" w:lineRule="exact"/>
        <w:rPr>
          <w:rFonts w:hint="eastAsia" w:ascii="仿宋" w:hAnsi="仿宋" w:eastAsia="仿宋" w:cs="仿宋"/>
        </w:rPr>
      </w:pPr>
    </w:p>
    <w:tbl>
      <w:tblPr>
        <w:tblStyle w:val="31"/>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pPr>
              <w:pStyle w:val="30"/>
              <w:spacing w:before="274" w:line="221" w:lineRule="auto"/>
              <w:ind w:left="348"/>
              <w:rPr>
                <w:rFonts w:hint="eastAsia" w:ascii="仿宋" w:hAnsi="仿宋" w:eastAsia="仿宋" w:cs="仿宋"/>
              </w:rPr>
            </w:pPr>
            <w:r>
              <w:rPr>
                <w:rFonts w:hint="eastAsia" w:cs="仿宋"/>
                <w:spacing w:val="-6"/>
                <w:lang w:val="en-US" w:eastAsia="zh-CN"/>
              </w:rPr>
              <w:t>货物</w:t>
            </w:r>
            <w:r>
              <w:rPr>
                <w:rFonts w:hint="eastAsia" w:ascii="仿宋" w:hAnsi="仿宋" w:eastAsia="仿宋" w:cs="仿宋"/>
                <w:spacing w:val="-6"/>
              </w:rPr>
              <w:t>名称</w:t>
            </w:r>
          </w:p>
        </w:tc>
        <w:tc>
          <w:tcPr>
            <w:tcW w:w="1678" w:type="dxa"/>
            <w:vAlign w:val="top"/>
          </w:tcPr>
          <w:p>
            <w:pPr>
              <w:pStyle w:val="30"/>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pPr>
              <w:pStyle w:val="30"/>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pPr>
              <w:pStyle w:val="30"/>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pPr>
              <w:pStyle w:val="30"/>
              <w:spacing w:line="223" w:lineRule="auto"/>
              <w:rPr>
                <w:rFonts w:hint="eastAsia" w:cs="仿宋"/>
                <w:spacing w:val="-3"/>
                <w:position w:val="16"/>
                <w:lang w:val="en-US" w:eastAsia="zh-CN"/>
              </w:rPr>
            </w:pPr>
          </w:p>
          <w:p>
            <w:pPr>
              <w:pStyle w:val="30"/>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供货期限</w:t>
            </w:r>
          </w:p>
        </w:tc>
        <w:tc>
          <w:tcPr>
            <w:tcW w:w="1309" w:type="dxa"/>
            <w:vAlign w:val="top"/>
          </w:tcPr>
          <w:p>
            <w:pPr>
              <w:pStyle w:val="30"/>
              <w:spacing w:before="275" w:line="224" w:lineRule="auto"/>
              <w:ind w:left="263"/>
              <w:rPr>
                <w:rFonts w:hint="eastAsia" w:ascii="仿宋" w:hAnsi="仿宋" w:eastAsia="仿宋" w:cs="仿宋"/>
              </w:rPr>
            </w:pPr>
            <w:r>
              <w:rPr>
                <w:rFonts w:hint="eastAsia" w:ascii="仿宋" w:hAnsi="仿宋" w:eastAsia="仿宋" w:cs="仿宋"/>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pPr>
              <w:rPr>
                <w:rFonts w:hint="eastAsia" w:ascii="仿宋" w:hAnsi="仿宋" w:eastAsia="仿宋" w:cs="仿宋"/>
                <w:sz w:val="21"/>
              </w:rPr>
            </w:pPr>
          </w:p>
        </w:tc>
        <w:tc>
          <w:tcPr>
            <w:tcW w:w="1678" w:type="dxa"/>
            <w:vAlign w:val="top"/>
          </w:tcPr>
          <w:p>
            <w:pPr>
              <w:pStyle w:val="30"/>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pPr>
              <w:pStyle w:val="30"/>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pPr>
              <w:rPr>
                <w:rFonts w:hint="eastAsia" w:ascii="仿宋" w:hAnsi="仿宋" w:eastAsia="仿宋" w:cs="仿宋"/>
                <w:sz w:val="21"/>
              </w:rPr>
            </w:pPr>
          </w:p>
        </w:tc>
        <w:tc>
          <w:tcPr>
            <w:tcW w:w="2319" w:type="dxa"/>
            <w:vAlign w:val="top"/>
          </w:tcPr>
          <w:p>
            <w:pPr>
              <w:rPr>
                <w:rFonts w:hint="eastAsia" w:ascii="仿宋" w:hAnsi="仿宋" w:eastAsia="仿宋" w:cs="仿宋"/>
                <w:sz w:val="21"/>
              </w:rPr>
            </w:pPr>
          </w:p>
        </w:tc>
        <w:tc>
          <w:tcPr>
            <w:tcW w:w="1309" w:type="dxa"/>
            <w:vAlign w:val="top"/>
          </w:tcPr>
          <w:p>
            <w:pPr>
              <w:rPr>
                <w:rFonts w:hint="eastAsia" w:ascii="仿宋" w:hAnsi="仿宋" w:eastAsia="仿宋" w:cs="仿宋"/>
                <w:sz w:val="21"/>
              </w:rPr>
            </w:pPr>
          </w:p>
        </w:tc>
      </w:tr>
    </w:tbl>
    <w:p>
      <w:pPr>
        <w:spacing w:line="260" w:lineRule="auto"/>
        <w:rPr>
          <w:rFonts w:hint="eastAsia" w:ascii="仿宋" w:hAnsi="仿宋" w:eastAsia="仿宋" w:cs="仿宋"/>
          <w:sz w:val="21"/>
        </w:rPr>
      </w:pPr>
    </w:p>
    <w:p>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pPr>
        <w:numPr>
          <w:ilvl w:val="0"/>
          <w:numId w:val="0"/>
        </w:numPr>
        <w:spacing w:before="192" w:line="360" w:lineRule="auto"/>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投标商报价时包含税费等一切与本次项目相关的费用。</w:t>
      </w:r>
    </w:p>
    <w:p>
      <w:pPr>
        <w:numPr>
          <w:ilvl w:val="0"/>
          <w:numId w:val="0"/>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pPr>
        <w:numPr>
          <w:ilvl w:val="0"/>
          <w:numId w:val="0"/>
        </w:numPr>
        <w:spacing w:before="192" w:line="360" w:lineRule="auto"/>
        <w:ind w:leftChars="0"/>
        <w:rPr>
          <w:rFonts w:hint="default" w:ascii="仿宋" w:hAnsi="仿宋" w:eastAsia="仿宋" w:cs="仿宋"/>
          <w:b/>
          <w:bCs/>
          <w:color w:val="FF0000"/>
          <w:spacing w:val="2"/>
          <w:sz w:val="32"/>
          <w:szCs w:val="32"/>
          <w:lang w:val="en-US" w:eastAsia="zh-CN"/>
        </w:rPr>
      </w:pPr>
      <w:r>
        <w:rPr>
          <w:rFonts w:hint="eastAsia" w:ascii="仿宋" w:hAnsi="仿宋" w:eastAsia="仿宋" w:cs="仿宋"/>
          <w:b/>
          <w:bCs/>
          <w:color w:val="FF0000"/>
          <w:spacing w:val="2"/>
          <w:sz w:val="32"/>
          <w:szCs w:val="32"/>
          <w:lang w:val="en-US" w:eastAsia="zh-CN"/>
        </w:rPr>
        <w:t>（3）学生饮用奶、调料最终以单价、总价形式填写。</w:t>
      </w:r>
    </w:p>
    <w:p>
      <w:pPr>
        <w:numPr>
          <w:ilvl w:val="0"/>
          <w:numId w:val="0"/>
        </w:numPr>
        <w:spacing w:before="192" w:line="360" w:lineRule="auto"/>
        <w:ind w:leftChars="0"/>
        <w:rPr>
          <w:rFonts w:hint="default" w:ascii="仿宋" w:hAnsi="仿宋" w:eastAsia="仿宋" w:cs="仿宋"/>
          <w:b/>
          <w:bCs/>
          <w:color w:val="FF0000"/>
          <w:spacing w:val="2"/>
          <w:sz w:val="32"/>
          <w:szCs w:val="32"/>
          <w:lang w:val="en-US" w:eastAsia="zh-CN"/>
        </w:rPr>
      </w:pPr>
      <w:r>
        <w:rPr>
          <w:rFonts w:hint="eastAsia" w:ascii="仿宋" w:hAnsi="仿宋" w:eastAsia="仿宋" w:cs="仿宋"/>
          <w:b/>
          <w:bCs/>
          <w:color w:val="FF0000"/>
          <w:spacing w:val="2"/>
          <w:sz w:val="32"/>
          <w:szCs w:val="32"/>
          <w:lang w:val="en-US" w:eastAsia="zh-CN"/>
        </w:rPr>
        <w:t>（4）开标一览表可自行调整增加行列。</w:t>
      </w:r>
    </w:p>
    <w:p>
      <w:pPr>
        <w:spacing w:before="79" w:line="465" w:lineRule="exact"/>
        <w:ind w:left="559"/>
        <w:rPr>
          <w:rFonts w:hint="eastAsia" w:ascii="仿宋" w:hAnsi="仿宋" w:eastAsia="仿宋" w:cs="仿宋"/>
          <w:b/>
          <w:bCs/>
          <w:spacing w:val="-6"/>
          <w:position w:val="16"/>
          <w:sz w:val="24"/>
          <w:szCs w:val="24"/>
          <w:lang w:val="en-US" w:eastAsia="zh-CN"/>
        </w:rPr>
      </w:pPr>
    </w:p>
    <w:p>
      <w:pPr>
        <w:spacing w:before="79" w:line="465" w:lineRule="exact"/>
        <w:ind w:left="559"/>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sz w:val="21"/>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zh-CN"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before="79" w:line="465" w:lineRule="exact"/>
        <w:ind w:left="559"/>
        <w:rPr>
          <w:rFonts w:hint="eastAsia" w:ascii="仿宋" w:hAnsi="仿宋" w:eastAsia="仿宋" w:cs="仿宋"/>
          <w:b/>
          <w:bCs/>
          <w:spacing w:val="-6"/>
          <w:position w:val="16"/>
          <w:sz w:val="24"/>
          <w:szCs w:val="24"/>
          <w:lang w:val="zh-CN"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numPr>
          <w:ilvl w:val="0"/>
          <w:numId w:val="6"/>
        </w:numPr>
        <w:spacing w:line="255" w:lineRule="auto"/>
        <w:ind w:firstLine="458" w:firstLineChars="200"/>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授权人参与投标提供法定代表人授权书及被授权人身份证；法人本人参与投标提供法人身份证及法人资格证明；</w:t>
      </w:r>
    </w:p>
    <w:p>
      <w:pPr>
        <w:numPr>
          <w:ilvl w:val="0"/>
          <w:numId w:val="0"/>
        </w:numPr>
        <w:spacing w:line="255" w:lineRule="auto"/>
        <w:rPr>
          <w:rFonts w:hint="eastAsia" w:ascii="仿宋" w:hAnsi="仿宋" w:eastAsia="仿宋" w:cs="仿宋"/>
          <w:sz w:val="24"/>
          <w:szCs w:val="24"/>
        </w:rPr>
      </w:pPr>
    </w:p>
    <w:p>
      <w:pPr>
        <w:numPr>
          <w:ilvl w:val="0"/>
          <w:numId w:val="0"/>
        </w:numPr>
        <w:spacing w:line="255" w:lineRule="auto"/>
        <w:rPr>
          <w:rFonts w:hint="eastAsia" w:ascii="仿宋" w:hAnsi="仿宋" w:eastAsia="仿宋" w:cs="仿宋"/>
          <w:sz w:val="24"/>
          <w:szCs w:val="24"/>
        </w:rPr>
      </w:pPr>
    </w:p>
    <w:p>
      <w:pPr>
        <w:numPr>
          <w:ilvl w:val="0"/>
          <w:numId w:val="0"/>
        </w:numPr>
        <w:spacing w:line="255" w:lineRule="auto"/>
        <w:jc w:val="center"/>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3360"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pPr>
                              <w:pStyle w:val="9"/>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3360;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pPr>
                        <w:pStyle w:val="9"/>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pPr>
        <w:spacing w:line="360" w:lineRule="auto"/>
        <w:rPr>
          <w:rFonts w:hint="eastAsia" w:ascii="仿宋" w:hAnsi="仿宋" w:eastAsia="仿宋" w:cs="仿宋"/>
          <w:sz w:val="21"/>
        </w:rPr>
      </w:pPr>
    </w:p>
    <w:p>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pPr>
        <w:spacing w:line="360" w:lineRule="auto"/>
        <w:rPr>
          <w:rFonts w:hint="eastAsia" w:ascii="仿宋" w:hAnsi="仿宋" w:eastAsia="仿宋" w:cs="仿宋"/>
        </w:rPr>
      </w:pPr>
    </w:p>
    <w:p>
      <w:pPr>
        <w:spacing w:line="360" w:lineRule="auto"/>
        <w:rPr>
          <w:rFonts w:hint="eastAsia" w:ascii="仿宋" w:hAnsi="仿宋" w:eastAsia="仿宋" w:cs="仿宋"/>
        </w:rPr>
        <w:sectPr>
          <w:headerReference r:id="rId11" w:type="default"/>
          <w:footerReference r:id="rId12" w:type="default"/>
          <w:pgSz w:w="11906" w:h="16839"/>
          <w:pgMar w:top="1274" w:right="1714" w:bottom="1171" w:left="1785" w:header="852" w:footer="992" w:gutter="0"/>
          <w:pgBorders>
            <w:top w:val="single" w:color="auto" w:sz="4" w:space="1"/>
            <w:left w:val="none" w:sz="0" w:space="0"/>
            <w:bottom w:val="none" w:sz="0" w:space="0"/>
            <w:right w:val="none" w:sz="0" w:space="0"/>
          </w:pgBorders>
          <w:pgNumType w:fmt="decimal"/>
          <w:cols w:equalWidth="0" w:num="1">
            <w:col w:w="8406"/>
          </w:cols>
        </w:sectPr>
      </w:pPr>
    </w:p>
    <w:p>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pPr>
        <w:spacing w:line="360" w:lineRule="auto"/>
        <w:rPr>
          <w:rFonts w:hint="eastAsia" w:ascii="仿宋" w:hAnsi="仿宋" w:eastAsia="仿宋" w:cs="仿宋"/>
          <w:sz w:val="2"/>
        </w:rPr>
      </w:pPr>
      <w:r>
        <w:rPr>
          <w:rFonts w:hint="eastAsia" w:ascii="仿宋" w:hAnsi="仿宋" w:eastAsia="仿宋" w:cs="仿宋"/>
          <w:sz w:val="2"/>
          <w:szCs w:val="2"/>
        </w:rPr>
        <w:br w:type="column"/>
      </w:r>
    </w:p>
    <w:p>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pPr>
        <w:spacing w:line="360" w:lineRule="auto"/>
        <w:rPr>
          <w:rFonts w:hint="eastAsia" w:ascii="仿宋" w:hAnsi="仿宋" w:eastAsia="仿宋" w:cs="仿宋"/>
          <w:sz w:val="2"/>
        </w:rPr>
      </w:pPr>
      <w:r>
        <w:rPr>
          <w:rFonts w:hint="eastAsia" w:ascii="仿宋" w:hAnsi="仿宋" w:eastAsia="仿宋" w:cs="仿宋"/>
          <w:sz w:val="2"/>
          <w:szCs w:val="2"/>
        </w:rPr>
        <w:br w:type="column"/>
      </w:r>
    </w:p>
    <w:p>
      <w:pPr>
        <w:spacing w:line="360" w:lineRule="auto"/>
        <w:rPr>
          <w:rFonts w:hint="eastAsia" w:ascii="仿宋" w:hAnsi="仿宋" w:eastAsia="仿宋" w:cs="仿宋"/>
          <w:sz w:val="21"/>
        </w:rPr>
      </w:pPr>
    </w:p>
    <w:p>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Borders>
            <w:top w:val="single" w:color="auto" w:sz="4" w:space="1"/>
            <w:left w:val="none" w:sz="0" w:space="0"/>
            <w:bottom w:val="none" w:sz="0" w:space="0"/>
            <w:right w:val="none" w:sz="0" w:space="0"/>
          </w:pgBorders>
          <w:pgNumType w:fmt="decimal"/>
          <w:cols w:equalWidth="0" w:num="3">
            <w:col w:w="3300" w:space="100"/>
            <w:col w:w="1948" w:space="100"/>
            <w:col w:w="2960"/>
          </w:cols>
        </w:sectPr>
      </w:pPr>
    </w:p>
    <w:p>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pPr>
        <w:pStyle w:val="9"/>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50"/>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50"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50"/>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50"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Borders>
            <w:top w:val="single" w:color="auto" w:sz="4" w:space="1"/>
            <w:left w:val="none" w:sz="0" w:space="0"/>
            <w:bottom w:val="none" w:sz="0" w:space="0"/>
            <w:right w:val="none" w:sz="0" w:space="0"/>
          </w:pgBorders>
          <w:pgNumType w:fmt="decimal"/>
          <w:cols w:equalWidth="0" w:num="1">
            <w:col w:w="8406"/>
          </w:cols>
        </w:sectPr>
      </w:pPr>
    </w:p>
    <w:p>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pPr>
        <w:spacing w:line="254" w:lineRule="auto"/>
        <w:rPr>
          <w:rFonts w:hint="eastAsia" w:ascii="仿宋" w:hAnsi="仿宋" w:eastAsia="仿宋" w:cs="仿宋"/>
          <w:sz w:val="21"/>
        </w:rPr>
      </w:pPr>
    </w:p>
    <w:p>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pPr>
        <w:spacing w:line="345" w:lineRule="auto"/>
        <w:rPr>
          <w:rFonts w:hint="eastAsia" w:ascii="仿宋" w:hAnsi="仿宋" w:eastAsia="仿宋" w:cs="仿宋"/>
          <w:sz w:val="21"/>
        </w:rPr>
      </w:pPr>
      <w:r>
        <w:rPr>
          <w:sz w:val="28"/>
        </w:rPr>
        <mc:AlternateContent>
          <mc:Choice Requires="wps">
            <w:drawing>
              <wp:anchor distT="0" distB="0" distL="114300" distR="114300" simplePos="0" relativeHeight="251669504" behindDoc="0" locked="0" layoutInCell="1" allowOverlap="1">
                <wp:simplePos x="0" y="0"/>
                <wp:positionH relativeFrom="column">
                  <wp:posOffset>2817495</wp:posOffset>
                </wp:positionH>
                <wp:positionV relativeFrom="paragraph">
                  <wp:posOffset>207645</wp:posOffset>
                </wp:positionV>
                <wp:extent cx="2722245" cy="1442720"/>
                <wp:effectExtent l="6350" t="6350" r="14605" b="11430"/>
                <wp:wrapNone/>
                <wp:docPr id="9" name="圆角矩形 9"/>
                <wp:cNvGraphicFramePr/>
                <a:graphic xmlns:a="http://schemas.openxmlformats.org/drawingml/2006/main">
                  <a:graphicData uri="http://schemas.microsoft.com/office/word/2010/wordprocessingShape">
                    <wps:wsp>
                      <wps:cNvSpPr/>
                      <wps:spPr>
                        <a:xfrm>
                          <a:off x="3982720" y="3258185"/>
                          <a:ext cx="2722245" cy="1442720"/>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1.85pt;margin-top:16.35pt;height:113.6pt;width:214.35pt;z-index:251669504;v-text-anchor:middle;mso-width-relative:page;mso-height-relative:page;" fillcolor="#FFFFFF [3212]" filled="t" stroked="t" coordsize="21600,21600" arcsize="0.166666666666667" o:gfxdata="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swMR9kA&#10;AAAKAQAADwAAAAAAAAABACAAAAAiAAAAZHJzL2Rvd25yZXYueG1sUEsBAhQAFAAAAAgAh07iQIf1&#10;emKQAgAAFwUAAA4AAAAAAAAAAQAgAAAAKAEAAGRycy9lMm9Eb2MueG1sUEsFBgAAAAAGAAYAWQEA&#10;ACoGAAAAAA==&#10;">
                <v:fill on="t" focussize="0,0"/>
                <v:stroke weight="1pt" color="#000000 [3213]" miterlimit="8" joinstyle="miter"/>
                <v:imagedata o:title=""/>
                <o:lock v:ext="edit" aspectratio="f"/>
                <v:textbox>
                  <w:txbxContent>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pPr>
                        <w:jc w:val="center"/>
                      </w:pPr>
                    </w:p>
                  </w:txbxContent>
                </v:textbox>
              </v:roundrect>
            </w:pict>
          </mc:Fallback>
        </mc:AlternateContent>
      </w:r>
      <w:r>
        <w:rPr>
          <w:rFonts w:hint="eastAsia" w:ascii="仿宋" w:hAnsi="仿宋" w:eastAsia="仿宋" w:cs="仿宋"/>
        </w:rPr>
        <mc:AlternateContent>
          <mc:Choice Requires="wps">
            <w:drawing>
              <wp:anchor distT="0" distB="0" distL="114300" distR="114300" simplePos="0" relativeHeight="251664384"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4384;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pPr>
                        <w:spacing w:line="20" w:lineRule="exact"/>
                      </w:pPr>
                    </w:p>
                    <w:p>
                      <w:pPr>
                        <w:rPr>
                          <w:rFonts w:ascii="Arial"/>
                          <w:sz w:val="21"/>
                        </w:rPr>
                      </w:pPr>
                    </w:p>
                  </w:txbxContent>
                </v:textbox>
              </v:shape>
            </w:pict>
          </mc:Fallback>
        </mc:AlternateContent>
      </w:r>
    </w:p>
    <w:p>
      <w:pPr>
        <w:pStyle w:val="9"/>
        <w:spacing w:line="2229" w:lineRule="exact"/>
        <w:ind w:firstLine="36"/>
        <w:rPr>
          <w:rFonts w:hint="eastAsia" w:ascii="仿宋" w:hAnsi="仿宋" w:eastAsia="仿宋" w:cs="仿宋"/>
        </w:rPr>
      </w:pPr>
      <w:r>
        <w:rPr>
          <w:rFonts w:hint="eastAsia" w:ascii="仿宋" w:hAnsi="仿宋" w:eastAsia="仿宋" w:cs="仿宋"/>
          <w:position w:val="-44"/>
        </w:rPr>
        <mc:AlternateContent>
          <mc:Choice Requires="wpg">
            <w:drawing>
              <wp:inline distT="0" distB="0" distL="114300" distR="114300">
                <wp:extent cx="2542540" cy="1479550"/>
                <wp:effectExtent l="0" t="0" r="10160" b="0"/>
                <wp:docPr id="7" name="组合 7"/>
                <wp:cNvGraphicFramePr/>
                <a:graphic xmlns:a="http://schemas.openxmlformats.org/drawingml/2006/main">
                  <a:graphicData uri="http://schemas.microsoft.com/office/word/2010/wordprocessingGroup">
                    <wpg:wgp>
                      <wpg:cNvGrpSpPr/>
                      <wpg:grpSpPr>
                        <a:xfrm>
                          <a:off x="0" y="0"/>
                          <a:ext cx="2542546" cy="1479550"/>
                          <a:chOff x="-20" y="-20"/>
                          <a:chExt cx="4003" cy="2330"/>
                        </a:xfrm>
                      </wpg:grpSpPr>
                      <pic:pic xmlns:pic="http://schemas.openxmlformats.org/drawingml/2006/picture">
                        <pic:nvPicPr>
                          <pic:cNvPr id="5" name="图片 11"/>
                          <pic:cNvPicPr>
                            <a:picLocks noChangeAspect="1"/>
                          </pic:cNvPicPr>
                        </pic:nvPicPr>
                        <pic:blipFill>
                          <a:blip r:embed="rId51"/>
                          <a:stretch>
                            <a:fillRect/>
                          </a:stretch>
                        </pic:blipFill>
                        <pic:spPr>
                          <a:xfrm>
                            <a:off x="0" y="0"/>
                            <a:ext cx="3963" cy="2230"/>
                          </a:xfrm>
                          <a:prstGeom prst="rect">
                            <a:avLst/>
                          </a:prstGeom>
                          <a:noFill/>
                          <a:ln>
                            <a:noFill/>
                          </a:ln>
                        </pic:spPr>
                      </pic:pic>
                      <wps:wsp>
                        <wps:cNvPr id="6" name="文本框 6"/>
                        <wps:cNvSpPr txBox="1"/>
                        <wps:spPr>
                          <a:xfrm>
                            <a:off x="-20" y="-20"/>
                            <a:ext cx="4003" cy="2330"/>
                          </a:xfrm>
                          <a:prstGeom prst="rect">
                            <a:avLst/>
                          </a:prstGeom>
                          <a:noFill/>
                          <a:ln>
                            <a:noFill/>
                          </a:ln>
                        </wps:spPr>
                        <wps:txbx>
                          <w:txbxContent>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wps:txbx>
                        <wps:bodyPr lIns="0" tIns="0" rIns="0" bIns="0" upright="1"/>
                      </wps:wsp>
                    </wpg:wgp>
                  </a:graphicData>
                </a:graphic>
              </wp:inline>
            </w:drawing>
          </mc:Choice>
          <mc:Fallback>
            <w:pict>
              <v:group id="_x0000_s1026" o:spid="_x0000_s1026" o:spt="203" style="height:116.5pt;width:200.2pt;" coordorigin="-20,-20" coordsize="4003,2330" o:gfxdata="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51" o:title=""/>
                  <o:lock v:ext="edit" aspectratio="t"/>
                </v:shape>
                <v:shape id="_x0000_s1026" o:spid="_x0000_s1026" o:spt="202" type="#_x0000_t202" style="position:absolute;left:-20;top:-20;height:2330;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shape>
                <w10:wrap type="none"/>
                <w10:anchorlock/>
              </v:group>
            </w:pict>
          </mc:Fallback>
        </mc:AlternateContent>
      </w:r>
    </w:p>
    <w:p>
      <w:pPr>
        <w:spacing w:before="1"/>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sz w:val="21"/>
        </w:rPr>
        <mc:AlternateContent>
          <mc:Choice Requires="wps">
            <w:drawing>
              <wp:inline distT="0" distB="0" distL="114300" distR="114300">
                <wp:extent cx="2444750" cy="1302385"/>
                <wp:effectExtent l="6350" t="6350" r="12700" b="12065"/>
                <wp:docPr id="10" name="圆角矩形 10"/>
                <wp:cNvGraphicFramePr/>
                <a:graphic xmlns:a="http://schemas.openxmlformats.org/drawingml/2006/main">
                  <a:graphicData uri="http://schemas.microsoft.com/office/word/2010/wordprocessingShape">
                    <wps:wsp>
                      <wps:cNvSpPr/>
                      <wps:spPr>
                        <a:xfrm>
                          <a:off x="1212215" y="5012055"/>
                          <a:ext cx="2444750" cy="130238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9"/>
                              <w:spacing w:before="65" w:line="228" w:lineRule="auto"/>
                              <w:ind w:firstLine="432" w:firstLineChars="200"/>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id="_x0000_s1026" o:spid="_x0000_s1026" o:spt="2" style="height:102.55pt;width:192.5pt;v-text-anchor:middle;" fillcolor="#FFFFFF [3212]" filled="t" stroked="t" coordsize="21600,21600" arcsize="0.166666666666667" o:gfxdata="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e4zb9MAAAAF&#10;AQAADwAAAAAAAAABACAAAAAiAAAAZHJzL2Rvd25yZXYueG1sUEsBAhQAFAAAAAgAh07iQMSQL8qT&#10;AgAAGQUAAA4AAAAAAAAAAQAgAAAAIgEAAGRycy9lMm9Eb2MueG1sUEsFBgAAAAAGAAYAWQEAACcG&#10;AAAAAA==&#10;">
                <v:fill on="t" focussize="0,0"/>
                <v:stroke weight="1pt" color="#000000 [3213]" miterlimit="8" joinstyle="miter"/>
                <v:imagedata o:title=""/>
                <o:lock v:ext="edit" aspectratio="f"/>
                <v:textbox>
                  <w:txbxContent>
                    <w:p>
                      <w:pPr>
                        <w:pStyle w:val="9"/>
                        <w:spacing w:before="65" w:line="228" w:lineRule="auto"/>
                        <w:ind w:firstLine="432" w:firstLineChars="200"/>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p>
                      <w:pPr>
                        <w:jc w:val="center"/>
                      </w:pPr>
                    </w:p>
                  </w:txbxContent>
                </v:textbox>
                <w10:wrap type="none"/>
                <w10:anchorlock/>
              </v:roundrect>
            </w:pict>
          </mc:Fallback>
        </mc:AlternateContent>
      </w:r>
      <w:r>
        <w:rPr>
          <w:rFonts w:hint="eastAsia" w:ascii="仿宋" w:hAnsi="仿宋" w:eastAsia="仿宋" w:cs="仿宋"/>
        </w:rPr>
        <mc:AlternateContent>
          <mc:Choice Requires="wpg">
            <w:drawing>
              <wp:anchor distT="0" distB="0" distL="114300" distR="114300" simplePos="0" relativeHeight="251665408" behindDoc="0" locked="0" layoutInCell="0" allowOverlap="1">
                <wp:simplePos x="0" y="0"/>
                <wp:positionH relativeFrom="page">
                  <wp:posOffset>4156710</wp:posOffset>
                </wp:positionH>
                <wp:positionV relativeFrom="page">
                  <wp:posOffset>4962525</wp:posOffset>
                </wp:positionV>
                <wp:extent cx="2579370" cy="2139950"/>
                <wp:effectExtent l="0" t="0" r="11430" b="0"/>
                <wp:wrapNone/>
                <wp:docPr id="4" name="组合 4"/>
                <wp:cNvGraphicFramePr/>
                <a:graphic xmlns:a="http://schemas.openxmlformats.org/drawingml/2006/main">
                  <a:graphicData uri="http://schemas.microsoft.com/office/word/2010/wordprocessingGroup">
                    <wpg:wgp>
                      <wpg:cNvGrpSpPr/>
                      <wpg:grpSpPr>
                        <a:xfrm>
                          <a:off x="0" y="0"/>
                          <a:ext cx="2579377" cy="2139751"/>
                          <a:chOff x="-7" y="-58"/>
                          <a:chExt cx="4061" cy="3368"/>
                        </a:xfrm>
                      </wpg:grpSpPr>
                      <pic:pic xmlns:pic="http://schemas.openxmlformats.org/drawingml/2006/picture">
                        <pic:nvPicPr>
                          <pic:cNvPr id="2" name="图片 8"/>
                          <pic:cNvPicPr>
                            <a:picLocks noChangeAspect="1"/>
                          </pic:cNvPicPr>
                        </pic:nvPicPr>
                        <pic:blipFill>
                          <a:blip r:embed="rId52"/>
                          <a:stretch>
                            <a:fillRect/>
                          </a:stretch>
                        </pic:blipFill>
                        <pic:spPr>
                          <a:xfrm>
                            <a:off x="0" y="0"/>
                            <a:ext cx="4017" cy="1996"/>
                          </a:xfrm>
                          <a:prstGeom prst="rect">
                            <a:avLst/>
                          </a:prstGeom>
                          <a:noFill/>
                          <a:ln>
                            <a:noFill/>
                          </a:ln>
                        </pic:spPr>
                      </pic:pic>
                      <wps:wsp>
                        <wps:cNvPr id="3" name="文本框 3"/>
                        <wps:cNvSpPr txBox="1"/>
                        <wps:spPr>
                          <a:xfrm>
                            <a:off x="-7" y="-58"/>
                            <a:ext cx="4061" cy="3368"/>
                          </a:xfrm>
                          <a:prstGeom prst="rect">
                            <a:avLst/>
                          </a:prstGeom>
                          <a:noFill/>
                          <a:ln>
                            <a:noFill/>
                          </a:ln>
                        </wps:spPr>
                        <wps:txbx>
                          <w:txbxContent>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txbxContent>
                        </wps:txbx>
                        <wps:bodyPr lIns="0" tIns="0" rIns="0" bIns="0" upright="1"/>
                      </wps:wsp>
                    </wpg:wgp>
                  </a:graphicData>
                </a:graphic>
              </wp:anchor>
            </w:drawing>
          </mc:Choice>
          <mc:Fallback>
            <w:pict>
              <v:group id="_x0000_s1026" o:spid="_x0000_s1026" o:spt="203" style="position:absolute;left:0pt;margin-left:327.3pt;margin-top:390.75pt;height:168.5pt;width:203.1pt;mso-position-horizontal-relative:page;mso-position-vertical-relative:page;z-index:251665408;mso-width-relative:page;mso-height-relative:page;" coordorigin="-7,-58" coordsize="4061,3368" o:allowincell="f" o:gfxdata="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52" o:title=""/>
                  <o:lock v:ext="edit" aspectratio="t"/>
                </v:shape>
                <v:shape id="_x0000_s1026" o:spid="_x0000_s1026" o:spt="202" type="#_x0000_t202" style="position:absolute;left:-7;top:-58;height:3368;width:4061;"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txbxContent>
                  </v:textbox>
                </v:shape>
              </v:group>
            </w:pict>
          </mc:Fallback>
        </mc:AlternateContent>
      </w:r>
    </w:p>
    <w:p>
      <w:pPr>
        <w:spacing w:line="309" w:lineRule="auto"/>
        <w:rPr>
          <w:rFonts w:hint="eastAsia" w:ascii="仿宋" w:hAnsi="仿宋" w:eastAsia="仿宋" w:cs="仿宋"/>
          <w:sz w:val="21"/>
        </w:rPr>
      </w:pPr>
    </w:p>
    <w:p>
      <w:pPr>
        <w:spacing w:line="309" w:lineRule="auto"/>
        <w:rPr>
          <w:rFonts w:hint="eastAsia" w:ascii="仿宋" w:hAnsi="仿宋" w:eastAsia="仿宋" w:cs="仿宋"/>
          <w:sz w:val="21"/>
        </w:rPr>
      </w:pPr>
    </w:p>
    <w:p>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pPr>
        <w:spacing w:before="176" w:line="223" w:lineRule="auto"/>
        <w:ind w:left="53"/>
        <w:rPr>
          <w:rFonts w:hint="eastAsia" w:ascii="仿宋" w:hAnsi="仿宋" w:eastAsia="仿宋" w:cs="仿宋"/>
          <w:sz w:val="24"/>
          <w:szCs w:val="24"/>
        </w:rPr>
        <w:sectPr>
          <w:headerReference r:id="rId13" w:type="default"/>
          <w:footerReference r:id="rId14" w:type="default"/>
          <w:pgSz w:w="11906" w:h="16839"/>
          <w:pgMar w:top="1274" w:right="1334"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pPr>
        <w:spacing w:line="294" w:lineRule="auto"/>
        <w:rPr>
          <w:rFonts w:hint="eastAsia" w:ascii="仿宋" w:hAnsi="仿宋" w:eastAsia="仿宋" w:cs="仿宋"/>
          <w:sz w:val="21"/>
        </w:rPr>
      </w:pPr>
    </w:p>
    <w:p>
      <w:pPr>
        <w:numPr>
          <w:ilvl w:val="0"/>
          <w:numId w:val="7"/>
        </w:numPr>
        <w:spacing w:before="177" w:line="360" w:lineRule="auto"/>
        <w:jc w:val="both"/>
        <w:rPr>
          <w:rFonts w:hint="eastAsia" w:ascii="仿宋" w:hAnsi="仿宋" w:eastAsia="仿宋" w:cs="仿宋"/>
          <w:b/>
          <w:bCs/>
          <w:spacing w:val="-5"/>
          <w:sz w:val="24"/>
          <w:szCs w:val="24"/>
          <w:highlight w:val="none"/>
          <w:lang w:val="en-US" w:eastAsia="zh-CN"/>
        </w:rPr>
      </w:pPr>
      <w:r>
        <w:rPr>
          <w:rFonts w:hint="eastAsia" w:ascii="仿宋" w:hAnsi="仿宋" w:eastAsia="仿宋" w:cs="仿宋"/>
          <w:b/>
          <w:bCs/>
          <w:spacing w:val="-5"/>
          <w:sz w:val="24"/>
          <w:szCs w:val="24"/>
          <w:lang w:val="en-US" w:eastAsia="zh-CN"/>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b/>
          <w:bCs/>
          <w:color w:val="000000"/>
          <w:kern w:val="0"/>
          <w:sz w:val="24"/>
          <w:szCs w:val="24"/>
          <w:highlight w:val="none"/>
          <w:lang w:val="en-US" w:eastAsia="zh-CN" w:bidi="ar"/>
        </w:rPr>
        <w:t>（新成立公司不足3个月的提供成立至今缴纳证明）</w:t>
      </w:r>
      <w:r>
        <w:rPr>
          <w:rFonts w:hint="eastAsia" w:ascii="仿宋" w:hAnsi="仿宋" w:eastAsia="仿宋" w:cs="仿宋_GB2312"/>
          <w:b/>
          <w:bCs/>
          <w:color w:val="000000"/>
          <w:kern w:val="0"/>
          <w:sz w:val="24"/>
          <w:szCs w:val="24"/>
          <w:highlight w:val="none"/>
          <w:lang w:val="en-US" w:eastAsia="zh-CN" w:bidi="ar"/>
        </w:rPr>
        <w:t>；</w:t>
      </w: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adjustRightInd w:val="0"/>
        <w:spacing w:line="360" w:lineRule="auto"/>
        <w:ind w:firstLine="462" w:firstLineChars="200"/>
        <w:rPr>
          <w:rFonts w:hint="eastAsia" w:ascii="仿宋" w:hAnsi="仿宋" w:eastAsia="仿宋" w:cs="仿宋_GB2312"/>
          <w:b/>
          <w:bCs/>
          <w:color w:val="000000"/>
          <w:kern w:val="0"/>
          <w:sz w:val="24"/>
          <w:szCs w:val="24"/>
          <w:highlight w:val="none"/>
          <w:lang w:val="en-US" w:eastAsia="zh-CN" w:bidi="ar"/>
        </w:rPr>
      </w:pPr>
      <w:r>
        <w:rPr>
          <w:rFonts w:hint="eastAsia" w:ascii="仿宋" w:hAnsi="仿宋" w:eastAsia="仿宋" w:cs="仿宋"/>
          <w:b/>
          <w:bCs/>
          <w:spacing w:val="-5"/>
          <w:sz w:val="24"/>
          <w:szCs w:val="24"/>
          <w:lang w:val="en-US" w:eastAsia="zh-CN"/>
        </w:rPr>
        <w:t>5、2024年的财务审计报告</w:t>
      </w:r>
      <w:r>
        <w:rPr>
          <w:rFonts w:hint="eastAsia" w:ascii="仿宋" w:hAnsi="仿宋" w:eastAsia="仿宋" w:cs="仿宋_GB2312"/>
          <w:b/>
          <w:bCs/>
          <w:color w:val="000000"/>
          <w:kern w:val="0"/>
          <w:sz w:val="24"/>
          <w:szCs w:val="24"/>
          <w:highlight w:val="none"/>
          <w:lang w:val="en-US" w:eastAsia="zh-CN" w:bidi="ar"/>
        </w:rPr>
        <w:t>（新成立的公司提供自成立以来最新的银行资信证明）；</w:t>
      </w: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pStyle w:val="16"/>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pStyle w:val="16"/>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8 、提供参加政府采购活动前3年内在经营活动中没有重大违法记录的书面声明；</w:t>
      </w: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w:t>
      </w:r>
      <w:r>
        <w:rPr>
          <w:rFonts w:hint="eastAsia" w:ascii="仿宋" w:hAnsi="仿宋" w:eastAsia="仿宋" w:cs="仿宋"/>
          <w:b/>
          <w:bCs/>
          <w:snapToGrid w:val="0"/>
          <w:color w:val="000000"/>
          <w:spacing w:val="-4"/>
          <w:kern w:val="0"/>
          <w:sz w:val="24"/>
          <w:szCs w:val="24"/>
          <w:lang w:val="zh-CN" w:eastAsia="zh-CN" w:bidi="ar-SA"/>
        </w:rPr>
        <w:t>针对本次采购项目《反商业贿赂承诺书》；</w:t>
      </w: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pStyle w:val="16"/>
        <w:rPr>
          <w:rFonts w:hint="eastAsia" w:ascii="仿宋" w:hAnsi="仿宋" w:eastAsia="仿宋" w:cs="仿宋"/>
          <w:b/>
          <w:bCs/>
          <w:snapToGrid w:val="0"/>
          <w:color w:val="000000"/>
          <w:spacing w:val="-4"/>
          <w:kern w:val="0"/>
          <w:sz w:val="24"/>
          <w:szCs w:val="24"/>
          <w:lang w:val="en-US" w:eastAsia="zh-CN" w:bidi="ar-SA"/>
        </w:rPr>
      </w:pPr>
    </w:p>
    <w:p>
      <w:pPr>
        <w:pStyle w:val="9"/>
        <w:rPr>
          <w:rFonts w:hint="eastAsia" w:ascii="仿宋" w:hAnsi="仿宋" w:eastAsia="仿宋" w:cs="仿宋"/>
          <w:b/>
          <w:bCs/>
          <w:snapToGrid w:val="0"/>
          <w:color w:val="000000"/>
          <w:spacing w:val="-4"/>
          <w:kern w:val="0"/>
          <w:sz w:val="24"/>
          <w:szCs w:val="24"/>
          <w:lang w:val="en-US" w:eastAsia="zh-CN" w:bidi="ar-SA"/>
        </w:rPr>
      </w:pPr>
    </w:p>
    <w:p>
      <w:pPr>
        <w:pStyle w:val="9"/>
        <w:jc w:val="center"/>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10、具有履行该项目合同所必需的设备和专业技术能力的证明材料</w:t>
      </w:r>
    </w:p>
    <w:p>
      <w:pPr>
        <w:pStyle w:val="18"/>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pPr>
        <w:pStyle w:val="18"/>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p>
    <w:p>
      <w:pPr>
        <w:pStyle w:val="18"/>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具备履行合同所必需的设备/服务和专业</w:t>
      </w:r>
      <w:r>
        <w:rPr>
          <w:rFonts w:hint="eastAsia" w:ascii="仿宋" w:hAnsi="仿宋" w:eastAsia="仿宋" w:cs="仿宋"/>
          <w:b/>
          <w:bCs/>
          <w:snapToGrid w:val="0"/>
          <w:color w:val="000000"/>
          <w:spacing w:val="-4"/>
          <w:kern w:val="0"/>
          <w:sz w:val="24"/>
          <w:szCs w:val="24"/>
          <w:lang w:val="en-US" w:eastAsia="zh-CN" w:bidi="ar-SA"/>
        </w:rPr>
        <w:t>技</w:t>
      </w:r>
      <w:r>
        <w:rPr>
          <w:rFonts w:hint="eastAsia" w:ascii="仿宋" w:hAnsi="仿宋" w:eastAsia="仿宋" w:cs="仿宋"/>
          <w:b/>
          <w:bCs/>
          <w:snapToGrid w:val="0"/>
          <w:color w:val="000000"/>
          <w:spacing w:val="-4"/>
          <w:kern w:val="0"/>
          <w:sz w:val="24"/>
          <w:szCs w:val="24"/>
          <w:lang w:val="zh-CN" w:eastAsia="zh-CN" w:bidi="ar-SA"/>
        </w:rPr>
        <w:t>术能力的承诺</w:t>
      </w: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致：                      采购人</w:t>
      </w:r>
    </w:p>
    <w:p>
      <w:pPr>
        <w:pStyle w:val="18"/>
        <w:keepNext w:val="0"/>
        <w:keepLines w:val="0"/>
        <w:widowControl/>
        <w:numPr>
          <w:ilvl w:val="0"/>
          <w:numId w:val="0"/>
        </w:numPr>
        <w:suppressLineNumbers w:val="0"/>
        <w:spacing w:line="360" w:lineRule="auto"/>
        <w:ind w:firstLine="466" w:firstLineChars="200"/>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 xml:space="preserve">我 公 司 (      </w:t>
      </w:r>
      <w:r>
        <w:rPr>
          <w:rFonts w:hint="eastAsia" w:ascii="仿宋" w:hAnsi="仿宋" w:eastAsia="仿宋" w:cs="仿宋"/>
          <w:b/>
          <w:bCs/>
          <w:snapToGrid w:val="0"/>
          <w:color w:val="000000"/>
          <w:spacing w:val="-4"/>
          <w:kern w:val="0"/>
          <w:sz w:val="24"/>
          <w:szCs w:val="24"/>
          <w:lang w:val="en-US" w:eastAsia="zh-CN" w:bidi="ar-SA"/>
        </w:rPr>
        <w:t xml:space="preserve">                    </w:t>
      </w:r>
      <w:r>
        <w:rPr>
          <w:rFonts w:hint="eastAsia" w:ascii="仿宋" w:hAnsi="仿宋" w:eastAsia="仿宋" w:cs="仿宋"/>
          <w:b/>
          <w:bCs/>
          <w:snapToGrid w:val="0"/>
          <w:color w:val="000000"/>
          <w:spacing w:val="-4"/>
          <w:kern w:val="0"/>
          <w:sz w:val="24"/>
          <w:szCs w:val="24"/>
          <w:lang w:val="zh-CN" w:eastAsia="zh-CN" w:bidi="ar-SA"/>
        </w:rPr>
        <w:t>公 司 ) 参 加 贵 方 组 织 的 项  目 (项目编号：                         ) 的投标活动，如我方获得中标资格，</w:t>
      </w:r>
    </w:p>
    <w:p>
      <w:pPr>
        <w:pStyle w:val="9"/>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pPr>
        <w:pStyle w:val="9"/>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pPr>
        <w:pStyle w:val="9"/>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pPr>
        <w:pStyle w:val="9"/>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pStyle w:val="9"/>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pPr>
        <w:pStyle w:val="9"/>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pPr>
        <w:spacing w:line="360" w:lineRule="auto"/>
        <w:rPr>
          <w:rFonts w:hint="eastAsia" w:ascii="仿宋" w:hAnsi="仿宋" w:eastAsia="仿宋" w:cs="仿宋"/>
          <w:sz w:val="21"/>
        </w:rPr>
      </w:pPr>
    </w:p>
    <w:p>
      <w:pPr>
        <w:pStyle w:val="9"/>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5</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pPr>
        <w:pStyle w:val="28"/>
        <w:rPr>
          <w:rFonts w:hint="eastAsia" w:ascii="仿宋" w:hAnsi="仿宋" w:eastAsia="仿宋" w:cs="仿宋"/>
          <w:spacing w:val="1"/>
          <w:sz w:val="22"/>
          <w:szCs w:val="22"/>
        </w:rPr>
      </w:pPr>
    </w:p>
    <w:p>
      <w:pPr>
        <w:pStyle w:val="29"/>
        <w:rPr>
          <w:rFonts w:hint="eastAsia" w:ascii="仿宋" w:hAnsi="仿宋" w:eastAsia="仿宋" w:cs="仿宋"/>
          <w:spacing w:val="1"/>
          <w:sz w:val="22"/>
          <w:szCs w:val="22"/>
        </w:rPr>
      </w:pPr>
    </w:p>
    <w:p>
      <w:pPr>
        <w:spacing w:before="78" w:line="360" w:lineRule="auto"/>
        <w:rPr>
          <w:rFonts w:hint="eastAsia" w:ascii="仿宋" w:hAnsi="仿宋" w:eastAsia="仿宋" w:cs="仿宋"/>
          <w:b/>
          <w:bCs/>
          <w:snapToGrid w:val="0"/>
          <w:color w:val="000000"/>
          <w:spacing w:val="-4"/>
          <w:kern w:val="0"/>
          <w:sz w:val="24"/>
          <w:szCs w:val="24"/>
          <w:lang w:val="en-US" w:eastAsia="zh-CN" w:bidi="ar-SA"/>
        </w:rPr>
      </w:pPr>
    </w:p>
    <w:p>
      <w:pPr>
        <w:spacing w:before="78" w:line="360" w:lineRule="auto"/>
        <w:rPr>
          <w:rFonts w:hint="default" w:ascii="仿宋" w:hAnsi="仿宋" w:eastAsia="仿宋" w:cs="仿宋"/>
          <w:b/>
          <w:bCs/>
          <w:spacing w:val="-5"/>
          <w:sz w:val="24"/>
          <w:szCs w:val="24"/>
          <w:lang w:val="en-US" w:eastAsia="zh-CN"/>
        </w:rPr>
      </w:pPr>
      <w:r>
        <w:rPr>
          <w:rFonts w:hint="eastAsia" w:ascii="仿宋" w:hAnsi="仿宋" w:eastAsia="仿宋" w:cs="仿宋"/>
          <w:b/>
          <w:bCs/>
          <w:snapToGrid w:val="0"/>
          <w:color w:val="000000"/>
          <w:spacing w:val="-4"/>
          <w:kern w:val="0"/>
          <w:sz w:val="24"/>
          <w:szCs w:val="24"/>
          <w:lang w:val="en-US" w:eastAsia="zh-CN" w:bidi="ar-SA"/>
        </w:rPr>
        <w:t>11</w:t>
      </w:r>
      <w:r>
        <w:rPr>
          <w:rFonts w:hint="eastAsia" w:ascii="仿宋" w:hAnsi="仿宋" w:eastAsia="仿宋" w:cs="仿宋"/>
          <w:b/>
          <w:bCs/>
          <w:spacing w:val="-5"/>
          <w:sz w:val="24"/>
          <w:szCs w:val="24"/>
          <w:lang w:val="en-US" w:eastAsia="zh-CN"/>
        </w:rPr>
        <w:t>、</w:t>
      </w:r>
      <w:r>
        <w:rPr>
          <w:rFonts w:hint="default" w:ascii="仿宋" w:hAnsi="仿宋" w:eastAsia="仿宋" w:cs="仿宋"/>
          <w:b/>
          <w:bCs/>
          <w:spacing w:val="-5"/>
          <w:sz w:val="24"/>
          <w:szCs w:val="24"/>
          <w:lang w:val="en-US" w:eastAsia="zh-CN"/>
        </w:rPr>
        <w:t>投标单位为生产商的需提供有效期的《食品生产许可证》</w:t>
      </w:r>
      <w:r>
        <w:rPr>
          <w:rFonts w:hint="eastAsia" w:ascii="仿宋" w:hAnsi="仿宋" w:eastAsia="仿宋" w:cs="仿宋"/>
          <w:b/>
          <w:bCs/>
          <w:spacing w:val="-5"/>
          <w:sz w:val="24"/>
          <w:szCs w:val="24"/>
          <w:lang w:val="en-US" w:eastAsia="zh-CN"/>
        </w:rPr>
        <w:t>。</w:t>
      </w:r>
      <w:r>
        <w:rPr>
          <w:rFonts w:hint="default" w:ascii="仿宋" w:hAnsi="仿宋" w:eastAsia="仿宋" w:cs="仿宋"/>
          <w:b/>
          <w:bCs/>
          <w:spacing w:val="-5"/>
          <w:sz w:val="24"/>
          <w:szCs w:val="24"/>
          <w:lang w:val="en-US" w:eastAsia="zh-CN"/>
        </w:rPr>
        <w:t>投标单位为经销商的需提供有效期《食品经营许可证》或《仅销售预包装食品经营者信息采集备案表》</w:t>
      </w:r>
      <w:r>
        <w:rPr>
          <w:rFonts w:hint="eastAsia" w:ascii="仿宋" w:hAnsi="仿宋" w:eastAsia="仿宋" w:cs="仿宋"/>
          <w:b/>
          <w:bCs/>
          <w:spacing w:val="-5"/>
          <w:sz w:val="24"/>
          <w:szCs w:val="24"/>
          <w:lang w:val="en-US" w:eastAsia="zh-CN"/>
        </w:rPr>
        <w:t>；第6标段：</w:t>
      </w:r>
      <w:r>
        <w:rPr>
          <w:rFonts w:hint="default" w:ascii="仿宋" w:hAnsi="仿宋" w:eastAsia="仿宋" w:cs="仿宋"/>
          <w:b/>
          <w:bCs/>
          <w:spacing w:val="-5"/>
          <w:sz w:val="24"/>
          <w:szCs w:val="24"/>
          <w:lang w:val="en-US" w:eastAsia="zh-CN"/>
        </w:rPr>
        <w:t>若投标供应商为生产商，须提供有效</w:t>
      </w:r>
      <w:r>
        <w:rPr>
          <w:rFonts w:hint="eastAsia" w:ascii="仿宋" w:hAnsi="仿宋" w:eastAsia="仿宋" w:cs="仿宋"/>
          <w:b/>
          <w:bCs/>
          <w:spacing w:val="-5"/>
          <w:sz w:val="24"/>
          <w:szCs w:val="24"/>
          <w:lang w:val="en-US" w:eastAsia="zh-CN"/>
        </w:rPr>
        <w:t>期内</w:t>
      </w:r>
      <w:r>
        <w:rPr>
          <w:rFonts w:hint="default" w:ascii="仿宋" w:hAnsi="仿宋" w:eastAsia="仿宋" w:cs="仿宋"/>
          <w:b/>
          <w:bCs/>
          <w:spacing w:val="-5"/>
          <w:sz w:val="24"/>
          <w:szCs w:val="24"/>
          <w:lang w:val="en-US" w:eastAsia="zh-CN"/>
        </w:rPr>
        <w:t>的《食品生产许可证》</w:t>
      </w:r>
      <w:r>
        <w:rPr>
          <w:rFonts w:hint="eastAsia" w:ascii="仿宋" w:hAnsi="仿宋" w:eastAsia="仿宋" w:cs="仿宋"/>
          <w:b/>
          <w:bCs/>
          <w:spacing w:val="-5"/>
          <w:sz w:val="24"/>
          <w:szCs w:val="24"/>
          <w:lang w:val="en-US" w:eastAsia="zh-CN"/>
        </w:rPr>
        <w:t>、有效期内的</w:t>
      </w:r>
      <w:r>
        <w:rPr>
          <w:rFonts w:hint="default" w:ascii="仿宋" w:hAnsi="仿宋" w:eastAsia="仿宋" w:cs="仿宋"/>
          <w:b/>
          <w:bCs/>
          <w:spacing w:val="-5"/>
          <w:sz w:val="24"/>
          <w:szCs w:val="24"/>
          <w:lang w:val="en-US" w:eastAsia="zh-CN"/>
        </w:rPr>
        <w:t>《动物防疫条件合格证》</w:t>
      </w:r>
      <w:r>
        <w:rPr>
          <w:rFonts w:hint="eastAsia" w:ascii="仿宋" w:hAnsi="仿宋" w:eastAsia="仿宋" w:cs="仿宋"/>
          <w:b/>
          <w:bCs/>
          <w:spacing w:val="-5"/>
          <w:sz w:val="24"/>
          <w:szCs w:val="24"/>
          <w:lang w:val="en-US" w:eastAsia="zh-CN"/>
        </w:rPr>
        <w:t>及其在有效期内的官方证明材料，</w:t>
      </w:r>
      <w:r>
        <w:rPr>
          <w:rFonts w:hint="default" w:ascii="仿宋" w:hAnsi="仿宋" w:eastAsia="仿宋" w:cs="仿宋"/>
          <w:b/>
          <w:bCs/>
          <w:spacing w:val="-5"/>
          <w:sz w:val="24"/>
          <w:szCs w:val="24"/>
          <w:lang w:val="en-US" w:eastAsia="zh-CN"/>
        </w:rPr>
        <w:t>若投标供应商为经销商或代理商</w:t>
      </w:r>
      <w:r>
        <w:rPr>
          <w:rFonts w:hint="eastAsia" w:ascii="仿宋" w:hAnsi="仿宋" w:eastAsia="仿宋" w:cs="仿宋"/>
          <w:b/>
          <w:bCs/>
          <w:spacing w:val="-5"/>
          <w:sz w:val="24"/>
          <w:szCs w:val="24"/>
          <w:lang w:val="en-US" w:eastAsia="zh-CN"/>
        </w:rPr>
        <w:t>，</w:t>
      </w:r>
      <w:r>
        <w:rPr>
          <w:rFonts w:hint="default" w:ascii="仿宋" w:hAnsi="仿宋" w:eastAsia="仿宋" w:cs="仿宋"/>
          <w:b/>
          <w:bCs/>
          <w:spacing w:val="-5"/>
          <w:sz w:val="24"/>
          <w:szCs w:val="24"/>
          <w:lang w:val="en-US" w:eastAsia="zh-CN"/>
        </w:rPr>
        <w:t>须提供</w:t>
      </w:r>
      <w:r>
        <w:rPr>
          <w:rFonts w:hint="eastAsia" w:ascii="仿宋" w:hAnsi="仿宋" w:eastAsia="仿宋" w:cs="仿宋"/>
          <w:b/>
          <w:bCs/>
          <w:spacing w:val="-5"/>
          <w:sz w:val="24"/>
          <w:szCs w:val="24"/>
          <w:lang w:val="en-US" w:eastAsia="zh-CN"/>
        </w:rPr>
        <w:t>自身在有效期内的</w:t>
      </w:r>
      <w:r>
        <w:rPr>
          <w:rFonts w:hint="default" w:ascii="仿宋" w:hAnsi="仿宋" w:eastAsia="仿宋" w:cs="仿宋"/>
          <w:b/>
          <w:bCs/>
          <w:spacing w:val="-5"/>
          <w:sz w:val="24"/>
          <w:szCs w:val="24"/>
          <w:lang w:val="en-US" w:eastAsia="zh-CN"/>
        </w:rPr>
        <w:t>《食品经营许可证》或《仅销售预包装食品经营者信息采集备案表</w:t>
      </w:r>
      <w:r>
        <w:rPr>
          <w:rFonts w:hint="eastAsia" w:ascii="仿宋" w:hAnsi="仿宋" w:eastAsia="仿宋" w:cs="仿宋"/>
          <w:b/>
          <w:bCs/>
          <w:spacing w:val="-5"/>
          <w:sz w:val="24"/>
          <w:szCs w:val="24"/>
          <w:lang w:val="en-US" w:eastAsia="zh-CN"/>
        </w:rPr>
        <w:t>》；并提供自身或上游供货商有效期内的《动物防疫条件合格证》及其在有效期内的官方证明材料，若使用上游供货商的《动物防疫条件合格证》，还需提供与上游供货商的合作协议等证明材料；</w:t>
      </w:r>
    </w:p>
    <w:p>
      <w:pPr>
        <w:spacing w:before="78" w:line="360" w:lineRule="auto"/>
        <w:outlineLvl w:val="2"/>
        <w:rPr>
          <w:rFonts w:hint="eastAsia" w:ascii="仿宋" w:hAnsi="仿宋" w:eastAsia="仿宋" w:cs="仿宋"/>
          <w:b/>
          <w:bCs/>
          <w:spacing w:val="-5"/>
          <w:sz w:val="24"/>
          <w:szCs w:val="24"/>
        </w:rPr>
      </w:pPr>
      <w:bookmarkStart w:id="156" w:name="_Toc24108"/>
    </w:p>
    <w:p>
      <w:pPr>
        <w:spacing w:before="78" w:line="360" w:lineRule="auto"/>
        <w:outlineLvl w:val="2"/>
        <w:rPr>
          <w:rFonts w:hint="eastAsia" w:ascii="仿宋" w:hAnsi="仿宋" w:eastAsia="仿宋" w:cs="仿宋"/>
          <w:b/>
          <w:bCs/>
          <w:spacing w:val="-5"/>
          <w:sz w:val="24"/>
          <w:szCs w:val="24"/>
        </w:rPr>
      </w:pPr>
    </w:p>
    <w:p>
      <w:pPr>
        <w:spacing w:before="78" w:line="360" w:lineRule="auto"/>
        <w:outlineLvl w:val="2"/>
        <w:rPr>
          <w:rFonts w:hint="eastAsia" w:ascii="仿宋" w:hAnsi="仿宋" w:eastAsia="仿宋" w:cs="仿宋"/>
          <w:b/>
          <w:bCs/>
          <w:spacing w:val="-5"/>
          <w:sz w:val="24"/>
          <w:szCs w:val="24"/>
        </w:rPr>
      </w:pPr>
    </w:p>
    <w:p>
      <w:pPr>
        <w:spacing w:before="78" w:line="360" w:lineRule="auto"/>
        <w:outlineLvl w:val="2"/>
        <w:rPr>
          <w:rFonts w:hint="eastAsia" w:ascii="仿宋" w:hAnsi="仿宋" w:eastAsia="仿宋" w:cs="仿宋"/>
          <w:b/>
          <w:bCs/>
          <w:spacing w:val="-5"/>
          <w:sz w:val="24"/>
          <w:szCs w:val="24"/>
        </w:rPr>
      </w:pPr>
    </w:p>
    <w:p>
      <w:pPr>
        <w:spacing w:before="78" w:line="360" w:lineRule="auto"/>
        <w:outlineLvl w:val="2"/>
        <w:rPr>
          <w:rFonts w:hint="eastAsia" w:ascii="仿宋" w:hAnsi="仿宋" w:eastAsia="仿宋" w:cs="仿宋"/>
          <w:b/>
          <w:bCs/>
          <w:spacing w:val="-5"/>
          <w:sz w:val="24"/>
          <w:szCs w:val="24"/>
        </w:rPr>
      </w:pPr>
      <w:r>
        <w:rPr>
          <w:rFonts w:hint="eastAsia" w:ascii="仿宋" w:hAnsi="仿宋" w:eastAsia="仿宋" w:cs="仿宋"/>
          <w:b/>
          <w:bCs/>
          <w:spacing w:val="-5"/>
          <w:sz w:val="24"/>
          <w:szCs w:val="24"/>
        </w:rPr>
        <w:t>1</w:t>
      </w:r>
      <w:r>
        <w:rPr>
          <w:rFonts w:hint="eastAsia" w:ascii="仿宋" w:hAnsi="仿宋" w:eastAsia="仿宋" w:cs="仿宋"/>
          <w:b/>
          <w:bCs/>
          <w:spacing w:val="-5"/>
          <w:sz w:val="24"/>
          <w:szCs w:val="24"/>
          <w:lang w:val="en-US" w:eastAsia="zh-CN"/>
        </w:rPr>
        <w:t>2</w:t>
      </w:r>
      <w:r>
        <w:rPr>
          <w:rFonts w:hint="eastAsia" w:ascii="仿宋" w:hAnsi="仿宋" w:eastAsia="仿宋" w:cs="仿宋"/>
          <w:b/>
          <w:bCs/>
          <w:spacing w:val="-26"/>
          <w:sz w:val="24"/>
          <w:szCs w:val="24"/>
        </w:rPr>
        <w:t xml:space="preserve"> </w:t>
      </w:r>
      <w:r>
        <w:rPr>
          <w:rFonts w:hint="eastAsia" w:ascii="仿宋" w:hAnsi="仿宋" w:eastAsia="仿宋" w:cs="仿宋"/>
          <w:b/>
          <w:bCs/>
          <w:spacing w:val="-5"/>
          <w:sz w:val="24"/>
          <w:szCs w:val="24"/>
        </w:rPr>
        <w:t>、本项目</w:t>
      </w:r>
      <w:r>
        <w:rPr>
          <w:rFonts w:hint="eastAsia" w:ascii="仿宋" w:hAnsi="仿宋" w:eastAsia="仿宋" w:cs="仿宋"/>
          <w:b/>
          <w:bCs/>
          <w:spacing w:val="-5"/>
          <w:sz w:val="24"/>
          <w:szCs w:val="24"/>
          <w:lang w:val="en-US" w:eastAsia="zh-CN"/>
        </w:rPr>
        <w:t>不</w:t>
      </w:r>
      <w:r>
        <w:rPr>
          <w:rFonts w:hint="eastAsia" w:ascii="仿宋" w:hAnsi="仿宋" w:eastAsia="仿宋" w:cs="仿宋"/>
          <w:b/>
          <w:bCs/>
          <w:spacing w:val="-5"/>
          <w:sz w:val="24"/>
          <w:szCs w:val="24"/>
        </w:rPr>
        <w:t>接受联合体投标</w:t>
      </w:r>
      <w:bookmarkEnd w:id="156"/>
    </w:p>
    <w:p>
      <w:pPr>
        <w:spacing w:before="78" w:line="360" w:lineRule="auto"/>
        <w:ind w:firstLine="1848" w:firstLineChars="800"/>
        <w:rPr>
          <w:rFonts w:hint="eastAsia" w:ascii="仿宋" w:hAnsi="仿宋" w:eastAsia="仿宋" w:cs="仿宋"/>
          <w:b/>
          <w:bCs/>
          <w:spacing w:val="-5"/>
          <w:sz w:val="24"/>
          <w:szCs w:val="24"/>
          <w:lang w:eastAsia="zh-CN"/>
        </w:rPr>
      </w:pPr>
    </w:p>
    <w:p>
      <w:pPr>
        <w:pStyle w:val="16"/>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4"/>
        <w:topLinePunct/>
        <w:spacing w:before="0" w:line="240" w:lineRule="atLeast"/>
        <w:jc w:val="both"/>
        <w:rPr>
          <w:rFonts w:hint="default" w:ascii="Times New Roman" w:hAnsi="Times New Roman" w:eastAsia="仿宋_GB2312" w:cs="Times New Roman"/>
          <w:sz w:val="24"/>
          <w:lang w:eastAsia="zh-CN"/>
        </w:rPr>
      </w:pPr>
      <w:r>
        <w:rPr>
          <w:rFonts w:hint="eastAsia" w:ascii="仿宋" w:hAnsi="仿宋" w:eastAsia="仿宋" w:cs="仿宋"/>
          <w:b/>
          <w:bCs/>
          <w:spacing w:val="-5"/>
          <w:sz w:val="24"/>
          <w:szCs w:val="24"/>
          <w:lang w:val="en-US" w:eastAsia="zh-CN"/>
        </w:rPr>
        <w:t>13</w:t>
      </w:r>
      <w:r>
        <w:rPr>
          <w:rFonts w:hint="default" w:ascii="Times New Roman" w:hAnsi="Times New Roman" w:eastAsia="仿宋_GB2312" w:cs="Times New Roman"/>
          <w:sz w:val="24"/>
          <w:lang w:eastAsia="zh-CN"/>
        </w:rPr>
        <w:t>投标人须知资料表要求的其他资格证明文件</w:t>
      </w:r>
    </w:p>
    <w:p>
      <w:pPr>
        <w:topLinePunct/>
        <w:spacing w:line="240" w:lineRule="atLeast"/>
        <w:ind w:left="1080" w:leftChars="257" w:hanging="540"/>
        <w:jc w:val="center"/>
        <w:rPr>
          <w:rFonts w:hint="default" w:ascii="Times New Roman" w:hAnsi="Times New Roman" w:eastAsia="仿宋_GB2312" w:cs="Times New Roman"/>
          <w:b/>
          <w:bCs/>
          <w:sz w:val="24"/>
          <w:lang w:eastAsia="zh-CN"/>
        </w:rPr>
      </w:pPr>
    </w:p>
    <w:p>
      <w:pPr>
        <w:topLinePunct/>
        <w:spacing w:line="240" w:lineRule="atLeast"/>
        <w:ind w:left="1080" w:leftChars="257" w:hanging="540"/>
        <w:jc w:val="center"/>
        <w:rPr>
          <w:rFonts w:hint="default" w:ascii="Times New Roman" w:hAnsi="Times New Roman" w:eastAsia="仿宋_GB2312" w:cs="Times New Roman"/>
          <w:b/>
          <w:bCs/>
          <w:sz w:val="24"/>
          <w:lang w:eastAsia="zh-CN"/>
        </w:rPr>
      </w:pPr>
    </w:p>
    <w:p>
      <w:pPr>
        <w:topLinePunct/>
        <w:spacing w:line="240" w:lineRule="atLeast"/>
        <w:ind w:left="1080" w:leftChars="257" w:hanging="540"/>
        <w:jc w:val="center"/>
        <w:rPr>
          <w:rFonts w:hint="default" w:ascii="Times New Roman" w:hAnsi="Times New Roman" w:eastAsia="仿宋_GB2312" w:cs="Times New Roman"/>
          <w:b/>
          <w:bCs/>
          <w:sz w:val="24"/>
          <w:lang w:eastAsia="zh-CN"/>
        </w:rPr>
      </w:pPr>
    </w:p>
    <w:p>
      <w:pPr>
        <w:pStyle w:val="11"/>
        <w:tabs>
          <w:tab w:val="left" w:pos="5580"/>
        </w:tabs>
        <w:topLinePunct/>
        <w:spacing w:line="240" w:lineRule="atLeas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说明：1.应提供</w:t>
      </w:r>
      <w:r>
        <w:rPr>
          <w:rFonts w:hint="default" w:ascii="Times New Roman" w:hAnsi="Times New Roman" w:eastAsia="仿宋_GB2312" w:cs="Times New Roman"/>
          <w:b/>
          <w:bCs/>
          <w:sz w:val="24"/>
          <w:u w:val="single"/>
          <w:lang w:eastAsia="zh-CN"/>
        </w:rPr>
        <w:t>投标人须知资料表</w:t>
      </w:r>
      <w:r>
        <w:rPr>
          <w:rFonts w:hint="default" w:ascii="Times New Roman" w:hAnsi="Times New Roman" w:eastAsia="仿宋_GB2312" w:cs="Times New Roman"/>
          <w:sz w:val="24"/>
          <w:lang w:eastAsia="zh-CN"/>
        </w:rPr>
        <w:t>要求的其他资格证明文件。</w:t>
      </w:r>
    </w:p>
    <w:p>
      <w:pPr>
        <w:pStyle w:val="11"/>
        <w:tabs>
          <w:tab w:val="left" w:pos="5580"/>
        </w:tabs>
        <w:topLinePunct/>
        <w:spacing w:line="240" w:lineRule="atLeast"/>
        <w:ind w:firstLine="720" w:firstLineChars="30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2.复印件上应加盖本单位章（自然人投标的无需盖章，需要签字）。</w:t>
      </w:r>
    </w:p>
    <w:p>
      <w:pPr>
        <w:pStyle w:val="11"/>
        <w:tabs>
          <w:tab w:val="left" w:pos="5580"/>
        </w:tabs>
        <w:topLinePunct/>
        <w:spacing w:line="240" w:lineRule="atLeast"/>
        <w:ind w:firstLine="720" w:firstLineChars="30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3.如果是联合体投标，联合体各方需提供的满足招标文件要求的其他资格证明文件。</w:t>
      </w:r>
    </w:p>
    <w:p>
      <w:pPr>
        <w:pStyle w:val="9"/>
        <w:rPr>
          <w:rFonts w:hint="default" w:ascii="仿宋" w:hAnsi="仿宋" w:eastAsia="仿宋" w:cs="仿宋"/>
          <w:b/>
          <w:bCs/>
          <w:spacing w:val="-5"/>
          <w:sz w:val="24"/>
          <w:szCs w:val="24"/>
          <w:lang w:val="en-US" w:eastAsia="zh-CN"/>
        </w:rPr>
        <w:sectPr>
          <w:headerReference r:id="rId15" w:type="default"/>
          <w:footerReference r:id="rId16"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p>
    <w:p>
      <w:pPr>
        <w:rPr>
          <w:rFonts w:hint="eastAsia" w:ascii="仿宋" w:hAnsi="仿宋" w:eastAsia="仿宋" w:cs="仿宋"/>
          <w:sz w:val="22"/>
          <w:szCs w:val="22"/>
        </w:rPr>
      </w:pPr>
    </w:p>
    <w:p>
      <w:pPr>
        <w:pStyle w:val="3"/>
        <w:bidi w:val="0"/>
        <w:outlineLvl w:val="1"/>
        <w:rPr>
          <w:rFonts w:hint="eastAsia" w:ascii="仿宋" w:hAnsi="仿宋" w:eastAsia="仿宋" w:cs="仿宋"/>
          <w:b/>
          <w:bCs/>
          <w:sz w:val="24"/>
          <w:szCs w:val="24"/>
        </w:rPr>
      </w:pPr>
      <w:bookmarkStart w:id="157" w:name="_Toc19762"/>
      <w:r>
        <w:rPr>
          <w:rFonts w:hint="eastAsia" w:ascii="仿宋" w:hAnsi="仿宋" w:eastAsia="仿宋" w:cs="仿宋"/>
          <w:b/>
          <w:bCs/>
          <w:spacing w:val="-5"/>
          <w:sz w:val="24"/>
          <w:szCs w:val="24"/>
        </w:rPr>
        <w:t>第二部分</w:t>
      </w:r>
      <w:r>
        <w:rPr>
          <w:rFonts w:hint="eastAsia" w:ascii="仿宋" w:hAnsi="仿宋" w:eastAsia="仿宋" w:cs="仿宋"/>
          <w:b/>
          <w:bCs/>
          <w:spacing w:val="13"/>
          <w:sz w:val="24"/>
          <w:szCs w:val="24"/>
        </w:rPr>
        <w:t xml:space="preserve">  </w:t>
      </w:r>
      <w:r>
        <w:rPr>
          <w:rFonts w:hint="eastAsia" w:ascii="仿宋" w:hAnsi="仿宋" w:eastAsia="仿宋" w:cs="仿宋"/>
          <w:b/>
          <w:bCs/>
          <w:spacing w:val="-5"/>
          <w:sz w:val="24"/>
          <w:szCs w:val="24"/>
        </w:rPr>
        <w:t>商务及技术文件</w:t>
      </w:r>
      <w:bookmarkEnd w:id="157"/>
    </w:p>
    <w:p>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pPr>
        <w:spacing w:before="86" w:line="360" w:lineRule="auto"/>
        <w:ind w:left="565"/>
        <w:rPr>
          <w:rFonts w:hint="eastAsia" w:ascii="仿宋" w:hAnsi="仿宋" w:eastAsia="仿宋" w:cs="仿宋"/>
          <w:sz w:val="24"/>
          <w:szCs w:val="24"/>
          <w:lang w:eastAsia="zh-CN"/>
        </w:rPr>
      </w:pPr>
      <w:r>
        <w:rPr>
          <w:rFonts w:hint="eastAsia" w:ascii="仿宋" w:hAnsi="仿宋" w:eastAsia="仿宋" w:cs="仿宋"/>
          <w:spacing w:val="-2"/>
          <w:sz w:val="24"/>
          <w:szCs w:val="24"/>
        </w:rPr>
        <w:t>2、投标分项报价表</w:t>
      </w:r>
    </w:p>
    <w:p>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val="en-US" w:eastAsia="zh-CN"/>
        </w:rPr>
        <w:t>货物</w:t>
      </w:r>
      <w:r>
        <w:rPr>
          <w:rFonts w:hint="eastAsia" w:ascii="仿宋" w:hAnsi="仿宋" w:eastAsia="仿宋" w:cs="仿宋"/>
          <w:spacing w:val="-3"/>
          <w:sz w:val="24"/>
          <w:szCs w:val="24"/>
        </w:rPr>
        <w:t>说明一览表</w:t>
      </w:r>
    </w:p>
    <w:p>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pPr>
        <w:spacing w:before="39" w:line="360" w:lineRule="auto"/>
        <w:ind w:left="1094" w:right="11" w:hanging="529"/>
        <w:jc w:val="left"/>
        <w:rPr>
          <w:rFonts w:hint="eastAsia" w:ascii="仿宋" w:hAnsi="仿宋" w:eastAsia="仿宋" w:cs="仿宋"/>
          <w:spacing w:val="2"/>
          <w:sz w:val="24"/>
          <w:szCs w:val="24"/>
        </w:rPr>
      </w:pPr>
      <w:r>
        <w:rPr>
          <w:rFonts w:hint="eastAsia" w:ascii="仿宋" w:hAnsi="仿宋" w:eastAsia="仿宋" w:cs="仿宋"/>
          <w:spacing w:val="-2"/>
          <w:sz w:val="24"/>
          <w:szCs w:val="24"/>
        </w:rPr>
        <w:t>6、符合</w:t>
      </w:r>
      <w:r>
        <w:rPr>
          <w:rFonts w:hint="eastAsia" w:ascii="仿宋" w:hAnsi="仿宋" w:eastAsia="仿宋" w:cs="仿宋"/>
          <w:snapToGrid w:val="0"/>
          <w:color w:val="000000"/>
          <w:kern w:val="0"/>
          <w:sz w:val="24"/>
          <w:szCs w:val="24"/>
          <w:lang w:val="en-US" w:eastAsia="zh-CN" w:bidi="ar-SA"/>
        </w:rPr>
        <w:t>《政府采购促进中小企业发展管理办法》财库2020 46号</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pPr>
        <w:spacing w:before="39" w:line="360" w:lineRule="auto"/>
        <w:ind w:left="1094" w:right="11" w:hanging="529"/>
        <w:jc w:val="left"/>
        <w:rPr>
          <w:rFonts w:hint="eastAsia" w:ascii="仿宋" w:hAnsi="仿宋" w:eastAsia="仿宋" w:cs="仿宋"/>
          <w:sz w:val="24"/>
          <w:szCs w:val="24"/>
        </w:rPr>
      </w:pPr>
      <w:r>
        <w:rPr>
          <w:rFonts w:hint="eastAsia" w:ascii="仿宋" w:hAnsi="仿宋" w:eastAsia="仿宋" w:cs="仿宋"/>
          <w:spacing w:val="-1"/>
          <w:sz w:val="24"/>
          <w:szCs w:val="24"/>
        </w:rPr>
        <w:t>6-1《投标人企业（单位）类型声明函》</w:t>
      </w:r>
    </w:p>
    <w:p>
      <w:pPr>
        <w:spacing w:before="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《残疾人福利性单位声明函》</w:t>
      </w:r>
    </w:p>
    <w:p>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《中小企业声明函》</w:t>
      </w:r>
    </w:p>
    <w:p>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pPr>
        <w:spacing w:before="66" w:line="360" w:lineRule="auto"/>
        <w:ind w:left="563"/>
        <w:rPr>
          <w:rFonts w:hint="eastAsia" w:ascii="仿宋" w:hAnsi="仿宋" w:eastAsia="仿宋" w:cs="仿宋"/>
          <w:sz w:val="24"/>
          <w:szCs w:val="24"/>
        </w:rPr>
      </w:pPr>
      <w:r>
        <w:rPr>
          <w:rFonts w:hint="eastAsia" w:ascii="仿宋" w:hAnsi="仿宋" w:eastAsia="仿宋" w:cs="仿宋"/>
          <w:spacing w:val="-1"/>
          <w:sz w:val="24"/>
          <w:szCs w:val="24"/>
        </w:rPr>
        <w:t>8、投标人可提供有利于投标的其他资格证明材料</w:t>
      </w:r>
    </w:p>
    <w:p>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9、投标文件格式范本</w:t>
      </w:r>
    </w:p>
    <w:p>
      <w:pPr>
        <w:spacing w:line="182" w:lineRule="auto"/>
        <w:rPr>
          <w:rFonts w:hint="eastAsia" w:ascii="仿宋" w:hAnsi="仿宋" w:eastAsia="仿宋" w:cs="仿宋"/>
          <w:sz w:val="24"/>
          <w:szCs w:val="24"/>
        </w:rPr>
        <w:sectPr>
          <w:headerReference r:id="rId17" w:type="default"/>
          <w:footerReference r:id="rId18"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p>
    <w:p>
      <w:pPr>
        <w:pStyle w:val="3"/>
        <w:bidi w:val="0"/>
        <w:outlineLvl w:val="2"/>
        <w:rPr>
          <w:rFonts w:hint="eastAsia"/>
        </w:rPr>
      </w:pPr>
      <w:bookmarkStart w:id="158" w:name="_Toc32544"/>
      <w:r>
        <w:rPr>
          <w:rFonts w:hint="eastAsia"/>
        </w:rPr>
        <w:t>1 投标书</w:t>
      </w:r>
      <w:bookmarkEnd w:id="158"/>
    </w:p>
    <w:p>
      <w:pPr>
        <w:spacing w:before="86" w:line="360" w:lineRule="auto"/>
        <w:ind w:left="15"/>
        <w:rPr>
          <w:rFonts w:hint="eastAsia" w:ascii="仿宋" w:hAnsi="仿宋" w:eastAsia="仿宋" w:cs="仿宋"/>
          <w:sz w:val="24"/>
          <w:szCs w:val="24"/>
        </w:rPr>
      </w:pPr>
      <w:r>
        <w:rPr>
          <w:rFonts w:hint="eastAsia" w:ascii="仿宋" w:hAnsi="仿宋" w:eastAsia="仿宋" w:cs="仿宋"/>
          <w:spacing w:val="-3"/>
          <w:sz w:val="24"/>
          <w:szCs w:val="24"/>
        </w:rPr>
        <w:t>致：</w:t>
      </w:r>
    </w:p>
    <w:p>
      <w:pPr>
        <w:spacing w:line="360" w:lineRule="auto"/>
        <w:rPr>
          <w:rFonts w:hint="eastAsia" w:ascii="仿宋" w:hAnsi="仿宋" w:eastAsia="仿宋" w:cs="仿宋"/>
          <w:sz w:val="21"/>
        </w:rPr>
      </w:pPr>
    </w:p>
    <w:p>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72" w:line="360" w:lineRule="auto"/>
        <w:ind w:left="588"/>
        <w:rPr>
          <w:rFonts w:hint="eastAsia" w:ascii="仿宋" w:hAnsi="仿宋" w:eastAsia="仿宋" w:cs="仿宋"/>
          <w:sz w:val="24"/>
          <w:szCs w:val="24"/>
        </w:rPr>
        <w:sectPr>
          <w:footerReference r:id="rId19"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pPr>
        <w:pStyle w:val="3"/>
        <w:bidi w:val="0"/>
        <w:jc w:val="center"/>
        <w:outlineLvl w:val="2"/>
        <w:rPr>
          <w:rFonts w:hint="eastAsia" w:ascii="仿宋" w:hAnsi="仿宋" w:eastAsia="仿宋" w:cs="仿宋"/>
          <w:sz w:val="24"/>
          <w:szCs w:val="24"/>
          <w:lang w:val="en-US" w:eastAsia="zh-CN"/>
        </w:rPr>
      </w:pPr>
      <w:bookmarkStart w:id="159" w:name="_Toc6983"/>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bookmarkEnd w:id="159"/>
      <w:r>
        <w:rPr>
          <w:rFonts w:hint="eastAsia" w:ascii="仿宋" w:hAnsi="仿宋" w:eastAsia="仿宋" w:cs="仿宋"/>
          <w:b/>
          <w:bCs/>
          <w:spacing w:val="-3"/>
          <w:sz w:val="24"/>
          <w:szCs w:val="24"/>
          <w:lang w:val="en-US" w:eastAsia="zh-CN"/>
        </w:rPr>
        <w:t>（</w:t>
      </w:r>
      <w:r>
        <w:rPr>
          <w:rFonts w:hint="eastAsia" w:ascii="仿宋" w:hAnsi="仿宋" w:eastAsia="仿宋" w:cs="仿宋"/>
          <w:b/>
          <w:bCs/>
          <w:color w:val="FF0000"/>
          <w:spacing w:val="-3"/>
          <w:sz w:val="28"/>
          <w:szCs w:val="28"/>
          <w:lang w:val="en-US" w:eastAsia="zh-CN"/>
        </w:rPr>
        <w:t>学生饮用奶、调料</w:t>
      </w:r>
      <w:r>
        <w:rPr>
          <w:rFonts w:hint="eastAsia" w:ascii="仿宋" w:hAnsi="仿宋" w:eastAsia="仿宋" w:cs="仿宋"/>
          <w:b/>
          <w:bCs/>
          <w:spacing w:val="-3"/>
          <w:sz w:val="24"/>
          <w:szCs w:val="24"/>
          <w:lang w:val="en-US" w:eastAsia="zh-CN"/>
        </w:rPr>
        <w:t>）</w:t>
      </w:r>
    </w:p>
    <w:p>
      <w:pPr>
        <w:spacing w:line="379" w:lineRule="auto"/>
        <w:rPr>
          <w:rFonts w:hint="eastAsia" w:ascii="仿宋" w:hAnsi="仿宋" w:eastAsia="仿宋" w:cs="仿宋"/>
          <w:sz w:val="21"/>
        </w:rPr>
      </w:pPr>
    </w:p>
    <w:p>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1"/>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921"/>
        <w:gridCol w:w="892"/>
        <w:gridCol w:w="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879" w:type="dxa"/>
            <w:vAlign w:val="top"/>
          </w:tcPr>
          <w:p>
            <w:pPr>
              <w:spacing w:line="318" w:lineRule="auto"/>
              <w:rPr>
                <w:rFonts w:hint="eastAsia" w:ascii="仿宋" w:hAnsi="仿宋" w:eastAsia="仿宋" w:cs="仿宋"/>
                <w:sz w:val="21"/>
              </w:rPr>
            </w:pPr>
          </w:p>
          <w:p>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pPr>
              <w:spacing w:line="319" w:lineRule="auto"/>
              <w:rPr>
                <w:rFonts w:hint="eastAsia" w:ascii="仿宋" w:hAnsi="仿宋" w:eastAsia="仿宋" w:cs="仿宋"/>
                <w:sz w:val="21"/>
              </w:rPr>
            </w:pPr>
          </w:p>
          <w:p>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pPr>
              <w:spacing w:line="319" w:lineRule="auto"/>
              <w:rPr>
                <w:rFonts w:hint="eastAsia" w:ascii="仿宋" w:hAnsi="仿宋" w:eastAsia="仿宋" w:cs="仿宋"/>
                <w:sz w:val="21"/>
              </w:rPr>
            </w:pPr>
          </w:p>
          <w:p>
            <w:pPr>
              <w:spacing w:before="103" w:line="183" w:lineRule="auto"/>
              <w:ind w:left="169"/>
              <w:rPr>
                <w:rFonts w:hint="eastAsia" w:ascii="仿宋" w:hAnsi="仿宋" w:eastAsia="仿宋" w:cs="仿宋"/>
                <w:sz w:val="24"/>
                <w:szCs w:val="24"/>
              </w:rPr>
            </w:pPr>
            <w:r>
              <w:rPr>
                <w:rFonts w:hint="eastAsia" w:ascii="仿宋" w:hAnsi="仿宋" w:eastAsia="仿宋" w:cs="仿宋"/>
                <w:spacing w:val="-2"/>
                <w:sz w:val="24"/>
                <w:szCs w:val="24"/>
              </w:rPr>
              <w:t>型号和规格</w:t>
            </w:r>
          </w:p>
        </w:tc>
        <w:tc>
          <w:tcPr>
            <w:tcW w:w="862" w:type="dxa"/>
            <w:vAlign w:val="top"/>
          </w:tcPr>
          <w:p>
            <w:pPr>
              <w:spacing w:line="321" w:lineRule="auto"/>
              <w:rPr>
                <w:rFonts w:hint="eastAsia" w:ascii="仿宋" w:hAnsi="仿宋" w:eastAsia="仿宋" w:cs="仿宋"/>
                <w:sz w:val="21"/>
              </w:rPr>
            </w:pPr>
          </w:p>
          <w:p>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pPr>
              <w:spacing w:before="225" w:line="179" w:lineRule="auto"/>
              <w:ind w:left="237"/>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vAlign w:val="top"/>
          </w:tcPr>
          <w:p>
            <w:pPr>
              <w:spacing w:line="319" w:lineRule="auto"/>
              <w:rPr>
                <w:rFonts w:hint="eastAsia" w:ascii="仿宋" w:hAnsi="仿宋" w:eastAsia="仿宋" w:cs="仿宋"/>
                <w:sz w:val="21"/>
              </w:rPr>
            </w:pPr>
          </w:p>
          <w:p>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578" w:type="dxa"/>
            <w:vAlign w:val="top"/>
          </w:tcPr>
          <w:p>
            <w:pPr>
              <w:spacing w:line="319" w:lineRule="auto"/>
              <w:rPr>
                <w:rFonts w:hint="eastAsia" w:ascii="仿宋" w:hAnsi="仿宋" w:eastAsia="仿宋" w:cs="仿宋"/>
                <w:sz w:val="21"/>
              </w:rPr>
            </w:pPr>
          </w:p>
          <w:p>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制造商名称</w:t>
            </w:r>
          </w:p>
        </w:tc>
        <w:tc>
          <w:tcPr>
            <w:tcW w:w="921" w:type="dxa"/>
            <w:vAlign w:val="center"/>
          </w:tcPr>
          <w:p>
            <w:pPr>
              <w:spacing w:before="221" w:line="180" w:lineRule="auto"/>
              <w:jc w:val="center"/>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单价</w:t>
            </w:r>
          </w:p>
        </w:tc>
        <w:tc>
          <w:tcPr>
            <w:tcW w:w="892" w:type="dxa"/>
            <w:vAlign w:val="top"/>
          </w:tcPr>
          <w:p>
            <w:pPr>
              <w:spacing w:line="319" w:lineRule="auto"/>
              <w:rPr>
                <w:rFonts w:hint="eastAsia" w:ascii="仿宋" w:hAnsi="仿宋" w:eastAsia="仿宋" w:cs="仿宋"/>
                <w:sz w:val="21"/>
              </w:rPr>
            </w:pPr>
          </w:p>
          <w:p>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pPr>
              <w:spacing w:line="318" w:lineRule="auto"/>
              <w:rPr>
                <w:rFonts w:hint="eastAsia" w:ascii="仿宋" w:hAnsi="仿宋" w:eastAsia="仿宋" w:cs="仿宋"/>
                <w:sz w:val="21"/>
              </w:rPr>
            </w:pPr>
          </w:p>
          <w:p>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vAlign w:val="top"/>
          </w:tcPr>
          <w:p>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highlight w:val="yellow"/>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vAlign w:val="top"/>
          </w:tcPr>
          <w:p>
            <w:pPr>
              <w:spacing w:line="252" w:lineRule="auto"/>
              <w:rPr>
                <w:rFonts w:hint="eastAsia" w:ascii="仿宋" w:hAnsi="仿宋" w:eastAsia="仿宋" w:cs="仿宋"/>
                <w:sz w:val="21"/>
              </w:rPr>
            </w:pPr>
          </w:p>
          <w:p>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pPr>
              <w:spacing w:line="173" w:lineRule="auto"/>
              <w:ind w:left="187"/>
              <w:rPr>
                <w:rFonts w:hint="eastAsia" w:ascii="仿宋" w:hAnsi="仿宋" w:eastAsia="仿宋" w:cs="仿宋"/>
                <w:sz w:val="24"/>
                <w:szCs w:val="24"/>
                <w:lang w:val="en-US" w:eastAsia="zh-CN"/>
              </w:rPr>
            </w:pPr>
          </w:p>
          <w:p>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vAlign w:val="top"/>
          </w:tcPr>
          <w:p>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059" w:type="dxa"/>
            <w:gridSpan w:val="8"/>
            <w:vAlign w:val="top"/>
          </w:tcPr>
          <w:p>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697" w:type="dxa"/>
            <w:gridSpan w:val="2"/>
            <w:vAlign w:val="top"/>
          </w:tcPr>
          <w:p>
            <w:pPr>
              <w:rPr>
                <w:rFonts w:hint="eastAsia" w:ascii="仿宋" w:hAnsi="仿宋" w:eastAsia="仿宋" w:cs="仿宋"/>
                <w:sz w:val="21"/>
              </w:rPr>
            </w:pPr>
          </w:p>
        </w:tc>
      </w:tr>
    </w:tbl>
    <w:p>
      <w:pPr>
        <w:spacing w:line="364" w:lineRule="auto"/>
        <w:rPr>
          <w:rFonts w:hint="eastAsia" w:ascii="仿宋" w:hAnsi="仿宋" w:eastAsia="仿宋" w:cs="仿宋"/>
          <w:sz w:val="21"/>
        </w:rPr>
      </w:pPr>
    </w:p>
    <w:p>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pPr>
        <w:numPr>
          <w:ilvl w:val="0"/>
          <w:numId w:val="8"/>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pPr>
        <w:numPr>
          <w:ilvl w:val="0"/>
          <w:numId w:val="8"/>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pPr>
        <w:numPr>
          <w:ilvl w:val="0"/>
          <w:numId w:val="8"/>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pPr>
        <w:numPr>
          <w:ilvl w:val="0"/>
          <w:numId w:val="8"/>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pPr>
        <w:numPr>
          <w:ilvl w:val="0"/>
          <w:numId w:val="8"/>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color w:val="404040"/>
          <w:spacing w:val="-7"/>
          <w:sz w:val="24"/>
          <w:szCs w:val="24"/>
        </w:rPr>
        <w:t>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w:t>
      </w:r>
      <w:r>
        <w:rPr>
          <w:rFonts w:hint="eastAsia" w:ascii="仿宋" w:hAnsi="仿宋" w:eastAsia="仿宋" w:cs="仿宋"/>
          <w:color w:val="404040"/>
          <w:spacing w:val="-3"/>
          <w:sz w:val="24"/>
          <w:szCs w:val="24"/>
        </w:rPr>
        <w:t>一致的， 以开标一览表（报价表）内容为准。</w:t>
      </w:r>
    </w:p>
    <w:p>
      <w:pPr>
        <w:numPr>
          <w:ilvl w:val="0"/>
          <w:numId w:val="8"/>
        </w:numPr>
        <w:spacing w:before="67" w:line="360" w:lineRule="auto"/>
        <w:ind w:left="1322"/>
        <w:outlineLvl w:val="2"/>
        <w:rPr>
          <w:rFonts w:hint="eastAsia" w:ascii="仿宋" w:hAnsi="仿宋" w:eastAsia="仿宋" w:cs="仿宋"/>
          <w:b/>
          <w:bCs/>
          <w:color w:val="FF0000"/>
          <w:spacing w:val="-3"/>
          <w:sz w:val="28"/>
          <w:szCs w:val="28"/>
          <w:lang w:val="en-US" w:eastAsia="zh-CN"/>
        </w:rPr>
      </w:pPr>
      <w:bookmarkStart w:id="160" w:name="_Toc25643"/>
      <w:r>
        <w:rPr>
          <w:rFonts w:hint="eastAsia" w:ascii="仿宋" w:hAnsi="仿宋" w:eastAsia="仿宋" w:cs="仿宋"/>
          <w:b/>
          <w:bCs/>
          <w:color w:val="FF0000"/>
          <w:spacing w:val="-3"/>
          <w:sz w:val="28"/>
          <w:szCs w:val="28"/>
          <w:lang w:val="en-US" w:eastAsia="zh-CN"/>
        </w:rPr>
        <w:t>学生饮用奶、调料以单价总价形式填写。</w:t>
      </w:r>
      <w:bookmarkEnd w:id="160"/>
    </w:p>
    <w:p>
      <w:pPr>
        <w:numPr>
          <w:ilvl w:val="0"/>
          <w:numId w:val="8"/>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b/>
          <w:bCs/>
          <w:color w:val="FF0000"/>
          <w:spacing w:val="-3"/>
          <w:sz w:val="28"/>
          <w:szCs w:val="28"/>
          <w:lang w:val="en-US" w:eastAsia="zh-CN"/>
        </w:rPr>
        <w:t>蔬菜、时令水果、鲜鸡蛋以下浮率形式填写（包含：报价下浮率、总金额-报价下浮率*总金额=此项总报价）。</w:t>
      </w:r>
    </w:p>
    <w:p>
      <w:pPr>
        <w:numPr>
          <w:ilvl w:val="0"/>
          <w:numId w:val="8"/>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蔬菜、时令水果、鲜鸡蛋最终以下浮率与甲方签订合同。</w:t>
      </w:r>
    </w:p>
    <w:p>
      <w:pPr>
        <w:numPr>
          <w:ilvl w:val="0"/>
          <w:numId w:val="8"/>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分项报价表可自行调整增加行列。</w:t>
      </w:r>
    </w:p>
    <w:p>
      <w:pPr>
        <w:numPr>
          <w:ilvl w:val="0"/>
          <w:numId w:val="0"/>
        </w:numPr>
        <w:spacing w:before="67" w:line="360" w:lineRule="auto"/>
        <w:ind w:firstLine="1375" w:firstLineChars="500"/>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10.针对调料投标单位在分项报价时，不得高于技术参数要求的产品各项单价。</w:t>
      </w: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sectPr>
          <w:headerReference r:id="rId20" w:type="default"/>
          <w:footerReference r:id="rId21" w:type="default"/>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1">
            <w:col w:w="8870"/>
          </w:cols>
        </w:sectPr>
      </w:pPr>
    </w:p>
    <w:p>
      <w:pPr>
        <w:pStyle w:val="3"/>
        <w:bidi w:val="0"/>
        <w:jc w:val="center"/>
        <w:outlineLvl w:val="2"/>
        <w:rPr>
          <w:rFonts w:hint="eastAsia" w:ascii="仿宋" w:hAnsi="仿宋" w:eastAsia="仿宋" w:cs="仿宋"/>
          <w:sz w:val="24"/>
          <w:szCs w:val="24"/>
          <w:lang w:eastAsia="zh-CN"/>
        </w:rPr>
      </w:pP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r>
        <w:rPr>
          <w:rFonts w:hint="eastAsia" w:ascii="仿宋" w:hAnsi="仿宋" w:eastAsia="仿宋" w:cs="仿宋"/>
          <w:b/>
          <w:bCs/>
          <w:spacing w:val="-3"/>
          <w:sz w:val="24"/>
          <w:szCs w:val="24"/>
          <w:lang w:eastAsia="zh-CN"/>
        </w:rPr>
        <w:t>（</w:t>
      </w:r>
      <w:r>
        <w:rPr>
          <w:rFonts w:hint="eastAsia" w:ascii="仿宋" w:hAnsi="仿宋" w:eastAsia="仿宋" w:cs="仿宋"/>
          <w:b/>
          <w:bCs/>
          <w:color w:val="FF0000"/>
          <w:spacing w:val="-3"/>
          <w:sz w:val="28"/>
          <w:szCs w:val="28"/>
          <w:lang w:val="en-US" w:eastAsia="zh-CN"/>
        </w:rPr>
        <w:t>蔬菜、时令水果、鲜鸡蛋</w:t>
      </w:r>
      <w:r>
        <w:rPr>
          <w:rFonts w:hint="eastAsia" w:ascii="仿宋" w:hAnsi="仿宋" w:eastAsia="仿宋" w:cs="仿宋"/>
          <w:b/>
          <w:bCs/>
          <w:spacing w:val="-3"/>
          <w:sz w:val="24"/>
          <w:szCs w:val="24"/>
          <w:lang w:eastAsia="zh-CN"/>
        </w:rPr>
        <w:t>）</w:t>
      </w:r>
    </w:p>
    <w:p>
      <w:pPr>
        <w:spacing w:line="379" w:lineRule="auto"/>
        <w:rPr>
          <w:rFonts w:hint="eastAsia" w:ascii="仿宋" w:hAnsi="仿宋" w:eastAsia="仿宋" w:cs="仿宋"/>
          <w:sz w:val="21"/>
        </w:rPr>
      </w:pPr>
    </w:p>
    <w:p>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1"/>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921"/>
        <w:gridCol w:w="892"/>
        <w:gridCol w:w="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79" w:type="dxa"/>
            <w:vAlign w:val="top"/>
          </w:tcPr>
          <w:p>
            <w:pPr>
              <w:spacing w:line="318" w:lineRule="auto"/>
              <w:rPr>
                <w:rFonts w:hint="eastAsia" w:ascii="仿宋" w:hAnsi="仿宋" w:eastAsia="仿宋" w:cs="仿宋"/>
                <w:sz w:val="21"/>
              </w:rPr>
            </w:pPr>
          </w:p>
          <w:p>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pPr>
              <w:spacing w:line="319" w:lineRule="auto"/>
              <w:rPr>
                <w:rFonts w:hint="eastAsia" w:ascii="仿宋" w:hAnsi="仿宋" w:eastAsia="仿宋" w:cs="仿宋"/>
                <w:sz w:val="21"/>
              </w:rPr>
            </w:pPr>
          </w:p>
          <w:p>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pPr>
              <w:spacing w:line="319" w:lineRule="auto"/>
              <w:rPr>
                <w:rFonts w:hint="eastAsia" w:ascii="仿宋" w:hAnsi="仿宋" w:eastAsia="仿宋" w:cs="仿宋"/>
                <w:sz w:val="21"/>
              </w:rPr>
            </w:pPr>
          </w:p>
          <w:p>
            <w:pPr>
              <w:spacing w:before="103" w:line="183" w:lineRule="auto"/>
              <w:ind w:left="169"/>
              <w:rPr>
                <w:rFonts w:hint="eastAsia" w:ascii="仿宋" w:hAnsi="仿宋" w:eastAsia="仿宋" w:cs="仿宋"/>
                <w:sz w:val="24"/>
                <w:szCs w:val="24"/>
              </w:rPr>
            </w:pPr>
            <w:r>
              <w:rPr>
                <w:rFonts w:hint="eastAsia" w:ascii="仿宋" w:hAnsi="仿宋" w:eastAsia="仿宋" w:cs="仿宋"/>
                <w:spacing w:val="-2"/>
                <w:sz w:val="24"/>
                <w:szCs w:val="24"/>
              </w:rPr>
              <w:t>型号和规格</w:t>
            </w:r>
          </w:p>
        </w:tc>
        <w:tc>
          <w:tcPr>
            <w:tcW w:w="862" w:type="dxa"/>
            <w:vAlign w:val="top"/>
          </w:tcPr>
          <w:p>
            <w:pPr>
              <w:spacing w:line="321" w:lineRule="auto"/>
              <w:rPr>
                <w:rFonts w:hint="eastAsia" w:ascii="仿宋" w:hAnsi="仿宋" w:eastAsia="仿宋" w:cs="仿宋"/>
                <w:sz w:val="21"/>
              </w:rPr>
            </w:pPr>
          </w:p>
          <w:p>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pPr>
              <w:spacing w:before="225" w:line="179" w:lineRule="auto"/>
              <w:ind w:left="237"/>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vAlign w:val="top"/>
          </w:tcPr>
          <w:p>
            <w:pPr>
              <w:spacing w:line="319" w:lineRule="auto"/>
              <w:rPr>
                <w:rFonts w:hint="eastAsia" w:ascii="仿宋" w:hAnsi="仿宋" w:eastAsia="仿宋" w:cs="仿宋"/>
                <w:sz w:val="21"/>
              </w:rPr>
            </w:pPr>
          </w:p>
          <w:p>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578" w:type="dxa"/>
            <w:vAlign w:val="top"/>
          </w:tcPr>
          <w:p>
            <w:pPr>
              <w:spacing w:line="319" w:lineRule="auto"/>
              <w:rPr>
                <w:rFonts w:hint="eastAsia" w:ascii="仿宋" w:hAnsi="仿宋" w:eastAsia="仿宋" w:cs="仿宋"/>
                <w:sz w:val="21"/>
              </w:rPr>
            </w:pPr>
          </w:p>
          <w:p>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制造商名称</w:t>
            </w:r>
          </w:p>
        </w:tc>
        <w:tc>
          <w:tcPr>
            <w:tcW w:w="921" w:type="dxa"/>
            <w:vAlign w:val="center"/>
          </w:tcPr>
          <w:p>
            <w:pPr>
              <w:spacing w:before="221" w:line="180" w:lineRule="auto"/>
              <w:jc w:val="center"/>
              <w:rPr>
                <w:rFonts w:hint="eastAsia"/>
                <w:lang w:val="en-US" w:eastAsia="zh-CN"/>
              </w:rPr>
            </w:pPr>
            <w:r>
              <w:rPr>
                <w:rFonts w:hint="eastAsia"/>
                <w:lang w:val="en-US" w:eastAsia="zh-CN"/>
              </w:rPr>
              <w:t>下浮率</w:t>
            </w:r>
          </w:p>
          <w:p>
            <w:pPr>
              <w:pStyle w:val="2"/>
              <w:rPr>
                <w:rFonts w:hint="default"/>
                <w:lang w:val="en-US" w:eastAsia="zh-CN"/>
              </w:rPr>
            </w:pPr>
            <w:r>
              <w:rPr>
                <w:rFonts w:hint="eastAsia" w:ascii="仿宋" w:hAnsi="仿宋" w:eastAsia="仿宋" w:cs="仿宋"/>
                <w:sz w:val="24"/>
                <w:szCs w:val="24"/>
                <w:highlight w:val="none"/>
                <w:lang w:val="en-US" w:eastAsia="zh-CN"/>
              </w:rPr>
              <w:t>%</w:t>
            </w:r>
          </w:p>
        </w:tc>
        <w:tc>
          <w:tcPr>
            <w:tcW w:w="892" w:type="dxa"/>
            <w:vAlign w:val="top"/>
          </w:tcPr>
          <w:p>
            <w:pPr>
              <w:spacing w:line="319" w:lineRule="auto"/>
              <w:rPr>
                <w:rFonts w:hint="eastAsia" w:ascii="仿宋" w:hAnsi="仿宋" w:eastAsia="仿宋" w:cs="仿宋"/>
                <w:sz w:val="21"/>
              </w:rPr>
            </w:pPr>
          </w:p>
          <w:p>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pPr>
              <w:spacing w:line="318" w:lineRule="auto"/>
              <w:rPr>
                <w:rFonts w:hint="eastAsia" w:ascii="仿宋" w:hAnsi="仿宋" w:eastAsia="仿宋" w:cs="仿宋"/>
                <w:sz w:val="21"/>
              </w:rPr>
            </w:pPr>
          </w:p>
          <w:p>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vAlign w:val="top"/>
          </w:tcPr>
          <w:p>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highlight w:val="yellow"/>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vAlign w:val="top"/>
          </w:tcPr>
          <w:p>
            <w:pPr>
              <w:spacing w:line="252" w:lineRule="auto"/>
              <w:rPr>
                <w:rFonts w:hint="eastAsia" w:ascii="仿宋" w:hAnsi="仿宋" w:eastAsia="仿宋" w:cs="仿宋"/>
                <w:sz w:val="21"/>
              </w:rPr>
            </w:pPr>
          </w:p>
          <w:p>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pPr>
              <w:spacing w:line="173" w:lineRule="auto"/>
              <w:ind w:left="187"/>
              <w:rPr>
                <w:rFonts w:hint="eastAsia" w:ascii="仿宋" w:hAnsi="仿宋" w:eastAsia="仿宋" w:cs="仿宋"/>
                <w:sz w:val="24"/>
                <w:szCs w:val="24"/>
                <w:lang w:val="en-US" w:eastAsia="zh-CN"/>
              </w:rPr>
            </w:pPr>
          </w:p>
          <w:p>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vAlign w:val="top"/>
          </w:tcPr>
          <w:p>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059" w:type="dxa"/>
            <w:gridSpan w:val="8"/>
            <w:vAlign w:val="top"/>
          </w:tcPr>
          <w:p>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697" w:type="dxa"/>
            <w:gridSpan w:val="2"/>
            <w:vAlign w:val="top"/>
          </w:tcPr>
          <w:p>
            <w:pPr>
              <w:rPr>
                <w:rFonts w:hint="eastAsia" w:ascii="仿宋" w:hAnsi="仿宋" w:eastAsia="仿宋" w:cs="仿宋"/>
                <w:sz w:val="21"/>
              </w:rPr>
            </w:pPr>
          </w:p>
        </w:tc>
      </w:tr>
    </w:tbl>
    <w:p>
      <w:pPr>
        <w:spacing w:before="103" w:line="360" w:lineRule="auto"/>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67" w:line="360" w:lineRule="auto"/>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pPr>
        <w:numPr>
          <w:ilvl w:val="0"/>
          <w:numId w:val="9"/>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color w:val="404040"/>
          <w:spacing w:val="-7"/>
          <w:sz w:val="24"/>
          <w:szCs w:val="24"/>
        </w:rPr>
        <w:t>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w:t>
      </w:r>
      <w:r>
        <w:rPr>
          <w:rFonts w:hint="eastAsia" w:ascii="仿宋" w:hAnsi="仿宋" w:eastAsia="仿宋" w:cs="仿宋"/>
          <w:color w:val="404040"/>
          <w:spacing w:val="-3"/>
          <w:sz w:val="24"/>
          <w:szCs w:val="24"/>
        </w:rPr>
        <w:t>一致的， 以开标一览表（报价表）内容为准。</w:t>
      </w:r>
    </w:p>
    <w:p>
      <w:pPr>
        <w:numPr>
          <w:ilvl w:val="0"/>
          <w:numId w:val="9"/>
        </w:numPr>
        <w:spacing w:before="67" w:line="360" w:lineRule="auto"/>
        <w:ind w:left="1322"/>
        <w:outlineLvl w:val="2"/>
        <w:rPr>
          <w:rFonts w:hint="eastAsia" w:ascii="仿宋" w:hAnsi="仿宋" w:eastAsia="仿宋" w:cs="仿宋"/>
          <w:b/>
          <w:bCs/>
          <w:color w:val="FF0000"/>
          <w:spacing w:val="-3"/>
          <w:sz w:val="28"/>
          <w:szCs w:val="28"/>
          <w:lang w:val="en-US" w:eastAsia="zh-CN"/>
        </w:rPr>
      </w:pPr>
      <w:r>
        <w:rPr>
          <w:rFonts w:hint="eastAsia" w:ascii="仿宋" w:hAnsi="仿宋" w:eastAsia="仿宋" w:cs="仿宋"/>
          <w:b/>
          <w:bCs/>
          <w:color w:val="FF0000"/>
          <w:spacing w:val="-3"/>
          <w:sz w:val="28"/>
          <w:szCs w:val="28"/>
          <w:lang w:val="en-US" w:eastAsia="zh-CN"/>
        </w:rPr>
        <w:t>学生饮用奶、调料以单价总价形式填写。</w:t>
      </w:r>
    </w:p>
    <w:p>
      <w:pPr>
        <w:numPr>
          <w:ilvl w:val="0"/>
          <w:numId w:val="9"/>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b/>
          <w:bCs/>
          <w:color w:val="FF0000"/>
          <w:spacing w:val="-3"/>
          <w:sz w:val="28"/>
          <w:szCs w:val="28"/>
          <w:lang w:val="en-US" w:eastAsia="zh-CN"/>
        </w:rPr>
        <w:t>蔬菜、时令水果、鲜鸡蛋以下浮率形式填写（包含：报价下浮率、总金额-报价下浮率*总金额=此项总报价）。</w:t>
      </w:r>
    </w:p>
    <w:p>
      <w:pPr>
        <w:numPr>
          <w:ilvl w:val="0"/>
          <w:numId w:val="9"/>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蔬菜、时令水果、鲜鸡蛋最终以下浮率与甲方签订合同。</w:t>
      </w:r>
    </w:p>
    <w:p>
      <w:pPr>
        <w:numPr>
          <w:ilvl w:val="0"/>
          <w:numId w:val="9"/>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分项报价表可自行调整增加行列。</w:t>
      </w:r>
    </w:p>
    <w:p>
      <w:pPr>
        <w:numPr>
          <w:ilvl w:val="0"/>
          <w:numId w:val="0"/>
        </w:numPr>
        <w:spacing w:before="67" w:line="360" w:lineRule="auto"/>
        <w:ind w:firstLine="1375" w:firstLineChars="500"/>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10.针对调料投标单位在分项报价时，不得高于技术参数要求的产品各项单价。</w:t>
      </w:r>
    </w:p>
    <w:p>
      <w:pPr>
        <w:pStyle w:val="16"/>
        <w:rPr>
          <w:rFonts w:hint="eastAsia"/>
        </w:rPr>
        <w:sectPr>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1">
            <w:col w:w="8870"/>
          </w:cols>
        </w:sectPr>
      </w:pPr>
    </w:p>
    <w:p>
      <w:pPr>
        <w:pStyle w:val="9"/>
        <w:rPr>
          <w:rFonts w:hint="eastAsia"/>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sectPr>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1">
            <w:col w:w="8870"/>
          </w:cols>
        </w:sectPr>
      </w:pPr>
    </w:p>
    <w:p>
      <w:pPr>
        <w:pStyle w:val="3"/>
        <w:bidi w:val="0"/>
        <w:rPr>
          <w:rFonts w:hint="eastAsia"/>
        </w:rPr>
      </w:pPr>
    </w:p>
    <w:p>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pStyle w:val="3"/>
        <w:bidi w:val="0"/>
        <w:jc w:val="left"/>
        <w:rPr>
          <w:rFonts w:hint="eastAsia" w:ascii="仿宋" w:hAnsi="仿宋" w:eastAsia="仿宋" w:cs="仿宋"/>
        </w:rPr>
      </w:pPr>
      <w:bookmarkStart w:id="161" w:name="_Toc22506"/>
      <w:r>
        <w:rPr>
          <w:rFonts w:hint="eastAsia" w:ascii="仿宋" w:hAnsi="仿宋" w:eastAsia="仿宋" w:cs="仿宋"/>
          <w:b/>
          <w:bCs/>
          <w:spacing w:val="-4"/>
          <w:sz w:val="24"/>
          <w:szCs w:val="24"/>
        </w:rPr>
        <w:t>3、</w:t>
      </w:r>
      <w:r>
        <w:rPr>
          <w:rFonts w:hint="eastAsia" w:ascii="仿宋" w:hAnsi="仿宋" w:eastAsia="仿宋" w:cs="仿宋"/>
          <w:b/>
          <w:bCs/>
          <w:spacing w:val="-4"/>
          <w:lang w:val="en-US" w:eastAsia="zh-CN"/>
        </w:rPr>
        <w:t>货物</w:t>
      </w:r>
      <w:r>
        <w:rPr>
          <w:rFonts w:hint="eastAsia" w:ascii="仿宋" w:hAnsi="仿宋" w:eastAsia="仿宋" w:cs="仿宋"/>
          <w:b/>
          <w:bCs/>
          <w:spacing w:val="-4"/>
        </w:rPr>
        <w:t>说明一览表</w:t>
      </w:r>
      <w:bookmarkEnd w:id="161"/>
    </w:p>
    <w:p>
      <w:pPr>
        <w:spacing w:before="103" w:line="183" w:lineRule="auto"/>
        <w:rPr>
          <w:rFonts w:hint="eastAsia" w:ascii="仿宋" w:hAnsi="仿宋" w:eastAsia="仿宋" w:cs="仿宋"/>
          <w:sz w:val="24"/>
          <w:szCs w:val="24"/>
          <w:lang w:val="en-US" w:eastAsia="zh-CN"/>
        </w:rPr>
        <w:sectPr>
          <w:type w:val="continuous"/>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eastAsia="zh-CN"/>
        </w:rPr>
        <w:t>：</w:t>
      </w:r>
    </w:p>
    <w:p>
      <w:pPr>
        <w:spacing w:before="211"/>
        <w:rPr>
          <w:rFonts w:hint="eastAsia" w:ascii="仿宋" w:hAnsi="仿宋" w:eastAsia="仿宋" w:cs="仿宋"/>
        </w:rPr>
      </w:pPr>
    </w:p>
    <w:tbl>
      <w:tblPr>
        <w:tblStyle w:val="31"/>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pPr>
              <w:spacing w:before="120" w:line="183" w:lineRule="auto"/>
              <w:ind w:left="10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货物名称</w:t>
            </w:r>
          </w:p>
        </w:tc>
        <w:tc>
          <w:tcPr>
            <w:tcW w:w="1288" w:type="dxa"/>
            <w:vAlign w:val="top"/>
          </w:tcPr>
          <w:p>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数量</w:t>
            </w:r>
          </w:p>
        </w:tc>
        <w:tc>
          <w:tcPr>
            <w:tcW w:w="1158" w:type="dxa"/>
            <w:vAlign w:val="top"/>
          </w:tcPr>
          <w:p>
            <w:pPr>
              <w:spacing w:before="122" w:line="182" w:lineRule="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单位</w:t>
            </w:r>
          </w:p>
        </w:tc>
        <w:tc>
          <w:tcPr>
            <w:tcW w:w="1416" w:type="dxa"/>
            <w:vAlign w:val="top"/>
          </w:tcPr>
          <w:p>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期</w:t>
            </w:r>
          </w:p>
        </w:tc>
        <w:tc>
          <w:tcPr>
            <w:tcW w:w="1543" w:type="dxa"/>
            <w:vAlign w:val="top"/>
          </w:tcPr>
          <w:p>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地点</w:t>
            </w:r>
          </w:p>
        </w:tc>
        <w:tc>
          <w:tcPr>
            <w:tcW w:w="1421" w:type="dxa"/>
            <w:vAlign w:val="top"/>
          </w:tcPr>
          <w:p>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bl>
    <w:p>
      <w:pPr>
        <w:spacing w:line="366" w:lineRule="auto"/>
        <w:rPr>
          <w:rFonts w:hint="eastAsia" w:ascii="仿宋" w:hAnsi="仿宋" w:eastAsia="仿宋" w:cs="仿宋"/>
          <w:sz w:val="21"/>
        </w:rPr>
      </w:pPr>
    </w:p>
    <w:p>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65" w:line="360" w:lineRule="auto"/>
        <w:ind w:left="656"/>
        <w:rPr>
          <w:rFonts w:hint="eastAsia" w:ascii="仿宋" w:hAnsi="仿宋" w:eastAsia="仿宋" w:cs="仿宋"/>
          <w:sz w:val="24"/>
          <w:szCs w:val="24"/>
        </w:r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pPr>
        <w:spacing w:line="360" w:lineRule="auto"/>
        <w:rPr>
          <w:rFonts w:hint="eastAsia" w:ascii="仿宋" w:hAnsi="仿宋" w:eastAsia="仿宋" w:cs="仿宋"/>
          <w:sz w:val="24"/>
          <w:szCs w:val="24"/>
        </w:rPr>
        <w:sectPr>
          <w:type w:val="continuous"/>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1">
            <w:col w:w="8870"/>
          </w:cols>
        </w:sectPr>
      </w:pPr>
    </w:p>
    <w:p>
      <w:pPr>
        <w:spacing w:line="234" w:lineRule="exact"/>
        <w:rPr>
          <w:rFonts w:hint="eastAsia" w:ascii="仿宋" w:hAnsi="仿宋" w:eastAsia="仿宋" w:cs="仿宋"/>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9"/>
        <w:shd w:val="clear"/>
        <w:spacing w:before="75" w:line="231" w:lineRule="auto"/>
        <w:ind w:left="2816"/>
        <w:rPr>
          <w:rFonts w:hint="eastAsia" w:ascii="仿宋" w:hAnsi="仿宋" w:eastAsia="仿宋" w:cs="仿宋"/>
          <w:b/>
          <w:bCs/>
          <w:color w:val="000000" w:themeColor="text1"/>
          <w:spacing w:val="3"/>
          <w:sz w:val="23"/>
          <w:szCs w:val="23"/>
          <w:highlight w:val="none"/>
          <w14:textFill>
            <w14:solidFill>
              <w14:schemeClr w14:val="tx1"/>
            </w14:solidFill>
          </w14:textFill>
        </w:rPr>
      </w:pPr>
    </w:p>
    <w:p>
      <w:pPr>
        <w:pStyle w:val="9"/>
        <w:shd w:val="clear"/>
        <w:spacing w:before="75" w:line="231" w:lineRule="auto"/>
        <w:ind w:left="2816"/>
        <w:rPr>
          <w:rFonts w:hint="eastAsia" w:ascii="仿宋" w:hAnsi="仿宋" w:eastAsia="仿宋" w:cs="仿宋"/>
          <w:b/>
          <w:bCs/>
          <w:color w:val="000000" w:themeColor="text1"/>
          <w:spacing w:val="3"/>
          <w:sz w:val="23"/>
          <w:szCs w:val="23"/>
          <w:highlight w:val="none"/>
          <w14:textFill>
            <w14:solidFill>
              <w14:schemeClr w14:val="tx1"/>
            </w14:solidFill>
          </w14:textFill>
        </w:rPr>
      </w:pPr>
    </w:p>
    <w:p>
      <w:pPr>
        <w:pStyle w:val="9"/>
        <w:shd w:val="clear"/>
        <w:spacing w:before="75" w:line="231" w:lineRule="auto"/>
        <w:ind w:left="2816"/>
        <w:rPr>
          <w:rFonts w:hint="eastAsia" w:ascii="仿宋" w:hAnsi="仿宋" w:eastAsia="仿宋" w:cs="仿宋"/>
          <w:b/>
          <w:bCs/>
          <w:color w:val="000000" w:themeColor="text1"/>
          <w:spacing w:val="3"/>
          <w:sz w:val="23"/>
          <w:szCs w:val="23"/>
          <w:highlight w:val="none"/>
          <w14:textFill>
            <w14:solidFill>
              <w14:schemeClr w14:val="tx1"/>
            </w14:solidFill>
          </w14:textFill>
        </w:rPr>
      </w:pPr>
    </w:p>
    <w:p>
      <w:pPr>
        <w:pStyle w:val="9"/>
        <w:shd w:val="clear"/>
        <w:spacing w:before="75" w:line="231" w:lineRule="auto"/>
        <w:ind w:left="2816"/>
        <w:rPr>
          <w:rFonts w:hint="eastAsia" w:ascii="仿宋" w:hAnsi="仿宋" w:eastAsia="仿宋" w:cs="仿宋"/>
          <w:b/>
          <w:bCs/>
          <w:color w:val="000000" w:themeColor="text1"/>
          <w:spacing w:val="3"/>
          <w:sz w:val="23"/>
          <w:szCs w:val="23"/>
          <w:highlight w:val="none"/>
          <w14:textFill>
            <w14:solidFill>
              <w14:schemeClr w14:val="tx1"/>
            </w14:solidFill>
          </w14:textFill>
        </w:rPr>
      </w:pPr>
    </w:p>
    <w:p>
      <w:pPr>
        <w:pStyle w:val="9"/>
        <w:shd w:val="clear"/>
        <w:spacing w:before="75" w:line="231" w:lineRule="auto"/>
        <w:ind w:left="2816"/>
        <w:rPr>
          <w:rFonts w:hint="eastAsia" w:ascii="仿宋" w:hAnsi="仿宋" w:eastAsia="仿宋" w:cs="仿宋"/>
          <w:b/>
          <w:bCs/>
          <w:color w:val="000000" w:themeColor="text1"/>
          <w:sz w:val="23"/>
          <w:szCs w:val="23"/>
          <w:highlight w:val="none"/>
          <w14:textFill>
            <w14:solidFill>
              <w14:schemeClr w14:val="tx1"/>
            </w14:solidFill>
          </w14:textFill>
        </w:rPr>
      </w:pPr>
      <w:r>
        <w:rPr>
          <w:rFonts w:hint="eastAsia" w:ascii="仿宋" w:hAnsi="仿宋" w:eastAsia="仿宋" w:cs="仿宋"/>
          <w:b/>
          <w:bCs/>
          <w:color w:val="000000" w:themeColor="text1"/>
          <w:spacing w:val="3"/>
          <w:sz w:val="23"/>
          <w:szCs w:val="23"/>
          <w:highlight w:val="none"/>
          <w14:textFill>
            <w14:solidFill>
              <w14:schemeClr w14:val="tx1"/>
            </w14:solidFill>
          </w14:textFill>
        </w:rPr>
        <w:t>产品品牌备案表（投标文件格式五）</w:t>
      </w:r>
    </w:p>
    <w:p>
      <w:pPr>
        <w:spacing w:line="408" w:lineRule="auto"/>
        <w:rPr>
          <w:rFonts w:hint="eastAsia" w:ascii="仿宋" w:hAnsi="仿宋" w:eastAsia="仿宋" w:cs="仿宋"/>
          <w:sz w:val="21"/>
        </w:rPr>
      </w:pPr>
    </w:p>
    <w:p>
      <w:pPr>
        <w:pStyle w:val="9"/>
        <w:spacing w:before="75" w:line="229" w:lineRule="auto"/>
        <w:ind w:left="15"/>
        <w:rPr>
          <w:rFonts w:hint="eastAsia" w:ascii="仿宋" w:hAnsi="仿宋" w:eastAsia="仿宋" w:cs="仿宋"/>
          <w:sz w:val="23"/>
          <w:szCs w:val="23"/>
        </w:rPr>
      </w:pPr>
      <w:r>
        <w:rPr>
          <w:rFonts w:hint="eastAsia" w:ascii="仿宋" w:hAnsi="仿宋" w:eastAsia="仿宋" w:cs="仿宋"/>
          <w:spacing w:val="5"/>
          <w:sz w:val="23"/>
          <w:szCs w:val="23"/>
        </w:rPr>
        <w:t>项目名称:</w:t>
      </w:r>
      <w:r>
        <w:rPr>
          <w:rFonts w:hint="eastAsia" w:ascii="仿宋" w:hAnsi="仿宋" w:eastAsia="仿宋" w:cs="仿宋"/>
          <w:spacing w:val="5"/>
          <w:sz w:val="23"/>
          <w:szCs w:val="23"/>
          <w:lang w:val="en-US" w:eastAsia="zh-CN"/>
        </w:rPr>
        <w:t xml:space="preserve">                             </w:t>
      </w:r>
      <w:r>
        <w:rPr>
          <w:rFonts w:hint="eastAsia" w:ascii="仿宋" w:hAnsi="仿宋" w:eastAsia="仿宋" w:cs="仿宋"/>
          <w:spacing w:val="5"/>
          <w:sz w:val="23"/>
          <w:szCs w:val="23"/>
        </w:rPr>
        <w:t>招标编号:</w:t>
      </w:r>
    </w:p>
    <w:p>
      <w:pPr>
        <w:pStyle w:val="9"/>
        <w:spacing w:before="20" w:line="205" w:lineRule="auto"/>
        <w:ind w:left="24"/>
        <w:rPr>
          <w:rFonts w:hint="eastAsia" w:ascii="仿宋" w:hAnsi="仿宋" w:eastAsia="仿宋" w:cs="仿宋"/>
          <w:sz w:val="23"/>
          <w:szCs w:val="23"/>
        </w:rPr>
      </w:pPr>
      <w:r>
        <w:rPr>
          <w:rFonts w:hint="eastAsia" w:ascii="仿宋" w:hAnsi="仿宋" w:eastAsia="仿宋" w:cs="仿宋"/>
          <w:spacing w:val="2"/>
          <w:sz w:val="23"/>
          <w:szCs w:val="23"/>
        </w:rPr>
        <w:t>包号:</w:t>
      </w:r>
      <w:r>
        <w:rPr>
          <w:rFonts w:hint="eastAsia" w:ascii="仿宋" w:hAnsi="仿宋" w:eastAsia="仿宋" w:cs="仿宋"/>
          <w:spacing w:val="2"/>
          <w:sz w:val="23"/>
          <w:szCs w:val="23"/>
          <w:lang w:val="en-US" w:eastAsia="zh-CN"/>
        </w:rPr>
        <w:t xml:space="preserve">                                   </w:t>
      </w:r>
      <w:r>
        <w:rPr>
          <w:rFonts w:hint="eastAsia" w:ascii="仿宋" w:hAnsi="仿宋" w:eastAsia="仿宋" w:cs="仿宋"/>
          <w:spacing w:val="1"/>
          <w:sz w:val="23"/>
          <w:szCs w:val="23"/>
        </w:rPr>
        <w:t>报价单位：人民币</w:t>
      </w:r>
      <w:r>
        <w:rPr>
          <w:rFonts w:hint="eastAsia" w:ascii="仿宋" w:hAnsi="仿宋" w:eastAsia="仿宋" w:cs="仿宋"/>
          <w:spacing w:val="1"/>
          <w:sz w:val="23"/>
          <w:szCs w:val="23"/>
          <w:lang w:val="en-US" w:eastAsia="zh-CN"/>
        </w:rPr>
        <w:t xml:space="preserve"> </w:t>
      </w:r>
      <w:r>
        <w:rPr>
          <w:rFonts w:hint="eastAsia" w:ascii="仿宋" w:hAnsi="仿宋" w:eastAsia="仿宋" w:cs="仿宋"/>
          <w:spacing w:val="1"/>
          <w:sz w:val="23"/>
          <w:szCs w:val="23"/>
        </w:rPr>
        <w:t>元</w:t>
      </w:r>
    </w:p>
    <w:tbl>
      <w:tblPr>
        <w:tblStyle w:val="31"/>
        <w:tblW w:w="101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55"/>
        <w:gridCol w:w="1433"/>
        <w:gridCol w:w="1249"/>
        <w:gridCol w:w="1515"/>
        <w:gridCol w:w="1249"/>
        <w:gridCol w:w="1249"/>
        <w:gridCol w:w="10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3" w:type="dxa"/>
            <w:noWrap w:val="0"/>
            <w:vAlign w:val="top"/>
          </w:tcPr>
          <w:p>
            <w:pPr>
              <w:spacing w:line="362" w:lineRule="auto"/>
              <w:rPr>
                <w:rFonts w:hint="eastAsia" w:ascii="仿宋" w:hAnsi="仿宋" w:eastAsia="仿宋" w:cs="仿宋"/>
                <w:sz w:val="21"/>
              </w:rPr>
            </w:pPr>
          </w:p>
          <w:p>
            <w:pPr>
              <w:pStyle w:val="30"/>
              <w:spacing w:before="75" w:line="231" w:lineRule="auto"/>
              <w:ind w:left="125"/>
              <w:rPr>
                <w:rFonts w:hint="eastAsia" w:ascii="仿宋" w:hAnsi="仿宋" w:eastAsia="仿宋" w:cs="仿宋"/>
                <w:sz w:val="23"/>
                <w:szCs w:val="23"/>
              </w:rPr>
            </w:pPr>
            <w:r>
              <w:rPr>
                <w:rFonts w:hint="eastAsia" w:ascii="仿宋" w:hAnsi="仿宋" w:eastAsia="仿宋" w:cs="仿宋"/>
                <w:sz w:val="23"/>
                <w:szCs w:val="23"/>
              </w:rPr>
              <w:t>序号</w:t>
            </w:r>
          </w:p>
        </w:tc>
        <w:tc>
          <w:tcPr>
            <w:tcW w:w="1555" w:type="dxa"/>
            <w:noWrap w:val="0"/>
            <w:vAlign w:val="top"/>
          </w:tcPr>
          <w:p>
            <w:pPr>
              <w:spacing w:line="363" w:lineRule="auto"/>
              <w:rPr>
                <w:rFonts w:hint="eastAsia" w:ascii="仿宋" w:hAnsi="仿宋" w:eastAsia="仿宋" w:cs="仿宋"/>
                <w:sz w:val="21"/>
              </w:rPr>
            </w:pPr>
          </w:p>
          <w:p>
            <w:pPr>
              <w:pStyle w:val="30"/>
              <w:spacing w:before="75" w:line="224" w:lineRule="auto"/>
              <w:ind w:left="445"/>
              <w:rPr>
                <w:rFonts w:hint="eastAsia" w:ascii="仿宋" w:hAnsi="仿宋" w:eastAsia="仿宋" w:cs="仿宋"/>
                <w:sz w:val="23"/>
                <w:szCs w:val="23"/>
              </w:rPr>
            </w:pPr>
            <w:r>
              <w:rPr>
                <w:rFonts w:hint="eastAsia" w:ascii="仿宋" w:hAnsi="仿宋" w:eastAsia="仿宋" w:cs="仿宋"/>
                <w:spacing w:val="4"/>
                <w:sz w:val="23"/>
                <w:szCs w:val="23"/>
              </w:rPr>
              <w:t>货物名称</w:t>
            </w:r>
          </w:p>
        </w:tc>
        <w:tc>
          <w:tcPr>
            <w:tcW w:w="1433" w:type="dxa"/>
            <w:noWrap w:val="0"/>
            <w:vAlign w:val="top"/>
          </w:tcPr>
          <w:p>
            <w:pPr>
              <w:spacing w:line="362" w:lineRule="auto"/>
              <w:rPr>
                <w:rFonts w:hint="eastAsia" w:ascii="仿宋" w:hAnsi="仿宋" w:eastAsia="仿宋" w:cs="仿宋"/>
                <w:sz w:val="21"/>
              </w:rPr>
            </w:pPr>
          </w:p>
          <w:p>
            <w:pPr>
              <w:pStyle w:val="30"/>
              <w:spacing w:before="75" w:line="231" w:lineRule="auto"/>
              <w:ind w:left="653"/>
              <w:rPr>
                <w:rFonts w:hint="eastAsia" w:ascii="仿宋" w:hAnsi="仿宋" w:eastAsia="仿宋" w:cs="仿宋"/>
                <w:sz w:val="23"/>
                <w:szCs w:val="23"/>
              </w:rPr>
            </w:pPr>
            <w:r>
              <w:rPr>
                <w:rFonts w:hint="eastAsia" w:ascii="仿宋" w:hAnsi="仿宋" w:eastAsia="仿宋" w:cs="仿宋"/>
                <w:spacing w:val="-17"/>
                <w:sz w:val="23"/>
                <w:szCs w:val="23"/>
              </w:rPr>
              <w:t>品牌</w:t>
            </w:r>
          </w:p>
        </w:tc>
        <w:tc>
          <w:tcPr>
            <w:tcW w:w="1249" w:type="dxa"/>
            <w:noWrap w:val="0"/>
            <w:vAlign w:val="top"/>
          </w:tcPr>
          <w:p>
            <w:pPr>
              <w:spacing w:line="364" w:lineRule="auto"/>
              <w:rPr>
                <w:rFonts w:hint="eastAsia" w:ascii="仿宋" w:hAnsi="仿宋" w:eastAsia="仿宋" w:cs="仿宋"/>
                <w:sz w:val="21"/>
              </w:rPr>
            </w:pPr>
          </w:p>
          <w:p>
            <w:pPr>
              <w:pStyle w:val="30"/>
              <w:spacing w:before="75" w:line="231" w:lineRule="auto"/>
              <w:ind w:left="158"/>
              <w:rPr>
                <w:rFonts w:hint="eastAsia" w:ascii="仿宋" w:hAnsi="仿宋" w:eastAsia="仿宋" w:cs="仿宋"/>
                <w:sz w:val="23"/>
                <w:szCs w:val="23"/>
              </w:rPr>
            </w:pPr>
            <w:r>
              <w:rPr>
                <w:rFonts w:hint="eastAsia" w:ascii="仿宋" w:hAnsi="仿宋" w:eastAsia="仿宋" w:cs="仿宋"/>
                <w:spacing w:val="3"/>
                <w:sz w:val="23"/>
                <w:szCs w:val="23"/>
              </w:rPr>
              <w:t>规格型号</w:t>
            </w:r>
          </w:p>
        </w:tc>
        <w:tc>
          <w:tcPr>
            <w:tcW w:w="1515" w:type="dxa"/>
            <w:noWrap w:val="0"/>
            <w:vAlign w:val="top"/>
          </w:tcPr>
          <w:p>
            <w:pPr>
              <w:spacing w:line="363" w:lineRule="auto"/>
              <w:rPr>
                <w:rFonts w:hint="eastAsia" w:ascii="仿宋" w:hAnsi="仿宋" w:eastAsia="仿宋" w:cs="仿宋"/>
                <w:sz w:val="21"/>
              </w:rPr>
            </w:pPr>
          </w:p>
          <w:p>
            <w:pPr>
              <w:pStyle w:val="30"/>
              <w:spacing w:before="74" w:line="197" w:lineRule="auto"/>
              <w:ind w:left="127" w:right="205"/>
              <w:rPr>
                <w:rFonts w:hint="eastAsia" w:ascii="仿宋" w:hAnsi="仿宋" w:eastAsia="仿宋" w:cs="仿宋"/>
                <w:sz w:val="23"/>
                <w:szCs w:val="23"/>
              </w:rPr>
            </w:pPr>
            <w:r>
              <w:rPr>
                <w:rFonts w:hint="eastAsia" w:ascii="仿宋" w:hAnsi="仿宋" w:eastAsia="仿宋" w:cs="仿宋"/>
                <w:spacing w:val="5"/>
                <w:sz w:val="23"/>
                <w:szCs w:val="23"/>
              </w:rPr>
              <w:t>供货厂商名</w:t>
            </w:r>
            <w:r>
              <w:rPr>
                <w:rFonts w:hint="eastAsia" w:ascii="仿宋" w:hAnsi="仿宋" w:eastAsia="仿宋" w:cs="仿宋"/>
                <w:sz w:val="23"/>
                <w:szCs w:val="23"/>
              </w:rPr>
              <w:t>称</w:t>
            </w:r>
          </w:p>
        </w:tc>
        <w:tc>
          <w:tcPr>
            <w:tcW w:w="1249" w:type="dxa"/>
            <w:noWrap w:val="0"/>
            <w:vAlign w:val="top"/>
          </w:tcPr>
          <w:p>
            <w:pPr>
              <w:pStyle w:val="30"/>
              <w:spacing w:before="74" w:line="232" w:lineRule="auto"/>
              <w:ind w:left="258"/>
              <w:rPr>
                <w:rFonts w:hint="eastAsia" w:ascii="仿宋" w:hAnsi="仿宋" w:eastAsia="仿宋" w:cs="仿宋"/>
                <w:spacing w:val="-1"/>
                <w:sz w:val="23"/>
                <w:szCs w:val="23"/>
              </w:rPr>
            </w:pPr>
          </w:p>
          <w:p>
            <w:pPr>
              <w:pStyle w:val="30"/>
              <w:spacing w:before="74" w:line="232" w:lineRule="auto"/>
              <w:ind w:left="258"/>
              <w:rPr>
                <w:rFonts w:hint="eastAsia" w:ascii="仿宋" w:hAnsi="仿宋" w:eastAsia="仿宋" w:cs="仿宋"/>
                <w:spacing w:val="-1"/>
                <w:sz w:val="23"/>
                <w:szCs w:val="23"/>
              </w:rPr>
            </w:pPr>
            <w:r>
              <w:rPr>
                <w:rFonts w:hint="eastAsia" w:ascii="仿宋" w:hAnsi="仿宋" w:eastAsia="仿宋" w:cs="仿宋"/>
                <w:spacing w:val="-1"/>
                <w:sz w:val="23"/>
                <w:szCs w:val="23"/>
              </w:rPr>
              <w:t>产地</w:t>
            </w:r>
          </w:p>
        </w:tc>
        <w:tc>
          <w:tcPr>
            <w:tcW w:w="1249" w:type="dxa"/>
            <w:noWrap w:val="0"/>
            <w:vAlign w:val="top"/>
          </w:tcPr>
          <w:p>
            <w:pPr>
              <w:spacing w:line="358" w:lineRule="auto"/>
              <w:rPr>
                <w:rFonts w:hint="eastAsia" w:ascii="仿宋" w:hAnsi="仿宋" w:eastAsia="仿宋" w:cs="仿宋"/>
                <w:sz w:val="21"/>
              </w:rPr>
            </w:pPr>
          </w:p>
          <w:p>
            <w:pPr>
              <w:pStyle w:val="30"/>
              <w:spacing w:before="74" w:line="232" w:lineRule="auto"/>
              <w:ind w:left="258"/>
              <w:rPr>
                <w:rFonts w:hint="eastAsia" w:ascii="仿宋" w:hAnsi="仿宋" w:eastAsia="仿宋" w:cs="仿宋"/>
                <w:sz w:val="23"/>
                <w:szCs w:val="23"/>
                <w:lang w:eastAsia="zh-CN"/>
              </w:rPr>
            </w:pPr>
            <w:r>
              <w:rPr>
                <w:rFonts w:hint="eastAsia" w:cs="仿宋"/>
                <w:spacing w:val="-1"/>
                <w:sz w:val="23"/>
                <w:szCs w:val="23"/>
                <w:lang w:val="en-US" w:eastAsia="zh-CN"/>
              </w:rPr>
              <w:t>其他</w:t>
            </w:r>
          </w:p>
        </w:tc>
        <w:tc>
          <w:tcPr>
            <w:tcW w:w="1069" w:type="dxa"/>
            <w:noWrap w:val="0"/>
            <w:vAlign w:val="top"/>
          </w:tcPr>
          <w:p>
            <w:pPr>
              <w:spacing w:line="362" w:lineRule="auto"/>
              <w:rPr>
                <w:rFonts w:hint="eastAsia" w:ascii="仿宋" w:hAnsi="仿宋" w:eastAsia="仿宋" w:cs="仿宋"/>
                <w:sz w:val="21"/>
              </w:rPr>
            </w:pPr>
          </w:p>
          <w:p>
            <w:pPr>
              <w:pStyle w:val="30"/>
              <w:spacing w:before="75" w:line="233" w:lineRule="auto"/>
              <w:ind w:left="177"/>
              <w:rPr>
                <w:rFonts w:hint="eastAsia" w:ascii="仿宋" w:hAnsi="仿宋" w:eastAsia="仿宋" w:cs="仿宋"/>
                <w:sz w:val="23"/>
                <w:szCs w:val="23"/>
              </w:rPr>
            </w:pPr>
            <w:r>
              <w:rPr>
                <w:rFonts w:hint="eastAsia"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13" w:type="dxa"/>
            <w:noWrap w:val="0"/>
            <w:vAlign w:val="top"/>
          </w:tcPr>
          <w:p>
            <w:pPr>
              <w:pStyle w:val="30"/>
              <w:spacing w:before="232" w:line="175" w:lineRule="auto"/>
              <w:ind w:left="157"/>
              <w:rPr>
                <w:rFonts w:hint="eastAsia" w:ascii="仿宋" w:hAnsi="仿宋" w:eastAsia="仿宋" w:cs="仿宋"/>
                <w:sz w:val="23"/>
                <w:szCs w:val="23"/>
              </w:rPr>
            </w:pPr>
            <w:r>
              <w:rPr>
                <w:rFonts w:hint="eastAsia" w:ascii="仿宋" w:hAnsi="仿宋" w:eastAsia="仿宋" w:cs="仿宋"/>
                <w:spacing w:val="-11"/>
                <w:sz w:val="23"/>
                <w:szCs w:val="23"/>
              </w:rPr>
              <w:t>1.</w:t>
            </w:r>
          </w:p>
        </w:tc>
        <w:tc>
          <w:tcPr>
            <w:tcW w:w="1555" w:type="dxa"/>
            <w:noWrap w:val="0"/>
            <w:vAlign w:val="top"/>
          </w:tcPr>
          <w:p>
            <w:pPr>
              <w:rPr>
                <w:rFonts w:hint="eastAsia" w:ascii="仿宋" w:hAnsi="仿宋" w:eastAsia="仿宋" w:cs="仿宋"/>
                <w:sz w:val="21"/>
              </w:rPr>
            </w:pPr>
          </w:p>
        </w:tc>
        <w:tc>
          <w:tcPr>
            <w:tcW w:w="1433"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515"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069" w:type="dxa"/>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13" w:type="dxa"/>
            <w:noWrap w:val="0"/>
            <w:vAlign w:val="top"/>
          </w:tcPr>
          <w:p>
            <w:pPr>
              <w:pStyle w:val="30"/>
              <w:spacing w:before="278" w:line="171" w:lineRule="auto"/>
              <w:ind w:left="132"/>
              <w:rPr>
                <w:rFonts w:hint="eastAsia" w:ascii="仿宋" w:hAnsi="仿宋" w:eastAsia="仿宋" w:cs="仿宋"/>
                <w:sz w:val="23"/>
                <w:szCs w:val="23"/>
              </w:rPr>
            </w:pPr>
            <w:r>
              <w:rPr>
                <w:rFonts w:hint="eastAsia" w:ascii="仿宋" w:hAnsi="仿宋" w:eastAsia="仿宋" w:cs="仿宋"/>
                <w:spacing w:val="-4"/>
                <w:sz w:val="23"/>
                <w:szCs w:val="23"/>
              </w:rPr>
              <w:t>2.</w:t>
            </w:r>
          </w:p>
        </w:tc>
        <w:tc>
          <w:tcPr>
            <w:tcW w:w="1555" w:type="dxa"/>
            <w:noWrap w:val="0"/>
            <w:vAlign w:val="top"/>
          </w:tcPr>
          <w:p>
            <w:pPr>
              <w:rPr>
                <w:rFonts w:hint="eastAsia" w:ascii="仿宋" w:hAnsi="仿宋" w:eastAsia="仿宋" w:cs="仿宋"/>
                <w:sz w:val="21"/>
              </w:rPr>
            </w:pPr>
          </w:p>
        </w:tc>
        <w:tc>
          <w:tcPr>
            <w:tcW w:w="1433"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515"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069" w:type="dxa"/>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13" w:type="dxa"/>
            <w:noWrap w:val="0"/>
            <w:vAlign w:val="top"/>
          </w:tcPr>
          <w:p>
            <w:pPr>
              <w:spacing w:line="319" w:lineRule="auto"/>
              <w:rPr>
                <w:rFonts w:hint="eastAsia" w:ascii="仿宋" w:hAnsi="仿宋" w:eastAsia="仿宋" w:cs="仿宋"/>
                <w:sz w:val="21"/>
              </w:rPr>
            </w:pPr>
          </w:p>
          <w:p>
            <w:pPr>
              <w:pStyle w:val="30"/>
              <w:spacing w:before="74" w:line="186" w:lineRule="auto"/>
              <w:ind w:left="136"/>
              <w:rPr>
                <w:rFonts w:hint="eastAsia" w:ascii="仿宋" w:hAnsi="仿宋" w:eastAsia="仿宋" w:cs="仿宋"/>
                <w:sz w:val="23"/>
                <w:szCs w:val="23"/>
              </w:rPr>
            </w:pPr>
            <w:r>
              <w:rPr>
                <w:rFonts w:hint="eastAsia" w:ascii="仿宋" w:hAnsi="仿宋" w:eastAsia="仿宋" w:cs="仿宋"/>
                <w:spacing w:val="-5"/>
                <w:sz w:val="23"/>
                <w:szCs w:val="23"/>
              </w:rPr>
              <w:t>3.</w:t>
            </w:r>
          </w:p>
        </w:tc>
        <w:tc>
          <w:tcPr>
            <w:tcW w:w="1555" w:type="dxa"/>
            <w:noWrap w:val="0"/>
            <w:vAlign w:val="top"/>
          </w:tcPr>
          <w:p>
            <w:pPr>
              <w:rPr>
                <w:rFonts w:hint="eastAsia" w:ascii="仿宋" w:hAnsi="仿宋" w:eastAsia="仿宋" w:cs="仿宋"/>
                <w:sz w:val="21"/>
              </w:rPr>
            </w:pPr>
          </w:p>
        </w:tc>
        <w:tc>
          <w:tcPr>
            <w:tcW w:w="1433"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515"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069" w:type="dxa"/>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3" w:type="dxa"/>
            <w:noWrap w:val="0"/>
            <w:vAlign w:val="top"/>
          </w:tcPr>
          <w:p>
            <w:pPr>
              <w:pStyle w:val="30"/>
              <w:spacing w:before="284" w:line="184" w:lineRule="auto"/>
              <w:ind w:left="116"/>
              <w:rPr>
                <w:rFonts w:hint="eastAsia" w:ascii="仿宋" w:hAnsi="仿宋" w:eastAsia="仿宋" w:cs="仿宋"/>
                <w:sz w:val="23"/>
                <w:szCs w:val="23"/>
              </w:rPr>
            </w:pPr>
            <w:r>
              <w:rPr>
                <w:rFonts w:hint="eastAsia" w:ascii="仿宋" w:hAnsi="仿宋" w:eastAsia="仿宋" w:cs="仿宋"/>
                <w:sz w:val="23"/>
                <w:szCs w:val="23"/>
              </w:rPr>
              <w:t>4.</w:t>
            </w:r>
          </w:p>
        </w:tc>
        <w:tc>
          <w:tcPr>
            <w:tcW w:w="1555" w:type="dxa"/>
            <w:noWrap w:val="0"/>
            <w:vAlign w:val="top"/>
          </w:tcPr>
          <w:p>
            <w:pPr>
              <w:rPr>
                <w:rFonts w:hint="eastAsia" w:ascii="仿宋" w:hAnsi="仿宋" w:eastAsia="仿宋" w:cs="仿宋"/>
                <w:sz w:val="21"/>
              </w:rPr>
            </w:pPr>
          </w:p>
        </w:tc>
        <w:tc>
          <w:tcPr>
            <w:tcW w:w="1433"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515"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069" w:type="dxa"/>
            <w:noWrap w:val="0"/>
            <w:vAlign w:val="top"/>
          </w:tcPr>
          <w:p>
            <w:pPr>
              <w:rPr>
                <w:rFonts w:hint="eastAsia" w:ascii="仿宋" w:hAnsi="仿宋" w:eastAsia="仿宋" w:cs="仿宋"/>
                <w:sz w:val="21"/>
              </w:rPr>
            </w:pPr>
          </w:p>
        </w:tc>
      </w:tr>
    </w:tbl>
    <w:p>
      <w:pPr>
        <w:rPr>
          <w:rFonts w:hint="eastAsia" w:ascii="仿宋" w:hAnsi="仿宋" w:eastAsia="仿宋" w:cs="仿宋"/>
          <w:sz w:val="21"/>
        </w:rPr>
      </w:pPr>
    </w:p>
    <w:p>
      <w:pPr>
        <w:spacing w:line="472" w:lineRule="auto"/>
        <w:rPr>
          <w:rFonts w:hint="eastAsia" w:ascii="仿宋" w:hAnsi="仿宋" w:eastAsia="仿宋" w:cs="仿宋"/>
          <w:sz w:val="21"/>
        </w:rPr>
      </w:pPr>
    </w:p>
    <w:p>
      <w:pPr>
        <w:pStyle w:val="9"/>
        <w:spacing w:before="75" w:line="376" w:lineRule="auto"/>
        <w:ind w:left="22"/>
        <w:rPr>
          <w:rFonts w:hint="eastAsia" w:ascii="仿宋" w:hAnsi="仿宋" w:eastAsia="仿宋" w:cs="仿宋"/>
          <w:sz w:val="23"/>
          <w:szCs w:val="23"/>
          <w:lang w:eastAsia="zh-CN"/>
        </w:rPr>
      </w:pPr>
      <w:r>
        <w:rPr>
          <w:rFonts w:hint="eastAsia" w:ascii="仿宋" w:hAnsi="仿宋" w:eastAsia="仿宋" w:cs="仿宋"/>
          <w:spacing w:val="-4"/>
          <w:sz w:val="23"/>
          <w:szCs w:val="23"/>
        </w:rPr>
        <w:t>法定代表人或其委托代理人（电子签章）:</w:t>
      </w:r>
    </w:p>
    <w:p>
      <w:pPr>
        <w:pStyle w:val="9"/>
        <w:spacing w:line="229" w:lineRule="auto"/>
        <w:ind w:left="14"/>
        <w:rPr>
          <w:rFonts w:hint="eastAsia" w:ascii="仿宋" w:hAnsi="仿宋" w:eastAsia="仿宋" w:cs="仿宋"/>
          <w:sz w:val="23"/>
          <w:szCs w:val="23"/>
          <w:lang w:eastAsia="zh-CN"/>
        </w:rPr>
      </w:pPr>
      <w:r>
        <w:rPr>
          <w:rFonts w:hint="eastAsia" w:ascii="仿宋" w:hAnsi="仿宋" w:eastAsia="仿宋" w:cs="仿宋"/>
          <w:spacing w:val="4"/>
          <w:sz w:val="23"/>
          <w:szCs w:val="23"/>
        </w:rPr>
        <w:t>投标人(盖单位电子章):</w:t>
      </w:r>
    </w:p>
    <w:p>
      <w:pPr>
        <w:spacing w:line="415" w:lineRule="auto"/>
        <w:rPr>
          <w:rFonts w:hint="eastAsia" w:ascii="仿宋" w:hAnsi="仿宋" w:eastAsia="仿宋" w:cs="仿宋"/>
          <w:sz w:val="21"/>
        </w:rPr>
      </w:pPr>
    </w:p>
    <w:p>
      <w:pPr>
        <w:pStyle w:val="9"/>
        <w:spacing w:before="75" w:line="223" w:lineRule="auto"/>
        <w:ind w:left="494"/>
        <w:rPr>
          <w:rFonts w:hint="eastAsia" w:ascii="仿宋" w:hAnsi="仿宋" w:eastAsia="仿宋" w:cs="仿宋"/>
          <w:sz w:val="23"/>
          <w:szCs w:val="23"/>
        </w:rPr>
      </w:pPr>
      <w:r>
        <w:rPr>
          <w:rFonts w:hint="eastAsia" w:ascii="仿宋" w:hAnsi="仿宋" w:eastAsia="仿宋" w:cs="仿宋"/>
          <w:spacing w:val="7"/>
          <w:sz w:val="23"/>
          <w:szCs w:val="23"/>
        </w:rPr>
        <w:t>注:1.表格长度方向可做扩展，根据需求可补充相关资料，但不可减少。</w:t>
      </w:r>
    </w:p>
    <w:p>
      <w:pPr>
        <w:spacing w:line="287" w:lineRule="auto"/>
        <w:rPr>
          <w:rFonts w:hint="eastAsia" w:ascii="仿宋" w:hAnsi="仿宋" w:eastAsia="仿宋" w:cs="仿宋"/>
          <w:sz w:val="21"/>
        </w:rPr>
      </w:pPr>
    </w:p>
    <w:p>
      <w:pPr>
        <w:spacing w:line="288" w:lineRule="auto"/>
        <w:rPr>
          <w:rFonts w:hint="eastAsia" w:ascii="仿宋" w:hAnsi="仿宋" w:eastAsia="仿宋" w:cs="仿宋"/>
          <w:sz w:val="21"/>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79" w:firstLineChars="200"/>
        <w:jc w:val="both"/>
        <w:textAlignment w:val="auto"/>
        <w:rPr>
          <w:rFonts w:hint="eastAsia" w:ascii="仿宋" w:hAnsi="仿宋" w:eastAsia="仿宋" w:cs="仿宋"/>
          <w:b/>
          <w:bCs/>
          <w:color w:val="FF0000"/>
          <w:spacing w:val="9"/>
          <w:sz w:val="32"/>
          <w:szCs w:val="32"/>
          <w:lang w:val="en-US" w:eastAsia="zh-CN"/>
        </w:rPr>
      </w:pPr>
      <w:r>
        <w:rPr>
          <w:rFonts w:hint="eastAsia" w:ascii="仿宋" w:hAnsi="仿宋" w:eastAsia="仿宋" w:cs="仿宋"/>
          <w:b/>
          <w:bCs/>
          <w:color w:val="FF0000"/>
          <w:spacing w:val="9"/>
          <w:sz w:val="32"/>
          <w:szCs w:val="32"/>
        </w:rPr>
        <w:t>★此表针对</w:t>
      </w:r>
      <w:r>
        <w:rPr>
          <w:rFonts w:hint="eastAsia" w:ascii="仿宋" w:hAnsi="仿宋" w:eastAsia="仿宋" w:cs="仿宋"/>
          <w:b/>
          <w:bCs/>
          <w:color w:val="FF0000"/>
          <w:spacing w:val="9"/>
          <w:sz w:val="32"/>
          <w:szCs w:val="32"/>
          <w:lang w:eastAsia="zh-CN"/>
        </w:rPr>
        <w:t>调料</w:t>
      </w:r>
      <w:r>
        <w:rPr>
          <w:rFonts w:hint="eastAsia" w:ascii="仿宋" w:hAnsi="仿宋" w:eastAsia="仿宋" w:cs="仿宋"/>
          <w:b/>
          <w:bCs/>
          <w:color w:val="FF0000"/>
          <w:spacing w:val="9"/>
          <w:sz w:val="32"/>
          <w:szCs w:val="32"/>
        </w:rPr>
        <w:t>投标企业可填项，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r>
        <w:rPr>
          <w:rFonts w:hint="eastAsia" w:ascii="仿宋" w:hAnsi="仿宋" w:eastAsia="仿宋" w:cs="仿宋"/>
          <w:b/>
          <w:bCs/>
          <w:color w:val="FF0000"/>
          <w:spacing w:val="9"/>
          <w:sz w:val="32"/>
          <w:szCs w:val="32"/>
          <w:lang w:eastAsia="zh-CN"/>
        </w:rPr>
        <w:t>。（</w:t>
      </w:r>
      <w:r>
        <w:rPr>
          <w:rFonts w:hint="eastAsia" w:ascii="仿宋" w:hAnsi="仿宋" w:eastAsia="仿宋" w:cs="仿宋"/>
          <w:b/>
          <w:bCs/>
          <w:color w:val="FF0000"/>
          <w:spacing w:val="9"/>
          <w:sz w:val="32"/>
          <w:szCs w:val="32"/>
          <w:lang w:val="en-US" w:eastAsia="zh-CN"/>
        </w:rPr>
        <w:t>需提供产品照片及产品备案表）。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79" w:firstLineChars="200"/>
        <w:jc w:val="both"/>
        <w:textAlignment w:val="auto"/>
        <w:rPr>
          <w:rFonts w:hint="eastAsia" w:ascii="仿宋" w:hAnsi="仿宋" w:eastAsia="仿宋" w:cs="仿宋"/>
          <w:b/>
          <w:bCs/>
          <w:color w:val="FF0000"/>
          <w:spacing w:val="9"/>
          <w:sz w:val="32"/>
          <w:szCs w:val="32"/>
        </w:rPr>
        <w:sectPr>
          <w:headerReference r:id="rId22" w:type="default"/>
          <w:footerReference r:id="rId23" w:type="default"/>
          <w:type w:val="continuous"/>
          <w:pgSz w:w="11906" w:h="16839"/>
          <w:pgMar w:top="1274" w:right="1682" w:bottom="1171" w:left="1686" w:header="852" w:footer="992" w:gutter="0"/>
          <w:pgBorders>
            <w:top w:val="single" w:color="auto" w:sz="4" w:space="1"/>
            <w:left w:val="none" w:sz="0" w:space="0"/>
            <w:bottom w:val="none" w:sz="0" w:space="0"/>
            <w:right w:val="none" w:sz="0" w:space="0"/>
          </w:pgBorders>
          <w:pgNumType w:fmt="decimal"/>
          <w:cols w:equalWidth="0" w:num="1">
            <w:col w:w="8538"/>
          </w:cols>
        </w:sectPr>
      </w:pPr>
    </w:p>
    <w:p>
      <w:pPr>
        <w:spacing w:line="149" w:lineRule="exact"/>
        <w:rPr>
          <w:rFonts w:hint="eastAsia" w:ascii="仿宋" w:hAnsi="仿宋" w:eastAsia="仿宋" w:cs="仿宋"/>
        </w:rPr>
      </w:pPr>
    </w:p>
    <w:p>
      <w:pPr>
        <w:spacing w:line="149" w:lineRule="exact"/>
        <w:rPr>
          <w:rFonts w:hint="eastAsia" w:ascii="仿宋" w:hAnsi="仿宋" w:eastAsia="仿宋" w:cs="仿宋"/>
        </w:rPr>
        <w:sectPr>
          <w:headerReference r:id="rId24" w:type="default"/>
          <w:footerReference r:id="rId25" w:type="default"/>
          <w:pgSz w:w="11906" w:h="16839"/>
          <w:pgMar w:top="1274" w:right="1328" w:bottom="1171" w:left="1328" w:header="852" w:footer="992" w:gutter="0"/>
          <w:pgBorders>
            <w:top w:val="single" w:color="auto" w:sz="4" w:space="1"/>
            <w:left w:val="none" w:sz="0" w:space="0"/>
            <w:bottom w:val="none" w:sz="0" w:space="0"/>
            <w:right w:val="none" w:sz="0" w:space="0"/>
          </w:pgBorders>
          <w:pgNumType w:fmt="decimal"/>
          <w:cols w:equalWidth="0" w:num="1">
            <w:col w:w="9250"/>
          </w:cols>
        </w:sectPr>
      </w:pPr>
    </w:p>
    <w:p>
      <w:pPr>
        <w:spacing w:line="329" w:lineRule="auto"/>
        <w:rPr>
          <w:rFonts w:hint="eastAsia" w:ascii="仿宋" w:hAnsi="仿宋" w:eastAsia="仿宋" w:cs="仿宋"/>
          <w:sz w:val="21"/>
        </w:rPr>
      </w:pPr>
    </w:p>
    <w:p>
      <w:pPr>
        <w:spacing w:line="330" w:lineRule="auto"/>
        <w:rPr>
          <w:rFonts w:hint="eastAsia" w:ascii="仿宋" w:hAnsi="仿宋" w:eastAsia="仿宋" w:cs="仿宋"/>
          <w:sz w:val="21"/>
        </w:rPr>
      </w:pPr>
    </w:p>
    <w:p>
      <w:pPr>
        <w:spacing w:before="103" w:line="237" w:lineRule="exact"/>
        <w:ind w:left="471"/>
        <w:rPr>
          <w:rFonts w:hint="eastAsia" w:ascii="仿宋" w:hAnsi="仿宋" w:eastAsia="仿宋" w:cs="仿宋"/>
          <w:spacing w:val="-1"/>
          <w:position w:val="-1"/>
          <w:sz w:val="24"/>
          <w:szCs w:val="24"/>
        </w:rPr>
      </w:pPr>
    </w:p>
    <w:p>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pStyle w:val="3"/>
        <w:bidi w:val="0"/>
        <w:spacing w:before="0" w:after="0" w:line="240" w:lineRule="auto"/>
        <w:jc w:val="left"/>
        <w:outlineLvl w:val="2"/>
        <w:rPr>
          <w:rFonts w:hint="eastAsia" w:ascii="仿宋" w:hAnsi="仿宋" w:eastAsia="仿宋" w:cs="仿宋"/>
        </w:rPr>
      </w:pPr>
      <w:bookmarkStart w:id="162" w:name="_Toc24089"/>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bookmarkEnd w:id="162"/>
    </w:p>
    <w:p>
      <w:pPr>
        <w:spacing w:before="103" w:line="239" w:lineRule="exact"/>
        <w:rPr>
          <w:rFonts w:hint="eastAsia" w:ascii="仿宋" w:hAnsi="仿宋" w:eastAsia="仿宋" w:cs="仿宋"/>
          <w:spacing w:val="-1"/>
          <w:position w:val="-1"/>
          <w:sz w:val="24"/>
          <w:szCs w:val="24"/>
        </w:rPr>
      </w:pPr>
    </w:p>
    <w:p>
      <w:pPr>
        <w:spacing w:before="103" w:line="239" w:lineRule="exact"/>
        <w:ind w:firstLine="1904" w:firstLineChars="800"/>
        <w:rPr>
          <w:rFonts w:hint="eastAsia" w:ascii="仿宋" w:hAnsi="仿宋" w:eastAsia="仿宋" w:cs="仿宋"/>
          <w:spacing w:val="-1"/>
          <w:position w:val="-1"/>
          <w:sz w:val="24"/>
          <w:szCs w:val="24"/>
        </w:rPr>
      </w:pPr>
    </w:p>
    <w:p>
      <w:pPr>
        <w:spacing w:before="103" w:line="239" w:lineRule="exact"/>
        <w:ind w:firstLine="1904" w:firstLineChars="800"/>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spacing w:line="329" w:lineRule="auto"/>
        <w:rPr>
          <w:rFonts w:hint="eastAsia" w:ascii="仿宋" w:hAnsi="仿宋" w:eastAsia="仿宋" w:cs="仿宋"/>
          <w:sz w:val="21"/>
        </w:rPr>
      </w:pPr>
    </w:p>
    <w:p>
      <w:pPr>
        <w:spacing w:line="329" w:lineRule="auto"/>
        <w:rPr>
          <w:rFonts w:hint="eastAsia" w:ascii="仿宋" w:hAnsi="仿宋" w:eastAsia="仿宋" w:cs="仿宋"/>
          <w:sz w:val="21"/>
        </w:rPr>
      </w:pPr>
    </w:p>
    <w:p>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Borders>
            <w:top w:val="single" w:color="auto" w:sz="4" w:space="1"/>
            <w:left w:val="none" w:sz="0" w:space="0"/>
            <w:bottom w:val="none" w:sz="0" w:space="0"/>
            <w:right w:val="none" w:sz="0" w:space="0"/>
          </w:pgBorders>
          <w:pgNumType w:fmt="decimal"/>
          <w:cols w:equalWidth="0" w:num="3">
            <w:col w:w="3541" w:space="100"/>
            <w:col w:w="3567" w:space="100"/>
            <w:col w:w="1943"/>
          </w:cols>
        </w:sectPr>
      </w:pPr>
    </w:p>
    <w:p>
      <w:pPr>
        <w:spacing w:before="205"/>
        <w:rPr>
          <w:rFonts w:hint="eastAsia" w:ascii="仿宋" w:hAnsi="仿宋" w:eastAsia="仿宋" w:cs="仿宋"/>
        </w:rPr>
      </w:pPr>
    </w:p>
    <w:tbl>
      <w:tblPr>
        <w:tblStyle w:val="31"/>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2471" w:type="dxa"/>
            <w:vAlign w:val="top"/>
          </w:tcPr>
          <w:p>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pPr>
              <w:spacing w:before="322" w:line="183" w:lineRule="auto"/>
              <w:ind w:left="185"/>
              <w:rPr>
                <w:rFonts w:hint="default" w:ascii="仿宋" w:hAnsi="仿宋" w:eastAsia="仿宋" w:cs="仿宋"/>
                <w:sz w:val="24"/>
                <w:szCs w:val="24"/>
                <w:lang w:val="en-US"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val="en-US" w:eastAsia="zh-CN"/>
              </w:rPr>
              <w:t>货物内容</w:t>
            </w:r>
          </w:p>
        </w:tc>
        <w:tc>
          <w:tcPr>
            <w:tcW w:w="1330" w:type="dxa"/>
            <w:vAlign w:val="top"/>
          </w:tcPr>
          <w:p>
            <w:pPr>
              <w:spacing w:before="322" w:line="183" w:lineRule="auto"/>
              <w:ind w:left="187"/>
              <w:rPr>
                <w:rFonts w:hint="default" w:ascii="仿宋" w:hAnsi="仿宋" w:eastAsia="仿宋" w:cs="仿宋"/>
                <w:sz w:val="24"/>
                <w:szCs w:val="24"/>
                <w:lang w:val="en-US"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货物内容</w:t>
            </w:r>
          </w:p>
        </w:tc>
        <w:tc>
          <w:tcPr>
            <w:tcW w:w="950" w:type="dxa"/>
            <w:vAlign w:val="top"/>
          </w:tcPr>
          <w:p>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bl>
    <w:p>
      <w:pPr>
        <w:spacing w:line="366" w:lineRule="auto"/>
        <w:rPr>
          <w:rFonts w:hint="eastAsia" w:ascii="仿宋" w:hAnsi="仿宋" w:eastAsia="仿宋" w:cs="仿宋"/>
          <w:sz w:val="21"/>
        </w:rPr>
      </w:pPr>
    </w:p>
    <w:p>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pPr>
        <w:spacing w:before="84" w:line="360" w:lineRule="auto"/>
        <w:ind w:left="1500"/>
        <w:outlineLvl w:val="2"/>
        <w:rPr>
          <w:rFonts w:hint="eastAsia" w:ascii="仿宋" w:hAnsi="仿宋" w:eastAsia="仿宋" w:cs="仿宋"/>
          <w:sz w:val="24"/>
          <w:szCs w:val="24"/>
        </w:rPr>
      </w:pPr>
      <w:bookmarkStart w:id="163" w:name="_Toc308"/>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bookmarkEnd w:id="163"/>
    </w:p>
    <w:p>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pPr>
        <w:spacing w:before="87" w:line="360" w:lineRule="auto"/>
        <w:ind w:left="1263" w:firstLine="228" w:firstLineChars="100"/>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Borders>
            <w:top w:val="single" w:color="auto" w:sz="4" w:space="1"/>
            <w:left w:val="none" w:sz="0" w:space="0"/>
            <w:bottom w:val="none" w:sz="0" w:space="0"/>
            <w:right w:val="none" w:sz="0" w:space="0"/>
          </w:pgBorders>
          <w:pgNumType w:fmt="decimal"/>
          <w:cols w:equalWidth="0" w:num="1">
            <w:col w:w="9250"/>
          </w:cols>
        </w:sectPr>
      </w:pPr>
    </w:p>
    <w:p>
      <w:pPr>
        <w:pStyle w:val="9"/>
        <w:spacing w:before="206" w:line="220" w:lineRule="auto"/>
        <w:ind w:left="3466"/>
        <w:outlineLvl w:val="2"/>
        <w:rPr>
          <w:rFonts w:hint="eastAsia" w:ascii="仿宋" w:hAnsi="仿宋" w:eastAsia="仿宋" w:cs="仿宋"/>
        </w:rPr>
      </w:pPr>
      <w:bookmarkStart w:id="164" w:name="_Toc10528"/>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bookmarkEnd w:id="164"/>
    </w:p>
    <w:p>
      <w:pPr>
        <w:spacing w:before="59"/>
        <w:rPr>
          <w:rFonts w:hint="eastAsia" w:ascii="仿宋" w:hAnsi="仿宋" w:eastAsia="仿宋" w:cs="仿宋"/>
        </w:rPr>
      </w:pPr>
    </w:p>
    <w:p>
      <w:pPr>
        <w:spacing w:before="59"/>
        <w:rPr>
          <w:rFonts w:hint="eastAsia" w:ascii="仿宋" w:hAnsi="仿宋" w:eastAsia="仿宋" w:cs="仿宋"/>
        </w:rPr>
      </w:pPr>
    </w:p>
    <w:p>
      <w:pPr>
        <w:rPr>
          <w:rFonts w:hint="eastAsia" w:ascii="仿宋" w:hAnsi="仿宋" w:eastAsia="仿宋" w:cs="仿宋"/>
        </w:rPr>
        <w:sectPr>
          <w:headerReference r:id="rId26" w:type="default"/>
          <w:footerReference r:id="rId27" w:type="default"/>
          <w:pgSz w:w="11906" w:h="16839"/>
          <w:pgMar w:top="1274" w:right="1427" w:bottom="1171" w:left="1427" w:header="852" w:footer="992" w:gutter="0"/>
          <w:pgBorders>
            <w:top w:val="single" w:color="auto" w:sz="4" w:space="1"/>
            <w:left w:val="none" w:sz="0" w:space="0"/>
            <w:bottom w:val="none" w:sz="0" w:space="0"/>
            <w:right w:val="none" w:sz="0" w:space="0"/>
          </w:pgBorders>
          <w:pgNumType w:fmt="decimal"/>
          <w:cols w:equalWidth="0" w:num="1">
            <w:col w:w="9052"/>
          </w:cols>
        </w:sectPr>
      </w:pPr>
    </w:p>
    <w:p>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Borders>
            <w:top w:val="single" w:color="auto" w:sz="4" w:space="1"/>
            <w:left w:val="none" w:sz="0" w:space="0"/>
            <w:bottom w:val="none" w:sz="0" w:space="0"/>
            <w:right w:val="none" w:sz="0" w:space="0"/>
          </w:pgBorders>
          <w:pgNumType w:fmt="decimal"/>
          <w:cols w:equalWidth="0" w:num="3">
            <w:col w:w="4229" w:space="100"/>
            <w:col w:w="2480" w:space="100"/>
            <w:col w:w="2144"/>
          </w:cols>
        </w:sectPr>
      </w:pPr>
    </w:p>
    <w:p>
      <w:pPr>
        <w:spacing w:before="204"/>
        <w:rPr>
          <w:rFonts w:hint="eastAsia" w:ascii="仿宋" w:hAnsi="仿宋" w:eastAsia="仿宋" w:cs="仿宋"/>
        </w:rPr>
      </w:pPr>
    </w:p>
    <w:tbl>
      <w:tblPr>
        <w:tblStyle w:val="31"/>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bl>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line="255" w:lineRule="auto"/>
        <w:rPr>
          <w:rFonts w:hint="eastAsia" w:ascii="仿宋" w:hAnsi="仿宋" w:eastAsia="仿宋" w:cs="仿宋"/>
          <w:sz w:val="21"/>
        </w:rPr>
      </w:pPr>
    </w:p>
    <w:p>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Borders>
            <w:top w:val="single" w:color="auto" w:sz="4" w:space="1"/>
            <w:left w:val="none" w:sz="0" w:space="0"/>
            <w:bottom w:val="none" w:sz="0" w:space="0"/>
            <w:right w:val="none" w:sz="0" w:space="0"/>
          </w:pgBorders>
          <w:pgNumType w:fmt="decimal"/>
          <w:cols w:equalWidth="0" w:num="1">
            <w:col w:w="9052"/>
          </w:cols>
        </w:sectPr>
      </w:pPr>
    </w:p>
    <w:p>
      <w:pPr>
        <w:spacing w:line="263" w:lineRule="auto"/>
        <w:rPr>
          <w:rFonts w:hint="eastAsia" w:ascii="仿宋" w:hAnsi="仿宋" w:eastAsia="仿宋" w:cs="仿宋"/>
          <w:sz w:val="21"/>
        </w:rPr>
      </w:pPr>
    </w:p>
    <w:p>
      <w:pPr>
        <w:spacing w:before="103" w:line="225" w:lineRule="auto"/>
        <w:ind w:left="24"/>
        <w:jc w:val="center"/>
        <w:outlineLvl w:val="1"/>
        <w:rPr>
          <w:rFonts w:hint="eastAsia" w:ascii="仿宋" w:hAnsi="仿宋" w:eastAsia="仿宋" w:cs="仿宋"/>
          <w:sz w:val="24"/>
          <w:szCs w:val="24"/>
        </w:rPr>
      </w:pPr>
      <w:bookmarkStart w:id="165" w:name="_Toc10009"/>
      <w:r>
        <w:rPr>
          <w:rFonts w:hint="eastAsia" w:ascii="仿宋" w:hAnsi="仿宋" w:eastAsia="仿宋" w:cs="仿宋"/>
          <w:b/>
          <w:bCs/>
          <w:sz w:val="24"/>
          <w:szCs w:val="24"/>
        </w:rPr>
        <w:t>6-1   投标人企业（单位）类型声明函</w:t>
      </w:r>
      <w:bookmarkEnd w:id="165"/>
    </w:p>
    <w:p>
      <w:pPr>
        <w:spacing w:line="296" w:lineRule="auto"/>
        <w:rPr>
          <w:rFonts w:hint="eastAsia" w:ascii="仿宋" w:hAnsi="仿宋" w:eastAsia="仿宋" w:cs="仿宋"/>
          <w:sz w:val="21"/>
        </w:rPr>
      </w:pPr>
    </w:p>
    <w:p>
      <w:pPr>
        <w:spacing w:line="296" w:lineRule="auto"/>
        <w:rPr>
          <w:rFonts w:hint="eastAsia" w:ascii="仿宋" w:hAnsi="仿宋" w:eastAsia="仿宋" w:cs="仿宋"/>
          <w:sz w:val="21"/>
        </w:rPr>
      </w:pPr>
    </w:p>
    <w:p>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pPr>
        <w:spacing w:before="103" w:line="360" w:lineRule="auto"/>
        <w:ind w:left="3168"/>
        <w:rPr>
          <w:rFonts w:hint="eastAsia" w:ascii="仿宋" w:hAnsi="仿宋" w:eastAsia="仿宋" w:cs="仿宋"/>
          <w:sz w:val="24"/>
          <w:szCs w:val="24"/>
        </w:rPr>
        <w:sectPr>
          <w:headerReference r:id="rId28" w:type="default"/>
          <w:footerReference r:id="rId29" w:type="default"/>
          <w:pgSz w:w="11906" w:h="16839"/>
          <w:pgMar w:top="1274" w:right="1728"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pPr>
        <w:spacing w:before="103" w:line="225" w:lineRule="auto"/>
        <w:ind w:firstLine="1673" w:firstLineChars="700"/>
        <w:jc w:val="both"/>
        <w:outlineLvl w:val="1"/>
        <w:rPr>
          <w:rFonts w:hint="eastAsia" w:ascii="仿宋" w:hAnsi="仿宋" w:eastAsia="仿宋" w:cs="仿宋"/>
          <w:sz w:val="24"/>
          <w:szCs w:val="24"/>
        </w:rPr>
      </w:pPr>
      <w:bookmarkStart w:id="166" w:name="_Toc9092"/>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2</w:t>
      </w:r>
      <w:r>
        <w:rPr>
          <w:rFonts w:hint="eastAsia" w:ascii="仿宋" w:hAnsi="仿宋" w:eastAsia="仿宋" w:cs="仿宋"/>
          <w:b/>
          <w:bCs/>
          <w:spacing w:val="-1"/>
          <w:sz w:val="24"/>
          <w:szCs w:val="24"/>
        </w:rPr>
        <w:t xml:space="preserve">     残疾人福利性单位声明函</w:t>
      </w:r>
      <w:bookmarkEnd w:id="166"/>
    </w:p>
    <w:p>
      <w:pPr>
        <w:spacing w:line="311" w:lineRule="auto"/>
        <w:rPr>
          <w:rFonts w:hint="eastAsia" w:ascii="仿宋" w:hAnsi="仿宋" w:eastAsia="仿宋" w:cs="仿宋"/>
          <w:sz w:val="21"/>
        </w:rPr>
      </w:pPr>
    </w:p>
    <w:p>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before="103" w:line="360" w:lineRule="auto"/>
        <w:ind w:left="1915" w:leftChars="912" w:right="335" w:firstLine="0" w:firstLineChars="0"/>
        <w:rPr>
          <w:rFonts w:hint="eastAsia" w:ascii="仿宋" w:hAnsi="仿宋" w:eastAsia="仿宋" w:cs="仿宋"/>
          <w:sz w:val="24"/>
          <w:szCs w:val="24"/>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pPr>
        <w:spacing w:line="221" w:lineRule="auto"/>
        <w:rPr>
          <w:rFonts w:hint="eastAsia" w:ascii="仿宋" w:hAnsi="仿宋" w:eastAsia="仿宋" w:cs="仿宋"/>
          <w:sz w:val="24"/>
          <w:szCs w:val="24"/>
        </w:rPr>
        <w:sectPr>
          <w:headerReference r:id="rId30" w:type="default"/>
          <w:footerReference r:id="rId31"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p>
    <w:p>
      <w:pPr>
        <w:pStyle w:val="3"/>
        <w:bidi w:val="0"/>
        <w:jc w:val="center"/>
        <w:rPr>
          <w:rFonts w:hint="eastAsia" w:ascii="仿宋" w:hAnsi="仿宋" w:eastAsia="仿宋" w:cs="仿宋"/>
          <w:sz w:val="24"/>
          <w:szCs w:val="24"/>
        </w:rPr>
      </w:pPr>
      <w:bookmarkStart w:id="167" w:name="_Toc24712"/>
      <w:r>
        <w:rPr>
          <w:rFonts w:hint="eastAsia" w:ascii="仿宋" w:hAnsi="仿宋" w:eastAsia="仿宋" w:cs="仿宋"/>
          <w:b/>
          <w:bCs/>
          <w:sz w:val="24"/>
          <w:szCs w:val="24"/>
        </w:rPr>
        <w:t>6-</w:t>
      </w:r>
      <w:r>
        <w:rPr>
          <w:rFonts w:hint="eastAsia" w:ascii="仿宋" w:hAnsi="仿宋" w:eastAsia="仿宋" w:cs="仿宋"/>
          <w:b/>
          <w:bCs/>
          <w:sz w:val="24"/>
          <w:szCs w:val="24"/>
          <w:lang w:val="en-US" w:eastAsia="zh-CN"/>
        </w:rPr>
        <w:t>3</w:t>
      </w:r>
      <w:r>
        <w:rPr>
          <w:rFonts w:hint="eastAsia" w:ascii="仿宋" w:hAnsi="仿宋" w:eastAsia="仿宋" w:cs="仿宋"/>
          <w:b/>
          <w:bCs/>
          <w:spacing w:val="-1"/>
          <w:sz w:val="24"/>
          <w:szCs w:val="24"/>
        </w:rPr>
        <w:t>《中小企业声明函》（</w:t>
      </w:r>
      <w:r>
        <w:rPr>
          <w:rFonts w:hint="eastAsia" w:ascii="仿宋" w:hAnsi="仿宋" w:eastAsia="仿宋" w:cs="仿宋"/>
          <w:b/>
          <w:bCs/>
          <w:spacing w:val="-1"/>
          <w:sz w:val="24"/>
          <w:szCs w:val="24"/>
          <w:lang w:val="en-US" w:eastAsia="zh-CN"/>
        </w:rPr>
        <w:t>货物</w:t>
      </w:r>
      <w:r>
        <w:rPr>
          <w:rFonts w:hint="eastAsia" w:ascii="仿宋" w:hAnsi="仿宋" w:eastAsia="仿宋" w:cs="仿宋"/>
          <w:b/>
          <w:bCs/>
          <w:spacing w:val="-1"/>
          <w:sz w:val="24"/>
          <w:szCs w:val="24"/>
        </w:rPr>
        <w:t>）</w:t>
      </w:r>
      <w:bookmarkEnd w:id="167"/>
    </w:p>
    <w:p>
      <w:pPr>
        <w:spacing w:line="246" w:lineRule="auto"/>
        <w:rPr>
          <w:rFonts w:hint="eastAsia" w:ascii="仿宋" w:hAnsi="仿宋" w:eastAsia="仿宋" w:cs="仿宋"/>
          <w:sz w:val="21"/>
        </w:rPr>
      </w:pPr>
    </w:p>
    <w:p>
      <w:pPr>
        <w:pStyle w:val="9"/>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w:t>
      </w:r>
      <w:r>
        <w:rPr>
          <w:rFonts w:hint="eastAsia" w:ascii="仿宋" w:hAnsi="仿宋" w:eastAsia="仿宋" w:cs="仿宋"/>
          <w:spacing w:val="-3"/>
          <w:sz w:val="24"/>
          <w:szCs w:val="24"/>
        </w:rPr>
        <w:t>为符合政策要求的中小企业</w:t>
      </w:r>
      <w:r>
        <w:rPr>
          <w:rFonts w:hint="eastAsia" w:ascii="仿宋" w:hAnsi="仿宋" w:eastAsia="仿宋" w:cs="仿宋"/>
          <w:spacing w:val="-3"/>
          <w:sz w:val="24"/>
          <w:szCs w:val="24"/>
          <w:lang w:val="en-US" w:eastAsia="zh-CN"/>
        </w:rPr>
        <w:t>制造</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pPr>
        <w:spacing w:line="360" w:lineRule="auto"/>
        <w:rPr>
          <w:rFonts w:hint="eastAsia" w:ascii="仿宋" w:hAnsi="仿宋" w:eastAsia="仿宋" w:cs="仿宋"/>
          <w:sz w:val="21"/>
        </w:rPr>
      </w:pPr>
    </w:p>
    <w:p>
      <w:pPr>
        <w:pStyle w:val="9"/>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pPr>
        <w:spacing w:line="360" w:lineRule="auto"/>
        <w:rPr>
          <w:rFonts w:hint="eastAsia" w:ascii="仿宋" w:hAnsi="仿宋" w:eastAsia="仿宋" w:cs="仿宋"/>
          <w:sz w:val="21"/>
        </w:rPr>
      </w:pPr>
    </w:p>
    <w:p>
      <w:pPr>
        <w:pStyle w:val="9"/>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pPr>
        <w:pStyle w:val="4"/>
        <w:jc w:val="both"/>
        <w:rPr>
          <w:rFonts w:hint="default"/>
          <w:lang w:val="en-US" w:eastAsia="zh-CN"/>
        </w:rPr>
      </w:pPr>
      <w:r>
        <w:rPr>
          <w:rFonts w:hint="eastAsia" w:ascii="仿宋" w:hAnsi="仿宋" w:eastAsia="仿宋" w:cs="仿宋"/>
          <w:sz w:val="21"/>
          <w:lang w:val="en-US" w:eastAsia="zh-CN"/>
        </w:rPr>
        <w:t xml:space="preserve">    </w:t>
      </w:r>
      <w:bookmarkStart w:id="168" w:name="_Toc23574"/>
      <w:r>
        <w:rPr>
          <w:rFonts w:hint="eastAsia" w:ascii="仿宋" w:hAnsi="仿宋" w:eastAsia="仿宋" w:cs="仿宋"/>
          <w:sz w:val="21"/>
          <w:lang w:val="en-US" w:eastAsia="zh-CN"/>
        </w:rPr>
        <w:t>...........................................</w:t>
      </w:r>
      <w:bookmarkEnd w:id="168"/>
    </w:p>
    <w:p>
      <w:pPr>
        <w:pStyle w:val="9"/>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pPr>
        <w:spacing w:line="360" w:lineRule="auto"/>
        <w:rPr>
          <w:rFonts w:hint="eastAsia" w:ascii="仿宋" w:hAnsi="仿宋" w:eastAsia="仿宋" w:cs="仿宋"/>
          <w:sz w:val="21"/>
        </w:rPr>
      </w:pPr>
    </w:p>
    <w:p>
      <w:pPr>
        <w:pStyle w:val="9"/>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pPr>
        <w:spacing w:line="278" w:lineRule="auto"/>
        <w:rPr>
          <w:rFonts w:hint="eastAsia" w:ascii="仿宋" w:hAnsi="仿宋" w:eastAsia="仿宋" w:cs="仿宋"/>
          <w:sz w:val="21"/>
        </w:rPr>
      </w:pPr>
    </w:p>
    <w:p>
      <w:pPr>
        <w:spacing w:line="278" w:lineRule="auto"/>
        <w:rPr>
          <w:rFonts w:hint="eastAsia" w:ascii="仿宋" w:hAnsi="仿宋" w:eastAsia="仿宋" w:cs="仿宋"/>
          <w:sz w:val="21"/>
        </w:rPr>
      </w:pPr>
    </w:p>
    <w:p>
      <w:pPr>
        <w:spacing w:line="278" w:lineRule="auto"/>
        <w:rPr>
          <w:rFonts w:hint="eastAsia" w:ascii="仿宋" w:hAnsi="仿宋" w:eastAsia="仿宋" w:cs="仿宋"/>
          <w:sz w:val="21"/>
        </w:rPr>
      </w:pPr>
    </w:p>
    <w:p>
      <w:pPr>
        <w:pStyle w:val="9"/>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pPr>
        <w:spacing w:line="284" w:lineRule="auto"/>
        <w:rPr>
          <w:rFonts w:hint="eastAsia" w:ascii="仿宋" w:hAnsi="仿宋" w:eastAsia="仿宋" w:cs="仿宋"/>
          <w:sz w:val="21"/>
        </w:rPr>
      </w:pPr>
    </w:p>
    <w:p>
      <w:pPr>
        <w:pStyle w:val="9"/>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pPr>
        <w:spacing w:line="267" w:lineRule="auto"/>
        <w:rPr>
          <w:rFonts w:hint="eastAsia" w:ascii="仿宋" w:hAnsi="仿宋" w:eastAsia="仿宋" w:cs="仿宋"/>
          <w:sz w:val="21"/>
        </w:rPr>
      </w:pP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备注：1、投标商根据技术参数由中小企业生产或制造的产品提供中小企业声明函。必须如实填写中小企业声明函，如提供虚假资料，投标商自行承担责任。</w:t>
      </w:r>
    </w:p>
    <w:p>
      <w:pPr>
        <w:numPr>
          <w:ilvl w:val="0"/>
          <w:numId w:val="0"/>
        </w:numPr>
        <w:spacing w:line="360" w:lineRule="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2、投标单位需详细列明全部标的物名称，列属行业、承建（承接）商、从业人员、营业收入、资产总额、所属企业性质。</w:t>
      </w:r>
    </w:p>
    <w:p>
      <w:pPr>
        <w:pStyle w:val="6"/>
        <w:ind w:left="0" w:leftChars="0" w:firstLine="0" w:firstLineChars="0"/>
        <w:rPr>
          <w:rFonts w:hint="eastAsia"/>
        </w:rPr>
      </w:pPr>
    </w:p>
    <w:p>
      <w:pPr>
        <w:pStyle w:val="3"/>
        <w:bidi w:val="0"/>
        <w:jc w:val="left"/>
        <w:outlineLvl w:val="2"/>
        <w:rPr>
          <w:rFonts w:hint="eastAsia" w:ascii="仿宋" w:hAnsi="仿宋" w:eastAsia="仿宋" w:cs="仿宋"/>
          <w:b/>
          <w:bCs/>
          <w:snapToGrid w:val="0"/>
          <w:color w:val="000000"/>
          <w:spacing w:val="-1"/>
          <w:kern w:val="0"/>
          <w:sz w:val="24"/>
          <w:szCs w:val="24"/>
          <w:lang w:val="en-US" w:eastAsia="en-US" w:bidi="ar-SA"/>
        </w:rPr>
      </w:pPr>
      <w:bookmarkStart w:id="169" w:name="_Toc15434"/>
      <w:r>
        <w:rPr>
          <w:rFonts w:hint="eastAsia" w:ascii="仿宋" w:hAnsi="仿宋" w:eastAsia="仿宋" w:cs="仿宋"/>
          <w:b/>
          <w:bCs/>
          <w:snapToGrid w:val="0"/>
          <w:color w:val="000000"/>
          <w:spacing w:val="-1"/>
          <w:kern w:val="0"/>
          <w:sz w:val="24"/>
          <w:szCs w:val="24"/>
          <w:lang w:val="en-US" w:eastAsia="en-US" w:bidi="ar-SA"/>
        </w:rPr>
        <w:t>7     投标人关联单位的说明</w:t>
      </w:r>
      <w:bookmarkEnd w:id="169"/>
    </w:p>
    <w:p>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pPr>
        <w:spacing w:line="360" w:lineRule="auto"/>
        <w:rPr>
          <w:rFonts w:hint="eastAsia" w:ascii="仿宋" w:hAnsi="仿宋" w:eastAsia="仿宋" w:cs="仿宋"/>
          <w:sz w:val="21"/>
        </w:rPr>
      </w:pPr>
    </w:p>
    <w:p>
      <w:pPr>
        <w:pStyle w:val="3"/>
        <w:bidi w:val="0"/>
        <w:jc w:val="left"/>
        <w:outlineLvl w:val="2"/>
        <w:rPr>
          <w:rFonts w:hint="eastAsia" w:ascii="仿宋" w:hAnsi="仿宋" w:eastAsia="仿宋" w:cs="仿宋"/>
          <w:b/>
          <w:bCs/>
          <w:spacing w:val="-1"/>
          <w:sz w:val="24"/>
          <w:szCs w:val="24"/>
        </w:rPr>
      </w:pPr>
      <w:bookmarkStart w:id="170" w:name="_Toc8960"/>
    </w:p>
    <w:p>
      <w:pPr>
        <w:pStyle w:val="3"/>
        <w:bidi w:val="0"/>
        <w:jc w:val="left"/>
        <w:outlineLvl w:val="2"/>
        <w:rPr>
          <w:rFonts w:hint="eastAsia" w:ascii="仿宋" w:hAnsi="仿宋" w:eastAsia="仿宋" w:cs="仿宋"/>
          <w:b/>
          <w:bCs/>
          <w:spacing w:val="-1"/>
          <w:sz w:val="24"/>
          <w:szCs w:val="24"/>
        </w:rPr>
      </w:pPr>
    </w:p>
    <w:p>
      <w:pPr>
        <w:pStyle w:val="3"/>
        <w:bidi w:val="0"/>
        <w:jc w:val="left"/>
        <w:outlineLvl w:val="2"/>
        <w:rPr>
          <w:rFonts w:hint="eastAsia" w:ascii="仿宋" w:hAnsi="仿宋" w:eastAsia="仿宋" w:cs="仿宋"/>
          <w:b/>
          <w:bCs/>
          <w:spacing w:val="-1"/>
          <w:sz w:val="24"/>
          <w:szCs w:val="24"/>
        </w:rPr>
      </w:pPr>
    </w:p>
    <w:p>
      <w:pPr>
        <w:pStyle w:val="3"/>
        <w:bidi w:val="0"/>
        <w:jc w:val="left"/>
        <w:outlineLvl w:val="2"/>
        <w:rPr>
          <w:rFonts w:hint="eastAsia" w:ascii="仿宋" w:hAnsi="仿宋" w:eastAsia="仿宋" w:cs="仿宋"/>
          <w:sz w:val="24"/>
          <w:szCs w:val="24"/>
        </w:rPr>
      </w:pPr>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170"/>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3"/>
        <w:bidi w:val="0"/>
        <w:jc w:val="left"/>
        <w:outlineLvl w:val="2"/>
        <w:rPr>
          <w:rFonts w:hint="eastAsia" w:ascii="仿宋" w:hAnsi="仿宋" w:eastAsia="仿宋" w:cs="仿宋"/>
          <w:b/>
          <w:bCs/>
          <w:spacing w:val="-1"/>
          <w:sz w:val="24"/>
          <w:szCs w:val="24"/>
          <w:lang w:val="en-US" w:eastAsia="zh-CN"/>
        </w:rPr>
      </w:pPr>
      <w:bookmarkStart w:id="171" w:name="_Toc6424"/>
    </w:p>
    <w:p>
      <w:pPr>
        <w:pStyle w:val="3"/>
        <w:bidi w:val="0"/>
        <w:jc w:val="left"/>
        <w:outlineLvl w:val="2"/>
        <w:rPr>
          <w:rFonts w:hint="eastAsia" w:ascii="仿宋" w:hAnsi="仿宋" w:eastAsia="仿宋" w:cs="仿宋"/>
          <w:b/>
          <w:bCs/>
          <w:spacing w:val="-1"/>
          <w:sz w:val="24"/>
          <w:szCs w:val="24"/>
          <w:lang w:val="en-US" w:eastAsia="zh-CN"/>
        </w:rPr>
      </w:pPr>
    </w:p>
    <w:p>
      <w:pPr>
        <w:pStyle w:val="3"/>
        <w:bidi w:val="0"/>
        <w:jc w:val="left"/>
        <w:outlineLvl w:val="2"/>
        <w:rPr>
          <w:rFonts w:hint="eastAsia" w:ascii="仿宋" w:hAnsi="仿宋" w:eastAsia="仿宋" w:cs="仿宋"/>
          <w:b/>
          <w:bCs/>
          <w:spacing w:val="-1"/>
          <w:sz w:val="24"/>
          <w:szCs w:val="24"/>
          <w:lang w:val="en-US" w:eastAsia="zh-CN"/>
        </w:rPr>
      </w:pPr>
    </w:p>
    <w:p>
      <w:pPr>
        <w:pStyle w:val="3"/>
        <w:bidi w:val="0"/>
        <w:jc w:val="left"/>
        <w:outlineLvl w:val="2"/>
        <w:rPr>
          <w:rFonts w:hint="eastAsia" w:ascii="仿宋" w:hAnsi="仿宋" w:eastAsia="仿宋" w:cs="仿宋"/>
          <w:b/>
          <w:bCs/>
          <w:spacing w:val="-1"/>
          <w:sz w:val="24"/>
          <w:szCs w:val="24"/>
          <w:lang w:val="en-US" w:eastAsia="zh-CN"/>
        </w:rPr>
      </w:pPr>
    </w:p>
    <w:p>
      <w:pPr>
        <w:pStyle w:val="3"/>
        <w:bidi w:val="0"/>
        <w:jc w:val="left"/>
        <w:outlineLvl w:val="2"/>
        <w:rPr>
          <w:rFonts w:hint="default" w:ascii="仿宋" w:hAnsi="仿宋" w:eastAsia="仿宋" w:cs="仿宋"/>
          <w:b/>
          <w:bCs/>
          <w:spacing w:val="-1"/>
          <w:sz w:val="24"/>
          <w:szCs w:val="24"/>
          <w:lang w:val="en-US" w:eastAsia="zh-CN"/>
        </w:rPr>
        <w:sectPr>
          <w:headerReference r:id="rId32" w:type="default"/>
          <w:footerReference r:id="rId33" w:type="default"/>
          <w:pgSz w:w="11906" w:h="16839"/>
          <w:pgMar w:top="1274" w:right="1722"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b/>
          <w:bCs/>
          <w:spacing w:val="-1"/>
          <w:sz w:val="24"/>
          <w:szCs w:val="24"/>
          <w:lang w:val="en-US" w:eastAsia="zh-CN"/>
        </w:rPr>
        <w:t>9  投标保证金缴纳凭证或投标保证金保函证明材料</w:t>
      </w:r>
      <w:bookmarkEnd w:id="171"/>
    </w:p>
    <w:p>
      <w:pPr>
        <w:pStyle w:val="3"/>
        <w:bidi w:val="0"/>
        <w:jc w:val="left"/>
        <w:rPr>
          <w:rFonts w:hint="eastAsia" w:ascii="仿宋" w:hAnsi="仿宋" w:eastAsia="仿宋" w:cs="仿宋"/>
          <w:sz w:val="24"/>
          <w:szCs w:val="24"/>
        </w:rPr>
      </w:pPr>
      <w:r>
        <w:rPr>
          <w:rFonts w:hint="eastAsia" w:ascii="仿宋" w:hAnsi="仿宋" w:eastAsia="仿宋" w:cs="仿宋"/>
          <w:spacing w:val="-2"/>
          <w:sz w:val="24"/>
          <w:szCs w:val="24"/>
        </w:rPr>
        <w:t xml:space="preserve"> </w:t>
      </w:r>
      <w:bookmarkStart w:id="172" w:name="_Toc14228"/>
      <w:r>
        <w:rPr>
          <w:rStyle w:val="44"/>
          <w:rFonts w:hint="eastAsia" w:hAnsi="Times New Roman" w:eastAsia="宋体" w:cs="Times New Roman"/>
          <w:b/>
        </w:rPr>
        <w:t>投</w:t>
      </w:r>
      <w:r>
        <w:rPr>
          <w:rStyle w:val="44"/>
          <w:rFonts w:hint="eastAsia"/>
          <w:b/>
        </w:rPr>
        <w:t>标文件格式范本</w:t>
      </w:r>
      <w:bookmarkEnd w:id="172"/>
    </w:p>
    <w:p>
      <w:pPr>
        <w:spacing w:before="190"/>
        <w:rPr>
          <w:rFonts w:hint="eastAsia" w:ascii="仿宋" w:hAnsi="仿宋" w:eastAsia="仿宋" w:cs="仿宋"/>
        </w:rPr>
      </w:pPr>
    </w:p>
    <w:tbl>
      <w:tblPr>
        <w:tblStyle w:val="31"/>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pPr>
              <w:spacing w:before="187" w:line="219" w:lineRule="auto"/>
              <w:ind w:left="7047"/>
              <w:rPr>
                <w:rFonts w:hint="eastAsia" w:ascii="仿宋" w:hAnsi="仿宋" w:eastAsia="仿宋" w:cs="仿宋"/>
                <w:sz w:val="32"/>
                <w:szCs w:val="32"/>
              </w:rPr>
            </w:pPr>
            <w:r>
              <w:rPr>
                <w:rFonts w:hint="eastAsia" w:ascii="仿宋" w:hAnsi="仿宋" w:eastAsia="仿宋" w:cs="仿宋"/>
                <w:b/>
                <w:bCs/>
                <w:spacing w:val="-5"/>
                <w:sz w:val="32"/>
                <w:szCs w:val="32"/>
              </w:rPr>
              <w:t>（正本/副本）</w:t>
            </w:r>
          </w:p>
          <w:p>
            <w:pPr>
              <w:spacing w:line="249" w:lineRule="auto"/>
              <w:rPr>
                <w:rFonts w:hint="eastAsia" w:ascii="仿宋" w:hAnsi="仿宋" w:eastAsia="仿宋" w:cs="仿宋"/>
                <w:sz w:val="22"/>
                <w:szCs w:val="22"/>
              </w:rPr>
            </w:pPr>
          </w:p>
          <w:p>
            <w:pPr>
              <w:spacing w:line="249" w:lineRule="auto"/>
              <w:rPr>
                <w:rFonts w:hint="eastAsia" w:ascii="仿宋" w:hAnsi="仿宋" w:eastAsia="仿宋" w:cs="仿宋"/>
                <w:sz w:val="22"/>
                <w:szCs w:val="22"/>
              </w:rPr>
            </w:pPr>
          </w:p>
          <w:p>
            <w:pPr>
              <w:spacing w:line="250" w:lineRule="auto"/>
              <w:rPr>
                <w:rFonts w:hint="eastAsia" w:ascii="仿宋" w:hAnsi="仿宋" w:eastAsia="仿宋" w:cs="仿宋"/>
                <w:sz w:val="22"/>
                <w:szCs w:val="22"/>
              </w:rPr>
            </w:pPr>
          </w:p>
          <w:p>
            <w:pPr>
              <w:spacing w:line="250" w:lineRule="auto"/>
              <w:rPr>
                <w:rFonts w:hint="eastAsia" w:ascii="仿宋" w:hAnsi="仿宋" w:eastAsia="仿宋" w:cs="仿宋"/>
                <w:sz w:val="22"/>
                <w:szCs w:val="22"/>
              </w:rPr>
            </w:pPr>
          </w:p>
          <w:p>
            <w:pPr>
              <w:spacing w:line="250" w:lineRule="auto"/>
              <w:rPr>
                <w:rFonts w:hint="eastAsia" w:ascii="仿宋" w:hAnsi="仿宋" w:eastAsia="仿宋" w:cs="仿宋"/>
                <w:sz w:val="22"/>
                <w:szCs w:val="22"/>
              </w:rPr>
            </w:pPr>
          </w:p>
          <w:p>
            <w:pPr>
              <w:spacing w:line="250" w:lineRule="auto"/>
              <w:rPr>
                <w:rFonts w:hint="eastAsia" w:ascii="仿宋" w:hAnsi="仿宋" w:eastAsia="仿宋" w:cs="仿宋"/>
                <w:sz w:val="22"/>
                <w:szCs w:val="22"/>
              </w:rPr>
            </w:pPr>
          </w:p>
          <w:p>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pPr>
              <w:spacing w:line="460" w:lineRule="auto"/>
              <w:rPr>
                <w:rFonts w:hint="eastAsia" w:ascii="仿宋" w:hAnsi="仿宋" w:eastAsia="仿宋" w:cs="仿宋"/>
                <w:sz w:val="22"/>
                <w:szCs w:val="22"/>
              </w:rPr>
            </w:pPr>
          </w:p>
          <w:p>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pPr>
              <w:spacing w:line="290" w:lineRule="auto"/>
              <w:rPr>
                <w:rFonts w:hint="eastAsia" w:ascii="仿宋" w:hAnsi="仿宋" w:eastAsia="仿宋" w:cs="仿宋"/>
                <w:sz w:val="22"/>
                <w:szCs w:val="22"/>
              </w:rPr>
            </w:pPr>
          </w:p>
          <w:p>
            <w:pPr>
              <w:spacing w:line="290" w:lineRule="auto"/>
              <w:rPr>
                <w:rFonts w:hint="eastAsia" w:ascii="仿宋" w:hAnsi="仿宋" w:eastAsia="仿宋" w:cs="仿宋"/>
                <w:sz w:val="22"/>
                <w:szCs w:val="22"/>
              </w:rPr>
            </w:pPr>
          </w:p>
          <w:p>
            <w:pPr>
              <w:spacing w:line="291" w:lineRule="auto"/>
              <w:rPr>
                <w:rFonts w:hint="eastAsia" w:ascii="仿宋" w:hAnsi="仿宋" w:eastAsia="仿宋" w:cs="仿宋"/>
                <w:sz w:val="22"/>
                <w:szCs w:val="22"/>
              </w:rPr>
            </w:pPr>
          </w:p>
          <w:p>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pPr>
              <w:spacing w:line="275" w:lineRule="auto"/>
              <w:rPr>
                <w:rFonts w:hint="eastAsia" w:ascii="仿宋" w:hAnsi="仿宋" w:eastAsia="仿宋" w:cs="仿宋"/>
                <w:sz w:val="22"/>
                <w:szCs w:val="22"/>
              </w:rPr>
            </w:pPr>
          </w:p>
          <w:p>
            <w:pPr>
              <w:spacing w:line="275" w:lineRule="auto"/>
              <w:rPr>
                <w:rFonts w:hint="eastAsia" w:ascii="仿宋" w:hAnsi="仿宋" w:eastAsia="仿宋" w:cs="仿宋"/>
                <w:sz w:val="22"/>
                <w:szCs w:val="22"/>
              </w:rPr>
            </w:pPr>
          </w:p>
          <w:p>
            <w:pPr>
              <w:spacing w:line="275" w:lineRule="auto"/>
              <w:rPr>
                <w:rFonts w:hint="eastAsia" w:ascii="仿宋" w:hAnsi="仿宋" w:eastAsia="仿宋" w:cs="仿宋"/>
                <w:sz w:val="22"/>
                <w:szCs w:val="22"/>
              </w:rPr>
            </w:pPr>
          </w:p>
          <w:p>
            <w:pPr>
              <w:spacing w:line="276" w:lineRule="auto"/>
              <w:rPr>
                <w:rFonts w:hint="eastAsia" w:ascii="仿宋" w:hAnsi="仿宋" w:eastAsia="仿宋" w:cs="仿宋"/>
                <w:sz w:val="22"/>
                <w:szCs w:val="22"/>
              </w:rPr>
            </w:pPr>
          </w:p>
          <w:p>
            <w:pPr>
              <w:spacing w:line="276" w:lineRule="auto"/>
              <w:rPr>
                <w:rFonts w:hint="eastAsia" w:ascii="仿宋" w:hAnsi="仿宋" w:eastAsia="仿宋" w:cs="仿宋"/>
                <w:sz w:val="22"/>
                <w:szCs w:val="22"/>
              </w:rPr>
            </w:pPr>
          </w:p>
          <w:p>
            <w:pPr>
              <w:spacing w:line="276" w:lineRule="auto"/>
              <w:rPr>
                <w:rFonts w:hint="eastAsia" w:ascii="仿宋" w:hAnsi="仿宋" w:eastAsia="仿宋" w:cs="仿宋"/>
                <w:sz w:val="22"/>
                <w:szCs w:val="22"/>
              </w:rPr>
            </w:pPr>
          </w:p>
          <w:p>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pPr>
              <w:spacing w:line="304" w:lineRule="auto"/>
              <w:rPr>
                <w:rFonts w:hint="eastAsia" w:ascii="仿宋" w:hAnsi="仿宋" w:eastAsia="仿宋" w:cs="仿宋"/>
                <w:sz w:val="22"/>
                <w:szCs w:val="22"/>
              </w:rPr>
            </w:pPr>
          </w:p>
          <w:p>
            <w:pPr>
              <w:spacing w:line="304" w:lineRule="auto"/>
              <w:rPr>
                <w:rFonts w:hint="eastAsia" w:ascii="仿宋" w:hAnsi="仿宋" w:eastAsia="仿宋" w:cs="仿宋"/>
                <w:sz w:val="22"/>
                <w:szCs w:val="22"/>
              </w:rPr>
            </w:pPr>
          </w:p>
          <w:p>
            <w:pPr>
              <w:spacing w:line="305" w:lineRule="auto"/>
              <w:rPr>
                <w:rFonts w:hint="eastAsia" w:ascii="仿宋" w:hAnsi="仿宋" w:eastAsia="仿宋" w:cs="仿宋"/>
                <w:sz w:val="22"/>
                <w:szCs w:val="22"/>
              </w:rPr>
            </w:pPr>
          </w:p>
          <w:p>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pPr>
        <w:rPr>
          <w:rFonts w:hint="eastAsia" w:ascii="仿宋" w:hAnsi="仿宋" w:eastAsia="仿宋" w:cs="仿宋"/>
          <w:sz w:val="21"/>
          <w:szCs w:val="21"/>
        </w:rPr>
        <w:sectPr>
          <w:headerReference r:id="rId34" w:type="default"/>
          <w:footerReference r:id="rId35" w:type="default"/>
          <w:pgSz w:w="11906" w:h="16839"/>
          <w:pgMar w:top="1274" w:right="1500" w:bottom="1171" w:left="1256"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sz w:val="22"/>
          <w:szCs w:val="22"/>
        </w:rPr>
        <mc:AlternateContent>
          <mc:Choice Requires="wps">
            <w:drawing>
              <wp:anchor distT="0" distB="0" distL="114300" distR="114300" simplePos="0" relativeHeight="251668480"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8480;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pPr>
        <w:pStyle w:val="6"/>
        <w:ind w:left="0" w:leftChars="0" w:firstLine="0" w:firstLineChars="0"/>
        <w:jc w:val="both"/>
        <w:rPr>
          <w:rFonts w:hint="eastAsia"/>
          <w:lang w:val="en-US"/>
        </w:rPr>
      </w:pPr>
      <w:r>
        <w:rPr>
          <w:rFonts w:hint="eastAsia" w:ascii="仿宋" w:hAnsi="仿宋" w:eastAsia="仿宋" w:cs="仿宋"/>
          <w:b/>
          <w:bCs/>
          <w:snapToGrid w:val="0"/>
          <w:color w:val="000000"/>
          <w:spacing w:val="5"/>
          <w:kern w:val="0"/>
          <w:sz w:val="48"/>
          <w:szCs w:val="48"/>
          <w:lang w:val="en-US" w:eastAsia="zh-CN" w:bidi="ar-SA"/>
        </w:rPr>
        <w:t>莎车县教育系统2025年中职、高中学校食堂食材联合采购项目第4、5、6标段</w:t>
      </w:r>
    </w:p>
    <w:p>
      <w:pPr>
        <w:rPr>
          <w:rFonts w:hint="eastAsia"/>
          <w:lang w:val="en-US"/>
        </w:rPr>
      </w:pPr>
    </w:p>
    <w:p>
      <w:pPr>
        <w:pStyle w:val="6"/>
        <w:rPr>
          <w:rFonts w:hint="eastAsia"/>
          <w:lang w:val="en-US"/>
        </w:rPr>
      </w:pPr>
    </w:p>
    <w:p>
      <w:pPr>
        <w:pStyle w:val="6"/>
        <w:ind w:left="0" w:leftChars="0" w:firstLine="0" w:firstLineChars="0"/>
        <w:rPr>
          <w:rFonts w:hint="eastAsia"/>
          <w:lang w:val="en-US"/>
        </w:rPr>
      </w:pPr>
    </w:p>
    <w:p>
      <w:pPr>
        <w:pStyle w:val="9"/>
        <w:spacing w:before="57" w:line="224" w:lineRule="auto"/>
        <w:jc w:val="center"/>
        <w:outlineLvl w:val="0"/>
        <w:rPr>
          <w:rFonts w:hint="eastAsia" w:ascii="仿宋" w:hAnsi="仿宋" w:eastAsia="仿宋" w:cs="仿宋"/>
          <w:sz w:val="40"/>
          <w:szCs w:val="40"/>
        </w:rPr>
      </w:pPr>
      <w:bookmarkStart w:id="173" w:name="_Toc7042"/>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173"/>
    </w:p>
    <w:p>
      <w:pPr>
        <w:spacing w:line="354" w:lineRule="auto"/>
        <w:rPr>
          <w:rFonts w:hint="eastAsia" w:ascii="仿宋" w:hAnsi="仿宋" w:eastAsia="仿宋" w:cs="仿宋"/>
          <w:sz w:val="21"/>
        </w:rPr>
      </w:pPr>
    </w:p>
    <w:p>
      <w:pPr>
        <w:spacing w:line="316" w:lineRule="auto"/>
        <w:rPr>
          <w:rFonts w:hint="eastAsia" w:ascii="仿宋" w:hAnsi="仿宋" w:eastAsia="仿宋" w:cs="仿宋"/>
          <w:sz w:val="21"/>
        </w:rPr>
      </w:pPr>
    </w:p>
    <w:p>
      <w:pPr>
        <w:pStyle w:val="9"/>
        <w:rPr>
          <w:rFonts w:hint="eastAsia" w:ascii="仿宋" w:hAnsi="仿宋" w:eastAsia="仿宋" w:cs="仿宋"/>
          <w:sz w:val="21"/>
        </w:rPr>
      </w:pPr>
    </w:p>
    <w:p>
      <w:pPr>
        <w:pStyle w:val="28"/>
        <w:rPr>
          <w:rFonts w:hint="eastAsia" w:ascii="仿宋" w:hAnsi="仿宋" w:eastAsia="仿宋" w:cs="仿宋"/>
          <w:sz w:val="21"/>
        </w:rPr>
      </w:pPr>
    </w:p>
    <w:p>
      <w:pPr>
        <w:spacing w:line="360" w:lineRule="auto"/>
        <w:rPr>
          <w:rFonts w:hint="eastAsia" w:ascii="仿宋" w:hAnsi="仿宋" w:eastAsia="仿宋" w:cs="仿宋"/>
        </w:rPr>
      </w:pPr>
    </w:p>
    <w:p>
      <w:pPr>
        <w:pStyle w:val="9"/>
        <w:spacing w:before="91" w:line="360" w:lineRule="auto"/>
        <w:ind w:left="1426"/>
        <w:rPr>
          <w:rFonts w:hint="default" w:ascii="仿宋" w:hAnsi="仿宋" w:eastAsia="仿宋" w:cs="仿宋"/>
          <w:b/>
          <w:bCs/>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default" w:ascii="Times New Roman" w:hAnsi="Times New Roman" w:eastAsia="仿宋" w:cs="Times New Roman"/>
          <w:b/>
          <w:bCs/>
          <w:color w:val="auto"/>
          <w:sz w:val="24"/>
          <w:szCs w:val="24"/>
          <w:u w:val="single"/>
          <w:lang w:val="en-US" w:eastAsia="zh-CN"/>
        </w:rPr>
        <w:t>KSSCX(GK)2025-015号</w:t>
      </w:r>
      <w:r>
        <w:rPr>
          <w:rFonts w:hint="default" w:ascii="Times New Roman" w:hAnsi="Times New Roman" w:eastAsia="仿宋" w:cs="Times New Roman"/>
          <w:b/>
          <w:bCs/>
          <w:spacing w:val="-2"/>
          <w:u w:val="single" w:color="auto"/>
          <w:lang w:val="en-US" w:eastAsia="zh-CN"/>
        </w:rPr>
        <w:t xml:space="preserve">  </w:t>
      </w:r>
      <w:r>
        <w:rPr>
          <w:rFonts w:hint="eastAsia" w:ascii="仿宋" w:hAnsi="仿宋" w:eastAsia="仿宋" w:cs="仿宋"/>
          <w:b/>
          <w:bCs/>
          <w:spacing w:val="-2"/>
          <w:u w:val="single" w:color="auto"/>
          <w:lang w:val="en-US" w:eastAsia="zh-CN"/>
        </w:rPr>
        <w:t xml:space="preserve">        </w:t>
      </w:r>
    </w:p>
    <w:p>
      <w:pPr>
        <w:pStyle w:val="9"/>
        <w:spacing w:before="213" w:line="360" w:lineRule="auto"/>
        <w:ind w:left="1420"/>
        <w:rPr>
          <w:rFonts w:hint="default" w:ascii="仿宋" w:hAnsi="仿宋" w:eastAsia="仿宋" w:cs="仿宋"/>
          <w:b/>
          <w:bCs/>
          <w:lang w:val="en-US"/>
        </w:rPr>
      </w:pPr>
      <w:r>
        <w:rPr>
          <w:rFonts w:hint="eastAsia" w:ascii="仿宋" w:hAnsi="仿宋" w:eastAsia="仿宋" w:cs="仿宋"/>
          <w:b/>
          <w:bCs/>
          <w:spacing w:val="-3"/>
        </w:rPr>
        <w:t>采购单位：</w:t>
      </w:r>
      <w:r>
        <w:rPr>
          <w:rFonts w:hint="eastAsia" w:ascii="仿宋" w:hAnsi="仿宋" w:eastAsia="仿宋" w:cs="仿宋"/>
          <w:b/>
          <w:bCs/>
          <w:spacing w:val="-3"/>
          <w:u w:val="single" w:color="auto"/>
        </w:rPr>
        <w:t xml:space="preserve">   </w:t>
      </w:r>
      <w:r>
        <w:rPr>
          <w:rFonts w:hint="eastAsia" w:ascii="仿宋" w:hAnsi="仿宋" w:eastAsia="仿宋" w:cs="仿宋"/>
          <w:b/>
          <w:bCs/>
          <w:spacing w:val="-3"/>
          <w:u w:val="single" w:color="auto"/>
          <w:lang w:val="en-US" w:eastAsia="zh-CN"/>
        </w:rPr>
        <w:t xml:space="preserve">       </w:t>
      </w:r>
      <w:r>
        <w:rPr>
          <w:rFonts w:hint="eastAsia" w:ascii="仿宋" w:hAnsi="仿宋" w:eastAsia="仿宋" w:cs="仿宋"/>
          <w:b/>
          <w:bCs/>
          <w:spacing w:val="-3"/>
          <w:u w:val="single" w:color="auto"/>
          <w:lang w:eastAsia="zh-CN"/>
        </w:rPr>
        <w:t>莎车县教育局</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p>
    <w:p>
      <w:pPr>
        <w:pStyle w:val="9"/>
        <w:spacing w:before="212" w:line="360" w:lineRule="auto"/>
        <w:ind w:left="1427"/>
        <w:rPr>
          <w:rFonts w:hint="default" w:ascii="仿宋" w:hAnsi="仿宋" w:eastAsia="仿宋" w:cs="仿宋"/>
          <w:b/>
          <w:bCs/>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spacing w:val="-2"/>
          <w:u w:val="single" w:color="auto"/>
          <w:lang w:eastAsia="zh-CN"/>
        </w:rPr>
        <w:t>18699857582</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p>
    <w:p>
      <w:pPr>
        <w:pStyle w:val="9"/>
        <w:spacing w:before="209" w:line="360" w:lineRule="auto"/>
        <w:ind w:left="1420"/>
        <w:rPr>
          <w:rFonts w:hint="eastAsia" w:ascii="仿宋" w:hAnsi="仿宋" w:eastAsia="仿宋" w:cs="仿宋"/>
          <w:b/>
          <w:bCs/>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莎车县政府采购中心          </w:t>
      </w:r>
    </w:p>
    <w:p>
      <w:pPr>
        <w:pStyle w:val="9"/>
        <w:spacing w:before="211" w:line="360" w:lineRule="auto"/>
        <w:ind w:left="1422"/>
        <w:rPr>
          <w:rFonts w:hint="eastAsia"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b/>
          <w:bCs/>
          <w:spacing w:val="19"/>
        </w:rPr>
        <w:t xml:space="preserve"> </w:t>
      </w:r>
      <w:r>
        <w:rPr>
          <w:rFonts w:hint="eastAsia" w:ascii="仿宋" w:hAnsi="仿宋" w:eastAsia="仿宋" w:cs="仿宋"/>
          <w:b/>
          <w:bCs/>
          <w:spacing w:val="-12"/>
        </w:rPr>
        <w:t>系</w:t>
      </w:r>
      <w:r>
        <w:rPr>
          <w:rFonts w:hint="eastAsia" w:ascii="仿宋" w:hAnsi="仿宋" w:eastAsia="仿宋" w:cs="仿宋"/>
          <w:b/>
          <w:bCs/>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牛  雪     </w:t>
      </w:r>
      <w:r>
        <w:rPr>
          <w:rFonts w:hint="eastAsia" w:ascii="仿宋" w:hAnsi="仿宋" w:eastAsia="仿宋" w:cs="仿宋"/>
          <w:b/>
          <w:bCs/>
          <w:u w:val="single" w:color="auto"/>
        </w:rPr>
        <w:t xml:space="preserve">         </w:t>
      </w:r>
    </w:p>
    <w:p>
      <w:pPr>
        <w:keepNext w:val="0"/>
        <w:keepLines w:val="0"/>
        <w:pageBreakBefore w:val="0"/>
        <w:widowControl w:val="0"/>
        <w:kinsoku/>
        <w:wordWrap/>
        <w:overflowPunct/>
        <w:topLinePunct/>
        <w:autoSpaceDE/>
        <w:autoSpaceDN/>
        <w:bidi w:val="0"/>
        <w:adjustRightInd w:val="0"/>
        <w:snapToGrid w:val="0"/>
        <w:spacing w:line="620" w:lineRule="exact"/>
        <w:ind w:right="0" w:firstLine="1543" w:firstLineChars="600"/>
        <w:jc w:val="left"/>
        <w:textAlignment w:val="auto"/>
        <w:outlineLvl w:val="1"/>
        <w:rPr>
          <w:rFonts w:hint="default" w:ascii="仿宋" w:hAnsi="仿宋" w:eastAsia="仿宋" w:cs="仿宋"/>
          <w:b w:val="0"/>
          <w:bCs w:val="0"/>
          <w:spacing w:val="5"/>
          <w:u w:val="single" w:color="auto"/>
          <w:lang w:val="en-US" w:eastAsia="zh-CN"/>
        </w:rPr>
      </w:pPr>
      <w:r>
        <w:rPr>
          <w:rFonts w:hint="eastAsia" w:ascii="仿宋" w:hAnsi="仿宋" w:eastAsia="仿宋" w:cs="仿宋"/>
          <w:b/>
          <w:bCs/>
          <w:snapToGrid w:val="0"/>
          <w:color w:val="000000"/>
          <w:spacing w:val="-12"/>
          <w:kern w:val="0"/>
          <w:sz w:val="28"/>
          <w:szCs w:val="28"/>
          <w:lang w:val="en-US" w:eastAsia="en-US" w:bidi="ar-SA"/>
        </w:rPr>
        <w:t>联系电话：</w:t>
      </w:r>
      <w:r>
        <w:rPr>
          <w:rFonts w:hint="eastAsia" w:ascii="仿宋" w:hAnsi="仿宋" w:eastAsia="仿宋" w:cs="仿宋"/>
          <w:b w:val="0"/>
          <w:bCs w:val="0"/>
          <w:spacing w:val="5"/>
          <w:u w:val="single" w:color="auto"/>
        </w:rPr>
        <w:t xml:space="preserve">   </w:t>
      </w:r>
      <w:r>
        <w:rPr>
          <w:rFonts w:hint="eastAsia" w:ascii="仿宋" w:hAnsi="仿宋" w:eastAsia="仿宋" w:cs="仿宋"/>
          <w:b w:val="0"/>
          <w:bCs w:val="0"/>
          <w:spacing w:val="5"/>
          <w:u w:val="single" w:color="auto"/>
          <w:lang w:val="en-US" w:eastAsia="zh-CN"/>
        </w:rPr>
        <w:t xml:space="preserve">     </w:t>
      </w:r>
      <w:r>
        <w:rPr>
          <w:rFonts w:hint="default" w:ascii="Times New Roman" w:hAnsi="Times New Roman" w:eastAsia="仿宋" w:cs="Times New Roman"/>
          <w:b w:val="0"/>
          <w:bCs w:val="0"/>
          <w:spacing w:val="5"/>
          <w:u w:val="single" w:color="auto"/>
          <w:lang w:val="en-US" w:eastAsia="zh-CN"/>
        </w:rPr>
        <w:t xml:space="preserve"> </w:t>
      </w:r>
      <w:r>
        <w:rPr>
          <w:rFonts w:hint="default" w:ascii="仿宋" w:hAnsi="仿宋" w:eastAsia="仿宋" w:cs="仿宋"/>
          <w:b/>
          <w:bCs/>
          <w:snapToGrid w:val="0"/>
          <w:color w:val="000000"/>
          <w:spacing w:val="-2"/>
          <w:kern w:val="0"/>
          <w:sz w:val="28"/>
          <w:szCs w:val="28"/>
          <w:u w:val="single" w:color="auto"/>
          <w:lang w:val="en-US" w:eastAsia="zh-CN" w:bidi="ar-SA"/>
        </w:rPr>
        <w:t>0998-8512672</w:t>
      </w:r>
      <w:r>
        <w:rPr>
          <w:rFonts w:hint="eastAsia" w:ascii="仿宋" w:hAnsi="仿宋" w:eastAsia="仿宋" w:cs="仿宋"/>
          <w:b/>
          <w:bCs/>
          <w:snapToGrid w:val="0"/>
          <w:color w:val="000000"/>
          <w:spacing w:val="-2"/>
          <w:kern w:val="0"/>
          <w:sz w:val="28"/>
          <w:szCs w:val="28"/>
          <w:u w:val="single" w:color="auto"/>
          <w:lang w:val="en-US" w:eastAsia="zh-CN" w:bidi="ar-SA"/>
        </w:rPr>
        <w:t xml:space="preserve">      </w:t>
      </w:r>
      <w:r>
        <w:rPr>
          <w:rFonts w:hint="eastAsia" w:ascii="仿宋" w:hAnsi="仿宋" w:eastAsia="仿宋" w:cs="仿宋"/>
          <w:b w:val="0"/>
          <w:bCs w:val="0"/>
          <w:spacing w:val="5"/>
          <w:u w:val="single" w:color="auto"/>
          <w:lang w:val="en-US" w:eastAsia="zh-CN"/>
        </w:rPr>
        <w:t xml:space="preserve">          </w:t>
      </w:r>
    </w:p>
    <w:p>
      <w:pPr>
        <w:spacing w:line="247" w:lineRule="auto"/>
        <w:rPr>
          <w:rFonts w:hint="eastAsia" w:ascii="仿宋" w:hAnsi="仿宋" w:eastAsia="仿宋" w:cs="仿宋"/>
          <w:sz w:val="21"/>
        </w:rPr>
      </w:pPr>
    </w:p>
    <w:p>
      <w:pPr>
        <w:spacing w:line="248" w:lineRule="auto"/>
        <w:rPr>
          <w:rFonts w:hint="eastAsia" w:ascii="仿宋" w:hAnsi="仿宋" w:eastAsia="仿宋" w:cs="仿宋"/>
          <w:sz w:val="21"/>
        </w:rPr>
      </w:pPr>
    </w:p>
    <w:p>
      <w:pPr>
        <w:spacing w:line="248" w:lineRule="auto"/>
        <w:rPr>
          <w:rFonts w:hint="eastAsia" w:ascii="仿宋" w:hAnsi="仿宋" w:eastAsia="仿宋" w:cs="仿宋"/>
          <w:sz w:val="21"/>
        </w:rPr>
      </w:pPr>
    </w:p>
    <w:p>
      <w:pPr>
        <w:pStyle w:val="6"/>
        <w:rPr>
          <w:rFonts w:hint="eastAsia" w:ascii="仿宋" w:hAnsi="仿宋" w:eastAsia="仿宋" w:cs="仿宋"/>
          <w:sz w:val="21"/>
        </w:rPr>
      </w:pPr>
    </w:p>
    <w:p>
      <w:pPr>
        <w:rPr>
          <w:rFonts w:hint="eastAsia"/>
        </w:rPr>
      </w:pPr>
    </w:p>
    <w:p>
      <w:pPr>
        <w:pStyle w:val="6"/>
        <w:rPr>
          <w:rFonts w:hint="eastAsia"/>
        </w:rPr>
      </w:pPr>
    </w:p>
    <w:p>
      <w:pPr>
        <w:pStyle w:val="9"/>
        <w:spacing w:before="101" w:line="225" w:lineRule="auto"/>
        <w:ind w:left="2959"/>
        <w:rPr>
          <w:rFonts w:hint="eastAsia" w:ascii="仿宋" w:hAnsi="仿宋" w:eastAsia="仿宋" w:cs="仿宋"/>
          <w:sz w:val="31"/>
          <w:szCs w:val="31"/>
        </w:rPr>
        <w:sectPr>
          <w:headerReference r:id="rId36" w:type="default"/>
          <w:footerReference r:id="rId37" w:type="default"/>
          <w:pgSz w:w="11906" w:h="16839"/>
          <w:pgMar w:top="1440" w:right="1800" w:bottom="1440" w:left="1800" w:header="1134" w:footer="850"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p>
    <w:p>
      <w:pPr>
        <w:pStyle w:val="3"/>
        <w:bidi w:val="0"/>
        <w:jc w:val="center"/>
        <w:rPr>
          <w:rFonts w:hint="eastAsia"/>
        </w:rPr>
      </w:pPr>
      <w:bookmarkStart w:id="174" w:name="_Toc11395"/>
      <w:r>
        <w:rPr>
          <w:rFonts w:hint="eastAsia"/>
          <w:lang w:val="en-US" w:eastAsia="zh-CN"/>
        </w:rPr>
        <w:t xml:space="preserve">第3章  </w:t>
      </w:r>
      <w:r>
        <w:rPr>
          <w:rFonts w:hint="eastAsia"/>
        </w:rPr>
        <w:t>投标邀请</w:t>
      </w:r>
      <w:bookmarkEnd w:id="174"/>
    </w:p>
    <w:p>
      <w:pPr>
        <w:pStyle w:val="6"/>
        <w:rPr>
          <w:rFonts w:hint="eastAsia"/>
        </w:rPr>
      </w:pPr>
    </w:p>
    <w:p>
      <w:pPr>
        <w:spacing w:line="336" w:lineRule="auto"/>
        <w:jc w:val="center"/>
        <w:rPr>
          <w:rFonts w:hint="eastAsia" w:ascii="仿宋" w:hAnsi="仿宋" w:eastAsia="仿宋" w:cs="仿宋"/>
          <w:b/>
          <w:sz w:val="40"/>
          <w:szCs w:val="40"/>
        </w:rPr>
      </w:pPr>
      <w:bookmarkStart w:id="175" w:name="bookmark49"/>
      <w:bookmarkEnd w:id="175"/>
      <w:bookmarkStart w:id="176" w:name="bookmark50"/>
      <w:bookmarkEnd w:id="176"/>
      <w:r>
        <w:rPr>
          <w:rFonts w:hint="eastAsia" w:ascii="仿宋" w:hAnsi="仿宋" w:eastAsia="仿宋" w:cs="仿宋"/>
          <w:b/>
          <w:sz w:val="40"/>
          <w:szCs w:val="40"/>
          <w:lang w:val="en-US" w:eastAsia="zh-CN"/>
        </w:rPr>
        <w:t>莎车县教育系统2025年中职、高中学校食堂食材联合采购项目第4、5、6标段</w:t>
      </w: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pPr>
        <w:pStyle w:val="6"/>
        <w:ind w:left="0" w:leftChars="0" w:firstLine="0" w:firstLineChars="0"/>
        <w:rPr>
          <w:rFonts w:hint="eastAsia"/>
        </w:rPr>
      </w:pP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u w:val="single"/>
          <w:lang w:val="en-US" w:eastAsia="zh-CN"/>
        </w:rPr>
        <w:t>莎车县教育系统2025年中职、高中学校食堂食材联合采购项目第4、5、6标段</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7</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28</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pPr>
        <w:adjustRightInd w:val="0"/>
        <w:spacing w:line="336" w:lineRule="auto"/>
        <w:rPr>
          <w:rFonts w:hint="eastAsia" w:ascii="仿宋" w:hAnsi="仿宋" w:eastAsia="仿宋" w:cs="仿宋"/>
          <w:b/>
          <w:bCs/>
          <w:sz w:val="24"/>
          <w:szCs w:val="24"/>
          <w:u w:val="none"/>
          <w:lang w:eastAsia="zh-CN"/>
        </w:rPr>
      </w:pPr>
    </w:p>
    <w:p>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pPr>
        <w:adjustRightInd w:val="0"/>
        <w:spacing w:line="336" w:lineRule="auto"/>
        <w:rPr>
          <w:rFonts w:hint="eastAsia" w:ascii="仿宋" w:hAnsi="仿宋" w:eastAsia="仿宋" w:cs="仿宋"/>
          <w:color w:val="auto"/>
          <w:sz w:val="24"/>
          <w:szCs w:val="24"/>
          <w:u w:val="singl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color w:val="auto"/>
          <w:sz w:val="24"/>
          <w:szCs w:val="24"/>
          <w:u w:val="single"/>
          <w:lang w:val="en-US" w:eastAsia="zh-CN"/>
        </w:rPr>
        <w:t>莎车县教育系统2025年中职、高中学校食堂食材联合采购项目第4、5、6标段</w:t>
      </w:r>
    </w:p>
    <w:p>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 xml:space="preserve">2、项目编号： </w:t>
      </w:r>
      <w:r>
        <w:rPr>
          <w:rFonts w:hint="default" w:ascii="仿宋" w:hAnsi="仿宋" w:eastAsia="仿宋" w:cs="仿宋"/>
          <w:color w:val="auto"/>
          <w:sz w:val="24"/>
          <w:szCs w:val="24"/>
          <w:u w:val="single"/>
          <w:lang w:val="en-US" w:eastAsia="zh-CN"/>
        </w:rPr>
        <w:t>KSSCX(GK)202</w:t>
      </w:r>
      <w:r>
        <w:rPr>
          <w:rFonts w:hint="eastAsia" w:ascii="仿宋" w:hAnsi="仿宋" w:eastAsia="仿宋" w:cs="仿宋"/>
          <w:color w:val="auto"/>
          <w:sz w:val="24"/>
          <w:szCs w:val="24"/>
          <w:u w:val="single"/>
          <w:lang w:val="en-US" w:eastAsia="zh-CN"/>
        </w:rPr>
        <w:t>5</w:t>
      </w:r>
      <w:r>
        <w:rPr>
          <w:rFonts w:hint="default"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lang w:val="en-US" w:eastAsia="zh-CN"/>
        </w:rPr>
        <w:t>015</w:t>
      </w:r>
      <w:r>
        <w:rPr>
          <w:rFonts w:hint="default" w:ascii="仿宋" w:hAnsi="仿宋" w:eastAsia="仿宋" w:cs="仿宋"/>
          <w:color w:val="auto"/>
          <w:sz w:val="24"/>
          <w:szCs w:val="24"/>
          <w:u w:val="single"/>
          <w:lang w:val="en-US" w:eastAsia="zh-CN"/>
        </w:rPr>
        <w:t>号</w:t>
      </w:r>
    </w:p>
    <w:p>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3、采购单位名称: </w:t>
      </w:r>
      <w:r>
        <w:rPr>
          <w:rFonts w:hint="eastAsia" w:ascii="仿宋" w:hAnsi="仿宋" w:eastAsia="仿宋" w:cs="仿宋"/>
          <w:sz w:val="24"/>
          <w:szCs w:val="24"/>
          <w:u w:val="none"/>
          <w:lang w:val="en-US" w:eastAsia="zh-CN"/>
        </w:rPr>
        <w:t>莎车县教育局</w:t>
      </w:r>
    </w:p>
    <w:p>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4、采购代理机构名称：莎车县</w:t>
      </w:r>
      <w:r>
        <w:rPr>
          <w:rFonts w:hint="eastAsia" w:ascii="仿宋" w:hAnsi="仿宋" w:eastAsia="仿宋" w:cs="仿宋"/>
          <w:sz w:val="24"/>
          <w:szCs w:val="24"/>
          <w:u w:val="none"/>
          <w:lang w:val="en-US" w:eastAsia="zh-CN"/>
        </w:rPr>
        <w:t>政府</w:t>
      </w:r>
      <w:r>
        <w:rPr>
          <w:rFonts w:hint="eastAsia" w:ascii="仿宋" w:hAnsi="仿宋" w:eastAsia="仿宋" w:cs="仿宋"/>
          <w:sz w:val="24"/>
          <w:szCs w:val="24"/>
          <w:u w:val="none"/>
          <w:lang w:eastAsia="zh-CN"/>
        </w:rPr>
        <w:t>采购中心</w:t>
      </w:r>
    </w:p>
    <w:p>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2"/>
          <w:szCs w:val="22"/>
          <w:u w:val="none"/>
          <w:lang w:val="en-US" w:eastAsia="zh-CN"/>
        </w:rPr>
        <w:t>4421.351万</w:t>
      </w:r>
      <w:r>
        <w:rPr>
          <w:rFonts w:hint="eastAsia" w:ascii="仿宋" w:hAnsi="仿宋" w:eastAsia="仿宋" w:cs="仿宋"/>
          <w:sz w:val="24"/>
          <w:szCs w:val="24"/>
          <w:u w:val="none"/>
          <w:lang w:val="en-US" w:eastAsia="zh-CN"/>
        </w:rPr>
        <w:t>元</w:t>
      </w:r>
    </w:p>
    <w:p>
      <w:pPr>
        <w:adjustRightInd w:val="0"/>
        <w:spacing w:line="336" w:lineRule="auto"/>
        <w:ind w:firstLine="482"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b/>
          <w:bCs/>
          <w:sz w:val="24"/>
          <w:szCs w:val="24"/>
          <w:u w:val="none"/>
          <w:lang w:eastAsia="zh-CN"/>
        </w:rPr>
        <w:t>采购内容：</w:t>
      </w:r>
      <w:r>
        <w:rPr>
          <w:rFonts w:hint="default" w:ascii="Times New Roman" w:hAnsi="Times New Roman" w:eastAsia="方正仿宋_GBK" w:cs="Times New Roman"/>
          <w:sz w:val="24"/>
          <w:szCs w:val="24"/>
          <w:u w:val="none"/>
          <w:lang w:eastAsia="zh-CN"/>
        </w:rPr>
        <w:t>本项目</w:t>
      </w:r>
      <w:r>
        <w:rPr>
          <w:rFonts w:hint="default" w:ascii="Times New Roman" w:hAnsi="Times New Roman" w:eastAsia="方正仿宋_GBK" w:cs="Times New Roman"/>
          <w:sz w:val="24"/>
          <w:szCs w:val="24"/>
          <w:u w:val="none"/>
          <w:lang w:val="en-US" w:eastAsia="zh-CN"/>
        </w:rPr>
        <w:t>3</w:t>
      </w:r>
      <w:r>
        <w:rPr>
          <w:rFonts w:hint="default" w:ascii="Times New Roman" w:hAnsi="Times New Roman" w:eastAsia="方正仿宋_GBK" w:cs="Times New Roman"/>
          <w:sz w:val="24"/>
          <w:szCs w:val="24"/>
          <w:u w:val="none"/>
          <w:lang w:eastAsia="zh-CN"/>
        </w:rPr>
        <w:t>个标段</w:t>
      </w:r>
    </w:p>
    <w:p>
      <w:pPr>
        <w:adjustRightInd w:val="0"/>
        <w:spacing w:line="336" w:lineRule="auto"/>
        <w:ind w:firstLine="482" w:firstLineChars="200"/>
        <w:rPr>
          <w:rFonts w:hint="default" w:ascii="Times New Roman" w:hAnsi="Times New Roman" w:eastAsia="方正仿宋_GBK" w:cs="Times New Roman"/>
          <w:b/>
          <w:bCs/>
          <w:sz w:val="24"/>
          <w:szCs w:val="24"/>
          <w:u w:val="none"/>
          <w:lang w:val="en-US" w:eastAsia="zh-CN"/>
        </w:rPr>
      </w:pPr>
      <w:r>
        <w:rPr>
          <w:rFonts w:hint="default" w:ascii="Times New Roman" w:hAnsi="Times New Roman" w:eastAsia="方正仿宋_GBK" w:cs="Times New Roman"/>
          <w:b/>
          <w:bCs/>
          <w:sz w:val="24"/>
          <w:szCs w:val="24"/>
          <w:u w:val="none"/>
          <w:lang w:val="en-US" w:eastAsia="zh-CN"/>
        </w:rPr>
        <w:t>第</w:t>
      </w:r>
      <w:r>
        <w:rPr>
          <w:rFonts w:hint="eastAsia" w:ascii="Times New Roman" w:hAnsi="Times New Roman" w:eastAsia="方正仿宋_GBK" w:cs="Times New Roman"/>
          <w:b/>
          <w:bCs/>
          <w:sz w:val="24"/>
          <w:szCs w:val="24"/>
          <w:u w:val="none"/>
          <w:lang w:val="en-US" w:eastAsia="zh-CN"/>
        </w:rPr>
        <w:t>四</w:t>
      </w:r>
      <w:r>
        <w:rPr>
          <w:rFonts w:hint="default" w:ascii="Times New Roman" w:hAnsi="Times New Roman" w:eastAsia="方正仿宋_GBK" w:cs="Times New Roman"/>
          <w:b/>
          <w:bCs/>
          <w:sz w:val="24"/>
          <w:szCs w:val="24"/>
          <w:u w:val="none"/>
          <w:lang w:val="en-US" w:eastAsia="zh-CN"/>
        </w:rPr>
        <w:t>标段：</w:t>
      </w:r>
      <w:r>
        <w:rPr>
          <w:rFonts w:hint="default" w:ascii="Times New Roman" w:hAnsi="Times New Roman" w:eastAsia="方正仿宋_GBK" w:cs="Times New Roman"/>
          <w:sz w:val="24"/>
          <w:szCs w:val="24"/>
          <w:u w:val="none"/>
          <w:lang w:val="en-US" w:eastAsia="zh-CN"/>
        </w:rPr>
        <w:t>采购蔬菜、时令水果1批。</w:t>
      </w:r>
      <w:r>
        <w:rPr>
          <w:rFonts w:hint="eastAsia" w:ascii="Times New Roman" w:hAnsi="Times New Roman" w:eastAsia="方正仿宋_GBK" w:cs="Times New Roman"/>
          <w:b/>
          <w:bCs/>
          <w:sz w:val="24"/>
          <w:szCs w:val="24"/>
          <w:u w:val="none"/>
          <w:lang w:val="en-US" w:eastAsia="zh-CN"/>
        </w:rPr>
        <w:t>（招下浮率）</w:t>
      </w:r>
    </w:p>
    <w:p>
      <w:pPr>
        <w:adjustRightInd w:val="0"/>
        <w:spacing w:line="336" w:lineRule="auto"/>
        <w:ind w:firstLine="480"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b w:val="0"/>
          <w:bCs w:val="0"/>
          <w:sz w:val="24"/>
          <w:szCs w:val="24"/>
          <w:u w:val="none"/>
          <w:lang w:val="en-US" w:eastAsia="zh-CN"/>
        </w:rPr>
        <w:t>采购金额：</w:t>
      </w:r>
      <w:r>
        <w:rPr>
          <w:rFonts w:hint="default" w:ascii="Times New Roman" w:hAnsi="Times New Roman" w:eastAsia="方正仿宋_GBK" w:cs="Times New Roman"/>
          <w:sz w:val="24"/>
          <w:szCs w:val="24"/>
          <w:u w:val="none"/>
          <w:lang w:val="en-US" w:eastAsia="zh-CN"/>
        </w:rPr>
        <w:t>2285.5917万元（蔬菜预算金额：1545.5917万元，最高限价：1545.5917万元；时令水果预算金额：740万元，最高限价：740万元）；</w:t>
      </w:r>
    </w:p>
    <w:p>
      <w:pPr>
        <w:adjustRightInd w:val="0"/>
        <w:spacing w:line="336" w:lineRule="auto"/>
        <w:ind w:firstLine="482"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b/>
          <w:bCs/>
          <w:sz w:val="24"/>
          <w:szCs w:val="24"/>
          <w:u w:val="none"/>
          <w:lang w:val="en-US" w:eastAsia="zh-CN"/>
        </w:rPr>
        <w:t>第</w:t>
      </w:r>
      <w:r>
        <w:rPr>
          <w:rFonts w:hint="eastAsia" w:ascii="Times New Roman" w:hAnsi="Times New Roman" w:eastAsia="方正仿宋_GBK" w:cs="Times New Roman"/>
          <w:b/>
          <w:bCs/>
          <w:sz w:val="24"/>
          <w:szCs w:val="24"/>
          <w:u w:val="none"/>
          <w:lang w:val="en-US" w:eastAsia="zh-CN"/>
        </w:rPr>
        <w:t>五</w:t>
      </w:r>
      <w:r>
        <w:rPr>
          <w:rFonts w:hint="default" w:ascii="Times New Roman" w:hAnsi="Times New Roman" w:eastAsia="方正仿宋_GBK" w:cs="Times New Roman"/>
          <w:b/>
          <w:bCs/>
          <w:sz w:val="24"/>
          <w:szCs w:val="24"/>
          <w:u w:val="none"/>
          <w:lang w:val="en-US" w:eastAsia="zh-CN"/>
        </w:rPr>
        <w:t>标段：</w:t>
      </w:r>
      <w:r>
        <w:rPr>
          <w:rFonts w:hint="default" w:ascii="Times New Roman" w:hAnsi="Times New Roman" w:eastAsia="方正仿宋_GBK" w:cs="Times New Roman"/>
          <w:sz w:val="24"/>
          <w:szCs w:val="24"/>
          <w:u w:val="none"/>
          <w:lang w:val="en-US" w:eastAsia="zh-CN"/>
        </w:rPr>
        <w:t>采购学生饮用奶</w:t>
      </w:r>
      <w:r>
        <w:rPr>
          <w:rFonts w:hint="eastAsia" w:ascii="Times New Roman" w:hAnsi="Times New Roman" w:eastAsia="方正仿宋_GBK" w:cs="Times New Roman"/>
          <w:sz w:val="24"/>
          <w:szCs w:val="24"/>
          <w:u w:val="none"/>
          <w:lang w:val="en-US" w:eastAsia="zh-CN"/>
        </w:rPr>
        <w:t>200000</w:t>
      </w:r>
      <w:r>
        <w:rPr>
          <w:rFonts w:hint="default" w:ascii="Times New Roman" w:hAnsi="Times New Roman" w:eastAsia="方正仿宋_GBK" w:cs="Times New Roman"/>
          <w:sz w:val="24"/>
          <w:szCs w:val="24"/>
          <w:u w:val="none"/>
          <w:lang w:val="en-US" w:eastAsia="zh-CN"/>
        </w:rPr>
        <w:t>件。</w:t>
      </w:r>
    </w:p>
    <w:p>
      <w:pPr>
        <w:adjustRightInd w:val="0"/>
        <w:spacing w:line="336" w:lineRule="auto"/>
        <w:ind w:firstLine="480"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lang w:val="en-US" w:eastAsia="zh-CN"/>
        </w:rPr>
        <w:t>采购金额：620万元，最高限价：620万元；</w:t>
      </w:r>
    </w:p>
    <w:p>
      <w:pPr>
        <w:adjustRightInd w:val="0"/>
        <w:spacing w:line="336" w:lineRule="auto"/>
        <w:ind w:firstLine="482"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b/>
          <w:bCs/>
          <w:sz w:val="24"/>
          <w:szCs w:val="24"/>
          <w:u w:val="none"/>
          <w:lang w:val="en-US" w:eastAsia="zh-CN"/>
        </w:rPr>
        <w:t>第</w:t>
      </w:r>
      <w:r>
        <w:rPr>
          <w:rFonts w:hint="eastAsia" w:ascii="Times New Roman" w:hAnsi="Times New Roman" w:eastAsia="方正仿宋_GBK" w:cs="Times New Roman"/>
          <w:b/>
          <w:bCs/>
          <w:sz w:val="24"/>
          <w:szCs w:val="24"/>
          <w:u w:val="none"/>
          <w:lang w:val="en-US" w:eastAsia="zh-CN"/>
        </w:rPr>
        <w:t>六</w:t>
      </w:r>
      <w:r>
        <w:rPr>
          <w:rFonts w:hint="default" w:ascii="Times New Roman" w:hAnsi="Times New Roman" w:eastAsia="方正仿宋_GBK" w:cs="Times New Roman"/>
          <w:b/>
          <w:bCs/>
          <w:sz w:val="24"/>
          <w:szCs w:val="24"/>
          <w:u w:val="none"/>
          <w:lang w:val="en-US" w:eastAsia="zh-CN"/>
        </w:rPr>
        <w:t>标段：</w:t>
      </w:r>
      <w:r>
        <w:rPr>
          <w:rFonts w:hint="default" w:ascii="Times New Roman" w:hAnsi="Times New Roman" w:eastAsia="方正仿宋_GBK" w:cs="Times New Roman"/>
          <w:sz w:val="24"/>
          <w:szCs w:val="24"/>
          <w:u w:val="none"/>
          <w:lang w:val="en-US" w:eastAsia="zh-CN"/>
        </w:rPr>
        <w:t>采购鲜鸡蛋</w:t>
      </w:r>
      <w:r>
        <w:rPr>
          <w:rFonts w:hint="eastAsia" w:ascii="Times New Roman" w:hAnsi="Times New Roman" w:eastAsia="方正仿宋_GBK" w:cs="Times New Roman"/>
          <w:b/>
          <w:bCs/>
          <w:sz w:val="24"/>
          <w:szCs w:val="24"/>
          <w:u w:val="none"/>
          <w:lang w:val="en-US" w:eastAsia="zh-CN"/>
        </w:rPr>
        <w:t>（招下浮率）</w:t>
      </w:r>
      <w:r>
        <w:rPr>
          <w:rFonts w:hint="default" w:ascii="Times New Roman" w:hAnsi="Times New Roman" w:eastAsia="方正仿宋_GBK" w:cs="Times New Roman"/>
          <w:sz w:val="24"/>
          <w:szCs w:val="24"/>
          <w:u w:val="none"/>
          <w:lang w:val="en-US" w:eastAsia="zh-CN"/>
        </w:rPr>
        <w:t>、调料1批。</w:t>
      </w:r>
    </w:p>
    <w:p>
      <w:pPr>
        <w:adjustRightInd w:val="0"/>
        <w:spacing w:line="336" w:lineRule="auto"/>
        <w:ind w:firstLine="480"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lang w:val="en-US" w:eastAsia="zh-CN"/>
        </w:rPr>
        <w:t>采购金额：1515.7593万元（鲜鸡蛋预算金额：1260万元，最高限价：1260万元；调料预算金额：255.7593万元，最高限价：255.7593万元。</w:t>
      </w:r>
    </w:p>
    <w:p>
      <w:pPr>
        <w:adjustRightInd w:val="0"/>
        <w:spacing w:line="336" w:lineRule="auto"/>
        <w:rPr>
          <w:rFonts w:hint="eastAsia" w:ascii="仿宋" w:hAnsi="仿宋" w:eastAsia="仿宋" w:cs="仿宋"/>
          <w:b/>
          <w:bCs/>
          <w:sz w:val="24"/>
          <w:szCs w:val="24"/>
          <w:u w:val="none"/>
          <w:lang w:eastAsia="zh-CN"/>
        </w:rPr>
      </w:pPr>
      <w:r>
        <w:rPr>
          <w:rFonts w:hint="eastAsia" w:ascii="Times New Roman" w:hAnsi="Times New Roman" w:eastAsia="方正仿宋_GBK" w:cs="Times New Roman"/>
          <w:b/>
          <w:bCs/>
          <w:color w:val="auto"/>
          <w:sz w:val="24"/>
          <w:szCs w:val="24"/>
          <w:lang w:val="en-US" w:eastAsia="zh-CN"/>
        </w:rPr>
        <w:t>6、</w:t>
      </w:r>
      <w:r>
        <w:rPr>
          <w:rFonts w:hint="default" w:ascii="Times New Roman" w:hAnsi="Times New Roman" w:eastAsia="方正仿宋_GBK" w:cs="Times New Roman"/>
          <w:b/>
          <w:bCs/>
          <w:color w:val="auto"/>
          <w:sz w:val="24"/>
          <w:szCs w:val="24"/>
          <w:lang w:val="en-US" w:eastAsia="zh-CN"/>
        </w:rPr>
        <w:t>合同</w:t>
      </w:r>
      <w:r>
        <w:rPr>
          <w:rFonts w:hint="eastAsia" w:ascii="Times New Roman" w:hAnsi="Times New Roman" w:eastAsia="方正仿宋_GBK" w:cs="Times New Roman"/>
          <w:b/>
          <w:bCs/>
          <w:color w:val="auto"/>
          <w:sz w:val="24"/>
          <w:szCs w:val="24"/>
          <w:lang w:val="en-US" w:eastAsia="zh-CN"/>
        </w:rPr>
        <w:t>履约</w:t>
      </w:r>
      <w:r>
        <w:rPr>
          <w:rFonts w:hint="default" w:ascii="Times New Roman" w:hAnsi="Times New Roman" w:eastAsia="方正仿宋_GBK" w:cs="Times New Roman"/>
          <w:b/>
          <w:bCs/>
          <w:color w:val="auto"/>
          <w:sz w:val="24"/>
          <w:szCs w:val="24"/>
          <w:lang w:val="en-US" w:eastAsia="zh-CN"/>
        </w:rPr>
        <w:t>期限：</w:t>
      </w:r>
      <w:r>
        <w:rPr>
          <w:rFonts w:hint="default" w:ascii="Times New Roman" w:hAnsi="Times New Roman" w:eastAsia="方正仿宋_GBK" w:cs="Times New Roman"/>
          <w:b w:val="0"/>
          <w:bCs w:val="0"/>
          <w:color w:val="auto"/>
          <w:sz w:val="24"/>
          <w:szCs w:val="24"/>
          <w:lang w:val="en-US" w:eastAsia="zh-CN"/>
        </w:rPr>
        <w:t>本次招标食材使用时间2025年8月</w:t>
      </w:r>
      <w:r>
        <w:rPr>
          <w:rFonts w:hint="eastAsia" w:ascii="Times New Roman" w:hAnsi="Times New Roman" w:eastAsia="方正仿宋_GBK" w:cs="Times New Roman"/>
          <w:b w:val="0"/>
          <w:bCs w:val="0"/>
          <w:color w:val="auto"/>
          <w:sz w:val="24"/>
          <w:szCs w:val="24"/>
          <w:lang w:val="en-US" w:eastAsia="zh-CN"/>
        </w:rPr>
        <w:t>8</w:t>
      </w:r>
      <w:r>
        <w:rPr>
          <w:rFonts w:hint="default" w:ascii="Times New Roman" w:hAnsi="Times New Roman" w:eastAsia="方正仿宋_GBK" w:cs="Times New Roman"/>
          <w:b w:val="0"/>
          <w:bCs w:val="0"/>
          <w:color w:val="auto"/>
          <w:sz w:val="24"/>
          <w:szCs w:val="24"/>
          <w:lang w:val="en-US" w:eastAsia="zh-CN"/>
        </w:rPr>
        <w:t>日至2026年8月</w:t>
      </w:r>
      <w:r>
        <w:rPr>
          <w:rFonts w:hint="eastAsia" w:ascii="Times New Roman" w:hAnsi="Times New Roman" w:eastAsia="方正仿宋_GBK" w:cs="Times New Roman"/>
          <w:b w:val="0"/>
          <w:bCs w:val="0"/>
          <w:color w:val="auto"/>
          <w:sz w:val="24"/>
          <w:szCs w:val="24"/>
          <w:lang w:val="en-US" w:eastAsia="zh-CN"/>
        </w:rPr>
        <w:t>7</w:t>
      </w:r>
      <w:r>
        <w:rPr>
          <w:rFonts w:hint="default" w:ascii="Times New Roman" w:hAnsi="Times New Roman" w:eastAsia="方正仿宋_GBK" w:cs="Times New Roman"/>
          <w:b w:val="0"/>
          <w:bCs w:val="0"/>
          <w:color w:val="auto"/>
          <w:sz w:val="24"/>
          <w:szCs w:val="24"/>
          <w:lang w:val="en-US" w:eastAsia="zh-CN"/>
        </w:rPr>
        <w:t>日，具体以签订合同时间约定为准，以实际供货量进行结算</w:t>
      </w:r>
      <w:r>
        <w:rPr>
          <w:rFonts w:hint="eastAsia" w:ascii="Times New Roman" w:hAnsi="Times New Roman" w:eastAsia="方正仿宋_GBK" w:cs="Times New Roman"/>
          <w:b w:val="0"/>
          <w:bCs w:val="0"/>
          <w:color w:val="auto"/>
          <w:sz w:val="24"/>
          <w:szCs w:val="24"/>
          <w:lang w:val="en-US" w:eastAsia="zh-CN"/>
        </w:rPr>
        <w:t>。</w:t>
      </w:r>
    </w:p>
    <w:p>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pPr>
        <w:adjustRightInd w:val="0"/>
        <w:spacing w:line="360" w:lineRule="auto"/>
        <w:ind w:firstLine="480" w:firstLineChars="200"/>
        <w:rPr>
          <w:rFonts w:hint="eastAsia" w:ascii="仿宋" w:hAnsi="仿宋" w:eastAsia="仿宋" w:cs="仿宋_GB2312"/>
          <w:color w:val="auto"/>
          <w:kern w:val="0"/>
          <w:sz w:val="24"/>
          <w:szCs w:val="24"/>
          <w:highlight w:val="none"/>
          <w:lang w:val="en-US" w:eastAsia="zh-CN" w:bidi="ar"/>
        </w:rPr>
      </w:pPr>
      <w:r>
        <w:rPr>
          <w:rFonts w:hint="eastAsia" w:ascii="仿宋" w:hAnsi="仿宋" w:eastAsia="仿宋" w:cs="仿宋_GB2312"/>
          <w:color w:val="000000"/>
          <w:kern w:val="0"/>
          <w:sz w:val="24"/>
          <w:szCs w:val="24"/>
          <w:lang w:val="en-US" w:eastAsia="zh-CN" w:bidi="ar"/>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color w:val="000000"/>
          <w:kern w:val="0"/>
          <w:sz w:val="24"/>
          <w:szCs w:val="24"/>
          <w:lang w:val="en-US" w:eastAsia="zh-CN" w:bidi="ar"/>
        </w:rPr>
        <w:t>（</w:t>
      </w:r>
      <w:r>
        <w:rPr>
          <w:rFonts w:hint="default" w:ascii="仿宋" w:hAnsi="仿宋" w:eastAsia="仿宋" w:cs="仿宋_GB2312"/>
          <w:color w:val="auto"/>
          <w:kern w:val="0"/>
          <w:sz w:val="24"/>
          <w:szCs w:val="24"/>
          <w:highlight w:val="none"/>
          <w:lang w:val="en-US" w:eastAsia="zh-CN" w:bidi="ar"/>
        </w:rPr>
        <w:t>新成立公司不足3个月的提供成立至今缴纳证明）</w:t>
      </w:r>
      <w:r>
        <w:rPr>
          <w:rFonts w:hint="eastAsia" w:ascii="仿宋" w:hAnsi="仿宋" w:eastAsia="仿宋" w:cs="仿宋_GB2312"/>
          <w:color w:val="auto"/>
          <w:kern w:val="0"/>
          <w:sz w:val="24"/>
          <w:szCs w:val="24"/>
          <w:highlight w:val="none"/>
          <w:lang w:val="en-US" w:eastAsia="zh-CN" w:bidi="ar"/>
        </w:rPr>
        <w:t>；</w:t>
      </w:r>
    </w:p>
    <w:p>
      <w:pPr>
        <w:adjustRightInd w:val="0"/>
        <w:spacing w:line="360" w:lineRule="auto"/>
        <w:ind w:firstLine="480" w:firstLineChars="200"/>
        <w:rPr>
          <w:rFonts w:hint="eastAsia" w:ascii="仿宋" w:hAnsi="仿宋" w:eastAsia="仿宋" w:cs="仿宋_GB2312"/>
          <w:color w:val="000000"/>
          <w:kern w:val="0"/>
          <w:sz w:val="24"/>
          <w:szCs w:val="24"/>
          <w:highlight w:val="none"/>
          <w:lang w:val="en-US" w:eastAsia="zh-CN" w:bidi="ar"/>
        </w:rPr>
      </w:pPr>
      <w:r>
        <w:rPr>
          <w:rFonts w:hint="eastAsia" w:ascii="仿宋" w:hAnsi="仿宋" w:eastAsia="仿宋" w:cs="仿宋_GB2312"/>
          <w:color w:val="000000"/>
          <w:kern w:val="0"/>
          <w:sz w:val="24"/>
          <w:szCs w:val="24"/>
          <w:lang w:val="en-US" w:eastAsia="zh-CN" w:bidi="ar"/>
        </w:rPr>
        <w:t>4、2024年的财务审计报告</w:t>
      </w:r>
      <w:r>
        <w:rPr>
          <w:rFonts w:hint="eastAsia" w:ascii="仿宋" w:hAnsi="仿宋" w:eastAsia="仿宋" w:cs="仿宋_GB2312"/>
          <w:color w:val="000000"/>
          <w:kern w:val="0"/>
          <w:sz w:val="24"/>
          <w:szCs w:val="24"/>
          <w:highlight w:val="none"/>
          <w:lang w:val="en-US" w:eastAsia="zh-CN" w:bidi="ar"/>
        </w:rPr>
        <w:t>（新成立的公司提供自成立以来最新的银行资信证明）；</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w:t>
      </w: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7、提供参加政府采购活动前3年内在经营活动中没有重大违法记录的书面声明；</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8、提供针对本次项目《反商业贿赂承诺书》；</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w:t>
      </w:r>
      <w:r>
        <w:rPr>
          <w:rFonts w:hint="default" w:ascii="仿宋" w:hAnsi="仿宋" w:eastAsia="仿宋" w:cs="仿宋_GB2312"/>
          <w:color w:val="000000"/>
          <w:kern w:val="0"/>
          <w:sz w:val="24"/>
          <w:szCs w:val="24"/>
          <w:lang w:val="en-US" w:eastAsia="zh-CN" w:bidi="ar"/>
        </w:rPr>
        <w:t>投标单位为生产商的需提供有效期的《食品生产许可证》</w:t>
      </w:r>
      <w:r>
        <w:rPr>
          <w:rFonts w:hint="eastAsia" w:ascii="仿宋" w:hAnsi="仿宋" w:eastAsia="仿宋" w:cs="仿宋_GB2312"/>
          <w:color w:val="000000"/>
          <w:kern w:val="0"/>
          <w:sz w:val="24"/>
          <w:szCs w:val="24"/>
          <w:lang w:val="en-US" w:eastAsia="zh-CN" w:bidi="ar"/>
        </w:rPr>
        <w:t>。</w:t>
      </w:r>
      <w:r>
        <w:rPr>
          <w:rFonts w:hint="default" w:ascii="仿宋" w:hAnsi="仿宋" w:eastAsia="仿宋" w:cs="仿宋_GB2312"/>
          <w:color w:val="000000"/>
          <w:kern w:val="0"/>
          <w:sz w:val="24"/>
          <w:szCs w:val="24"/>
          <w:lang w:val="en-US" w:eastAsia="zh-CN" w:bidi="ar"/>
        </w:rPr>
        <w:t>投标单位为经销商的需提供有效期《食品经营许可证》或《仅销售预包装食品经营者信息采集备案表》</w:t>
      </w:r>
      <w:r>
        <w:rPr>
          <w:rFonts w:hint="eastAsia" w:ascii="仿宋" w:hAnsi="仿宋" w:eastAsia="仿宋" w:cs="仿宋_GB2312"/>
          <w:color w:val="000000"/>
          <w:kern w:val="0"/>
          <w:sz w:val="24"/>
          <w:szCs w:val="24"/>
          <w:lang w:val="en-US" w:eastAsia="zh-CN" w:bidi="ar"/>
        </w:rPr>
        <w:t>；第6标段：</w:t>
      </w:r>
      <w:r>
        <w:rPr>
          <w:rFonts w:hint="default" w:ascii="仿宋" w:hAnsi="仿宋" w:eastAsia="仿宋" w:cs="仿宋_GB2312"/>
          <w:color w:val="000000"/>
          <w:kern w:val="0"/>
          <w:sz w:val="24"/>
          <w:szCs w:val="24"/>
          <w:lang w:val="en-US" w:eastAsia="zh-CN" w:bidi="ar"/>
        </w:rPr>
        <w:t>若投标供应商为生产商，须提供有效</w:t>
      </w:r>
      <w:r>
        <w:rPr>
          <w:rFonts w:hint="eastAsia" w:ascii="仿宋" w:hAnsi="仿宋" w:eastAsia="仿宋" w:cs="仿宋_GB2312"/>
          <w:color w:val="000000"/>
          <w:kern w:val="0"/>
          <w:sz w:val="24"/>
          <w:szCs w:val="24"/>
          <w:lang w:val="en-US" w:eastAsia="zh-CN" w:bidi="ar"/>
        </w:rPr>
        <w:t>期内</w:t>
      </w:r>
      <w:r>
        <w:rPr>
          <w:rFonts w:hint="default" w:ascii="仿宋" w:hAnsi="仿宋" w:eastAsia="仿宋" w:cs="仿宋_GB2312"/>
          <w:color w:val="000000"/>
          <w:kern w:val="0"/>
          <w:sz w:val="24"/>
          <w:szCs w:val="24"/>
          <w:lang w:val="en-US" w:eastAsia="zh-CN" w:bidi="ar"/>
        </w:rPr>
        <w:t>的《食品生产许可证》</w:t>
      </w:r>
      <w:r>
        <w:rPr>
          <w:rFonts w:hint="eastAsia" w:ascii="仿宋" w:hAnsi="仿宋" w:eastAsia="仿宋" w:cs="仿宋_GB2312"/>
          <w:color w:val="000000"/>
          <w:kern w:val="0"/>
          <w:sz w:val="24"/>
          <w:szCs w:val="24"/>
          <w:lang w:val="en-US" w:eastAsia="zh-CN" w:bidi="ar"/>
        </w:rPr>
        <w:t>、有效期内的</w:t>
      </w:r>
      <w:r>
        <w:rPr>
          <w:rFonts w:hint="default" w:ascii="仿宋" w:hAnsi="仿宋" w:eastAsia="仿宋" w:cs="仿宋_GB2312"/>
          <w:color w:val="000000"/>
          <w:kern w:val="0"/>
          <w:sz w:val="24"/>
          <w:szCs w:val="24"/>
          <w:lang w:val="en-US" w:eastAsia="zh-CN" w:bidi="ar"/>
        </w:rPr>
        <w:t>《动物防疫条件合格证》</w:t>
      </w:r>
      <w:r>
        <w:rPr>
          <w:rFonts w:hint="eastAsia" w:ascii="仿宋" w:hAnsi="仿宋" w:eastAsia="仿宋" w:cs="仿宋_GB2312"/>
          <w:color w:val="000000"/>
          <w:kern w:val="0"/>
          <w:sz w:val="24"/>
          <w:szCs w:val="24"/>
          <w:lang w:val="en-US" w:eastAsia="zh-CN" w:bidi="ar"/>
        </w:rPr>
        <w:t>及其在有效期内的官方证明材料，</w:t>
      </w:r>
      <w:r>
        <w:rPr>
          <w:rFonts w:hint="default" w:ascii="仿宋" w:hAnsi="仿宋" w:eastAsia="仿宋" w:cs="仿宋_GB2312"/>
          <w:color w:val="000000"/>
          <w:kern w:val="0"/>
          <w:sz w:val="24"/>
          <w:szCs w:val="24"/>
          <w:lang w:val="en-US" w:eastAsia="zh-CN" w:bidi="ar"/>
        </w:rPr>
        <w:t>若投标供应商为经销商或代理商</w:t>
      </w:r>
      <w:r>
        <w:rPr>
          <w:rFonts w:hint="eastAsia" w:ascii="仿宋" w:hAnsi="仿宋" w:eastAsia="仿宋" w:cs="仿宋_GB2312"/>
          <w:color w:val="000000"/>
          <w:kern w:val="0"/>
          <w:sz w:val="24"/>
          <w:szCs w:val="24"/>
          <w:lang w:val="en-US" w:eastAsia="zh-CN" w:bidi="ar"/>
        </w:rPr>
        <w:t>，</w:t>
      </w:r>
      <w:r>
        <w:rPr>
          <w:rFonts w:hint="default" w:ascii="仿宋" w:hAnsi="仿宋" w:eastAsia="仿宋" w:cs="仿宋_GB2312"/>
          <w:color w:val="000000"/>
          <w:kern w:val="0"/>
          <w:sz w:val="24"/>
          <w:szCs w:val="24"/>
          <w:lang w:val="en-US" w:eastAsia="zh-CN" w:bidi="ar"/>
        </w:rPr>
        <w:t>须提供</w:t>
      </w:r>
      <w:r>
        <w:rPr>
          <w:rFonts w:hint="eastAsia" w:ascii="仿宋" w:hAnsi="仿宋" w:eastAsia="仿宋" w:cs="仿宋_GB2312"/>
          <w:color w:val="000000"/>
          <w:kern w:val="0"/>
          <w:sz w:val="24"/>
          <w:szCs w:val="24"/>
          <w:lang w:val="en-US" w:eastAsia="zh-CN" w:bidi="ar"/>
        </w:rPr>
        <w:t>自身在有效期内的</w:t>
      </w:r>
      <w:r>
        <w:rPr>
          <w:rFonts w:hint="default" w:ascii="仿宋" w:hAnsi="仿宋" w:eastAsia="仿宋" w:cs="仿宋_GB2312"/>
          <w:color w:val="000000"/>
          <w:kern w:val="0"/>
          <w:sz w:val="24"/>
          <w:szCs w:val="24"/>
          <w:lang w:val="en-US" w:eastAsia="zh-CN" w:bidi="ar"/>
        </w:rPr>
        <w:t>《食品经营许可证》或《仅销售预包装食品经营者信息采集备案表</w:t>
      </w:r>
      <w:r>
        <w:rPr>
          <w:rFonts w:hint="eastAsia" w:ascii="仿宋" w:hAnsi="仿宋" w:eastAsia="仿宋" w:cs="仿宋_GB2312"/>
          <w:color w:val="000000"/>
          <w:kern w:val="0"/>
          <w:sz w:val="24"/>
          <w:szCs w:val="24"/>
          <w:lang w:val="en-US" w:eastAsia="zh-CN" w:bidi="ar"/>
        </w:rPr>
        <w:t>》；并提供自身或上游供货商有效期内的《动物防疫条件合格证》及其在有效期内的官方证明材料，若使用上游供货商的《动物防疫条件合格证》，还需提供与上游供货商的合作协议等证明材料；</w:t>
      </w:r>
    </w:p>
    <w:p>
      <w:pPr>
        <w:adjustRightInd w:val="0"/>
        <w:spacing w:line="360" w:lineRule="auto"/>
        <w:ind w:firstLine="480" w:firstLineChars="200"/>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w:t>
      </w:r>
      <w:r>
        <w:rPr>
          <w:rFonts w:hint="default" w:ascii="仿宋" w:hAnsi="仿宋" w:eastAsia="仿宋" w:cs="仿宋_GB2312"/>
          <w:color w:val="000000"/>
          <w:kern w:val="0"/>
          <w:sz w:val="24"/>
          <w:szCs w:val="24"/>
          <w:lang w:val="en-US" w:eastAsia="zh-CN" w:bidi="ar"/>
        </w:rPr>
        <w:t>必须具有履行合同所必需的设备和专业技术能力；</w:t>
      </w:r>
    </w:p>
    <w:p>
      <w:pPr>
        <w:adjustRightInd w:val="0"/>
        <w:spacing w:line="360" w:lineRule="auto"/>
        <w:ind w:firstLine="480" w:firstLineChars="200"/>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11、本项目不接受联合体投标；</w:t>
      </w:r>
    </w:p>
    <w:p>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1、时间：2025年7月7日起至2025年7月14日上午00:00-12:00时及下午12:00-23:59时（节假日除外）</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采云平台（http://www.ccgp-xinjiang.gov.cn/）不见面开标大厅开标</w:t>
      </w:r>
    </w:p>
    <w:p>
      <w:pPr>
        <w:adjustRightInd w:val="0"/>
        <w:spacing w:line="360" w:lineRule="auto"/>
        <w:rPr>
          <w:rFonts w:hint="eastAsia" w:ascii="仿宋" w:hAnsi="仿宋" w:eastAsia="仿宋" w:cs="仿宋_GB2312"/>
          <w:color w:val="auto"/>
          <w:kern w:val="0"/>
          <w:sz w:val="24"/>
          <w:szCs w:val="24"/>
          <w:lang w:val="en-US" w:eastAsia="zh-CN" w:bidi="ar"/>
        </w:rPr>
      </w:pPr>
      <w:r>
        <w:rPr>
          <w:rFonts w:hint="eastAsia" w:ascii="仿宋" w:hAnsi="仿宋" w:eastAsia="仿宋" w:cs="仿宋_GB2312"/>
          <w:color w:val="auto"/>
          <w:kern w:val="0"/>
          <w:sz w:val="24"/>
          <w:szCs w:val="24"/>
          <w:lang w:val="en-US" w:eastAsia="zh-CN" w:bidi="ar"/>
        </w:rPr>
        <w:t>4</w:t>
      </w:r>
      <w:r>
        <w:rPr>
          <w:rFonts w:hint="eastAsia" w:ascii="仿宋" w:hAnsi="仿宋" w:eastAsia="仿宋" w:cs="仿宋_GB2312"/>
          <w:color w:val="auto"/>
          <w:kern w:val="0"/>
          <w:sz w:val="24"/>
          <w:szCs w:val="24"/>
          <w:lang w:val="zh-CN" w:eastAsia="zh-CN" w:bidi="ar"/>
        </w:rPr>
        <w:t>、开标时间：202</w:t>
      </w:r>
      <w:r>
        <w:rPr>
          <w:rFonts w:hint="eastAsia" w:ascii="仿宋" w:hAnsi="仿宋" w:eastAsia="仿宋" w:cs="仿宋_GB2312"/>
          <w:color w:val="auto"/>
          <w:kern w:val="0"/>
          <w:sz w:val="24"/>
          <w:szCs w:val="24"/>
          <w:lang w:val="en-US" w:eastAsia="zh-CN" w:bidi="ar"/>
        </w:rPr>
        <w:t>5</w:t>
      </w:r>
      <w:r>
        <w:rPr>
          <w:rFonts w:hint="eastAsia" w:ascii="仿宋" w:hAnsi="仿宋" w:eastAsia="仿宋" w:cs="仿宋_GB2312"/>
          <w:color w:val="auto"/>
          <w:kern w:val="0"/>
          <w:sz w:val="24"/>
          <w:szCs w:val="24"/>
          <w:lang w:val="zh-CN" w:eastAsia="zh-CN" w:bidi="ar"/>
        </w:rPr>
        <w:t>年</w:t>
      </w:r>
      <w:r>
        <w:rPr>
          <w:rFonts w:hint="eastAsia" w:ascii="仿宋" w:hAnsi="仿宋" w:eastAsia="仿宋" w:cs="仿宋_GB2312"/>
          <w:color w:val="auto"/>
          <w:kern w:val="0"/>
          <w:sz w:val="24"/>
          <w:szCs w:val="24"/>
          <w:lang w:val="en-US" w:eastAsia="zh-CN" w:bidi="ar"/>
        </w:rPr>
        <w:t>7</w:t>
      </w:r>
      <w:r>
        <w:rPr>
          <w:rFonts w:hint="eastAsia" w:ascii="仿宋" w:hAnsi="仿宋" w:eastAsia="仿宋" w:cs="仿宋_GB2312"/>
          <w:color w:val="auto"/>
          <w:kern w:val="0"/>
          <w:sz w:val="24"/>
          <w:szCs w:val="24"/>
          <w:lang w:val="zh-CN" w:eastAsia="zh-CN" w:bidi="ar"/>
        </w:rPr>
        <w:t>月</w:t>
      </w:r>
      <w:r>
        <w:rPr>
          <w:rFonts w:hint="eastAsia" w:ascii="仿宋" w:hAnsi="仿宋" w:eastAsia="仿宋" w:cs="仿宋_GB2312"/>
          <w:color w:val="auto"/>
          <w:kern w:val="0"/>
          <w:sz w:val="24"/>
          <w:szCs w:val="24"/>
          <w:lang w:val="en-US" w:eastAsia="zh-CN" w:bidi="ar"/>
        </w:rPr>
        <w:t>28</w:t>
      </w:r>
      <w:r>
        <w:rPr>
          <w:rFonts w:hint="eastAsia" w:ascii="仿宋" w:hAnsi="仿宋" w:eastAsia="仿宋" w:cs="仿宋_GB2312"/>
          <w:color w:val="auto"/>
          <w:kern w:val="0"/>
          <w:sz w:val="24"/>
          <w:szCs w:val="24"/>
          <w:lang w:val="zh-CN" w:eastAsia="zh-CN" w:bidi="ar"/>
        </w:rPr>
        <w:t>日上午</w:t>
      </w:r>
      <w:r>
        <w:rPr>
          <w:rFonts w:hint="eastAsia" w:ascii="仿宋" w:hAnsi="仿宋" w:eastAsia="仿宋" w:cs="仿宋_GB2312"/>
          <w:color w:val="auto"/>
          <w:kern w:val="0"/>
          <w:sz w:val="24"/>
          <w:szCs w:val="24"/>
          <w:lang w:val="en-US" w:eastAsia="zh-CN" w:bidi="ar"/>
        </w:rPr>
        <w:t>11</w:t>
      </w:r>
      <w:r>
        <w:rPr>
          <w:rFonts w:hint="eastAsia" w:ascii="仿宋" w:hAnsi="仿宋" w:eastAsia="仿宋" w:cs="仿宋_GB2312"/>
          <w:color w:val="auto"/>
          <w:kern w:val="0"/>
          <w:sz w:val="24"/>
          <w:szCs w:val="24"/>
          <w:lang w:val="zh-CN" w:eastAsia="zh-CN" w:bidi="ar"/>
        </w:rPr>
        <w:t>：</w:t>
      </w:r>
      <w:r>
        <w:rPr>
          <w:rFonts w:hint="eastAsia" w:ascii="仿宋" w:hAnsi="仿宋" w:eastAsia="仿宋" w:cs="仿宋_GB2312"/>
          <w:color w:val="auto"/>
          <w:kern w:val="0"/>
          <w:sz w:val="24"/>
          <w:szCs w:val="24"/>
          <w:lang w:val="en-US" w:eastAsia="zh-CN" w:bidi="ar"/>
        </w:rPr>
        <w:t>00</w:t>
      </w:r>
      <w:r>
        <w:rPr>
          <w:rFonts w:hint="eastAsia" w:ascii="仿宋" w:hAnsi="仿宋" w:eastAsia="仿宋" w:cs="仿宋_GB2312"/>
          <w:color w:val="auto"/>
          <w:kern w:val="0"/>
          <w:sz w:val="24"/>
          <w:szCs w:val="24"/>
          <w:lang w:val="zh-CN" w:eastAsia="zh-CN" w:bidi="ar"/>
        </w:rPr>
        <w:t>时</w:t>
      </w:r>
    </w:p>
    <w:p>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莎车县教育局</w:t>
      </w:r>
    </w:p>
    <w:p>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闫茂义                </w:t>
      </w:r>
    </w:p>
    <w:p>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18699857582</w:t>
      </w:r>
    </w:p>
    <w:p>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招标代理机构：莎车县</w:t>
      </w:r>
      <w:r>
        <w:rPr>
          <w:rFonts w:hint="eastAsia" w:ascii="仿宋" w:hAnsi="仿宋" w:eastAsia="仿宋" w:cs="仿宋"/>
          <w:kern w:val="2"/>
          <w:sz w:val="24"/>
          <w:szCs w:val="24"/>
          <w:u w:val="none"/>
          <w:lang w:val="en-US" w:eastAsia="zh-CN" w:bidi="ar-SA"/>
        </w:rPr>
        <w:t>政府</w:t>
      </w:r>
      <w:r>
        <w:rPr>
          <w:rFonts w:hint="eastAsia" w:ascii="仿宋" w:hAnsi="仿宋" w:eastAsia="仿宋" w:cs="仿宋"/>
          <w:kern w:val="2"/>
          <w:sz w:val="24"/>
          <w:szCs w:val="24"/>
          <w:u w:val="none"/>
          <w:lang w:val="zh-CN" w:eastAsia="zh-CN" w:bidi="ar-SA"/>
        </w:rPr>
        <w:t>采购中心</w:t>
      </w:r>
    </w:p>
    <w:p>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址：新疆喀什地区</w:t>
      </w:r>
      <w:r>
        <w:rPr>
          <w:rFonts w:hint="eastAsia" w:ascii="仿宋" w:hAnsi="仿宋" w:eastAsia="仿宋" w:cs="仿宋"/>
          <w:kern w:val="2"/>
          <w:sz w:val="24"/>
          <w:szCs w:val="24"/>
          <w:u w:val="none"/>
          <w:lang w:val="en-US" w:eastAsia="zh-CN" w:bidi="ar-SA"/>
        </w:rPr>
        <w:t>莎车县行政服务中心三楼</w:t>
      </w:r>
    </w:p>
    <w:p>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牛雪      </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p>
    <w:p>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联系电话：</w:t>
      </w:r>
      <w:r>
        <w:rPr>
          <w:rFonts w:hint="default" w:ascii="仿宋" w:hAnsi="仿宋" w:eastAsia="仿宋" w:cs="仿宋"/>
          <w:kern w:val="2"/>
          <w:sz w:val="24"/>
          <w:szCs w:val="24"/>
          <w:u w:val="none"/>
          <w:lang w:val="en-US" w:eastAsia="zh-CN" w:bidi="ar-SA"/>
        </w:rPr>
        <w:t>0998-8512672</w:t>
      </w:r>
    </w:p>
    <w:p>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pacing w:line="360" w:lineRule="auto"/>
        <w:textAlignment w:val="baseline"/>
        <w:rPr>
          <w:rFonts w:hint="eastAsi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3"/>
        <w:bidi w:val="0"/>
        <w:rPr>
          <w:rFonts w:hint="eastAsia" w:ascii="仿宋" w:hAnsi="仿宋" w:eastAsia="仿宋" w:cs="仿宋"/>
          <w:szCs w:val="30"/>
        </w:rPr>
      </w:pPr>
      <w:bookmarkStart w:id="177" w:name="_Toc8700"/>
      <w:r>
        <w:rPr>
          <w:rFonts w:hint="eastAsia"/>
        </w:rPr>
        <w:t>第4章  投标人须知资料表</w:t>
      </w:r>
      <w:bookmarkEnd w:id="177"/>
    </w:p>
    <w:p>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pPr>
        <w:spacing w:line="145" w:lineRule="exact"/>
        <w:rPr>
          <w:rFonts w:hint="eastAsia" w:ascii="仿宋" w:hAnsi="仿宋" w:eastAsia="仿宋" w:cs="仿宋"/>
        </w:rPr>
      </w:pPr>
    </w:p>
    <w:tbl>
      <w:tblPr>
        <w:tblStyle w:val="31"/>
        <w:tblW w:w="841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vAlign w:val="top"/>
          </w:tcPr>
          <w:p>
            <w:pPr>
              <w:pStyle w:val="30"/>
              <w:spacing w:before="107" w:line="223" w:lineRule="auto"/>
              <w:ind w:firstLine="452" w:firstLineChars="200"/>
              <w:rPr>
                <w:rFonts w:hint="eastAsia" w:ascii="仿宋" w:hAnsi="仿宋" w:eastAsia="仿宋" w:cs="仿宋"/>
              </w:rPr>
            </w:pPr>
            <w:r>
              <w:rPr>
                <w:rFonts w:hint="eastAsia" w:ascii="仿宋" w:hAnsi="仿宋" w:eastAsia="仿宋" w:cs="仿宋"/>
                <w:spacing w:val="-7"/>
              </w:rPr>
              <w:t>条款号</w:t>
            </w:r>
          </w:p>
        </w:tc>
        <w:tc>
          <w:tcPr>
            <w:tcW w:w="7020" w:type="dxa"/>
            <w:tcBorders>
              <w:top w:val="single" w:color="000000" w:sz="10" w:space="0"/>
              <w:right w:val="single" w:color="000000" w:sz="10" w:space="0"/>
            </w:tcBorders>
            <w:vAlign w:val="top"/>
          </w:tcPr>
          <w:p>
            <w:pPr>
              <w:pStyle w:val="30"/>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vAlign w:val="top"/>
          </w:tcPr>
          <w:p>
            <w:pPr>
              <w:spacing w:line="312" w:lineRule="auto"/>
              <w:rPr>
                <w:rFonts w:hint="eastAsia" w:ascii="仿宋" w:hAnsi="仿宋" w:eastAsia="仿宋" w:cs="仿宋"/>
                <w:sz w:val="21"/>
              </w:rPr>
            </w:pPr>
          </w:p>
          <w:p>
            <w:pPr>
              <w:spacing w:line="312" w:lineRule="auto"/>
              <w:rPr>
                <w:rFonts w:hint="eastAsia" w:ascii="仿宋" w:hAnsi="仿宋" w:eastAsia="仿宋" w:cs="仿宋"/>
                <w:sz w:val="21"/>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020" w:type="dxa"/>
            <w:tcBorders>
              <w:right w:val="single" w:color="000000" w:sz="10" w:space="0"/>
            </w:tcBorders>
            <w:vAlign w:val="top"/>
          </w:tcPr>
          <w:p>
            <w:pPr>
              <w:pStyle w:val="30"/>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采购人：</w:t>
            </w:r>
            <w:r>
              <w:rPr>
                <w:rFonts w:hint="eastAsia" w:cs="仿宋"/>
                <w:spacing w:val="-1"/>
                <w:lang w:eastAsia="zh-CN"/>
              </w:rPr>
              <w:t>莎车县教育局</w:t>
            </w:r>
          </w:p>
          <w:p>
            <w:pPr>
              <w:pStyle w:val="30"/>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地  址：</w:t>
            </w:r>
            <w:r>
              <w:rPr>
                <w:rFonts w:hint="eastAsia" w:cs="仿宋"/>
                <w:spacing w:val="-1"/>
                <w:lang w:val="en-US" w:eastAsia="zh-CN"/>
              </w:rPr>
              <w:t>新疆</w:t>
            </w:r>
            <w:r>
              <w:rPr>
                <w:rFonts w:hint="eastAsia" w:ascii="仿宋" w:hAnsi="仿宋" w:eastAsia="仿宋" w:cs="仿宋"/>
                <w:spacing w:val="-1"/>
              </w:rPr>
              <w:t>喀什地区</w:t>
            </w:r>
            <w:r>
              <w:rPr>
                <w:rFonts w:hint="eastAsia" w:cs="仿宋"/>
                <w:spacing w:val="-1"/>
                <w:lang w:val="en-US" w:eastAsia="zh-CN"/>
              </w:rPr>
              <w:t>莎车县</w:t>
            </w:r>
          </w:p>
          <w:p>
            <w:pPr>
              <w:pStyle w:val="30"/>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电  话：</w:t>
            </w:r>
            <w:r>
              <w:rPr>
                <w:rFonts w:hint="eastAsia" w:cs="仿宋"/>
                <w:spacing w:val="-1"/>
                <w:lang w:eastAsia="zh-CN"/>
              </w:rPr>
              <w:t>18699857582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vAlign w:val="top"/>
          </w:tcPr>
          <w:p>
            <w:pPr>
              <w:spacing w:line="241" w:lineRule="auto"/>
              <w:rPr>
                <w:rFonts w:hint="eastAsia" w:ascii="仿宋" w:hAnsi="仿宋" w:eastAsia="仿宋" w:cs="仿宋"/>
                <w:sz w:val="21"/>
              </w:rPr>
            </w:pPr>
          </w:p>
          <w:p>
            <w:pPr>
              <w:spacing w:line="242" w:lineRule="auto"/>
              <w:rPr>
                <w:rFonts w:hint="eastAsia" w:ascii="仿宋" w:hAnsi="仿宋" w:eastAsia="仿宋" w:cs="仿宋"/>
                <w:sz w:val="21"/>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020" w:type="dxa"/>
            <w:tcBorders>
              <w:right w:val="single" w:color="000000" w:sz="10" w:space="0"/>
            </w:tcBorders>
            <w:vAlign w:val="top"/>
          </w:tcPr>
          <w:p>
            <w:pPr>
              <w:pStyle w:val="30"/>
              <w:spacing w:before="38" w:line="360" w:lineRule="auto"/>
              <w:ind w:left="31"/>
              <w:rPr>
                <w:rFonts w:hint="eastAsia" w:cs="仿宋"/>
                <w:spacing w:val="-1"/>
                <w:lang w:val="zh-CN" w:eastAsia="zh-CN"/>
              </w:rPr>
            </w:pPr>
            <w:r>
              <w:rPr>
                <w:rFonts w:hint="eastAsia" w:cs="仿宋"/>
                <w:spacing w:val="-1"/>
                <w:lang w:val="en-US" w:eastAsia="zh-CN"/>
              </w:rPr>
              <w:t>采购代理：</w:t>
            </w:r>
            <w:r>
              <w:rPr>
                <w:rFonts w:hint="eastAsia" w:cs="仿宋"/>
                <w:spacing w:val="-1"/>
                <w:lang w:val="zh-CN" w:eastAsia="zh-CN"/>
              </w:rPr>
              <w:t>莎车县</w:t>
            </w:r>
            <w:r>
              <w:rPr>
                <w:rFonts w:hint="eastAsia" w:cs="仿宋"/>
                <w:spacing w:val="-1"/>
                <w:lang w:val="en-US" w:eastAsia="zh-CN"/>
              </w:rPr>
              <w:t>政府</w:t>
            </w:r>
            <w:r>
              <w:rPr>
                <w:rFonts w:hint="eastAsia" w:cs="仿宋"/>
                <w:spacing w:val="-1"/>
                <w:lang w:val="zh-CN" w:eastAsia="zh-CN"/>
              </w:rPr>
              <w:t>采购中心</w:t>
            </w:r>
          </w:p>
          <w:p>
            <w:pPr>
              <w:pStyle w:val="30"/>
              <w:spacing w:before="38" w:line="360" w:lineRule="auto"/>
              <w:ind w:left="31"/>
              <w:rPr>
                <w:rFonts w:hint="eastAsia" w:cs="仿宋"/>
                <w:spacing w:val="-1"/>
                <w:lang w:val="en-US" w:eastAsia="zh-CN"/>
              </w:rPr>
            </w:pPr>
            <w:r>
              <w:rPr>
                <w:rFonts w:hint="eastAsia" w:cs="仿宋"/>
                <w:spacing w:val="-1"/>
                <w:lang w:val="en-US" w:eastAsia="zh-CN"/>
              </w:rPr>
              <w:t>联系人：牛雪</w:t>
            </w:r>
          </w:p>
          <w:p>
            <w:pPr>
              <w:pStyle w:val="30"/>
              <w:spacing w:before="38" w:line="360" w:lineRule="auto"/>
              <w:ind w:left="31"/>
              <w:rPr>
                <w:rFonts w:hint="default" w:ascii="仿宋" w:hAnsi="仿宋" w:eastAsia="仿宋" w:cs="仿宋"/>
                <w:spacing w:val="-1"/>
                <w:lang w:val="en-US" w:eastAsia="zh-CN"/>
              </w:rPr>
            </w:pPr>
            <w:r>
              <w:rPr>
                <w:rFonts w:hint="eastAsia" w:cs="仿宋"/>
                <w:spacing w:val="-1"/>
                <w:lang w:val="en-US" w:eastAsia="zh-CN"/>
              </w:rPr>
              <w:t>联系方式：</w:t>
            </w:r>
            <w:r>
              <w:rPr>
                <w:rFonts w:hint="default" w:cs="仿宋"/>
                <w:spacing w:val="-1"/>
                <w:lang w:val="en-US" w:eastAsia="zh-CN"/>
              </w:rPr>
              <w:t>0998-8512672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6" w:hRule="atLeast"/>
        </w:trPr>
        <w:tc>
          <w:tcPr>
            <w:tcW w:w="1390" w:type="dxa"/>
            <w:tcBorders>
              <w:left w:val="single" w:color="000000" w:sz="10" w:space="0"/>
            </w:tcBorders>
            <w:vAlign w:val="top"/>
          </w:tcPr>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before="69" w:line="188" w:lineRule="auto"/>
              <w:ind w:left="586"/>
              <w:rPr>
                <w:rFonts w:hint="eastAsia" w:ascii="仿宋" w:hAnsi="仿宋" w:eastAsia="仿宋" w:cs="仿宋"/>
                <w:snapToGrid w:val="0"/>
                <w:color w:val="000000"/>
                <w:kern w:val="2"/>
                <w:sz w:val="24"/>
                <w:szCs w:val="24"/>
                <w:u w:val="none"/>
                <w:lang w:val="zh-CN" w:eastAsia="zh-CN" w:bidi="ar-SA"/>
              </w:rPr>
            </w:pPr>
            <w:r>
              <w:rPr>
                <w:rFonts w:hint="eastAsia" w:ascii="仿宋" w:hAnsi="仿宋" w:eastAsia="仿宋" w:cs="仿宋"/>
                <w:snapToGrid w:val="0"/>
                <w:color w:val="000000"/>
                <w:kern w:val="2"/>
                <w:sz w:val="24"/>
                <w:szCs w:val="24"/>
                <w:u w:val="none"/>
                <w:lang w:val="zh-CN" w:eastAsia="zh-CN" w:bidi="ar-SA"/>
              </w:rPr>
              <w:t>1.3.4</w:t>
            </w:r>
          </w:p>
        </w:tc>
        <w:tc>
          <w:tcPr>
            <w:tcW w:w="7020" w:type="dxa"/>
            <w:tcBorders>
              <w:right w:val="single" w:color="000000" w:sz="10" w:space="0"/>
            </w:tcBorders>
            <w:vAlign w:val="top"/>
          </w:tcPr>
          <w:p>
            <w:pPr>
              <w:pStyle w:val="30"/>
              <w:spacing w:before="36" w:line="360" w:lineRule="auto"/>
              <w:ind w:left="34"/>
              <w:rPr>
                <w:rFonts w:hint="eastAsia" w:ascii="仿宋" w:hAnsi="仿宋" w:eastAsia="仿宋" w:cs="仿宋"/>
                <w:b/>
                <w:bCs/>
                <w:snapToGrid w:val="0"/>
                <w:color w:val="FF0000"/>
                <w:kern w:val="2"/>
                <w:sz w:val="28"/>
                <w:szCs w:val="28"/>
                <w:u w:val="none"/>
                <w:lang w:val="zh-CN" w:eastAsia="zh-CN" w:bidi="ar-SA"/>
              </w:rPr>
            </w:pPr>
            <w:r>
              <w:rPr>
                <w:rFonts w:hint="eastAsia" w:ascii="仿宋" w:hAnsi="仿宋" w:eastAsia="仿宋" w:cs="仿宋"/>
                <w:b/>
                <w:bCs/>
                <w:snapToGrid w:val="0"/>
                <w:color w:val="FF0000"/>
                <w:kern w:val="2"/>
                <w:sz w:val="28"/>
                <w:szCs w:val="28"/>
                <w:u w:val="none"/>
                <w:lang w:val="zh-CN" w:eastAsia="zh-CN" w:bidi="ar-SA"/>
              </w:rPr>
              <w:t>合格投标人资格要求：</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2、授权人参与投标提供法定代表人授权书及被授权人身份证；法人本人参与投标提供法人身份证及法人资格证明；</w:t>
            </w:r>
          </w:p>
          <w:p>
            <w:pPr>
              <w:adjustRightInd w:val="0"/>
              <w:spacing w:line="360" w:lineRule="auto"/>
              <w:rPr>
                <w:rFonts w:hint="eastAsia" w:ascii="仿宋" w:hAnsi="仿宋" w:eastAsia="仿宋" w:cs="仿宋_GB2312"/>
                <w:b/>
                <w:bCs/>
                <w:color w:val="auto"/>
                <w:kern w:val="0"/>
                <w:sz w:val="24"/>
                <w:szCs w:val="24"/>
                <w:highlight w:val="none"/>
                <w:lang w:val="en-US" w:eastAsia="zh-CN" w:bidi="ar"/>
              </w:rPr>
            </w:pPr>
            <w:r>
              <w:rPr>
                <w:rFonts w:hint="eastAsia" w:ascii="仿宋" w:hAnsi="仿宋" w:eastAsia="仿宋" w:cs="仿宋_GB2312"/>
                <w:b/>
                <w:bCs/>
                <w:color w:val="auto"/>
                <w:kern w:val="0"/>
                <w:sz w:val="24"/>
                <w:szCs w:val="24"/>
                <w:lang w:val="en-US" w:eastAsia="zh-CN" w:bidi="ar"/>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b/>
                <w:bCs/>
                <w:color w:val="auto"/>
                <w:kern w:val="0"/>
                <w:sz w:val="24"/>
                <w:szCs w:val="24"/>
                <w:highlight w:val="none"/>
                <w:lang w:val="en-US" w:eastAsia="zh-CN" w:bidi="ar"/>
              </w:rPr>
              <w:t>（新成立公司不足3个月的提供成立至今缴纳证明）</w:t>
            </w:r>
            <w:r>
              <w:rPr>
                <w:rFonts w:hint="eastAsia" w:ascii="仿宋" w:hAnsi="仿宋" w:eastAsia="仿宋" w:cs="仿宋_GB2312"/>
                <w:b/>
                <w:bCs/>
                <w:color w:val="auto"/>
                <w:kern w:val="0"/>
                <w:sz w:val="24"/>
                <w:szCs w:val="24"/>
                <w:highlight w:val="none"/>
                <w:lang w:val="en-US" w:eastAsia="zh-CN" w:bidi="ar"/>
              </w:rPr>
              <w:t>；</w:t>
            </w:r>
          </w:p>
          <w:p>
            <w:pPr>
              <w:adjustRightInd w:val="0"/>
              <w:spacing w:line="360" w:lineRule="auto"/>
              <w:rPr>
                <w:rFonts w:hint="eastAsia" w:ascii="仿宋" w:hAnsi="仿宋" w:eastAsia="仿宋" w:cs="仿宋_GB2312"/>
                <w:b/>
                <w:bCs/>
                <w:color w:val="auto"/>
                <w:kern w:val="0"/>
                <w:sz w:val="24"/>
                <w:szCs w:val="24"/>
                <w:highlight w:val="none"/>
                <w:lang w:val="en-US" w:eastAsia="zh-CN" w:bidi="ar"/>
              </w:rPr>
            </w:pPr>
            <w:r>
              <w:rPr>
                <w:rFonts w:hint="eastAsia" w:ascii="仿宋" w:hAnsi="仿宋" w:eastAsia="仿宋" w:cs="仿宋_GB2312"/>
                <w:b/>
                <w:bCs/>
                <w:color w:val="auto"/>
                <w:kern w:val="0"/>
                <w:sz w:val="24"/>
                <w:szCs w:val="24"/>
                <w:lang w:val="en-US" w:eastAsia="zh-CN" w:bidi="ar"/>
              </w:rPr>
              <w:t>4、2024年的财务审计报告</w:t>
            </w:r>
            <w:r>
              <w:rPr>
                <w:rFonts w:hint="eastAsia" w:ascii="仿宋" w:hAnsi="仿宋" w:eastAsia="仿宋" w:cs="仿宋_GB2312"/>
                <w:b/>
                <w:bCs/>
                <w:color w:val="000000"/>
                <w:kern w:val="0"/>
                <w:sz w:val="24"/>
                <w:szCs w:val="24"/>
                <w:highlight w:val="none"/>
                <w:lang w:val="en-US" w:eastAsia="zh-CN" w:bidi="ar"/>
              </w:rPr>
              <w:t>（新成立的公司提供自成立以来最新的银行资信证明）；</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6、</w:t>
            </w:r>
            <w:r>
              <w:rPr>
                <w:rFonts w:hint="eastAsia" w:ascii="仿宋" w:hAnsi="仿宋" w:eastAsia="仿宋" w:cs="仿宋"/>
                <w:b/>
                <w:bCs/>
                <w:color w:val="auto"/>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7、提供参加政府采购活动前3年内在经营活动中没有重大违法记录的书面声明；</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8、提供针对本次项目《反商业贿赂承诺书》；</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9、</w:t>
            </w:r>
            <w:r>
              <w:rPr>
                <w:rFonts w:hint="default" w:ascii="仿宋" w:hAnsi="仿宋" w:eastAsia="仿宋" w:cs="仿宋_GB2312"/>
                <w:b/>
                <w:bCs/>
                <w:color w:val="auto"/>
                <w:kern w:val="0"/>
                <w:sz w:val="24"/>
                <w:szCs w:val="24"/>
                <w:lang w:val="en-US" w:eastAsia="zh-CN" w:bidi="ar"/>
              </w:rPr>
              <w:t>投标单位为生产商的需提供有效期的《食品生产许可证》</w:t>
            </w:r>
            <w:r>
              <w:rPr>
                <w:rFonts w:hint="eastAsia" w:ascii="仿宋" w:hAnsi="仿宋" w:eastAsia="仿宋" w:cs="仿宋_GB2312"/>
                <w:b/>
                <w:bCs/>
                <w:color w:val="auto"/>
                <w:kern w:val="0"/>
                <w:sz w:val="24"/>
                <w:szCs w:val="24"/>
                <w:lang w:val="en-US" w:eastAsia="zh-CN" w:bidi="ar"/>
              </w:rPr>
              <w:t>。</w:t>
            </w:r>
            <w:r>
              <w:rPr>
                <w:rFonts w:hint="default" w:ascii="仿宋" w:hAnsi="仿宋" w:eastAsia="仿宋" w:cs="仿宋_GB2312"/>
                <w:b/>
                <w:bCs/>
                <w:color w:val="auto"/>
                <w:kern w:val="0"/>
                <w:sz w:val="24"/>
                <w:szCs w:val="24"/>
                <w:lang w:val="en-US" w:eastAsia="zh-CN" w:bidi="ar"/>
              </w:rPr>
              <w:t>投标单位为经销商的需提供有效期《食品经营许可证》或《仅销售预包装食品经营者信息采集备案表》</w:t>
            </w:r>
            <w:r>
              <w:rPr>
                <w:rFonts w:hint="eastAsia" w:ascii="仿宋" w:hAnsi="仿宋" w:eastAsia="仿宋" w:cs="仿宋_GB2312"/>
                <w:b/>
                <w:bCs/>
                <w:color w:val="auto"/>
                <w:kern w:val="0"/>
                <w:sz w:val="24"/>
                <w:szCs w:val="24"/>
                <w:lang w:val="en-US" w:eastAsia="zh-CN" w:bidi="ar"/>
              </w:rPr>
              <w:t>；第6标段：</w:t>
            </w:r>
            <w:r>
              <w:rPr>
                <w:rFonts w:hint="default" w:ascii="仿宋" w:hAnsi="仿宋" w:eastAsia="仿宋" w:cs="仿宋_GB2312"/>
                <w:b/>
                <w:bCs/>
                <w:color w:val="auto"/>
                <w:kern w:val="0"/>
                <w:sz w:val="24"/>
                <w:szCs w:val="24"/>
                <w:lang w:val="en-US" w:eastAsia="zh-CN" w:bidi="ar"/>
              </w:rPr>
              <w:t>若投标供应商为生产商，须提供有效</w:t>
            </w:r>
            <w:r>
              <w:rPr>
                <w:rFonts w:hint="eastAsia" w:ascii="仿宋" w:hAnsi="仿宋" w:eastAsia="仿宋" w:cs="仿宋_GB2312"/>
                <w:b/>
                <w:bCs/>
                <w:color w:val="auto"/>
                <w:kern w:val="0"/>
                <w:sz w:val="24"/>
                <w:szCs w:val="24"/>
                <w:lang w:val="en-US" w:eastAsia="zh-CN" w:bidi="ar"/>
              </w:rPr>
              <w:t>期内</w:t>
            </w:r>
            <w:r>
              <w:rPr>
                <w:rFonts w:hint="default" w:ascii="仿宋" w:hAnsi="仿宋" w:eastAsia="仿宋" w:cs="仿宋_GB2312"/>
                <w:b/>
                <w:bCs/>
                <w:color w:val="auto"/>
                <w:kern w:val="0"/>
                <w:sz w:val="24"/>
                <w:szCs w:val="24"/>
                <w:lang w:val="en-US" w:eastAsia="zh-CN" w:bidi="ar"/>
              </w:rPr>
              <w:t>的《食品生产许可证》</w:t>
            </w:r>
            <w:r>
              <w:rPr>
                <w:rFonts w:hint="eastAsia" w:ascii="仿宋" w:hAnsi="仿宋" w:eastAsia="仿宋" w:cs="仿宋_GB2312"/>
                <w:b/>
                <w:bCs/>
                <w:color w:val="auto"/>
                <w:kern w:val="0"/>
                <w:sz w:val="24"/>
                <w:szCs w:val="24"/>
                <w:lang w:val="en-US" w:eastAsia="zh-CN" w:bidi="ar"/>
              </w:rPr>
              <w:t>、有效期内的</w:t>
            </w:r>
            <w:r>
              <w:rPr>
                <w:rFonts w:hint="default" w:ascii="仿宋" w:hAnsi="仿宋" w:eastAsia="仿宋" w:cs="仿宋_GB2312"/>
                <w:b/>
                <w:bCs/>
                <w:color w:val="auto"/>
                <w:kern w:val="0"/>
                <w:sz w:val="24"/>
                <w:szCs w:val="24"/>
                <w:lang w:val="en-US" w:eastAsia="zh-CN" w:bidi="ar"/>
              </w:rPr>
              <w:t>《动物防疫条件合格证》</w:t>
            </w:r>
            <w:r>
              <w:rPr>
                <w:rFonts w:hint="eastAsia" w:ascii="仿宋" w:hAnsi="仿宋" w:eastAsia="仿宋" w:cs="仿宋_GB2312"/>
                <w:b/>
                <w:bCs/>
                <w:color w:val="auto"/>
                <w:kern w:val="0"/>
                <w:sz w:val="24"/>
                <w:szCs w:val="24"/>
                <w:lang w:val="en-US" w:eastAsia="zh-CN" w:bidi="ar"/>
              </w:rPr>
              <w:t>及其在有效期内的官方证明材料，</w:t>
            </w:r>
            <w:r>
              <w:rPr>
                <w:rFonts w:hint="default" w:ascii="仿宋" w:hAnsi="仿宋" w:eastAsia="仿宋" w:cs="仿宋_GB2312"/>
                <w:b/>
                <w:bCs/>
                <w:color w:val="auto"/>
                <w:kern w:val="0"/>
                <w:sz w:val="24"/>
                <w:szCs w:val="24"/>
                <w:lang w:val="en-US" w:eastAsia="zh-CN" w:bidi="ar"/>
              </w:rPr>
              <w:t>若投标供应商为经销商或代理商</w:t>
            </w:r>
            <w:r>
              <w:rPr>
                <w:rFonts w:hint="eastAsia" w:ascii="仿宋" w:hAnsi="仿宋" w:eastAsia="仿宋" w:cs="仿宋_GB2312"/>
                <w:b/>
                <w:bCs/>
                <w:color w:val="auto"/>
                <w:kern w:val="0"/>
                <w:sz w:val="24"/>
                <w:szCs w:val="24"/>
                <w:lang w:val="en-US" w:eastAsia="zh-CN" w:bidi="ar"/>
              </w:rPr>
              <w:t>，</w:t>
            </w:r>
            <w:r>
              <w:rPr>
                <w:rFonts w:hint="default" w:ascii="仿宋" w:hAnsi="仿宋" w:eastAsia="仿宋" w:cs="仿宋_GB2312"/>
                <w:b/>
                <w:bCs/>
                <w:color w:val="auto"/>
                <w:kern w:val="0"/>
                <w:sz w:val="24"/>
                <w:szCs w:val="24"/>
                <w:lang w:val="en-US" w:eastAsia="zh-CN" w:bidi="ar"/>
              </w:rPr>
              <w:t>须提供</w:t>
            </w:r>
            <w:r>
              <w:rPr>
                <w:rFonts w:hint="eastAsia" w:ascii="仿宋" w:hAnsi="仿宋" w:eastAsia="仿宋" w:cs="仿宋_GB2312"/>
                <w:b/>
                <w:bCs/>
                <w:color w:val="auto"/>
                <w:kern w:val="0"/>
                <w:sz w:val="24"/>
                <w:szCs w:val="24"/>
                <w:lang w:val="en-US" w:eastAsia="zh-CN" w:bidi="ar"/>
              </w:rPr>
              <w:t>自身在有效期内的</w:t>
            </w:r>
            <w:r>
              <w:rPr>
                <w:rFonts w:hint="default" w:ascii="仿宋" w:hAnsi="仿宋" w:eastAsia="仿宋" w:cs="仿宋_GB2312"/>
                <w:b/>
                <w:bCs/>
                <w:color w:val="auto"/>
                <w:kern w:val="0"/>
                <w:sz w:val="24"/>
                <w:szCs w:val="24"/>
                <w:lang w:val="en-US" w:eastAsia="zh-CN" w:bidi="ar"/>
              </w:rPr>
              <w:t>《食品经营许可证》或《仅销售预包装食品经营者信息采集备案表</w:t>
            </w:r>
            <w:r>
              <w:rPr>
                <w:rFonts w:hint="eastAsia" w:ascii="仿宋" w:hAnsi="仿宋" w:eastAsia="仿宋" w:cs="仿宋_GB2312"/>
                <w:b/>
                <w:bCs/>
                <w:color w:val="auto"/>
                <w:kern w:val="0"/>
                <w:sz w:val="24"/>
                <w:szCs w:val="24"/>
                <w:lang w:val="en-US" w:eastAsia="zh-CN" w:bidi="ar"/>
              </w:rPr>
              <w:t>》；并提供自身或上游供货商有效期内的《动物防疫条件合格证》及其在有效期内的官方证明材料，若使用上游供货商的《动物防疫条件合格证》，还需提供与上游供货商的合作协议等证明材料；</w:t>
            </w:r>
          </w:p>
          <w:p>
            <w:pPr>
              <w:adjustRightInd w:val="0"/>
              <w:spacing w:line="360" w:lineRule="auto"/>
              <w:rPr>
                <w:rFonts w:hint="default"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10、</w:t>
            </w:r>
            <w:r>
              <w:rPr>
                <w:rFonts w:hint="default" w:ascii="仿宋" w:hAnsi="仿宋" w:eastAsia="仿宋" w:cs="仿宋_GB2312"/>
                <w:b/>
                <w:bCs/>
                <w:color w:val="auto"/>
                <w:kern w:val="0"/>
                <w:sz w:val="24"/>
                <w:szCs w:val="24"/>
                <w:lang w:val="en-US" w:eastAsia="zh-CN" w:bidi="ar"/>
              </w:rPr>
              <w:t>必须具有履行合同所必需的设备和专业技术能力；</w:t>
            </w:r>
          </w:p>
          <w:p>
            <w:pPr>
              <w:adjustRightInd w:val="0"/>
              <w:spacing w:line="360" w:lineRule="auto"/>
              <w:rPr>
                <w:rFonts w:hint="eastAsia" w:ascii="仿宋" w:hAnsi="仿宋" w:eastAsia="仿宋" w:cs="仿宋"/>
                <w:snapToGrid w:val="0"/>
                <w:color w:val="000000"/>
                <w:kern w:val="2"/>
                <w:sz w:val="24"/>
                <w:szCs w:val="24"/>
                <w:u w:val="none"/>
                <w:lang w:val="zh-CN" w:eastAsia="zh-CN" w:bidi="ar-SA"/>
              </w:rPr>
            </w:pPr>
            <w:r>
              <w:rPr>
                <w:rFonts w:hint="eastAsia" w:ascii="仿宋" w:hAnsi="仿宋" w:eastAsia="仿宋" w:cs="仿宋_GB2312"/>
                <w:b/>
                <w:bCs/>
                <w:color w:val="auto"/>
                <w:kern w:val="0"/>
                <w:sz w:val="24"/>
                <w:szCs w:val="24"/>
                <w:lang w:val="en-US" w:eastAsia="zh-CN" w:bidi="ar"/>
              </w:rPr>
              <w:t>11、本项目不接受联合体投标；</w:t>
            </w:r>
          </w:p>
        </w:tc>
      </w:tr>
    </w:tbl>
    <w:p>
      <w:pPr>
        <w:spacing w:line="165" w:lineRule="exact"/>
        <w:rPr>
          <w:rFonts w:hint="eastAsia" w:ascii="仿宋" w:hAnsi="仿宋" w:eastAsia="仿宋" w:cs="仿宋"/>
        </w:rPr>
      </w:pPr>
    </w:p>
    <w:tbl>
      <w:tblPr>
        <w:tblStyle w:val="31"/>
        <w:tblW w:w="842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vAlign w:val="top"/>
          </w:tcPr>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z w:val="24"/>
                <w:szCs w:val="24"/>
                <w:lang w:eastAsia="zh-CN"/>
              </w:rPr>
            </w:pPr>
            <w:r>
              <w:rPr>
                <w:rFonts w:hint="eastAsia" w:ascii="仿宋" w:hAnsi="仿宋" w:eastAsia="仿宋" w:cs="仿宋"/>
                <w:spacing w:val="-6"/>
                <w:sz w:val="24"/>
                <w:szCs w:val="24"/>
              </w:rPr>
              <w:t>1.3.</w:t>
            </w:r>
            <w:r>
              <w:rPr>
                <w:rFonts w:hint="eastAsia" w:ascii="仿宋" w:hAnsi="仿宋" w:eastAsia="仿宋" w:cs="仿宋"/>
                <w:spacing w:val="-6"/>
                <w:sz w:val="24"/>
                <w:szCs w:val="24"/>
                <w:lang w:val="en-US" w:eastAsia="zh-CN"/>
              </w:rPr>
              <w:t>5</w:t>
            </w:r>
          </w:p>
        </w:tc>
        <w:tc>
          <w:tcPr>
            <w:tcW w:w="6950" w:type="dxa"/>
            <w:tcBorders>
              <w:top w:val="single" w:color="000000" w:sz="10" w:space="0"/>
              <w:right w:val="single" w:color="000000" w:sz="10" w:space="0"/>
            </w:tcBorders>
            <w:vAlign w:val="top"/>
          </w:tcPr>
          <w:p>
            <w:pPr>
              <w:pStyle w:val="30"/>
              <w:spacing w:before="40" w:line="360" w:lineRule="auto"/>
              <w:ind w:left="30"/>
              <w:rPr>
                <w:rFonts w:hint="default" w:cs="仿宋"/>
                <w:b/>
                <w:bCs/>
                <w:u w:val="single" w:color="auto"/>
                <w:lang w:val="en-US" w:eastAsia="zh-CN"/>
              </w:rPr>
            </w:pPr>
            <w:r>
              <w:rPr>
                <w:rFonts w:hint="eastAsia" w:ascii="仿宋" w:hAnsi="仿宋" w:eastAsia="仿宋" w:cs="仿宋"/>
                <w:b/>
                <w:bCs/>
                <w:color w:val="FF0000"/>
                <w:highlight w:val="none"/>
              </w:rPr>
              <w:t>是否面向中小企业采购：</w:t>
            </w:r>
            <w:bookmarkStart w:id="178" w:name="OLE_LINK1"/>
            <w:r>
              <w:rPr>
                <w:rFonts w:hint="eastAsia" w:ascii="仿宋" w:hAnsi="仿宋" w:eastAsia="仿宋" w:cs="仿宋"/>
                <w:b/>
                <w:bCs/>
                <w:lang w:val="en-US" w:eastAsia="zh-CN"/>
              </w:rPr>
              <w:t>根据</w:t>
            </w:r>
            <w:r>
              <w:rPr>
                <w:rFonts w:hint="eastAsia" w:ascii="仿宋" w:hAnsi="仿宋" w:eastAsia="仿宋" w:cs="仿宋"/>
                <w:b/>
                <w:bCs/>
              </w:rPr>
              <w:t>政府采购促进中小企业发展管理办法第四条</w:t>
            </w:r>
            <w:r>
              <w:rPr>
                <w:rFonts w:hint="eastAsia" w:ascii="仿宋" w:hAnsi="仿宋" w:eastAsia="仿宋" w:cs="仿宋"/>
                <w:b/>
                <w:bCs/>
                <w:lang w:eastAsia="zh-CN"/>
              </w:rPr>
              <w:t>（</w:t>
            </w:r>
            <w:r>
              <w:rPr>
                <w:rFonts w:hint="eastAsia" w:ascii="仿宋" w:hAnsi="仿宋" w:eastAsia="仿宋" w:cs="仿宋"/>
                <w:b/>
                <w:bCs/>
                <w:lang w:val="en-US" w:eastAsia="zh-CN"/>
              </w:rPr>
              <w:t>一</w:t>
            </w:r>
            <w:r>
              <w:rPr>
                <w:rFonts w:hint="eastAsia" w:cs="仿宋"/>
                <w:b/>
                <w:bCs/>
                <w:lang w:val="en-US" w:eastAsia="zh-CN"/>
              </w:rPr>
              <w:t>）</w:t>
            </w:r>
            <w:r>
              <w:rPr>
                <w:rFonts w:hint="eastAsia" w:ascii="仿宋" w:hAnsi="仿宋" w:eastAsia="仿宋" w:cs="仿宋"/>
                <w:b/>
                <w:bCs/>
              </w:rPr>
              <w:t>在货物采购项目中，货物由中小企业制造，即货物由中小企业生产且使用该中小企业商号或者注册商标；</w:t>
            </w:r>
            <w:bookmarkEnd w:id="178"/>
            <w:r>
              <w:rPr>
                <w:rFonts w:hint="eastAsia" w:cs="仿宋"/>
                <w:b/>
                <w:bCs/>
                <w:color w:val="FF0000"/>
                <w:u w:val="single" w:color="auto"/>
                <w:lang w:val="en-US" w:eastAsia="zh-CN"/>
              </w:rPr>
              <w:t>本项目第4标段不享受中小企业政策；第5、6标段不专门面向中小企业政策；</w:t>
            </w:r>
          </w:p>
          <w:p>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1478" w:type="dxa"/>
            <w:tcBorders>
              <w:left w:val="single" w:color="000000" w:sz="10" w:space="0"/>
            </w:tcBorders>
            <w:vAlign w:val="top"/>
          </w:tcPr>
          <w:p>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6950" w:type="dxa"/>
            <w:tcBorders>
              <w:right w:val="single" w:color="000000" w:sz="10" w:space="0"/>
            </w:tcBorders>
            <w:vAlign w:val="top"/>
          </w:tcPr>
          <w:p>
            <w:pPr>
              <w:pStyle w:val="30"/>
              <w:spacing w:before="32" w:line="216" w:lineRule="auto"/>
              <w:ind w:left="30"/>
              <w:rPr>
                <w:rFonts w:hint="eastAsia" w:ascii="仿宋" w:hAnsi="仿宋" w:eastAsia="仿宋" w:cs="仿宋"/>
                <w:sz w:val="24"/>
                <w:szCs w:val="24"/>
              </w:rPr>
            </w:pPr>
            <w:r>
              <w:rPr>
                <w:rFonts w:hint="eastAsia" w:ascii="仿宋" w:hAnsi="仿宋" w:eastAsia="仿宋" w:cs="仿宋"/>
                <w:sz w:val="24"/>
                <w:szCs w:val="24"/>
              </w:rPr>
              <w:t>是否允许联合体投标：</w:t>
            </w:r>
            <w:r>
              <w:rPr>
                <w:rFonts w:hint="eastAsia" w:ascii="仿宋" w:hAnsi="仿宋" w:eastAsia="仿宋" w:cs="仿宋"/>
                <w:sz w:val="24"/>
                <w:szCs w:val="24"/>
                <w:u w:val="single" w:color="auto"/>
              </w:rPr>
              <w:t xml:space="preserve"> </w:t>
            </w:r>
            <w:r>
              <w:rPr>
                <w:rFonts w:hint="eastAsia" w:cs="仿宋"/>
                <w:sz w:val="24"/>
                <w:szCs w:val="24"/>
                <w:u w:val="single" w:color="auto"/>
                <w:lang w:val="en-US" w:eastAsia="zh-CN"/>
              </w:rPr>
              <w:t>否</w:t>
            </w:r>
            <w:r>
              <w:rPr>
                <w:rFonts w:hint="eastAsia" w:ascii="仿宋" w:hAnsi="仿宋" w:eastAsia="仿宋" w:cs="仿宋"/>
                <w:i/>
                <w:iCs/>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6950" w:type="dxa"/>
            <w:tcBorders>
              <w:right w:val="single" w:color="000000" w:sz="10" w:space="0"/>
            </w:tcBorders>
            <w:vAlign w:val="top"/>
          </w:tcPr>
          <w:p>
            <w:pPr>
              <w:pStyle w:val="30"/>
              <w:spacing w:before="33" w:line="222" w:lineRule="auto"/>
              <w:ind w:left="27"/>
              <w:rPr>
                <w:rFonts w:hint="eastAsia" w:ascii="仿宋" w:hAnsi="仿宋" w:eastAsia="仿宋" w:cs="仿宋"/>
                <w:sz w:val="24"/>
                <w:szCs w:val="24"/>
              </w:rPr>
            </w:pPr>
            <w:r>
              <w:rPr>
                <w:rFonts w:hint="eastAsia" w:ascii="仿宋" w:hAnsi="仿宋" w:eastAsia="仿宋" w:cs="仿宋"/>
                <w:sz w:val="24"/>
                <w:szCs w:val="24"/>
              </w:rPr>
              <w:t>联合体的其他资格要求：无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6950" w:type="dxa"/>
            <w:tcBorders>
              <w:right w:val="single" w:color="000000" w:sz="10" w:space="0"/>
            </w:tcBorders>
            <w:vAlign w:val="top"/>
          </w:tcPr>
          <w:p>
            <w:pPr>
              <w:pStyle w:val="30"/>
              <w:spacing w:before="35" w:line="360" w:lineRule="auto"/>
              <w:ind w:left="30"/>
              <w:rPr>
                <w:rFonts w:hint="default" w:ascii="Times New Roman" w:hAnsi="Times New Roman" w:eastAsia="方正仿宋_GBK" w:cs="Times New Roman"/>
                <w:b/>
                <w:bCs/>
                <w:snapToGrid w:val="0"/>
                <w:color w:val="auto"/>
                <w:kern w:val="0"/>
                <w:sz w:val="24"/>
                <w:szCs w:val="24"/>
                <w:lang w:val="en-US" w:eastAsia="zh-CN" w:bidi="ar-SA"/>
              </w:rPr>
            </w:pPr>
            <w:r>
              <w:rPr>
                <w:rFonts w:hint="default" w:ascii="Times New Roman" w:hAnsi="Times New Roman" w:eastAsia="方正仿宋_GBK" w:cs="Times New Roman"/>
                <w:b/>
                <w:bCs/>
                <w:snapToGrid w:val="0"/>
                <w:color w:val="auto"/>
                <w:kern w:val="0"/>
                <w:sz w:val="24"/>
                <w:szCs w:val="24"/>
                <w:lang w:val="en-US" w:eastAsia="zh-CN" w:bidi="ar-SA"/>
              </w:rPr>
              <w:t>项目预算总金额：</w:t>
            </w:r>
            <w:r>
              <w:rPr>
                <w:rFonts w:hint="default" w:ascii="Times New Roman" w:hAnsi="Times New Roman" w:eastAsia="方正仿宋_GBK" w:cs="Times New Roman"/>
                <w:b/>
                <w:bCs/>
                <w:snapToGrid w:val="0"/>
                <w:color w:val="auto"/>
                <w:kern w:val="0"/>
                <w:sz w:val="24"/>
                <w:szCs w:val="24"/>
                <w:highlight w:val="none"/>
                <w:lang w:val="en-US" w:eastAsia="zh-CN" w:bidi="ar-SA"/>
              </w:rPr>
              <w:t>4421.351万元</w:t>
            </w:r>
          </w:p>
          <w:p>
            <w:pPr>
              <w:pStyle w:val="30"/>
              <w:spacing w:before="35" w:line="360" w:lineRule="auto"/>
              <w:ind w:left="30" w:firstLine="482" w:firstLineChars="200"/>
              <w:rPr>
                <w:rFonts w:hint="default" w:ascii="Times New Roman" w:hAnsi="Times New Roman" w:eastAsia="方正仿宋_GBK" w:cs="Times New Roman"/>
                <w:b/>
                <w:bCs/>
                <w:snapToGrid w:val="0"/>
                <w:color w:val="auto"/>
                <w:kern w:val="0"/>
                <w:sz w:val="24"/>
                <w:szCs w:val="24"/>
                <w:lang w:val="en-US" w:eastAsia="zh-CN" w:bidi="ar-SA"/>
              </w:rPr>
            </w:pPr>
            <w:r>
              <w:rPr>
                <w:rFonts w:hint="default" w:ascii="Times New Roman" w:hAnsi="Times New Roman" w:eastAsia="方正仿宋_GBK" w:cs="Times New Roman"/>
                <w:b/>
                <w:bCs/>
                <w:snapToGrid w:val="0"/>
                <w:color w:val="auto"/>
                <w:kern w:val="0"/>
                <w:sz w:val="24"/>
                <w:szCs w:val="24"/>
                <w:highlight w:val="none"/>
                <w:lang w:val="en-US" w:eastAsia="zh-CN" w:bidi="ar-SA"/>
              </w:rPr>
              <w:t>第四标段采购内容：蔬菜、时令水果，采购金额：2285.5917万元（包含：蔬菜预算金额：1545.5917万元，最高限价：1545.5917万元；时令水果预算金额：740万元，最高限价</w:t>
            </w:r>
            <w:r>
              <w:rPr>
                <w:rFonts w:hint="default" w:ascii="Times New Roman" w:hAnsi="Times New Roman" w:eastAsia="方正仿宋_GBK" w:cs="Times New Roman"/>
                <w:color w:val="auto"/>
                <w:sz w:val="22"/>
                <w:szCs w:val="22"/>
                <w:u w:val="none"/>
                <w:lang w:val="en-US" w:eastAsia="zh-CN"/>
              </w:rPr>
              <w:t>：</w:t>
            </w:r>
            <w:r>
              <w:rPr>
                <w:rFonts w:hint="default" w:ascii="Times New Roman" w:hAnsi="Times New Roman" w:eastAsia="方正仿宋_GBK" w:cs="Times New Roman"/>
                <w:b/>
                <w:bCs/>
                <w:snapToGrid w:val="0"/>
                <w:color w:val="auto"/>
                <w:kern w:val="0"/>
                <w:sz w:val="24"/>
                <w:szCs w:val="24"/>
                <w:highlight w:val="none"/>
                <w:lang w:val="en-US" w:eastAsia="zh-CN" w:bidi="ar-SA"/>
              </w:rPr>
              <w:t>740万元），数量：1批</w:t>
            </w:r>
          </w:p>
          <w:p>
            <w:pPr>
              <w:pStyle w:val="30"/>
              <w:spacing w:before="35" w:line="360" w:lineRule="auto"/>
              <w:ind w:left="30" w:firstLine="482" w:firstLineChars="200"/>
              <w:rPr>
                <w:rFonts w:hint="default" w:ascii="Times New Roman" w:hAnsi="Times New Roman" w:eastAsia="方正仿宋_GBK" w:cs="Times New Roman"/>
                <w:b/>
                <w:bCs/>
                <w:snapToGrid w:val="0"/>
                <w:color w:val="auto"/>
                <w:kern w:val="0"/>
                <w:sz w:val="24"/>
                <w:szCs w:val="24"/>
                <w:lang w:val="en-US" w:eastAsia="zh-CN" w:bidi="ar-SA"/>
              </w:rPr>
            </w:pPr>
            <w:r>
              <w:rPr>
                <w:rFonts w:hint="default" w:ascii="Times New Roman" w:hAnsi="Times New Roman" w:eastAsia="方正仿宋_GBK" w:cs="Times New Roman"/>
                <w:b/>
                <w:bCs/>
                <w:snapToGrid w:val="0"/>
                <w:color w:val="auto"/>
                <w:kern w:val="0"/>
                <w:sz w:val="24"/>
                <w:szCs w:val="24"/>
                <w:highlight w:val="none"/>
                <w:lang w:val="en-US" w:eastAsia="zh-CN" w:bidi="ar-SA"/>
              </w:rPr>
              <w:t>第五标段采购内容：学生饮用奶，采购金额：620万元，最高限价：620万元），数量：</w:t>
            </w:r>
            <w:r>
              <w:rPr>
                <w:rFonts w:hint="eastAsia" w:ascii="Times New Roman" w:hAnsi="Times New Roman" w:eastAsia="方正仿宋_GBK" w:cs="Times New Roman"/>
                <w:b/>
                <w:bCs/>
                <w:snapToGrid w:val="0"/>
                <w:color w:val="auto"/>
                <w:kern w:val="0"/>
                <w:sz w:val="24"/>
                <w:szCs w:val="24"/>
                <w:highlight w:val="none"/>
                <w:lang w:val="en-US" w:eastAsia="zh-CN" w:bidi="ar-SA"/>
              </w:rPr>
              <w:t>200000</w:t>
            </w:r>
            <w:r>
              <w:rPr>
                <w:rFonts w:hint="default" w:ascii="Times New Roman" w:hAnsi="Times New Roman" w:eastAsia="方正仿宋_GBK" w:cs="Times New Roman"/>
                <w:b/>
                <w:bCs/>
                <w:snapToGrid w:val="0"/>
                <w:color w:val="auto"/>
                <w:kern w:val="0"/>
                <w:sz w:val="24"/>
                <w:szCs w:val="24"/>
                <w:highlight w:val="none"/>
                <w:lang w:val="en-US" w:eastAsia="zh-CN" w:bidi="ar-SA"/>
              </w:rPr>
              <w:t>件</w:t>
            </w:r>
          </w:p>
          <w:p>
            <w:pPr>
              <w:pStyle w:val="30"/>
              <w:spacing w:before="35" w:line="360" w:lineRule="auto"/>
              <w:ind w:left="30" w:firstLine="482" w:firstLineChars="200"/>
              <w:rPr>
                <w:rFonts w:hint="default" w:ascii="Times New Roman" w:hAnsi="Times New Roman" w:eastAsia="方正仿宋_GBK" w:cs="Times New Roman"/>
                <w:b/>
                <w:bCs/>
                <w:snapToGrid w:val="0"/>
                <w:color w:val="auto"/>
                <w:kern w:val="0"/>
                <w:sz w:val="24"/>
                <w:szCs w:val="24"/>
                <w:highlight w:val="none"/>
                <w:lang w:val="en-US" w:eastAsia="zh-CN" w:bidi="ar-SA"/>
              </w:rPr>
            </w:pPr>
            <w:r>
              <w:rPr>
                <w:rFonts w:hint="default" w:ascii="Times New Roman" w:hAnsi="Times New Roman" w:eastAsia="方正仿宋_GBK" w:cs="Times New Roman"/>
                <w:b/>
                <w:bCs/>
                <w:snapToGrid w:val="0"/>
                <w:color w:val="auto"/>
                <w:kern w:val="0"/>
                <w:sz w:val="24"/>
                <w:szCs w:val="24"/>
                <w:highlight w:val="none"/>
                <w:lang w:val="en-US" w:eastAsia="zh-CN" w:bidi="ar-SA"/>
              </w:rPr>
              <w:t>第六标段采购内容：鲜鸡蛋、调料，采购金额：1515.7593万元，（包含：鲜鸡蛋预算金额：1260万元，最高限价：1260万元；调料预算金额：255.7593万元，最高限价：255.7593万元）</w:t>
            </w:r>
          </w:p>
          <w:p>
            <w:pPr>
              <w:pStyle w:val="30"/>
              <w:spacing w:before="35" w:line="360" w:lineRule="auto"/>
              <w:ind w:left="30"/>
              <w:rPr>
                <w:rFonts w:hint="default"/>
                <w:lang w:val="en-US" w:eastAsia="zh-CN"/>
              </w:rPr>
            </w:pPr>
            <w:r>
              <w:rPr>
                <w:rFonts w:hint="default" w:ascii="Times New Roman" w:hAnsi="Times New Roman" w:eastAsia="方正仿宋_GBK" w:cs="Times New Roman"/>
                <w:b/>
                <w:bCs/>
                <w:snapToGrid w:val="0"/>
                <w:color w:val="auto"/>
                <w:kern w:val="0"/>
                <w:sz w:val="24"/>
                <w:szCs w:val="24"/>
                <w:highlight w:val="none"/>
                <w:lang w:val="en-US" w:eastAsia="zh-CN" w:bidi="ar-SA"/>
              </w:rPr>
              <w:t>数量：1批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78" w:type="dxa"/>
            <w:tcBorders>
              <w:left w:val="single" w:color="000000" w:sz="10" w:space="0"/>
            </w:tcBorders>
            <w:vAlign w:val="top"/>
          </w:tcPr>
          <w:p>
            <w:pPr>
              <w:spacing w:before="86" w:line="188" w:lineRule="auto"/>
              <w:ind w:left="572"/>
              <w:rPr>
                <w:rFonts w:hint="eastAsia" w:ascii="仿宋" w:hAnsi="仿宋" w:eastAsia="仿宋" w:cs="仿宋"/>
                <w:sz w:val="24"/>
                <w:szCs w:val="24"/>
              </w:rPr>
            </w:pPr>
            <w:r>
              <w:rPr>
                <w:rFonts w:hint="eastAsia" w:ascii="仿宋" w:hAnsi="仿宋" w:eastAsia="仿宋" w:cs="仿宋"/>
                <w:spacing w:val="-5"/>
                <w:sz w:val="24"/>
                <w:szCs w:val="24"/>
              </w:rPr>
              <w:t>8.1</w:t>
            </w:r>
          </w:p>
        </w:tc>
        <w:tc>
          <w:tcPr>
            <w:tcW w:w="6950" w:type="dxa"/>
            <w:tcBorders>
              <w:right w:val="single" w:color="000000" w:sz="10" w:space="0"/>
            </w:tcBorders>
            <w:vAlign w:val="top"/>
          </w:tcPr>
          <w:p>
            <w:pPr>
              <w:pStyle w:val="30"/>
              <w:spacing w:before="37" w:line="222" w:lineRule="auto"/>
              <w:ind w:left="30"/>
              <w:rPr>
                <w:rFonts w:hint="default" w:ascii="仿宋" w:hAnsi="仿宋" w:eastAsia="仿宋" w:cs="仿宋"/>
                <w:sz w:val="24"/>
                <w:szCs w:val="24"/>
                <w:lang w:val="en-US" w:eastAsia="zh-CN"/>
              </w:rPr>
            </w:pPr>
            <w:r>
              <w:rPr>
                <w:rFonts w:hint="eastAsia" w:ascii="仿宋" w:hAnsi="仿宋" w:eastAsia="仿宋" w:cs="仿宋"/>
                <w:b/>
                <w:bCs/>
                <w:i w:val="0"/>
                <w:iCs w:val="0"/>
                <w:color w:val="0000FF"/>
                <w:spacing w:val="-5"/>
                <w:sz w:val="24"/>
                <w:szCs w:val="24"/>
                <w:u w:val="single"/>
              </w:rPr>
              <w:t>本项目</w:t>
            </w:r>
            <w:r>
              <w:rPr>
                <w:rFonts w:hint="eastAsia" w:cs="仿宋"/>
                <w:b/>
                <w:bCs/>
                <w:i w:val="0"/>
                <w:iCs w:val="0"/>
                <w:color w:val="0000FF"/>
                <w:spacing w:val="-5"/>
                <w:sz w:val="24"/>
                <w:szCs w:val="24"/>
                <w:u w:val="single"/>
                <w:lang w:val="en-US" w:eastAsia="zh-CN"/>
              </w:rPr>
              <w:t>分三个分包 ，可兼中兼得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78" w:type="dxa"/>
            <w:tcBorders>
              <w:left w:val="single" w:color="000000" w:sz="10" w:space="0"/>
            </w:tcBorders>
            <w:vAlign w:val="top"/>
          </w:tcPr>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6950" w:type="dxa"/>
            <w:tcBorders>
              <w:right w:val="single" w:color="000000" w:sz="10" w:space="0"/>
            </w:tcBorders>
            <w:vAlign w:val="top"/>
          </w:tcPr>
          <w:p>
            <w:pPr>
              <w:pStyle w:val="30"/>
              <w:spacing w:before="39" w:line="240" w:lineRule="auto"/>
              <w:ind w:left="29"/>
              <w:rPr>
                <w:rFonts w:hint="default" w:ascii="仿宋" w:hAnsi="仿宋" w:eastAsia="仿宋" w:cs="仿宋"/>
                <w:color w:val="0000FF"/>
                <w:spacing w:val="-4"/>
                <w:position w:val="16"/>
                <w:lang w:val="en-US" w:eastAsia="zh-CN"/>
              </w:rPr>
            </w:pPr>
            <w:r>
              <w:rPr>
                <w:rFonts w:hint="eastAsia" w:ascii="仿宋" w:hAnsi="仿宋" w:eastAsia="仿宋" w:cs="仿宋"/>
                <w:color w:val="0000FF"/>
                <w:spacing w:val="-3"/>
                <w:position w:val="16"/>
              </w:rPr>
              <w:t xml:space="preserve">投标保证金形式： ☑保函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电汇 </w:t>
            </w:r>
            <w:r>
              <w:rPr>
                <w:rFonts w:hint="eastAsia" w:cs="仿宋"/>
                <w:color w:val="0000FF"/>
                <w:spacing w:val="-3"/>
                <w:position w:val="16"/>
                <w:lang w:eastAsia="zh-CN"/>
              </w:rPr>
              <w:t>☑</w:t>
            </w:r>
            <w:r>
              <w:rPr>
                <w:rFonts w:hint="eastAsia" w:ascii="仿宋" w:hAnsi="仿宋" w:eastAsia="仿宋" w:cs="仿宋"/>
                <w:color w:val="0000FF"/>
                <w:spacing w:val="-3"/>
                <w:position w:val="16"/>
                <w:lang w:val="en-US" w:eastAsia="zh-CN"/>
              </w:rPr>
              <w:t>支票</w:t>
            </w:r>
            <w:r>
              <w:rPr>
                <w:rFonts w:hint="eastAsia" w:ascii="仿宋" w:hAnsi="仿宋" w:eastAsia="仿宋" w:cs="仿宋"/>
                <w:color w:val="0000FF"/>
                <w:spacing w:val="-3"/>
                <w:position w:val="16"/>
              </w:rPr>
              <w:t xml:space="preserve">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  企业账户网银汇款（</w:t>
            </w:r>
            <w:r>
              <w:rPr>
                <w:rFonts w:hint="eastAsia" w:cs="仿宋"/>
                <w:color w:val="0000FF"/>
                <w:spacing w:val="-3"/>
                <w:position w:val="16"/>
                <w:lang w:val="en-US" w:eastAsia="zh-CN"/>
              </w:rPr>
              <w:t>本项目允许的其他形式）</w:t>
            </w:r>
          </w:p>
          <w:p>
            <w:pPr>
              <w:pStyle w:val="30"/>
              <w:spacing w:before="177" w:line="240" w:lineRule="auto"/>
              <w:ind w:left="30"/>
              <w:rPr>
                <w:rFonts w:hint="eastAsia" w:ascii="仿宋" w:hAnsi="仿宋" w:eastAsia="仿宋" w:cs="仿宋"/>
                <w:spacing w:val="-1"/>
                <w:position w:val="17"/>
                <w:sz w:val="24"/>
                <w:szCs w:val="24"/>
              </w:rPr>
            </w:pPr>
            <w:r>
              <w:rPr>
                <w:rFonts w:hint="eastAsia" w:ascii="仿宋" w:hAnsi="仿宋" w:eastAsia="仿宋" w:cs="仿宋"/>
                <w:spacing w:val="-1"/>
                <w:position w:val="17"/>
                <w:sz w:val="24"/>
                <w:szCs w:val="24"/>
              </w:rPr>
              <w:t>保证金数额：</w:t>
            </w:r>
          </w:p>
          <w:p>
            <w:pPr>
              <w:pStyle w:val="30"/>
              <w:spacing w:before="177" w:line="240" w:lineRule="auto"/>
              <w:ind w:left="30"/>
              <w:rPr>
                <w:rFonts w:hint="eastAsia" w:cs="仿宋"/>
                <w:spacing w:val="-1"/>
                <w:position w:val="17"/>
                <w:sz w:val="24"/>
                <w:szCs w:val="24"/>
                <w:lang w:val="en-US" w:eastAsia="zh-CN"/>
              </w:rPr>
            </w:pPr>
            <w:r>
              <w:rPr>
                <w:rFonts w:hint="eastAsia" w:cs="仿宋"/>
                <w:spacing w:val="-1"/>
                <w:position w:val="17"/>
                <w:sz w:val="24"/>
                <w:szCs w:val="24"/>
                <w:lang w:val="en-US" w:eastAsia="zh-CN"/>
              </w:rPr>
              <w:t>第四标段：22.85万元</w:t>
            </w:r>
          </w:p>
          <w:p>
            <w:pPr>
              <w:pStyle w:val="30"/>
              <w:spacing w:before="177" w:line="240" w:lineRule="auto"/>
              <w:ind w:left="30"/>
              <w:rPr>
                <w:rFonts w:hint="eastAsia" w:cs="仿宋"/>
                <w:spacing w:val="-1"/>
                <w:position w:val="17"/>
                <w:sz w:val="24"/>
                <w:szCs w:val="24"/>
                <w:lang w:val="en-US" w:eastAsia="zh-CN"/>
              </w:rPr>
            </w:pPr>
            <w:r>
              <w:rPr>
                <w:rFonts w:hint="eastAsia" w:cs="仿宋"/>
                <w:spacing w:val="-1"/>
                <w:position w:val="17"/>
                <w:sz w:val="24"/>
                <w:szCs w:val="24"/>
                <w:lang w:val="en-US" w:eastAsia="zh-CN"/>
              </w:rPr>
              <w:t>第五标段：6.2万元</w:t>
            </w:r>
          </w:p>
          <w:p>
            <w:pPr>
              <w:pStyle w:val="30"/>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第六标段：15万元</w:t>
            </w:r>
          </w:p>
          <w:p>
            <w:pPr>
              <w:pStyle w:val="30"/>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以上保证金收取按照政府采购法规定1%以内计算</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default" w:cs="仿宋"/>
                <w:spacing w:val="-1"/>
                <w:position w:val="17"/>
                <w:sz w:val="24"/>
                <w:szCs w:val="24"/>
                <w:lang w:val="en-US" w:eastAsia="zh-CN"/>
              </w:rPr>
            </w:pPr>
            <w:r>
              <w:rPr>
                <w:rFonts w:hint="default" w:cs="仿宋"/>
                <w:spacing w:val="-1"/>
                <w:position w:val="17"/>
                <w:sz w:val="24"/>
                <w:szCs w:val="24"/>
                <w:lang w:val="en-US" w:eastAsia="zh-CN"/>
              </w:rPr>
              <w:t>保证金收款单位名称：莎车县</w:t>
            </w:r>
            <w:r>
              <w:rPr>
                <w:rFonts w:hint="eastAsia" w:cs="仿宋"/>
                <w:spacing w:val="-1"/>
                <w:position w:val="17"/>
                <w:sz w:val="24"/>
                <w:szCs w:val="24"/>
                <w:lang w:val="en-US" w:eastAsia="zh-CN"/>
              </w:rPr>
              <w:t>教育</w:t>
            </w:r>
            <w:r>
              <w:rPr>
                <w:rFonts w:hint="default" w:cs="仿宋"/>
                <w:spacing w:val="-1"/>
                <w:position w:val="17"/>
                <w:sz w:val="24"/>
                <w:szCs w:val="24"/>
                <w:lang w:val="en-US" w:eastAsia="zh-CN"/>
              </w:rPr>
              <w:t>局</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default" w:cs="仿宋"/>
                <w:spacing w:val="-1"/>
                <w:position w:val="17"/>
                <w:sz w:val="24"/>
                <w:szCs w:val="24"/>
                <w:lang w:val="en-US" w:eastAsia="zh-CN"/>
              </w:rPr>
            </w:pPr>
            <w:r>
              <w:rPr>
                <w:rFonts w:hint="default" w:cs="仿宋"/>
                <w:spacing w:val="-1"/>
                <w:position w:val="17"/>
                <w:sz w:val="24"/>
                <w:szCs w:val="24"/>
                <w:lang w:val="en-US" w:eastAsia="zh-CN"/>
              </w:rPr>
              <w:t>保证金收款人：莎车县</w:t>
            </w:r>
            <w:r>
              <w:rPr>
                <w:rFonts w:hint="eastAsia" w:cs="仿宋"/>
                <w:spacing w:val="-1"/>
                <w:position w:val="17"/>
                <w:sz w:val="24"/>
                <w:szCs w:val="24"/>
                <w:lang w:val="en-US" w:eastAsia="zh-CN"/>
              </w:rPr>
              <w:t>教育</w:t>
            </w:r>
            <w:r>
              <w:rPr>
                <w:rFonts w:hint="default" w:cs="仿宋"/>
                <w:spacing w:val="-1"/>
                <w:position w:val="17"/>
                <w:sz w:val="24"/>
                <w:szCs w:val="24"/>
                <w:lang w:val="en-US" w:eastAsia="zh-CN"/>
              </w:rPr>
              <w:t>局</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default" w:cs="仿宋"/>
                <w:spacing w:val="-1"/>
                <w:position w:val="17"/>
                <w:sz w:val="24"/>
                <w:szCs w:val="24"/>
                <w:lang w:val="en-US" w:eastAsia="zh-CN"/>
              </w:rPr>
            </w:pPr>
            <w:r>
              <w:rPr>
                <w:rFonts w:hint="default" w:cs="仿宋"/>
                <w:spacing w:val="-1"/>
                <w:position w:val="17"/>
                <w:sz w:val="24"/>
                <w:szCs w:val="24"/>
                <w:lang w:val="en-US" w:eastAsia="zh-CN"/>
              </w:rPr>
              <w:t>账户名：莎车县</w:t>
            </w:r>
            <w:r>
              <w:rPr>
                <w:rFonts w:hint="eastAsia" w:cs="仿宋"/>
                <w:spacing w:val="-1"/>
                <w:position w:val="17"/>
                <w:sz w:val="24"/>
                <w:szCs w:val="24"/>
                <w:lang w:val="en-US" w:eastAsia="zh-CN"/>
              </w:rPr>
              <w:t>教育</w:t>
            </w:r>
            <w:r>
              <w:rPr>
                <w:rFonts w:hint="default" w:cs="仿宋"/>
                <w:spacing w:val="-1"/>
                <w:position w:val="17"/>
                <w:sz w:val="24"/>
                <w:szCs w:val="24"/>
                <w:lang w:val="en-US" w:eastAsia="zh-CN"/>
              </w:rPr>
              <w:t>局</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eastAsia" w:cs="仿宋"/>
                <w:spacing w:val="-1"/>
                <w:position w:val="17"/>
                <w:sz w:val="24"/>
                <w:szCs w:val="24"/>
                <w:lang w:val="en-US" w:eastAsia="zh-CN"/>
              </w:rPr>
            </w:pPr>
            <w:r>
              <w:rPr>
                <w:rFonts w:hint="default" w:cs="仿宋"/>
                <w:spacing w:val="-1"/>
                <w:position w:val="17"/>
                <w:sz w:val="24"/>
                <w:szCs w:val="24"/>
                <w:lang w:val="en-US" w:eastAsia="zh-CN"/>
              </w:rPr>
              <w:t>开户账号：</w:t>
            </w:r>
            <w:r>
              <w:rPr>
                <w:rFonts w:hint="eastAsia" w:cs="仿宋"/>
                <w:spacing w:val="-1"/>
                <w:position w:val="17"/>
                <w:sz w:val="24"/>
                <w:szCs w:val="24"/>
                <w:lang w:val="en-US" w:eastAsia="zh-CN"/>
              </w:rPr>
              <w:t>3012372029200084286—000000101</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eastAsia" w:cs="仿宋"/>
                <w:spacing w:val="-1"/>
                <w:position w:val="17"/>
                <w:sz w:val="24"/>
                <w:szCs w:val="24"/>
                <w:lang w:val="en-US" w:eastAsia="zh-CN"/>
              </w:rPr>
            </w:pPr>
            <w:r>
              <w:rPr>
                <w:rFonts w:hint="default" w:cs="仿宋"/>
                <w:spacing w:val="-1"/>
                <w:position w:val="17"/>
                <w:sz w:val="24"/>
                <w:szCs w:val="24"/>
                <w:lang w:val="en-US" w:eastAsia="zh-CN"/>
              </w:rPr>
              <w:t>开 户 行：</w:t>
            </w:r>
            <w:r>
              <w:rPr>
                <w:rFonts w:hint="eastAsia" w:cs="仿宋"/>
                <w:spacing w:val="-1"/>
                <w:position w:val="17"/>
                <w:sz w:val="24"/>
                <w:szCs w:val="24"/>
                <w:lang w:val="en-US" w:eastAsia="zh-CN"/>
              </w:rPr>
              <w:t>中国工商银行股份有限公司莎车支行</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eastAsia" w:cs="仿宋"/>
                <w:spacing w:val="-1"/>
                <w:position w:val="17"/>
                <w:sz w:val="24"/>
                <w:szCs w:val="24"/>
                <w:lang w:val="en-US" w:eastAsia="zh-CN"/>
              </w:rPr>
            </w:pPr>
            <w:r>
              <w:rPr>
                <w:rFonts w:hint="default" w:cs="仿宋"/>
                <w:spacing w:val="-1"/>
                <w:position w:val="17"/>
                <w:sz w:val="24"/>
                <w:szCs w:val="24"/>
                <w:lang w:val="en-US" w:eastAsia="zh-CN"/>
              </w:rPr>
              <w:t>行    号：</w:t>
            </w:r>
            <w:r>
              <w:rPr>
                <w:rFonts w:hint="eastAsia" w:cs="仿宋"/>
                <w:spacing w:val="-1"/>
                <w:position w:val="17"/>
                <w:sz w:val="24"/>
                <w:szCs w:val="24"/>
                <w:lang w:val="en-US" w:eastAsia="zh-CN"/>
              </w:rPr>
              <w:t>102894600014</w:t>
            </w:r>
          </w:p>
          <w:p>
            <w:pPr>
              <w:pStyle w:val="30"/>
              <w:keepNext w:val="0"/>
              <w:keepLines w:val="0"/>
              <w:pageBreakBefore w:val="0"/>
              <w:widowControl/>
              <w:kinsoku w:val="0"/>
              <w:wordWrap/>
              <w:overflowPunct/>
              <w:topLinePunct w:val="0"/>
              <w:autoSpaceDE w:val="0"/>
              <w:autoSpaceDN w:val="0"/>
              <w:bidi w:val="0"/>
              <w:adjustRightInd w:val="0"/>
              <w:snapToGrid w:val="0"/>
              <w:spacing w:before="177" w:line="440" w:lineRule="exact"/>
              <w:ind w:left="28"/>
              <w:textAlignment w:val="baseline"/>
              <w:rPr>
                <w:rFonts w:hint="default" w:cs="仿宋"/>
                <w:spacing w:val="-1"/>
                <w:position w:val="17"/>
                <w:sz w:val="24"/>
                <w:szCs w:val="24"/>
                <w:lang w:val="en-US" w:eastAsia="zh-CN"/>
              </w:rPr>
            </w:pPr>
            <w:r>
              <w:rPr>
                <w:rFonts w:hint="default" w:cs="仿宋"/>
                <w:spacing w:val="-1"/>
                <w:position w:val="17"/>
                <w:sz w:val="24"/>
                <w:szCs w:val="24"/>
                <w:lang w:val="en-US" w:eastAsia="zh-CN"/>
              </w:rPr>
              <w:t>注：根据新财购〔2023〕25号《关于在政府采购活动中进一步推动开展信用担保工作的通知》相关要求，结合采购单位实际情况，该项目鼓励所有投标商使用电子保函的方式缴纳投标保证金，如有疑问请联系采购单位工作人员，联系电话：</w:t>
            </w:r>
            <w:r>
              <w:rPr>
                <w:rFonts w:hint="eastAsia" w:cs="仿宋"/>
                <w:spacing w:val="-1"/>
                <w:position w:val="17"/>
                <w:sz w:val="24"/>
                <w:szCs w:val="24"/>
                <w:lang w:val="en-US" w:eastAsia="zh-CN"/>
              </w:rPr>
              <w:t>18699857582</w:t>
            </w:r>
            <w:r>
              <w:rPr>
                <w:rFonts w:hint="default" w:cs="仿宋"/>
                <w:spacing w:val="-1"/>
                <w:position w:val="17"/>
                <w:sz w:val="24"/>
                <w:szCs w:val="24"/>
                <w:lang w:val="en-US" w:eastAsia="zh-CN"/>
              </w:rPr>
              <w:t>（</w:t>
            </w:r>
            <w:r>
              <w:rPr>
                <w:rFonts w:hint="eastAsia" w:cs="仿宋"/>
                <w:spacing w:val="-1"/>
                <w:position w:val="17"/>
                <w:sz w:val="24"/>
                <w:szCs w:val="24"/>
                <w:lang w:val="en-US" w:eastAsia="zh-CN"/>
              </w:rPr>
              <w:t>闫茂义</w:t>
            </w:r>
            <w:r>
              <w:rPr>
                <w:rFonts w:hint="default" w:cs="仿宋"/>
                <w:spacing w:val="-1"/>
                <w:position w:val="17"/>
                <w:sz w:val="24"/>
                <w:szCs w:val="24"/>
                <w:lang w:val="en-US" w:eastAsia="zh-CN"/>
              </w:rPr>
              <w:t>老师）</w:t>
            </w:r>
          </w:p>
          <w:p>
            <w:pPr>
              <w:pStyle w:val="30"/>
              <w:spacing w:before="177" w:line="360" w:lineRule="auto"/>
              <w:ind w:left="34" w:firstLine="2"/>
              <w:rPr>
                <w:rFonts w:hint="eastAsia" w:ascii="仿宋" w:hAnsi="仿宋" w:eastAsia="仿宋" w:cs="仿宋"/>
                <w:sz w:val="24"/>
                <w:szCs w:val="24"/>
              </w:rPr>
            </w:pPr>
            <w:r>
              <w:rPr>
                <w:rFonts w:hint="eastAsia" w:ascii="仿宋" w:hAnsi="仿宋" w:eastAsia="仿宋" w:cs="仿宋"/>
                <w:b/>
                <w:bCs/>
                <w:spacing w:val="5"/>
                <w:sz w:val="24"/>
                <w:szCs w:val="24"/>
              </w:rPr>
              <w:t>1.打款时必须注明投标保证金项目名称或项目编号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pPr>
              <w:pStyle w:val="30"/>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pPr>
              <w:pStyle w:val="30"/>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pPr>
              <w:pStyle w:val="30"/>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pPr>
              <w:pStyle w:val="30"/>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pPr>
              <w:pStyle w:val="30"/>
              <w:spacing w:before="22" w:line="360" w:lineRule="auto"/>
              <w:ind w:left="28" w:right="16" w:hanging="8"/>
              <w:jc w:val="both"/>
              <w:rPr>
                <w:rFonts w:hint="eastAsia" w:ascii="仿宋" w:hAnsi="仿宋" w:eastAsia="仿宋" w:cs="仿宋"/>
                <w:spacing w:val="8"/>
                <w:sz w:val="24"/>
                <w:szCs w:val="24"/>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6950" w:type="dxa"/>
            <w:tcBorders>
              <w:right w:val="single" w:color="000000" w:sz="10" w:space="0"/>
            </w:tcBorders>
            <w:vAlign w:val="top"/>
          </w:tcPr>
          <w:p>
            <w:pPr>
              <w:pStyle w:val="30"/>
              <w:spacing w:before="50" w:line="222" w:lineRule="auto"/>
              <w:ind w:left="29"/>
              <w:rPr>
                <w:rFonts w:hint="eastAsia" w:ascii="仿宋" w:hAnsi="仿宋" w:eastAsia="仿宋" w:cs="仿宋"/>
                <w:sz w:val="24"/>
                <w:szCs w:val="24"/>
              </w:rPr>
            </w:pPr>
            <w:r>
              <w:rPr>
                <w:rFonts w:hint="eastAsia" w:ascii="仿宋" w:hAnsi="仿宋" w:eastAsia="仿宋" w:cs="仿宋"/>
                <w:spacing w:val="-6"/>
                <w:sz w:val="24"/>
                <w:szCs w:val="24"/>
              </w:rPr>
              <w:t>投标有效期：</w:t>
            </w:r>
            <w:r>
              <w:rPr>
                <w:rFonts w:hint="eastAsia" w:ascii="仿宋" w:hAnsi="仿宋" w:eastAsia="仿宋" w:cs="仿宋"/>
                <w:spacing w:val="-6"/>
                <w:sz w:val="24"/>
                <w:szCs w:val="24"/>
                <w:u w:val="single" w:color="auto"/>
              </w:rPr>
              <w:t xml:space="preserve">    </w:t>
            </w:r>
            <w:r>
              <w:rPr>
                <w:rFonts w:hint="eastAsia" w:cs="仿宋"/>
                <w:spacing w:val="-6"/>
                <w:sz w:val="24"/>
                <w:szCs w:val="24"/>
                <w:u w:val="single" w:color="auto"/>
                <w:lang w:val="en-US" w:eastAsia="zh-CN"/>
              </w:rPr>
              <w:t>9</w:t>
            </w:r>
            <w:r>
              <w:rPr>
                <w:rFonts w:hint="eastAsia" w:ascii="仿宋" w:hAnsi="仿宋" w:eastAsia="仿宋" w:cs="仿宋"/>
                <w:spacing w:val="-6"/>
                <w:sz w:val="24"/>
                <w:szCs w:val="24"/>
                <w:u w:val="single" w:color="auto"/>
              </w:rPr>
              <w:t>0</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6" w:hRule="atLeast"/>
        </w:trPr>
        <w:tc>
          <w:tcPr>
            <w:tcW w:w="1478" w:type="dxa"/>
            <w:tcBorders>
              <w:left w:val="single" w:color="000000" w:sz="10" w:space="0"/>
            </w:tcBorders>
            <w:vAlign w:val="top"/>
          </w:tcPr>
          <w:p>
            <w:pPr>
              <w:spacing w:line="261" w:lineRule="auto"/>
              <w:rPr>
                <w:rFonts w:hint="eastAsia" w:ascii="仿宋" w:hAnsi="仿宋" w:eastAsia="仿宋" w:cs="仿宋"/>
                <w:sz w:val="24"/>
                <w:szCs w:val="24"/>
              </w:rPr>
            </w:pPr>
          </w:p>
          <w:p>
            <w:pPr>
              <w:spacing w:line="261" w:lineRule="auto"/>
              <w:rPr>
                <w:rFonts w:hint="eastAsia" w:ascii="仿宋" w:hAnsi="仿宋" w:eastAsia="仿宋" w:cs="仿宋"/>
                <w:sz w:val="24"/>
                <w:szCs w:val="24"/>
              </w:rPr>
            </w:pPr>
          </w:p>
          <w:p>
            <w:pPr>
              <w:spacing w:line="261" w:lineRule="auto"/>
              <w:rPr>
                <w:rFonts w:hint="eastAsia" w:ascii="仿宋" w:hAnsi="仿宋" w:eastAsia="仿宋" w:cs="仿宋"/>
                <w:sz w:val="24"/>
                <w:szCs w:val="24"/>
              </w:rPr>
            </w:pPr>
          </w:p>
          <w:p>
            <w:pPr>
              <w:spacing w:line="261"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6950" w:type="dxa"/>
            <w:tcBorders>
              <w:right w:val="single" w:color="000000" w:sz="10" w:space="0"/>
            </w:tcBorders>
            <w:vAlign w:val="top"/>
          </w:tcPr>
          <w:p>
            <w:pPr>
              <w:pStyle w:val="30"/>
              <w:numPr>
                <w:ilvl w:val="0"/>
                <w:numId w:val="10"/>
              </w:numPr>
              <w:spacing w:before="51" w:line="360" w:lineRule="auto"/>
              <w:ind w:left="23" w:right="15" w:firstLine="12"/>
              <w:rPr>
                <w:rFonts w:hint="eastAsia" w:ascii="仿宋" w:hAnsi="仿宋" w:eastAsia="仿宋" w:cs="仿宋"/>
                <w:sz w:val="24"/>
                <w:szCs w:val="24"/>
              </w:rPr>
            </w:pPr>
            <w:r>
              <w:rPr>
                <w:rFonts w:hint="eastAsia" w:ascii="仿宋" w:hAnsi="仿宋" w:eastAsia="仿宋" w:cs="仿宋"/>
                <w:spacing w:val="7"/>
                <w:sz w:val="24"/>
                <w:szCs w:val="24"/>
              </w:rPr>
              <w:t>本项目为电子招投标，供应商需要使用</w:t>
            </w:r>
            <w:r>
              <w:rPr>
                <w:rFonts w:hint="eastAsia" w:ascii="仿宋" w:hAnsi="仿宋" w:eastAsia="仿宋" w:cs="仿宋"/>
                <w:spacing w:val="-3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加密设备，凡参加本项目必须</w:t>
            </w:r>
            <w:r>
              <w:rPr>
                <w:rFonts w:hint="eastAsia" w:ascii="仿宋" w:hAnsi="仿宋" w:eastAsia="仿宋" w:cs="仿宋"/>
                <w:spacing w:val="9"/>
                <w:sz w:val="24"/>
                <w:szCs w:val="24"/>
              </w:rPr>
              <w:t>可自主通过新疆</w:t>
            </w:r>
            <w:r>
              <w:rPr>
                <w:rFonts w:hint="eastAsia" w:ascii="仿宋" w:hAnsi="仿宋" w:eastAsia="仿宋" w:cs="仿宋"/>
                <w:spacing w:val="-25"/>
                <w:sz w:val="24"/>
                <w:szCs w:val="24"/>
              </w:rPr>
              <w:t xml:space="preserve"> </w:t>
            </w:r>
            <w:r>
              <w:rPr>
                <w:rFonts w:hint="eastAsia" w:ascii="仿宋" w:hAnsi="仿宋" w:eastAsia="仿宋" w:cs="仿宋"/>
                <w:sz w:val="24"/>
                <w:szCs w:val="24"/>
              </w:rPr>
              <w:t>CA</w:t>
            </w:r>
            <w:r>
              <w:rPr>
                <w:rFonts w:hint="eastAsia" w:ascii="仿宋" w:hAnsi="仿宋" w:eastAsia="仿宋" w:cs="仿宋"/>
                <w:spacing w:val="9"/>
                <w:sz w:val="24"/>
                <w:szCs w:val="24"/>
              </w:rPr>
              <w:t xml:space="preserve"> 申领渠道“新疆政务通</w:t>
            </w:r>
            <w:r>
              <w:rPr>
                <w:rFonts w:hint="eastAsia" w:ascii="仿宋" w:hAnsi="仿宋" w:eastAsia="仿宋" w:cs="仿宋"/>
                <w:spacing w:val="-6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9"/>
                <w:sz w:val="24"/>
                <w:szCs w:val="24"/>
              </w:rPr>
              <w:t>申请政采云平台可使用的</w:t>
            </w:r>
            <w:r>
              <w:rPr>
                <w:rFonts w:hint="eastAsia" w:ascii="仿宋" w:hAnsi="仿宋" w:eastAsia="仿宋" w:cs="仿宋"/>
                <w:spacing w:val="-37"/>
                <w:sz w:val="24"/>
                <w:szCs w:val="24"/>
              </w:rPr>
              <w:t xml:space="preserve"> </w:t>
            </w:r>
            <w:r>
              <w:rPr>
                <w:rFonts w:hint="eastAsia" w:ascii="仿宋" w:hAnsi="仿宋" w:eastAsia="仿宋" w:cs="仿宋"/>
                <w:sz w:val="24"/>
                <w:szCs w:val="24"/>
              </w:rPr>
              <w:t xml:space="preserve">CA </w:t>
            </w:r>
            <w:r>
              <w:rPr>
                <w:rFonts w:hint="eastAsia" w:ascii="仿宋" w:hAnsi="仿宋" w:eastAsia="仿宋" w:cs="仿宋"/>
                <w:spacing w:val="6"/>
                <w:sz w:val="24"/>
                <w:szCs w:val="24"/>
              </w:rPr>
              <w:t>设备，如原有兵团或公共资源使用的</w:t>
            </w:r>
            <w:r>
              <w:rPr>
                <w:rFonts w:hint="eastAsia" w:ascii="仿宋" w:hAnsi="仿宋" w:eastAsia="仿宋" w:cs="仿宋"/>
                <w:spacing w:val="-32"/>
                <w:sz w:val="24"/>
                <w:szCs w:val="24"/>
              </w:rPr>
              <w:t xml:space="preserve"> </w:t>
            </w:r>
            <w:r>
              <w:rPr>
                <w:rFonts w:hint="eastAsia" w:ascii="仿宋" w:hAnsi="仿宋" w:eastAsia="仿宋" w:cs="仿宋"/>
                <w:sz w:val="24"/>
                <w:szCs w:val="24"/>
              </w:rPr>
              <w:t>CA</w:t>
            </w:r>
            <w:r>
              <w:rPr>
                <w:rFonts w:hint="eastAsia" w:cs="仿宋"/>
                <w:sz w:val="24"/>
                <w:szCs w:val="24"/>
                <w:lang w:eastAsia="zh-CN"/>
              </w:rPr>
              <w:t>，</w:t>
            </w:r>
            <w:r>
              <w:rPr>
                <w:rFonts w:hint="eastAsia" w:ascii="仿宋" w:hAnsi="仿宋" w:eastAsia="仿宋" w:cs="仿宋"/>
                <w:spacing w:val="6"/>
                <w:sz w:val="24"/>
                <w:szCs w:val="24"/>
              </w:rPr>
              <w:t>可与新疆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联系，申请增加电子</w:t>
            </w:r>
            <w:r>
              <w:rPr>
                <w:rFonts w:hint="eastAsia" w:ascii="仿宋" w:hAnsi="仿宋" w:eastAsia="仿宋" w:cs="仿宋"/>
                <w:sz w:val="24"/>
                <w:szCs w:val="24"/>
              </w:rPr>
              <w:t>证书即可，无需重复申领。如需咨询，请联系新疆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z w:val="24"/>
                <w:szCs w:val="24"/>
              </w:rPr>
              <w:t>服</w:t>
            </w:r>
            <w:r>
              <w:rPr>
                <w:rFonts w:hint="eastAsia" w:ascii="仿宋" w:hAnsi="仿宋" w:eastAsia="仿宋" w:cs="仿宋"/>
                <w:spacing w:val="-1"/>
                <w:sz w:val="24"/>
                <w:szCs w:val="24"/>
              </w:rPr>
              <w:t>务热线</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0991-2819290</w:t>
            </w:r>
            <w:r>
              <w:rPr>
                <w:rFonts w:hint="eastAsia" w:ascii="仿宋" w:hAnsi="仿宋" w:eastAsia="仿宋" w:cs="仿宋"/>
                <w:sz w:val="24"/>
                <w:szCs w:val="24"/>
              </w:rPr>
              <w:t xml:space="preserve"> </w:t>
            </w:r>
          </w:p>
          <w:p>
            <w:pPr>
              <w:pStyle w:val="30"/>
              <w:numPr>
                <w:ilvl w:val="0"/>
                <w:numId w:val="0"/>
              </w:numPr>
              <w:spacing w:before="51" w:line="360" w:lineRule="auto"/>
              <w:ind w:left="35" w:leftChars="0" w:right="15" w:rightChars="0"/>
              <w:rPr>
                <w:rFonts w:hint="eastAsia" w:ascii="仿宋" w:hAnsi="仿宋" w:eastAsia="仿宋" w:cs="仿宋"/>
                <w:sz w:val="24"/>
                <w:szCs w:val="24"/>
              </w:rPr>
            </w:pPr>
            <w:r>
              <w:rPr>
                <w:rFonts w:hint="eastAsia" w:ascii="仿宋" w:hAnsi="仿宋" w:eastAsia="仿宋" w:cs="仿宋"/>
                <w:spacing w:val="11"/>
                <w:sz w:val="24"/>
                <w:szCs w:val="24"/>
              </w:rPr>
              <w:t>2.本项目实行网上投标，采用电子投标文件(供应</w:t>
            </w:r>
            <w:r>
              <w:rPr>
                <w:rFonts w:hint="eastAsia" w:ascii="仿宋" w:hAnsi="仿宋" w:eastAsia="仿宋" w:cs="仿宋"/>
                <w:spacing w:val="10"/>
                <w:sz w:val="24"/>
                <w:szCs w:val="24"/>
              </w:rPr>
              <w:t>商须使用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加密设备通</w:t>
            </w:r>
            <w:r>
              <w:rPr>
                <w:rFonts w:hint="eastAsia" w:ascii="仿宋" w:hAnsi="仿宋" w:eastAsia="仿宋" w:cs="仿宋"/>
                <w:spacing w:val="7"/>
                <w:sz w:val="24"/>
                <w:szCs w:val="24"/>
              </w:rPr>
              <w:t>过政采云电子投标客户端制作投标文件)。若供应商参与投标，</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自行承担投</w:t>
            </w:r>
            <w:r>
              <w:rPr>
                <w:rFonts w:hint="eastAsia" w:ascii="仿宋" w:hAnsi="仿宋" w:eastAsia="仿宋" w:cs="仿宋"/>
                <w:sz w:val="24"/>
                <w:szCs w:val="24"/>
              </w:rPr>
              <w:t xml:space="preserve"> </w:t>
            </w:r>
            <w:r>
              <w:rPr>
                <w:rFonts w:hint="eastAsia" w:ascii="仿宋" w:hAnsi="仿宋" w:eastAsia="仿宋" w:cs="仿宋"/>
                <w:spacing w:val="6"/>
                <w:sz w:val="24"/>
                <w:szCs w:val="24"/>
              </w:rPr>
              <w:t>标一切费用。</w:t>
            </w:r>
          </w:p>
          <w:p>
            <w:pPr>
              <w:pStyle w:val="30"/>
              <w:spacing w:before="21" w:line="360" w:lineRule="auto"/>
              <w:ind w:left="29" w:right="19" w:hanging="4"/>
              <w:rPr>
                <w:rFonts w:hint="eastAsia" w:ascii="仿宋" w:hAnsi="仿宋" w:eastAsia="仿宋" w:cs="仿宋"/>
                <w:sz w:val="24"/>
                <w:szCs w:val="24"/>
              </w:rPr>
            </w:pPr>
            <w:r>
              <w:rPr>
                <w:rFonts w:hint="eastAsia" w:ascii="仿宋" w:hAnsi="仿宋" w:eastAsia="仿宋" w:cs="仿宋"/>
                <w:spacing w:val="11"/>
                <w:sz w:val="24"/>
                <w:szCs w:val="24"/>
              </w:rPr>
              <w:t>3.各供应商应在开标前应确保成为新疆政府采购网正式注册入库供应商，</w:t>
            </w:r>
            <w:r>
              <w:rPr>
                <w:rFonts w:hint="eastAsia" w:ascii="仿宋" w:hAnsi="仿宋" w:eastAsia="仿宋" w:cs="仿宋"/>
                <w:spacing w:val="9"/>
                <w:sz w:val="24"/>
                <w:szCs w:val="24"/>
              </w:rPr>
              <w:t>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数字证书申领。</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因未注册入库、未办理</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数字证书等原因造成</w:t>
            </w:r>
            <w:r>
              <w:rPr>
                <w:rFonts w:hint="eastAsia" w:ascii="仿宋" w:hAnsi="仿宋" w:eastAsia="仿宋" w:cs="仿宋"/>
                <w:spacing w:val="8"/>
                <w:sz w:val="24"/>
                <w:szCs w:val="24"/>
              </w:rPr>
              <w:t>无法投标或投标失败等后果由供应商自行承担。</w:t>
            </w:r>
          </w:p>
          <w:p>
            <w:pPr>
              <w:pStyle w:val="30"/>
              <w:spacing w:before="24" w:line="360" w:lineRule="auto"/>
              <w:ind w:left="14" w:right="19" w:firstLine="5"/>
              <w:rPr>
                <w:rFonts w:hint="eastAsia" w:ascii="仿宋" w:hAnsi="仿宋" w:eastAsia="仿宋" w:cs="仿宋"/>
                <w:spacing w:val="11"/>
                <w:sz w:val="24"/>
                <w:szCs w:val="24"/>
              </w:rPr>
            </w:pPr>
            <w:r>
              <w:rPr>
                <w:rFonts w:hint="eastAsia" w:ascii="仿宋" w:hAnsi="仿宋" w:eastAsia="仿宋" w:cs="仿宋"/>
                <w:spacing w:val="11"/>
                <w:sz w:val="24"/>
                <w:szCs w:val="24"/>
              </w:rPr>
              <w:t>4.供应商将政采云电子交易客户端下载、安装完成后，可通过账号密码或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登录客户端进行投标文件制作。在使用政采云</w:t>
            </w:r>
            <w:r>
              <w:rPr>
                <w:rFonts w:hint="eastAsia" w:ascii="仿宋" w:hAnsi="仿宋" w:eastAsia="仿宋" w:cs="仿宋"/>
                <w:spacing w:val="9"/>
                <w:sz w:val="24"/>
                <w:szCs w:val="24"/>
              </w:rPr>
              <w:t>投标客户端时，建议使用</w:t>
            </w:r>
            <w:r>
              <w:rPr>
                <w:rFonts w:hint="eastAsia" w:ascii="仿宋" w:hAnsi="仿宋" w:eastAsia="仿宋" w:cs="仿宋"/>
                <w:sz w:val="24"/>
                <w:szCs w:val="24"/>
              </w:rPr>
              <w:t xml:space="preserve"> </w:t>
            </w:r>
            <w:r>
              <w:rPr>
                <w:rFonts w:hint="eastAsia" w:ascii="仿宋" w:hAnsi="仿宋" w:eastAsia="仿宋" w:cs="仿宋"/>
                <w:spacing w:val="-7"/>
                <w:sz w:val="24"/>
                <w:szCs w:val="24"/>
              </w:rPr>
              <w:t>WIN7及以上操作系统。客户端请至新</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疆政府采购网</w:t>
            </w:r>
            <w:r>
              <w:rPr>
                <w:rFonts w:hint="eastAsia" w:ascii="仿宋" w:hAnsi="仿宋" w:eastAsia="仿宋" w:cs="仿宋"/>
                <w:spacing w:val="14"/>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4"/>
                <w:sz w:val="24"/>
                <w:szCs w:val="24"/>
              </w:rPr>
              <w:t>://</w:t>
            </w:r>
            <w:r>
              <w:rPr>
                <w:rFonts w:hint="eastAsia" w:ascii="仿宋" w:hAnsi="仿宋" w:eastAsia="仿宋" w:cs="仿宋"/>
                <w:sz w:val="24"/>
                <w:szCs w:val="24"/>
              </w:rPr>
              <w:t>www</w:t>
            </w:r>
            <w:r>
              <w:rPr>
                <w:rFonts w:hint="eastAsia" w:ascii="仿宋" w:hAnsi="仿宋" w:eastAsia="仿宋" w:cs="仿宋"/>
                <w:spacing w:val="14"/>
                <w:sz w:val="24"/>
                <w:szCs w:val="24"/>
              </w:rPr>
              <w:t>.</w:t>
            </w:r>
            <w:r>
              <w:rPr>
                <w:rFonts w:hint="eastAsia" w:ascii="仿宋" w:hAnsi="仿宋" w:eastAsia="仿宋" w:cs="仿宋"/>
                <w:sz w:val="24"/>
                <w:szCs w:val="24"/>
              </w:rPr>
              <w:t>ccgp</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w:t>
            </w:r>
            <w:r>
              <w:rPr>
                <w:rFonts w:hint="eastAsia" w:ascii="仿宋" w:hAnsi="仿宋" w:eastAsia="仿宋" w:cs="仿宋"/>
                <w:sz w:val="24"/>
                <w:szCs w:val="24"/>
              </w:rPr>
              <w:t>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）下载专区查看，如有问题可拨打</w:t>
            </w:r>
            <w:r>
              <w:rPr>
                <w:rFonts w:hint="eastAsia" w:ascii="仿宋" w:hAnsi="仿宋" w:eastAsia="仿宋" w:cs="仿宋"/>
                <w:sz w:val="24"/>
                <w:szCs w:val="24"/>
              </w:rPr>
              <w:t xml:space="preserve"> </w:t>
            </w:r>
            <w:r>
              <w:rPr>
                <w:rFonts w:hint="eastAsia" w:ascii="仿宋" w:hAnsi="仿宋" w:eastAsia="仿宋" w:cs="仿宋"/>
                <w:spacing w:val="6"/>
                <w:sz w:val="24"/>
                <w:szCs w:val="24"/>
              </w:rPr>
              <w:t>政采云客户服务热线</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400-881-7190</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进行咨询。</w:t>
            </w:r>
          </w:p>
          <w:p>
            <w:pPr>
              <w:pStyle w:val="30"/>
              <w:spacing w:before="21" w:line="360" w:lineRule="auto"/>
              <w:ind w:left="27" w:right="16" w:hanging="2"/>
              <w:rPr>
                <w:rFonts w:hint="eastAsia" w:ascii="仿宋" w:hAnsi="仿宋" w:eastAsia="仿宋" w:cs="仿宋"/>
                <w:sz w:val="24"/>
                <w:szCs w:val="24"/>
              </w:rPr>
            </w:pPr>
            <w:r>
              <w:rPr>
                <w:rFonts w:hint="eastAsia" w:ascii="仿宋" w:hAnsi="仿宋" w:eastAsia="仿宋" w:cs="仿宋"/>
                <w:spacing w:val="8"/>
                <w:sz w:val="24"/>
                <w:szCs w:val="24"/>
              </w:rPr>
              <w:t>5.供应商在开标时须使用制作加密电子投标文</w:t>
            </w:r>
            <w:r>
              <w:rPr>
                <w:rFonts w:hint="eastAsia" w:ascii="仿宋" w:hAnsi="仿宋" w:eastAsia="仿宋" w:cs="仿宋"/>
                <w:spacing w:val="7"/>
                <w:sz w:val="24"/>
                <w:szCs w:val="24"/>
              </w:rPr>
              <w:t>件所使用的</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锁及电脑，电</w:t>
            </w:r>
            <w:r>
              <w:rPr>
                <w:rFonts w:hint="eastAsia" w:ascii="仿宋" w:hAnsi="仿宋" w:eastAsia="仿宋" w:cs="仿宋"/>
                <w:spacing w:val="8"/>
                <w:sz w:val="24"/>
                <w:szCs w:val="24"/>
              </w:rPr>
              <w:t>脑须提前配置好浏览器（建议使用</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360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浏览器或谷歌浏览器</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以便开标</w:t>
            </w:r>
            <w:r>
              <w:rPr>
                <w:rFonts w:hint="eastAsia" w:ascii="仿宋" w:hAnsi="仿宋" w:eastAsia="仿宋" w:cs="仿宋"/>
                <w:spacing w:val="3"/>
                <w:sz w:val="24"/>
                <w:szCs w:val="24"/>
              </w:rPr>
              <w:t>时解锁。</w:t>
            </w:r>
          </w:p>
          <w:p>
            <w:pPr>
              <w:pStyle w:val="30"/>
              <w:spacing w:before="23" w:line="360" w:lineRule="auto"/>
              <w:ind w:left="26" w:right="16" w:hanging="4"/>
              <w:rPr>
                <w:rFonts w:hint="eastAsia" w:ascii="仿宋" w:hAnsi="仿宋" w:eastAsia="仿宋" w:cs="仿宋"/>
                <w:sz w:val="24"/>
                <w:szCs w:val="24"/>
              </w:rPr>
            </w:pPr>
            <w:r>
              <w:rPr>
                <w:rFonts w:hint="eastAsia" w:ascii="仿宋" w:hAnsi="仿宋" w:eastAsia="仿宋" w:cs="仿宋"/>
                <w:spacing w:val="11"/>
                <w:sz w:val="24"/>
                <w:szCs w:val="24"/>
              </w:rPr>
              <w:t>6.投标保证金缴纳及确认时间：凡拟参加本次招标项目的供应商，必须在</w:t>
            </w:r>
            <w:r>
              <w:rPr>
                <w:rFonts w:hint="eastAsia" w:ascii="仿宋" w:hAnsi="仿宋" w:eastAsia="仿宋" w:cs="仿宋"/>
                <w:spacing w:val="9"/>
                <w:sz w:val="24"/>
                <w:szCs w:val="24"/>
              </w:rPr>
              <w:t>开标前将投标保证金汇入指定账户。否则，届时其投标将被拒绝。</w:t>
            </w:r>
          </w:p>
          <w:p>
            <w:pPr>
              <w:pStyle w:val="30"/>
              <w:spacing w:before="23" w:line="360" w:lineRule="auto"/>
              <w:ind w:left="18" w:right="15" w:firstLine="7"/>
              <w:rPr>
                <w:rFonts w:hint="eastAsia" w:ascii="仿宋" w:hAnsi="仿宋" w:eastAsia="仿宋" w:cs="仿宋"/>
                <w:sz w:val="24"/>
                <w:szCs w:val="24"/>
              </w:rPr>
            </w:pPr>
            <w:r>
              <w:rPr>
                <w:rFonts w:hint="eastAsia" w:ascii="仿宋" w:hAnsi="仿宋" w:eastAsia="仿宋" w:cs="仿宋"/>
                <w:spacing w:val="-7"/>
                <w:sz w:val="24"/>
                <w:szCs w:val="24"/>
              </w:rPr>
              <w:t>7. 供 应 商 对 不 见 面 开 评 标 系 统 的 技 术 操 作 咨 询 ， 可 通 过</w:t>
            </w:r>
            <w:r>
              <w:rPr>
                <w:rFonts w:hint="eastAsia" w:ascii="仿宋" w:hAnsi="仿宋" w:eastAsia="仿宋" w:cs="仿宋"/>
                <w:spacing w:val="7"/>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edu</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luban</w:t>
            </w:r>
            <w:r>
              <w:rPr>
                <w:rFonts w:hint="eastAsia" w:ascii="仿宋" w:hAnsi="仿宋" w:eastAsia="仿宋" w:cs="仿宋"/>
                <w:spacing w:val="8"/>
                <w:sz w:val="24"/>
                <w:szCs w:val="24"/>
              </w:rPr>
              <w:t>/</w:t>
            </w:r>
            <w:r>
              <w:rPr>
                <w:rFonts w:hint="eastAsia" w:ascii="仿宋" w:hAnsi="仿宋" w:eastAsia="仿宋" w:cs="仿宋"/>
                <w:sz w:val="24"/>
                <w:szCs w:val="24"/>
              </w:rPr>
              <w:t>xinjiang</w:t>
            </w:r>
            <w:r>
              <w:rPr>
                <w:rFonts w:hint="eastAsia" w:ascii="仿宋" w:hAnsi="仿宋" w:eastAsia="仿宋" w:cs="仿宋"/>
                <w:spacing w:val="8"/>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8"/>
                <w:sz w:val="24"/>
                <w:szCs w:val="24"/>
              </w:rPr>
              <w:t xml:space="preserve"> 自助查询，也可在政采</w:t>
            </w:r>
            <w:r>
              <w:rPr>
                <w:rFonts w:hint="eastAsia" w:ascii="仿宋" w:hAnsi="仿宋" w:eastAsia="仿宋" w:cs="仿宋"/>
                <w:spacing w:val="20"/>
                <w:sz w:val="24"/>
                <w:szCs w:val="24"/>
              </w:rPr>
              <w:t>云帮助中心常见问题解答和操作流程讲解视频中自助查询</w:t>
            </w:r>
            <w:r>
              <w:rPr>
                <w:rFonts w:hint="eastAsia" w:ascii="仿宋" w:hAnsi="仿宋" w:eastAsia="仿宋" w:cs="仿宋"/>
                <w:spacing w:val="-37"/>
                <w:sz w:val="24"/>
                <w:szCs w:val="24"/>
              </w:rPr>
              <w:t xml:space="preserve"> </w:t>
            </w:r>
            <w:r>
              <w:rPr>
                <w:rFonts w:hint="eastAsia" w:cs="仿宋"/>
                <w:spacing w:val="-37"/>
                <w:sz w:val="24"/>
                <w:szCs w:val="24"/>
                <w:lang w:eastAsia="zh-CN"/>
              </w:rPr>
              <w:t>，</w:t>
            </w:r>
            <w:r>
              <w:rPr>
                <w:rFonts w:hint="eastAsia" w:ascii="仿宋" w:hAnsi="仿宋" w:eastAsia="仿宋" w:cs="仿宋"/>
                <w:spacing w:val="20"/>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service</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10"/>
                <w:sz w:val="24"/>
                <w:szCs w:val="24"/>
              </w:rPr>
              <w:t>，“项目采购</w:t>
            </w:r>
            <w:r>
              <w:rPr>
                <w:rFonts w:hint="eastAsia" w:ascii="仿宋" w:hAnsi="仿宋" w:eastAsia="仿宋" w:cs="仿宋"/>
                <w:spacing w:val="-70"/>
                <w:sz w:val="24"/>
                <w:szCs w:val="24"/>
              </w:rPr>
              <w:t xml:space="preserve"> </w:t>
            </w:r>
            <w:r>
              <w:rPr>
                <w:rFonts w:hint="eastAsia" w:ascii="仿宋" w:hAnsi="仿宋" w:eastAsia="仿宋" w:cs="仿宋"/>
                <w:spacing w:val="10"/>
                <w:sz w:val="24"/>
                <w:szCs w:val="24"/>
              </w:rPr>
              <w:t>”—“操作流程-电子招</w:t>
            </w:r>
            <w:r>
              <w:rPr>
                <w:rFonts w:hint="eastAsia" w:ascii="仿宋" w:hAnsi="仿宋" w:eastAsia="仿宋" w:cs="仿宋"/>
                <w:sz w:val="24"/>
                <w:szCs w:val="24"/>
              </w:rPr>
              <w:t xml:space="preserve"> </w:t>
            </w:r>
            <w:r>
              <w:rPr>
                <w:rFonts w:hint="eastAsia" w:ascii="仿宋" w:hAnsi="仿宋" w:eastAsia="仿宋" w:cs="仿宋"/>
                <w:spacing w:val="7"/>
                <w:sz w:val="24"/>
                <w:szCs w:val="24"/>
              </w:rPr>
              <w:t>投标</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”—“政府采购项目电子交易管理操作指南</w:t>
            </w:r>
            <w:r>
              <w:rPr>
                <w:rFonts w:hint="eastAsia" w:ascii="仿宋" w:hAnsi="仿宋" w:eastAsia="仿宋" w:cs="仿宋"/>
                <w:spacing w:val="6"/>
                <w:sz w:val="24"/>
                <w:szCs w:val="24"/>
              </w:rPr>
              <w:t>-供应商</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”版面获取操作指</w:t>
            </w:r>
            <w:r>
              <w:rPr>
                <w:rFonts w:hint="eastAsia" w:ascii="仿宋" w:hAnsi="仿宋" w:eastAsia="仿宋" w:cs="仿宋"/>
                <w:sz w:val="24"/>
                <w:szCs w:val="24"/>
              </w:rPr>
              <w:t xml:space="preserve"> </w:t>
            </w:r>
            <w:r>
              <w:rPr>
                <w:rFonts w:hint="eastAsia" w:ascii="仿宋" w:hAnsi="仿宋" w:eastAsia="仿宋" w:cs="仿宋"/>
                <w:spacing w:val="10"/>
                <w:sz w:val="24"/>
                <w:szCs w:val="24"/>
              </w:rPr>
              <w:t>南，</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同时对自助查询无法解决的问题可通过钉钉群及政采云在线客服获取</w:t>
            </w:r>
            <w:r>
              <w:rPr>
                <w:rFonts w:hint="eastAsia" w:ascii="仿宋" w:hAnsi="仿宋" w:eastAsia="仿宋" w:cs="仿宋"/>
                <w:sz w:val="24"/>
                <w:szCs w:val="24"/>
              </w:rPr>
              <w:t xml:space="preserve"> </w:t>
            </w:r>
            <w:r>
              <w:rPr>
                <w:rFonts w:hint="eastAsia" w:ascii="仿宋" w:hAnsi="仿宋" w:eastAsia="仿宋" w:cs="仿宋"/>
                <w:spacing w:val="5"/>
                <w:sz w:val="24"/>
                <w:szCs w:val="24"/>
              </w:rPr>
              <w:t>服务支持。供应商钉钉群号：政采云新疆网超供应商服务二十群：355</w:t>
            </w:r>
            <w:r>
              <w:rPr>
                <w:rFonts w:hint="eastAsia" w:ascii="仿宋" w:hAnsi="仿宋" w:eastAsia="仿宋" w:cs="仿宋"/>
                <w:spacing w:val="4"/>
                <w:sz w:val="24"/>
                <w:szCs w:val="24"/>
              </w:rPr>
              <w:t>47618</w:t>
            </w:r>
            <w:r>
              <w:rPr>
                <w:rFonts w:hint="eastAsia" w:ascii="仿宋" w:hAnsi="仿宋" w:eastAsia="仿宋" w:cs="仿宋"/>
                <w:sz w:val="24"/>
                <w:szCs w:val="24"/>
              </w:rPr>
              <w:t xml:space="preserve"> </w:t>
            </w:r>
            <w:r>
              <w:rPr>
                <w:rFonts w:hint="eastAsia" w:ascii="仿宋" w:hAnsi="仿宋" w:eastAsia="仿宋" w:cs="仿宋"/>
                <w:spacing w:val="7"/>
                <w:sz w:val="24"/>
                <w:szCs w:val="24"/>
              </w:rPr>
              <w:t>（如已加入</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1-19</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群，无需重复加入），钉钉工具软件具</w:t>
            </w:r>
            <w:r>
              <w:rPr>
                <w:rFonts w:hint="eastAsia" w:ascii="仿宋" w:hAnsi="仿宋" w:eastAsia="仿宋" w:cs="仿宋"/>
                <w:spacing w:val="6"/>
                <w:sz w:val="24"/>
                <w:szCs w:val="24"/>
              </w:rPr>
              <w:t>有回放功能，直播</w:t>
            </w:r>
            <w:r>
              <w:rPr>
                <w:rFonts w:hint="eastAsia" w:ascii="仿宋" w:hAnsi="仿宋" w:eastAsia="仿宋" w:cs="仿宋"/>
                <w:sz w:val="24"/>
                <w:szCs w:val="24"/>
              </w:rPr>
              <w:t xml:space="preserve"> </w:t>
            </w:r>
            <w:r>
              <w:rPr>
                <w:rFonts w:hint="eastAsia" w:ascii="仿宋" w:hAnsi="仿宋" w:eastAsia="仿宋" w:cs="仿宋"/>
                <w:spacing w:val="9"/>
                <w:sz w:val="24"/>
                <w:szCs w:val="24"/>
              </w:rPr>
              <w:t>培训结束后可在钉钉群中回放观看学习。</w:t>
            </w:r>
          </w:p>
          <w:p>
            <w:pPr>
              <w:pStyle w:val="30"/>
              <w:spacing w:before="26" w:line="360" w:lineRule="auto"/>
              <w:ind w:left="27" w:right="16" w:hanging="5"/>
              <w:rPr>
                <w:rFonts w:hint="eastAsia" w:ascii="仿宋" w:hAnsi="仿宋" w:eastAsia="仿宋" w:cs="仿宋"/>
                <w:sz w:val="24"/>
                <w:szCs w:val="24"/>
              </w:rPr>
            </w:pPr>
            <w:r>
              <w:rPr>
                <w:rFonts w:hint="eastAsia" w:ascii="仿宋" w:hAnsi="仿宋" w:eastAsia="仿宋" w:cs="仿宋"/>
                <w:spacing w:val="11"/>
                <w:sz w:val="24"/>
                <w:szCs w:val="24"/>
              </w:rPr>
              <w:t>8.各供应商须在投标截止时间前完成在系统上递交电子投标文件。投标供</w:t>
            </w:r>
            <w:r>
              <w:rPr>
                <w:rFonts w:hint="eastAsia" w:ascii="仿宋" w:hAnsi="仿宋" w:eastAsia="仿宋" w:cs="仿宋"/>
                <w:spacing w:val="8"/>
                <w:sz w:val="24"/>
                <w:szCs w:val="24"/>
              </w:rPr>
              <w:t>应商的电子投标文件是经过</w:t>
            </w:r>
            <w:r>
              <w:rPr>
                <w:rFonts w:hint="eastAsia" w:ascii="仿宋" w:hAnsi="仿宋" w:eastAsia="仿宋" w:cs="仿宋"/>
                <w:spacing w:val="-42"/>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证书加密后上传提交的，任何单</w:t>
            </w:r>
            <w:r>
              <w:rPr>
                <w:rFonts w:hint="eastAsia" w:ascii="仿宋" w:hAnsi="仿宋" w:eastAsia="仿宋" w:cs="仿宋"/>
                <w:spacing w:val="7"/>
                <w:sz w:val="24"/>
                <w:szCs w:val="24"/>
              </w:rPr>
              <w:t>位或个人均</w:t>
            </w:r>
            <w:r>
              <w:rPr>
                <w:rFonts w:hint="eastAsia" w:ascii="仿宋" w:hAnsi="仿宋" w:eastAsia="仿宋" w:cs="仿宋"/>
                <w:spacing w:val="5"/>
                <w:sz w:val="24"/>
                <w:szCs w:val="24"/>
              </w:rPr>
              <w:t>无法在投标截止时间(即开标时间)之前查看或篡改，不存在泄密风险。（严</w:t>
            </w:r>
            <w:r>
              <w:rPr>
                <w:rFonts w:hint="eastAsia" w:ascii="仿宋" w:hAnsi="仿宋" w:eastAsia="仿宋" w:cs="仿宋"/>
                <w:spacing w:val="9"/>
                <w:sz w:val="24"/>
                <w:szCs w:val="24"/>
              </w:rPr>
              <w:t>格按照政采云电子投标流程制作并上传电子投标文</w:t>
            </w:r>
            <w:r>
              <w:rPr>
                <w:rFonts w:hint="eastAsia" w:ascii="仿宋" w:hAnsi="仿宋" w:eastAsia="仿宋" w:cs="仿宋"/>
                <w:spacing w:val="8"/>
                <w:sz w:val="24"/>
                <w:szCs w:val="24"/>
              </w:rPr>
              <w:t>件）</w:t>
            </w:r>
          </w:p>
          <w:p>
            <w:pPr>
              <w:pStyle w:val="30"/>
              <w:spacing w:before="26" w:line="360" w:lineRule="auto"/>
              <w:ind w:left="27" w:right="17" w:hanging="5"/>
              <w:rPr>
                <w:rFonts w:hint="eastAsia" w:ascii="仿宋" w:hAnsi="仿宋" w:eastAsia="仿宋" w:cs="仿宋"/>
                <w:sz w:val="24"/>
                <w:szCs w:val="24"/>
              </w:rPr>
            </w:pPr>
            <w:r>
              <w:rPr>
                <w:rFonts w:hint="eastAsia" w:ascii="仿宋" w:hAnsi="仿宋" w:eastAsia="仿宋" w:cs="仿宋"/>
                <w:spacing w:val="10"/>
                <w:sz w:val="24"/>
                <w:szCs w:val="24"/>
              </w:rPr>
              <w:t>9.各供应商在投标截止时间前将“投标文件</w:t>
            </w:r>
            <w:r>
              <w:rPr>
                <w:rFonts w:hint="eastAsia" w:ascii="仿宋" w:hAnsi="仿宋" w:eastAsia="仿宋" w:cs="仿宋"/>
                <w:spacing w:val="-57"/>
                <w:sz w:val="24"/>
                <w:szCs w:val="24"/>
              </w:rPr>
              <w:t xml:space="preserve"> </w:t>
            </w:r>
            <w:r>
              <w:rPr>
                <w:rFonts w:hint="eastAsia" w:ascii="仿宋" w:hAnsi="仿宋" w:eastAsia="仿宋" w:cs="仿宋"/>
                <w:spacing w:val="10"/>
                <w:sz w:val="24"/>
                <w:szCs w:val="24"/>
              </w:rPr>
              <w:t>”上传至政采云平台。投标文</w:t>
            </w:r>
            <w:r>
              <w:rPr>
                <w:rFonts w:hint="eastAsia" w:ascii="仿宋" w:hAnsi="仿宋" w:eastAsia="仿宋" w:cs="仿宋"/>
                <w:spacing w:val="9"/>
                <w:sz w:val="24"/>
                <w:szCs w:val="24"/>
              </w:rPr>
              <w:t>件包括“开标一览表及资格证明文件</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”与“</w:t>
            </w:r>
            <w:r>
              <w:rPr>
                <w:rFonts w:hint="eastAsia" w:ascii="仿宋" w:hAnsi="仿宋" w:eastAsia="仿宋" w:cs="仿宋"/>
                <w:spacing w:val="-76"/>
                <w:sz w:val="24"/>
                <w:szCs w:val="24"/>
              </w:rPr>
              <w:t xml:space="preserve"> </w:t>
            </w:r>
            <w:r>
              <w:rPr>
                <w:rFonts w:hint="eastAsia" w:ascii="仿宋" w:hAnsi="仿宋" w:eastAsia="仿宋" w:cs="仿宋"/>
                <w:spacing w:val="9"/>
                <w:sz w:val="24"/>
                <w:szCs w:val="24"/>
              </w:rPr>
              <w:t>商务及技术文件</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”两</w:t>
            </w:r>
            <w:r>
              <w:rPr>
                <w:rFonts w:hint="eastAsia" w:ascii="仿宋" w:hAnsi="仿宋" w:eastAsia="仿宋" w:cs="仿宋"/>
                <w:spacing w:val="8"/>
                <w:sz w:val="24"/>
                <w:szCs w:val="24"/>
              </w:rPr>
              <w:t>部分合并</w:t>
            </w:r>
            <w:r>
              <w:rPr>
                <w:rFonts w:hint="eastAsia" w:ascii="仿宋" w:hAnsi="仿宋" w:eastAsia="仿宋" w:cs="仿宋"/>
                <w:spacing w:val="7"/>
                <w:sz w:val="24"/>
                <w:szCs w:val="24"/>
              </w:rPr>
              <w:t>成一册。投标文件应按照招标文件规定的格式填写、签署和</w:t>
            </w:r>
            <w:r>
              <w:rPr>
                <w:rFonts w:hint="eastAsia" w:ascii="仿宋" w:hAnsi="仿宋" w:eastAsia="仿宋" w:cs="仿宋"/>
                <w:spacing w:val="6"/>
                <w:sz w:val="24"/>
                <w:szCs w:val="24"/>
              </w:rPr>
              <w:t>盖章，并以</w:t>
            </w:r>
            <w:r>
              <w:rPr>
                <w:rFonts w:hint="eastAsia" w:ascii="仿宋" w:hAnsi="仿宋" w:eastAsia="仿宋" w:cs="仿宋"/>
                <w:spacing w:val="-43"/>
                <w:sz w:val="24"/>
                <w:szCs w:val="24"/>
              </w:rPr>
              <w:t xml:space="preserve"> </w:t>
            </w:r>
            <w:r>
              <w:rPr>
                <w:rFonts w:hint="eastAsia" w:ascii="仿宋" w:hAnsi="仿宋" w:eastAsia="仿宋" w:cs="仿宋"/>
                <w:sz w:val="24"/>
                <w:szCs w:val="24"/>
              </w:rPr>
              <w:t xml:space="preserve">PDF </w:t>
            </w:r>
            <w:r>
              <w:rPr>
                <w:rFonts w:hint="eastAsia" w:ascii="仿宋" w:hAnsi="仿宋" w:eastAsia="仿宋" w:cs="仿宋"/>
                <w:spacing w:val="8"/>
                <w:sz w:val="24"/>
                <w:szCs w:val="24"/>
              </w:rPr>
              <w:t>格式上传至政采云开评标平台（投标文件为正本扫描件）。</w:t>
            </w:r>
          </w:p>
          <w:p>
            <w:pPr>
              <w:pStyle w:val="30"/>
              <w:spacing w:before="22" w:line="360" w:lineRule="auto"/>
              <w:ind w:left="36"/>
              <w:rPr>
                <w:rFonts w:hint="eastAsia" w:ascii="仿宋" w:hAnsi="仿宋" w:eastAsia="仿宋" w:cs="仿宋"/>
                <w:sz w:val="24"/>
                <w:szCs w:val="24"/>
              </w:rPr>
            </w:pPr>
            <w:r>
              <w:rPr>
                <w:rFonts w:hint="eastAsia" w:ascii="仿宋" w:hAnsi="仿宋" w:eastAsia="仿宋" w:cs="仿宋"/>
                <w:spacing w:val="3"/>
                <w:sz w:val="24"/>
                <w:szCs w:val="24"/>
              </w:rPr>
              <w:t>10.解密时长为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pPr>
              <w:pStyle w:val="30"/>
              <w:spacing w:before="21" w:line="360" w:lineRule="auto"/>
              <w:ind w:left="36"/>
              <w:rPr>
                <w:rFonts w:hint="eastAsia" w:ascii="仿宋" w:hAnsi="仿宋" w:eastAsia="仿宋" w:cs="仿宋"/>
                <w:sz w:val="24"/>
                <w:szCs w:val="24"/>
              </w:rPr>
            </w:pPr>
            <w:r>
              <w:rPr>
                <w:rFonts w:hint="eastAsia" w:ascii="仿宋" w:hAnsi="仿宋" w:eastAsia="仿宋" w:cs="仿宋"/>
                <w:spacing w:val="8"/>
                <w:sz w:val="24"/>
                <w:szCs w:val="24"/>
              </w:rPr>
              <w:t>11.投标人须提供备份的投标文件，后缀为.</w:t>
            </w:r>
            <w:r>
              <w:rPr>
                <w:rFonts w:hint="eastAsia" w:ascii="仿宋" w:hAnsi="仿宋" w:eastAsia="仿宋" w:cs="仿宋"/>
                <w:sz w:val="24"/>
                <w:szCs w:val="24"/>
              </w:rPr>
              <w:t>bfbs</w:t>
            </w:r>
            <w:r>
              <w:rPr>
                <w:rFonts w:hint="eastAsia" w:ascii="仿宋" w:hAnsi="仿宋" w:eastAsia="仿宋" w:cs="仿宋"/>
                <w:spacing w:val="8"/>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pStyle w:val="30"/>
              <w:spacing w:before="86" w:line="180" w:lineRule="auto"/>
              <w:ind w:left="586"/>
              <w:rPr>
                <w:rFonts w:hint="eastAsia" w:ascii="仿宋" w:hAnsi="仿宋" w:eastAsia="仿宋" w:cs="仿宋"/>
              </w:rPr>
            </w:pPr>
            <w:r>
              <w:rPr>
                <w:rFonts w:hint="eastAsia" w:ascii="仿宋" w:hAnsi="仿宋" w:eastAsia="仿宋" w:cs="仿宋"/>
                <w:spacing w:val="-9"/>
              </w:rPr>
              <w:t>16</w:t>
            </w:r>
            <w:r>
              <w:rPr>
                <w:rFonts w:hint="eastAsia" w:ascii="仿宋" w:hAnsi="仿宋" w:eastAsia="仿宋" w:cs="仿宋"/>
                <w:spacing w:val="-25"/>
              </w:rPr>
              <w:t xml:space="preserve"> </w:t>
            </w:r>
            <w:r>
              <w:rPr>
                <w:rFonts w:hint="eastAsia" w:ascii="仿宋" w:hAnsi="仿宋" w:eastAsia="仿宋" w:cs="仿宋"/>
                <w:spacing w:val="-9"/>
              </w:rPr>
              <w:t>．1</w:t>
            </w:r>
          </w:p>
        </w:tc>
        <w:tc>
          <w:tcPr>
            <w:tcW w:w="6950" w:type="dxa"/>
            <w:tcBorders>
              <w:right w:val="single" w:color="000000" w:sz="10" w:space="0"/>
            </w:tcBorders>
            <w:vAlign w:val="top"/>
          </w:tcPr>
          <w:p>
            <w:pPr>
              <w:pStyle w:val="30"/>
              <w:spacing w:before="45" w:line="222" w:lineRule="auto"/>
              <w:ind w:left="29"/>
              <w:rPr>
                <w:rFonts w:hint="eastAsia" w:ascii="仿宋" w:hAnsi="仿宋" w:eastAsia="仿宋" w:cs="仿宋"/>
              </w:rPr>
            </w:pPr>
            <w:r>
              <w:rPr>
                <w:rFonts w:hint="eastAsia" w:ascii="仿宋" w:hAnsi="仿宋" w:eastAsia="仿宋" w:cs="仿宋"/>
                <w:b/>
                <w:bCs/>
                <w:color w:val="FF0000"/>
                <w:spacing w:val="-5"/>
              </w:rPr>
              <w:t>投标截止时间：202</w:t>
            </w:r>
            <w:r>
              <w:rPr>
                <w:rFonts w:hint="eastAsia" w:cs="仿宋"/>
                <w:b/>
                <w:bCs/>
                <w:color w:val="FF0000"/>
                <w:spacing w:val="-5"/>
                <w:lang w:val="en-US" w:eastAsia="zh-CN"/>
              </w:rPr>
              <w:t>5</w:t>
            </w:r>
            <w:r>
              <w:rPr>
                <w:rFonts w:hint="eastAsia" w:ascii="仿宋" w:hAnsi="仿宋" w:eastAsia="仿宋" w:cs="仿宋"/>
                <w:b/>
                <w:bCs/>
                <w:color w:val="FF0000"/>
                <w:spacing w:val="-5"/>
              </w:rPr>
              <w:t>年</w:t>
            </w:r>
            <w:r>
              <w:rPr>
                <w:rFonts w:hint="eastAsia" w:cs="仿宋"/>
                <w:b/>
                <w:bCs/>
                <w:color w:val="FF0000"/>
                <w:spacing w:val="-5"/>
                <w:lang w:val="en-US" w:eastAsia="zh-CN"/>
              </w:rPr>
              <w:t>7</w:t>
            </w:r>
            <w:r>
              <w:rPr>
                <w:rFonts w:hint="eastAsia" w:ascii="仿宋" w:hAnsi="仿宋" w:eastAsia="仿宋" w:cs="仿宋"/>
                <w:b/>
                <w:bCs/>
                <w:color w:val="FF0000"/>
                <w:spacing w:val="-5"/>
              </w:rPr>
              <w:t>月</w:t>
            </w:r>
            <w:r>
              <w:rPr>
                <w:rFonts w:hint="eastAsia" w:cs="仿宋"/>
                <w:b/>
                <w:bCs/>
                <w:color w:val="FF0000"/>
                <w:spacing w:val="-5"/>
                <w:lang w:val="en-US" w:eastAsia="zh-CN"/>
              </w:rPr>
              <w:t>28</w:t>
            </w:r>
            <w:r>
              <w:rPr>
                <w:rFonts w:hint="eastAsia" w:ascii="仿宋" w:hAnsi="仿宋" w:eastAsia="仿宋" w:cs="仿宋"/>
                <w:b/>
                <w:bCs/>
                <w:color w:val="FF0000"/>
                <w:spacing w:val="-5"/>
              </w:rPr>
              <w:t>日</w:t>
            </w:r>
            <w:r>
              <w:rPr>
                <w:rFonts w:hint="eastAsia" w:ascii="仿宋" w:hAnsi="仿宋" w:eastAsia="仿宋" w:cs="仿宋"/>
                <w:b/>
                <w:bCs/>
                <w:color w:val="FF0000"/>
                <w:spacing w:val="-32"/>
              </w:rPr>
              <w:t xml:space="preserve"> </w:t>
            </w:r>
            <w:r>
              <w:rPr>
                <w:rFonts w:hint="eastAsia" w:ascii="仿宋" w:hAnsi="仿宋" w:eastAsia="仿宋" w:cs="仿宋"/>
                <w:b/>
                <w:bCs/>
                <w:color w:val="FF0000"/>
                <w:spacing w:val="-5"/>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pPr>
              <w:spacing w:line="246" w:lineRule="auto"/>
              <w:rPr>
                <w:rFonts w:hint="eastAsia" w:ascii="仿宋" w:hAnsi="仿宋" w:eastAsia="仿宋" w:cs="仿宋"/>
                <w:sz w:val="21"/>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18.1</w:t>
            </w:r>
          </w:p>
        </w:tc>
        <w:tc>
          <w:tcPr>
            <w:tcW w:w="6950" w:type="dxa"/>
            <w:tcBorders>
              <w:right w:val="single" w:color="000000" w:sz="10" w:space="0"/>
            </w:tcBorders>
            <w:vAlign w:val="top"/>
          </w:tcPr>
          <w:p>
            <w:pPr>
              <w:pStyle w:val="30"/>
              <w:spacing w:before="45" w:line="222" w:lineRule="auto"/>
              <w:ind w:left="29"/>
              <w:rPr>
                <w:rFonts w:hint="eastAsia" w:cs="仿宋"/>
                <w:b/>
                <w:bCs/>
                <w:color w:val="FF0000"/>
                <w:spacing w:val="-5"/>
                <w:lang w:val="en-US" w:eastAsia="zh-CN"/>
              </w:rPr>
            </w:pPr>
            <w:r>
              <w:rPr>
                <w:rFonts w:hint="eastAsia" w:cs="仿宋"/>
                <w:b/>
                <w:bCs/>
                <w:color w:val="FF0000"/>
                <w:spacing w:val="-5"/>
                <w:lang w:val="en-US" w:eastAsia="zh-CN"/>
              </w:rPr>
              <w:t>开标时间：2025年7月28日 11:00</w:t>
            </w:r>
          </w:p>
          <w:p>
            <w:pPr>
              <w:pStyle w:val="30"/>
              <w:spacing w:before="176" w:line="221" w:lineRule="auto"/>
              <w:ind w:left="29"/>
              <w:rPr>
                <w:rFonts w:hint="eastAsia" w:ascii="仿宋" w:hAnsi="仿宋" w:eastAsia="仿宋" w:cs="仿宋"/>
              </w:rPr>
            </w:pPr>
            <w:r>
              <w:rPr>
                <w:rFonts w:hint="eastAsia" w:ascii="仿宋" w:hAnsi="仿宋" w:eastAsia="仿宋" w:cs="仿宋"/>
                <w:spacing w:val="-1"/>
              </w:rPr>
              <w:t>开标地点：政采云平台--不见面开标大厅</w:t>
            </w:r>
          </w:p>
          <w:p>
            <w:pPr>
              <w:pStyle w:val="30"/>
              <w:spacing w:before="180" w:line="215" w:lineRule="auto"/>
              <w:ind w:left="34"/>
              <w:rPr>
                <w:rFonts w:hint="eastAsia" w:ascii="仿宋" w:hAnsi="仿宋" w:eastAsia="仿宋" w:cs="仿宋"/>
              </w:rPr>
            </w:pP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"https://login.zcygov.cn/user-login/#/login" </w:instrText>
            </w:r>
            <w:r>
              <w:rPr>
                <w:rFonts w:hint="eastAsia" w:ascii="仿宋" w:hAnsi="仿宋" w:eastAsia="仿宋" w:cs="仿宋"/>
              </w:rPr>
              <w:fldChar w:fldCharType="separate"/>
            </w:r>
            <w:r>
              <w:rPr>
                <w:rFonts w:hint="eastAsia" w:ascii="仿宋" w:hAnsi="仿宋" w:eastAsia="仿宋" w:cs="仿宋"/>
              </w:rPr>
              <w:t>https://login.zcygov.</w:t>
            </w:r>
            <w:r>
              <w:rPr>
                <w:rFonts w:hint="eastAsia" w:ascii="仿宋" w:hAnsi="仿宋" w:eastAsia="仿宋" w:cs="仿宋"/>
                <w:spacing w:val="-1"/>
              </w:rPr>
              <w:t>cn/user-login/#/login</w:t>
            </w:r>
            <w:r>
              <w:rPr>
                <w:rFonts w:hint="eastAsia" w:ascii="仿宋" w:hAnsi="仿宋" w:eastAsia="仿宋" w:cs="仿宋"/>
                <w:spacing w:val="-1"/>
              </w:rPr>
              <w:fldChar w:fldCharType="end"/>
            </w:r>
            <w:r>
              <w:rPr>
                <w:rFonts w:hint="eastAsia" w:ascii="仿宋" w:hAnsi="仿宋" w:eastAsia="仿宋" w:cs="仿宋"/>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1478" w:type="dxa"/>
            <w:tcBorders>
              <w:left w:val="single" w:color="000000" w:sz="10" w:space="0"/>
            </w:tcBorders>
            <w:vAlign w:val="top"/>
          </w:tcPr>
          <w:p>
            <w:pPr>
              <w:pStyle w:val="30"/>
              <w:spacing w:before="109" w:line="223" w:lineRule="auto"/>
              <w:ind w:left="274"/>
              <w:rPr>
                <w:rFonts w:hint="eastAsia" w:cs="仿宋"/>
                <w:spacing w:val="-13"/>
                <w:lang w:val="en-US" w:eastAsia="zh-CN"/>
              </w:rPr>
            </w:pPr>
          </w:p>
          <w:p>
            <w:pPr>
              <w:pStyle w:val="30"/>
              <w:spacing w:before="109" w:line="223" w:lineRule="auto"/>
              <w:ind w:left="274"/>
              <w:rPr>
                <w:rFonts w:hint="eastAsia" w:cs="仿宋"/>
                <w:spacing w:val="-13"/>
                <w:lang w:val="en-US" w:eastAsia="zh-CN"/>
              </w:rPr>
            </w:pPr>
          </w:p>
          <w:p>
            <w:pPr>
              <w:pStyle w:val="30"/>
              <w:spacing w:before="109" w:line="223" w:lineRule="auto"/>
              <w:ind w:left="274"/>
              <w:rPr>
                <w:rFonts w:hint="eastAsia" w:ascii="仿宋" w:hAnsi="仿宋" w:eastAsia="仿宋" w:cs="仿宋"/>
              </w:rPr>
            </w:pPr>
            <w:r>
              <w:rPr>
                <w:rFonts w:hint="eastAsia" w:cs="仿宋"/>
                <w:spacing w:val="-13"/>
                <w:lang w:val="en-US" w:eastAsia="zh-CN"/>
              </w:rPr>
              <w:t>供货</w:t>
            </w:r>
            <w:r>
              <w:rPr>
                <w:rFonts w:hint="eastAsia" w:ascii="仿宋" w:hAnsi="仿宋" w:eastAsia="仿宋" w:cs="仿宋"/>
                <w:spacing w:val="-13"/>
              </w:rPr>
              <w:t>期</w:t>
            </w:r>
          </w:p>
        </w:tc>
        <w:tc>
          <w:tcPr>
            <w:tcW w:w="6950" w:type="dxa"/>
            <w:tcBorders>
              <w:right w:val="single" w:color="000000" w:sz="1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color w:val="0070C0"/>
                <w:lang w:val="en-US" w:eastAsia="zh-CN"/>
              </w:rPr>
            </w:pPr>
            <w:r>
              <w:rPr>
                <w:rFonts w:hint="default" w:ascii="仿宋" w:hAnsi="仿宋" w:eastAsia="仿宋" w:cs="仿宋"/>
                <w:b/>
                <w:bCs/>
                <w:snapToGrid w:val="0"/>
                <w:color w:val="0000FF"/>
                <w:spacing w:val="-2"/>
                <w:kern w:val="0"/>
                <w:position w:val="16"/>
                <w:sz w:val="24"/>
                <w:szCs w:val="24"/>
                <w:lang w:val="en-US" w:eastAsia="zh-CN" w:bidi="ar-SA"/>
              </w:rPr>
              <w:t>中标企业</w:t>
            </w:r>
            <w:r>
              <w:rPr>
                <w:rFonts w:hint="eastAsia" w:ascii="仿宋" w:hAnsi="仿宋" w:eastAsia="仿宋" w:cs="仿宋"/>
                <w:b/>
                <w:bCs/>
                <w:snapToGrid w:val="0"/>
                <w:color w:val="0000FF"/>
                <w:spacing w:val="-2"/>
                <w:kern w:val="0"/>
                <w:position w:val="16"/>
                <w:sz w:val="24"/>
                <w:szCs w:val="24"/>
                <w:lang w:val="en-US" w:eastAsia="zh-CN" w:bidi="ar-SA"/>
              </w:rPr>
              <w:t>需</w:t>
            </w:r>
            <w:r>
              <w:rPr>
                <w:rFonts w:hint="default" w:ascii="仿宋" w:hAnsi="仿宋" w:eastAsia="仿宋" w:cs="仿宋"/>
                <w:b/>
                <w:bCs/>
                <w:snapToGrid w:val="0"/>
                <w:color w:val="0000FF"/>
                <w:spacing w:val="-2"/>
                <w:kern w:val="0"/>
                <w:position w:val="16"/>
                <w:sz w:val="24"/>
                <w:szCs w:val="24"/>
                <w:lang w:val="en-US" w:eastAsia="zh-CN" w:bidi="ar-SA"/>
              </w:rPr>
              <w:t>按甲方学校的要求，于订单下达后48小时内将所订购的货物送至指定地点。必须按所规定的时间将商品配送到位。为确保食材新鲜，蔬菜、</w:t>
            </w:r>
            <w:r>
              <w:rPr>
                <w:rFonts w:hint="eastAsia" w:ascii="仿宋" w:hAnsi="仿宋" w:eastAsia="仿宋" w:cs="仿宋"/>
                <w:b/>
                <w:bCs/>
                <w:snapToGrid w:val="0"/>
                <w:color w:val="0000FF"/>
                <w:spacing w:val="-2"/>
                <w:kern w:val="0"/>
                <w:position w:val="16"/>
                <w:sz w:val="24"/>
                <w:szCs w:val="24"/>
                <w:lang w:val="en-US" w:eastAsia="zh-CN" w:bidi="ar-SA"/>
              </w:rPr>
              <w:t>时令</w:t>
            </w:r>
            <w:r>
              <w:rPr>
                <w:rFonts w:hint="default" w:ascii="仿宋" w:hAnsi="仿宋" w:eastAsia="仿宋" w:cs="仿宋"/>
                <w:b/>
                <w:bCs/>
                <w:snapToGrid w:val="0"/>
                <w:color w:val="0000FF"/>
                <w:spacing w:val="-2"/>
                <w:kern w:val="0"/>
                <w:position w:val="16"/>
                <w:sz w:val="24"/>
                <w:szCs w:val="24"/>
                <w:lang w:val="en-US" w:eastAsia="zh-CN" w:bidi="ar-SA"/>
              </w:rPr>
              <w:t>水果等不易储存的食材每天配送。鲜鸡蛋按各学校实际需求，每周配送1-3次，调料、学生饮用奶等食材，每月配送1-3次至各学校。</w:t>
            </w:r>
            <w:r>
              <w:rPr>
                <w:rFonts w:hint="eastAsia" w:ascii="仿宋" w:hAnsi="仿宋" w:eastAsia="仿宋" w:cs="仿宋"/>
                <w:b/>
                <w:bCs/>
                <w:snapToGrid w:val="0"/>
                <w:color w:val="0000FF"/>
                <w:spacing w:val="-2"/>
                <w:kern w:val="0"/>
                <w:position w:val="16"/>
                <w:sz w:val="24"/>
                <w:szCs w:val="24"/>
                <w:lang w:val="en-US" w:eastAsia="zh-CN" w:bidi="ar-SA"/>
              </w:rPr>
              <w:t>（具体以签订合同为准）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478" w:type="dxa"/>
            <w:tcBorders>
              <w:left w:val="single" w:color="000000" w:sz="10" w:space="0"/>
            </w:tcBorders>
            <w:vAlign w:val="top"/>
          </w:tcPr>
          <w:p>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6950" w:type="dxa"/>
            <w:tcBorders>
              <w:right w:val="single" w:color="000000" w:sz="10" w:space="0"/>
            </w:tcBorders>
            <w:vAlign w:val="top"/>
          </w:tcPr>
          <w:p>
            <w:pPr>
              <w:pStyle w:val="30"/>
              <w:spacing w:before="52" w:line="222" w:lineRule="auto"/>
              <w:ind w:left="30"/>
              <w:rPr>
                <w:rFonts w:hint="eastAsia" w:ascii="仿宋" w:hAnsi="仿宋" w:eastAsia="仿宋" w:cs="仿宋"/>
              </w:rPr>
            </w:pPr>
            <w:r>
              <w:rPr>
                <w:rFonts w:hint="eastAsia" w:ascii="仿宋" w:hAnsi="仿宋" w:eastAsia="仿宋" w:cs="仿宋"/>
                <w:spacing w:val="-2"/>
              </w:rPr>
              <w:t>评标方法：适用</w:t>
            </w:r>
            <w:r>
              <w:rPr>
                <w:rFonts w:hint="eastAsia" w:ascii="仿宋" w:hAnsi="仿宋" w:eastAsia="仿宋" w:cs="仿宋"/>
                <w:spacing w:val="-2"/>
                <w:u w:val="single" w:color="auto"/>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950" w:type="dxa"/>
            <w:tcBorders>
              <w:right w:val="single" w:color="000000" w:sz="10" w:space="0"/>
            </w:tcBorders>
            <w:vAlign w:val="top"/>
          </w:tcPr>
          <w:p>
            <w:pPr>
              <w:pStyle w:val="30"/>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950" w:type="dxa"/>
            <w:tcBorders>
              <w:right w:val="single" w:color="000000" w:sz="10" w:space="0"/>
            </w:tcBorders>
            <w:vAlign w:val="top"/>
          </w:tcPr>
          <w:p>
            <w:pPr>
              <w:pStyle w:val="30"/>
              <w:spacing w:before="52" w:line="216"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cs="仿宋"/>
                <w:u w:val="single" w:color="auto"/>
                <w:lang w:val="en-US" w:eastAsia="zh-CN"/>
              </w:rPr>
              <w:t>是</w:t>
            </w:r>
            <w:r>
              <w:rPr>
                <w:rFonts w:hint="eastAsia" w:ascii="仿宋" w:hAnsi="仿宋" w:eastAsia="仿宋" w:cs="仿宋"/>
                <w:u w:val="single" w:color="auto"/>
              </w:rPr>
              <w:t xml:space="preserve"> </w:t>
            </w:r>
            <w:r>
              <w:rPr>
                <w:rFonts w:hint="eastAsia" w:ascii="仿宋" w:hAnsi="仿宋" w:eastAsia="仿宋" w:cs="仿宋"/>
              </w:rPr>
              <w:t xml:space="preserve"> </w:t>
            </w:r>
            <w:r>
              <w:rPr>
                <w:rFonts w:hint="eastAsia" w:ascii="仿宋" w:hAnsi="仿宋" w:eastAsia="仿宋" w:cs="仿宋"/>
                <w:i/>
                <w:iCs/>
                <w:sz w:val="25"/>
                <w:szCs w:val="2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478" w:type="dxa"/>
            <w:tcBorders>
              <w:left w:val="single" w:color="000000" w:sz="10" w:space="0"/>
              <w:bottom w:val="single" w:color="000000" w:sz="10" w:space="0"/>
            </w:tcBorders>
            <w:vAlign w:val="top"/>
          </w:tcPr>
          <w:p>
            <w:pPr>
              <w:spacing w:line="298" w:lineRule="auto"/>
              <w:rPr>
                <w:rFonts w:hint="eastAsia" w:ascii="仿宋" w:hAnsi="仿宋" w:eastAsia="仿宋" w:cs="仿宋"/>
                <w:sz w:val="21"/>
              </w:rPr>
            </w:pPr>
          </w:p>
          <w:p>
            <w:pPr>
              <w:spacing w:line="298" w:lineRule="auto"/>
              <w:rPr>
                <w:rFonts w:hint="eastAsia" w:ascii="仿宋" w:hAnsi="仿宋" w:eastAsia="仿宋" w:cs="仿宋"/>
                <w:sz w:val="21"/>
              </w:rPr>
            </w:pPr>
          </w:p>
          <w:p>
            <w:pPr>
              <w:spacing w:line="298" w:lineRule="auto"/>
              <w:rPr>
                <w:rFonts w:hint="eastAsia" w:ascii="仿宋" w:hAnsi="仿宋" w:eastAsia="仿宋" w:cs="仿宋"/>
                <w:sz w:val="21"/>
              </w:rPr>
            </w:pPr>
          </w:p>
          <w:p>
            <w:pPr>
              <w:spacing w:line="299" w:lineRule="auto"/>
              <w:rPr>
                <w:rFonts w:hint="eastAsia" w:ascii="仿宋" w:hAnsi="仿宋" w:eastAsia="仿宋" w:cs="仿宋"/>
                <w:sz w:val="21"/>
              </w:rPr>
            </w:pPr>
          </w:p>
          <w:p>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6950" w:type="dxa"/>
            <w:tcBorders>
              <w:bottom w:val="single" w:color="000000" w:sz="10" w:space="0"/>
              <w:right w:val="single" w:color="000000" w:sz="10" w:space="0"/>
            </w:tcBorders>
            <w:vAlign w:val="top"/>
          </w:tcPr>
          <w:p>
            <w:pPr>
              <w:pStyle w:val="30"/>
              <w:spacing w:before="53" w:line="222" w:lineRule="auto"/>
              <w:ind w:left="31"/>
              <w:rPr>
                <w:rFonts w:hint="eastAsia" w:ascii="仿宋" w:hAnsi="仿宋" w:eastAsia="仿宋" w:cs="仿宋"/>
                <w:spacing w:val="-1"/>
              </w:rPr>
            </w:pPr>
            <w:r>
              <w:rPr>
                <w:rFonts w:hint="eastAsia" w:ascii="仿宋" w:hAnsi="仿宋" w:eastAsia="仿宋" w:cs="仿宋"/>
                <w:spacing w:val="-1"/>
                <w:lang w:val="en-US" w:eastAsia="zh-CN"/>
              </w:rPr>
              <w:t>本食材项目须向甲方提交履约保证金或等额履约保证金保函。履约保证金需缴纳至甲方指定账户，金额为合同价格的 7％</w:t>
            </w:r>
            <w:r>
              <w:rPr>
                <w:rFonts w:hint="eastAsia" w:ascii="仿宋" w:hAnsi="仿宋" w:eastAsia="仿宋" w:cs="仿宋"/>
                <w:spacing w:val="-1"/>
              </w:rPr>
              <w:t>（不得超过政府采购合同金额的 10%</w:t>
            </w:r>
            <w:r>
              <w:rPr>
                <w:rFonts w:hint="eastAsia" w:ascii="仿宋" w:hAnsi="仿宋" w:eastAsia="仿宋" w:cs="仿宋"/>
                <w:spacing w:val="-1"/>
                <w:lang w:val="en-US" w:eastAsia="zh-CN"/>
              </w:rPr>
              <w:t xml:space="preserve"> ）</w:t>
            </w:r>
            <w:r>
              <w:rPr>
                <w:rFonts w:hint="eastAsia" w:ascii="仿宋" w:hAnsi="仿宋" w:eastAsia="仿宋" w:cs="仿宋"/>
                <w:spacing w:val="-1"/>
              </w:rPr>
              <w:t>。</w:t>
            </w:r>
          </w:p>
          <w:p>
            <w:pPr>
              <w:pStyle w:val="30"/>
              <w:spacing w:before="53" w:line="222" w:lineRule="auto"/>
              <w:ind w:left="31"/>
              <w:rPr>
                <w:rFonts w:hint="eastAsia" w:ascii="仿宋" w:hAnsi="仿宋" w:eastAsia="仿宋" w:cs="仿宋"/>
                <w:spacing w:val="-1"/>
              </w:rPr>
            </w:pPr>
            <w:r>
              <w:rPr>
                <w:rFonts w:hint="eastAsia" w:ascii="仿宋" w:hAnsi="仿宋" w:eastAsia="仿宋" w:cs="仿宋"/>
                <w:spacing w:val="-1"/>
              </w:rPr>
              <w:t>履约保证金形式：电汇或企业账户网银汇款</w:t>
            </w:r>
            <w:r>
              <w:rPr>
                <w:rFonts w:hint="eastAsia" w:ascii="仿宋" w:hAnsi="仿宋" w:eastAsia="仿宋" w:cs="仿宋"/>
                <w:spacing w:val="-1"/>
                <w:lang w:val="en-US" w:eastAsia="zh-CN"/>
              </w:rPr>
              <w:t>或等额保证金履约保函</w:t>
            </w:r>
            <w:r>
              <w:rPr>
                <w:rFonts w:hint="eastAsia" w:ascii="仿宋" w:hAnsi="仿宋" w:eastAsia="仿宋" w:cs="仿宋"/>
                <w:spacing w:val="-1"/>
              </w:rPr>
              <w:t>。</w:t>
            </w:r>
          </w:p>
          <w:p>
            <w:pPr>
              <w:pStyle w:val="30"/>
              <w:spacing w:before="53" w:line="222" w:lineRule="auto"/>
              <w:ind w:left="31"/>
              <w:rPr>
                <w:rFonts w:hint="default" w:ascii="仿宋" w:hAnsi="仿宋" w:eastAsia="仿宋" w:cs="仿宋"/>
                <w:spacing w:val="-1"/>
                <w:lang w:eastAsia="zh-CN"/>
              </w:rPr>
            </w:pPr>
            <w:r>
              <w:rPr>
                <w:rFonts w:hint="default" w:ascii="仿宋" w:hAnsi="仿宋" w:eastAsia="仿宋" w:cs="仿宋"/>
                <w:spacing w:val="-1"/>
                <w:lang w:eastAsia="zh-CN"/>
              </w:rPr>
              <w:t>单位名称：莎车县</w:t>
            </w:r>
            <w:r>
              <w:rPr>
                <w:rFonts w:hint="eastAsia" w:ascii="仿宋" w:hAnsi="仿宋" w:eastAsia="仿宋" w:cs="仿宋"/>
                <w:spacing w:val="-1"/>
                <w:lang w:val="en-US" w:eastAsia="zh-CN"/>
              </w:rPr>
              <w:t>教育</w:t>
            </w:r>
            <w:r>
              <w:rPr>
                <w:rFonts w:hint="default" w:ascii="仿宋" w:hAnsi="仿宋" w:eastAsia="仿宋" w:cs="仿宋"/>
                <w:spacing w:val="-1"/>
                <w:lang w:val="en-US" w:eastAsia="zh-CN"/>
              </w:rPr>
              <w:t>局</w:t>
            </w:r>
          </w:p>
          <w:p>
            <w:pPr>
              <w:pStyle w:val="30"/>
              <w:spacing w:before="53" w:line="222" w:lineRule="auto"/>
              <w:ind w:left="31"/>
              <w:rPr>
                <w:rFonts w:hint="eastAsia" w:ascii="仿宋" w:hAnsi="仿宋" w:eastAsia="仿宋" w:cs="仿宋"/>
                <w:spacing w:val="-1"/>
                <w:lang w:val="en-US" w:eastAsia="zh-CN"/>
              </w:rPr>
            </w:pPr>
            <w:r>
              <w:rPr>
                <w:rFonts w:hint="default" w:ascii="仿宋" w:hAnsi="仿宋" w:eastAsia="仿宋" w:cs="仿宋"/>
                <w:spacing w:val="-1"/>
                <w:lang w:eastAsia="zh-CN"/>
              </w:rPr>
              <w:t>开户账号：</w:t>
            </w:r>
            <w:r>
              <w:rPr>
                <w:rFonts w:hint="eastAsia" w:ascii="仿宋" w:hAnsi="仿宋" w:eastAsia="仿宋" w:cs="仿宋"/>
                <w:spacing w:val="-1"/>
                <w:lang w:val="en-US" w:eastAsia="zh-CN"/>
              </w:rPr>
              <w:t>3012372029200084286—000000101</w:t>
            </w:r>
          </w:p>
          <w:p>
            <w:pPr>
              <w:pStyle w:val="30"/>
              <w:spacing w:before="53" w:line="222" w:lineRule="auto"/>
              <w:ind w:left="31"/>
              <w:rPr>
                <w:rFonts w:hint="eastAsia" w:ascii="仿宋" w:hAnsi="仿宋" w:eastAsia="仿宋" w:cs="仿宋"/>
                <w:spacing w:val="-1"/>
                <w:lang w:val="en-US" w:eastAsia="zh-CN"/>
              </w:rPr>
            </w:pPr>
            <w:r>
              <w:rPr>
                <w:rFonts w:hint="default" w:ascii="仿宋" w:hAnsi="仿宋" w:eastAsia="仿宋" w:cs="仿宋"/>
                <w:spacing w:val="-1"/>
                <w:lang w:eastAsia="zh-CN"/>
              </w:rPr>
              <w:t>开 户 行：</w:t>
            </w:r>
            <w:r>
              <w:rPr>
                <w:rFonts w:hint="eastAsia" w:ascii="仿宋" w:hAnsi="仿宋" w:eastAsia="仿宋" w:cs="仿宋"/>
                <w:spacing w:val="-1"/>
                <w:lang w:val="en-US" w:eastAsia="zh-CN"/>
              </w:rPr>
              <w:t>中国工商银行股份有限公司莎车支行</w:t>
            </w:r>
          </w:p>
          <w:p>
            <w:pPr>
              <w:pStyle w:val="30"/>
              <w:spacing w:before="53" w:line="222" w:lineRule="auto"/>
              <w:ind w:left="31"/>
              <w:rPr>
                <w:rFonts w:hint="eastAsia" w:ascii="仿宋" w:hAnsi="仿宋" w:eastAsia="仿宋" w:cs="仿宋"/>
                <w:spacing w:val="-1"/>
                <w:lang w:val="en-US" w:eastAsia="zh-CN"/>
              </w:rPr>
            </w:pPr>
            <w:r>
              <w:rPr>
                <w:rFonts w:hint="default" w:ascii="仿宋" w:hAnsi="仿宋" w:eastAsia="仿宋" w:cs="仿宋"/>
                <w:spacing w:val="-1"/>
                <w:lang w:eastAsia="zh-CN"/>
              </w:rPr>
              <w:t>行    号：</w:t>
            </w:r>
            <w:r>
              <w:rPr>
                <w:rFonts w:hint="eastAsia" w:ascii="仿宋" w:hAnsi="仿宋" w:eastAsia="仿宋" w:cs="仿宋"/>
                <w:spacing w:val="-1"/>
                <w:lang w:val="en-US" w:eastAsia="zh-CN"/>
              </w:rPr>
              <w:t>102894600014</w:t>
            </w:r>
          </w:p>
          <w:p>
            <w:pPr>
              <w:pStyle w:val="30"/>
              <w:spacing w:before="53" w:line="222" w:lineRule="auto"/>
              <w:ind w:left="31"/>
              <w:rPr>
                <w:rFonts w:hint="default" w:ascii="仿宋" w:hAnsi="仿宋" w:eastAsia="仿宋" w:cs="仿宋"/>
                <w:spacing w:val="-1"/>
                <w:lang w:val="en-US" w:eastAsia="zh-CN"/>
              </w:rPr>
            </w:pPr>
            <w:r>
              <w:rPr>
                <w:rFonts w:hint="default" w:ascii="仿宋" w:hAnsi="仿宋" w:eastAsia="仿宋" w:cs="仿宋"/>
                <w:spacing w:val="-1"/>
                <w:lang w:eastAsia="zh-CN"/>
              </w:rPr>
              <w:t>财务联系人：</w:t>
            </w:r>
            <w:r>
              <w:rPr>
                <w:rFonts w:hint="eastAsia" w:ascii="仿宋" w:hAnsi="仿宋" w:eastAsia="仿宋" w:cs="仿宋"/>
                <w:spacing w:val="-1"/>
                <w:lang w:val="en-US" w:eastAsia="zh-CN"/>
              </w:rPr>
              <w:t>闫茂义</w:t>
            </w:r>
          </w:p>
          <w:p>
            <w:pPr>
              <w:pStyle w:val="30"/>
              <w:spacing w:before="53" w:line="222" w:lineRule="auto"/>
              <w:ind w:left="31"/>
              <w:rPr>
                <w:rFonts w:hint="eastAsia" w:ascii="仿宋" w:hAnsi="仿宋" w:eastAsia="仿宋" w:cs="仿宋"/>
                <w:spacing w:val="-1"/>
                <w:lang w:val="en-US" w:eastAsia="zh-CN"/>
              </w:rPr>
            </w:pPr>
            <w:r>
              <w:rPr>
                <w:rFonts w:hint="default" w:ascii="仿宋" w:hAnsi="仿宋" w:eastAsia="仿宋" w:cs="仿宋"/>
                <w:spacing w:val="-1"/>
                <w:lang w:eastAsia="zh-CN"/>
              </w:rPr>
              <w:t>联系电话：</w:t>
            </w:r>
            <w:r>
              <w:rPr>
                <w:rFonts w:hint="eastAsia" w:ascii="仿宋" w:hAnsi="仿宋" w:eastAsia="仿宋" w:cs="仿宋"/>
                <w:spacing w:val="-1"/>
                <w:lang w:val="en-US" w:eastAsia="zh-CN"/>
              </w:rPr>
              <w:t>18699857582</w:t>
            </w:r>
          </w:p>
          <w:p>
            <w:pPr>
              <w:pStyle w:val="30"/>
              <w:spacing w:before="53" w:line="222" w:lineRule="auto"/>
              <w:ind w:left="31"/>
              <w:rPr>
                <w:rFonts w:hint="default" w:ascii="仿宋" w:hAnsi="仿宋" w:eastAsia="仿宋" w:cs="仿宋"/>
                <w:spacing w:val="-1"/>
                <w:lang w:eastAsia="zh-CN"/>
              </w:rPr>
            </w:pPr>
            <w:r>
              <w:rPr>
                <w:rFonts w:hint="default" w:ascii="仿宋" w:hAnsi="仿宋" w:eastAsia="仿宋" w:cs="仿宋"/>
                <w:spacing w:val="-1"/>
                <w:lang w:eastAsia="zh-CN"/>
              </w:rPr>
              <w:t>提交履约保证金:中标单位需依法向采购单位缴纳</w:t>
            </w:r>
            <w:r>
              <w:rPr>
                <w:rFonts w:hint="eastAsia" w:ascii="仿宋" w:hAnsi="仿宋" w:eastAsia="仿宋" w:cs="仿宋"/>
                <w:spacing w:val="-1"/>
                <w:lang w:val="en-US" w:eastAsia="zh-CN"/>
              </w:rPr>
              <w:t>7</w:t>
            </w:r>
            <w:r>
              <w:rPr>
                <w:rFonts w:hint="default" w:ascii="仿宋" w:hAnsi="仿宋" w:eastAsia="仿宋" w:cs="仿宋"/>
                <w:spacing w:val="-1"/>
                <w:lang w:eastAsia="zh-CN"/>
              </w:rPr>
              <w:t>%的履约保证金。</w:t>
            </w:r>
          </w:p>
          <w:p>
            <w:pPr>
              <w:pStyle w:val="30"/>
              <w:spacing w:before="53" w:line="222" w:lineRule="auto"/>
              <w:ind w:left="31"/>
              <w:rPr>
                <w:rFonts w:hint="eastAsia" w:ascii="仿宋" w:hAnsi="仿宋" w:eastAsia="仿宋" w:cs="仿宋"/>
                <w:lang w:eastAsia="zh-CN"/>
              </w:rPr>
            </w:pPr>
            <w:r>
              <w:rPr>
                <w:rFonts w:hint="default" w:ascii="仿宋" w:hAnsi="仿宋" w:eastAsia="仿宋" w:cs="仿宋"/>
                <w:spacing w:val="-1"/>
                <w:lang w:eastAsia="zh-CN"/>
              </w:rPr>
              <w:t>注：双方可以通过协商另行约定其他退还时间和方式及用途。</w:t>
            </w:r>
          </w:p>
        </w:tc>
      </w:tr>
    </w:tbl>
    <w:tbl>
      <w:tblPr>
        <w:tblStyle w:val="31"/>
        <w:tblpPr w:leftFromText="180" w:rightFromText="180" w:vertAnchor="text" w:horzAnchor="page" w:tblpX="1816" w:tblpY="85"/>
        <w:tblOverlap w:val="never"/>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6905" w:type="dxa"/>
            <w:tcBorders>
              <w:right w:val="single" w:color="000000" w:sz="10" w:space="0"/>
            </w:tcBorders>
            <w:vAlign w:val="top"/>
          </w:tcPr>
          <w:p>
            <w:pPr>
              <w:pStyle w:val="30"/>
              <w:spacing w:before="40" w:line="214"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否</w:t>
            </w:r>
            <w:r>
              <w:rPr>
                <w:rFonts w:hint="eastAsia" w:ascii="仿宋" w:hAnsi="仿宋" w:eastAsia="仿宋" w:cs="仿宋"/>
              </w:rPr>
              <w:t xml:space="preserve"> </w:t>
            </w:r>
            <w:r>
              <w:rPr>
                <w:rFonts w:hint="eastAsia" w:ascii="仿宋" w:hAnsi="仿宋" w:eastAsia="仿宋" w:cs="仿宋"/>
                <w:i/>
                <w:iCs/>
                <w:sz w:val="25"/>
                <w:szCs w:val="2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478" w:type="dxa"/>
            <w:tcBorders>
              <w:left w:val="single" w:color="000000" w:sz="10" w:space="0"/>
            </w:tcBorders>
            <w:vAlign w:val="top"/>
          </w:tcPr>
          <w:p>
            <w:pPr>
              <w:spacing w:before="90"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34.3</w:t>
            </w:r>
          </w:p>
        </w:tc>
        <w:tc>
          <w:tcPr>
            <w:tcW w:w="6905" w:type="dxa"/>
            <w:tcBorders>
              <w:right w:val="single" w:color="000000" w:sz="10" w:space="0"/>
            </w:tcBorders>
            <w:vAlign w:val="top"/>
          </w:tcPr>
          <w:p>
            <w:pPr>
              <w:pStyle w:val="30"/>
              <w:spacing w:before="41" w:line="219" w:lineRule="auto"/>
              <w:rPr>
                <w:rFonts w:hint="eastAsia" w:ascii="仿宋" w:hAnsi="仿宋" w:eastAsia="仿宋" w:cs="仿宋"/>
              </w:rPr>
            </w:pPr>
            <w:r>
              <w:rPr>
                <w:rFonts w:hint="eastAsia" w:ascii="仿宋" w:hAnsi="仿宋" w:eastAsia="仿宋" w:cs="仿宋"/>
                <w:spacing w:val="-1"/>
              </w:rPr>
              <w:t>政府采购监管：</w:t>
            </w:r>
            <w:r>
              <w:rPr>
                <w:rFonts w:hint="eastAsia" w:cs="仿宋"/>
                <w:spacing w:val="-1"/>
                <w:u w:val="single" w:color="auto"/>
                <w:lang w:val="en-US" w:eastAsia="zh-CN"/>
              </w:rPr>
              <w:t>莎车县</w:t>
            </w:r>
            <w:r>
              <w:rPr>
                <w:rFonts w:hint="eastAsia" w:ascii="仿宋" w:hAnsi="仿宋" w:eastAsia="仿宋" w:cs="仿宋"/>
                <w:spacing w:val="-1"/>
                <w:u w:val="single" w:color="auto"/>
              </w:rPr>
              <w:t>财政局采购办</w:t>
            </w:r>
            <w:r>
              <w:rPr>
                <w:rFonts w:hint="eastAsia" w:cs="仿宋"/>
                <w:spacing w:val="-1"/>
                <w:u w:val="single" w:color="auto"/>
                <w:lang w:val="en-US" w:eastAsia="zh-CN"/>
              </w:rPr>
              <w:t xml:space="preserve">  </w:t>
            </w:r>
            <w:r>
              <w:rPr>
                <w:rFonts w:hint="eastAsia" w:ascii="仿宋" w:hAnsi="仿宋" w:eastAsia="仿宋" w:cs="仿宋"/>
                <w:spacing w:val="-1"/>
                <w:u w:val="single" w:color="auto"/>
              </w:rPr>
              <w:t>联系电话：0998-85125</w:t>
            </w:r>
            <w:r>
              <w:rPr>
                <w:rFonts w:hint="eastAsia" w:ascii="仿宋" w:hAnsi="仿宋" w:eastAsia="仿宋" w:cs="仿宋"/>
                <w:spacing w:val="-2"/>
                <w:u w:val="single" w:color="auto"/>
              </w:rPr>
              <w:t>78</w:t>
            </w:r>
            <w:r>
              <w:rPr>
                <w:rFonts w:hint="eastAsia" w:ascii="仿宋" w:hAnsi="仿宋" w:eastAsia="仿宋" w:cs="仿宋"/>
                <w:spacing w:val="-1"/>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83" w:type="dxa"/>
            <w:gridSpan w:val="2"/>
            <w:tcBorders>
              <w:left w:val="single" w:color="000000" w:sz="10" w:space="0"/>
              <w:right w:val="single" w:color="000000" w:sz="10" w:space="0"/>
            </w:tcBorders>
            <w:vAlign w:val="top"/>
          </w:tcPr>
          <w:p>
            <w:pPr>
              <w:pStyle w:val="30"/>
              <w:spacing w:before="48" w:line="204" w:lineRule="auto"/>
              <w:ind w:firstLine="2096" w:firstLineChars="900"/>
              <w:rPr>
                <w:rFonts w:hint="eastAsia" w:ascii="仿宋" w:hAnsi="仿宋" w:eastAsia="仿宋" w:cs="仿宋"/>
              </w:rPr>
            </w:pPr>
            <w:r>
              <w:rPr>
                <w:rFonts w:hint="eastAsia" w:ascii="仿宋" w:hAnsi="仿宋" w:eastAsia="仿宋" w:cs="仿宋"/>
                <w:b/>
                <w:bCs/>
                <w:spacing w:val="-4"/>
              </w:rPr>
              <w:t>适用于本投标人须知的额外增加的变动：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1478" w:type="dxa"/>
            <w:tcBorders>
              <w:left w:val="single" w:color="000000" w:sz="10" w:space="0"/>
              <w:bottom w:val="single" w:color="000000" w:sz="10" w:space="0"/>
            </w:tcBorders>
            <w:vAlign w:val="top"/>
          </w:tcPr>
          <w:p>
            <w:pPr>
              <w:spacing w:before="69"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905" w:type="dxa"/>
            <w:tcBorders>
              <w:bottom w:val="single" w:color="000000" w:sz="10" w:space="0"/>
              <w:right w:val="single" w:color="000000" w:sz="10" w:space="0"/>
            </w:tcBorders>
            <w:vAlign w:val="top"/>
          </w:tcPr>
          <w:p>
            <w:pPr>
              <w:pStyle w:val="30"/>
              <w:spacing w:before="45" w:line="24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pPr>
              <w:pStyle w:val="30"/>
              <w:spacing w:before="178" w:line="24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pPr>
              <w:pStyle w:val="30"/>
              <w:spacing w:before="181" w:line="360" w:lineRule="auto"/>
              <w:ind w:left="29" w:right="17" w:firstLine="1"/>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5" w:hRule="atLeast"/>
        </w:trPr>
        <w:tc>
          <w:tcPr>
            <w:tcW w:w="1478" w:type="dxa"/>
            <w:tcBorders>
              <w:left w:val="single" w:color="000000" w:sz="10" w:space="0"/>
              <w:bottom w:val="single" w:color="000000" w:sz="10" w:space="0"/>
            </w:tcBorders>
            <w:vAlign w:val="top"/>
          </w:tcPr>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before="69"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6905" w:type="dxa"/>
            <w:tcBorders>
              <w:bottom w:val="single" w:color="000000" w:sz="10" w:space="0"/>
              <w:right w:val="single" w:color="000000" w:sz="10" w:space="0"/>
            </w:tcBorders>
            <w:vAlign w:val="top"/>
          </w:tcPr>
          <w:p>
            <w:pPr>
              <w:pStyle w:val="30"/>
              <w:spacing w:before="178" w:line="360" w:lineRule="auto"/>
              <w:ind w:right="16"/>
              <w:rPr>
                <w:rFonts w:hint="eastAsia" w:ascii="仿宋" w:hAnsi="仿宋" w:eastAsia="仿宋" w:cs="仿宋"/>
                <w:spacing w:val="-2"/>
              </w:rPr>
            </w:pPr>
            <w:r>
              <w:rPr>
                <w:rFonts w:hint="eastAsia" w:ascii="仿宋" w:hAnsi="仿宋" w:eastAsia="仿宋" w:cs="仿宋"/>
                <w:spacing w:val="-2"/>
              </w:rPr>
              <w:t>低于成本价不正当竞争预防措施：</w:t>
            </w:r>
          </w:p>
          <w:p>
            <w:pPr>
              <w:pStyle w:val="30"/>
              <w:spacing w:before="178" w:line="360" w:lineRule="auto"/>
              <w:ind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w:t>
            </w:r>
            <w:r>
              <w:rPr>
                <w:rFonts w:hint="eastAsia" w:cs="仿宋"/>
                <w:spacing w:val="-4"/>
                <w:lang w:eastAsia="zh-CN"/>
              </w:rPr>
              <w:t>服务</w:t>
            </w:r>
            <w:r>
              <w:rPr>
                <w:rFonts w:hint="eastAsia" w:ascii="仿宋" w:hAnsi="仿宋" w:eastAsia="仿宋" w:cs="仿宋"/>
                <w:spacing w:val="-4"/>
              </w:rPr>
              <w:t>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六十条之规定：评标委员会认为供应商报价明显低于其他通过符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pPr>
              <w:pStyle w:val="30"/>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pPr>
              <w:pStyle w:val="30"/>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cs="仿宋"/>
                <w:spacing w:val="1"/>
                <w:lang w:eastAsia="zh-CN"/>
              </w:rPr>
              <w:t>服务</w:t>
            </w:r>
            <w:r>
              <w:rPr>
                <w:rFonts w:hint="eastAsia" w:ascii="仿宋" w:hAnsi="仿宋" w:eastAsia="仿宋" w:cs="仿宋"/>
                <w:spacing w:val="1"/>
              </w:rPr>
              <w:t>、工程和服务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pPr>
              <w:pStyle w:val="30"/>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供应商书面说明应当签字确认或者加盖公章，否则无效。书面说</w:t>
            </w:r>
          </w:p>
          <w:p>
            <w:pPr>
              <w:pStyle w:val="30"/>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明的签字确认，供应商为法人的，由其法定代表人或者代理人签 字确认；供应商为其他组织的，由其主要负责人或者代理人签字确认；供应商为自然人的，由其本人或者代理人签字确认。</w:t>
            </w:r>
          </w:p>
          <w:p>
            <w:pPr>
              <w:pStyle w:val="30"/>
              <w:spacing w:before="181" w:line="360" w:lineRule="auto"/>
              <w:ind w:left="29" w:right="17" w:firstLine="1"/>
              <w:rPr>
                <w:rFonts w:hint="eastAsia" w:ascii="仿宋" w:hAnsi="仿宋" w:eastAsia="仿宋" w:cs="仿宋"/>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专</w:t>
            </w:r>
          </w:p>
          <w:p>
            <w:pPr>
              <w:pStyle w:val="30"/>
              <w:spacing w:before="181" w:line="360" w:lineRule="auto"/>
              <w:ind w:left="29" w:right="17" w:firstLine="1"/>
              <w:rPr>
                <w:rFonts w:hint="eastAsia" w:ascii="仿宋" w:hAnsi="仿宋" w:eastAsia="仿宋" w:cs="仿宋"/>
              </w:rPr>
            </w:pPr>
            <w:r>
              <w:rPr>
                <w:rFonts w:hint="eastAsia" w:ascii="仿宋" w:hAnsi="仿宋" w:eastAsia="仿宋" w:cs="仿宋"/>
              </w:rPr>
              <w:t>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tbl>
      <w:tblPr>
        <w:tblStyle w:val="31"/>
        <w:tblpPr w:leftFromText="180" w:rightFromText="180" w:vertAnchor="text" w:horzAnchor="page" w:tblpX="1846" w:tblpY="6776"/>
        <w:tblOverlap w:val="never"/>
        <w:tblW w:w="8376"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6"/>
        <w:gridCol w:w="701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4" w:hRule="atLeast"/>
        </w:trPr>
        <w:tc>
          <w:tcPr>
            <w:tcW w:w="1366" w:type="dxa"/>
            <w:tcBorders>
              <w:bottom w:val="single" w:color="000000" w:sz="4" w:space="0"/>
              <w:right w:val="single" w:color="000000" w:sz="4" w:space="0"/>
            </w:tcBorders>
            <w:vAlign w:val="top"/>
          </w:tcPr>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r>
              <w:rPr>
                <w:rFonts w:hint="eastAsia" w:ascii="仿宋" w:hAnsi="仿宋" w:eastAsia="仿宋" w:cs="仿宋"/>
                <w:sz w:val="21"/>
                <w:lang w:val="en-US" w:eastAsia="zh-CN"/>
              </w:rPr>
              <w:t>2</w:t>
            </w:r>
          </w:p>
        </w:tc>
        <w:tc>
          <w:tcPr>
            <w:tcW w:w="7010" w:type="dxa"/>
            <w:tcBorders>
              <w:left w:val="single" w:color="000000" w:sz="4" w:space="0"/>
              <w:bottom w:val="single" w:color="000000" w:sz="4" w:space="0"/>
            </w:tcBorders>
            <w:vAlign w:val="top"/>
          </w:tcPr>
          <w:p>
            <w:pPr>
              <w:pStyle w:val="30"/>
              <w:spacing w:before="41" w:line="360" w:lineRule="auto"/>
              <w:ind w:left="31" w:hanging="9"/>
              <w:rPr>
                <w:rFonts w:hint="eastAsia" w:ascii="仿宋" w:hAnsi="仿宋" w:eastAsia="仿宋" w:cs="仿宋"/>
              </w:rPr>
            </w:pPr>
            <w:r>
              <w:rPr>
                <w:rFonts w:hint="eastAsia" w:ascii="仿宋" w:hAnsi="仿宋" w:eastAsia="仿宋" w:cs="仿宋"/>
              </w:rPr>
              <w:t>①促进中小企业发展政策：根据《政府采购促进中小企业发展管理办法》规定，本项目供应商为小型或微型企业且报价产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pPr>
              <w:pStyle w:val="30"/>
              <w:spacing w:line="24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10" w:hRule="atLeast"/>
        </w:trPr>
        <w:tc>
          <w:tcPr>
            <w:tcW w:w="1366" w:type="dxa"/>
            <w:tcBorders>
              <w:top w:val="single" w:color="000000" w:sz="4" w:space="0"/>
              <w:bottom w:val="single" w:color="000000" w:sz="4" w:space="0"/>
              <w:right w:val="single" w:color="000000" w:sz="4" w:space="0"/>
            </w:tcBorders>
            <w:vAlign w:val="top"/>
          </w:tcPr>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pStyle w:val="30"/>
              <w:spacing w:before="78" w:line="221"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5"/>
              </w:rPr>
              <w:t>担保机构</w:t>
            </w:r>
          </w:p>
        </w:tc>
        <w:tc>
          <w:tcPr>
            <w:tcW w:w="7010" w:type="dxa"/>
            <w:tcBorders>
              <w:top w:val="single" w:color="000000" w:sz="4" w:space="0"/>
              <w:left w:val="single" w:color="000000" w:sz="4" w:space="0"/>
              <w:bottom w:val="single" w:color="000000" w:sz="4" w:space="0"/>
            </w:tcBorders>
            <w:vAlign w:val="top"/>
          </w:tcPr>
          <w:p>
            <w:pPr>
              <w:pStyle w:val="30"/>
              <w:spacing w:before="179" w:line="360" w:lineRule="auto"/>
              <w:ind w:left="28" w:right="16" w:hanging="7"/>
              <w:rPr>
                <w:rFonts w:hint="eastAsia" w:cs="仿宋"/>
                <w:spacing w:val="2"/>
                <w:lang w:val="en-US" w:eastAsia="zh-CN"/>
              </w:rPr>
            </w:pPr>
            <w:r>
              <w:rPr>
                <w:rFonts w:hint="eastAsia"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pPr>
              <w:pStyle w:val="30"/>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莎车县宏远融资担保有限责任公司</w:t>
            </w:r>
          </w:p>
          <w:p>
            <w:pPr>
              <w:pStyle w:val="30"/>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ascii="宋体" w:hAnsi="宋体" w:eastAsia="宋体" w:cs="宋体"/>
                <w:sz w:val="24"/>
                <w:szCs w:val="24"/>
              </w:rPr>
            </w:pPr>
            <w:r>
              <w:rPr>
                <w:rFonts w:hint="eastAsia" w:cs="仿宋"/>
                <w:spacing w:val="2"/>
                <w:lang w:val="en-US" w:eastAsia="zh-CN"/>
              </w:rPr>
              <w:t>联系人：</w:t>
            </w:r>
            <w:r>
              <w:rPr>
                <w:rFonts w:hint="eastAsia" w:ascii="仿宋" w:hAnsi="仿宋" w:eastAsia="仿宋" w:cs="仿宋"/>
                <w:spacing w:val="2"/>
              </w:rPr>
              <w:t>王升</w:t>
            </w:r>
            <w:r>
              <w:rPr>
                <w:rFonts w:hint="eastAsia" w:ascii="仿宋" w:hAnsi="仿宋" w:eastAsia="仿宋" w:cs="仿宋"/>
                <w:spacing w:val="2"/>
                <w:lang w:val="en-US" w:eastAsia="zh-CN"/>
              </w:rPr>
              <w:t xml:space="preserve">           联系电话：</w:t>
            </w:r>
            <w:r>
              <w:rPr>
                <w:rFonts w:hint="eastAsia" w:ascii="仿宋" w:hAnsi="仿宋" w:eastAsia="仿宋" w:cs="仿宋"/>
                <w:spacing w:val="2"/>
              </w:rPr>
              <w:t>18699899296</w:t>
            </w:r>
          </w:p>
          <w:p>
            <w:pPr>
              <w:pStyle w:val="30"/>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地址：莎车县新城 16号</w:t>
            </w:r>
          </w:p>
          <w:p>
            <w:pPr>
              <w:pStyle w:val="30"/>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邮箱：</w:t>
            </w:r>
            <w:r>
              <w:rPr>
                <w:rFonts w:ascii="宋体" w:hAnsi="宋体" w:eastAsia="宋体" w:cs="宋体"/>
                <w:sz w:val="24"/>
                <w:szCs w:val="24"/>
              </w:rPr>
              <w:t>245462334@qq.com</w:t>
            </w:r>
          </w:p>
          <w:p>
            <w:pPr>
              <w:pStyle w:val="30"/>
              <w:spacing w:before="179" w:line="359" w:lineRule="auto"/>
              <w:ind w:left="28" w:leftChars="0" w:right="16" w:rightChars="0" w:hanging="7"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highlight w:val="none"/>
                <w:lang w:eastAsia="zh-CN"/>
              </w:rPr>
              <w:t>（</w:t>
            </w:r>
            <w:r>
              <w:rPr>
                <w:rFonts w:hint="eastAsia" w:ascii="仿宋" w:hAnsi="仿宋" w:eastAsia="仿宋" w:cs="仿宋"/>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spacing w:val="2"/>
                <w:highlight w:val="none"/>
                <w:lang w:eastAsia="zh-CN"/>
              </w:rPr>
              <w:t>）</w:t>
            </w:r>
            <w:r>
              <w:rPr>
                <w:rFonts w:hint="eastAsia" w:ascii="仿宋" w:hAnsi="仿宋" w:eastAsia="仿宋" w:cs="仿宋"/>
                <w:snapToGrid w:val="0"/>
                <w:color w:val="000000"/>
                <w:kern w:val="0"/>
                <w:sz w:val="24"/>
                <w:szCs w:val="24"/>
                <w:lang w:val="en-US" w:eastAsia="en-US" w:bidi="ar-SA"/>
              </w:rPr>
              <w:t xml:space="preserve"> </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366" w:type="dxa"/>
            <w:tcBorders>
              <w:top w:val="single" w:color="000000" w:sz="4" w:space="0"/>
              <w:bottom w:val="single" w:color="000000" w:sz="4" w:space="0"/>
              <w:right w:val="single" w:color="000000" w:sz="4" w:space="0"/>
            </w:tcBorders>
            <w:vAlign w:val="top"/>
          </w:tcPr>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jc w:val="center"/>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其他</w:t>
            </w:r>
          </w:p>
        </w:tc>
        <w:tc>
          <w:tcPr>
            <w:tcW w:w="7010" w:type="dxa"/>
            <w:tcBorders>
              <w:top w:val="single" w:color="000000" w:sz="4" w:space="0"/>
              <w:left w:val="single" w:color="000000" w:sz="4" w:space="0"/>
              <w:bottom w:val="single" w:color="000000" w:sz="4" w:space="0"/>
            </w:tcBorders>
            <w:vAlign w:val="top"/>
          </w:tcPr>
          <w:p>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中小企业划型标准规定</w:t>
            </w:r>
          </w:p>
          <w:p>
            <w:pPr>
              <w:pStyle w:val="6"/>
              <w:rPr>
                <w:rFonts w:hint="eastAsia"/>
                <w:lang w:val="en-US" w:eastAsia="zh-CN"/>
              </w:rPr>
            </w:pP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1366" w:type="dxa"/>
            <w:tcBorders>
              <w:top w:val="single" w:color="000000" w:sz="4" w:space="0"/>
              <w:bottom w:val="single" w:color="000000" w:sz="4" w:space="0"/>
              <w:right w:val="single" w:color="000000" w:sz="4" w:space="0"/>
            </w:tcBorders>
            <w:vAlign w:val="top"/>
          </w:tcPr>
          <w:p>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p>
          <w:p>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p>
          <w:p>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pPr>
              <w:keepNext w:val="0"/>
              <w:keepLines w:val="0"/>
              <w:widowControl/>
              <w:suppressLineNumbers w:val="0"/>
              <w:jc w:val="center"/>
              <w:rPr>
                <w:rFonts w:hint="eastAsia" w:ascii="仿宋" w:hAnsi="仿宋" w:eastAsia="仿宋" w:cs="仿宋"/>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行业</w:t>
            </w:r>
          </w:p>
        </w:tc>
        <w:tc>
          <w:tcPr>
            <w:tcW w:w="7010" w:type="dxa"/>
            <w:tcBorders>
              <w:top w:val="single" w:color="000000" w:sz="4" w:space="0"/>
              <w:left w:val="single" w:color="000000" w:sz="4" w:space="0"/>
              <w:bottom w:val="single" w:color="000000" w:sz="4" w:space="0"/>
            </w:tcBorders>
            <w:vAlign w:val="top"/>
          </w:tcPr>
          <w:p>
            <w:pPr>
              <w:pStyle w:val="30"/>
              <w:spacing w:before="179" w:line="359" w:lineRule="auto"/>
              <w:ind w:left="256" w:leftChars="122" w:right="16" w:rightChars="0" w:firstLine="725" w:firstLineChars="296"/>
              <w:jc w:val="both"/>
              <w:rPr>
                <w:rFonts w:hint="eastAsia"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标项四蔬菜、时令水果：农、林、牧、渔业</w:t>
            </w:r>
          </w:p>
          <w:p>
            <w:pPr>
              <w:pStyle w:val="30"/>
              <w:spacing w:before="179" w:line="359" w:lineRule="auto"/>
              <w:ind w:right="16" w:rightChars="0" w:firstLine="980" w:firstLineChars="400"/>
              <w:jc w:val="both"/>
              <w:rPr>
                <w:rFonts w:hint="default"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标项五学生饮用奶：工业</w:t>
            </w:r>
          </w:p>
          <w:p>
            <w:pPr>
              <w:pStyle w:val="30"/>
              <w:spacing w:before="179" w:line="359" w:lineRule="auto"/>
              <w:ind w:left="256" w:leftChars="122" w:right="16" w:rightChars="0" w:firstLine="725" w:firstLineChars="296"/>
              <w:jc w:val="both"/>
              <w:rPr>
                <w:rFonts w:hint="default"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标项六调料：工业；鲜鸡蛋：农、林、牧、渔业</w:t>
            </w:r>
          </w:p>
        </w:tc>
      </w:tr>
    </w:tbl>
    <w:p>
      <w:pPr>
        <w:rPr>
          <w:rFonts w:hint="eastAsia" w:ascii="仿宋" w:hAnsi="仿宋" w:eastAsia="仿宋" w:cs="仿宋"/>
          <w:sz w:val="21"/>
          <w:szCs w:val="21"/>
        </w:rPr>
        <w:sectPr>
          <w:headerReference r:id="rId38" w:type="default"/>
          <w:footerReference r:id="rId39" w:type="default"/>
          <w:pgSz w:w="11906" w:h="16839"/>
          <w:pgMar w:top="1440" w:right="1800" w:bottom="1440" w:left="1800" w:header="0" w:footer="992" w:gutter="0"/>
          <w:pgBorders>
            <w:top w:val="single" w:color="auto" w:sz="4" w:space="1"/>
            <w:left w:val="none" w:sz="0" w:space="0"/>
            <w:bottom w:val="none" w:sz="0" w:space="0"/>
            <w:right w:val="none" w:sz="0" w:space="0"/>
          </w:pgBorders>
          <w:pgNumType w:fmt="decimal"/>
          <w:cols w:space="720" w:num="1"/>
        </w:sectPr>
      </w:pPr>
    </w:p>
    <w:p>
      <w:pPr>
        <w:spacing w:line="270" w:lineRule="auto"/>
        <w:rPr>
          <w:rFonts w:hint="eastAsia" w:ascii="仿宋" w:hAnsi="仿宋" w:eastAsia="仿宋" w:cs="仿宋"/>
          <w:sz w:val="21"/>
        </w:rPr>
      </w:pPr>
    </w:p>
    <w:p>
      <w:pPr>
        <w:spacing w:line="271" w:lineRule="auto"/>
        <w:rPr>
          <w:rFonts w:hint="eastAsia" w:ascii="仿宋" w:hAnsi="仿宋" w:eastAsia="仿宋" w:cs="仿宋"/>
          <w:sz w:val="21"/>
        </w:rPr>
      </w:pPr>
    </w:p>
    <w:p>
      <w:pPr>
        <w:pStyle w:val="3"/>
        <w:bidi w:val="0"/>
        <w:outlineLvl w:val="1"/>
        <w:rPr>
          <w:rFonts w:hint="eastAsia"/>
          <w:sz w:val="28"/>
          <w:szCs w:val="18"/>
        </w:rPr>
      </w:pPr>
      <w:bookmarkStart w:id="179" w:name="_Toc22382"/>
      <w:r>
        <w:rPr>
          <w:rFonts w:hint="eastAsia"/>
          <w:sz w:val="28"/>
          <w:szCs w:val="18"/>
        </w:rPr>
        <w:t>资格审查表</w:t>
      </w:r>
      <w:bookmarkEnd w:id="179"/>
    </w:p>
    <w:p>
      <w:pPr>
        <w:spacing w:line="137" w:lineRule="exact"/>
        <w:rPr>
          <w:rFonts w:hint="eastAsia" w:ascii="仿宋" w:hAnsi="仿宋" w:eastAsia="仿宋" w:cs="仿宋"/>
        </w:rPr>
      </w:pPr>
    </w:p>
    <w:tbl>
      <w:tblPr>
        <w:tblStyle w:val="31"/>
        <w:tblpPr w:leftFromText="180" w:rightFromText="180" w:vertAnchor="text" w:horzAnchor="page" w:tblpX="619" w:tblpY="160"/>
        <w:tblOverlap w:val="never"/>
        <w:tblW w:w="158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194"/>
        <w:gridCol w:w="1014"/>
        <w:gridCol w:w="1365"/>
        <w:gridCol w:w="1096"/>
        <w:gridCol w:w="1180"/>
        <w:gridCol w:w="3224"/>
        <w:gridCol w:w="1119"/>
        <w:gridCol w:w="814"/>
        <w:gridCol w:w="2440"/>
        <w:gridCol w:w="611"/>
        <w:gridCol w:w="508"/>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02" w:type="dxa"/>
            <w:vMerge w:val="restart"/>
            <w:tcBorders>
              <w:bottom w:val="nil"/>
            </w:tcBorders>
            <w:textDirection w:val="tbRlV"/>
            <w:vAlign w:val="top"/>
          </w:tcPr>
          <w:p>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4565" w:type="dxa"/>
            <w:gridSpan w:val="11"/>
            <w:vAlign w:val="top"/>
          </w:tcPr>
          <w:p>
            <w:pPr>
              <w:spacing w:before="58" w:line="359" w:lineRule="auto"/>
              <w:ind w:right="105"/>
              <w:jc w:val="center"/>
              <w:rPr>
                <w:rFonts w:hint="eastAsia" w:ascii="仿宋" w:hAnsi="仿宋" w:eastAsia="仿宋" w:cs="仿宋"/>
                <w:b w:val="0"/>
                <w:bCs w:val="0"/>
                <w:sz w:val="24"/>
                <w:szCs w:val="24"/>
                <w:u w:val="none"/>
                <w:lang w:val="en-US" w:eastAsia="zh-CN"/>
              </w:rPr>
            </w:pPr>
            <w:r>
              <w:rPr>
                <w:rFonts w:hint="eastAsia" w:ascii="仿宋" w:hAnsi="仿宋" w:eastAsia="仿宋" w:cs="仿宋"/>
                <w:spacing w:val="3"/>
                <w:sz w:val="22"/>
                <w:szCs w:val="22"/>
              </w:rPr>
              <w:t>审查项目</w:t>
            </w:r>
          </w:p>
        </w:tc>
        <w:tc>
          <w:tcPr>
            <w:tcW w:w="604" w:type="dxa"/>
            <w:vAlign w:val="top"/>
          </w:tcPr>
          <w:p>
            <w:pPr>
              <w:spacing w:before="58" w:line="221" w:lineRule="auto"/>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8" w:hRule="atLeast"/>
        </w:trPr>
        <w:tc>
          <w:tcPr>
            <w:tcW w:w="702" w:type="dxa"/>
            <w:vMerge w:val="continue"/>
            <w:tcBorders>
              <w:top w:val="nil"/>
            </w:tcBorders>
            <w:textDirection w:val="tbRlV"/>
            <w:vAlign w:val="top"/>
          </w:tcPr>
          <w:p>
            <w:pPr>
              <w:rPr>
                <w:rFonts w:hint="eastAsia" w:ascii="仿宋" w:hAnsi="仿宋" w:eastAsia="仿宋" w:cs="仿宋"/>
                <w:sz w:val="22"/>
                <w:szCs w:val="22"/>
              </w:rPr>
            </w:pPr>
          </w:p>
        </w:tc>
        <w:tc>
          <w:tcPr>
            <w:tcW w:w="1194"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rPr>
            </w:pPr>
            <w:r>
              <w:rPr>
                <w:rFonts w:hint="eastAsia" w:ascii="仿宋" w:hAnsi="仿宋" w:eastAsia="仿宋" w:cs="仿宋"/>
                <w:b w:val="0"/>
                <w:bCs w:val="0"/>
                <w:sz w:val="22"/>
                <w:szCs w:val="22"/>
                <w:u w:val="none"/>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1014"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left="110" w:right="105" w:firstLine="2"/>
              <w:jc w:val="both"/>
              <w:textAlignment w:val="baseline"/>
              <w:rPr>
                <w:rFonts w:hint="eastAsia" w:ascii="仿宋" w:hAnsi="仿宋" w:eastAsia="仿宋" w:cs="仿宋_GB2312"/>
                <w:color w:val="000000"/>
                <w:kern w:val="0"/>
                <w:sz w:val="22"/>
                <w:szCs w:val="22"/>
                <w:lang w:val="en-US" w:eastAsia="zh-CN" w:bidi="ar"/>
              </w:rPr>
            </w:pPr>
            <w:r>
              <w:rPr>
                <w:rFonts w:hint="eastAsia" w:ascii="仿宋" w:hAnsi="仿宋" w:eastAsia="仿宋" w:cs="仿宋_GB2312"/>
                <w:color w:val="000000"/>
                <w:kern w:val="0"/>
                <w:sz w:val="22"/>
                <w:szCs w:val="22"/>
                <w:lang w:val="en-US" w:eastAsia="zh-CN" w:bidi="ar"/>
              </w:rPr>
              <w:t>授权人参与投标提供法定代表人授权书及被授权人身份证；法人本人参与投标提供法人身份证及法人资格证明；</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rPr>
            </w:pPr>
          </w:p>
        </w:tc>
        <w:tc>
          <w:tcPr>
            <w:tcW w:w="1365"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left="110" w:right="105" w:firstLine="2"/>
              <w:jc w:val="both"/>
              <w:textAlignment w:val="baseline"/>
              <w:rPr>
                <w:rFonts w:hint="eastAsia" w:ascii="仿宋" w:hAnsi="仿宋" w:eastAsia="仿宋" w:cs="仿宋_GB2312"/>
                <w:color w:val="000000"/>
                <w:kern w:val="0"/>
                <w:sz w:val="22"/>
                <w:szCs w:val="22"/>
                <w:lang w:val="en-US" w:eastAsia="zh-CN" w:bidi="ar"/>
              </w:rPr>
            </w:pPr>
            <w:r>
              <w:rPr>
                <w:rFonts w:hint="eastAsia" w:ascii="仿宋" w:hAnsi="仿宋" w:eastAsia="仿宋" w:cs="仿宋_GB2312"/>
                <w:color w:val="000000"/>
                <w:kern w:val="0"/>
                <w:sz w:val="22"/>
                <w:szCs w:val="22"/>
                <w:lang w:val="en-US" w:eastAsia="zh-CN" w:bidi="ar"/>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color w:val="000000"/>
                <w:kern w:val="0"/>
                <w:sz w:val="22"/>
                <w:szCs w:val="22"/>
                <w:lang w:val="en-US" w:eastAsia="zh-CN" w:bidi="ar"/>
              </w:rPr>
              <w:t>（新成立公司不足3个月的提供成立至今缴纳证明）</w:t>
            </w:r>
            <w:r>
              <w:rPr>
                <w:rFonts w:hint="eastAsia" w:ascii="仿宋" w:hAnsi="仿宋" w:eastAsia="仿宋" w:cs="仿宋_GB2312"/>
                <w:color w:val="000000"/>
                <w:kern w:val="0"/>
                <w:sz w:val="22"/>
                <w:szCs w:val="22"/>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left="110" w:right="105" w:firstLine="2"/>
              <w:jc w:val="both"/>
              <w:textAlignment w:val="baseline"/>
              <w:rPr>
                <w:rFonts w:hint="eastAsia" w:ascii="仿宋" w:hAnsi="仿宋" w:eastAsia="仿宋" w:cs="仿宋"/>
                <w:spacing w:val="4"/>
                <w:sz w:val="21"/>
                <w:szCs w:val="21"/>
              </w:rPr>
            </w:pPr>
          </w:p>
        </w:tc>
        <w:tc>
          <w:tcPr>
            <w:tcW w:w="109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2024年的财务审计报告（新成立的公司提供自成立以来最新的银行资信证明）；</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lang w:val="zh-CN" w:eastAsia="zh-CN"/>
              </w:rPr>
            </w:pPr>
          </w:p>
        </w:tc>
        <w:tc>
          <w:tcPr>
            <w:tcW w:w="1180"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lang w:val="zh-CN" w:eastAsia="zh-CN"/>
              </w:rPr>
            </w:pPr>
          </w:p>
        </w:tc>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lang w:val="zh-CN" w:eastAsia="zh-CN"/>
              </w:rPr>
            </w:pPr>
            <w:r>
              <w:rPr>
                <w:rFonts w:hint="eastAsia" w:ascii="仿宋" w:hAnsi="仿宋" w:eastAsia="仿宋" w:cs="仿宋"/>
                <w:color w:val="000000"/>
                <w:kern w:val="0"/>
                <w:sz w:val="22"/>
                <w:szCs w:val="22"/>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提供参加政府采购活动前三年内在经营活动中没有重大违法记录的书面声明；</w:t>
            </w:r>
          </w:p>
        </w:tc>
        <w:tc>
          <w:tcPr>
            <w:tcW w:w="814"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针对本次采购项目《反商业贿赂承诺书》</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tc>
        <w:tc>
          <w:tcPr>
            <w:tcW w:w="244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_GB2312"/>
                <w:color w:val="000000"/>
                <w:kern w:val="0"/>
                <w:sz w:val="22"/>
                <w:szCs w:val="22"/>
                <w:lang w:val="en-US" w:eastAsia="zh-CN" w:bidi="ar"/>
              </w:rPr>
            </w:pPr>
            <w:r>
              <w:rPr>
                <w:rFonts w:hint="default" w:ascii="仿宋" w:hAnsi="仿宋" w:eastAsia="仿宋" w:cs="仿宋_GB2312"/>
                <w:color w:val="000000"/>
                <w:kern w:val="0"/>
                <w:sz w:val="22"/>
                <w:szCs w:val="22"/>
                <w:lang w:val="en-US" w:eastAsia="zh-CN" w:bidi="ar"/>
              </w:rPr>
              <w:t>投标单位为生产商的需提供有效期的《食品生产许可证》</w:t>
            </w:r>
            <w:r>
              <w:rPr>
                <w:rFonts w:hint="eastAsia" w:ascii="仿宋" w:hAnsi="仿宋" w:eastAsia="仿宋" w:cs="仿宋_GB2312"/>
                <w:color w:val="000000"/>
                <w:kern w:val="0"/>
                <w:sz w:val="22"/>
                <w:szCs w:val="22"/>
                <w:lang w:val="en-US" w:eastAsia="zh-CN" w:bidi="ar"/>
              </w:rPr>
              <w:t>。</w:t>
            </w:r>
            <w:r>
              <w:rPr>
                <w:rFonts w:hint="default" w:ascii="仿宋" w:hAnsi="仿宋" w:eastAsia="仿宋" w:cs="仿宋_GB2312"/>
                <w:color w:val="000000"/>
                <w:kern w:val="0"/>
                <w:sz w:val="22"/>
                <w:szCs w:val="22"/>
                <w:lang w:val="en-US" w:eastAsia="zh-CN" w:bidi="ar"/>
              </w:rPr>
              <w:t>投标单位为经销商的需提供有效期《食品经营许可证》或《仅销售预包装食品经营者信息采集备案表》</w:t>
            </w:r>
            <w:r>
              <w:rPr>
                <w:rFonts w:hint="eastAsia" w:ascii="仿宋" w:hAnsi="仿宋" w:eastAsia="仿宋" w:cs="仿宋_GB2312"/>
                <w:color w:val="000000"/>
                <w:kern w:val="0"/>
                <w:sz w:val="22"/>
                <w:szCs w:val="22"/>
                <w:lang w:val="en-US" w:eastAsia="zh-CN" w:bidi="ar"/>
              </w:rPr>
              <w:t>；第6标段：</w:t>
            </w:r>
            <w:r>
              <w:rPr>
                <w:rFonts w:hint="default" w:ascii="仿宋" w:hAnsi="仿宋" w:eastAsia="仿宋" w:cs="仿宋_GB2312"/>
                <w:color w:val="000000"/>
                <w:kern w:val="0"/>
                <w:sz w:val="22"/>
                <w:szCs w:val="22"/>
                <w:lang w:val="en-US" w:eastAsia="zh-CN" w:bidi="ar"/>
              </w:rPr>
              <w:t>若投标供应商为生产商，须提供有效</w:t>
            </w:r>
            <w:r>
              <w:rPr>
                <w:rFonts w:hint="eastAsia" w:ascii="仿宋" w:hAnsi="仿宋" w:eastAsia="仿宋" w:cs="仿宋_GB2312"/>
                <w:color w:val="000000"/>
                <w:kern w:val="0"/>
                <w:sz w:val="22"/>
                <w:szCs w:val="22"/>
                <w:lang w:val="en-US" w:eastAsia="zh-CN" w:bidi="ar"/>
              </w:rPr>
              <w:t>期内</w:t>
            </w:r>
            <w:r>
              <w:rPr>
                <w:rFonts w:hint="default" w:ascii="仿宋" w:hAnsi="仿宋" w:eastAsia="仿宋" w:cs="仿宋_GB2312"/>
                <w:color w:val="000000"/>
                <w:kern w:val="0"/>
                <w:sz w:val="22"/>
                <w:szCs w:val="22"/>
                <w:lang w:val="en-US" w:eastAsia="zh-CN" w:bidi="ar"/>
              </w:rPr>
              <w:t>的《食品生产许可证》</w:t>
            </w:r>
            <w:r>
              <w:rPr>
                <w:rFonts w:hint="eastAsia" w:ascii="仿宋" w:hAnsi="仿宋" w:eastAsia="仿宋" w:cs="仿宋_GB2312"/>
                <w:color w:val="000000"/>
                <w:kern w:val="0"/>
                <w:sz w:val="22"/>
                <w:szCs w:val="22"/>
                <w:lang w:val="en-US" w:eastAsia="zh-CN" w:bidi="ar"/>
              </w:rPr>
              <w:t>、有效期内的</w:t>
            </w:r>
            <w:r>
              <w:rPr>
                <w:rFonts w:hint="default" w:ascii="仿宋" w:hAnsi="仿宋" w:eastAsia="仿宋" w:cs="仿宋_GB2312"/>
                <w:color w:val="000000"/>
                <w:kern w:val="0"/>
                <w:sz w:val="22"/>
                <w:szCs w:val="22"/>
                <w:lang w:val="en-US" w:eastAsia="zh-CN" w:bidi="ar"/>
              </w:rPr>
              <w:t>《动物防疫条件合格证》</w:t>
            </w:r>
            <w:r>
              <w:rPr>
                <w:rFonts w:hint="eastAsia" w:ascii="仿宋" w:hAnsi="仿宋" w:eastAsia="仿宋" w:cs="仿宋_GB2312"/>
                <w:color w:val="000000"/>
                <w:kern w:val="0"/>
                <w:sz w:val="22"/>
                <w:szCs w:val="22"/>
                <w:lang w:val="en-US" w:eastAsia="zh-CN" w:bidi="ar"/>
              </w:rPr>
              <w:t>及其在有效期内的官方证明材料，</w:t>
            </w:r>
            <w:r>
              <w:rPr>
                <w:rFonts w:hint="default" w:ascii="仿宋" w:hAnsi="仿宋" w:eastAsia="仿宋" w:cs="仿宋_GB2312"/>
                <w:color w:val="000000"/>
                <w:kern w:val="0"/>
                <w:sz w:val="22"/>
                <w:szCs w:val="22"/>
                <w:lang w:val="en-US" w:eastAsia="zh-CN" w:bidi="ar"/>
              </w:rPr>
              <w:t>若投标供应商为经销商或代理商</w:t>
            </w:r>
            <w:r>
              <w:rPr>
                <w:rFonts w:hint="eastAsia" w:ascii="仿宋" w:hAnsi="仿宋" w:eastAsia="仿宋" w:cs="仿宋_GB2312"/>
                <w:color w:val="000000"/>
                <w:kern w:val="0"/>
                <w:sz w:val="22"/>
                <w:szCs w:val="22"/>
                <w:lang w:val="en-US" w:eastAsia="zh-CN" w:bidi="ar"/>
              </w:rPr>
              <w:t>，</w:t>
            </w:r>
            <w:r>
              <w:rPr>
                <w:rFonts w:hint="default" w:ascii="仿宋" w:hAnsi="仿宋" w:eastAsia="仿宋" w:cs="仿宋_GB2312"/>
                <w:color w:val="000000"/>
                <w:kern w:val="0"/>
                <w:sz w:val="22"/>
                <w:szCs w:val="22"/>
                <w:lang w:val="en-US" w:eastAsia="zh-CN" w:bidi="ar"/>
              </w:rPr>
              <w:t>须提供</w:t>
            </w:r>
            <w:r>
              <w:rPr>
                <w:rFonts w:hint="eastAsia" w:ascii="仿宋" w:hAnsi="仿宋" w:eastAsia="仿宋" w:cs="仿宋_GB2312"/>
                <w:color w:val="000000"/>
                <w:kern w:val="0"/>
                <w:sz w:val="22"/>
                <w:szCs w:val="22"/>
                <w:lang w:val="en-US" w:eastAsia="zh-CN" w:bidi="ar"/>
              </w:rPr>
              <w:t>自身在有效期内的</w:t>
            </w:r>
            <w:r>
              <w:rPr>
                <w:rFonts w:hint="default" w:ascii="仿宋" w:hAnsi="仿宋" w:eastAsia="仿宋" w:cs="仿宋_GB2312"/>
                <w:color w:val="000000"/>
                <w:kern w:val="0"/>
                <w:sz w:val="22"/>
                <w:szCs w:val="22"/>
                <w:lang w:val="en-US" w:eastAsia="zh-CN" w:bidi="ar"/>
              </w:rPr>
              <w:t>《食品经营许可证》或《仅销售预包装食品经营者信息采集备案表</w:t>
            </w:r>
            <w:r>
              <w:rPr>
                <w:rFonts w:hint="eastAsia" w:ascii="仿宋" w:hAnsi="仿宋" w:eastAsia="仿宋" w:cs="仿宋_GB2312"/>
                <w:color w:val="000000"/>
                <w:kern w:val="0"/>
                <w:sz w:val="22"/>
                <w:szCs w:val="22"/>
                <w:lang w:val="en-US" w:eastAsia="zh-CN" w:bidi="ar"/>
              </w:rPr>
              <w:t>》；并提供自身或上游供货商有效期内的《动物防疫条件合格证》及其在有效期内的官方证明材料，若使用上游供货商的《动物防疫条件合格证》，还需提供与上游供货商的合作协议等证明材料；</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default" w:ascii="仿宋" w:hAnsi="仿宋" w:eastAsia="仿宋" w:cs="仿宋"/>
                <w:b w:val="0"/>
                <w:bCs w:val="0"/>
                <w:sz w:val="22"/>
                <w:szCs w:val="22"/>
                <w:u w:val="none"/>
                <w:lang w:val="en-US" w:eastAsia="zh-CN"/>
              </w:rPr>
            </w:pPr>
          </w:p>
        </w:tc>
        <w:tc>
          <w:tcPr>
            <w:tcW w:w="611"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default" w:ascii="仿宋" w:hAnsi="仿宋" w:eastAsia="仿宋" w:cs="仿宋"/>
                <w:b w:val="0"/>
                <w:bCs w:val="0"/>
                <w:sz w:val="22"/>
                <w:szCs w:val="22"/>
                <w:u w:val="none"/>
                <w:lang w:val="en-US" w:eastAsia="zh-CN"/>
              </w:rPr>
            </w:pPr>
            <w:r>
              <w:rPr>
                <w:rFonts w:hint="default" w:ascii="仿宋" w:hAnsi="仿宋" w:eastAsia="仿宋" w:cs="仿宋"/>
                <w:b w:val="0"/>
                <w:bCs w:val="0"/>
                <w:sz w:val="22"/>
                <w:szCs w:val="22"/>
                <w:u w:val="none"/>
                <w:lang w:val="en-US" w:eastAsia="zh-CN"/>
              </w:rPr>
              <w:t>必须具有履行合同所必需的设备和专业技术能力；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tc>
        <w:tc>
          <w:tcPr>
            <w:tcW w:w="508"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default"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tc>
        <w:tc>
          <w:tcPr>
            <w:tcW w:w="6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52" w:line="24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4"/>
                <w:sz w:val="21"/>
                <w:szCs w:val="21"/>
              </w:rPr>
              <w:t>审核结果</w:t>
            </w:r>
          </w:p>
        </w:tc>
      </w:tr>
    </w:tbl>
    <w:p>
      <w:pPr>
        <w:rPr>
          <w:rFonts w:hint="eastAsia"/>
        </w:rPr>
        <w:sectPr>
          <w:footerReference r:id="rId40" w:type="default"/>
          <w:pgSz w:w="16840" w:h="11907"/>
          <w:pgMar w:top="400" w:right="2146" w:bottom="1262" w:left="1377" w:header="0" w:footer="1084" w:gutter="0"/>
          <w:pgBorders>
            <w:top w:val="single" w:color="auto" w:sz="4" w:space="1"/>
            <w:left w:val="none" w:sz="0" w:space="0"/>
            <w:bottom w:val="none" w:sz="0" w:space="0"/>
            <w:right w:val="none" w:sz="0" w:space="0"/>
          </w:pgBorders>
          <w:pgNumType w:fmt="decimal"/>
          <w:cols w:space="720" w:num="1"/>
        </w:sectPr>
      </w:pPr>
    </w:p>
    <w:p>
      <w:pPr>
        <w:pStyle w:val="5"/>
        <w:numPr>
          <w:ilvl w:val="0"/>
          <w:numId w:val="11"/>
        </w:numPr>
        <w:bidi w:val="0"/>
        <w:jc w:val="center"/>
        <w:outlineLvl w:val="0"/>
        <w:rPr>
          <w:rFonts w:hint="eastAsia"/>
          <w:sz w:val="24"/>
          <w:szCs w:val="24"/>
          <w:lang w:val="en-US" w:eastAsia="zh-CN"/>
        </w:rPr>
      </w:pPr>
      <w:bookmarkStart w:id="180" w:name="_Toc26665"/>
      <w:r>
        <w:rPr>
          <w:rStyle w:val="44"/>
          <w:rFonts w:hint="eastAsia" w:ascii="仿宋" w:hAnsi="仿宋" w:eastAsia="仿宋" w:cs="仿宋"/>
          <w:b/>
          <w:lang w:val="en-US" w:eastAsia="zh-CN"/>
        </w:rPr>
        <w:t>货物</w:t>
      </w:r>
      <w:r>
        <w:rPr>
          <w:rStyle w:val="44"/>
          <w:rFonts w:hint="eastAsia" w:ascii="仿宋" w:hAnsi="仿宋" w:eastAsia="仿宋" w:cs="仿宋"/>
          <w:b/>
        </w:rPr>
        <w:t>需求一览表</w:t>
      </w:r>
      <w:bookmarkEnd w:id="180"/>
    </w:p>
    <w:p>
      <w:pPr>
        <w:pStyle w:val="5"/>
        <w:numPr>
          <w:ilvl w:val="0"/>
          <w:numId w:val="0"/>
        </w:numPr>
        <w:bidi w:val="0"/>
        <w:jc w:val="center"/>
        <w:outlineLvl w:val="0"/>
        <w:rPr>
          <w:rFonts w:hint="eastAsia"/>
          <w:sz w:val="24"/>
          <w:szCs w:val="24"/>
          <w:lang w:val="en-US" w:eastAsia="zh-CN"/>
        </w:rPr>
      </w:pPr>
      <w:r>
        <w:rPr>
          <w:rFonts w:hint="eastAsia" w:ascii="仿宋" w:hAnsi="仿宋" w:eastAsia="仿宋" w:cs="仿宋"/>
          <w:b/>
          <w:bCs/>
          <w:i w:val="0"/>
          <w:iCs w:val="0"/>
          <w:color w:val="000000"/>
          <w:kern w:val="0"/>
          <w:sz w:val="32"/>
          <w:szCs w:val="32"/>
          <w:u w:val="none"/>
          <w:lang w:val="en-US" w:eastAsia="zh-CN" w:bidi="ar"/>
        </w:rPr>
        <w:t>莎车县教育系统2025年中职、高中学校食堂食材联合采购项目第4标段（蔬菜、时令水果）</w:t>
      </w:r>
    </w:p>
    <w:tbl>
      <w:tblPr>
        <w:tblStyle w:val="21"/>
        <w:tblW w:w="10407" w:type="dxa"/>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258"/>
        <w:gridCol w:w="767"/>
        <w:gridCol w:w="784"/>
        <w:gridCol w:w="733"/>
        <w:gridCol w:w="3879"/>
        <w:gridCol w:w="1272"/>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项目名称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采购数量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数量单位</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食材内容及要求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配送地点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0" w:hRule="atLeast"/>
        </w:trPr>
        <w:tc>
          <w:tcPr>
            <w:tcW w:w="78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12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莎车县教育系统2025年中职、高中学校食堂食材联合采购项目第4、5、6标段</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蔬菜</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一批</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所供应的蔬菜应当符合《中华人民共和国农产品质量安全法》，药物残留不超标，并可溯源。1.计量单位kg，净重量不包含外包装；2.采取相应承装措施、包装要完好无损、包装袋表面无任何污物和污渍；3.供货时需按日期或批次提供农残快速检测报告及承诺达标合格证，企业必须对蔬菜进行抽样农残检测，凡是超标的蔬菜品种严禁配送，且具备快速检测的设备及人员，并提供相关法律法规要求的其他证明等材料；4.具体规格及质量要求如下（未列举的蔬菜按照市场一级质量要求确定具体规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①西红柿：个重≧100g，着色均匀果肉充实，味道酸甜适口，成熟度8成以上，果形圆正不破裂，果蒂新绿表面光滑洁净，果肉饱满有弹性，无腐烂、冻伤、病虫害，感官无异常。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②辣椒：长度≧10cm，单果重量≧60g。个头大小均匀，表面光滑，蒂部新鲜，无发黑、萎蔫、虫咬、冻伤、腐烂，感官无异常。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③大白菜：个重≧800g，棵株完整、外形整齐、大小均匀，叶新鲜光泽，外表干爽无泥，包心坚实紧密、手感坚实，根部削平、断面洁白，感官无异常，无腐烂病虫害、黄叶、空心、压伤、冻伤、虫蛀、裂缝、花斑、锈点、泥土、机械伤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④上海青：捆扎成捆，根上无泥，捆内无杂物，色泽鲜嫩翠绿，叶嫩茎绿、水分充足，无枯黄叶和花斑叶，植株健壮，整齐而不断，不抽苔，无烂叶、断裂及腐烂出现，感官无异常。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⑤白萝卜：个重≧400g，果型完整，大小均匀，肉质松脆多汁，头部削平整、外观新鲜，色泽鲜嫩，颜色洁白光亮，肉质饱满而无损伤，弹击时有实心感觉，表皮光滑而不开裂，不空心、黑心、不发糠，无病虫害、泥沙、无擦伤及腐烂出现，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⑥胡萝卜、黄萝卜：直径≧4cm，长度15cm以上，形体完整无畸形，表面光滑、头部削平整，外观新鲜、颜色红色或橘色条直匀称，水分大、分量足，不开裂、空心发糠，无泥土、伤痕、无病虫害、无腐烂变质，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⑦洋葱：个重≧150g，个头均匀，色泽正常,表面光滑、脆嫩,心部不腐烂，无机械伤、无病虫害、无鳞芽、无干皮、无冻伤及泥土，感官无异常。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⑧土豆：个重≧200g，外观良好干净，表皮光滑，果体新鲜，大小均匀，无发芽变绿、无干疤病斑、无虫咬无冻伤腐烂异味，肉呈黄白色。</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⑨芹菜：叶绿茎嫩、无空心不变老，根部平整呈白色，水分充足，有清香味。无泥土、黄叶、烂叶、根茎变黄、断裂及腐烂变质。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⑩葫芦瓜：个重≧200g，无柄，基部削平，色泽为浅绿色，外观形状完好，果实大小基本整齐，均匀，外观相似，瓜肉较鲜嫩，种子未完全形成，瓜肉中允许出现少量木质脉径和有少量机械损伤，清洁无杂质，鲜嫩无裂口、无腐烂、无变质、无异味，无病虫害、无冷冻导致的严重损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⑪红薯：个重≧300g，个大形正饱满，大小均匀，表皮无伤，无腐烂、破皮、坑眼、冻伤、腐烂等。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⑫生姜：姜块完整、丰满结实，无冻伤损伤、无姜腐病，不带枯苗泥土，无黑心糠心腐烂。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⑬大蒜：蒜头直径≧4cm，头部平齐，无须根，蒜头大小均匀，蒜瓣饱满，蒜皮完整而不开裂，无瘪蒜黄蒜，无病虫害，无干枯与腐烂，蒜身干爽无泥，不出芽。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⑭黄瓜：个重≧150g，颜色为墨绿翠绿并具光泽。整根轻微有弯曲，粗细均匀。果肉脆嫩、不发黄偏老不萎蔫，表面带刺，无斑点、发软、失水、无虫害、无霉点病斑，无冻伤腐烂等。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⑮莲花白：个重≧500g，表面光滑坚实不易变形，无斑点皱纹、无腐叶黄叶。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⑯花菜：个重≧700g，颜色应为白色或淡乳色，外观紧密，果实紧实，无斑点和凋谢、无冻伤腐烂。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⑰西兰花：花球直径12-18厘米，花球连柄长不低于14厘米，重量在400-600g，色泽浓绿、花球紧实、朵型圆正无破损、花蕾无发黄、焦蕾、无虫无腐。</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⑱菠菜：外观鲜绿，无枯萎黄叶、无虫害。</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⑲莲藕：直径≧8厘米，外皮光滑，无斑点、无伤痕，藕肉颜色纯白或稍带黄色，无斑点。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⑳山药：单个重量≧500g，颜色为米白色或深黄色，外形长而细，表面光滑且形状完整，纹理应该清晰，均匀且平直。</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蔬菜农产品，第一次供货时，供应商随货向验收单位提供供货商资质，每批次供货时，随货提供所配送农产品承诺达标合格证，并提供相关法律法规要求的其他证明等材料。供货商应按季度对所配送的核心农产品进行第三方检测。按季度向采购单位提供，符合《中华人民共和国食品安全法》要求的官方或官方授权的食品检验机构出具的所配送相应的食品全部检验项目的第三方检验报告（蔬菜农产品农药残留报告）。</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全县中职、普通高中学校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蔬菜总金额：15455917元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0" w:hRule="atLeast"/>
        </w:trPr>
        <w:tc>
          <w:tcPr>
            <w:tcW w:w="785"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125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时令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水果</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一批</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所配送的水果应符合《中华人民共和国农产品质量安全法》，药物残留不超标，并可溯源。计量单位kg，净重；2.采取相应承装措施、包装要完好无损、包装袋表面无任何污物和污渍；3.供货时需按日期或批次提供农残快速检测报告，企业必须对水果进行抽样农残检测及承诺达标合格证，凡是超标的水果品种严禁配送，且具备快速检测的设备及人员，并提供相关法律法规要求的其他证明等材料；4.具体规格及质量要求如下（未列举的水果按照市场一级质量要求确定具体规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①红富士苹果：直径7-8㎝，色泽纯正果面光洁，果实完整良好，新鲜无病虫害，无果把、无伤果、无腐烂。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②黄元帅苹果：直径≧7.5㎝，鲜艳的金黄色，表面光滑，无病虫害和机械损伤,果实形状为圆形或者稍微扁圆形，大小均匀，无明显的凹陷或者变形。</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③香梨：单果重量60-80g，果面黄绿色、阳面有条状暗红色晕、果面光滑，色泽悦目、皮薄肉细、清脆爽口，无伤果、无腐烂。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④油桃：单果重量≧70g，果个大、果核小，果面光滑，果色鲜艳，外表美观果肉脆甜，口感甜脆爽口，无伤果、无腐烂。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⑤香蕉：单果长度≧15㎝，7-10个果实成把，外观色泽金黄，果实肉厚皮薄，弯曲状，无伤果、无腐烂。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⑥砂糖橘：单果重量≧40g，果皮的颜色橙黄光泽、皮薄易剥，桔皮布满小砂点，手感较粗糙，果实扁圆，顶部有瘤状突起，蒂脐端凹陷，果肉色泽红润，没有白膜，肉脆多汁，吃起来清甜、核也较少。</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时令水果农产品，第一次供货时，供应商随货向验收单位提供供货商资质，每批次供货时，随货提供所配送农产品承诺达标合格证，并提供相关法律法规要求的其他证明等材料。供货商应按季度对所配送的核心农产品进行第三方检测。按季度向采购单位提供，符合《中华人民共和国食品安全法》要求的官方或官方授权的食品检验机构出具的所配送相应的食品全部检验项目的第三方检验报告（时令水果农产品农药残留报告）。</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时令水果总金额：7400000元</w:t>
            </w:r>
          </w:p>
        </w:tc>
      </w:tr>
    </w:tbl>
    <w:p>
      <w:pPr>
        <w:spacing w:line="360" w:lineRule="auto"/>
        <w:rPr>
          <w:rFonts w:hint="eastAsia" w:ascii="方正仿宋简体" w:hAnsi="方正仿宋简体" w:eastAsia="方正仿宋简体" w:cs="方正仿宋简体"/>
          <w:b/>
          <w:bCs/>
          <w:i w:val="0"/>
          <w:iCs w:val="0"/>
          <w:color w:val="FF0000"/>
          <w:kern w:val="0"/>
          <w:sz w:val="30"/>
          <w:szCs w:val="30"/>
          <w:u w:val="none"/>
          <w:lang w:val="en-US" w:eastAsia="zh-CN" w:bidi="ar"/>
        </w:rPr>
      </w:pPr>
    </w:p>
    <w:p>
      <w:pPr>
        <w:spacing w:line="360" w:lineRule="auto"/>
        <w:rPr>
          <w:rFonts w:hint="eastAsia" w:ascii="方正仿宋简体" w:hAnsi="方正仿宋简体" w:eastAsia="方正仿宋简体" w:cs="方正仿宋简体"/>
          <w:b/>
          <w:bCs/>
          <w:i w:val="0"/>
          <w:iCs w:val="0"/>
          <w:color w:val="FF0000"/>
          <w:kern w:val="0"/>
          <w:sz w:val="30"/>
          <w:szCs w:val="30"/>
          <w:u w:val="none"/>
          <w:lang w:val="en-US" w:eastAsia="zh-CN" w:bidi="ar"/>
        </w:rPr>
      </w:pPr>
      <w:r>
        <w:rPr>
          <w:rFonts w:hint="eastAsia" w:ascii="方正仿宋简体" w:hAnsi="方正仿宋简体" w:eastAsia="方正仿宋简体" w:cs="方正仿宋简体"/>
          <w:b/>
          <w:bCs/>
          <w:i w:val="0"/>
          <w:iCs w:val="0"/>
          <w:color w:val="FF0000"/>
          <w:kern w:val="0"/>
          <w:sz w:val="30"/>
          <w:szCs w:val="30"/>
          <w:u w:val="none"/>
          <w:lang w:val="en-US" w:eastAsia="zh-CN" w:bidi="ar"/>
        </w:rPr>
        <w:t>注：投标单位自行选择产品提供官方或官方授权的食品检测机构出具的检测报告，具体为：根菜类，叶菜类、果菜类，水果类、每种类不少于一种。</w:t>
      </w: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5"/>
        <w:numPr>
          <w:ilvl w:val="0"/>
          <w:numId w:val="0"/>
        </w:numPr>
        <w:bidi w:val="0"/>
        <w:jc w:val="center"/>
        <w:outlineLvl w:val="0"/>
        <w:rPr>
          <w:rFonts w:hint="eastAsia"/>
          <w:sz w:val="24"/>
          <w:szCs w:val="24"/>
          <w:lang w:val="en-US" w:eastAsia="zh-CN"/>
        </w:rPr>
      </w:pPr>
      <w:r>
        <w:rPr>
          <w:rFonts w:hint="eastAsia" w:ascii="仿宋" w:hAnsi="仿宋" w:eastAsia="仿宋" w:cs="仿宋"/>
          <w:b/>
          <w:bCs/>
          <w:i w:val="0"/>
          <w:iCs w:val="0"/>
          <w:color w:val="000000"/>
          <w:kern w:val="0"/>
          <w:sz w:val="32"/>
          <w:szCs w:val="32"/>
          <w:u w:val="none"/>
          <w:lang w:val="en-US" w:eastAsia="zh-CN" w:bidi="ar"/>
        </w:rPr>
        <w:t>莎车县教育系统2025年中职、高中学校食堂食材联合采购项目第5标段（学生饮用奶）</w:t>
      </w:r>
    </w:p>
    <w:tbl>
      <w:tblPr>
        <w:tblStyle w:val="21"/>
        <w:tblW w:w="10407" w:type="dxa"/>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258"/>
        <w:gridCol w:w="767"/>
        <w:gridCol w:w="784"/>
        <w:gridCol w:w="733"/>
        <w:gridCol w:w="3879"/>
        <w:gridCol w:w="1272"/>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项目名称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采购数量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数量单位</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食材内容及要求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配送地点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7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12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莎车县教育系统2025年中职、高中学校食堂食材联合采购项目第4、5、6标段</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学生饮用奶</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200000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件</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符合国家标准GB/25190-2010《食品安全国家标准 灭菌乳》中灭菌乳质量等级要求，符合GB/T6914—1986《生鲜牛乳收购标准》规定的原奶生产，符合T/DAC 004-2017《学生饮用奶 纯牛奶》团体标准，如有新的标准按照最新的标准执行，不得用复原乳生产；牛奶颜色乳白、乳香清淡、口感稀薄、闻起来香味很淡、入口后有淡淡的奶香、加热后不挂杯，无凝块、无沉淀、无异味；学生饮用奶产品标签应符合《中华人民共和国食品安全法》和《食品安全国家标准 预包装食品标签通则》GB7718-2011的规定，并符合《食品安全国家标准 预包装食品营养标签通则》GB28050-2011，外包装必须标明“学生饮用奶”字样并符合相关标注。规格/袋200ml，纯牛奶，每件22袋（硬袋/盒包装），即开即饮，包装要完好无损、包装表面无任何污物和污渍；保质期大于等于90天，配送至学校的时间须在生产日期40天内。</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学生饮用奶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全县中职、普通高中学校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蔬菜总金额：6200000元</w:t>
            </w:r>
          </w:p>
        </w:tc>
      </w:tr>
    </w:tbl>
    <w:p>
      <w:pPr>
        <w:pStyle w:val="27"/>
        <w:ind w:left="0" w:leftChars="0" w:firstLine="0" w:firstLineChars="0"/>
        <w:rPr>
          <w:rFonts w:hint="eastAsia"/>
          <w:lang w:val="en-US" w:eastAsia="zh-CN"/>
        </w:rPr>
      </w:pPr>
    </w:p>
    <w:p>
      <w:pPr>
        <w:spacing w:line="360" w:lineRule="auto"/>
        <w:jc w:val="both"/>
        <w:rPr>
          <w:rFonts w:hint="eastAsia" w:ascii="仿宋" w:hAnsi="仿宋" w:eastAsia="仿宋" w:cs="仿宋"/>
          <w:b/>
          <w:bCs/>
          <w:color w:val="FF0000"/>
          <w:sz w:val="40"/>
          <w:szCs w:val="40"/>
          <w:lang w:val="en-US" w:eastAsia="zh-CN"/>
        </w:rPr>
      </w:pPr>
    </w:p>
    <w:p>
      <w:pPr>
        <w:spacing w:line="360" w:lineRule="auto"/>
        <w:jc w:val="both"/>
        <w:rPr>
          <w:rFonts w:hint="eastAsia" w:ascii="仿宋" w:hAnsi="仿宋" w:eastAsia="仿宋" w:cs="仿宋"/>
          <w:b/>
          <w:bCs/>
          <w:color w:val="FF0000"/>
          <w:sz w:val="40"/>
          <w:szCs w:val="40"/>
          <w:lang w:val="en-US" w:eastAsia="zh-CN"/>
        </w:rPr>
      </w:pPr>
    </w:p>
    <w:p>
      <w:pPr>
        <w:spacing w:line="360" w:lineRule="auto"/>
        <w:jc w:val="both"/>
        <w:rPr>
          <w:rFonts w:hint="eastAsia" w:ascii="仿宋" w:hAnsi="仿宋" w:eastAsia="仿宋" w:cs="仿宋"/>
          <w:b/>
          <w:bCs/>
          <w:color w:val="FF0000"/>
          <w:sz w:val="40"/>
          <w:szCs w:val="40"/>
          <w:lang w:val="en-US" w:eastAsia="zh-CN"/>
        </w:rPr>
      </w:pPr>
    </w:p>
    <w:p>
      <w:pPr>
        <w:spacing w:line="360" w:lineRule="auto"/>
        <w:jc w:val="both"/>
        <w:rPr>
          <w:rFonts w:hint="eastAsia" w:ascii="仿宋" w:hAnsi="仿宋" w:eastAsia="仿宋" w:cs="仿宋"/>
          <w:b/>
          <w:bCs/>
          <w:color w:val="FF0000"/>
          <w:sz w:val="40"/>
          <w:szCs w:val="40"/>
          <w:lang w:val="en-US" w:eastAsia="zh-CN"/>
        </w:rPr>
      </w:pPr>
    </w:p>
    <w:p>
      <w:pPr>
        <w:spacing w:line="360" w:lineRule="auto"/>
        <w:jc w:val="both"/>
        <w:rPr>
          <w:rFonts w:hint="eastAsia" w:ascii="仿宋" w:hAnsi="仿宋" w:eastAsia="仿宋" w:cs="仿宋"/>
          <w:b/>
          <w:bCs/>
          <w:color w:val="FF0000"/>
          <w:sz w:val="40"/>
          <w:szCs w:val="40"/>
          <w:lang w:val="en-US" w:eastAsia="zh-CN"/>
        </w:rPr>
      </w:pPr>
    </w:p>
    <w:p>
      <w:pPr>
        <w:pStyle w:val="16"/>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5"/>
        <w:numPr>
          <w:ilvl w:val="0"/>
          <w:numId w:val="0"/>
        </w:numPr>
        <w:bidi w:val="0"/>
        <w:jc w:val="center"/>
        <w:outlineLvl w:val="0"/>
        <w:rPr>
          <w:rFonts w:hint="eastAsia"/>
          <w:sz w:val="24"/>
          <w:szCs w:val="24"/>
          <w:lang w:val="en-US" w:eastAsia="zh-CN"/>
        </w:rPr>
      </w:pPr>
      <w:r>
        <w:rPr>
          <w:rFonts w:hint="eastAsia" w:ascii="仿宋" w:hAnsi="仿宋" w:eastAsia="仿宋" w:cs="仿宋"/>
          <w:b/>
          <w:bCs/>
          <w:i w:val="0"/>
          <w:iCs w:val="0"/>
          <w:color w:val="000000"/>
          <w:kern w:val="0"/>
          <w:sz w:val="32"/>
          <w:szCs w:val="32"/>
          <w:u w:val="none"/>
          <w:lang w:val="en-US" w:eastAsia="zh-CN" w:bidi="ar"/>
        </w:rPr>
        <w:t>莎车县教育系统2025年中职、高中学校食堂食材联合采购项目第6标段（</w:t>
      </w:r>
      <w:bookmarkStart w:id="189" w:name="_GoBack"/>
      <w:bookmarkEnd w:id="189"/>
      <w:r>
        <w:rPr>
          <w:rFonts w:hint="eastAsia" w:ascii="仿宋" w:hAnsi="仿宋" w:eastAsia="仿宋" w:cs="仿宋"/>
          <w:b/>
          <w:bCs/>
          <w:i w:val="0"/>
          <w:iCs w:val="0"/>
          <w:color w:val="000000"/>
          <w:kern w:val="0"/>
          <w:sz w:val="32"/>
          <w:szCs w:val="32"/>
          <w:u w:val="none"/>
          <w:lang w:val="en-US" w:eastAsia="zh-CN" w:bidi="ar"/>
        </w:rPr>
        <w:t>鲜鸡蛋、调料）</w:t>
      </w:r>
    </w:p>
    <w:tbl>
      <w:tblPr>
        <w:tblStyle w:val="21"/>
        <w:tblW w:w="10356" w:type="dxa"/>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252"/>
        <w:gridCol w:w="763"/>
        <w:gridCol w:w="780"/>
        <w:gridCol w:w="729"/>
        <w:gridCol w:w="3861"/>
        <w:gridCol w:w="1266"/>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项目名称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采购数量</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数量单位</w:t>
            </w:r>
          </w:p>
        </w:tc>
        <w:tc>
          <w:tcPr>
            <w:tcW w:w="3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食材内容及要求</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配送地点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125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20" w:lineRule="exact"/>
              <w:jc w:val="both"/>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莎车县教育系统2025年中职、高中学校食堂食材联合采购项目第4、5、6标段</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鲜鸡蛋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1批</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eastAsia"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公斤</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符合《农产品基本信息描述禽蛋类》GB/T37108-2018质量等级及《中华人民共和国农产品质量安全法》要求，计量单位kg（净重），药物残留不超标，并可溯源、外壳完好、新鲜，大小均匀，蛋白浓厚，蛋黄完整，表面清洁，无破裂、变质，异味、过期、霉变、病斑、无以次充好现象；2.每批次供货时需提供承诺达标合格证，按季度提供符合《中华人民共和国食品安全法》要求的食品检验机构出具的包含鸡蛋全部检验项目的检验报告及兽药残留检测报告，并提供相关法律法规要求的其他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鲜鸡蛋农产品，第一次供货时，供应商随货向验收单位提供供货商资质，每批次供货时，随货提供所配送农产品承诺达标合格证，并提供相关法律法规要求的其他证明等材料。供货商应按季度对所配送的核心农产品进行第三方检测。按季度向采购单位提供，符合《中华人民共和国食品安全法》要求的官方或官方授权的食品检验机构出具的所配送相应的食品全部检验项目的第三方检验报告（鸡蛋含兽药残留报告）。</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全县中职、普通高中学校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320" w:lineRule="exact"/>
              <w:jc w:val="both"/>
              <w:rPr>
                <w:rFonts w:hint="default" w:ascii="Times New Roman" w:hAnsi="Times New Roman" w:eastAsia="方正仿宋_GBK" w:cs="Times New Roman"/>
                <w:b/>
                <w:bCs/>
                <w:i w:val="0"/>
                <w:iCs w:val="0"/>
                <w:color w:val="000000"/>
                <w:sz w:val="24"/>
                <w:szCs w:val="24"/>
                <w:u w:val="none"/>
                <w:lang w:val="en-US"/>
              </w:rPr>
            </w:pPr>
            <w:bookmarkStart w:id="181" w:name="OLE_LINK2"/>
            <w:r>
              <w:rPr>
                <w:rFonts w:hint="default" w:ascii="Times New Roman" w:hAnsi="Times New Roman" w:eastAsia="方正仿宋_GBK" w:cs="Times New Roman"/>
                <w:b/>
                <w:bCs/>
                <w:i w:val="0"/>
                <w:iCs w:val="0"/>
                <w:color w:val="000000"/>
                <w:kern w:val="0"/>
                <w:sz w:val="24"/>
                <w:szCs w:val="24"/>
                <w:u w:val="none"/>
                <w:lang w:val="en-US" w:eastAsia="zh-CN" w:bidi="ar"/>
              </w:rPr>
              <w:t>蔬菜总金额：6200000元</w:t>
            </w:r>
            <w:bookmarkEnd w:id="1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2</w:t>
            </w:r>
          </w:p>
        </w:tc>
        <w:tc>
          <w:tcPr>
            <w:tcW w:w="125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调料</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批</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市场上常见调料，详细见附件；2.产品应符合国家质量安全标准和执行标准，并可溯源，有产品检测合格证及有相关法律法规要求的其他证明等参数：保质期、食品生产许可证编号及生产日期、生产地址、成分或者配料表等；3.产品标签应符合《中华人民共和国食品安全法》和《食品安全国家标准预包装食品标签通则》GB7718-2011，包装要完好无损、包装袋表面无任何污物和污渍；4.每批次配送随货向验收单位提供产品检测合格证及有相关法律法规要求的其他证明等材料；5.配送至学校时间不得超过总保质期的三分之一，严禁配送临期食品。6.所有调料优先选择原材料，调料成分中不得含有食品添加剂，大盘鸡调料需使用纯干料原材料，不得使用酱料，粉状调料不得掺杂其他成分，要求使用纯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全县中职、普通高中学校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320" w:lineRule="exact"/>
              <w:jc w:val="both"/>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调料</w:t>
            </w:r>
            <w:r>
              <w:rPr>
                <w:rFonts w:hint="default" w:ascii="Times New Roman" w:hAnsi="Times New Roman" w:eastAsia="方正仿宋_GBK" w:cs="Times New Roman"/>
                <w:b/>
                <w:bCs/>
                <w:i w:val="0"/>
                <w:iCs w:val="0"/>
                <w:color w:val="000000"/>
                <w:kern w:val="0"/>
                <w:sz w:val="24"/>
                <w:szCs w:val="24"/>
                <w:u w:val="none"/>
                <w:lang w:val="en-US" w:eastAsia="zh-CN" w:bidi="ar"/>
              </w:rPr>
              <w:t>总金额：</w:t>
            </w:r>
            <w:r>
              <w:rPr>
                <w:rFonts w:hint="default" w:ascii="Times New Roman" w:hAnsi="Times New Roman" w:eastAsia="方正仿宋_GBK" w:cs="Times New Roman"/>
                <w:sz w:val="24"/>
                <w:szCs w:val="24"/>
                <w:u w:val="none"/>
                <w:lang w:val="en-US" w:eastAsia="zh-CN"/>
              </w:rPr>
              <w:t>2557593元</w:t>
            </w:r>
          </w:p>
        </w:tc>
      </w:tr>
    </w:tbl>
    <w:p>
      <w:pPr>
        <w:pStyle w:val="16"/>
        <w:jc w:val="left"/>
        <w:rPr>
          <w:rFonts w:hint="default" w:ascii="仿宋" w:hAnsi="仿宋" w:eastAsia="仿宋" w:cs="仿宋"/>
          <w:b/>
          <w:bCs/>
          <w:color w:val="000000" w:themeColor="text1"/>
          <w:sz w:val="40"/>
          <w:szCs w:val="40"/>
          <w:lang w:val="en-US" w:eastAsia="zh-CN"/>
          <w14:textFill>
            <w14:solidFill>
              <w14:schemeClr w14:val="tx1"/>
            </w14:solidFill>
          </w14:textFill>
        </w:rPr>
      </w:pPr>
      <w:r>
        <w:rPr>
          <w:rFonts w:hint="eastAsia" w:ascii="仿宋" w:hAnsi="仿宋" w:eastAsia="仿宋" w:cs="仿宋"/>
          <w:b/>
          <w:bCs/>
          <w:color w:val="000000" w:themeColor="text1"/>
          <w:sz w:val="40"/>
          <w:szCs w:val="40"/>
          <w:lang w:val="en-US" w:eastAsia="zh-CN"/>
          <w14:textFill>
            <w14:solidFill>
              <w14:schemeClr w14:val="tx1"/>
            </w14:solidFill>
          </w14:textFill>
        </w:rPr>
        <w:t>附件：</w:t>
      </w:r>
    </w:p>
    <w:tbl>
      <w:tblPr>
        <w:tblStyle w:val="21"/>
        <w:tblpPr w:leftFromText="180" w:rightFromText="180" w:vertAnchor="text" w:horzAnchor="page" w:tblpX="864" w:tblpY="264"/>
        <w:tblOverlap w:val="never"/>
        <w:tblW w:w="104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256"/>
        <w:gridCol w:w="1023"/>
        <w:gridCol w:w="821"/>
        <w:gridCol w:w="3241"/>
        <w:gridCol w:w="1085"/>
        <w:gridCol w:w="1271"/>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1044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莎车县教育系统2025年学生中职、高中营养膳食食材联合采购项调料清单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055" w:type="dxa"/>
            <w:gridSpan w:val="2"/>
            <w:tcBorders>
              <w:top w:val="nil"/>
              <w:left w:val="nil"/>
              <w:bottom w:val="nil"/>
              <w:right w:val="nil"/>
            </w:tcBorders>
            <w:shd w:val="clear" w:color="auto" w:fill="auto"/>
            <w:noWrap/>
            <w:vAlign w:val="center"/>
          </w:tcPr>
          <w:p>
            <w:pPr>
              <w:jc w:val="left"/>
              <w:rPr>
                <w:rFonts w:hint="eastAsia" w:ascii="仿宋" w:hAnsi="仿宋" w:eastAsia="仿宋" w:cs="仿宋"/>
                <w:b/>
                <w:bCs/>
                <w:i w:val="0"/>
                <w:iCs w:val="0"/>
                <w:color w:val="000000"/>
                <w:sz w:val="22"/>
                <w:szCs w:val="22"/>
                <w:u w:val="none"/>
              </w:rPr>
            </w:pPr>
          </w:p>
        </w:tc>
        <w:tc>
          <w:tcPr>
            <w:tcW w:w="1023" w:type="dxa"/>
            <w:tcBorders>
              <w:top w:val="nil"/>
              <w:left w:val="nil"/>
              <w:bottom w:val="nil"/>
              <w:right w:val="nil"/>
            </w:tcBorders>
            <w:shd w:val="clear" w:color="auto" w:fill="auto"/>
            <w:noWrap/>
            <w:vAlign w:val="center"/>
          </w:tcPr>
          <w:p>
            <w:pPr>
              <w:rPr>
                <w:rFonts w:hint="eastAsia" w:ascii="仿宋" w:hAnsi="仿宋" w:eastAsia="仿宋" w:cs="仿宋"/>
                <w:b/>
                <w:bCs/>
                <w:i w:val="0"/>
                <w:iCs w:val="0"/>
                <w:color w:val="000000"/>
                <w:sz w:val="20"/>
                <w:szCs w:val="20"/>
                <w:u w:val="none"/>
              </w:rPr>
            </w:pPr>
          </w:p>
        </w:tc>
        <w:tc>
          <w:tcPr>
            <w:tcW w:w="821" w:type="dxa"/>
            <w:tcBorders>
              <w:top w:val="nil"/>
              <w:left w:val="nil"/>
              <w:bottom w:val="nil"/>
              <w:right w:val="nil"/>
            </w:tcBorders>
            <w:shd w:val="clear" w:color="auto" w:fill="auto"/>
            <w:noWrap/>
            <w:vAlign w:val="center"/>
          </w:tcPr>
          <w:p>
            <w:pPr>
              <w:rPr>
                <w:rFonts w:hint="eastAsia" w:ascii="仿宋" w:hAnsi="仿宋" w:eastAsia="仿宋" w:cs="仿宋"/>
                <w:b/>
                <w:bCs/>
                <w:i w:val="0"/>
                <w:iCs w:val="0"/>
                <w:color w:val="000000"/>
                <w:sz w:val="20"/>
                <w:szCs w:val="20"/>
                <w:u w:val="none"/>
              </w:rPr>
            </w:pPr>
          </w:p>
        </w:tc>
        <w:tc>
          <w:tcPr>
            <w:tcW w:w="3241" w:type="dxa"/>
            <w:tcBorders>
              <w:top w:val="nil"/>
              <w:left w:val="nil"/>
              <w:bottom w:val="nil"/>
              <w:right w:val="nil"/>
            </w:tcBorders>
            <w:shd w:val="clear" w:color="auto" w:fill="auto"/>
            <w:noWrap/>
            <w:vAlign w:val="center"/>
          </w:tcPr>
          <w:p>
            <w:pPr>
              <w:rPr>
                <w:rFonts w:hint="eastAsia" w:ascii="仿宋" w:hAnsi="仿宋" w:eastAsia="仿宋" w:cs="仿宋"/>
                <w:b/>
                <w:bCs/>
                <w:i w:val="0"/>
                <w:iCs w:val="0"/>
                <w:color w:val="000000"/>
                <w:sz w:val="20"/>
                <w:szCs w:val="20"/>
                <w:u w:val="none"/>
              </w:rPr>
            </w:pPr>
          </w:p>
        </w:tc>
        <w:tc>
          <w:tcPr>
            <w:tcW w:w="3302" w:type="dxa"/>
            <w:gridSpan w:val="3"/>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序号</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食材名称</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数量单位</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计量单位</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规格</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单价</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预算金额</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鲜花生米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12748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散装或袋装，食用红色鲜花生米、颗粒饱满完整、无杂质、大小均匀、无掺杂及以次充好，无腐败、变质、口感异常、异味情况</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184,846.00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淀粉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7638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散装或袋装，淀粉可口，淡而微甜，无酸味，发苦以及其他滋味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34,371.00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白糖</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20985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散装或袋装供货时提供食品生产许可证，检验合格证，无任何粘结现象，不应有任何特殊气 味，不应有任何夹杂物。</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167,880.00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发酵粉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7213</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包/500g，具有较快的发酵速度，能够在时宜的温度和湿度条件下快速发酵面团</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90,162.50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花椒粒</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4240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散装或袋装，外表呈紫红色或棕红色，颗粒均匀，无杂质，干燥无结块，具有固有的颜色和气味滋味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318,000.00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辣子面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10325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纯辣子面色，泽均匀、鲜艳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196,175.00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大盘鸡料</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129240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包/45g，干料</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387,720.00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香醋</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7616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桶</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桶/4.5L，无悬浮物及沉淀物，无霉花浮膜，外包装无漏无污。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99,008.00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十三香</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22620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盒/45g，包装要牢固，色洁白，颗粒均匀，手感滑爽，干燥无杂质。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67,860.00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孜然粉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2658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散装或袋装，纯孜然粉，色泽呈淡黄色至深黄色，且不含杂斑，包装要牢固，淡淡褐色褐色，颗粒均匀手感滑爽，干燥无杂质。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79,740.00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盐</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102006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袋</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加碘、包/500g，包装袋要牢固、防潮、整洁，无漏气、 无破损，呈白色细晶体，无可见杂质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153,009.00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绿豆</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7911</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散装或袋装，颗粒饱满，大小均匀，无干瘪，表面无锈，无斑点，无损伤。</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83,065.50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八宝米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散装或袋装，无肉眼可见的杂质。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9.7</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29,100.00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豌豆</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7930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散装或袋装，豌豆应该饱满，柔软外表不应该有明显的皱纹或损伤</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49,959.00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黄豆</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1625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散装或袋装，黄豆应呈黄色或淡黄色，均匀一致，不得带有明显的变色或杂色</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13,325.00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干香菇</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散装或袋装，菌伞表面应具有明显的纹理，呈现自然的色泽，包装要牢固、无虫蛀，无霉烂，无杂质，具有该产品相应的色泽</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6,050.00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小米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3650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散装或袋装，色泽均匀，富有光泽，气味正常。</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43,800.00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酱油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4398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瓶</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瓶/1L,有正常的色泽红褐色，不混浊，不沉淀无霉花浮膜，外包装无漏无污。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70,368.00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八角</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1290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散装或袋装，色泽棕红鲜艳有光，朵大均匀呈八角形，干燥饱满干裂，</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64,500.00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桂皮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1245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散装或袋装，皮青灰透淡棕，腹面棕色，表面有细纹背面有光泽，质坚实，身份干，味清香，</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43,575.00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花椒粉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16206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袋</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35g/袋，纯花椒粉，颗粒均匀，无杂质，干燥无结块，具有固有的颜色和气味滋味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32,412.00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孜然粉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18556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袋</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35g/袋，纯花椒粉，色泽呈淡黄色至深黄色，且不含杂斑，包装要牢固，淡淡褐色褐色，颗粒均匀手感滑爽，干燥无杂质。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37,112.00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胡椒粉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13780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袋</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35g/袋，纯胡椒粉，颗粒均匀，无杂质，干燥无结块，具有固有的颜色和气味滋味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27,560.00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红糖</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2885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31,735.00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葡萄干</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11396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散装或袋装，颜色均匀、无暗沉、果肉饱满有弹性，无食品添加剂，无霉变。</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205,128.00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挂面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3728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小麦粉挂面，1/Kg/包或袋，无并条、断条，无食品添加剂，产品包装标签上应标明，名称、规格、净含量、生产日期、成分或者配料表、生产者名称、地址、联系方式、保质期。</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20,504.00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白芝麻</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346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散装或袋装，食用级，原色白芝麻，无杂质，大小均匀。</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6,228.00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干辣椒</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散装或袋装，果型饱满，无霉变、虫蛀、发黑。</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14,400.00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调味品金额合计：</w:t>
            </w: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2,557,593.00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pStyle w:val="9"/>
        <w:spacing w:before="176" w:line="360" w:lineRule="auto"/>
        <w:ind w:right="26"/>
        <w:rPr>
          <w:rFonts w:hint="default" w:ascii="Times New Roman" w:hAnsi="Times New Roman" w:eastAsia="方正仿宋_GBK" w:cs="Times New Roman"/>
          <w:b/>
          <w:bCs/>
          <w:color w:val="FF0000"/>
          <w:spacing w:val="-5"/>
          <w:sz w:val="28"/>
          <w:szCs w:val="28"/>
        </w:rPr>
      </w:pPr>
      <w:r>
        <w:rPr>
          <w:rFonts w:hint="default" w:ascii="Times New Roman" w:hAnsi="Times New Roman" w:eastAsia="方正仿宋_GBK" w:cs="Times New Roman"/>
          <w:b/>
          <w:bCs/>
          <w:color w:val="FF0000"/>
          <w:spacing w:val="1"/>
          <w:sz w:val="28"/>
          <w:szCs w:val="28"/>
        </w:rPr>
        <w:t>注：</w:t>
      </w:r>
      <w:r>
        <w:rPr>
          <w:rFonts w:hint="default" w:ascii="Times New Roman" w:hAnsi="Times New Roman" w:eastAsia="方正仿宋_GBK" w:cs="Times New Roman"/>
          <w:b/>
          <w:bCs/>
          <w:color w:val="FF0000"/>
          <w:spacing w:val="1"/>
          <w:sz w:val="28"/>
          <w:szCs w:val="28"/>
          <w:lang w:val="en-US" w:eastAsia="zh-CN"/>
        </w:rPr>
        <w:t>1、</w:t>
      </w:r>
      <w:r>
        <w:rPr>
          <w:rFonts w:hint="default" w:ascii="Times New Roman" w:hAnsi="Times New Roman" w:eastAsia="方正仿宋_GBK" w:cs="Times New Roman"/>
          <w:b/>
          <w:bCs/>
          <w:color w:val="FF0000"/>
          <w:spacing w:val="1"/>
          <w:sz w:val="28"/>
          <w:szCs w:val="28"/>
        </w:rPr>
        <w:t>投标企业所投单价不得</w:t>
      </w:r>
      <w:r>
        <w:rPr>
          <w:rFonts w:hint="default" w:ascii="Times New Roman" w:hAnsi="Times New Roman" w:eastAsia="方正仿宋_GBK" w:cs="Times New Roman"/>
          <w:b/>
          <w:bCs/>
          <w:color w:val="FF0000"/>
          <w:spacing w:val="2"/>
          <w:sz w:val="28"/>
          <w:szCs w:val="28"/>
        </w:rPr>
        <w:t>超出每项商品的预算金额</w:t>
      </w:r>
      <w:r>
        <w:rPr>
          <w:rFonts w:hint="default" w:ascii="Times New Roman" w:hAnsi="Times New Roman" w:eastAsia="方正仿宋_GBK" w:cs="Times New Roman"/>
          <w:b/>
          <w:bCs/>
          <w:color w:val="FF0000"/>
          <w:spacing w:val="2"/>
          <w:sz w:val="28"/>
          <w:szCs w:val="28"/>
          <w:lang w:eastAsia="zh-CN"/>
        </w:rPr>
        <w:t>，</w:t>
      </w:r>
      <w:r>
        <w:rPr>
          <w:rFonts w:hint="default" w:ascii="Times New Roman" w:hAnsi="Times New Roman" w:eastAsia="方正仿宋_GBK" w:cs="Times New Roman"/>
          <w:b/>
          <w:bCs/>
          <w:color w:val="FF0000"/>
          <w:spacing w:val="1"/>
          <w:sz w:val="28"/>
          <w:szCs w:val="28"/>
        </w:rPr>
        <w:t>否则投标无效</w:t>
      </w:r>
      <w:r>
        <w:rPr>
          <w:rFonts w:hint="default" w:ascii="Times New Roman" w:hAnsi="Times New Roman" w:eastAsia="方正仿宋_GBK" w:cs="Times New Roman"/>
          <w:b/>
          <w:bCs/>
          <w:color w:val="FF0000"/>
          <w:spacing w:val="1"/>
          <w:sz w:val="28"/>
          <w:szCs w:val="28"/>
          <w:lang w:eastAsia="zh-CN"/>
        </w:rPr>
        <w:t>。</w:t>
      </w:r>
      <w:r>
        <w:rPr>
          <w:rFonts w:hint="default" w:ascii="Times New Roman" w:hAnsi="Times New Roman" w:eastAsia="方正仿宋_GBK" w:cs="Times New Roman"/>
          <w:b/>
          <w:bCs/>
          <w:color w:val="FF0000"/>
          <w:spacing w:val="1"/>
          <w:sz w:val="28"/>
          <w:szCs w:val="28"/>
        </w:rPr>
        <w:t>投标产品需附彩色</w:t>
      </w:r>
      <w:r>
        <w:rPr>
          <w:rFonts w:hint="default" w:ascii="Times New Roman" w:hAnsi="Times New Roman" w:eastAsia="方正仿宋_GBK" w:cs="Times New Roman"/>
          <w:b/>
          <w:bCs/>
          <w:color w:val="FF0000"/>
          <w:sz w:val="28"/>
          <w:szCs w:val="28"/>
        </w:rPr>
        <w:t xml:space="preserve"> </w:t>
      </w:r>
      <w:r>
        <w:rPr>
          <w:rFonts w:hint="default" w:ascii="Times New Roman" w:hAnsi="Times New Roman" w:eastAsia="方正仿宋_GBK" w:cs="Times New Roman"/>
          <w:b/>
          <w:bCs/>
          <w:color w:val="FF0000"/>
          <w:spacing w:val="-5"/>
          <w:sz w:val="28"/>
          <w:szCs w:val="28"/>
        </w:rPr>
        <w:t>图片（图片清晰、产品内容明确）</w:t>
      </w:r>
    </w:p>
    <w:p>
      <w:pPr>
        <w:spacing w:line="360" w:lineRule="auto"/>
        <w:ind w:firstLine="542" w:firstLineChars="200"/>
        <w:rPr>
          <w:rFonts w:hint="default" w:ascii="Times New Roman" w:hAnsi="Times New Roman" w:eastAsia="方正仿宋_GBK" w:cs="Times New Roman"/>
          <w:b/>
          <w:bCs/>
          <w:i w:val="0"/>
          <w:iCs w:val="0"/>
          <w:color w:val="FF0000"/>
          <w:kern w:val="0"/>
          <w:sz w:val="28"/>
          <w:szCs w:val="28"/>
          <w:u w:val="none"/>
          <w:lang w:val="en-US" w:eastAsia="zh-CN" w:bidi="ar"/>
        </w:rPr>
      </w:pPr>
      <w:r>
        <w:rPr>
          <w:rFonts w:hint="default" w:ascii="Times New Roman" w:hAnsi="Times New Roman" w:eastAsia="方正仿宋_GBK" w:cs="Times New Roman"/>
          <w:b/>
          <w:bCs/>
          <w:color w:val="FF0000"/>
          <w:spacing w:val="-5"/>
          <w:sz w:val="28"/>
          <w:szCs w:val="28"/>
          <w:lang w:val="en-US" w:eastAsia="zh-CN"/>
        </w:rPr>
        <w:t>2、</w:t>
      </w:r>
      <w:r>
        <w:rPr>
          <w:rFonts w:hint="default" w:ascii="Times New Roman" w:hAnsi="Times New Roman" w:eastAsia="方正仿宋_GBK" w:cs="Times New Roman"/>
          <w:b/>
          <w:bCs/>
          <w:i w:val="0"/>
          <w:iCs w:val="0"/>
          <w:color w:val="FF0000"/>
          <w:kern w:val="0"/>
          <w:sz w:val="28"/>
          <w:szCs w:val="28"/>
          <w:u w:val="none"/>
          <w:lang w:val="en-US" w:eastAsia="zh-CN" w:bidi="ar"/>
        </w:rPr>
        <w:t>投标单位自行选择产品提供官方或官方授权的食品检测机构出具的检测报告，不少于10种。</w:t>
      </w:r>
    </w:p>
    <w:p>
      <w:pPr>
        <w:spacing w:line="360" w:lineRule="auto"/>
        <w:jc w:val="both"/>
        <w:rPr>
          <w:rFonts w:hint="eastAsia" w:ascii="仿宋" w:hAnsi="仿宋" w:eastAsia="仿宋" w:cs="仿宋"/>
          <w:b/>
          <w:bCs/>
          <w:color w:val="FF0000"/>
          <w:sz w:val="40"/>
          <w:szCs w:val="40"/>
          <w:lang w:val="en-US" w:eastAsia="zh-CN"/>
        </w:rPr>
      </w:pPr>
    </w:p>
    <w:p>
      <w:pPr>
        <w:keepNext w:val="0"/>
        <w:keepLines w:val="0"/>
        <w:pageBreakBefore w:val="0"/>
        <w:wordWrap/>
        <w:overflowPunct/>
        <w:topLinePunct w:val="0"/>
        <w:autoSpaceDE w:val="0"/>
        <w:autoSpaceDN w:val="0"/>
        <w:bidi w:val="0"/>
        <w:adjustRightInd w:val="0"/>
        <w:spacing w:line="440" w:lineRule="exact"/>
        <w:jc w:val="center"/>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商 务 要 求</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bCs/>
          <w:color w:val="auto"/>
          <w:sz w:val="24"/>
          <w:szCs w:val="24"/>
          <w:lang w:val="en-US" w:eastAsia="zh-CN"/>
        </w:rPr>
        <w:t>一、</w:t>
      </w:r>
      <w:r>
        <w:rPr>
          <w:rFonts w:hint="default" w:ascii="Times New Roman" w:hAnsi="Times New Roman" w:eastAsia="方正仿宋_GBK" w:cs="Times New Roman"/>
          <w:b/>
          <w:bCs/>
          <w:color w:val="auto"/>
          <w:sz w:val="24"/>
          <w:szCs w:val="24"/>
          <w:lang w:val="zh-CN"/>
        </w:rPr>
        <w:t>本项目</w:t>
      </w:r>
      <w:r>
        <w:rPr>
          <w:rFonts w:hint="default" w:ascii="Times New Roman" w:hAnsi="Times New Roman" w:eastAsia="方正仿宋_GBK" w:cs="Times New Roman"/>
          <w:b/>
          <w:bCs/>
          <w:color w:val="auto"/>
          <w:sz w:val="24"/>
          <w:szCs w:val="24"/>
          <w:lang w:val="en-US" w:eastAsia="zh-CN"/>
        </w:rPr>
        <w:t>分三个</w:t>
      </w:r>
      <w:r>
        <w:rPr>
          <w:rFonts w:hint="default" w:ascii="Times New Roman" w:hAnsi="Times New Roman" w:eastAsia="方正仿宋_GBK" w:cs="Times New Roman"/>
          <w:b/>
          <w:bCs/>
          <w:color w:val="auto"/>
          <w:sz w:val="24"/>
          <w:szCs w:val="24"/>
          <w:lang w:val="zh-CN"/>
        </w:rPr>
        <w:t>标段进行招标。</w:t>
      </w:r>
      <w:r>
        <w:rPr>
          <w:rFonts w:hint="default" w:ascii="Times New Roman" w:hAnsi="Times New Roman" w:eastAsia="方正仿宋_GBK" w:cs="Times New Roman"/>
          <w:b w:val="0"/>
          <w:bCs w:val="0"/>
          <w:color w:val="auto"/>
          <w:sz w:val="24"/>
          <w:szCs w:val="24"/>
          <w:lang w:val="zh-CN"/>
        </w:rPr>
        <w:t>投标人所报价格应为含税全包价，包括产品的</w:t>
      </w:r>
      <w:r>
        <w:rPr>
          <w:rFonts w:hint="default" w:ascii="Times New Roman" w:hAnsi="Times New Roman" w:eastAsia="方正仿宋_GBK" w:cs="Times New Roman"/>
          <w:b w:val="0"/>
          <w:bCs w:val="0"/>
          <w:color w:val="auto"/>
          <w:sz w:val="24"/>
          <w:szCs w:val="24"/>
          <w:lang w:val="en-US" w:eastAsia="zh-CN"/>
        </w:rPr>
        <w:t>人工费</w:t>
      </w:r>
      <w:r>
        <w:rPr>
          <w:rFonts w:hint="default" w:ascii="Times New Roman" w:hAnsi="Times New Roman" w:eastAsia="方正仿宋_GBK" w:cs="Times New Roman"/>
          <w:b w:val="0"/>
          <w:bCs w:val="0"/>
          <w:color w:val="auto"/>
          <w:sz w:val="24"/>
          <w:szCs w:val="24"/>
          <w:lang w:val="zh-CN"/>
        </w:rPr>
        <w:t>、保险、运输、装卸、</w:t>
      </w:r>
      <w:r>
        <w:rPr>
          <w:rFonts w:hint="default" w:ascii="Times New Roman" w:hAnsi="Times New Roman" w:eastAsia="方正仿宋_GBK" w:cs="Times New Roman"/>
          <w:b w:val="0"/>
          <w:bCs w:val="0"/>
          <w:color w:val="auto"/>
          <w:sz w:val="24"/>
          <w:szCs w:val="24"/>
          <w:lang w:val="en-US" w:eastAsia="zh-CN"/>
        </w:rPr>
        <w:t>保险费、</w:t>
      </w:r>
      <w:r>
        <w:rPr>
          <w:rFonts w:hint="default" w:ascii="Times New Roman" w:hAnsi="Times New Roman" w:eastAsia="方正仿宋_GBK" w:cs="Times New Roman"/>
          <w:b w:val="0"/>
          <w:bCs w:val="0"/>
          <w:color w:val="auto"/>
          <w:sz w:val="24"/>
          <w:szCs w:val="24"/>
          <w:lang w:val="zh-CN"/>
        </w:rPr>
        <w:t>税费、验收等一切费用。</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二、产品质量及其他要求</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学生饮用奶、调料等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蔬菜、水果、鲜鸡蛋、散装调料等农产品，第一次供货时，供应商随货向验收单位提供供货商资质，每批次供货时，随货提供所配送农产品承诺达标合格证，并提供相关法律法规要求的其他证明等材料。供货商应按季度对所配送的核心农产品进行第三方检测。按季度向采购单位提供，符合《中华人民共和国食品安全法》要求的官方或官方授权的食品检验机构出具的所配送相应的食品全部检验项目的第三方检验报告（鸡蛋含兽药残留报告，蔬菜、水果、散装调料等农产品农药残留报告）。</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仅限于预包装食品）</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3.保证供应产品、食品符合国家法定的质量标准，如无国家标准的应符合行业标准或地方标准，不得有掺假、变质、变味、过期等现象出现，需有生产日期及有效期。严禁伪劣、假冒、无证不合格产品进入学校。</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质量符合技术参数要求。提供所需证件及产品检验报告单。在实施中招标人将核实投标人投标书中的产品的质量标准、检验报告、“质量安全”标识与实际供货的产品的质量标准、检验报告、“质量安全”标识是否一致，如发现偏离，招标人将取消供货资格。</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食材运输车辆要求。投标企业需使用符合相关食品安全规定的厢式货车、冷藏车或保鲜车运输，水果、蔬菜类等保质期较短的食材原则上采用保鲜车运输配送，确保配送食材新鲜、保质、安全可靠。所有投标文件中提供的车辆与本项目实施所使用车辆信息一致，若需新增车辆需要提前向甲方报备，送货车辆专人专车，加强运输人员的培训，遵守道路交通安全法律法规，杜绝出现超速、超载、酒驾等违法违规行为。送货人员不得随意更换，中标价包括送货指定学校，不得额外收取送货服务费用。按招标人需求时间内确保配送，送达甲方或学校（幼儿园）指定地点。每次供货时间为提出需求后48小时内供货</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按要求送达指定位置。</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6.车辆食品安全要求。食品运输时不得与有毒、有害、有异味的混装运输。具有本项目相适应的配送能力，必须配备专用的配送车辆和专业的配送队伍配送过程符合食品卫生安全要求。</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7.车辆技术安全要求。为保障食材配送过程的安全性与品质，供货商应在所有用于食材配送的车辆上，安装符合国家相关标准及学校要求的监控系统（具有不少于90天回放功能、联网，中标后统一接入甲方指定的监控平台）、温控系统与定位系统。设备需确保运行稳定、数据准确，能够完整记录并实时传输配送过程中的相关信息，确保学校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8.配送人员监控要求。投标企业从业人员需具备有效期内的预防性健康检查证明，配送人员配送时随身携带健康检查证明备查。</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配送周期约定：中标企业须按甲方学校的要求，于订单下达后48小时内将所订购的货物送至指定地点。必须按所规定的时间将商品配送到位。为确保食材新鲜，蔬菜、水果等不易储存的食材每天配送。鲜鸡蛋食材按各学校实际需求，每周配送1-3次，调料、学生饮用奶、食材，每月配送1-3次至各学校。</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10.原材料产地要求。</w:t>
      </w:r>
      <w:r>
        <w:rPr>
          <w:rFonts w:hint="eastAsia" w:ascii="Times New Roman" w:hAnsi="Times New Roman" w:eastAsia="方正仿宋_GBK" w:cs="Times New Roman"/>
          <w:b w:val="0"/>
          <w:bCs w:val="0"/>
          <w:color w:val="auto"/>
          <w:sz w:val="24"/>
          <w:szCs w:val="24"/>
          <w:lang w:val="en-US" w:eastAsia="zh-CN"/>
        </w:rPr>
        <w:t>根据</w:t>
      </w:r>
      <w:r>
        <w:rPr>
          <w:rFonts w:hint="default" w:ascii="Times New Roman" w:hAnsi="Times New Roman" w:eastAsia="方正仿宋_GBK" w:cs="Times New Roman"/>
          <w:b w:val="0"/>
          <w:bCs w:val="0"/>
          <w:color w:val="auto"/>
          <w:sz w:val="24"/>
          <w:szCs w:val="24"/>
          <w:lang w:val="en-US" w:eastAsia="zh-CN"/>
        </w:rPr>
        <w:t>《中华人民共和国政府采购法》第九条 政府采购应当有助于实现国家的经济和社会发展政策目标，包括保护环境，扶持不发达地区和少数民族地区，促进中小企业发展等。本次</w:t>
      </w:r>
      <w:r>
        <w:rPr>
          <w:rFonts w:hint="default" w:ascii="Times New Roman" w:hAnsi="Times New Roman" w:eastAsia="方正仿宋_GBK" w:cs="Times New Roman"/>
          <w:b w:val="0"/>
          <w:bCs w:val="0"/>
          <w:color w:val="auto"/>
          <w:sz w:val="24"/>
          <w:szCs w:val="24"/>
          <w:highlight w:val="none"/>
          <w:lang w:val="en-US" w:eastAsia="zh-CN"/>
        </w:rPr>
        <w:t>学生营养膳食食材招标优先选用</w:t>
      </w:r>
      <w:r>
        <w:rPr>
          <w:rFonts w:hint="eastAsia" w:ascii="Times New Roman" w:hAnsi="Times New Roman" w:eastAsia="方正仿宋_GBK" w:cs="Times New Roman"/>
          <w:b w:val="0"/>
          <w:bCs w:val="0"/>
          <w:color w:val="auto"/>
          <w:sz w:val="24"/>
          <w:szCs w:val="24"/>
          <w:highlight w:val="none"/>
          <w:lang w:val="en-US" w:eastAsia="zh-CN"/>
        </w:rPr>
        <w:t>南疆当地</w:t>
      </w:r>
      <w:r>
        <w:rPr>
          <w:rFonts w:hint="default" w:ascii="Times New Roman" w:hAnsi="Times New Roman" w:eastAsia="方正仿宋_GBK" w:cs="Times New Roman"/>
          <w:b w:val="0"/>
          <w:bCs w:val="0"/>
          <w:color w:val="auto"/>
          <w:sz w:val="24"/>
          <w:szCs w:val="24"/>
          <w:highlight w:val="none"/>
          <w:lang w:val="en-US" w:eastAsia="zh-CN"/>
        </w:rPr>
        <w:t>食材原材料，</w:t>
      </w:r>
      <w:r>
        <w:rPr>
          <w:rFonts w:hint="default" w:ascii="Times New Roman" w:hAnsi="Times New Roman" w:eastAsia="方正仿宋_GBK" w:cs="Times New Roman"/>
          <w:b w:val="0"/>
          <w:bCs w:val="0"/>
          <w:color w:val="auto"/>
          <w:sz w:val="24"/>
          <w:szCs w:val="24"/>
          <w:lang w:val="en-US" w:eastAsia="zh-CN"/>
        </w:rPr>
        <w:t>不接受进口食材原材料，特殊情况下必须使用进口产品时，需经甲方同意。</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其他要求。中标企业按照甲方学校、幼儿园提供的食材配送计划必须提前按校（园）及教学点为单位进行分类、分割、称重、装袋、装箱、标识等前期准备工作，严格按照食材配送周期和交货地点及运输方式进行配送，对不采取相关配送措施导致发生问题，按照合同约定的违约责任条款处理。</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三、对投标供应商的商务要求</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第一条 所有参与投标供应商必须讲诚信、讲信誉，恪守职业道德和行业规则。以质量求生存，认真做到同质同价、货真价实、保质保量。</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第二条 所有参与投标的供应商需做到质量合格、价格稳定，坚决杜绝以次充好，所报价格应低于同类产品的一级市场批发价，所报价格均为到货价（此价格包括货物储藏、运输、搬运装卸、税费等一切相关费用）。</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第三条 供应商对所提供的物资需送货并搬运入库，并装卸摆放整齐。在验收品种、数量、质量之后，由甲方指定人员和乙方人员在送货单上确认签字后则完成交货。</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第四条 中标供应商保证在供货时遵从甲方关于本项目的采购程序，保证不会将合同及（或）其中的权利、义务转让，不得转标项、分标项。</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第五条 中标单位在签订合同的同时，需签订质量保证书及廉政协议。</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★第六条 供货期间若采购人对所供货物质量产生异议，送政府质量检测部门检验，如检验不合格，检验费用由中标人负责，并接受采购人按照合同约定的处罚，若发生类似上述情况两次及以上，甲方可单方面取消合同。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★第七条 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20%向甲方赔偿违约责任。合同解除后，甲方有权与第三方供货商另行签订合同，进行供货。</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第八条 各标段食材项目中标企业不允许以任何形式转包、分包方式履行本合同，中标供应商严禁以任何形式变相赚取食材差价，一经查实属实者终止履行合同，对产生的经济纠纷付诸司法程序裁定和所造成的一切后果均由乙方承担。</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第九条 投标企业需具备卫生合格的库房。投标单位在投标文件中需提供中标后在项目所在地成立仓库完成该项目履约承诺书。</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第十条 投标单位需提供近三年内无因食品安全问题行政处罚的承诺书。</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第十一条 投标单位需针对本项目承诺大宗食材投标报价不得高于本地市场批发价的承诺函（格式自拟）。</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第十二条 根据教育部等七部门关于印发《农村义务教育学生营养改善计划实施办法》的通知教财〔2022〕2号规定：第四十一条教育部门应会同有关食品安全监管部门加强供餐监管，建立学校食堂、供餐企业（单位）信用档案。学校食堂、供餐企业（单位）出现下列情况之一者，应立即停止供餐：</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（一）违反相关法律法规，被市场监管部门吊销食品经营许可证、营业执照。</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（二）发生食品安全事故或在合同期内被行政处罚的。</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（三）未持续保持食品经营许可条件，经整改仍不符合食品经营许可条件的。</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（四）存在采购加工法律法规禁止生产经营的食品、使用非食用物质、滥用食品添加剂、降低食品安全保障条件等食品安全问题的。</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（五）出现降低供餐质量和餐量标准，随意变更供餐食谱等情况，或在供餐质量评议中学生满意度较低，经约谈警告后，仍不改正的。</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（六）擅自转包、分包供餐业务或存在擅自变更配餐生产地址、擅自更换履约人等违约行为。</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（七）出现其他违反法律法规及有关规定的行为。具体管理办法由省级教育部门会同有关食品安全监管部门制订。</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如若供应商在履约合同期限内违反上述12条中的任何条款规定，甲方有权终止合同并顺延至第二或第三名中标成交单位继续完成履约，或重新组织招标。</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四、其他商务要求</w:t>
      </w:r>
    </w:p>
    <w:p>
      <w:pPr>
        <w:keepNext w:val="0"/>
        <w:keepLines w:val="0"/>
        <w:pageBreakBefore w:val="0"/>
        <w:wordWrap/>
        <w:overflowPunct/>
        <w:topLinePunct w:val="0"/>
        <w:autoSpaceDE w:val="0"/>
        <w:autoSpaceDN w:val="0"/>
        <w:bidi w:val="0"/>
        <w:adjustRightInd w:val="0"/>
        <w:spacing w:line="440" w:lineRule="exact"/>
        <w:ind w:firstLine="412" w:firstLineChars="200"/>
        <w:jc w:val="left"/>
        <w:rPr>
          <w:rFonts w:hint="default" w:ascii="Times New Roman" w:hAnsi="Times New Roman" w:eastAsia="方正仿宋_GBK" w:cs="Times New Roman"/>
          <w:b w:val="0"/>
          <w:bCs w:val="0"/>
          <w:color w:val="auto"/>
          <w:spacing w:val="-17"/>
          <w:sz w:val="24"/>
          <w:szCs w:val="24"/>
          <w:lang w:val="en-US" w:eastAsia="zh-CN"/>
        </w:rPr>
      </w:pPr>
      <w:r>
        <w:rPr>
          <w:rFonts w:hint="default" w:ascii="Times New Roman" w:hAnsi="Times New Roman" w:eastAsia="方正仿宋_GBK" w:cs="Times New Roman"/>
          <w:b w:val="0"/>
          <w:bCs w:val="0"/>
          <w:color w:val="auto"/>
          <w:spacing w:val="-17"/>
          <w:sz w:val="24"/>
          <w:szCs w:val="24"/>
          <w:lang w:val="en-US" w:eastAsia="zh-CN"/>
        </w:rPr>
        <w:t>1.适用范围：全县不享受财政校园膳食经费政策的各中职、普通高中等学校</w:t>
      </w:r>
      <w:r>
        <w:rPr>
          <w:rFonts w:hint="eastAsia" w:ascii="Times New Roman" w:hAnsi="Times New Roman" w:eastAsia="方正仿宋_GBK" w:cs="Times New Roman"/>
          <w:b w:val="0"/>
          <w:bCs w:val="0"/>
          <w:color w:val="auto"/>
          <w:spacing w:val="-17"/>
          <w:sz w:val="24"/>
          <w:szCs w:val="24"/>
          <w:lang w:val="en-US" w:eastAsia="zh-CN"/>
        </w:rPr>
        <w:t>。</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★2.合同</w:t>
      </w:r>
      <w:r>
        <w:rPr>
          <w:rFonts w:hint="eastAsia" w:ascii="Times New Roman" w:hAnsi="Times New Roman" w:eastAsia="方正仿宋_GBK" w:cs="Times New Roman"/>
          <w:b w:val="0"/>
          <w:bCs w:val="0"/>
          <w:color w:val="auto"/>
          <w:sz w:val="24"/>
          <w:szCs w:val="24"/>
          <w:lang w:val="en-US" w:eastAsia="zh-CN"/>
        </w:rPr>
        <w:t>履约</w:t>
      </w:r>
      <w:r>
        <w:rPr>
          <w:rFonts w:hint="default" w:ascii="Times New Roman" w:hAnsi="Times New Roman" w:eastAsia="方正仿宋_GBK" w:cs="Times New Roman"/>
          <w:b w:val="0"/>
          <w:bCs w:val="0"/>
          <w:color w:val="auto"/>
          <w:sz w:val="24"/>
          <w:szCs w:val="24"/>
          <w:lang w:val="en-US" w:eastAsia="zh-CN"/>
        </w:rPr>
        <w:t>期限：本次招标食材使用时间2025年8月</w:t>
      </w:r>
      <w:r>
        <w:rPr>
          <w:rFonts w:hint="eastAsia" w:ascii="Times New Roman" w:hAnsi="Times New Roman" w:eastAsia="方正仿宋_GBK" w:cs="Times New Roman"/>
          <w:b w:val="0"/>
          <w:bCs w:val="0"/>
          <w:color w:val="auto"/>
          <w:sz w:val="24"/>
          <w:szCs w:val="24"/>
          <w:lang w:val="en-US" w:eastAsia="zh-CN"/>
        </w:rPr>
        <w:t>8</w:t>
      </w:r>
      <w:r>
        <w:rPr>
          <w:rFonts w:hint="default" w:ascii="Times New Roman" w:hAnsi="Times New Roman" w:eastAsia="方正仿宋_GBK" w:cs="Times New Roman"/>
          <w:b w:val="0"/>
          <w:bCs w:val="0"/>
          <w:color w:val="auto"/>
          <w:sz w:val="24"/>
          <w:szCs w:val="24"/>
          <w:lang w:val="en-US" w:eastAsia="zh-CN"/>
        </w:rPr>
        <w:t>日至2026年8月</w:t>
      </w:r>
      <w:r>
        <w:rPr>
          <w:rFonts w:hint="eastAsia" w:ascii="Times New Roman" w:hAnsi="Times New Roman" w:eastAsia="方正仿宋_GBK" w:cs="Times New Roman"/>
          <w:b w:val="0"/>
          <w:bCs w:val="0"/>
          <w:color w:val="auto"/>
          <w:sz w:val="24"/>
          <w:szCs w:val="24"/>
          <w:lang w:val="en-US" w:eastAsia="zh-CN"/>
        </w:rPr>
        <w:t>7</w:t>
      </w:r>
      <w:r>
        <w:rPr>
          <w:rFonts w:hint="default" w:ascii="Times New Roman" w:hAnsi="Times New Roman" w:eastAsia="方正仿宋_GBK" w:cs="Times New Roman"/>
          <w:b w:val="0"/>
          <w:bCs w:val="0"/>
          <w:color w:val="auto"/>
          <w:sz w:val="24"/>
          <w:szCs w:val="24"/>
          <w:lang w:val="en-US" w:eastAsia="zh-CN"/>
        </w:rPr>
        <w:t>日，具体以签订合同时间约定为准，以实际供货量进行结算。</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报备品牌：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的产品视为无效备案。</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4.履约保证金：投标企业中标后依法向采购单位缴纳中标总价7%的履约保证金或提供银行开具的保函。</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5.食品安全责任保险：</w:t>
      </w:r>
      <w:r>
        <w:rPr>
          <w:rFonts w:hint="default" w:ascii="Times New Roman" w:hAnsi="Times New Roman" w:eastAsia="方正仿宋_GBK" w:cs="Times New Roman"/>
          <w:b w:val="0"/>
          <w:bCs w:val="0"/>
          <w:color w:val="auto"/>
          <w:sz w:val="24"/>
          <w:szCs w:val="24"/>
          <w:lang w:val="zh-CN"/>
        </w:rPr>
        <w:t>投标企业中标后</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en-US" w:eastAsia="zh-CN"/>
        </w:rPr>
        <w:t>首次供货之前向采购单位提供本地保险公司签订的《食品安全责任保险》保单，保额不少于中标金额。</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6.库房要求：投标企业需具备符合食品安全要求和卫生合格的库房。</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★7.供应保障：投标企业需具备至少3个月食材供应的资金能力。</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8.配合事项：企业需配合教育局开展资金对账、食材质量验收及抽检工作</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如遇项目专项审计、检查、案件调查，企业需无条件配合。</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结算：一是每月最终以学校实际验收量为准进行支付（企业必须次月月初按时开具支付发票，未及时开具税务发票的由企业承担责任），合同金额以最终实际配送验收金额为准。二是鸡蛋、水果、蔬菜等招下浮率的食材结算单价，由教育局及其他相关部门组织学校、幼儿园、乙方代表每周（5-7天）共同对批发市场、综合农贸市场、屠宰场交易价进行询价，每次被询价商家至少3家，询价单一式三份，各方代表当日询价单上签字并各方均持一份，各方代表每半个月共同书面确定结算单价，任一方不得单方定价，每半个月确定一次结算单价，每半个月基础单价=5-7天的询价单（经各方代表签字确认的询价单）平均单价相加除以询价次数，（基础单价-基础单价*乙方投标文件填写的下浮率=中标企业结算单价（公斤/元），每半月询价确定次半月结算单价（合同期内每半月结算单价以此类推）。</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10.结算依据：该项目最终结算以实际发生量给与结算。</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11.投标报价包含：货物本身价格、保险费用、包装费、运输费用、搬运费、损耗、税金费用、检疫费、管理费、自检费及验收合格前和质保期内发生的一切费用、应当提供的伴随服务/售后服务费用。</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12.投标单价精确值：为确保资金精准核算，投标企业的投标单价，核准后只保留小数点后2位（小数点后两位以外的数据均不计算，同时不进行四舍五入）。</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en-US" w:eastAsia="zh-CN"/>
        </w:rPr>
        <w:t>13.食材配送及验收：一是</w:t>
      </w:r>
      <w:r>
        <w:rPr>
          <w:rFonts w:hint="default" w:ascii="Times New Roman" w:hAnsi="Times New Roman" w:eastAsia="方正仿宋_GBK" w:cs="Times New Roman"/>
          <w:b w:val="0"/>
          <w:bCs w:val="0"/>
          <w:color w:val="auto"/>
          <w:sz w:val="24"/>
          <w:szCs w:val="24"/>
          <w:lang w:val="zh-CN"/>
        </w:rPr>
        <w:t>送货</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en-US" w:eastAsia="zh-CN"/>
        </w:rPr>
        <w:t>中标企业</w:t>
      </w:r>
      <w:r>
        <w:rPr>
          <w:rFonts w:hint="default" w:ascii="Times New Roman" w:hAnsi="Times New Roman" w:eastAsia="方正仿宋_GBK" w:cs="Times New Roman"/>
          <w:b w:val="0"/>
          <w:bCs w:val="0"/>
          <w:color w:val="auto"/>
          <w:sz w:val="24"/>
          <w:szCs w:val="24"/>
          <w:lang w:val="zh-CN"/>
        </w:rPr>
        <w:t>须按甲方学校的要求，于通知后48小时</w:t>
      </w:r>
      <w:r>
        <w:rPr>
          <w:rFonts w:hint="default" w:ascii="Times New Roman" w:hAnsi="Times New Roman" w:eastAsia="方正仿宋_GBK" w:cs="Times New Roman"/>
          <w:b w:val="0"/>
          <w:bCs w:val="0"/>
          <w:color w:val="auto"/>
          <w:sz w:val="24"/>
          <w:szCs w:val="24"/>
          <w:lang w:val="en-US" w:eastAsia="zh-CN"/>
        </w:rPr>
        <w:t>内</w:t>
      </w:r>
      <w:r>
        <w:rPr>
          <w:rFonts w:hint="default" w:ascii="Times New Roman" w:hAnsi="Times New Roman" w:eastAsia="方正仿宋_GBK" w:cs="Times New Roman"/>
          <w:b w:val="0"/>
          <w:bCs w:val="0"/>
          <w:color w:val="auto"/>
          <w:sz w:val="24"/>
          <w:szCs w:val="24"/>
          <w:lang w:val="zh-CN"/>
        </w:rPr>
        <w:t>将所订购的货物送至指定地点。必须按所规定的时间</w:t>
      </w:r>
      <w:r>
        <w:rPr>
          <w:rFonts w:hint="default" w:ascii="Times New Roman" w:hAnsi="Times New Roman" w:eastAsia="方正仿宋_GBK" w:cs="Times New Roman"/>
          <w:b w:val="0"/>
          <w:bCs w:val="0"/>
          <w:color w:val="auto"/>
          <w:sz w:val="24"/>
          <w:szCs w:val="24"/>
          <w:lang w:val="en-US" w:eastAsia="zh-CN"/>
        </w:rPr>
        <w:t>将商品配送到位</w:t>
      </w:r>
      <w:r>
        <w:rPr>
          <w:rFonts w:hint="default" w:ascii="Times New Roman" w:hAnsi="Times New Roman" w:eastAsia="方正仿宋_GBK" w:cs="Times New Roman"/>
          <w:b w:val="0"/>
          <w:bCs w:val="0"/>
          <w:color w:val="auto"/>
          <w:sz w:val="24"/>
          <w:szCs w:val="24"/>
          <w:lang w:val="zh-CN"/>
        </w:rPr>
        <w:t>。</w:t>
      </w:r>
      <w:r>
        <w:rPr>
          <w:rFonts w:hint="default" w:ascii="Times New Roman" w:hAnsi="Times New Roman" w:eastAsia="方正仿宋_GBK" w:cs="Times New Roman"/>
          <w:b w:val="0"/>
          <w:bCs w:val="0"/>
          <w:color w:val="auto"/>
          <w:sz w:val="24"/>
          <w:szCs w:val="24"/>
          <w:lang w:val="en-US" w:eastAsia="zh-CN"/>
        </w:rPr>
        <w:t>中标企业</w:t>
      </w:r>
      <w:r>
        <w:rPr>
          <w:rFonts w:hint="default" w:ascii="Times New Roman" w:hAnsi="Times New Roman" w:eastAsia="方正仿宋_GBK" w:cs="Times New Roman"/>
          <w:b w:val="0"/>
          <w:bCs w:val="0"/>
          <w:color w:val="auto"/>
          <w:sz w:val="24"/>
          <w:szCs w:val="24"/>
          <w:lang w:val="zh-CN" w:eastAsia="zh-CN"/>
        </w:rPr>
        <w:t>应当保持联系方式24小时畅通</w:t>
      </w:r>
      <w:r>
        <w:rPr>
          <w:rFonts w:hint="eastAsia"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eastAsia="zh-CN"/>
        </w:rPr>
        <w:t>配送过程中产生的损耗由乙方自行承担</w:t>
      </w:r>
      <w:r>
        <w:rPr>
          <w:rFonts w:hint="default" w:ascii="Times New Roman" w:hAnsi="Times New Roman" w:eastAsia="方正仿宋_GBK" w:cs="Times New Roman"/>
          <w:b w:val="0"/>
          <w:bCs w:val="0"/>
          <w:color w:val="auto"/>
          <w:sz w:val="24"/>
          <w:szCs w:val="24"/>
          <w:lang w:val="zh-CN"/>
        </w:rPr>
        <w:t>。</w:t>
      </w:r>
      <w:r>
        <w:rPr>
          <w:rFonts w:hint="default" w:ascii="Times New Roman" w:hAnsi="Times New Roman" w:eastAsia="方正仿宋_GBK" w:cs="Times New Roman"/>
          <w:b w:val="0"/>
          <w:bCs w:val="0"/>
          <w:color w:val="auto"/>
          <w:sz w:val="24"/>
          <w:szCs w:val="24"/>
          <w:lang w:val="en-US" w:eastAsia="zh-CN"/>
        </w:rPr>
        <w:t>二是</w:t>
      </w:r>
      <w:r>
        <w:rPr>
          <w:rFonts w:hint="default" w:ascii="Times New Roman" w:hAnsi="Times New Roman" w:eastAsia="方正仿宋_GBK" w:cs="Times New Roman"/>
          <w:b w:val="0"/>
          <w:bCs w:val="0"/>
          <w:color w:val="auto"/>
          <w:sz w:val="24"/>
          <w:szCs w:val="24"/>
          <w:lang w:val="zh-CN"/>
        </w:rPr>
        <w:t>验收</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每次随货送上一式三份的送货清单（一份甲方留存、一份乙方留存、一份甲方与乙方结算时使用），</w:t>
      </w:r>
      <w:r>
        <w:rPr>
          <w:rFonts w:hint="default" w:ascii="Times New Roman" w:hAnsi="Times New Roman" w:eastAsia="方正仿宋_GBK" w:cs="Times New Roman"/>
          <w:b w:val="0"/>
          <w:bCs w:val="0"/>
          <w:color w:val="auto"/>
          <w:sz w:val="24"/>
          <w:szCs w:val="24"/>
          <w:lang w:val="en-US" w:eastAsia="zh-CN"/>
        </w:rPr>
        <w:t>学校、幼儿园</w:t>
      </w:r>
      <w:r>
        <w:rPr>
          <w:rFonts w:hint="default" w:ascii="Times New Roman" w:hAnsi="Times New Roman" w:eastAsia="方正仿宋_GBK" w:cs="Times New Roman"/>
          <w:b w:val="0"/>
          <w:bCs w:val="0"/>
          <w:color w:val="auto"/>
          <w:sz w:val="24"/>
          <w:szCs w:val="24"/>
          <w:lang w:val="zh-CN"/>
        </w:rPr>
        <w:t>验收后由甲乙双方签字核认，作为送货凭证，验收过程乙方应有人在现场参与验收</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对不符合质量的商品，</w:t>
      </w:r>
      <w:r>
        <w:rPr>
          <w:rFonts w:hint="default" w:ascii="Times New Roman" w:hAnsi="Times New Roman" w:eastAsia="方正仿宋_GBK" w:cs="Times New Roman"/>
          <w:b w:val="0"/>
          <w:bCs w:val="0"/>
          <w:color w:val="auto"/>
          <w:sz w:val="24"/>
          <w:szCs w:val="24"/>
          <w:lang w:val="en-US" w:eastAsia="zh-CN"/>
        </w:rPr>
        <w:t>甲方管理的学校、幼儿园</w:t>
      </w:r>
      <w:r>
        <w:rPr>
          <w:rFonts w:hint="default" w:ascii="Times New Roman" w:hAnsi="Times New Roman" w:eastAsia="方正仿宋_GBK" w:cs="Times New Roman"/>
          <w:b w:val="0"/>
          <w:bCs w:val="0"/>
          <w:color w:val="auto"/>
          <w:sz w:val="24"/>
          <w:szCs w:val="24"/>
          <w:lang w:val="zh-CN"/>
        </w:rPr>
        <w:t>有权退货和要求乙方换货。</w:t>
      </w:r>
      <w:r>
        <w:rPr>
          <w:rFonts w:hint="default" w:ascii="Times New Roman" w:hAnsi="Times New Roman" w:eastAsia="方正仿宋_GBK" w:cs="Times New Roman"/>
          <w:b w:val="0"/>
          <w:bCs w:val="0"/>
          <w:color w:val="auto"/>
          <w:sz w:val="24"/>
          <w:szCs w:val="24"/>
          <w:lang w:val="en-US" w:eastAsia="zh-CN"/>
        </w:rPr>
        <w:t>学校</w:t>
      </w:r>
      <w:r>
        <w:rPr>
          <w:rFonts w:hint="default" w:ascii="Times New Roman" w:hAnsi="Times New Roman" w:eastAsia="方正仿宋_GBK" w:cs="Times New Roman"/>
          <w:b w:val="0"/>
          <w:bCs w:val="0"/>
          <w:color w:val="auto"/>
          <w:sz w:val="24"/>
          <w:szCs w:val="24"/>
          <w:lang w:val="zh-CN"/>
        </w:rPr>
        <w:t>退货应出具书面凭证并备注原因，退换货物的风险和所产生的费用由</w:t>
      </w:r>
      <w:r>
        <w:rPr>
          <w:rFonts w:hint="default" w:ascii="Times New Roman" w:hAnsi="Times New Roman" w:eastAsia="方正仿宋_GBK" w:cs="Times New Roman"/>
          <w:b w:val="0"/>
          <w:bCs w:val="0"/>
          <w:color w:val="auto"/>
          <w:sz w:val="24"/>
          <w:szCs w:val="24"/>
          <w:lang w:val="en-US" w:eastAsia="zh-CN"/>
        </w:rPr>
        <w:t>配送企业</w:t>
      </w:r>
      <w:r>
        <w:rPr>
          <w:rFonts w:hint="default" w:ascii="Times New Roman" w:hAnsi="Times New Roman" w:eastAsia="方正仿宋_GBK" w:cs="Times New Roman"/>
          <w:b w:val="0"/>
          <w:bCs w:val="0"/>
          <w:color w:val="auto"/>
          <w:sz w:val="24"/>
          <w:szCs w:val="24"/>
          <w:lang w:val="zh-CN"/>
        </w:rPr>
        <w:t>自行承担。 </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五、确定中标候选人</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1.招标人确定中标人的原则</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2.本项目选定唯一中标人，招标人与中标人签订定供货合同，由中标人供货，如中标人在履行合同期间达不到验收标准或服务不及时等（招标人根据验收标准评定），招标人终止与中标人的合同，</w:t>
      </w:r>
      <w:r>
        <w:rPr>
          <w:rFonts w:hint="default" w:ascii="Times New Roman" w:hAnsi="Times New Roman" w:eastAsia="方正仿宋_GBK" w:cs="Times New Roman"/>
          <w:b w:val="0"/>
          <w:bCs w:val="0"/>
          <w:color w:val="auto"/>
          <w:sz w:val="24"/>
          <w:szCs w:val="24"/>
          <w:lang w:val="en-US" w:eastAsia="zh-CN"/>
        </w:rPr>
        <w:t>延至第二或第三名中标成交单位继续完成履约，或重新组织招标。</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六、履约前资料核查</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1.招标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2.招标人若发现中标候选人在投标过程中提供虚假证明文件，故意隐瞒公司不良信誉和财务状况，以及存在可能对合同圆满履行造成风险的其他因素等，则按规定取消其中标资格，监管部门依法进行处理。</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3.如果中标候选人被确认不具备执行合同能力，招标人</w:t>
      </w:r>
      <w:r>
        <w:rPr>
          <w:rFonts w:hint="default" w:ascii="Times New Roman" w:hAnsi="Times New Roman" w:eastAsia="方正仿宋_GBK" w:cs="Times New Roman"/>
          <w:b w:val="0"/>
          <w:bCs w:val="0"/>
          <w:color w:val="auto"/>
          <w:sz w:val="24"/>
          <w:szCs w:val="24"/>
          <w:lang w:val="en-US" w:eastAsia="zh-CN"/>
        </w:rPr>
        <w:t>有权取消其中标资格，并</w:t>
      </w:r>
      <w:r>
        <w:rPr>
          <w:rFonts w:hint="default" w:ascii="Times New Roman" w:hAnsi="Times New Roman" w:eastAsia="方正仿宋_GBK" w:cs="Times New Roman"/>
          <w:b w:val="0"/>
          <w:bCs w:val="0"/>
          <w:color w:val="auto"/>
          <w:sz w:val="24"/>
          <w:szCs w:val="24"/>
          <w:lang w:val="zh-CN"/>
        </w:rPr>
        <w:t>按同样的程序审查下一个中标候选人</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en-US" w:eastAsia="zh-CN"/>
        </w:rPr>
        <w:t>直至确认具有</w:t>
      </w:r>
      <w:r>
        <w:rPr>
          <w:rFonts w:hint="default" w:ascii="Times New Roman" w:hAnsi="Times New Roman" w:eastAsia="方正仿宋_GBK" w:cs="Times New Roman"/>
          <w:b w:val="0"/>
          <w:bCs w:val="0"/>
          <w:color w:val="auto"/>
          <w:sz w:val="24"/>
          <w:szCs w:val="24"/>
          <w:lang w:val="zh-CN"/>
        </w:rPr>
        <w:t>执行合同能力</w:t>
      </w:r>
      <w:r>
        <w:rPr>
          <w:rFonts w:hint="default" w:ascii="Times New Roman" w:hAnsi="Times New Roman" w:eastAsia="方正仿宋_GBK" w:cs="Times New Roman"/>
          <w:b w:val="0"/>
          <w:bCs w:val="0"/>
          <w:color w:val="auto"/>
          <w:sz w:val="24"/>
          <w:szCs w:val="24"/>
          <w:lang w:val="en-US" w:eastAsia="zh-CN"/>
        </w:rPr>
        <w:t>的企业为止</w:t>
      </w:r>
      <w:r>
        <w:rPr>
          <w:rFonts w:hint="default" w:ascii="Times New Roman" w:hAnsi="Times New Roman" w:eastAsia="方正仿宋_GBK" w:cs="Times New Roman"/>
          <w:b w:val="0"/>
          <w:bCs w:val="0"/>
          <w:color w:val="auto"/>
          <w:sz w:val="24"/>
          <w:szCs w:val="24"/>
          <w:lang w:val="zh-CN"/>
        </w:rPr>
        <w:t>。</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七、签订合同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2.招标人和中标人应当自中标通知书发出之日起</w:t>
      </w:r>
      <w:r>
        <w:rPr>
          <w:rFonts w:hint="default" w:ascii="Times New Roman" w:hAnsi="Times New Roman" w:eastAsia="方正仿宋_GBK" w:cs="Times New Roman"/>
          <w:b w:val="0"/>
          <w:bCs w:val="0"/>
          <w:color w:val="auto"/>
          <w:sz w:val="24"/>
          <w:szCs w:val="24"/>
          <w:lang w:val="en-US" w:eastAsia="zh-CN"/>
        </w:rPr>
        <w:t>2</w:t>
      </w:r>
      <w:r>
        <w:rPr>
          <w:rFonts w:hint="default" w:ascii="Times New Roman" w:hAnsi="Times New Roman" w:eastAsia="方正仿宋_GBK" w:cs="Times New Roman"/>
          <w:b w:val="0"/>
          <w:bCs w:val="0"/>
          <w:color w:val="auto"/>
          <w:sz w:val="24"/>
          <w:szCs w:val="24"/>
          <w:lang w:val="zh-CN"/>
        </w:rPr>
        <w:t>0天内，根据招标文件和中标人的投标文件订立书面合同。中标人无正当理由拒签合同的，招标人取消其中标资格，其投标保证金不予退还</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给招标人造成的损失超过投标保证金数额的，中标人还应当对超过部分予以赔偿。</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3.中标人无正当理由未在规定时间内与招标人签订合同的，招标人有权建议取消其中标资格，监管部门将对其依法处理。</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4.招标人不得向中标人提出任何不合理的要求，作为签订合同的条件</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不得与中标人私下订立背离合同实质性内容的协议。</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5. 中标人因不可抗力或自身原因不能签订采购合同或者不能履行合同的，招标人可以按中标候选顺序确定新的中标人并签订合同，以此类推，或重新进行采购。</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6. 招标人在授予合同时有权对本文件规定的货物和服务予以适当的增加或减少，但不得改变单价或其他条款和条件。合同履行中，追加采购与合同标的相同的货物或服务的，按规定报批后，签订补充合同。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7.中标人应当按照合同约定履行义务，完成中标项目，不得将中标项目转让给他人。除本文件另有规定外，也不得将中标项目进行分标项给他人。</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八、违约责任</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1.乙方未按合同约定时间供货的，乙方除不可抗力外（如洪水、地震）每延迟一次按延迟供货金额 100 %支付违约金，中标企业根据甲方的通知书，将违约金交到甲方指定账户，未按要求缴纳违约金的，甲方有权从履约保证金或保函中扣除。如发生 3 次延迟供货，甲方有权解除合同。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2.如乙方所提供的食材经甲方进行抽检不合格的，该批次产品一律无条件退回。如果两次发现抽查不合格的，甲方有权终止合同，乙方应承担违约责任，向甲方支付已经履约总价款20%的违约金。</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3.食品供应造成师生食物中毒（一般食品安全事故及以上等级的）或其他食源性疾病等重大安全事故的，经检测是乙方配送食品原材料原因的，甲方有权单方解除本合同，乙方应当向甲方支付已供货总金额 100 %的违约金，并承担对甲方带来的损失，同时，追究相关法律责任。</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乙方工作没有达到甲方或学校、幼儿园要求的，甲方有权向乙方提出整改要求，提高服务水平。甲方三次催告后乙方仍不予整改的，甲方有权单方解除合同，乙方应承担给甲方造成的一切损失（包括但不限于鉴定费、差旅费、诉讼费、律师费等）。</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5.若乙方已做到供货及时，保质保量，诚信经营，甲方无正当理由不能在合同期内随意取消乙方的供货权。</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或保函金额，乙方需承担相应的经济损失和责任。</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7.甲方抽查验收中，现场发现存在问题食材或数量不足或品种短缺等情况，甲方有权针对现场存在的问题食材或数量不足或品种短缺等情况，要求企业按照本次订单总金额3倍缴纳违约金，中标企业根据甲方的通知书，将违约金交到甲方指定账户，未按要求缴纳违约金的，甲方有权从履约保证金或银行保函中扣除。</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在甲方学校、幼儿园验收中，若存在问题食材或数量不足或品种短缺等问题，学校、幼儿园有权拒绝接受和签字，中标企业须2小时之内无条件补充退换和整改，对拒不补充、退换或整改的，甲方依据校（园）出具的详细书面情况说明，有权要求按应退换货款金额 100 %支付违约金，中标企业根据甲方的通知书，将违约金交到甲方指定账户，未按要求缴纳违约金的甲方有权从履约保证金或保函中扣除。</w:t>
      </w:r>
    </w:p>
    <w:p>
      <w:pPr>
        <w:pStyle w:val="16"/>
        <w:keepNext w:val="0"/>
        <w:keepLines w:val="0"/>
        <w:pageBreakBefore w:val="0"/>
        <w:wordWrap/>
        <w:overflowPunct/>
        <w:topLinePunct w:val="0"/>
        <w:autoSpaceDE w:val="0"/>
        <w:autoSpaceDN w:val="0"/>
        <w:bidi w:val="0"/>
        <w:adjustRightInd w:val="0"/>
        <w:spacing w:line="440" w:lineRule="exact"/>
        <w:rPr>
          <w:rFonts w:hint="eastAsia"/>
        </w:rPr>
      </w:pPr>
    </w:p>
    <w:p>
      <w:pPr>
        <w:keepNext w:val="0"/>
        <w:keepLines w:val="0"/>
        <w:pageBreakBefore w:val="0"/>
        <w:wordWrap/>
        <w:overflowPunct/>
        <w:topLinePunct w:val="0"/>
        <w:autoSpaceDE w:val="0"/>
        <w:autoSpaceDN w:val="0"/>
        <w:bidi w:val="0"/>
        <w:adjustRightInd w:val="0"/>
        <w:spacing w:before="149" w:line="440" w:lineRule="exact"/>
        <w:outlineLvl w:val="9"/>
        <w:rPr>
          <w:rFonts w:hint="eastAsia" w:ascii="仿宋" w:hAnsi="仿宋" w:eastAsia="仿宋" w:cs="仿宋"/>
          <w:b/>
          <w:bCs/>
          <w:spacing w:val="-4"/>
          <w:sz w:val="32"/>
          <w:szCs w:val="32"/>
        </w:rPr>
      </w:pPr>
      <w:r>
        <w:rPr>
          <w:rFonts w:hint="eastAsia" w:ascii="仿宋" w:hAnsi="仿宋" w:eastAsia="仿宋" w:cs="仿宋"/>
          <w:b/>
          <w:bCs/>
          <w:spacing w:val="-4"/>
          <w:sz w:val="32"/>
          <w:szCs w:val="32"/>
        </w:rPr>
        <w:t>注：标★为实质性响应条款，如未响应，视为投标无效。</w:t>
      </w: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3"/>
        <w:bidi w:val="0"/>
        <w:jc w:val="center"/>
        <w:rPr>
          <w:rFonts w:hint="eastAsia"/>
        </w:rPr>
      </w:pPr>
      <w:bookmarkStart w:id="182" w:name="_Toc6474"/>
      <w:r>
        <w:rPr>
          <w:rFonts w:hint="eastAsia"/>
        </w:rPr>
        <w:t>符合性审查表</w:t>
      </w:r>
      <w:bookmarkEnd w:id="182"/>
    </w:p>
    <w:p>
      <w:pPr>
        <w:spacing w:before="87"/>
        <w:rPr>
          <w:rFonts w:hint="eastAsia" w:ascii="仿宋" w:hAnsi="仿宋" w:eastAsia="仿宋" w:cs="仿宋"/>
          <w:sz w:val="28"/>
          <w:szCs w:val="28"/>
        </w:rPr>
      </w:pPr>
    </w:p>
    <w:tbl>
      <w:tblPr>
        <w:tblStyle w:val="31"/>
        <w:tblW w:w="9569" w:type="dxa"/>
        <w:tblInd w:w="-7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vAlign w:val="top"/>
          </w:tcPr>
          <w:p>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vAlign w:val="top"/>
          </w:tcPr>
          <w:p>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86" w:type="dxa"/>
            <w:vAlign w:val="top"/>
          </w:tcPr>
          <w:p>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vAlign w:val="top"/>
          </w:tcPr>
          <w:p>
            <w:pPr>
              <w:rPr>
                <w:rFonts w:hint="eastAsia" w:ascii="仿宋" w:hAnsi="仿宋" w:eastAsia="仿宋" w:cs="仿宋"/>
                <w:sz w:val="21"/>
                <w:szCs w:val="21"/>
              </w:rPr>
            </w:pPr>
          </w:p>
        </w:tc>
        <w:tc>
          <w:tcPr>
            <w:tcW w:w="1371" w:type="dxa"/>
            <w:vAlign w:val="top"/>
          </w:tcPr>
          <w:p>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vAlign w:val="top"/>
          </w:tcPr>
          <w:p>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vAlign w:val="top"/>
          </w:tcPr>
          <w:p>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vAlign w:val="top"/>
          </w:tcPr>
          <w:p>
            <w:pPr>
              <w:spacing w:line="338" w:lineRule="auto"/>
              <w:rPr>
                <w:rFonts w:hint="eastAsia" w:ascii="仿宋" w:hAnsi="仿宋" w:eastAsia="仿宋" w:cs="仿宋"/>
                <w:sz w:val="21"/>
                <w:szCs w:val="21"/>
              </w:rPr>
            </w:pPr>
          </w:p>
          <w:p>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vAlign w:val="top"/>
          </w:tcPr>
          <w:p>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vAlign w:val="top"/>
          </w:tcPr>
          <w:p>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vAlign w:val="top"/>
          </w:tcPr>
          <w:p>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vAlign w:val="top"/>
          </w:tcPr>
          <w:p>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vAlign w:val="top"/>
          </w:tcPr>
          <w:p>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配送期</w:t>
            </w:r>
            <w:r>
              <w:rPr>
                <w:rFonts w:hint="eastAsia" w:ascii="仿宋" w:hAnsi="仿宋" w:eastAsia="仿宋" w:cs="仿宋"/>
                <w:spacing w:val="5"/>
                <w:sz w:val="21"/>
                <w:szCs w:val="21"/>
              </w:rPr>
              <w:t>满足招标文件规定的；</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vAlign w:val="top"/>
          </w:tcPr>
          <w:p>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vAlign w:val="top"/>
          </w:tcPr>
          <w:p>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vAlign w:val="top"/>
          </w:tcPr>
          <w:p>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vAlign w:val="top"/>
          </w:tcPr>
          <w:p>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vAlign w:val="top"/>
          </w:tcPr>
          <w:p>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vAlign w:val="top"/>
          </w:tcPr>
          <w:p>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vAlign w:val="top"/>
          </w:tcPr>
          <w:p>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vAlign w:val="top"/>
          </w:tcPr>
          <w:p>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vAlign w:val="top"/>
          </w:tcPr>
          <w:p>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11</w:t>
            </w:r>
          </w:p>
        </w:tc>
        <w:tc>
          <w:tcPr>
            <w:tcW w:w="7112" w:type="dxa"/>
            <w:vAlign w:val="top"/>
          </w:tcPr>
          <w:p>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投标人近3年内无发生食品安全事故或受过相关食品安全相关行政处罚承诺书。</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86" w:type="dxa"/>
            <w:vAlign w:val="top"/>
          </w:tcPr>
          <w:p>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12</w:t>
            </w:r>
          </w:p>
        </w:tc>
        <w:tc>
          <w:tcPr>
            <w:tcW w:w="7112" w:type="dxa"/>
            <w:vAlign w:val="top"/>
          </w:tcPr>
          <w:p>
            <w:pPr>
              <w:spacing w:before="51" w:line="227" w:lineRule="auto"/>
              <w:ind w:left="115" w:leftChars="0"/>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投标企业需具备卫生合格的库房，在投标文件中需提供中标后在项目所在地成立仓库完成该项目履约承诺书。</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86" w:type="dxa"/>
            <w:vAlign w:val="top"/>
          </w:tcPr>
          <w:p>
            <w:pPr>
              <w:spacing w:before="73" w:line="190" w:lineRule="auto"/>
              <w:ind w:firstLine="388" w:firstLineChars="20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13</w:t>
            </w:r>
          </w:p>
        </w:tc>
        <w:tc>
          <w:tcPr>
            <w:tcW w:w="7112" w:type="dxa"/>
            <w:vAlign w:val="top"/>
          </w:tcPr>
          <w:p>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投标有效期是否满足招标文件要求。</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86" w:type="dxa"/>
            <w:vAlign w:val="top"/>
          </w:tcPr>
          <w:p>
            <w:pPr>
              <w:spacing w:before="73" w:line="190" w:lineRule="auto"/>
              <w:ind w:firstLine="388" w:firstLineChars="20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14</w:t>
            </w:r>
          </w:p>
        </w:tc>
        <w:tc>
          <w:tcPr>
            <w:tcW w:w="7112" w:type="dxa"/>
            <w:vAlign w:val="top"/>
          </w:tcPr>
          <w:p>
            <w:pPr>
              <w:spacing w:before="51" w:line="227" w:lineRule="auto"/>
              <w:ind w:left="115" w:leftChars="0"/>
              <w:rPr>
                <w:rFonts w:hint="eastAsia" w:ascii="仿宋" w:hAnsi="仿宋" w:eastAsia="仿宋" w:cs="仿宋"/>
                <w:spacing w:val="5"/>
                <w:sz w:val="21"/>
                <w:szCs w:val="21"/>
                <w:lang w:val="en-US" w:eastAsia="zh-CN"/>
              </w:rPr>
            </w:pPr>
            <w:r>
              <w:rPr>
                <w:rFonts w:hint="default" w:ascii="仿宋" w:hAnsi="仿宋" w:eastAsia="仿宋" w:cs="仿宋"/>
                <w:spacing w:val="5"/>
                <w:sz w:val="21"/>
                <w:szCs w:val="21"/>
                <w:lang w:val="en-US" w:eastAsia="zh-CN"/>
              </w:rPr>
              <w:t>所投产品的货物及数量满足招标文件要求的（可参考投标分项报价表）</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vAlign w:val="top"/>
          </w:tcPr>
          <w:p>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vAlign w:val="top"/>
          </w:tcPr>
          <w:p>
            <w:pPr>
              <w:rPr>
                <w:rFonts w:hint="eastAsia" w:ascii="仿宋" w:hAnsi="仿宋" w:eastAsia="仿宋" w:cs="仿宋"/>
                <w:sz w:val="21"/>
              </w:rPr>
            </w:pPr>
          </w:p>
        </w:tc>
      </w:tr>
    </w:tbl>
    <w:p>
      <w:pPr>
        <w:pStyle w:val="9"/>
        <w:spacing w:before="32" w:line="228" w:lineRule="auto"/>
        <w:ind w:left="110"/>
        <w:rPr>
          <w:rFonts w:hint="eastAsia" w:ascii="仿宋" w:hAnsi="仿宋" w:eastAsia="仿宋" w:cs="仿宋"/>
          <w:spacing w:val="2"/>
          <w:sz w:val="20"/>
          <w:szCs w:val="20"/>
        </w:rPr>
      </w:pPr>
    </w:p>
    <w:p>
      <w:pPr>
        <w:pStyle w:val="9"/>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pPr>
        <w:pStyle w:val="9"/>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pPr>
        <w:pStyle w:val="9"/>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pPr>
        <w:pStyle w:val="9"/>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pPr>
        <w:pStyle w:val="9"/>
        <w:spacing w:before="94" w:line="228" w:lineRule="auto"/>
        <w:ind w:left="51"/>
        <w:rPr>
          <w:rFonts w:hint="eastAsia" w:ascii="仿宋" w:hAnsi="仿宋" w:eastAsia="仿宋" w:cs="仿宋"/>
          <w:sz w:val="20"/>
          <w:szCs w:val="20"/>
          <w:lang w:eastAsia="zh-CN"/>
        </w:rPr>
        <w:sectPr>
          <w:footerReference r:id="rId41" w:type="default"/>
          <w:pgSz w:w="11907" w:h="16840"/>
          <w:pgMar w:top="1440" w:right="1800" w:bottom="1440" w:left="1800" w:header="0" w:footer="1085"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b/>
          <w:bCs/>
          <w:spacing w:val="8"/>
          <w:sz w:val="20"/>
          <w:szCs w:val="20"/>
        </w:rPr>
        <w:t>未通过资格审查的投标人不进入评标；通过资格审查的投标人少于不足三家的，不得评标</w:t>
      </w:r>
    </w:p>
    <w:p>
      <w:pPr>
        <w:spacing w:before="91" w:line="388" w:lineRule="exact"/>
        <w:ind w:firstLine="2691" w:firstLineChars="1000"/>
        <w:jc w:val="both"/>
        <w:outlineLvl w:val="0"/>
        <w:rPr>
          <w:rFonts w:hint="eastAsia" w:ascii="仿宋" w:hAnsi="仿宋" w:eastAsia="仿宋" w:cs="仿宋"/>
          <w:sz w:val="28"/>
          <w:szCs w:val="28"/>
        </w:rPr>
      </w:pPr>
      <w:bookmarkStart w:id="183" w:name="_Toc32140"/>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183"/>
    </w:p>
    <w:p>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pPr>
        <w:spacing w:line="360" w:lineRule="auto"/>
        <w:ind w:left="182"/>
        <w:outlineLvl w:val="1"/>
        <w:rPr>
          <w:rFonts w:hint="eastAsia" w:ascii="仿宋" w:hAnsi="仿宋" w:eastAsia="仿宋" w:cs="仿宋"/>
          <w:sz w:val="21"/>
        </w:rPr>
      </w:pPr>
      <w:bookmarkStart w:id="184" w:name="_Toc3072"/>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184"/>
    </w:p>
    <w:p>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pPr>
        <w:spacing w:before="176" w:line="360" w:lineRule="auto"/>
        <w:ind w:left="648"/>
        <w:outlineLvl w:val="1"/>
        <w:rPr>
          <w:rFonts w:hint="eastAsia" w:ascii="仿宋" w:hAnsi="仿宋" w:eastAsia="仿宋" w:cs="仿宋"/>
          <w:sz w:val="24"/>
          <w:szCs w:val="24"/>
        </w:rPr>
      </w:pPr>
      <w:bookmarkStart w:id="185" w:name="_Toc4522"/>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185"/>
    </w:p>
    <w:p>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pPr>
        <w:spacing w:line="221" w:lineRule="auto"/>
        <w:rPr>
          <w:rFonts w:hint="eastAsia" w:ascii="仿宋" w:hAnsi="仿宋" w:eastAsia="仿宋" w:cs="仿宋"/>
          <w:sz w:val="24"/>
          <w:szCs w:val="24"/>
        </w:rPr>
        <w:sectPr>
          <w:footerReference r:id="rId42" w:type="default"/>
          <w:pgSz w:w="11907" w:h="16840"/>
          <w:pgMar w:top="1440" w:right="1800" w:bottom="1440" w:left="1800" w:header="0" w:footer="1085" w:gutter="0"/>
          <w:pgBorders>
            <w:top w:val="single" w:color="auto" w:sz="4" w:space="1"/>
            <w:left w:val="none" w:sz="0" w:space="0"/>
            <w:bottom w:val="none" w:sz="0" w:space="0"/>
            <w:right w:val="none" w:sz="0" w:space="0"/>
          </w:pgBorders>
          <w:pgNumType w:fmt="decimal"/>
          <w:cols w:space="720" w:num="1"/>
        </w:sectPr>
      </w:pPr>
    </w:p>
    <w:tbl>
      <w:tblPr>
        <w:tblStyle w:val="21"/>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pPr>
              <w:keepNext w:val="0"/>
              <w:keepLines w:val="0"/>
              <w:widowControl/>
              <w:suppressLineNumbers w:val="0"/>
              <w:tabs>
                <w:tab w:val="left" w:pos="4421"/>
              </w:tabs>
              <w:adjustRightInd w:val="0"/>
              <w:spacing w:before="0" w:beforeAutospacing="0" w:after="0" w:afterAutospacing="0" w:line="312" w:lineRule="auto"/>
              <w:ind w:left="0" w:right="0" w:firstLine="0" w:firstLineChars="0"/>
              <w:jc w:val="center"/>
              <w:rPr>
                <w:rFonts w:hint="default" w:ascii="仿宋" w:hAnsi="仿宋" w:eastAsia="仿宋" w:cs="仿宋"/>
                <w:b w:val="0"/>
                <w:bCs/>
                <w:color w:val="auto"/>
                <w:sz w:val="22"/>
                <w:szCs w:val="22"/>
                <w:highlight w:val="none"/>
                <w:lang w:val="en-US" w:eastAsia="zh-CN"/>
              </w:rPr>
            </w:pPr>
            <w:r>
              <w:rPr>
                <w:rFonts w:hint="eastAsia" w:ascii="仿宋" w:hAnsi="仿宋" w:eastAsia="仿宋" w:cs="仿宋"/>
                <w:b/>
                <w:bCs w:val="0"/>
                <w:color w:val="auto"/>
                <w:sz w:val="36"/>
                <w:szCs w:val="36"/>
                <w:highlight w:val="none"/>
                <w:lang w:val="en-US" w:eastAsia="zh-CN"/>
              </w:rPr>
              <w:t>第四标段综合评分表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232"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rPr>
              <w:t>价格评审</w:t>
            </w:r>
            <w:r>
              <w:rPr>
                <w:rFonts w:hint="eastAsia" w:ascii="仿宋" w:hAnsi="仿宋" w:eastAsia="仿宋" w:cs="仿宋"/>
                <w:b w:val="0"/>
                <w:bCs/>
                <w:color w:val="000000"/>
                <w:kern w:val="2"/>
                <w:sz w:val="22"/>
                <w:szCs w:val="22"/>
                <w:highlight w:val="none"/>
                <w:lang w:val="en-US" w:eastAsia="zh-CN"/>
              </w:rPr>
              <w:t>（40分）</w:t>
            </w: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lang w:val="en-US"/>
              </w:rPr>
            </w:pPr>
            <w:r>
              <w:rPr>
                <w:rFonts w:hint="eastAsia"/>
                <w:lang w:val="en-US"/>
              </w:rPr>
              <w:t>报价得分</w:t>
            </w:r>
          </w:p>
          <w:p>
            <w:pPr>
              <w:pStyle w:val="16"/>
              <w:keepNext w:val="0"/>
              <w:keepLines w:val="0"/>
              <w:pageBreakBefore w:val="0"/>
              <w:wordWrap/>
              <w:overflowPunct/>
              <w:topLinePunct w:val="0"/>
              <w:bidi w:val="0"/>
              <w:spacing w:line="400" w:lineRule="exact"/>
              <w:rPr>
                <w:rFonts w:hint="eastAsia"/>
                <w:lang w:val="en-US"/>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40</w:t>
            </w:r>
            <w:r>
              <w:rPr>
                <w:rFonts w:hint="eastAsia" w:ascii="仿宋" w:hAnsi="仿宋" w:eastAsia="仿宋" w:cs="仿宋"/>
                <w:b w:val="0"/>
                <w:bCs/>
                <w:color w:val="000000"/>
                <w:kern w:val="2"/>
                <w:sz w:val="22"/>
                <w:szCs w:val="22"/>
                <w:highlight w:val="none"/>
                <w:lang w:val="en-US"/>
              </w:rPr>
              <w:t>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40%×100（计算分值时，百分比按四舍五入原则，保留小数点后二位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2、对于小微企业在下浮区间内进行10 %的价格扣除制度，用扣除后的价格参与价格因素评审。同时属于小微企业、监狱企业或残疾人福利性单位的，不重复进行投标报价扣除。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2"/>
                <w:szCs w:val="22"/>
                <w:highlight w:val="none"/>
                <w:lang w:val="en-US"/>
              </w:rPr>
            </w:pPr>
            <w:r>
              <w:rPr>
                <w:rFonts w:hint="eastAsia" w:ascii="仿宋" w:hAnsi="仿宋" w:eastAsia="仿宋" w:cs="仿宋"/>
                <w:snapToGrid w:val="0"/>
                <w:color w:val="000000"/>
                <w:kern w:val="0"/>
                <w:sz w:val="22"/>
                <w:szCs w:val="20"/>
                <w:lang w:val="en-US" w:eastAsia="zh-CN" w:bidi="ar-SA"/>
              </w:rPr>
              <w:t>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1"/>
                <w:szCs w:val="21"/>
                <w:highlight w:val="none"/>
                <w:lang w:val="en-US" w:eastAsia="zh-CN"/>
              </w:rPr>
              <w:t>商务评审（35分）</w:t>
            </w:r>
          </w:p>
        </w:tc>
        <w:tc>
          <w:tcPr>
            <w:tcW w:w="1407"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履约能力</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3分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投标人需提供所投商品的货源保障、进货渠道等证明材料得3分（此项需提供与投标商品一致的近一年内进货合同和发票为1套完整的资料，提供不全或不提供不得分）满分3分。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3"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firstLine="220" w:firstLineChars="10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10分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应使用符合相关食品安全规定和卫生合格的专用冷藏车或保鲜车运输及配送。自有冷藏车或保鲜车（每车配一名司机）：提供1台得2分，满分10分；租赁冷藏车（每车配一名司机）：提供一台得1分，满分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上述资料复印件加盖投标人公章并提供齐全，方可视为1辆有效车辆，提供不全或不提供不得分。备注：投标文件中的车辆与中标后履行本项目的配送车辆信息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投标人需具备</w:t>
            </w:r>
            <w:r>
              <w:rPr>
                <w:rFonts w:hint="default" w:ascii="仿宋" w:hAnsi="仿宋" w:eastAsia="仿宋" w:cs="仿宋"/>
                <w:snapToGrid w:val="0"/>
                <w:color w:val="000000"/>
                <w:kern w:val="0"/>
                <w:sz w:val="22"/>
                <w:szCs w:val="20"/>
                <w:lang w:val="en-US" w:eastAsia="zh-CN" w:bidi="ar-SA"/>
              </w:rPr>
              <w:t>符合要求的冷藏</w:t>
            </w:r>
            <w:r>
              <w:rPr>
                <w:rFonts w:hint="eastAsia" w:ascii="仿宋" w:hAnsi="仿宋" w:eastAsia="仿宋" w:cs="仿宋"/>
                <w:snapToGrid w:val="0"/>
                <w:color w:val="000000"/>
                <w:kern w:val="0"/>
                <w:sz w:val="22"/>
                <w:szCs w:val="20"/>
                <w:lang w:val="en-US" w:eastAsia="zh-CN" w:bidi="ar-SA"/>
              </w:rPr>
              <w:t>或防潮保鲜库条件。</w:t>
            </w:r>
            <w:r>
              <w:rPr>
                <w:rFonts w:hint="default" w:ascii="仿宋" w:hAnsi="仿宋" w:eastAsia="仿宋" w:cs="仿宋"/>
                <w:snapToGrid w:val="0"/>
                <w:color w:val="000000"/>
                <w:kern w:val="0"/>
                <w:sz w:val="22"/>
                <w:szCs w:val="20"/>
                <w:lang w:val="en-US" w:eastAsia="zh-CN" w:bidi="ar-SA"/>
              </w:rPr>
              <w:t>冷藏仓库面积</w:t>
            </w:r>
            <w:r>
              <w:rPr>
                <w:rFonts w:hint="eastAsia" w:ascii="仿宋" w:hAnsi="仿宋" w:eastAsia="仿宋" w:cs="仿宋"/>
                <w:snapToGrid w:val="0"/>
                <w:color w:val="000000"/>
                <w:kern w:val="0"/>
                <w:sz w:val="22"/>
                <w:szCs w:val="20"/>
                <w:lang w:val="en-US" w:eastAsia="zh-CN" w:bidi="ar-SA"/>
              </w:rPr>
              <w:t>800㎡及以上，</w:t>
            </w:r>
            <w:r>
              <w:rPr>
                <w:rFonts w:hint="default" w:ascii="仿宋" w:hAnsi="仿宋" w:eastAsia="仿宋" w:cs="仿宋"/>
                <w:snapToGrid w:val="0"/>
                <w:color w:val="000000"/>
                <w:kern w:val="0"/>
                <w:sz w:val="22"/>
                <w:szCs w:val="20"/>
                <w:lang w:val="en-US" w:eastAsia="zh-CN" w:bidi="ar-SA"/>
              </w:rPr>
              <w:t>得</w:t>
            </w:r>
            <w:r>
              <w:rPr>
                <w:rFonts w:hint="eastAsia" w:ascii="仿宋" w:hAnsi="仿宋" w:eastAsia="仿宋" w:cs="仿宋"/>
                <w:snapToGrid w:val="0"/>
                <w:color w:val="000000"/>
                <w:kern w:val="0"/>
                <w:sz w:val="22"/>
                <w:szCs w:val="20"/>
                <w:lang w:val="en-US" w:eastAsia="zh-CN" w:bidi="ar-SA"/>
              </w:rPr>
              <w:t>5</w:t>
            </w:r>
            <w:r>
              <w:rPr>
                <w:rFonts w:hint="default" w:ascii="仿宋" w:hAnsi="仿宋" w:eastAsia="仿宋" w:cs="仿宋"/>
                <w:snapToGrid w:val="0"/>
                <w:color w:val="000000"/>
                <w:kern w:val="0"/>
                <w:sz w:val="22"/>
                <w:szCs w:val="20"/>
                <w:lang w:val="en-US" w:eastAsia="zh-CN" w:bidi="ar-SA"/>
              </w:rPr>
              <w:t>分；冷藏仓库面积</w:t>
            </w:r>
            <w:r>
              <w:rPr>
                <w:rFonts w:hint="eastAsia" w:ascii="仿宋" w:hAnsi="仿宋" w:eastAsia="仿宋" w:cs="仿宋"/>
                <w:snapToGrid w:val="0"/>
                <w:color w:val="000000"/>
                <w:kern w:val="0"/>
                <w:sz w:val="22"/>
                <w:szCs w:val="20"/>
                <w:lang w:val="en-US" w:eastAsia="zh-CN" w:bidi="ar-SA"/>
              </w:rPr>
              <w:t>501-799㎡</w:t>
            </w:r>
            <w:r>
              <w:rPr>
                <w:rFonts w:hint="default" w:ascii="仿宋" w:hAnsi="仿宋" w:eastAsia="仿宋" w:cs="仿宋"/>
                <w:snapToGrid w:val="0"/>
                <w:color w:val="000000"/>
                <w:kern w:val="0"/>
                <w:sz w:val="22"/>
                <w:szCs w:val="20"/>
                <w:lang w:val="en-US" w:eastAsia="zh-CN" w:bidi="ar-SA"/>
              </w:rPr>
              <w:t>，得</w:t>
            </w:r>
            <w:r>
              <w:rPr>
                <w:rFonts w:hint="eastAsia" w:ascii="仿宋" w:hAnsi="仿宋" w:eastAsia="仿宋" w:cs="仿宋"/>
                <w:snapToGrid w:val="0"/>
                <w:color w:val="000000"/>
                <w:kern w:val="0"/>
                <w:sz w:val="22"/>
                <w:szCs w:val="20"/>
                <w:lang w:val="en-US" w:eastAsia="zh-CN" w:bidi="ar-SA"/>
              </w:rPr>
              <w:t>3</w:t>
            </w:r>
            <w:r>
              <w:rPr>
                <w:rFonts w:hint="default" w:ascii="仿宋" w:hAnsi="仿宋" w:eastAsia="仿宋" w:cs="仿宋"/>
                <w:snapToGrid w:val="0"/>
                <w:color w:val="000000"/>
                <w:kern w:val="0"/>
                <w:sz w:val="22"/>
                <w:szCs w:val="20"/>
                <w:lang w:val="en-US" w:eastAsia="zh-CN" w:bidi="ar-SA"/>
              </w:rPr>
              <w:t>分；冷藏仓库面积</w:t>
            </w:r>
            <w:r>
              <w:rPr>
                <w:rFonts w:hint="eastAsia" w:ascii="仿宋" w:hAnsi="仿宋" w:eastAsia="仿宋" w:cs="仿宋"/>
                <w:snapToGrid w:val="0"/>
                <w:color w:val="000000"/>
                <w:kern w:val="0"/>
                <w:sz w:val="22"/>
                <w:szCs w:val="20"/>
                <w:lang w:val="en-US" w:eastAsia="zh-CN" w:bidi="ar-SA"/>
              </w:rPr>
              <w:t>500㎡及以下</w:t>
            </w:r>
            <w:r>
              <w:rPr>
                <w:rFonts w:hint="default" w:ascii="仿宋" w:hAnsi="仿宋" w:eastAsia="仿宋" w:cs="仿宋"/>
                <w:snapToGrid w:val="0"/>
                <w:color w:val="000000"/>
                <w:kern w:val="0"/>
                <w:sz w:val="22"/>
                <w:szCs w:val="20"/>
                <w:lang w:val="en-US" w:eastAsia="zh-CN" w:bidi="ar-SA"/>
              </w:rPr>
              <w:t>，不得分</w:t>
            </w:r>
            <w:r>
              <w:rPr>
                <w:rFonts w:hint="eastAsia" w:ascii="仿宋" w:hAnsi="仿宋" w:eastAsia="仿宋" w:cs="仿宋"/>
                <w:snapToGrid w:val="0"/>
                <w:color w:val="000000"/>
                <w:kern w:val="0"/>
                <w:sz w:val="22"/>
                <w:szCs w:val="20"/>
                <w:lang w:val="en-US" w:eastAsia="zh-CN" w:bidi="ar-SA"/>
              </w:rPr>
              <w:t>，满分5分。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备注：需提供资料</w:t>
            </w:r>
            <w:r>
              <w:rPr>
                <w:rFonts w:hint="default" w:ascii="仿宋" w:hAnsi="仿宋" w:eastAsia="仿宋" w:cs="仿宋"/>
                <w:snapToGrid w:val="0"/>
                <w:color w:val="000000"/>
                <w:kern w:val="0"/>
                <w:sz w:val="22"/>
                <w:szCs w:val="20"/>
                <w:lang w:val="en-US" w:eastAsia="zh-CN" w:bidi="ar-SA"/>
              </w:rPr>
              <w:t>①库房照片；②</w:t>
            </w:r>
            <w:r>
              <w:rPr>
                <w:rFonts w:hint="eastAsia" w:ascii="仿宋" w:hAnsi="仿宋" w:eastAsia="仿宋" w:cs="仿宋"/>
                <w:snapToGrid w:val="0"/>
                <w:color w:val="000000"/>
                <w:kern w:val="0"/>
                <w:sz w:val="22"/>
                <w:szCs w:val="20"/>
                <w:lang w:val="en-US" w:eastAsia="zh-CN" w:bidi="ar-SA"/>
              </w:rPr>
              <w:t>提供中标后在项目所在地设置投标文件中提供的相应面积仓库承诺书（格式自拟）</w:t>
            </w:r>
            <w:r>
              <w:rPr>
                <w:rFonts w:hint="default" w:ascii="仿宋" w:hAnsi="仿宋" w:eastAsia="仿宋" w:cs="仿宋"/>
                <w:snapToGrid w:val="0"/>
                <w:color w:val="000000"/>
                <w:kern w:val="0"/>
                <w:sz w:val="22"/>
                <w:szCs w:val="20"/>
                <w:lang w:val="en-US" w:eastAsia="zh-CN" w:bidi="ar-SA"/>
              </w:rPr>
              <w:t>；③产权证明或租赁合同（租赁期限截止时间不得在本项目合同终止时间前）</w:t>
            </w:r>
            <w:r>
              <w:rPr>
                <w:rFonts w:hint="eastAsia" w:ascii="仿宋" w:hAnsi="仿宋" w:eastAsia="仿宋" w:cs="仿宋"/>
                <w:snapToGrid w:val="0"/>
                <w:color w:val="000000"/>
                <w:kern w:val="0"/>
                <w:sz w:val="22"/>
                <w:szCs w:val="20"/>
                <w:lang w:val="en-US" w:eastAsia="zh-CN" w:bidi="ar-SA"/>
              </w:rPr>
              <w:t>；④提供中标后在仓库内安装监控并统一接入指定的食安康等互联网监管平台的承诺书（格式自拟）</w:t>
            </w:r>
            <w:r>
              <w:rPr>
                <w:rFonts w:hint="default" w:ascii="仿宋" w:hAnsi="仿宋" w:eastAsia="仿宋" w:cs="仿宋"/>
                <w:snapToGrid w:val="0"/>
                <w:color w:val="000000"/>
                <w:kern w:val="0"/>
                <w:sz w:val="22"/>
                <w:szCs w:val="20"/>
                <w:lang w:val="en-US" w:eastAsia="zh-CN" w:bidi="ar-SA"/>
              </w:rPr>
              <w:t>。上述</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项资料全部提供视为一套有效证明材料，提供不全或未提供不得分</w:t>
            </w:r>
            <w:r>
              <w:rPr>
                <w:rFonts w:hint="eastAsia"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投标人具有质量管理体系认证书、职业健康安全管理体系认证书、环境管理体系认证书、食品安全管理体系认证书，提供一项得1分，不提供不得分，满分4分。备注：提供证书复印件并加盖投标人公章。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1"/>
                <w:szCs w:val="21"/>
                <w:highlight w:val="none"/>
                <w:lang w:val="en-US" w:eastAsia="zh-CN"/>
              </w:rPr>
              <w:t>商务评审（35分）</w:t>
            </w: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食品安全责任保险</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投标人针对本项目中标后，提供购买保额不低于中标总金额的食品安全责任保险承诺书得1分；没有的不得分。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食品安全主体责任</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投标企业提供</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两</w:t>
            </w:r>
            <w:r>
              <w:rPr>
                <w:rFonts w:hint="default" w:ascii="仿宋" w:hAnsi="仿宋" w:eastAsia="仿宋" w:cs="仿宋"/>
                <w:snapToGrid w:val="0"/>
                <w:color w:val="000000"/>
                <w:kern w:val="0"/>
                <w:sz w:val="22"/>
                <w:szCs w:val="20"/>
                <w:lang w:val="en-US" w:eastAsia="zh-CN" w:bidi="ar-SA"/>
              </w:rPr>
              <w:t>个月内</w:t>
            </w:r>
            <w:r>
              <w:rPr>
                <w:rFonts w:hint="eastAsia" w:ascii="仿宋" w:hAnsi="仿宋" w:eastAsia="仿宋" w:cs="仿宋"/>
                <w:snapToGrid w:val="0"/>
                <w:color w:val="000000"/>
                <w:kern w:val="0"/>
                <w:sz w:val="22"/>
                <w:szCs w:val="20"/>
                <w:lang w:val="en-US" w:eastAsia="zh-CN" w:bidi="ar-SA"/>
              </w:rPr>
              <w:t>连续30天的</w:t>
            </w:r>
            <w:r>
              <w:rPr>
                <w:rFonts w:hint="default" w:ascii="仿宋" w:hAnsi="仿宋" w:eastAsia="仿宋" w:cs="仿宋"/>
                <w:snapToGrid w:val="0"/>
                <w:color w:val="000000"/>
                <w:kern w:val="0"/>
                <w:sz w:val="22"/>
                <w:szCs w:val="20"/>
                <w:lang w:val="en-US" w:eastAsia="zh-CN" w:bidi="ar-SA"/>
              </w:rPr>
              <w:t>日管控清单，周排查报告，月调度会议纪要，得分</w:t>
            </w:r>
            <w:r>
              <w:rPr>
                <w:rFonts w:hint="eastAsia" w:ascii="仿宋" w:hAnsi="仿宋" w:eastAsia="仿宋" w:cs="仿宋"/>
                <w:snapToGrid w:val="0"/>
                <w:color w:val="000000"/>
                <w:kern w:val="0"/>
                <w:sz w:val="22"/>
                <w:szCs w:val="20"/>
                <w:lang w:val="en-US" w:eastAsia="zh-CN" w:bidi="ar-SA"/>
              </w:rPr>
              <w:t>3</w:t>
            </w:r>
            <w:r>
              <w:rPr>
                <w:rFonts w:hint="default" w:ascii="仿宋" w:hAnsi="仿宋" w:eastAsia="仿宋" w:cs="仿宋"/>
                <w:snapToGrid w:val="0"/>
                <w:color w:val="000000"/>
                <w:kern w:val="0"/>
                <w:sz w:val="22"/>
                <w:szCs w:val="20"/>
                <w:lang w:val="en-US" w:eastAsia="zh-CN" w:bidi="ar-SA"/>
              </w:rPr>
              <w:t>分。备注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产品质量</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提供符合《中华人民共和国食品安全法》要求的官方或官方授权的第三方食品检测机构出具的检测报告（肉类、蛋类须提供兽药残留报告，其他农产品须提供农药残留报告），提供的报告无缺页漏页，质量检测结果必须是合格的，并且检测报告结果符合参数要求，不得提供虚假检验检测报告，提供得4分，否则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备注：提供检测机构的检测资质复印件（检测机构盖章），提供产品保质期内的检测报告，提供的检测报告日期为自开标日前6个月之内，投标文件里可放与原件相符的复印件，复印件加盖投标人公章。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扶持不发达地区、促进中小企业发展</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扶持不发达地区、促进中小企业发展5分：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根据《中华人民共和国政府采购法》第九条 “政府采购应当有助于实现国家的经济和社会发展政策目标，包括保护环境，扶持不发达地区和少数民族地区，促进中小企业发展等”，为推动经济发展，投标商优先使用南疆当地食材；</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（1）提交材料完整性（2 分）：投标商需提供以下材料：① 优先使用南疆当地食材承诺书（加盖公章）；② 与南疆当地供应商签订的合作协议或采购合同；以上两项材料齐全且格式规范得2分；缺少任意一项不得分。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备注：承诺书、合作协议或采购合同中需清晰体现南疆当地供应商信息及交易金额，未体现相关信息视为材料不合格。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（2）南疆当地食材采购比例评分（3分）：投标商承诺使用南疆当地食材的金额大于或等于本标段总投标报价的50%得3分；大于或等于30%得2分；小于30%得1分；未提供比例承诺或承诺比例为0不得分，满分3分。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注：本项评分以投标文件中提交的承诺及相关证明材料为准，满分5分。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技术评审</w:t>
            </w:r>
          </w:p>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（25分）</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r>
              <w:rPr>
                <w:rFonts w:hint="eastAsia" w:ascii="仿宋" w:hAnsi="仿宋" w:eastAsia="仿宋" w:cs="仿宋"/>
                <w:snapToGrid w:val="0"/>
                <w:color w:val="000000"/>
                <w:kern w:val="0"/>
                <w:sz w:val="22"/>
                <w:szCs w:val="20"/>
                <w:lang w:val="en-US" w:eastAsia="zh-CN" w:bidi="ar-SA"/>
              </w:rPr>
              <w:t>：根据所投产品的成分规格与技术指标的响应程度打分，完全满足招标要求的得3分；每有一项正偏离加1分，最高加2分；本项目</w:t>
            </w:r>
            <w:r>
              <w:rPr>
                <w:rFonts w:hint="default" w:ascii="仿宋" w:hAnsi="仿宋" w:eastAsia="仿宋" w:cs="仿宋"/>
                <w:snapToGrid w:val="0"/>
                <w:color w:val="000000"/>
                <w:kern w:val="0"/>
                <w:sz w:val="22"/>
                <w:szCs w:val="20"/>
                <w:lang w:val="en-US" w:eastAsia="zh-CN" w:bidi="ar-SA"/>
              </w:rPr>
              <w:t>技术参数</w:t>
            </w:r>
            <w:r>
              <w:rPr>
                <w:rFonts w:hint="eastAsia" w:ascii="仿宋" w:hAnsi="仿宋" w:eastAsia="仿宋" w:cs="仿宋"/>
                <w:snapToGrid w:val="0"/>
                <w:color w:val="000000"/>
                <w:kern w:val="0"/>
                <w:sz w:val="22"/>
                <w:szCs w:val="20"/>
                <w:lang w:val="en-US" w:eastAsia="zh-CN" w:bidi="ar-SA"/>
              </w:rPr>
              <w:t>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工作人员配备</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6分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方正仿宋简体" w:hAnsi="方正仿宋简体" w:eastAsia="方正仿宋简体" w:cs="方正仿宋简体"/>
                <w:color w:val="auto"/>
                <w:sz w:val="32"/>
                <w:szCs w:val="32"/>
                <w:highlight w:val="none"/>
                <w:lang w:val="en-US" w:eastAsia="zh-CN"/>
              </w:rPr>
            </w:pPr>
            <w:r>
              <w:rPr>
                <w:rFonts w:hint="eastAsia" w:ascii="仿宋" w:hAnsi="仿宋" w:eastAsia="仿宋" w:cs="仿宋"/>
                <w:snapToGrid w:val="0"/>
                <w:color w:val="000000"/>
                <w:kern w:val="0"/>
                <w:sz w:val="22"/>
                <w:szCs w:val="20"/>
                <w:lang w:val="en-US" w:eastAsia="zh-CN" w:bidi="ar-SA"/>
              </w:rPr>
              <w:t>①</w:t>
            </w:r>
            <w:r>
              <w:rPr>
                <w:rFonts w:hint="default" w:ascii="仿宋" w:hAnsi="仿宋" w:eastAsia="仿宋" w:cs="仿宋"/>
                <w:snapToGrid w:val="0"/>
                <w:color w:val="000000"/>
                <w:kern w:val="0"/>
                <w:sz w:val="22"/>
                <w:szCs w:val="20"/>
                <w:lang w:val="en-US" w:eastAsia="zh-CN" w:bidi="ar-SA"/>
              </w:rPr>
              <w:t>为确保食品安全、及时处理食材订单、核对账目、食材配送等工作顺利开展，以保障学校（幼儿园）按时供餐，需配备专职的工作人员，并明确职责分工。专职人员</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分，不足</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人不得分；每增加1人加</w:t>
            </w:r>
            <w:r>
              <w:rPr>
                <w:rFonts w:hint="eastAsia" w:ascii="仿宋" w:hAnsi="仿宋" w:eastAsia="仿宋" w:cs="仿宋"/>
                <w:snapToGrid w:val="0"/>
                <w:color w:val="000000"/>
                <w:kern w:val="0"/>
                <w:sz w:val="22"/>
                <w:szCs w:val="20"/>
                <w:lang w:val="en-US" w:eastAsia="zh-CN" w:bidi="ar-SA"/>
              </w:rPr>
              <w:t>0.4</w:t>
            </w:r>
            <w:r>
              <w:rPr>
                <w:rFonts w:hint="default" w:ascii="仿宋" w:hAnsi="仿宋" w:eastAsia="仿宋" w:cs="仿宋"/>
                <w:snapToGrid w:val="0"/>
                <w:color w:val="000000"/>
                <w:kern w:val="0"/>
                <w:sz w:val="22"/>
                <w:szCs w:val="20"/>
                <w:lang w:val="en-US" w:eastAsia="zh-CN" w:bidi="ar-SA"/>
              </w:rPr>
              <w:t>分，最多加</w:t>
            </w:r>
            <w:r>
              <w:rPr>
                <w:rFonts w:hint="eastAsia" w:ascii="仿宋" w:hAnsi="仿宋" w:eastAsia="仿宋" w:cs="仿宋"/>
                <w:snapToGrid w:val="0"/>
                <w:color w:val="000000"/>
                <w:kern w:val="0"/>
                <w:sz w:val="22"/>
                <w:szCs w:val="20"/>
                <w:lang w:val="en-US" w:eastAsia="zh-CN" w:bidi="ar-SA"/>
              </w:rPr>
              <w:t>2分，满分4</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；②</w:t>
            </w:r>
            <w:r>
              <w:rPr>
                <w:rFonts w:hint="default" w:ascii="仿宋" w:hAnsi="仿宋" w:eastAsia="仿宋" w:cs="仿宋"/>
                <w:snapToGrid w:val="0"/>
                <w:color w:val="000000"/>
                <w:kern w:val="0"/>
                <w:sz w:val="22"/>
                <w:szCs w:val="20"/>
                <w:lang w:val="en-US" w:eastAsia="zh-CN" w:bidi="ar-SA"/>
              </w:rPr>
              <w:t>投标人配齐食品安全总监和食品安全员，专门负责食品安全工作，配备1名食品安全总监（1分</w:t>
            </w:r>
            <w:r>
              <w:rPr>
                <w:rFonts w:hint="eastAsia" w:ascii="仿宋" w:hAnsi="仿宋" w:eastAsia="仿宋" w:cs="仿宋"/>
                <w:snapToGrid w:val="0"/>
                <w:color w:val="000000"/>
                <w:kern w:val="0"/>
                <w:sz w:val="22"/>
                <w:szCs w:val="20"/>
                <w:lang w:val="en-US" w:eastAsia="zh-CN" w:bidi="ar-SA"/>
              </w:rPr>
              <w:t>），配备1名食品安全员</w:t>
            </w:r>
            <w:r>
              <w:rPr>
                <w:rFonts w:hint="default" w:ascii="仿宋" w:hAnsi="仿宋" w:eastAsia="仿宋" w:cs="仿宋"/>
                <w:snapToGrid w:val="0"/>
                <w:color w:val="000000"/>
                <w:kern w:val="0"/>
                <w:sz w:val="22"/>
                <w:szCs w:val="20"/>
                <w:lang w:val="en-US" w:eastAsia="zh-CN" w:bidi="ar-SA"/>
              </w:rPr>
              <w:t>（</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b w:val="0"/>
                <w:bCs/>
                <w:color w:val="000000"/>
                <w:kern w:val="2"/>
                <w:sz w:val="22"/>
                <w:szCs w:val="22"/>
                <w:highlight w:val="none"/>
                <w:lang w:val="en-US" w:eastAsia="zh-CN"/>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需提供①专职工作人员</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个月内任</w:t>
            </w:r>
            <w:r>
              <w:rPr>
                <w:rFonts w:hint="eastAsia" w:ascii="仿宋" w:hAnsi="仿宋" w:eastAsia="仿宋" w:cs="仿宋"/>
                <w:snapToGrid w:val="0"/>
                <w:color w:val="000000"/>
                <w:kern w:val="0"/>
                <w:sz w:val="22"/>
                <w:szCs w:val="20"/>
                <w:lang w:val="en-US" w:eastAsia="zh-CN" w:bidi="ar-SA"/>
              </w:rPr>
              <w:t>意连续3</w:t>
            </w:r>
            <w:r>
              <w:rPr>
                <w:rFonts w:hint="default" w:ascii="仿宋" w:hAnsi="仿宋" w:eastAsia="仿宋" w:cs="仿宋"/>
                <w:snapToGrid w:val="0"/>
                <w:color w:val="000000"/>
                <w:kern w:val="0"/>
                <w:sz w:val="22"/>
                <w:szCs w:val="20"/>
                <w:lang w:val="en-US" w:eastAsia="zh-CN" w:bidi="ar-SA"/>
              </w:rPr>
              <w:t>个月缴纳社保证明</w:t>
            </w:r>
            <w:r>
              <w:rPr>
                <w:rFonts w:hint="eastAsia" w:ascii="仿宋" w:hAnsi="仿宋" w:eastAsia="仿宋" w:cs="仿宋"/>
                <w:snapToGrid w:val="0"/>
                <w:color w:val="000000"/>
                <w:kern w:val="0"/>
                <w:sz w:val="22"/>
                <w:szCs w:val="20"/>
                <w:lang w:val="en-US" w:eastAsia="zh-CN" w:bidi="ar-SA"/>
              </w:rPr>
              <w:t>材料</w:t>
            </w:r>
            <w:r>
              <w:rPr>
                <w:rFonts w:hint="default" w:ascii="仿宋" w:hAnsi="仿宋" w:eastAsia="仿宋" w:cs="仿宋"/>
                <w:snapToGrid w:val="0"/>
                <w:color w:val="000000"/>
                <w:kern w:val="0"/>
                <w:sz w:val="22"/>
                <w:szCs w:val="20"/>
                <w:lang w:val="en-US" w:eastAsia="zh-CN" w:bidi="ar-SA"/>
              </w:rPr>
              <w:t>和劳务合同；②</w:t>
            </w:r>
            <w:r>
              <w:rPr>
                <w:rFonts w:hint="eastAsia" w:ascii="仿宋" w:hAnsi="仿宋" w:eastAsia="仿宋" w:cs="仿宋"/>
                <w:snapToGrid w:val="0"/>
                <w:color w:val="000000"/>
                <w:kern w:val="0"/>
                <w:sz w:val="22"/>
                <w:szCs w:val="20"/>
                <w:lang w:val="en-US" w:eastAsia="zh-CN" w:bidi="ar-SA"/>
              </w:rPr>
              <w:t>有效期内的</w:t>
            </w:r>
            <w:r>
              <w:rPr>
                <w:rFonts w:hint="default" w:ascii="仿宋" w:hAnsi="仿宋" w:eastAsia="仿宋" w:cs="仿宋"/>
                <w:snapToGrid w:val="0"/>
                <w:color w:val="000000"/>
                <w:kern w:val="0"/>
                <w:sz w:val="22"/>
                <w:szCs w:val="20"/>
                <w:lang w:val="en-US" w:eastAsia="zh-CN" w:bidi="ar-SA"/>
              </w:rPr>
              <w:t>健康证明；③身份证</w:t>
            </w:r>
            <w:r>
              <w:rPr>
                <w:rFonts w:hint="eastAsia" w:ascii="仿宋" w:hAnsi="仿宋" w:eastAsia="仿宋" w:cs="仿宋"/>
                <w:snapToGrid w:val="0"/>
                <w:color w:val="000000"/>
                <w:kern w:val="0"/>
                <w:sz w:val="22"/>
                <w:szCs w:val="20"/>
                <w:lang w:val="en-US" w:eastAsia="zh-CN" w:bidi="ar-SA"/>
              </w:rPr>
              <w:t>扫描件</w:t>
            </w:r>
            <w:r>
              <w:rPr>
                <w:rFonts w:hint="default" w:ascii="仿宋" w:hAnsi="仿宋" w:eastAsia="仿宋" w:cs="仿宋"/>
                <w:snapToGrid w:val="0"/>
                <w:color w:val="000000"/>
                <w:kern w:val="0"/>
                <w:sz w:val="22"/>
                <w:szCs w:val="20"/>
                <w:lang w:val="en-US" w:eastAsia="zh-CN" w:bidi="ar-SA"/>
              </w:rPr>
              <w:t>。以上3项材料每人需全部提供方可得分，按照提供完整资料的人数计算打分，提供资料不全的不得分</w:t>
            </w:r>
            <w:r>
              <w:rPr>
                <w:rFonts w:hint="eastAsia" w:ascii="仿宋" w:hAnsi="仿宋" w:eastAsia="仿宋" w:cs="仿宋"/>
                <w:snapToGrid w:val="0"/>
                <w:color w:val="000000"/>
                <w:kern w:val="0"/>
                <w:sz w:val="22"/>
                <w:szCs w:val="20"/>
                <w:lang w:val="en-US" w:eastAsia="zh-CN" w:bidi="ar-SA"/>
              </w:rPr>
              <w:t>，备注：投标文件中备案的食品安全总监、食品安全员需与中标后实际履职人员一致，未经允许不得随意更换</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配送服务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000000"/>
                <w:kern w:val="0"/>
                <w:sz w:val="22"/>
                <w:szCs w:val="20"/>
                <w:lang w:val="en-US" w:eastAsia="zh-CN" w:bidi="ar-SA"/>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食品安全保障方案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投标人提供食品生产经营企业食品安全管理制度、食品生产经营者的自查制度、食品生产者进货查验记录制度报告</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，提供不全不得分</w:t>
            </w:r>
            <w:r>
              <w:rPr>
                <w:rFonts w:hint="default" w:ascii="仿宋" w:hAnsi="仿宋" w:eastAsia="仿宋" w:cs="仿宋"/>
                <w:snapToGrid w:val="0"/>
                <w:color w:val="000000"/>
                <w:kern w:val="0"/>
                <w:sz w:val="22"/>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投标人需考虑可能发生的突发情况，制定详细、可行的食品安全保障方案，主要针对不同的情形提供不同的解决方案</w:t>
            </w:r>
            <w:r>
              <w:rPr>
                <w:rFonts w:hint="eastAsia" w:ascii="仿宋" w:hAnsi="仿宋" w:eastAsia="仿宋" w:cs="仿宋"/>
                <w:snapToGrid w:val="0"/>
                <w:color w:val="000000"/>
                <w:kern w:val="0"/>
                <w:sz w:val="22"/>
                <w:szCs w:val="20"/>
                <w:lang w:val="en-US" w:eastAsia="zh-CN" w:bidi="ar-SA"/>
              </w:rPr>
              <w:t>。包括：</w:t>
            </w:r>
            <w:r>
              <w:rPr>
                <w:rFonts w:hint="default" w:ascii="仿宋" w:hAnsi="仿宋" w:eastAsia="仿宋" w:cs="仿宋"/>
                <w:snapToGrid w:val="0"/>
                <w:color w:val="000000"/>
                <w:kern w:val="0"/>
                <w:sz w:val="22"/>
                <w:szCs w:val="20"/>
                <w:lang w:val="en-US" w:eastAsia="zh-CN" w:bidi="ar-SA"/>
              </w:rPr>
              <w:t>①食品卫生安全管理应急预案；②学生食物中毒应急预案；③防止食材未能及时送达应急预案。具有可操作性，能及时解决问题，</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w:t>
            </w:r>
            <w:r>
              <w:rPr>
                <w:rFonts w:hint="eastAsia" w:ascii="仿宋" w:hAnsi="仿宋" w:eastAsia="仿宋" w:cs="仿宋"/>
                <w:snapToGrid w:val="0"/>
                <w:color w:val="000000"/>
                <w:kern w:val="0"/>
                <w:sz w:val="22"/>
                <w:szCs w:val="20"/>
                <w:lang w:val="en-US" w:eastAsia="zh-CN" w:bidi="ar-SA"/>
              </w:rPr>
              <w:t>均</w:t>
            </w:r>
            <w:r>
              <w:rPr>
                <w:rFonts w:hint="default" w:ascii="仿宋" w:hAnsi="仿宋" w:eastAsia="仿宋" w:cs="仿宋"/>
                <w:snapToGrid w:val="0"/>
                <w:color w:val="000000"/>
                <w:kern w:val="0"/>
                <w:sz w:val="22"/>
                <w:szCs w:val="20"/>
                <w:lang w:val="en-US" w:eastAsia="zh-CN" w:bidi="ar-SA"/>
              </w:rPr>
              <w:t>提供印证资料，如不提供不得分）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库房</w:t>
            </w:r>
            <w:r>
              <w:rPr>
                <w:rFonts w:hint="default" w:ascii="仿宋" w:hAnsi="仿宋" w:eastAsia="仿宋" w:cs="仿宋"/>
                <w:snapToGrid w:val="0"/>
                <w:color w:val="000000"/>
                <w:kern w:val="0"/>
                <w:sz w:val="22"/>
                <w:szCs w:val="20"/>
                <w:lang w:val="en-US" w:eastAsia="zh-CN" w:bidi="ar-SA"/>
              </w:rPr>
              <w:t>安全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管理</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①有温湿度监测设备</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通风换气设备得0.5分；</w:t>
            </w:r>
            <w:r>
              <w:rPr>
                <w:rFonts w:hint="eastAsia" w:ascii="仿宋" w:hAnsi="仿宋" w:eastAsia="仿宋" w:cs="仿宋"/>
                <w:snapToGrid w:val="0"/>
                <w:color w:val="000000"/>
                <w:kern w:val="0"/>
                <w:sz w:val="22"/>
                <w:szCs w:val="20"/>
                <w:lang w:val="en-US" w:eastAsia="zh-CN" w:bidi="ar-SA"/>
              </w:rPr>
              <w:t>②有紫外线消毒设备</w:t>
            </w:r>
            <w:r>
              <w:rPr>
                <w:rFonts w:hint="default" w:ascii="仿宋" w:hAnsi="仿宋" w:eastAsia="仿宋" w:cs="仿宋"/>
                <w:snapToGrid w:val="0"/>
                <w:color w:val="000000"/>
                <w:kern w:val="0"/>
                <w:sz w:val="22"/>
                <w:szCs w:val="20"/>
                <w:lang w:val="en-US" w:eastAsia="zh-CN" w:bidi="ar-SA"/>
              </w:rPr>
              <w:t>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③商品分区</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分架</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分类存放得0.5分；④货物离墙离地10</w:t>
            </w:r>
            <w:r>
              <w:rPr>
                <w:rFonts w:hint="eastAsia" w:ascii="仿宋" w:hAnsi="仿宋" w:eastAsia="仿宋" w:cs="仿宋"/>
                <w:snapToGrid w:val="0"/>
                <w:color w:val="000000"/>
                <w:kern w:val="0"/>
                <w:sz w:val="22"/>
                <w:szCs w:val="20"/>
                <w:lang w:val="en-US" w:eastAsia="zh-CN" w:bidi="ar-SA"/>
              </w:rPr>
              <w:t>cm</w:t>
            </w:r>
            <w:r>
              <w:rPr>
                <w:rFonts w:hint="default" w:ascii="仿宋" w:hAnsi="仿宋" w:eastAsia="仿宋" w:cs="仿宋"/>
                <w:snapToGrid w:val="0"/>
                <w:color w:val="000000"/>
                <w:kern w:val="0"/>
                <w:sz w:val="22"/>
                <w:szCs w:val="20"/>
                <w:lang w:val="en-US" w:eastAsia="zh-CN" w:bidi="ar-SA"/>
              </w:rPr>
              <w:t>以上存放得0.5分；⑤有防尘、防鼠、防虫设施得0.5分；⑥货物在不同区域有明显标识得0.5分；⑦散装食品有单独的盛装容器得0.5分；⑧货物在贮存位置标明食品的名称、生产日期、保质期、供货商及联系方式内容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每一项内容提供</w:t>
            </w:r>
            <w:r>
              <w:rPr>
                <w:rFonts w:hint="eastAsia" w:ascii="仿宋" w:hAnsi="仿宋" w:eastAsia="仿宋" w:cs="仿宋"/>
                <w:snapToGrid w:val="0"/>
                <w:color w:val="000000"/>
                <w:kern w:val="0"/>
                <w:sz w:val="22"/>
                <w:szCs w:val="20"/>
                <w:lang w:val="en-US" w:eastAsia="zh-CN" w:bidi="ar-SA"/>
              </w:rPr>
              <w:t>与实际一致的图片等</w:t>
            </w:r>
            <w:r>
              <w:rPr>
                <w:rFonts w:hint="default" w:ascii="仿宋" w:hAnsi="仿宋" w:eastAsia="仿宋" w:cs="仿宋"/>
                <w:snapToGrid w:val="0"/>
                <w:color w:val="000000"/>
                <w:kern w:val="0"/>
                <w:sz w:val="22"/>
                <w:szCs w:val="20"/>
                <w:lang w:val="en-US" w:eastAsia="zh-CN" w:bidi="ar-SA"/>
              </w:rPr>
              <w:t>印证资料，如不提供不得分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售后服务</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①投标企业需提供售后服务点（包含：场地彩色照片、自有产权或租赁合同等证明文件（签订日期在开标前 6 个月内的租赁合同视为临时合同，不计入评分），提供资料齐全得2分，提供不全或不提供不得分。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r>
              <w:rPr>
                <w:rFonts w:hint="eastAsia" w:ascii="方正仿宋简体" w:hAnsi="方正仿宋简体" w:eastAsia="方正仿宋简体" w:cs="方正仿宋简体"/>
                <w:color w:val="auto"/>
                <w:sz w:val="32"/>
                <w:szCs w:val="32"/>
                <w:highlight w:val="none"/>
                <w:lang w:val="en-US" w:eastAsia="zh-CN"/>
              </w:rPr>
              <w:br w:type="textWrapping"/>
            </w:r>
            <w:r>
              <w:rPr>
                <w:rFonts w:hint="eastAsia" w:ascii="仿宋" w:hAnsi="仿宋" w:eastAsia="仿宋" w:cs="仿宋"/>
                <w:snapToGrid w:val="0"/>
                <w:color w:val="000000"/>
                <w:kern w:val="0"/>
                <w:sz w:val="22"/>
                <w:szCs w:val="20"/>
                <w:lang w:val="en-US" w:eastAsia="zh-CN" w:bidi="ar-SA"/>
              </w:rPr>
              <w:t>备注：需提供售后服务点及场地彩色照片、自有产权或租赁合同等证明文件（截止开标前6个月内签订的租赁合同视为临时合同，不计入评分），未提供不得分，以上得分不重复计分。</w:t>
            </w:r>
          </w:p>
        </w:tc>
      </w:tr>
    </w:tbl>
    <w:p>
      <w:pPr>
        <w:keepNext w:val="0"/>
        <w:keepLines w:val="0"/>
        <w:pageBreakBefore w:val="0"/>
        <w:wordWrap/>
        <w:overflowPunct/>
        <w:topLinePunct w:val="0"/>
        <w:bidi w:val="0"/>
        <w:spacing w:line="400" w:lineRule="exact"/>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both"/>
        <w:rPr>
          <w:rFonts w:ascii="Arial" w:hAnsi="Arial" w:eastAsia="Arial" w:cs="Arial"/>
          <w:sz w:val="21"/>
          <w:szCs w:val="21"/>
        </w:rPr>
      </w:pPr>
    </w:p>
    <w:tbl>
      <w:tblPr>
        <w:tblStyle w:val="21"/>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pPr>
              <w:keepNext w:val="0"/>
              <w:keepLines w:val="0"/>
              <w:widowControl/>
              <w:suppressLineNumbers w:val="0"/>
              <w:tabs>
                <w:tab w:val="left" w:pos="4421"/>
              </w:tabs>
              <w:adjustRightInd w:val="0"/>
              <w:spacing w:before="0" w:beforeAutospacing="0" w:after="0" w:afterAutospacing="0" w:line="312" w:lineRule="auto"/>
              <w:ind w:left="0" w:right="0" w:firstLine="0" w:firstLineChars="0"/>
              <w:jc w:val="center"/>
              <w:rPr>
                <w:rFonts w:hint="default" w:ascii="仿宋" w:hAnsi="仿宋" w:eastAsia="仿宋" w:cs="仿宋"/>
                <w:b w:val="0"/>
                <w:bCs/>
                <w:color w:val="auto"/>
                <w:sz w:val="22"/>
                <w:szCs w:val="22"/>
                <w:highlight w:val="none"/>
                <w:lang w:val="en-US" w:eastAsia="zh-CN"/>
              </w:rPr>
            </w:pPr>
            <w:r>
              <w:rPr>
                <w:rFonts w:hint="eastAsia" w:ascii="仿宋" w:hAnsi="仿宋" w:eastAsia="仿宋" w:cs="仿宋"/>
                <w:b/>
                <w:bCs w:val="0"/>
                <w:color w:val="auto"/>
                <w:sz w:val="36"/>
                <w:szCs w:val="36"/>
                <w:highlight w:val="none"/>
                <w:lang w:val="en-US" w:eastAsia="zh-CN"/>
              </w:rPr>
              <w:t>第五标段综合评分表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232"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rPr>
              <w:t>价格评审</w:t>
            </w:r>
            <w:r>
              <w:rPr>
                <w:rFonts w:hint="eastAsia" w:ascii="仿宋" w:hAnsi="仿宋" w:eastAsia="仿宋" w:cs="仿宋"/>
                <w:b w:val="0"/>
                <w:bCs/>
                <w:color w:val="000000"/>
                <w:kern w:val="2"/>
                <w:sz w:val="22"/>
                <w:szCs w:val="22"/>
                <w:highlight w:val="none"/>
                <w:lang w:val="en-US" w:eastAsia="zh-CN"/>
              </w:rPr>
              <w:t>（40分）</w:t>
            </w: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rPr>
            </w:pPr>
            <w:r>
              <w:rPr>
                <w:rFonts w:hint="eastAsia" w:ascii="仿宋" w:hAnsi="仿宋" w:eastAsia="仿宋" w:cs="仿宋"/>
                <w:b w:val="0"/>
                <w:bCs/>
                <w:color w:val="000000"/>
                <w:kern w:val="2"/>
                <w:sz w:val="22"/>
                <w:szCs w:val="22"/>
                <w:highlight w:val="none"/>
                <w:lang w:val="en-US"/>
              </w:rPr>
              <w:t>报价得分</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40</w:t>
            </w:r>
            <w:r>
              <w:rPr>
                <w:rFonts w:hint="eastAsia" w:ascii="仿宋" w:hAnsi="仿宋" w:eastAsia="仿宋" w:cs="仿宋"/>
                <w:b w:val="0"/>
                <w:bCs/>
                <w:color w:val="000000"/>
                <w:kern w:val="2"/>
                <w:sz w:val="22"/>
                <w:szCs w:val="22"/>
                <w:highlight w:val="none"/>
                <w:lang w:val="en-US"/>
              </w:rPr>
              <w:t>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40%×100（计算分值时，百分比按四舍五入原则，保留小数点后二位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2、对于小微企业在下浮区间内进行10 %的价格扣除制度，用扣除后的价格参与价格因素评审。同时属于小微企业、监狱企业或残疾人福利性单位的，不重复进行投标报价扣除。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2"/>
                <w:szCs w:val="22"/>
                <w:highlight w:val="none"/>
                <w:lang w:val="en-US"/>
              </w:rPr>
            </w:pPr>
            <w:r>
              <w:rPr>
                <w:rFonts w:hint="eastAsia" w:ascii="仿宋" w:hAnsi="仿宋" w:eastAsia="仿宋" w:cs="仿宋"/>
                <w:snapToGrid w:val="0"/>
                <w:color w:val="000000"/>
                <w:kern w:val="0"/>
                <w:sz w:val="22"/>
                <w:szCs w:val="20"/>
                <w:lang w:val="en-US" w:eastAsia="zh-CN" w:bidi="ar-SA"/>
              </w:rPr>
              <w:t>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1"/>
                <w:szCs w:val="21"/>
                <w:highlight w:val="none"/>
                <w:lang w:val="en-US" w:eastAsia="zh-CN"/>
              </w:rPr>
              <w:t>商务评审（35分）</w:t>
            </w:r>
          </w:p>
        </w:tc>
        <w:tc>
          <w:tcPr>
            <w:tcW w:w="1407"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履约能力</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3分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投标人需提供所投商品的货源保障、进货渠道等证明材料得3分（此项需提供与投标商品一致的近一年内进货合同和发票为1套完整的资料，提供不全或不提供不得分）满分3分。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7"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firstLine="220" w:firstLineChars="10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10分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应使用符合相关食品安全规定和卫生合格的专用厢式货车运输及配送。自有厢式货车（每车配一名司机）：提供1台得2分，满分10分；租赁车辆（每车配一名司机）：提供一台得1分，满分10分。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上述资料复印件加盖投标人公章并提供齐全，方可视为1辆有效车辆，提供不全或不提供不得分。备注：投标文件中的车辆与中标后履行本项目的配送车辆信息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8分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投标人需具备</w:t>
            </w:r>
            <w:r>
              <w:rPr>
                <w:rFonts w:hint="default" w:ascii="仿宋" w:hAnsi="仿宋" w:eastAsia="仿宋" w:cs="仿宋"/>
                <w:snapToGrid w:val="0"/>
                <w:color w:val="000000"/>
                <w:kern w:val="0"/>
                <w:sz w:val="22"/>
                <w:szCs w:val="20"/>
                <w:lang w:val="en-US" w:eastAsia="zh-CN" w:bidi="ar-SA"/>
              </w:rPr>
              <w:t>符合要求的</w:t>
            </w:r>
            <w:r>
              <w:rPr>
                <w:rFonts w:hint="eastAsia" w:ascii="仿宋" w:hAnsi="仿宋" w:eastAsia="仿宋" w:cs="仿宋"/>
                <w:snapToGrid w:val="0"/>
                <w:color w:val="000000"/>
                <w:kern w:val="0"/>
                <w:sz w:val="22"/>
                <w:szCs w:val="20"/>
                <w:lang w:val="en-US" w:eastAsia="zh-CN" w:bidi="ar-SA"/>
              </w:rPr>
              <w:t>防潮</w:t>
            </w:r>
            <w:r>
              <w:rPr>
                <w:rFonts w:hint="default" w:ascii="仿宋" w:hAnsi="仿宋" w:eastAsia="仿宋" w:cs="仿宋"/>
                <w:snapToGrid w:val="0"/>
                <w:color w:val="000000"/>
                <w:kern w:val="0"/>
                <w:sz w:val="22"/>
                <w:szCs w:val="20"/>
                <w:lang w:val="en-US" w:eastAsia="zh-CN" w:bidi="ar-SA"/>
              </w:rPr>
              <w:t>仓库</w:t>
            </w:r>
            <w:r>
              <w:rPr>
                <w:rFonts w:hint="eastAsia" w:ascii="仿宋" w:hAnsi="仿宋" w:eastAsia="仿宋" w:cs="仿宋"/>
                <w:snapToGrid w:val="0"/>
                <w:color w:val="000000"/>
                <w:kern w:val="0"/>
                <w:sz w:val="22"/>
                <w:szCs w:val="20"/>
                <w:lang w:val="en-US" w:eastAsia="zh-CN" w:bidi="ar-SA"/>
              </w:rPr>
              <w:t>条件。</w:t>
            </w:r>
            <w:r>
              <w:rPr>
                <w:rFonts w:hint="default" w:ascii="仿宋" w:hAnsi="仿宋" w:eastAsia="仿宋" w:cs="仿宋"/>
                <w:snapToGrid w:val="0"/>
                <w:color w:val="000000"/>
                <w:kern w:val="0"/>
                <w:sz w:val="22"/>
                <w:szCs w:val="20"/>
                <w:lang w:val="en-US" w:eastAsia="zh-CN" w:bidi="ar-SA"/>
              </w:rPr>
              <w:t>仓库面积</w:t>
            </w:r>
            <w:r>
              <w:rPr>
                <w:rFonts w:hint="eastAsia" w:ascii="仿宋" w:hAnsi="仿宋" w:eastAsia="仿宋" w:cs="仿宋"/>
                <w:snapToGrid w:val="0"/>
                <w:color w:val="000000"/>
                <w:kern w:val="0"/>
                <w:sz w:val="22"/>
                <w:szCs w:val="20"/>
                <w:lang w:val="en-US" w:eastAsia="zh-CN" w:bidi="ar-SA"/>
              </w:rPr>
              <w:t>500</w:t>
            </w:r>
            <w:r>
              <w:rPr>
                <w:rFonts w:hint="default" w:ascii="仿宋" w:hAnsi="仿宋" w:eastAsia="仿宋" w:cs="仿宋"/>
                <w:snapToGrid w:val="0"/>
                <w:color w:val="000000"/>
                <w:kern w:val="0"/>
                <w:sz w:val="22"/>
                <w:szCs w:val="20"/>
                <w:lang w:val="en-US" w:eastAsia="zh-CN" w:bidi="ar-SA"/>
              </w:rPr>
              <w:t>平方米以上（不含</w:t>
            </w:r>
            <w:r>
              <w:rPr>
                <w:rFonts w:hint="eastAsia" w:ascii="仿宋" w:hAnsi="仿宋" w:eastAsia="仿宋" w:cs="仿宋"/>
                <w:snapToGrid w:val="0"/>
                <w:color w:val="000000"/>
                <w:kern w:val="0"/>
                <w:sz w:val="22"/>
                <w:szCs w:val="20"/>
                <w:lang w:val="en-US" w:eastAsia="zh-CN" w:bidi="ar-SA"/>
              </w:rPr>
              <w:t>500</w:t>
            </w:r>
            <w:r>
              <w:rPr>
                <w:rFonts w:hint="default" w:ascii="仿宋" w:hAnsi="仿宋" w:eastAsia="仿宋" w:cs="仿宋"/>
                <w:snapToGrid w:val="0"/>
                <w:color w:val="000000"/>
                <w:kern w:val="0"/>
                <w:sz w:val="22"/>
                <w:szCs w:val="20"/>
                <w:lang w:val="en-US" w:eastAsia="zh-CN" w:bidi="ar-SA"/>
              </w:rPr>
              <w:t>平方米），得</w:t>
            </w:r>
            <w:r>
              <w:rPr>
                <w:rFonts w:hint="eastAsia" w:ascii="仿宋" w:hAnsi="仿宋" w:eastAsia="仿宋" w:cs="仿宋"/>
                <w:snapToGrid w:val="0"/>
                <w:color w:val="000000"/>
                <w:kern w:val="0"/>
                <w:sz w:val="22"/>
                <w:szCs w:val="20"/>
                <w:lang w:val="en-US" w:eastAsia="zh-CN" w:bidi="ar-SA"/>
              </w:rPr>
              <w:t>8</w:t>
            </w:r>
            <w:r>
              <w:rPr>
                <w:rFonts w:hint="default" w:ascii="仿宋" w:hAnsi="仿宋" w:eastAsia="仿宋" w:cs="仿宋"/>
                <w:snapToGrid w:val="0"/>
                <w:color w:val="000000"/>
                <w:kern w:val="0"/>
                <w:sz w:val="22"/>
                <w:szCs w:val="20"/>
                <w:lang w:val="en-US" w:eastAsia="zh-CN" w:bidi="ar-SA"/>
              </w:rPr>
              <w:t>分；仓库面积</w:t>
            </w:r>
            <w:r>
              <w:rPr>
                <w:rFonts w:hint="eastAsia" w:ascii="仿宋" w:hAnsi="仿宋" w:eastAsia="仿宋" w:cs="仿宋"/>
                <w:snapToGrid w:val="0"/>
                <w:color w:val="000000"/>
                <w:kern w:val="0"/>
                <w:sz w:val="22"/>
                <w:szCs w:val="20"/>
                <w:lang w:val="en-US" w:eastAsia="zh-CN" w:bidi="ar-SA"/>
              </w:rPr>
              <w:t>200-500</w:t>
            </w:r>
            <w:r>
              <w:rPr>
                <w:rFonts w:hint="default" w:ascii="仿宋" w:hAnsi="仿宋" w:eastAsia="仿宋" w:cs="仿宋"/>
                <w:snapToGrid w:val="0"/>
                <w:color w:val="000000"/>
                <w:kern w:val="0"/>
                <w:sz w:val="22"/>
                <w:szCs w:val="20"/>
                <w:lang w:val="en-US" w:eastAsia="zh-CN" w:bidi="ar-SA"/>
              </w:rPr>
              <w:t>平方米（不含</w:t>
            </w:r>
            <w:r>
              <w:rPr>
                <w:rFonts w:hint="eastAsia" w:ascii="仿宋" w:hAnsi="仿宋" w:eastAsia="仿宋" w:cs="仿宋"/>
                <w:snapToGrid w:val="0"/>
                <w:color w:val="000000"/>
                <w:kern w:val="0"/>
                <w:sz w:val="22"/>
                <w:szCs w:val="20"/>
                <w:lang w:val="en-US" w:eastAsia="zh-CN" w:bidi="ar-SA"/>
              </w:rPr>
              <w:t>500</w:t>
            </w:r>
            <w:r>
              <w:rPr>
                <w:rFonts w:hint="default" w:ascii="仿宋" w:hAnsi="仿宋" w:eastAsia="仿宋" w:cs="仿宋"/>
                <w:snapToGrid w:val="0"/>
                <w:color w:val="000000"/>
                <w:kern w:val="0"/>
                <w:sz w:val="22"/>
                <w:szCs w:val="20"/>
                <w:lang w:val="en-US" w:eastAsia="zh-CN" w:bidi="ar-SA"/>
              </w:rPr>
              <w:t>平方米），得</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分；仓库面积</w:t>
            </w:r>
            <w:r>
              <w:rPr>
                <w:rFonts w:hint="eastAsia" w:ascii="仿宋" w:hAnsi="仿宋" w:eastAsia="仿宋" w:cs="仿宋"/>
                <w:snapToGrid w:val="0"/>
                <w:color w:val="000000"/>
                <w:kern w:val="0"/>
                <w:sz w:val="22"/>
                <w:szCs w:val="20"/>
                <w:lang w:val="en-US" w:eastAsia="zh-CN" w:bidi="ar-SA"/>
              </w:rPr>
              <w:t>200</w:t>
            </w:r>
            <w:r>
              <w:rPr>
                <w:rFonts w:hint="default" w:ascii="仿宋" w:hAnsi="仿宋" w:eastAsia="仿宋" w:cs="仿宋"/>
                <w:snapToGrid w:val="0"/>
                <w:color w:val="000000"/>
                <w:kern w:val="0"/>
                <w:sz w:val="22"/>
                <w:szCs w:val="20"/>
                <w:lang w:val="en-US" w:eastAsia="zh-CN" w:bidi="ar-SA"/>
              </w:rPr>
              <w:t>平方米以下（含</w:t>
            </w:r>
            <w:r>
              <w:rPr>
                <w:rFonts w:hint="eastAsia" w:ascii="仿宋" w:hAnsi="仿宋" w:eastAsia="仿宋" w:cs="仿宋"/>
                <w:snapToGrid w:val="0"/>
                <w:color w:val="000000"/>
                <w:kern w:val="0"/>
                <w:sz w:val="22"/>
                <w:szCs w:val="20"/>
                <w:lang w:val="en-US" w:eastAsia="zh-CN" w:bidi="ar-SA"/>
              </w:rPr>
              <w:t>200</w:t>
            </w:r>
            <w:r>
              <w:rPr>
                <w:rFonts w:hint="default" w:ascii="仿宋" w:hAnsi="仿宋" w:eastAsia="仿宋" w:cs="仿宋"/>
                <w:snapToGrid w:val="0"/>
                <w:color w:val="000000"/>
                <w:kern w:val="0"/>
                <w:sz w:val="22"/>
                <w:szCs w:val="20"/>
                <w:lang w:val="en-US" w:eastAsia="zh-CN" w:bidi="ar-SA"/>
              </w:rPr>
              <w:t>平方米），不得分</w:t>
            </w:r>
            <w:r>
              <w:rPr>
                <w:rFonts w:hint="eastAsia" w:ascii="仿宋" w:hAnsi="仿宋" w:eastAsia="仿宋" w:cs="仿宋"/>
                <w:snapToGrid w:val="0"/>
                <w:color w:val="000000"/>
                <w:kern w:val="0"/>
                <w:sz w:val="22"/>
                <w:szCs w:val="20"/>
                <w:lang w:val="en-US" w:eastAsia="zh-CN" w:bidi="ar-SA"/>
              </w:rPr>
              <w:t>，满分8分。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备注：需提供资料</w:t>
            </w:r>
            <w:r>
              <w:rPr>
                <w:rFonts w:hint="default" w:ascii="仿宋" w:hAnsi="仿宋" w:eastAsia="仿宋" w:cs="仿宋"/>
                <w:snapToGrid w:val="0"/>
                <w:color w:val="000000"/>
                <w:kern w:val="0"/>
                <w:sz w:val="22"/>
                <w:szCs w:val="20"/>
                <w:lang w:val="en-US" w:eastAsia="zh-CN" w:bidi="ar-SA"/>
              </w:rPr>
              <w:t>①库房照片；②</w:t>
            </w:r>
            <w:r>
              <w:rPr>
                <w:rFonts w:hint="eastAsia" w:ascii="仿宋" w:hAnsi="仿宋" w:eastAsia="仿宋" w:cs="仿宋"/>
                <w:snapToGrid w:val="0"/>
                <w:color w:val="000000"/>
                <w:kern w:val="0"/>
                <w:sz w:val="22"/>
                <w:szCs w:val="20"/>
                <w:lang w:val="en-US" w:eastAsia="zh-CN" w:bidi="ar-SA"/>
              </w:rPr>
              <w:t>提供中标后在项目所在地设置投标文件中提供的相应面积仓库承诺书（格式自拟）</w:t>
            </w:r>
            <w:r>
              <w:rPr>
                <w:rFonts w:hint="default" w:ascii="仿宋" w:hAnsi="仿宋" w:eastAsia="仿宋" w:cs="仿宋"/>
                <w:snapToGrid w:val="0"/>
                <w:color w:val="000000"/>
                <w:kern w:val="0"/>
                <w:sz w:val="22"/>
                <w:szCs w:val="20"/>
                <w:lang w:val="en-US" w:eastAsia="zh-CN" w:bidi="ar-SA"/>
              </w:rPr>
              <w:t>；③产权证明或租赁合同（租赁期限截止时间不得在本项目合同终止时间前）</w:t>
            </w:r>
            <w:r>
              <w:rPr>
                <w:rFonts w:hint="eastAsia" w:ascii="仿宋" w:hAnsi="仿宋" w:eastAsia="仿宋" w:cs="仿宋"/>
                <w:snapToGrid w:val="0"/>
                <w:color w:val="000000"/>
                <w:kern w:val="0"/>
                <w:sz w:val="22"/>
                <w:szCs w:val="20"/>
                <w:lang w:val="en-US" w:eastAsia="zh-CN" w:bidi="ar-SA"/>
              </w:rPr>
              <w:t>；④提供中标后在仓库内安装监控并统一接入指定的食安康等互联网监管平台的承诺书（格式自拟）</w:t>
            </w:r>
            <w:r>
              <w:rPr>
                <w:rFonts w:hint="default" w:ascii="仿宋" w:hAnsi="仿宋" w:eastAsia="仿宋" w:cs="仿宋"/>
                <w:snapToGrid w:val="0"/>
                <w:color w:val="000000"/>
                <w:kern w:val="0"/>
                <w:sz w:val="22"/>
                <w:szCs w:val="20"/>
                <w:lang w:val="en-US" w:eastAsia="zh-CN" w:bidi="ar-SA"/>
              </w:rPr>
              <w:t>。上述</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项资料全部提供视为一套有效证明材料，提供不全或未提供不得分</w:t>
            </w:r>
            <w:r>
              <w:rPr>
                <w:rFonts w:hint="eastAsia"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投标人具有质量管理体系认证书、职业健康安全管理体系认证书、环境管理体系认证书、食品安全管理体系认证书，提供一项得1分，不提供不得分，满分4分。备注：提供证书复印件并加盖投标人公章。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食品安全责任保险</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投标人针对本项目中标后，提供购买保额不低于中标总金额的食品安全责任保险承诺书得1分；没有的不得分。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食品安全主体责任</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投标企业提供</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两</w:t>
            </w:r>
            <w:r>
              <w:rPr>
                <w:rFonts w:hint="default" w:ascii="仿宋" w:hAnsi="仿宋" w:eastAsia="仿宋" w:cs="仿宋"/>
                <w:snapToGrid w:val="0"/>
                <w:color w:val="000000"/>
                <w:kern w:val="0"/>
                <w:sz w:val="22"/>
                <w:szCs w:val="20"/>
                <w:lang w:val="en-US" w:eastAsia="zh-CN" w:bidi="ar-SA"/>
              </w:rPr>
              <w:t>个月内</w:t>
            </w:r>
            <w:r>
              <w:rPr>
                <w:rFonts w:hint="eastAsia" w:ascii="仿宋" w:hAnsi="仿宋" w:eastAsia="仿宋" w:cs="仿宋"/>
                <w:snapToGrid w:val="0"/>
                <w:color w:val="000000"/>
                <w:kern w:val="0"/>
                <w:sz w:val="22"/>
                <w:szCs w:val="20"/>
                <w:lang w:val="en-US" w:eastAsia="zh-CN" w:bidi="ar-SA"/>
              </w:rPr>
              <w:t>连续30天的</w:t>
            </w:r>
            <w:r>
              <w:rPr>
                <w:rFonts w:hint="default" w:ascii="仿宋" w:hAnsi="仿宋" w:eastAsia="仿宋" w:cs="仿宋"/>
                <w:snapToGrid w:val="0"/>
                <w:color w:val="000000"/>
                <w:kern w:val="0"/>
                <w:sz w:val="22"/>
                <w:szCs w:val="20"/>
                <w:lang w:val="en-US" w:eastAsia="zh-CN" w:bidi="ar-SA"/>
              </w:rPr>
              <w:t>日管控清单，周排查报告，月调度会议纪要，得分</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分。备注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产品质量</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提供符合《中华人民共和国食品安全法》要求的官方或官方授权的第三方食品检测机构出具的检测报告（肉类、蛋类须提供兽药残留报告，其他农产品须提供农药残留报告），提供的报告无缺页漏页，质量检测结果必须是合格的，并且检测报告结果符合参数要求，不得提供虚假检验检测报告，提供得5分，否则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备注：提供检测机构的检测资质复印件（检测机构盖章），提供产品保质期内的检测报告，提供的检测报告日期为自开标日前6个月之内，投标文件里可放与原件相符的复印件，复印件加盖投标人公章。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技术评审</w:t>
            </w:r>
          </w:p>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（25分）</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r>
              <w:rPr>
                <w:rFonts w:hint="eastAsia" w:ascii="仿宋" w:hAnsi="仿宋" w:eastAsia="仿宋" w:cs="仿宋"/>
                <w:snapToGrid w:val="0"/>
                <w:color w:val="000000"/>
                <w:kern w:val="0"/>
                <w:sz w:val="22"/>
                <w:szCs w:val="20"/>
                <w:lang w:val="en-US" w:eastAsia="zh-CN" w:bidi="ar-SA"/>
              </w:rPr>
              <w:t>：根据所投产品的成分规格与技术指标的响应程度打分，完全满足招标要求的得3分；每有一项正偏离加1分，最高加2分；本项目</w:t>
            </w:r>
            <w:r>
              <w:rPr>
                <w:rFonts w:hint="default" w:ascii="仿宋" w:hAnsi="仿宋" w:eastAsia="仿宋" w:cs="仿宋"/>
                <w:snapToGrid w:val="0"/>
                <w:color w:val="000000"/>
                <w:kern w:val="0"/>
                <w:sz w:val="22"/>
                <w:szCs w:val="20"/>
                <w:lang w:val="en-US" w:eastAsia="zh-CN" w:bidi="ar-SA"/>
              </w:rPr>
              <w:t>技术参数</w:t>
            </w:r>
            <w:r>
              <w:rPr>
                <w:rFonts w:hint="eastAsia" w:ascii="仿宋" w:hAnsi="仿宋" w:eastAsia="仿宋" w:cs="仿宋"/>
                <w:snapToGrid w:val="0"/>
                <w:color w:val="000000"/>
                <w:kern w:val="0"/>
                <w:sz w:val="22"/>
                <w:szCs w:val="20"/>
                <w:lang w:val="en-US" w:eastAsia="zh-CN" w:bidi="ar-SA"/>
              </w:rPr>
              <w:t>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工作人员配备</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6分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snapToGrid w:val="0"/>
                <w:color w:val="000000"/>
                <w:kern w:val="0"/>
                <w:sz w:val="22"/>
                <w:szCs w:val="20"/>
                <w:lang w:val="en-US" w:eastAsia="zh-CN" w:bidi="ar-SA"/>
              </w:rPr>
              <w:t>①为</w:t>
            </w:r>
            <w:r>
              <w:rPr>
                <w:rFonts w:hint="default" w:ascii="仿宋" w:hAnsi="仿宋" w:eastAsia="仿宋" w:cs="仿宋"/>
                <w:snapToGrid w:val="0"/>
                <w:color w:val="000000"/>
                <w:kern w:val="0"/>
                <w:sz w:val="22"/>
                <w:szCs w:val="20"/>
                <w:lang w:val="en-US" w:eastAsia="zh-CN" w:bidi="ar-SA"/>
              </w:rPr>
              <w:t>确保食品安全、及时处理食材订单、核对账目、食材配送等工作顺利开展，以保障学校（幼儿园）按时供餐，需配备专职的工作人员，并明确职责分工。专职人员</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人得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分，不足</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人不得分；每增加1人加</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满分4</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；②</w:t>
            </w:r>
            <w:r>
              <w:rPr>
                <w:rFonts w:hint="default" w:ascii="仿宋" w:hAnsi="仿宋" w:eastAsia="仿宋" w:cs="仿宋"/>
                <w:snapToGrid w:val="0"/>
                <w:color w:val="000000"/>
                <w:kern w:val="0"/>
                <w:sz w:val="22"/>
                <w:szCs w:val="20"/>
                <w:lang w:val="en-US" w:eastAsia="zh-CN" w:bidi="ar-SA"/>
              </w:rPr>
              <w:t>投标人配齐食品安全总监和食品安全员，专门负责食品安全工作，配备1名食品安全总监（1分</w:t>
            </w:r>
            <w:r>
              <w:rPr>
                <w:rFonts w:hint="eastAsia" w:ascii="仿宋" w:hAnsi="仿宋" w:eastAsia="仿宋" w:cs="仿宋"/>
                <w:snapToGrid w:val="0"/>
                <w:color w:val="000000"/>
                <w:kern w:val="0"/>
                <w:sz w:val="22"/>
                <w:szCs w:val="20"/>
                <w:lang w:val="en-US" w:eastAsia="zh-CN" w:bidi="ar-SA"/>
              </w:rPr>
              <w:t>），配备1名食品安全员</w:t>
            </w:r>
            <w:r>
              <w:rPr>
                <w:rFonts w:hint="default" w:ascii="仿宋" w:hAnsi="仿宋" w:eastAsia="仿宋" w:cs="仿宋"/>
                <w:snapToGrid w:val="0"/>
                <w:color w:val="000000"/>
                <w:kern w:val="0"/>
                <w:sz w:val="22"/>
                <w:szCs w:val="20"/>
                <w:lang w:val="en-US" w:eastAsia="zh-CN" w:bidi="ar-SA"/>
              </w:rPr>
              <w:t>（</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需提供①专职工作人员</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个月内任</w:t>
            </w:r>
            <w:r>
              <w:rPr>
                <w:rFonts w:hint="eastAsia" w:ascii="仿宋" w:hAnsi="仿宋" w:eastAsia="仿宋" w:cs="仿宋"/>
                <w:snapToGrid w:val="0"/>
                <w:color w:val="000000"/>
                <w:kern w:val="0"/>
                <w:sz w:val="22"/>
                <w:szCs w:val="20"/>
                <w:lang w:val="en-US" w:eastAsia="zh-CN" w:bidi="ar-SA"/>
              </w:rPr>
              <w:t>意连续3</w:t>
            </w:r>
            <w:r>
              <w:rPr>
                <w:rFonts w:hint="default" w:ascii="仿宋" w:hAnsi="仿宋" w:eastAsia="仿宋" w:cs="仿宋"/>
                <w:snapToGrid w:val="0"/>
                <w:color w:val="000000"/>
                <w:kern w:val="0"/>
                <w:sz w:val="22"/>
                <w:szCs w:val="20"/>
                <w:lang w:val="en-US" w:eastAsia="zh-CN" w:bidi="ar-SA"/>
              </w:rPr>
              <w:t>个月缴纳社保证明</w:t>
            </w:r>
            <w:r>
              <w:rPr>
                <w:rFonts w:hint="eastAsia" w:ascii="仿宋" w:hAnsi="仿宋" w:eastAsia="仿宋" w:cs="仿宋"/>
                <w:snapToGrid w:val="0"/>
                <w:color w:val="000000"/>
                <w:kern w:val="0"/>
                <w:sz w:val="22"/>
                <w:szCs w:val="20"/>
                <w:lang w:val="en-US" w:eastAsia="zh-CN" w:bidi="ar-SA"/>
              </w:rPr>
              <w:t>材料</w:t>
            </w:r>
            <w:r>
              <w:rPr>
                <w:rFonts w:hint="default" w:ascii="仿宋" w:hAnsi="仿宋" w:eastAsia="仿宋" w:cs="仿宋"/>
                <w:snapToGrid w:val="0"/>
                <w:color w:val="000000"/>
                <w:kern w:val="0"/>
                <w:sz w:val="22"/>
                <w:szCs w:val="20"/>
                <w:lang w:val="en-US" w:eastAsia="zh-CN" w:bidi="ar-SA"/>
              </w:rPr>
              <w:t>和劳务合同；②</w:t>
            </w:r>
            <w:r>
              <w:rPr>
                <w:rFonts w:hint="eastAsia" w:ascii="仿宋" w:hAnsi="仿宋" w:eastAsia="仿宋" w:cs="仿宋"/>
                <w:snapToGrid w:val="0"/>
                <w:color w:val="000000"/>
                <w:kern w:val="0"/>
                <w:sz w:val="22"/>
                <w:szCs w:val="20"/>
                <w:lang w:val="en-US" w:eastAsia="zh-CN" w:bidi="ar-SA"/>
              </w:rPr>
              <w:t>有效期内的</w:t>
            </w:r>
            <w:r>
              <w:rPr>
                <w:rFonts w:hint="default" w:ascii="仿宋" w:hAnsi="仿宋" w:eastAsia="仿宋" w:cs="仿宋"/>
                <w:snapToGrid w:val="0"/>
                <w:color w:val="000000"/>
                <w:kern w:val="0"/>
                <w:sz w:val="22"/>
                <w:szCs w:val="20"/>
                <w:lang w:val="en-US" w:eastAsia="zh-CN" w:bidi="ar-SA"/>
              </w:rPr>
              <w:t>健康证明；③身份证</w:t>
            </w:r>
            <w:r>
              <w:rPr>
                <w:rFonts w:hint="eastAsia" w:ascii="仿宋" w:hAnsi="仿宋" w:eastAsia="仿宋" w:cs="仿宋"/>
                <w:snapToGrid w:val="0"/>
                <w:color w:val="000000"/>
                <w:kern w:val="0"/>
                <w:sz w:val="22"/>
                <w:szCs w:val="20"/>
                <w:lang w:val="en-US" w:eastAsia="zh-CN" w:bidi="ar-SA"/>
              </w:rPr>
              <w:t>扫描件</w:t>
            </w:r>
            <w:r>
              <w:rPr>
                <w:rFonts w:hint="default" w:ascii="仿宋" w:hAnsi="仿宋" w:eastAsia="仿宋" w:cs="仿宋"/>
                <w:snapToGrid w:val="0"/>
                <w:color w:val="000000"/>
                <w:kern w:val="0"/>
                <w:sz w:val="22"/>
                <w:szCs w:val="20"/>
                <w:lang w:val="en-US" w:eastAsia="zh-CN" w:bidi="ar-SA"/>
              </w:rPr>
              <w:t>。以上3项材料每人需全部提供方可得分，按照提供完整资料的人数计算打分，提供资料不全的不得分</w:t>
            </w:r>
            <w:r>
              <w:rPr>
                <w:rFonts w:hint="eastAsia" w:ascii="仿宋" w:hAnsi="仿宋" w:eastAsia="仿宋" w:cs="仿宋"/>
                <w:snapToGrid w:val="0"/>
                <w:color w:val="000000"/>
                <w:kern w:val="0"/>
                <w:sz w:val="22"/>
                <w:szCs w:val="20"/>
                <w:lang w:val="en-US" w:eastAsia="zh-CN" w:bidi="ar-SA"/>
              </w:rPr>
              <w:t>，备注：投标文件中备案的食品安全总监、食品安全员需与中标后实际履职人员一致，未经允许不得随意更换</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配送服务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000000"/>
                <w:kern w:val="0"/>
                <w:sz w:val="22"/>
                <w:szCs w:val="20"/>
                <w:lang w:val="en-US" w:eastAsia="zh-CN" w:bidi="ar-SA"/>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食品安全保障方案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投标人提供食品生产经营企业食品安全管理制度、食品生产经营者的自查制度、食品生产者进货查验记录制度报告</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，提供不全不得分</w:t>
            </w:r>
            <w:r>
              <w:rPr>
                <w:rFonts w:hint="default" w:ascii="仿宋" w:hAnsi="仿宋" w:eastAsia="仿宋" w:cs="仿宋"/>
                <w:snapToGrid w:val="0"/>
                <w:color w:val="000000"/>
                <w:kern w:val="0"/>
                <w:sz w:val="22"/>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投标人需考虑可能发生的突发情况，制定详细、可行的食品安全保障方案，主要针对不同的情形提供不同的解决方案</w:t>
            </w:r>
            <w:r>
              <w:rPr>
                <w:rFonts w:hint="eastAsia" w:ascii="仿宋" w:hAnsi="仿宋" w:eastAsia="仿宋" w:cs="仿宋"/>
                <w:snapToGrid w:val="0"/>
                <w:color w:val="000000"/>
                <w:kern w:val="0"/>
                <w:sz w:val="22"/>
                <w:szCs w:val="20"/>
                <w:lang w:val="en-US" w:eastAsia="zh-CN" w:bidi="ar-SA"/>
              </w:rPr>
              <w:t>。包括：</w:t>
            </w:r>
            <w:r>
              <w:rPr>
                <w:rFonts w:hint="default" w:ascii="仿宋" w:hAnsi="仿宋" w:eastAsia="仿宋" w:cs="仿宋"/>
                <w:snapToGrid w:val="0"/>
                <w:color w:val="000000"/>
                <w:kern w:val="0"/>
                <w:sz w:val="22"/>
                <w:szCs w:val="20"/>
                <w:lang w:val="en-US" w:eastAsia="zh-CN" w:bidi="ar-SA"/>
              </w:rPr>
              <w:t>①食品卫生安全管理应急预案；②学生食物中毒应急预案；③防止食材未能及时送达应急预案。具有可操作性，能及时解决问题，</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w:t>
            </w:r>
            <w:r>
              <w:rPr>
                <w:rFonts w:hint="eastAsia" w:ascii="仿宋" w:hAnsi="仿宋" w:eastAsia="仿宋" w:cs="仿宋"/>
                <w:snapToGrid w:val="0"/>
                <w:color w:val="000000"/>
                <w:kern w:val="0"/>
                <w:sz w:val="22"/>
                <w:szCs w:val="20"/>
                <w:lang w:val="en-US" w:eastAsia="zh-CN" w:bidi="ar-SA"/>
              </w:rPr>
              <w:t>均</w:t>
            </w:r>
            <w:r>
              <w:rPr>
                <w:rFonts w:hint="default" w:ascii="仿宋" w:hAnsi="仿宋" w:eastAsia="仿宋" w:cs="仿宋"/>
                <w:snapToGrid w:val="0"/>
                <w:color w:val="000000"/>
                <w:kern w:val="0"/>
                <w:sz w:val="22"/>
                <w:szCs w:val="20"/>
                <w:lang w:val="en-US" w:eastAsia="zh-CN" w:bidi="ar-SA"/>
              </w:rPr>
              <w:t>提供印证资料，如不提供不得分）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库房</w:t>
            </w:r>
            <w:r>
              <w:rPr>
                <w:rFonts w:hint="default" w:ascii="仿宋" w:hAnsi="仿宋" w:eastAsia="仿宋" w:cs="仿宋"/>
                <w:snapToGrid w:val="0"/>
                <w:color w:val="000000"/>
                <w:kern w:val="0"/>
                <w:sz w:val="22"/>
                <w:szCs w:val="20"/>
                <w:lang w:val="en-US" w:eastAsia="zh-CN" w:bidi="ar-SA"/>
              </w:rPr>
              <w:t>安全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管理</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①有温湿度监测设备</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通风换气设备得0.5分；</w:t>
            </w:r>
            <w:r>
              <w:rPr>
                <w:rFonts w:hint="eastAsia" w:ascii="仿宋" w:hAnsi="仿宋" w:eastAsia="仿宋" w:cs="仿宋"/>
                <w:snapToGrid w:val="0"/>
                <w:color w:val="000000"/>
                <w:kern w:val="0"/>
                <w:sz w:val="22"/>
                <w:szCs w:val="20"/>
                <w:lang w:val="en-US" w:eastAsia="zh-CN" w:bidi="ar-SA"/>
              </w:rPr>
              <w:t>②有紫外线消毒设备</w:t>
            </w:r>
            <w:r>
              <w:rPr>
                <w:rFonts w:hint="default" w:ascii="仿宋" w:hAnsi="仿宋" w:eastAsia="仿宋" w:cs="仿宋"/>
                <w:snapToGrid w:val="0"/>
                <w:color w:val="000000"/>
                <w:kern w:val="0"/>
                <w:sz w:val="22"/>
                <w:szCs w:val="20"/>
                <w:lang w:val="en-US" w:eastAsia="zh-CN" w:bidi="ar-SA"/>
              </w:rPr>
              <w:t>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③商品分区</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分架</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分类存放得0.5分；④货物离墙离地10</w:t>
            </w:r>
            <w:r>
              <w:rPr>
                <w:rFonts w:hint="eastAsia" w:ascii="仿宋" w:hAnsi="仿宋" w:eastAsia="仿宋" w:cs="仿宋"/>
                <w:snapToGrid w:val="0"/>
                <w:color w:val="000000"/>
                <w:kern w:val="0"/>
                <w:sz w:val="22"/>
                <w:szCs w:val="20"/>
                <w:lang w:val="en-US" w:eastAsia="zh-CN" w:bidi="ar-SA"/>
              </w:rPr>
              <w:t>cm</w:t>
            </w:r>
            <w:r>
              <w:rPr>
                <w:rFonts w:hint="default" w:ascii="仿宋" w:hAnsi="仿宋" w:eastAsia="仿宋" w:cs="仿宋"/>
                <w:snapToGrid w:val="0"/>
                <w:color w:val="000000"/>
                <w:kern w:val="0"/>
                <w:sz w:val="22"/>
                <w:szCs w:val="20"/>
                <w:lang w:val="en-US" w:eastAsia="zh-CN" w:bidi="ar-SA"/>
              </w:rPr>
              <w:t>以上存放得0.5分；⑤有防尘、防鼠、防虫设施得0.5分；⑥货物在不同区域有明显标识得0.5分；⑦散装食品有单独的盛装容器得0.5分；⑧货物在贮存位置标明食品的名称、生产日期、保质期、供货商及联系方式内容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每一项内容提供</w:t>
            </w:r>
            <w:r>
              <w:rPr>
                <w:rFonts w:hint="eastAsia" w:ascii="仿宋" w:hAnsi="仿宋" w:eastAsia="仿宋" w:cs="仿宋"/>
                <w:snapToGrid w:val="0"/>
                <w:color w:val="000000"/>
                <w:kern w:val="0"/>
                <w:sz w:val="22"/>
                <w:szCs w:val="20"/>
                <w:lang w:val="en-US" w:eastAsia="zh-CN" w:bidi="ar-SA"/>
              </w:rPr>
              <w:t>与实际一致的图片等</w:t>
            </w:r>
            <w:r>
              <w:rPr>
                <w:rFonts w:hint="default" w:ascii="仿宋" w:hAnsi="仿宋" w:eastAsia="仿宋" w:cs="仿宋"/>
                <w:snapToGrid w:val="0"/>
                <w:color w:val="000000"/>
                <w:kern w:val="0"/>
                <w:sz w:val="22"/>
                <w:szCs w:val="20"/>
                <w:lang w:val="en-US" w:eastAsia="zh-CN" w:bidi="ar-SA"/>
              </w:rPr>
              <w:t>印证资料，如不提供不得分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售后服务</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①投标企业需提供售后服务点（包含：场地彩色照片、自有产权或租赁合同等证明文件（签订日期在开标前 6 个月内的租赁合同视为临时合同，不计入评分），提供资料齐全得2分，提供不全或不提供不得分。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r>
              <w:rPr>
                <w:rFonts w:hint="eastAsia" w:ascii="方正仿宋简体" w:hAnsi="方正仿宋简体" w:eastAsia="方正仿宋简体" w:cs="方正仿宋简体"/>
                <w:color w:val="auto"/>
                <w:sz w:val="32"/>
                <w:szCs w:val="32"/>
                <w:highlight w:val="none"/>
                <w:lang w:val="en-US" w:eastAsia="zh-CN"/>
              </w:rPr>
              <w:br w:type="textWrapping"/>
            </w:r>
            <w:r>
              <w:rPr>
                <w:rFonts w:hint="eastAsia" w:ascii="仿宋" w:hAnsi="仿宋" w:eastAsia="仿宋" w:cs="仿宋"/>
                <w:snapToGrid w:val="0"/>
                <w:color w:val="000000"/>
                <w:kern w:val="0"/>
                <w:sz w:val="22"/>
                <w:szCs w:val="20"/>
                <w:lang w:val="en-US" w:eastAsia="zh-CN" w:bidi="ar-SA"/>
              </w:rPr>
              <w:t>备注：需提供售后服务点及场地彩色照片、自有产权或租赁合同等证明文件（截止开标前6个月内签订的租赁合同视为临时合同，不计入评分），未提供不得分，以上得分不重复计分。</w:t>
            </w:r>
          </w:p>
        </w:tc>
      </w:tr>
    </w:tbl>
    <w:p>
      <w:pPr>
        <w:keepNext w:val="0"/>
        <w:keepLines w:val="0"/>
        <w:pageBreakBefore w:val="0"/>
        <w:wordWrap/>
        <w:overflowPunct/>
        <w:topLinePunct w:val="0"/>
        <w:bidi w:val="0"/>
        <w:spacing w:line="400" w:lineRule="exact"/>
        <w:jc w:val="both"/>
        <w:rPr>
          <w:rFonts w:ascii="Arial" w:hAnsi="Arial" w:eastAsia="Arial" w:cs="Arial"/>
          <w:sz w:val="21"/>
          <w:szCs w:val="21"/>
        </w:rPr>
        <w:sectPr>
          <w:footerReference r:id="rId43" w:type="default"/>
          <w:pgSz w:w="11907" w:h="16840"/>
          <w:pgMar w:top="1440" w:right="1800" w:bottom="1440" w:left="1800" w:header="0" w:footer="1085" w:gutter="0"/>
          <w:pgBorders>
            <w:top w:val="single" w:color="auto" w:sz="4" w:space="1"/>
            <w:left w:val="none" w:sz="0" w:space="0"/>
            <w:bottom w:val="none" w:sz="0" w:space="0"/>
            <w:right w:val="none" w:sz="0" w:space="0"/>
          </w:pgBorders>
          <w:pgNumType w:fmt="decimal"/>
          <w:cols w:space="720" w:num="1"/>
        </w:sectPr>
      </w:pPr>
    </w:p>
    <w:tbl>
      <w:tblPr>
        <w:tblStyle w:val="21"/>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pPr>
              <w:keepNext w:val="0"/>
              <w:keepLines w:val="0"/>
              <w:widowControl/>
              <w:suppressLineNumbers w:val="0"/>
              <w:tabs>
                <w:tab w:val="left" w:pos="4421"/>
              </w:tabs>
              <w:adjustRightInd w:val="0"/>
              <w:spacing w:before="0" w:beforeAutospacing="0" w:after="0" w:afterAutospacing="0" w:line="312" w:lineRule="auto"/>
              <w:ind w:left="0" w:right="0" w:firstLine="0" w:firstLineChars="0"/>
              <w:jc w:val="center"/>
              <w:rPr>
                <w:rFonts w:hint="default" w:ascii="仿宋" w:hAnsi="仿宋" w:eastAsia="仿宋" w:cs="仿宋"/>
                <w:b w:val="0"/>
                <w:bCs/>
                <w:color w:val="auto"/>
                <w:sz w:val="22"/>
                <w:szCs w:val="22"/>
                <w:highlight w:val="none"/>
                <w:lang w:val="en-US" w:eastAsia="zh-CN"/>
              </w:rPr>
            </w:pPr>
            <w:r>
              <w:rPr>
                <w:rFonts w:hint="eastAsia" w:ascii="仿宋" w:hAnsi="仿宋" w:eastAsia="仿宋" w:cs="仿宋"/>
                <w:b/>
                <w:bCs w:val="0"/>
                <w:color w:val="auto"/>
                <w:sz w:val="36"/>
                <w:szCs w:val="36"/>
                <w:highlight w:val="none"/>
                <w:lang w:val="en-US" w:eastAsia="zh-CN"/>
              </w:rPr>
              <w:t xml:space="preserve"> 第六标段综合评分表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232"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rPr>
              <w:t>价格评审</w:t>
            </w:r>
            <w:r>
              <w:rPr>
                <w:rFonts w:hint="eastAsia" w:ascii="仿宋" w:hAnsi="仿宋" w:eastAsia="仿宋" w:cs="仿宋"/>
                <w:b w:val="0"/>
                <w:bCs/>
                <w:color w:val="000000"/>
                <w:kern w:val="2"/>
                <w:sz w:val="22"/>
                <w:szCs w:val="22"/>
                <w:highlight w:val="none"/>
                <w:lang w:val="en-US" w:eastAsia="zh-CN"/>
              </w:rPr>
              <w:t>（40分）</w:t>
            </w: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rPr>
            </w:pPr>
            <w:r>
              <w:rPr>
                <w:rFonts w:hint="eastAsia" w:ascii="仿宋" w:hAnsi="仿宋" w:eastAsia="仿宋" w:cs="仿宋"/>
                <w:b w:val="0"/>
                <w:bCs/>
                <w:color w:val="000000"/>
                <w:kern w:val="2"/>
                <w:sz w:val="22"/>
                <w:szCs w:val="22"/>
                <w:highlight w:val="none"/>
                <w:lang w:val="en-US"/>
              </w:rPr>
              <w:t>报价得分</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40</w:t>
            </w:r>
            <w:r>
              <w:rPr>
                <w:rFonts w:hint="eastAsia" w:ascii="仿宋" w:hAnsi="仿宋" w:eastAsia="仿宋" w:cs="仿宋"/>
                <w:b w:val="0"/>
                <w:bCs/>
                <w:color w:val="000000"/>
                <w:kern w:val="2"/>
                <w:sz w:val="22"/>
                <w:szCs w:val="22"/>
                <w:highlight w:val="none"/>
                <w:lang w:val="en-US"/>
              </w:rPr>
              <w:t>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40%×100（计算分值时，百分比按四舍五入原则，保留小数点后二位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2、对于小微企业在下浮区间内进行10 %的价格扣除制度，用扣除后的价格参与价格因素评审。同时属于小微企业、监狱企业或残疾人福利性单位的，不重复进行投标报价扣除。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2"/>
                <w:szCs w:val="22"/>
                <w:highlight w:val="none"/>
                <w:lang w:val="en-US"/>
              </w:rPr>
            </w:pPr>
            <w:r>
              <w:rPr>
                <w:rFonts w:hint="eastAsia" w:ascii="仿宋" w:hAnsi="仿宋" w:eastAsia="仿宋" w:cs="仿宋"/>
                <w:snapToGrid w:val="0"/>
                <w:color w:val="000000"/>
                <w:kern w:val="0"/>
                <w:sz w:val="22"/>
                <w:szCs w:val="20"/>
                <w:lang w:val="en-US" w:eastAsia="zh-CN" w:bidi="ar-SA"/>
              </w:rPr>
              <w:t>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1"/>
                <w:szCs w:val="21"/>
                <w:highlight w:val="none"/>
                <w:lang w:val="en-US" w:eastAsia="zh-CN"/>
              </w:rPr>
              <w:t>商务评审（35分）</w:t>
            </w:r>
          </w:p>
        </w:tc>
        <w:tc>
          <w:tcPr>
            <w:tcW w:w="1407" w:type="dxa"/>
            <w:vMerge w:val="restart"/>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履约能力</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3分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投标人需提供所投商品的货源保障、进货渠道等证明材料得3分（此项需提供与投标商品一致的近一年内进货合同和发票为1套完整的资料，提供不全或不提供不得分）满分3分。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0"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widowControl/>
              <w:suppressLineNumbers w:val="0"/>
              <w:adjustRightInd w:val="0"/>
              <w:spacing w:before="0" w:beforeAutospacing="0" w:after="0" w:afterAutospacing="0" w:line="360" w:lineRule="auto"/>
              <w:ind w:right="0" w:firstLine="220" w:firstLineChars="10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10分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投标企业符合相关食品安全规定和卫生合格的专用冷藏车或保鲜车运输及配送。自有冷藏车或保鲜车（每车配一名司机）：提供1台得2分，满分10分；租赁冷藏车（每车配一名司机）：提供一台得1分，满分10分。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上述资料复印件加盖投标人公章并提供齐全，方可视为1辆有效车辆，提供不全或不提供不得分。备注：投标文件中的车辆与中标后履行本项目的配送车辆信息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8分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具备符合要求的冷藏和防潮仓库条件。仓库面积700㎡及以上（其中冷藏库面积400㎡以上，冷藏面积不足400㎡不得分），得8分；仓库面积400-699㎡（其中冷藏库面积400㎡以上，冷藏面积不足400㎡不得分），得4分；仓库面积399㎡及以下，不得分，满分8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备注：需提供资料</w:t>
            </w:r>
            <w:r>
              <w:rPr>
                <w:rFonts w:hint="default" w:ascii="仿宋" w:hAnsi="仿宋" w:eastAsia="仿宋" w:cs="仿宋"/>
                <w:snapToGrid w:val="0"/>
                <w:color w:val="000000"/>
                <w:kern w:val="0"/>
                <w:sz w:val="22"/>
                <w:szCs w:val="20"/>
                <w:lang w:val="en-US" w:eastAsia="zh-CN" w:bidi="ar-SA"/>
              </w:rPr>
              <w:t>①库房照片；②</w:t>
            </w:r>
            <w:r>
              <w:rPr>
                <w:rFonts w:hint="eastAsia" w:ascii="仿宋" w:hAnsi="仿宋" w:eastAsia="仿宋" w:cs="仿宋"/>
                <w:snapToGrid w:val="0"/>
                <w:color w:val="000000"/>
                <w:kern w:val="0"/>
                <w:sz w:val="22"/>
                <w:szCs w:val="20"/>
                <w:lang w:val="en-US" w:eastAsia="zh-CN" w:bidi="ar-SA"/>
              </w:rPr>
              <w:t>提供中标后在项目所在地设置投标文件中提供的相应面积仓库承诺书（格式自拟）</w:t>
            </w:r>
            <w:r>
              <w:rPr>
                <w:rFonts w:hint="default" w:ascii="仿宋" w:hAnsi="仿宋" w:eastAsia="仿宋" w:cs="仿宋"/>
                <w:snapToGrid w:val="0"/>
                <w:color w:val="000000"/>
                <w:kern w:val="0"/>
                <w:sz w:val="22"/>
                <w:szCs w:val="20"/>
                <w:lang w:val="en-US" w:eastAsia="zh-CN" w:bidi="ar-SA"/>
              </w:rPr>
              <w:t>；③产权证明或租赁合同（租赁期限截止时间不得在本项目合同终止时间前）</w:t>
            </w:r>
            <w:r>
              <w:rPr>
                <w:rFonts w:hint="eastAsia" w:ascii="仿宋" w:hAnsi="仿宋" w:eastAsia="仿宋" w:cs="仿宋"/>
                <w:snapToGrid w:val="0"/>
                <w:color w:val="000000"/>
                <w:kern w:val="0"/>
                <w:sz w:val="22"/>
                <w:szCs w:val="20"/>
                <w:lang w:val="en-US" w:eastAsia="zh-CN" w:bidi="ar-SA"/>
              </w:rPr>
              <w:t>；④提供中标后在仓库内安装监控并统一接入指定的食安康等互联网监管平台的承诺书（格式自拟）</w:t>
            </w:r>
            <w:r>
              <w:rPr>
                <w:rFonts w:hint="default" w:ascii="仿宋" w:hAnsi="仿宋" w:eastAsia="仿宋" w:cs="仿宋"/>
                <w:snapToGrid w:val="0"/>
                <w:color w:val="000000"/>
                <w:kern w:val="0"/>
                <w:sz w:val="22"/>
                <w:szCs w:val="20"/>
                <w:lang w:val="en-US" w:eastAsia="zh-CN" w:bidi="ar-SA"/>
              </w:rPr>
              <w:t>。上述</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项资料全部提供视为一套有效证明材料，提供不全或未提供不得分</w:t>
            </w:r>
            <w:r>
              <w:rPr>
                <w:rFonts w:hint="eastAsia"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投标人具有质量管理体系认证书、职业健康安全管理体系认证书、环境管理体系认证书、食品安全管理体系认证书，提供一项得1分，不提供不得分，满分4分。备注：提供证书复印件并加盖投标人公章。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vMerge w:val="restart"/>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食品安全责任保险</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投标人针对本项目中标后，提供购买保额不低于中标总金额的食品安全责任保险承诺书得1分；没有的不得分。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食品安全主体责任</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投标企业提供</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两</w:t>
            </w:r>
            <w:r>
              <w:rPr>
                <w:rFonts w:hint="default" w:ascii="仿宋" w:hAnsi="仿宋" w:eastAsia="仿宋" w:cs="仿宋"/>
                <w:snapToGrid w:val="0"/>
                <w:color w:val="000000"/>
                <w:kern w:val="0"/>
                <w:sz w:val="22"/>
                <w:szCs w:val="20"/>
                <w:lang w:val="en-US" w:eastAsia="zh-CN" w:bidi="ar-SA"/>
              </w:rPr>
              <w:t>个月内</w:t>
            </w:r>
            <w:r>
              <w:rPr>
                <w:rFonts w:hint="eastAsia" w:ascii="仿宋" w:hAnsi="仿宋" w:eastAsia="仿宋" w:cs="仿宋"/>
                <w:snapToGrid w:val="0"/>
                <w:color w:val="000000"/>
                <w:kern w:val="0"/>
                <w:sz w:val="22"/>
                <w:szCs w:val="20"/>
                <w:lang w:val="en-US" w:eastAsia="zh-CN" w:bidi="ar-SA"/>
              </w:rPr>
              <w:t>连续30天的</w:t>
            </w:r>
            <w:r>
              <w:rPr>
                <w:rFonts w:hint="default" w:ascii="仿宋" w:hAnsi="仿宋" w:eastAsia="仿宋" w:cs="仿宋"/>
                <w:snapToGrid w:val="0"/>
                <w:color w:val="000000"/>
                <w:kern w:val="0"/>
                <w:sz w:val="22"/>
                <w:szCs w:val="20"/>
                <w:lang w:val="en-US" w:eastAsia="zh-CN" w:bidi="ar-SA"/>
              </w:rPr>
              <w:t>日管控清单，周排查报告，月调度会议纪要，得分</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分。备注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产品质量</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提供符合《中华人民共和国食品安全法》要求的官方或官方授权的第三方食品检测机构出具的检测报告（肉类、蛋类须提供兽药残留报告，其他农产品须提供农药残留报告），提供的报告无缺页漏页，质量检测结果必须是合格的，并且检测报告结果符合参数要求，不得提供虚假检验检测报告，提供得5分，否则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备注：提供检测机构的检测资质复印件（检测机构盖章），提供产品保质期内的检测报告，提供的检测报告日期为自开标日前6个月之内，投标文件里可放与原件相符的复印件，复印件加盖投标人公章。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技术评审</w:t>
            </w:r>
          </w:p>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（25分）</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r>
              <w:rPr>
                <w:rFonts w:hint="eastAsia" w:ascii="仿宋" w:hAnsi="仿宋" w:eastAsia="仿宋" w:cs="仿宋"/>
                <w:snapToGrid w:val="0"/>
                <w:color w:val="000000"/>
                <w:kern w:val="0"/>
                <w:sz w:val="22"/>
                <w:szCs w:val="20"/>
                <w:lang w:val="en-US" w:eastAsia="zh-CN" w:bidi="ar-SA"/>
              </w:rPr>
              <w:t>：根据所投产品的成分规格与技术指标的响应程度打分，完全满足招标要求的得3分；每有一项正偏离加1分，最高加2分；本项目</w:t>
            </w:r>
            <w:r>
              <w:rPr>
                <w:rFonts w:hint="default" w:ascii="仿宋" w:hAnsi="仿宋" w:eastAsia="仿宋" w:cs="仿宋"/>
                <w:snapToGrid w:val="0"/>
                <w:color w:val="000000"/>
                <w:kern w:val="0"/>
                <w:sz w:val="22"/>
                <w:szCs w:val="20"/>
                <w:lang w:val="en-US" w:eastAsia="zh-CN" w:bidi="ar-SA"/>
              </w:rPr>
              <w:t>技术参数</w:t>
            </w:r>
            <w:r>
              <w:rPr>
                <w:rFonts w:hint="eastAsia" w:ascii="仿宋" w:hAnsi="仿宋" w:eastAsia="仿宋" w:cs="仿宋"/>
                <w:snapToGrid w:val="0"/>
                <w:color w:val="000000"/>
                <w:kern w:val="0"/>
                <w:sz w:val="22"/>
                <w:szCs w:val="20"/>
                <w:lang w:val="en-US" w:eastAsia="zh-CN" w:bidi="ar-SA"/>
              </w:rPr>
              <w:t>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工作人员配备</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6分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w:t>
            </w:r>
            <w:r>
              <w:rPr>
                <w:rFonts w:hint="default" w:ascii="仿宋" w:hAnsi="仿宋" w:eastAsia="仿宋" w:cs="仿宋"/>
                <w:snapToGrid w:val="0"/>
                <w:color w:val="000000"/>
                <w:kern w:val="0"/>
                <w:sz w:val="22"/>
                <w:szCs w:val="20"/>
                <w:lang w:val="en-US" w:eastAsia="zh-CN" w:bidi="ar-SA"/>
              </w:rPr>
              <w:t>为确保食品安全、及时处理食材订单、核对账目、食材配送等工作顺利开展，以保障学校（幼儿园）按时供餐，需配备专职的工作人员，并明确职责分工。专职人员</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分，不足</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人不得分；每增加1人加</w:t>
            </w:r>
            <w:r>
              <w:rPr>
                <w:rFonts w:hint="eastAsia" w:ascii="仿宋" w:hAnsi="仿宋" w:eastAsia="仿宋" w:cs="仿宋"/>
                <w:snapToGrid w:val="0"/>
                <w:color w:val="000000"/>
                <w:kern w:val="0"/>
                <w:sz w:val="22"/>
                <w:szCs w:val="20"/>
                <w:lang w:val="en-US" w:eastAsia="zh-CN" w:bidi="ar-SA"/>
              </w:rPr>
              <w:t>0.4</w:t>
            </w:r>
            <w:r>
              <w:rPr>
                <w:rFonts w:hint="default" w:ascii="仿宋" w:hAnsi="仿宋" w:eastAsia="仿宋" w:cs="仿宋"/>
                <w:snapToGrid w:val="0"/>
                <w:color w:val="000000"/>
                <w:kern w:val="0"/>
                <w:sz w:val="22"/>
                <w:szCs w:val="20"/>
                <w:lang w:val="en-US" w:eastAsia="zh-CN" w:bidi="ar-SA"/>
              </w:rPr>
              <w:t>分，最多加</w:t>
            </w:r>
            <w:r>
              <w:rPr>
                <w:rFonts w:hint="eastAsia" w:ascii="仿宋" w:hAnsi="仿宋" w:eastAsia="仿宋" w:cs="仿宋"/>
                <w:snapToGrid w:val="0"/>
                <w:color w:val="000000"/>
                <w:kern w:val="0"/>
                <w:sz w:val="22"/>
                <w:szCs w:val="20"/>
                <w:lang w:val="en-US" w:eastAsia="zh-CN" w:bidi="ar-SA"/>
              </w:rPr>
              <w:t>2分，满分4</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；②</w:t>
            </w:r>
            <w:r>
              <w:rPr>
                <w:rFonts w:hint="default" w:ascii="仿宋" w:hAnsi="仿宋" w:eastAsia="仿宋" w:cs="仿宋"/>
                <w:snapToGrid w:val="0"/>
                <w:color w:val="000000"/>
                <w:kern w:val="0"/>
                <w:sz w:val="22"/>
                <w:szCs w:val="20"/>
                <w:lang w:val="en-US" w:eastAsia="zh-CN" w:bidi="ar-SA"/>
              </w:rPr>
              <w:t>投标人配齐食品安全总监和食品安全员，专门负责食品安全工作，配备1名食品安全总监（1分</w:t>
            </w:r>
            <w:r>
              <w:rPr>
                <w:rFonts w:hint="eastAsia" w:ascii="仿宋" w:hAnsi="仿宋" w:eastAsia="仿宋" w:cs="仿宋"/>
                <w:snapToGrid w:val="0"/>
                <w:color w:val="000000"/>
                <w:kern w:val="0"/>
                <w:sz w:val="22"/>
                <w:szCs w:val="20"/>
                <w:lang w:val="en-US" w:eastAsia="zh-CN" w:bidi="ar-SA"/>
              </w:rPr>
              <w:t>），配备1名食品安全员</w:t>
            </w:r>
            <w:r>
              <w:rPr>
                <w:rFonts w:hint="default" w:ascii="仿宋" w:hAnsi="仿宋" w:eastAsia="仿宋" w:cs="仿宋"/>
                <w:snapToGrid w:val="0"/>
                <w:color w:val="000000"/>
                <w:kern w:val="0"/>
                <w:sz w:val="22"/>
                <w:szCs w:val="20"/>
                <w:lang w:val="en-US" w:eastAsia="zh-CN" w:bidi="ar-SA"/>
              </w:rPr>
              <w:t>（</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b w:val="0"/>
                <w:bCs/>
                <w:color w:val="000000"/>
                <w:kern w:val="2"/>
                <w:sz w:val="22"/>
                <w:szCs w:val="22"/>
                <w:highlight w:val="none"/>
                <w:lang w:val="en-US" w:eastAsia="zh-CN"/>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需提供①专职工作人员</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个月内任</w:t>
            </w:r>
            <w:r>
              <w:rPr>
                <w:rFonts w:hint="eastAsia" w:ascii="仿宋" w:hAnsi="仿宋" w:eastAsia="仿宋" w:cs="仿宋"/>
                <w:snapToGrid w:val="0"/>
                <w:color w:val="000000"/>
                <w:kern w:val="0"/>
                <w:sz w:val="22"/>
                <w:szCs w:val="20"/>
                <w:lang w:val="en-US" w:eastAsia="zh-CN" w:bidi="ar-SA"/>
              </w:rPr>
              <w:t>意连续3</w:t>
            </w:r>
            <w:r>
              <w:rPr>
                <w:rFonts w:hint="default" w:ascii="仿宋" w:hAnsi="仿宋" w:eastAsia="仿宋" w:cs="仿宋"/>
                <w:snapToGrid w:val="0"/>
                <w:color w:val="000000"/>
                <w:kern w:val="0"/>
                <w:sz w:val="22"/>
                <w:szCs w:val="20"/>
                <w:lang w:val="en-US" w:eastAsia="zh-CN" w:bidi="ar-SA"/>
              </w:rPr>
              <w:t>个月缴纳社保证明</w:t>
            </w:r>
            <w:r>
              <w:rPr>
                <w:rFonts w:hint="eastAsia" w:ascii="仿宋" w:hAnsi="仿宋" w:eastAsia="仿宋" w:cs="仿宋"/>
                <w:snapToGrid w:val="0"/>
                <w:color w:val="000000"/>
                <w:kern w:val="0"/>
                <w:sz w:val="22"/>
                <w:szCs w:val="20"/>
                <w:lang w:val="en-US" w:eastAsia="zh-CN" w:bidi="ar-SA"/>
              </w:rPr>
              <w:t>材料</w:t>
            </w:r>
            <w:r>
              <w:rPr>
                <w:rFonts w:hint="default" w:ascii="仿宋" w:hAnsi="仿宋" w:eastAsia="仿宋" w:cs="仿宋"/>
                <w:snapToGrid w:val="0"/>
                <w:color w:val="000000"/>
                <w:kern w:val="0"/>
                <w:sz w:val="22"/>
                <w:szCs w:val="20"/>
                <w:lang w:val="en-US" w:eastAsia="zh-CN" w:bidi="ar-SA"/>
              </w:rPr>
              <w:t>和劳务合同；②</w:t>
            </w:r>
            <w:r>
              <w:rPr>
                <w:rFonts w:hint="eastAsia" w:ascii="仿宋" w:hAnsi="仿宋" w:eastAsia="仿宋" w:cs="仿宋"/>
                <w:snapToGrid w:val="0"/>
                <w:color w:val="000000"/>
                <w:kern w:val="0"/>
                <w:sz w:val="22"/>
                <w:szCs w:val="20"/>
                <w:lang w:val="en-US" w:eastAsia="zh-CN" w:bidi="ar-SA"/>
              </w:rPr>
              <w:t>有效期内的</w:t>
            </w:r>
            <w:r>
              <w:rPr>
                <w:rFonts w:hint="default" w:ascii="仿宋" w:hAnsi="仿宋" w:eastAsia="仿宋" w:cs="仿宋"/>
                <w:snapToGrid w:val="0"/>
                <w:color w:val="000000"/>
                <w:kern w:val="0"/>
                <w:sz w:val="22"/>
                <w:szCs w:val="20"/>
                <w:lang w:val="en-US" w:eastAsia="zh-CN" w:bidi="ar-SA"/>
              </w:rPr>
              <w:t>健康证明；③身份证</w:t>
            </w:r>
            <w:r>
              <w:rPr>
                <w:rFonts w:hint="eastAsia" w:ascii="仿宋" w:hAnsi="仿宋" w:eastAsia="仿宋" w:cs="仿宋"/>
                <w:snapToGrid w:val="0"/>
                <w:color w:val="000000"/>
                <w:kern w:val="0"/>
                <w:sz w:val="22"/>
                <w:szCs w:val="20"/>
                <w:lang w:val="en-US" w:eastAsia="zh-CN" w:bidi="ar-SA"/>
              </w:rPr>
              <w:t>扫描件</w:t>
            </w:r>
            <w:r>
              <w:rPr>
                <w:rFonts w:hint="default" w:ascii="仿宋" w:hAnsi="仿宋" w:eastAsia="仿宋" w:cs="仿宋"/>
                <w:snapToGrid w:val="0"/>
                <w:color w:val="000000"/>
                <w:kern w:val="0"/>
                <w:sz w:val="22"/>
                <w:szCs w:val="20"/>
                <w:lang w:val="en-US" w:eastAsia="zh-CN" w:bidi="ar-SA"/>
              </w:rPr>
              <w:t>。以上3项材料每人需全部提供方可得分，按照提供完整资料的人数计算打分，提供资料不全的不得分</w:t>
            </w:r>
            <w:r>
              <w:rPr>
                <w:rFonts w:hint="eastAsia" w:ascii="仿宋" w:hAnsi="仿宋" w:eastAsia="仿宋" w:cs="仿宋"/>
                <w:snapToGrid w:val="0"/>
                <w:color w:val="000000"/>
                <w:kern w:val="0"/>
                <w:sz w:val="22"/>
                <w:szCs w:val="20"/>
                <w:lang w:val="en-US" w:eastAsia="zh-CN" w:bidi="ar-SA"/>
              </w:rPr>
              <w:t>，备注：投标文件中备案的食品安全总监、食品安全员需与中标后实际履职人员一致，未经允许不得随意更换</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配送服务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000000"/>
                <w:kern w:val="0"/>
                <w:sz w:val="22"/>
                <w:szCs w:val="20"/>
                <w:lang w:val="en-US" w:eastAsia="zh-CN" w:bidi="ar-SA"/>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食品安全保障方案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投标人提供食品生产经营企业食品安全管理制度、食品生产经营者的自查制度、食品生产者进货查验记录制度报告</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，提供不全不得分</w:t>
            </w:r>
            <w:r>
              <w:rPr>
                <w:rFonts w:hint="default" w:ascii="仿宋" w:hAnsi="仿宋" w:eastAsia="仿宋" w:cs="仿宋"/>
                <w:snapToGrid w:val="0"/>
                <w:color w:val="000000"/>
                <w:kern w:val="0"/>
                <w:sz w:val="22"/>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投标人需考虑可能发生的突发情况，制定详细、可行的食品安全保障方案，主要针对不同的情形提供不同的解决方案</w:t>
            </w:r>
            <w:r>
              <w:rPr>
                <w:rFonts w:hint="eastAsia" w:ascii="仿宋" w:hAnsi="仿宋" w:eastAsia="仿宋" w:cs="仿宋"/>
                <w:snapToGrid w:val="0"/>
                <w:color w:val="000000"/>
                <w:kern w:val="0"/>
                <w:sz w:val="22"/>
                <w:szCs w:val="20"/>
                <w:lang w:val="en-US" w:eastAsia="zh-CN" w:bidi="ar-SA"/>
              </w:rPr>
              <w:t>。包括：</w:t>
            </w:r>
            <w:r>
              <w:rPr>
                <w:rFonts w:hint="default" w:ascii="仿宋" w:hAnsi="仿宋" w:eastAsia="仿宋" w:cs="仿宋"/>
                <w:snapToGrid w:val="0"/>
                <w:color w:val="000000"/>
                <w:kern w:val="0"/>
                <w:sz w:val="22"/>
                <w:szCs w:val="20"/>
                <w:lang w:val="en-US" w:eastAsia="zh-CN" w:bidi="ar-SA"/>
              </w:rPr>
              <w:t>①食品卫生安全管理应急预案；②学生食物中毒应急预案；③防止食材未能及时送达应急预案。具有可操作性，能及时解决问题，</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w:t>
            </w:r>
            <w:r>
              <w:rPr>
                <w:rFonts w:hint="eastAsia" w:ascii="仿宋" w:hAnsi="仿宋" w:eastAsia="仿宋" w:cs="仿宋"/>
                <w:snapToGrid w:val="0"/>
                <w:color w:val="000000"/>
                <w:kern w:val="0"/>
                <w:sz w:val="22"/>
                <w:szCs w:val="20"/>
                <w:lang w:val="en-US" w:eastAsia="zh-CN" w:bidi="ar-SA"/>
              </w:rPr>
              <w:t>均</w:t>
            </w:r>
            <w:r>
              <w:rPr>
                <w:rFonts w:hint="default" w:ascii="仿宋" w:hAnsi="仿宋" w:eastAsia="仿宋" w:cs="仿宋"/>
                <w:snapToGrid w:val="0"/>
                <w:color w:val="000000"/>
                <w:kern w:val="0"/>
                <w:sz w:val="22"/>
                <w:szCs w:val="20"/>
                <w:lang w:val="en-US" w:eastAsia="zh-CN" w:bidi="ar-SA"/>
              </w:rPr>
              <w:t>提供印证资料，如不提供不得分）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库房</w:t>
            </w:r>
            <w:r>
              <w:rPr>
                <w:rFonts w:hint="default" w:ascii="仿宋" w:hAnsi="仿宋" w:eastAsia="仿宋" w:cs="仿宋"/>
                <w:snapToGrid w:val="0"/>
                <w:color w:val="000000"/>
                <w:kern w:val="0"/>
                <w:sz w:val="22"/>
                <w:szCs w:val="20"/>
                <w:lang w:val="en-US" w:eastAsia="zh-CN" w:bidi="ar-SA"/>
              </w:rPr>
              <w:t>安全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管理</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①有温湿度监测设备</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通风换气设备得0.5分；</w:t>
            </w:r>
            <w:r>
              <w:rPr>
                <w:rFonts w:hint="eastAsia" w:ascii="仿宋" w:hAnsi="仿宋" w:eastAsia="仿宋" w:cs="仿宋"/>
                <w:snapToGrid w:val="0"/>
                <w:color w:val="000000"/>
                <w:kern w:val="0"/>
                <w:sz w:val="22"/>
                <w:szCs w:val="20"/>
                <w:lang w:val="en-US" w:eastAsia="zh-CN" w:bidi="ar-SA"/>
              </w:rPr>
              <w:t>②有紫外线消毒设备</w:t>
            </w:r>
            <w:r>
              <w:rPr>
                <w:rFonts w:hint="default" w:ascii="仿宋" w:hAnsi="仿宋" w:eastAsia="仿宋" w:cs="仿宋"/>
                <w:snapToGrid w:val="0"/>
                <w:color w:val="000000"/>
                <w:kern w:val="0"/>
                <w:sz w:val="22"/>
                <w:szCs w:val="20"/>
                <w:lang w:val="en-US" w:eastAsia="zh-CN" w:bidi="ar-SA"/>
              </w:rPr>
              <w:t>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③商品分区</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分架</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分类存放得0.5分；④货物离墙离地10</w:t>
            </w:r>
            <w:r>
              <w:rPr>
                <w:rFonts w:hint="eastAsia" w:ascii="仿宋" w:hAnsi="仿宋" w:eastAsia="仿宋" w:cs="仿宋"/>
                <w:snapToGrid w:val="0"/>
                <w:color w:val="000000"/>
                <w:kern w:val="0"/>
                <w:sz w:val="22"/>
                <w:szCs w:val="20"/>
                <w:lang w:val="en-US" w:eastAsia="zh-CN" w:bidi="ar-SA"/>
              </w:rPr>
              <w:t>cm</w:t>
            </w:r>
            <w:r>
              <w:rPr>
                <w:rFonts w:hint="default" w:ascii="仿宋" w:hAnsi="仿宋" w:eastAsia="仿宋" w:cs="仿宋"/>
                <w:snapToGrid w:val="0"/>
                <w:color w:val="000000"/>
                <w:kern w:val="0"/>
                <w:sz w:val="22"/>
                <w:szCs w:val="20"/>
                <w:lang w:val="en-US" w:eastAsia="zh-CN" w:bidi="ar-SA"/>
              </w:rPr>
              <w:t>以上存放得0.5分；⑤有防尘、防鼠、防虫设施得0.5分；⑥货物在不同区域有明显标识得0.5分；⑦散装食品有单独的盛装容器得0.5分；⑧货物在贮存位置标明食品的名称、生产日期、保质期、供货商及联系方式内容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每一项内容提供</w:t>
            </w:r>
            <w:r>
              <w:rPr>
                <w:rFonts w:hint="eastAsia" w:ascii="仿宋" w:hAnsi="仿宋" w:eastAsia="仿宋" w:cs="仿宋"/>
                <w:snapToGrid w:val="0"/>
                <w:color w:val="000000"/>
                <w:kern w:val="0"/>
                <w:sz w:val="22"/>
                <w:szCs w:val="20"/>
                <w:lang w:val="en-US" w:eastAsia="zh-CN" w:bidi="ar-SA"/>
              </w:rPr>
              <w:t>与实际一致的图片等</w:t>
            </w:r>
            <w:r>
              <w:rPr>
                <w:rFonts w:hint="default" w:ascii="仿宋" w:hAnsi="仿宋" w:eastAsia="仿宋" w:cs="仿宋"/>
                <w:snapToGrid w:val="0"/>
                <w:color w:val="000000"/>
                <w:kern w:val="0"/>
                <w:sz w:val="22"/>
                <w:szCs w:val="20"/>
                <w:lang w:val="en-US" w:eastAsia="zh-CN" w:bidi="ar-SA"/>
              </w:rPr>
              <w:t>印证资料，如不提供不得分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售后服务</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①投标企业需提供售后服务点（包含：场地彩色照片、自有产权或租赁合同等证明文件（签订日期在开标前 6 个月内的租赁合同视为临时合同，不计入评分），提供资料齐全得2分，提供不全或不提供不得分。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r>
              <w:rPr>
                <w:rFonts w:hint="eastAsia" w:ascii="方正仿宋简体" w:hAnsi="方正仿宋简体" w:eastAsia="方正仿宋简体" w:cs="方正仿宋简体"/>
                <w:color w:val="auto"/>
                <w:sz w:val="32"/>
                <w:szCs w:val="32"/>
                <w:highlight w:val="none"/>
                <w:lang w:val="en-US" w:eastAsia="zh-CN"/>
              </w:rPr>
              <w:br w:type="textWrapping"/>
            </w:r>
            <w:r>
              <w:rPr>
                <w:rFonts w:hint="eastAsia" w:ascii="仿宋" w:hAnsi="仿宋" w:eastAsia="仿宋" w:cs="仿宋"/>
                <w:snapToGrid w:val="0"/>
                <w:color w:val="000000"/>
                <w:kern w:val="0"/>
                <w:sz w:val="22"/>
                <w:szCs w:val="20"/>
                <w:lang w:val="en-US" w:eastAsia="zh-CN" w:bidi="ar-SA"/>
              </w:rPr>
              <w:t>备注：需提供售后服务点及场地彩色照片、自有产权或租赁合同等证明文件（截止开标前6个月内签订的租赁合同视为临时合同，不计入评分），未提供不得分，以上得分不重复计分。</w:t>
            </w:r>
          </w:p>
        </w:tc>
      </w:tr>
    </w:tbl>
    <w:p>
      <w:pPr>
        <w:jc w:val="both"/>
        <w:rPr>
          <w:rFonts w:ascii="Arial" w:hAnsi="Arial" w:eastAsia="Arial" w:cs="Arial"/>
          <w:sz w:val="21"/>
          <w:szCs w:val="21"/>
        </w:rPr>
        <w:sectPr>
          <w:footerReference r:id="rId44" w:type="default"/>
          <w:pgSz w:w="11907" w:h="16840"/>
          <w:pgMar w:top="1440" w:right="1800" w:bottom="1440" w:left="1800" w:header="0" w:footer="1085" w:gutter="0"/>
          <w:pgBorders>
            <w:top w:val="single" w:color="auto" w:sz="4" w:space="1"/>
            <w:left w:val="none" w:sz="0" w:space="0"/>
            <w:bottom w:val="none" w:sz="0" w:space="0"/>
            <w:right w:val="none" w:sz="0" w:space="0"/>
          </w:pgBorders>
          <w:pgNumType w:fmt="decimal"/>
          <w:cols w:space="720" w:num="1"/>
        </w:sectPr>
      </w:pPr>
    </w:p>
    <w:p>
      <w:pPr>
        <w:spacing w:line="243" w:lineRule="auto"/>
        <w:rPr>
          <w:rFonts w:hint="eastAsia" w:ascii="仿宋" w:hAnsi="仿宋" w:eastAsia="仿宋" w:cs="仿宋"/>
          <w:sz w:val="21"/>
        </w:rPr>
      </w:pPr>
    </w:p>
    <w:p>
      <w:pPr>
        <w:pStyle w:val="6"/>
        <w:ind w:left="0" w:leftChars="0" w:firstLine="0" w:firstLineChars="0"/>
        <w:jc w:val="both"/>
        <w:outlineLvl w:val="0"/>
        <w:rPr>
          <w:rFonts w:hint="eastAsia"/>
          <w:lang w:val="en-US"/>
        </w:rPr>
      </w:pPr>
      <w:r>
        <w:rPr>
          <w:rFonts w:hint="eastAsia" w:ascii="仿宋" w:hAnsi="仿宋" w:eastAsia="仿宋" w:cs="仿宋"/>
          <w:b/>
          <w:bCs/>
          <w:snapToGrid w:val="0"/>
          <w:color w:val="000000"/>
          <w:spacing w:val="5"/>
          <w:kern w:val="0"/>
          <w:sz w:val="48"/>
          <w:szCs w:val="48"/>
          <w:lang w:val="en-US" w:eastAsia="zh-CN" w:bidi="ar-SA"/>
        </w:rPr>
        <w:t>莎车县教育系统2025年中职、高中学校食堂食材联合采购项目第4、5、6标段</w:t>
      </w:r>
    </w:p>
    <w:p>
      <w:pPr>
        <w:rPr>
          <w:rFonts w:hint="eastAsia"/>
          <w:lang w:val="en-US"/>
        </w:rPr>
      </w:pPr>
    </w:p>
    <w:p>
      <w:pPr>
        <w:pStyle w:val="6"/>
        <w:rPr>
          <w:rFonts w:hint="eastAsia"/>
          <w:lang w:val="en-US"/>
        </w:rPr>
      </w:pPr>
    </w:p>
    <w:p>
      <w:pPr>
        <w:pStyle w:val="6"/>
        <w:ind w:left="0" w:leftChars="0" w:firstLine="0" w:firstLineChars="0"/>
        <w:rPr>
          <w:rFonts w:hint="eastAsia"/>
          <w:lang w:val="en-US"/>
        </w:rPr>
      </w:pPr>
    </w:p>
    <w:p>
      <w:pPr>
        <w:pStyle w:val="9"/>
        <w:spacing w:before="57" w:line="224" w:lineRule="auto"/>
        <w:jc w:val="center"/>
        <w:outlineLvl w:val="0"/>
        <w:rPr>
          <w:rFonts w:hint="eastAsia" w:ascii="仿宋" w:hAnsi="仿宋" w:eastAsia="仿宋" w:cs="仿宋"/>
          <w:sz w:val="40"/>
          <w:szCs w:val="40"/>
        </w:rPr>
      </w:pPr>
      <w:bookmarkStart w:id="186" w:name="_Toc4982"/>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186"/>
    </w:p>
    <w:p>
      <w:pPr>
        <w:spacing w:line="354" w:lineRule="auto"/>
        <w:rPr>
          <w:rFonts w:hint="eastAsia" w:ascii="仿宋" w:hAnsi="仿宋" w:eastAsia="仿宋" w:cs="仿宋"/>
          <w:sz w:val="21"/>
        </w:rPr>
      </w:pPr>
    </w:p>
    <w:p>
      <w:pPr>
        <w:spacing w:line="316" w:lineRule="auto"/>
        <w:rPr>
          <w:rFonts w:hint="eastAsia" w:ascii="仿宋" w:hAnsi="仿宋" w:eastAsia="仿宋" w:cs="仿宋"/>
          <w:sz w:val="21"/>
        </w:rPr>
      </w:pPr>
    </w:p>
    <w:p>
      <w:pPr>
        <w:pStyle w:val="9"/>
        <w:rPr>
          <w:rFonts w:hint="eastAsia" w:ascii="仿宋" w:hAnsi="仿宋" w:eastAsia="仿宋" w:cs="仿宋"/>
          <w:sz w:val="21"/>
        </w:rPr>
      </w:pPr>
    </w:p>
    <w:p>
      <w:pPr>
        <w:pStyle w:val="28"/>
        <w:rPr>
          <w:rFonts w:hint="eastAsia" w:ascii="仿宋" w:hAnsi="仿宋" w:eastAsia="仿宋" w:cs="仿宋"/>
          <w:sz w:val="21"/>
        </w:rPr>
      </w:pPr>
    </w:p>
    <w:p>
      <w:pPr>
        <w:spacing w:line="360" w:lineRule="auto"/>
        <w:rPr>
          <w:rFonts w:hint="eastAsia" w:ascii="仿宋" w:hAnsi="仿宋" w:eastAsia="仿宋" w:cs="仿宋"/>
        </w:rPr>
      </w:pPr>
    </w:p>
    <w:p>
      <w:pPr>
        <w:adjustRightInd w:val="0"/>
        <w:spacing w:line="336" w:lineRule="auto"/>
        <w:ind w:firstLine="1375" w:firstLineChars="500"/>
        <w:rPr>
          <w:rFonts w:hint="default" w:ascii="仿宋" w:hAnsi="仿宋" w:eastAsia="仿宋" w:cs="仿宋"/>
          <w:b/>
          <w:bCs/>
          <w:lang w:val="en-US" w:eastAsia="zh-CN"/>
        </w:rPr>
      </w:pPr>
      <w:r>
        <w:rPr>
          <w:rFonts w:hint="eastAsia" w:ascii="仿宋" w:hAnsi="仿宋" w:eastAsia="仿宋" w:cs="仿宋"/>
          <w:b/>
          <w:bCs/>
          <w:snapToGrid w:val="0"/>
          <w:color w:val="000000"/>
          <w:spacing w:val="-3"/>
          <w:kern w:val="0"/>
          <w:sz w:val="28"/>
          <w:szCs w:val="28"/>
          <w:lang w:val="en-US" w:eastAsia="en-US" w:bidi="ar-SA"/>
        </w:rPr>
        <w:t xml:space="preserve">项目编号： </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default" w:ascii="仿宋" w:hAnsi="仿宋" w:eastAsia="仿宋" w:cs="仿宋"/>
          <w:b/>
          <w:bCs/>
          <w:color w:val="auto"/>
          <w:sz w:val="24"/>
          <w:szCs w:val="24"/>
          <w:u w:val="single"/>
          <w:lang w:val="en-US" w:eastAsia="zh-CN"/>
        </w:rPr>
        <w:t>KSSCX(GK)202</w:t>
      </w:r>
      <w:r>
        <w:rPr>
          <w:rFonts w:hint="eastAsia" w:ascii="仿宋" w:hAnsi="仿宋" w:eastAsia="仿宋" w:cs="仿宋"/>
          <w:b/>
          <w:bCs/>
          <w:color w:val="auto"/>
          <w:sz w:val="24"/>
          <w:szCs w:val="24"/>
          <w:u w:val="single"/>
          <w:lang w:val="en-US" w:eastAsia="zh-CN"/>
        </w:rPr>
        <w:t>5</w:t>
      </w:r>
      <w:r>
        <w:rPr>
          <w:rFonts w:hint="default" w:ascii="仿宋" w:hAnsi="仿宋" w:eastAsia="仿宋" w:cs="仿宋"/>
          <w:b/>
          <w:bCs/>
          <w:color w:val="auto"/>
          <w:sz w:val="24"/>
          <w:szCs w:val="24"/>
          <w:u w:val="single"/>
          <w:lang w:val="en-US" w:eastAsia="zh-CN"/>
        </w:rPr>
        <w:t>-</w:t>
      </w:r>
      <w:r>
        <w:rPr>
          <w:rFonts w:hint="eastAsia" w:ascii="仿宋" w:hAnsi="仿宋" w:eastAsia="仿宋" w:cs="仿宋"/>
          <w:b/>
          <w:bCs/>
          <w:color w:val="auto"/>
          <w:sz w:val="24"/>
          <w:szCs w:val="24"/>
          <w:u w:val="single"/>
          <w:lang w:val="en-US" w:eastAsia="zh-CN"/>
        </w:rPr>
        <w:t>015</w:t>
      </w:r>
      <w:r>
        <w:rPr>
          <w:rFonts w:hint="default" w:ascii="仿宋" w:hAnsi="仿宋" w:eastAsia="仿宋" w:cs="仿宋"/>
          <w:b/>
          <w:bCs/>
          <w:color w:val="auto"/>
          <w:sz w:val="24"/>
          <w:szCs w:val="24"/>
          <w:u w:val="single"/>
          <w:lang w:val="en-US" w:eastAsia="zh-CN"/>
        </w:rPr>
        <w:t>号</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u w:val="single" w:color="auto"/>
          <w:lang w:val="en-US" w:eastAsia="zh-CN"/>
        </w:rPr>
        <w:t xml:space="preserve"> </w:t>
      </w:r>
    </w:p>
    <w:p>
      <w:pPr>
        <w:pStyle w:val="9"/>
        <w:spacing w:before="213" w:line="360" w:lineRule="auto"/>
        <w:ind w:left="1420"/>
        <w:rPr>
          <w:rFonts w:hint="default" w:ascii="仿宋" w:hAnsi="仿宋" w:eastAsia="仿宋" w:cs="仿宋"/>
          <w:b/>
          <w:bCs/>
          <w:lang w:val="en-US"/>
        </w:rPr>
      </w:pPr>
      <w:r>
        <w:rPr>
          <w:rFonts w:hint="eastAsia" w:ascii="仿宋" w:hAnsi="仿宋" w:eastAsia="仿宋" w:cs="仿宋"/>
          <w:b/>
          <w:bCs/>
          <w:spacing w:val="-3"/>
        </w:rPr>
        <w:t>采购单位：</w:t>
      </w:r>
      <w:r>
        <w:rPr>
          <w:rFonts w:hint="eastAsia" w:ascii="仿宋" w:hAnsi="仿宋" w:eastAsia="仿宋" w:cs="仿宋"/>
          <w:b/>
          <w:bCs/>
          <w:spacing w:val="-3"/>
          <w:u w:val="single" w:color="auto"/>
        </w:rPr>
        <w:t xml:space="preserve">   </w:t>
      </w:r>
      <w:r>
        <w:rPr>
          <w:rFonts w:hint="eastAsia" w:ascii="仿宋" w:hAnsi="仿宋" w:eastAsia="仿宋" w:cs="仿宋"/>
          <w:b/>
          <w:bCs/>
          <w:spacing w:val="-3"/>
          <w:u w:val="single" w:color="auto"/>
          <w:lang w:val="en-US" w:eastAsia="zh-CN"/>
        </w:rPr>
        <w:t xml:space="preserve">       </w:t>
      </w:r>
      <w:r>
        <w:rPr>
          <w:rFonts w:hint="eastAsia" w:ascii="仿宋" w:hAnsi="仿宋" w:eastAsia="仿宋" w:cs="仿宋"/>
          <w:b/>
          <w:bCs/>
          <w:spacing w:val="-3"/>
          <w:u w:val="single" w:color="auto"/>
          <w:lang w:eastAsia="zh-CN"/>
        </w:rPr>
        <w:t>莎车县教育局</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p>
    <w:p>
      <w:pPr>
        <w:pStyle w:val="9"/>
        <w:spacing w:before="212" w:line="360" w:lineRule="auto"/>
        <w:ind w:left="1427"/>
        <w:rPr>
          <w:rFonts w:hint="default" w:ascii="仿宋" w:hAnsi="仿宋" w:eastAsia="仿宋" w:cs="仿宋"/>
          <w:b/>
          <w:bCs/>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spacing w:val="-2"/>
          <w:u w:val="single" w:color="auto"/>
          <w:lang w:eastAsia="zh-CN"/>
        </w:rPr>
        <w:t>18699857582</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p>
    <w:p>
      <w:pPr>
        <w:pStyle w:val="9"/>
        <w:spacing w:before="209" w:line="360" w:lineRule="auto"/>
        <w:ind w:left="1420"/>
        <w:rPr>
          <w:rFonts w:hint="default" w:ascii="仿宋" w:hAnsi="仿宋" w:eastAsia="仿宋" w:cs="仿宋"/>
          <w:b/>
          <w:bCs/>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z w:val="24"/>
          <w:szCs w:val="24"/>
          <w:u w:val="single"/>
          <w:lang w:eastAsia="zh-CN"/>
        </w:rPr>
        <w:t>莎车县</w:t>
      </w:r>
      <w:r>
        <w:rPr>
          <w:rFonts w:hint="eastAsia" w:ascii="仿宋" w:hAnsi="仿宋" w:eastAsia="仿宋" w:cs="仿宋"/>
          <w:b/>
          <w:bCs/>
          <w:sz w:val="24"/>
          <w:szCs w:val="24"/>
          <w:u w:val="single"/>
          <w:lang w:val="en-US" w:eastAsia="zh-CN"/>
        </w:rPr>
        <w:t>政府</w:t>
      </w:r>
      <w:r>
        <w:rPr>
          <w:rFonts w:hint="eastAsia" w:ascii="仿宋" w:hAnsi="仿宋" w:eastAsia="仿宋" w:cs="仿宋"/>
          <w:b/>
          <w:bCs/>
          <w:sz w:val="24"/>
          <w:szCs w:val="24"/>
          <w:u w:val="single"/>
          <w:lang w:eastAsia="zh-CN"/>
        </w:rPr>
        <w:t>采购中心</w:t>
      </w:r>
      <w:r>
        <w:rPr>
          <w:rFonts w:hint="eastAsia" w:ascii="仿宋" w:hAnsi="仿宋" w:eastAsia="仿宋" w:cs="仿宋"/>
          <w:b/>
          <w:bCs/>
          <w:spacing w:val="-3"/>
          <w:u w:val="single"/>
          <w:lang w:val="en-US" w:eastAsia="zh-CN"/>
        </w:rPr>
        <w:t xml:space="preserve">       </w:t>
      </w:r>
    </w:p>
    <w:p>
      <w:pPr>
        <w:pStyle w:val="9"/>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b/>
          <w:bCs/>
          <w:spacing w:val="19"/>
        </w:rPr>
        <w:t xml:space="preserve"> </w:t>
      </w:r>
      <w:r>
        <w:rPr>
          <w:rFonts w:hint="eastAsia" w:ascii="仿宋" w:hAnsi="仿宋" w:eastAsia="仿宋" w:cs="仿宋"/>
          <w:b/>
          <w:bCs/>
          <w:spacing w:val="-12"/>
        </w:rPr>
        <w:t>系</w:t>
      </w:r>
      <w:r>
        <w:rPr>
          <w:rFonts w:hint="eastAsia" w:ascii="仿宋" w:hAnsi="仿宋" w:eastAsia="仿宋" w:cs="仿宋"/>
          <w:b/>
          <w:bCs/>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牛 雪    </w:t>
      </w:r>
      <w:r>
        <w:rPr>
          <w:rFonts w:hint="eastAsia" w:ascii="仿宋" w:hAnsi="仿宋" w:eastAsia="仿宋" w:cs="仿宋"/>
          <w:b/>
          <w:bCs/>
          <w:u w:val="single" w:color="auto"/>
        </w:rPr>
        <w:t xml:space="preserve">           </w:t>
      </w:r>
    </w:p>
    <w:p>
      <w:pPr>
        <w:widowControl/>
        <w:spacing w:line="336" w:lineRule="auto"/>
        <w:ind w:firstLine="1543" w:firstLineChars="600"/>
        <w:textAlignment w:val="baseline"/>
        <w:rPr>
          <w:rFonts w:hint="default" w:ascii="仿宋" w:hAnsi="仿宋" w:eastAsia="仿宋" w:cs="仿宋"/>
          <w:b/>
          <w:bCs/>
          <w:spacing w:val="5"/>
          <w:u w:val="single" w:color="auto"/>
          <w:lang w:val="en-US" w:eastAsia="zh-CN"/>
        </w:rPr>
      </w:pPr>
      <w:r>
        <w:rPr>
          <w:rFonts w:hint="eastAsia" w:ascii="仿宋" w:hAnsi="仿宋" w:eastAsia="仿宋" w:cs="仿宋"/>
          <w:b/>
          <w:bCs/>
          <w:snapToGrid w:val="0"/>
          <w:color w:val="000000"/>
          <w:spacing w:val="-12"/>
          <w:kern w:val="0"/>
          <w:sz w:val="28"/>
          <w:szCs w:val="28"/>
          <w:lang w:val="en-US" w:eastAsia="en-US" w:bidi="ar-SA"/>
        </w:rPr>
        <w:t>联系电话：</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napToGrid w:val="0"/>
          <w:color w:val="000000"/>
          <w:spacing w:val="-2"/>
          <w:kern w:val="0"/>
          <w:sz w:val="28"/>
          <w:szCs w:val="28"/>
          <w:u w:val="single" w:color="auto"/>
          <w:lang w:val="en-US" w:eastAsia="zh-CN" w:bidi="ar-SA"/>
        </w:rPr>
        <w:t xml:space="preserve"> </w:t>
      </w:r>
      <w:r>
        <w:rPr>
          <w:rFonts w:hint="default" w:ascii="仿宋" w:hAnsi="仿宋" w:eastAsia="仿宋" w:cs="仿宋"/>
          <w:b/>
          <w:bCs/>
          <w:snapToGrid w:val="0"/>
          <w:color w:val="000000"/>
          <w:spacing w:val="-2"/>
          <w:kern w:val="0"/>
          <w:sz w:val="28"/>
          <w:szCs w:val="28"/>
          <w:u w:val="single" w:color="auto"/>
          <w:lang w:val="en-US" w:eastAsia="zh-CN" w:bidi="ar-SA"/>
        </w:rPr>
        <w:t>0998-8512672</w:t>
      </w:r>
      <w:r>
        <w:rPr>
          <w:rFonts w:hint="eastAsia" w:ascii="仿宋" w:hAnsi="仿宋" w:eastAsia="仿宋" w:cs="仿宋"/>
          <w:b/>
          <w:bCs/>
          <w:snapToGrid w:val="0"/>
          <w:color w:val="000000"/>
          <w:spacing w:val="-2"/>
          <w:kern w:val="0"/>
          <w:sz w:val="28"/>
          <w:szCs w:val="28"/>
          <w:u w:val="single" w:color="auto"/>
          <w:lang w:val="en-US" w:eastAsia="zh-CN" w:bidi="ar-SA"/>
        </w:rPr>
        <w:t xml:space="preserve">   </w:t>
      </w:r>
      <w:r>
        <w:rPr>
          <w:rFonts w:hint="eastAsia" w:ascii="仿宋" w:hAnsi="仿宋" w:eastAsia="仿宋" w:cs="仿宋"/>
          <w:b/>
          <w:bCs/>
          <w:spacing w:val="5"/>
          <w:u w:val="single" w:color="auto"/>
          <w:lang w:val="en-US" w:eastAsia="zh-CN"/>
        </w:rPr>
        <w:t xml:space="preserve">        </w:t>
      </w:r>
    </w:p>
    <w:p>
      <w:pPr>
        <w:spacing w:line="247" w:lineRule="auto"/>
        <w:rPr>
          <w:rFonts w:hint="eastAsia" w:ascii="仿宋" w:hAnsi="仿宋" w:eastAsia="仿宋" w:cs="仿宋"/>
          <w:sz w:val="21"/>
        </w:rPr>
      </w:pPr>
    </w:p>
    <w:p>
      <w:pPr>
        <w:spacing w:line="248" w:lineRule="auto"/>
        <w:rPr>
          <w:rFonts w:hint="eastAsia" w:ascii="仿宋" w:hAnsi="仿宋" w:eastAsia="仿宋" w:cs="仿宋"/>
          <w:sz w:val="21"/>
        </w:rPr>
      </w:pPr>
    </w:p>
    <w:p>
      <w:pPr>
        <w:spacing w:line="248" w:lineRule="auto"/>
        <w:rPr>
          <w:rFonts w:hint="eastAsia" w:ascii="仿宋" w:hAnsi="仿宋" w:eastAsia="仿宋" w:cs="仿宋"/>
          <w:sz w:val="21"/>
        </w:rPr>
      </w:pPr>
    </w:p>
    <w:p>
      <w:pPr>
        <w:pStyle w:val="6"/>
        <w:rPr>
          <w:rFonts w:hint="eastAsia" w:ascii="仿宋" w:hAnsi="仿宋" w:eastAsia="仿宋" w:cs="仿宋"/>
          <w:sz w:val="21"/>
        </w:rPr>
      </w:pPr>
    </w:p>
    <w:p>
      <w:pPr>
        <w:rPr>
          <w:rFonts w:hint="eastAsia"/>
        </w:rPr>
      </w:pPr>
    </w:p>
    <w:p>
      <w:pPr>
        <w:pStyle w:val="6"/>
        <w:rPr>
          <w:rFonts w:hint="eastAsia"/>
        </w:rPr>
      </w:pPr>
    </w:p>
    <w:p>
      <w:pPr>
        <w:pStyle w:val="9"/>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p>
    <w:p>
      <w:pPr>
        <w:spacing w:line="225" w:lineRule="auto"/>
        <w:rPr>
          <w:rFonts w:hint="eastAsia" w:ascii="仿宋" w:hAnsi="仿宋" w:eastAsia="仿宋" w:cs="仿宋"/>
          <w:sz w:val="31"/>
          <w:szCs w:val="31"/>
        </w:rPr>
        <w:sectPr>
          <w:headerReference r:id="rId45" w:type="default"/>
          <w:footerReference r:id="rId46" w:type="default"/>
          <w:pgSz w:w="11906" w:h="16839"/>
          <w:pgMar w:top="1440" w:right="1800" w:bottom="1440" w:left="1800" w:header="1134" w:footer="850" w:gutter="0"/>
          <w:pgBorders>
            <w:top w:val="single" w:color="auto" w:sz="4" w:space="1"/>
            <w:left w:val="none" w:sz="0" w:space="0"/>
            <w:bottom w:val="none" w:sz="0" w:space="0"/>
            <w:right w:val="none" w:sz="0" w:space="0"/>
          </w:pgBorders>
          <w:pgNumType w:fmt="decimal"/>
          <w:cols w:space="720" w:num="1"/>
        </w:sectPr>
      </w:pPr>
    </w:p>
    <w:p>
      <w:pPr>
        <w:pStyle w:val="9"/>
        <w:spacing w:before="100" w:line="224" w:lineRule="auto"/>
        <w:ind w:left="2733"/>
        <w:outlineLvl w:val="0"/>
        <w:rPr>
          <w:rFonts w:hint="eastAsia" w:ascii="仿宋" w:hAnsi="仿宋" w:eastAsia="仿宋" w:cs="仿宋"/>
          <w:sz w:val="31"/>
          <w:szCs w:val="31"/>
        </w:rPr>
      </w:pPr>
      <w:bookmarkStart w:id="187" w:name="_Toc1145"/>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187"/>
    </w:p>
    <w:p>
      <w:pPr>
        <w:spacing w:line="360" w:lineRule="auto"/>
        <w:rPr>
          <w:rFonts w:hint="eastAsia" w:ascii="仿宋" w:hAnsi="仿宋" w:eastAsia="仿宋" w:cs="仿宋"/>
          <w:sz w:val="21"/>
        </w:rPr>
      </w:pPr>
    </w:p>
    <w:p>
      <w:pPr>
        <w:pStyle w:val="9"/>
        <w:spacing w:after="0"/>
        <w:jc w:val="center"/>
        <w:rPr>
          <w:rFonts w:ascii="宋体" w:hAnsi="宋体" w:cs="宋体"/>
          <w:b/>
          <w:bCs/>
          <w:spacing w:val="-20"/>
          <w:kern w:val="44"/>
          <w:sz w:val="48"/>
          <w:szCs w:val="48"/>
        </w:rPr>
      </w:pPr>
      <w:bookmarkStart w:id="188" w:name="_Toc3995"/>
    </w:p>
    <w:bookmarkEnd w:id="188"/>
    <w:p>
      <w:pPr>
        <w:pStyle w:val="9"/>
        <w:spacing w:before="100" w:line="224" w:lineRule="auto"/>
        <w:ind w:left="2733"/>
        <w:outlineLvl w:val="0"/>
        <w:rPr>
          <w:rFonts w:hint="eastAsia"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p>
    <w:p>
      <w:pPr>
        <w:keepNext w:val="0"/>
        <w:keepLines w:val="0"/>
        <w:widowControl/>
        <w:suppressLineNumbers w:val="0"/>
        <w:jc w:val="center"/>
      </w:pPr>
      <w:r>
        <w:rPr>
          <w:rFonts w:ascii="方正小标宋简体" w:hAnsi="方正小标宋简体" w:eastAsia="方正小标宋简体" w:cs="方正小标宋简体"/>
          <w:snapToGrid w:val="0"/>
          <w:color w:val="000000"/>
          <w:kern w:val="0"/>
          <w:sz w:val="48"/>
          <w:szCs w:val="48"/>
          <w:lang w:val="en-US" w:eastAsia="zh-CN" w:bidi="ar"/>
        </w:rPr>
        <w:t>新疆维吾尔自治区学校食堂食材</w:t>
      </w:r>
    </w:p>
    <w:p>
      <w:pPr>
        <w:keepNext w:val="0"/>
        <w:keepLines w:val="0"/>
        <w:widowControl/>
        <w:suppressLineNumbers w:val="0"/>
        <w:jc w:val="center"/>
      </w:pPr>
      <w:r>
        <w:rPr>
          <w:rFonts w:hint="eastAsia" w:ascii="方正小标宋简体" w:hAnsi="方正小标宋简体" w:eastAsia="方正小标宋简体" w:cs="方正小标宋简体"/>
          <w:snapToGrid w:val="0"/>
          <w:color w:val="000000"/>
          <w:kern w:val="0"/>
          <w:sz w:val="48"/>
          <w:szCs w:val="48"/>
          <w:lang w:val="en-US" w:eastAsia="zh-CN" w:bidi="ar"/>
        </w:rPr>
        <w:t>采购合同</w:t>
      </w:r>
    </w:p>
    <w:p>
      <w:pPr>
        <w:keepNext w:val="0"/>
        <w:keepLines w:val="0"/>
        <w:widowControl/>
        <w:suppressLineNumbers w:val="0"/>
        <w:jc w:val="center"/>
      </w:pPr>
      <w:r>
        <w:rPr>
          <w:rFonts w:ascii="楷体_GB2312" w:hAnsi="楷体_GB2312" w:eastAsia="楷体_GB2312" w:cs="楷体_GB2312"/>
          <w:snapToGrid w:val="0"/>
          <w:color w:val="000000"/>
          <w:kern w:val="0"/>
          <w:sz w:val="43"/>
          <w:szCs w:val="43"/>
          <w:lang w:val="en-US" w:eastAsia="zh-CN" w:bidi="ar"/>
        </w:rPr>
        <w:t>（示范文本）</w:t>
      </w: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center"/>
      </w:pPr>
      <w:r>
        <w:rPr>
          <w:rFonts w:ascii="楷体_GB2312" w:hAnsi="楷体_GB2312" w:eastAsia="楷体_GB2312" w:cs="楷体_GB2312"/>
          <w:snapToGrid w:val="0"/>
          <w:color w:val="000000"/>
          <w:kern w:val="0"/>
          <w:sz w:val="31"/>
          <w:szCs w:val="31"/>
          <w:lang w:val="en-US" w:eastAsia="zh-CN" w:bidi="ar"/>
        </w:rPr>
        <w:t>新疆维吾尔自治区市场监督管理局 制定</w:t>
      </w:r>
    </w:p>
    <w:p>
      <w:pPr>
        <w:keepNext w:val="0"/>
        <w:keepLines w:val="0"/>
        <w:widowControl/>
        <w:suppressLineNumbers w:val="0"/>
        <w:jc w:val="center"/>
        <w:rPr>
          <w:rFonts w:ascii="楷体_GB2312" w:hAnsi="楷体_GB2312" w:eastAsia="楷体_GB2312" w:cs="楷体_GB2312"/>
          <w:snapToGrid w:val="0"/>
          <w:color w:val="000000"/>
          <w:kern w:val="0"/>
          <w:sz w:val="31"/>
          <w:szCs w:val="31"/>
          <w:lang w:val="en-US" w:eastAsia="zh-CN" w:bidi="ar"/>
        </w:rPr>
      </w:pPr>
      <w:r>
        <w:rPr>
          <w:rFonts w:ascii="楷体_GB2312" w:hAnsi="楷体_GB2312" w:eastAsia="楷体_GB2312" w:cs="楷体_GB2312"/>
          <w:snapToGrid w:val="0"/>
          <w:color w:val="000000"/>
          <w:kern w:val="0"/>
          <w:sz w:val="31"/>
          <w:szCs w:val="31"/>
          <w:lang w:val="en-US" w:eastAsia="zh-CN" w:bidi="ar"/>
        </w:rPr>
        <w:t>新疆维吾尔自治区教育厅</w:t>
      </w:r>
    </w:p>
    <w:p>
      <w:pPr>
        <w:pStyle w:val="27"/>
      </w:pPr>
    </w:p>
    <w:p>
      <w:pPr>
        <w:keepNext w:val="0"/>
        <w:keepLines w:val="0"/>
        <w:widowControl/>
        <w:suppressLineNumbers w:val="0"/>
        <w:jc w:val="center"/>
        <w:rPr>
          <w:rFonts w:ascii="黑体" w:hAnsi="宋体" w:eastAsia="黑体" w:cs="黑体"/>
          <w:snapToGrid w:val="0"/>
          <w:color w:val="000000"/>
          <w:kern w:val="0"/>
          <w:sz w:val="31"/>
          <w:szCs w:val="31"/>
          <w:lang w:val="en-US" w:eastAsia="zh-CN" w:bidi="ar"/>
        </w:rPr>
      </w:pPr>
    </w:p>
    <w:p>
      <w:pPr>
        <w:keepNext w:val="0"/>
        <w:keepLines w:val="0"/>
        <w:widowControl/>
        <w:suppressLineNumbers w:val="0"/>
        <w:jc w:val="center"/>
        <w:rPr>
          <w:rFonts w:ascii="黑体" w:hAnsi="宋体" w:eastAsia="黑体" w:cs="黑体"/>
          <w:snapToGrid w:val="0"/>
          <w:color w:val="000000"/>
          <w:kern w:val="0"/>
          <w:sz w:val="31"/>
          <w:szCs w:val="31"/>
          <w:lang w:val="en-US" w:eastAsia="zh-CN" w:bidi="ar"/>
        </w:rPr>
      </w:pPr>
    </w:p>
    <w:p>
      <w:pPr>
        <w:keepNext w:val="0"/>
        <w:keepLines w:val="0"/>
        <w:widowControl/>
        <w:suppressLineNumbers w:val="0"/>
        <w:jc w:val="center"/>
        <w:rPr>
          <w:rFonts w:ascii="黑体" w:hAnsi="宋体" w:eastAsia="黑体" w:cs="黑体"/>
          <w:snapToGrid w:val="0"/>
          <w:color w:val="000000"/>
          <w:kern w:val="0"/>
          <w:sz w:val="31"/>
          <w:szCs w:val="31"/>
          <w:lang w:val="en-US" w:eastAsia="zh-CN" w:bidi="ar"/>
        </w:rPr>
      </w:pPr>
    </w:p>
    <w:p>
      <w:pPr>
        <w:keepNext w:val="0"/>
        <w:keepLines w:val="0"/>
        <w:widowControl/>
        <w:suppressLineNumbers w:val="0"/>
        <w:jc w:val="center"/>
        <w:rPr>
          <w:rFonts w:ascii="黑体" w:hAnsi="宋体" w:eastAsia="黑体" w:cs="黑体"/>
          <w:snapToGrid w:val="0"/>
          <w:color w:val="000000"/>
          <w:kern w:val="0"/>
          <w:sz w:val="31"/>
          <w:szCs w:val="31"/>
          <w:lang w:val="en-US" w:eastAsia="zh-CN" w:bidi="ar"/>
        </w:rPr>
      </w:pPr>
    </w:p>
    <w:p>
      <w:pPr>
        <w:keepNext w:val="0"/>
        <w:keepLines w:val="0"/>
        <w:widowControl/>
        <w:suppressLineNumbers w:val="0"/>
        <w:jc w:val="center"/>
      </w:pPr>
      <w:r>
        <w:rPr>
          <w:rFonts w:ascii="黑体" w:hAnsi="宋体" w:eastAsia="黑体" w:cs="黑体"/>
          <w:snapToGrid w:val="0"/>
          <w:color w:val="000000"/>
          <w:kern w:val="0"/>
          <w:sz w:val="31"/>
          <w:szCs w:val="31"/>
          <w:lang w:val="en-US" w:eastAsia="zh-CN" w:bidi="ar"/>
        </w:rPr>
        <w:t>使用说明</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一、为规范学校与企业的权利义务，维护双方合法权益，确保学校食堂大宗食材的安全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和质量，根据《中华人民共和国民法典》及相关法律法规、规章制度要求，制定本《合同示 范文本》。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二、本《合同示范文本》供新疆维吾尔自治区行政区域内的学校与企业之间签订学校食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堂大宗食材采购合同时参照使用。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三、本《合同示范文本》由新疆维吾尔自治区市场监督管理局和新疆维吾尔自治区教育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厅共同制定发布并负责解释。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四、当事人参照本《合同示范文本》订立合同的，应充分理解合同中条款的内容，并自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行承担合同订立履行所发生的法律后果。当事人对合同条款理解发生争议时，应按照有关法 律法规规定对条款进行解释。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五、合同当事人参照本《合同示范文本》订立合同时，可以根据实际情况修改、增补合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同内容。但是对文本中的格式条款如果进行了修改、增补的，不得以“合同示范文本”名义使用。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六、本《合同示范文本》中所称的学校食堂食材采购是指：学校对具有相关资质、规模、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技术、服务质量等方面优势的供应商为学校自办食堂或委托管理服务性质的食堂提供米、面、 油、肉、蛋、奶等大宗原材料进行统一配送服务的购买行为。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七、本《合同示范文本》中所称的学校是指：普通中小学校、中等职业学校、高等教育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学校、特殊教育学校、专门学校等，包括幼儿园、小学、初中、高中和大学。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八、为保证合同条款的全面、准确，请在“新疆维吾尔自治区市场监督管理局”门户网 </w:t>
      </w:r>
    </w:p>
    <w:p>
      <w:pPr>
        <w:keepNext w:val="0"/>
        <w:keepLines w:val="0"/>
        <w:widowControl/>
        <w:suppressLineNumbers w:val="0"/>
        <w:spacing w:line="480" w:lineRule="auto"/>
        <w:jc w:val="left"/>
        <w:rPr>
          <w:rFonts w:hint="eastAsia" w:ascii="楷体" w:hAnsi="楷体" w:eastAsia="楷体" w:cs="楷体"/>
          <w:snapToGrid w:val="0"/>
          <w:color w:val="000000"/>
          <w:kern w:val="0"/>
          <w:sz w:val="22"/>
          <w:szCs w:val="22"/>
          <w:lang w:val="en-US" w:eastAsia="zh-CN" w:bidi="ar"/>
        </w:rPr>
      </w:pPr>
      <w:r>
        <w:rPr>
          <w:rFonts w:hint="eastAsia" w:ascii="楷体" w:hAnsi="楷体" w:eastAsia="楷体" w:cs="楷体"/>
          <w:snapToGrid w:val="0"/>
          <w:color w:val="000000"/>
          <w:kern w:val="0"/>
          <w:sz w:val="22"/>
          <w:szCs w:val="22"/>
          <w:lang w:val="en-US" w:eastAsia="zh-CN" w:bidi="ar"/>
        </w:rPr>
        <w:t>站（www.xjaic.gov.cn）“合同示范文本”模块、“新疆维吾尔自治区教育厅”门户网站 （jyt.xinjiang.gov.cn）相关栏目等渠道下载本《合同示范文本》，任何单位和个人不得出于商 业目的擅自翻印和出售《合同示范文本》。</w:t>
      </w:r>
    </w:p>
    <w:p>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center"/>
      </w:pPr>
      <w:r>
        <w:rPr>
          <w:rFonts w:ascii="方正小标宋简体" w:hAnsi="方正小标宋简体" w:eastAsia="方正小标宋简体" w:cs="方正小标宋简体"/>
          <w:snapToGrid w:val="0"/>
          <w:color w:val="000000"/>
          <w:kern w:val="0"/>
          <w:sz w:val="43"/>
          <w:szCs w:val="43"/>
          <w:lang w:val="en-US" w:eastAsia="zh-CN" w:bidi="ar"/>
        </w:rPr>
        <w:t>新疆维吾尔自治区学校食堂食材</w:t>
      </w:r>
    </w:p>
    <w:p>
      <w:pPr>
        <w:keepNext w:val="0"/>
        <w:keepLines w:val="0"/>
        <w:widowControl/>
        <w:suppressLineNumbers w:val="0"/>
        <w:jc w:val="center"/>
      </w:pPr>
      <w:r>
        <w:rPr>
          <w:rFonts w:hint="eastAsia" w:ascii="方正小标宋简体" w:hAnsi="方正小标宋简体" w:eastAsia="方正小标宋简体" w:cs="方正小标宋简体"/>
          <w:snapToGrid w:val="0"/>
          <w:color w:val="000000"/>
          <w:kern w:val="0"/>
          <w:sz w:val="43"/>
          <w:szCs w:val="43"/>
          <w:lang w:val="en-US" w:eastAsia="zh-CN" w:bidi="ar"/>
        </w:rPr>
        <w:t>采购合同</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甲方（学校方）：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统一社会信用代码：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乙方（供货方）：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统一社会信用代码： </w:t>
      </w:r>
    </w:p>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依据《中华人民共和国民法典》《招投标文件》《中标通知书》及其他法律、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法规、规章规定，遵循平等、自愿、公平和诚实信用原则，经甲乙双方协商一致，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就学校食堂采购食材事宜，签订本合同，食材具体质量要求详见附件《学校大宗食材原（辅）料技术及质量要求表》。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一、合同期限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供货服务期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日止； 合同一年一签，即：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日止。如采用招投标方式确定管理服务对象的，则本合同期限与招投标文件保持一致。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服务期内，国家、自治区如发布新的规定，按照国家、自治区新的规定执行。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二、合同金额、食材供应的品种及单价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（一）预计年采购金额为</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万元（本合同具体金额：学校按照国家和自治区有关规定采购贫困地区农副产品之外的实际发生采购金额，最终以实际配送数量和范围进行结算）。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（二）本次招标实行定点采购的食堂原（辅）材料为以下项目：大米、面粉、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食用油、调味品、肉、禽蛋、蔬菜、豆制品、水果等食品。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三、交货地点、时间、数量及验收</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（一）交货地点：乙方根据配送范围内学校具体要求将产品送至指定地方即配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送目标学校内，原则上送至学校食堂。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（二）数量：以甲乙双方签字确认后的配送验收单为准。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（三）验收：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1.在收到配送货物的现场，由甲方指定负责人按照确定的订货清单验收。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2.如甲方对产品的质量、数量、等级、包装有异议的，应在验收时向乙方提出。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3.甲乙双方验收合格后，应在配送验收清单上签字确认。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4.对不符合质量的品种，甲方有权退货和要求乙方换货，乙方应及时处理、解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决，不得影响学校为学生供餐。</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四、结算及付款方式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（一）甲乙双方应在月底完成当月供货有关情况核对工作。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（二）乙方应于次月第一周，向甲方提供上月货款的正规发票，甲方经核实无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异议后，在收到发票</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个工作日内将上月采购款支付给乙方。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（三）付款方式：公对公银行转账或公对个人（农户）银行转账。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（四）其他结算方式：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（五）合同期满或中途解除合同，双方应当按照本合同的约定进行对账和结算，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确定未结算的价款，甲方在确定价款后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内，一次性结算乙方的所有款项。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五、履约保证金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（一）乙方在签订合同后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个工作日内，向甲方提供履约保证金或银行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开具的履约保函。其中履约保证金、保函金额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万元，期限</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年。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如超期未提供保函原件，将视为乙方无故单方解除合同，因此造成甲方损失的，乙方应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当予以赔偿。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（二）保证金用于以下用途：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1.因食材原因导致食品安全事故时，用于第一时间救治师生，乙方需无条件配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合甲方启用履约保证金；</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2.因乙方原因不能履约，导致学校、师生经济损失的，甲方有权单方面启用履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约保证金予以赔付。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（三）当保证金不足时，乙方应当在</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个工作日内补足保证金。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（四）当合同履行期满，甲方应当</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个工作日内，将保证金返还给乙方。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六、食材质量要求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（一）食材标准：必须符合国家有关食品安全标准，乙方须提供所供食材的检测合格报告。没有国家标准的，必须符合行业标准，既没有国家标准和行业标准的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应确保食材的新鲜、健康。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食材质量：乙方在承包采购服务期间要严把质量关，明确进货渠道，建立台账，杜绝“三无”产品、劣质原料进校园。乙方提供甲方所需食材同时随货附带加盖相应货物生产厂家资质（若乙方为经销商则应提供厂家资质及经销商资质）、 质量承诺保证书等说明材料及检验、检疫报告、台账记录及其他甲方要求提供的证明文件。供应的食材要适合实际操作，减少边角余料，合理节约，降低成本，杜绝浪费。如出现质量问题，乙方应无条件退货或换货。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（三）外包装应符合食品安全规定。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七、供应方式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为确保供餐质量，有效降低采购成本，学校（点）食堂实行食品原料采购“统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一采购、统一配送”。以乙方为主体全面负责学生食品供应安全，负责学校食品原材料与副食品的采购与配送及食材检验，做好相关自检记录，并按食品安全要求和财务要求向学校提供相关票证。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八、配送要求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（一）由各学校根据实际情况制定用餐食谱，乙方按学校提供的食谱进行配送。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（二）确定食谱后通知学校提前</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天把周需求量提交给乙方，乙方按学校要求进行配送。</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（三）乙方按照学校提供的购货申请单内容和要求进行配送，具体的配送时间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根据各个学校的实际情况确定，并随货开据食品原料配送单。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（四）学校食品管理员查验食品原料，校领导审核无误后，分别在食品配送单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上签名确认，学校根据配送单做好台账及公示工作。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（五）每月底乙方据实开具税务发票直接与学校结算。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（六）原料的接收查验。乙方必须按照学校选定的中标品牌供应食品原料，必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须确保食品原料的质量。乙方配送食品原料时，必须向采购学校提供产品检验检测相关报告、生产厂家的出厂抽检报告及产品检验合格证或每批次动物检疫合格证明等国家规定的其它有效证明材料。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（七）食品储存。配备必要的食品原料储藏保鲜设施，配备良好的通风、防潮、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防鼠、防虫、防蝇、防霉变等设施并能正常使用；食品原料储藏应当分类、分架、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离地安全管理，遵循先进先出的原则摆放，不同区域应有明显标识，建立健全进出库管理制度，并落实双人管理；乙方须免费指导学校建立符合食品安全标准的储藏仓库。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（八）应急保障。乙方须自备应急车辆一台或多台。当运输车辆在配送途中出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现故障时，可迅速补上；乙方须随时关注天气预报，特殊天气情况下，应提前准备雨衣、电筒、发电机等。提前检查车辆等设备是否正常运转。应加派人手，积极做好配送准备。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（九）其他要求：</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九、包装和运输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（一）包装与保护：乙方所提供的食品在装卸、运输和仓储过程中应有足够的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（二）由乙方负责完成食品运输过程中的全部工作内容，并安全送达到甲方或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者各学校指定交货地点。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十、食材验收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（一）学校指定专人按国家相关标准进行验收，不符合相关标准的食材乙方应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及时调换，并不得影响甲方及学校的正常工作。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（二）送货单一式四联，经学校食堂管理员、主管及乙方库房、送货人签字后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各自留存（白联：乙方财务，红联：乙方与学校对账，蓝联和黄联给学校食堂和学校财务各一份）作为结算依据。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十一、甲方权利义务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（一）按时向乙方下达次日或次周订单，以便乙方提前安排准备；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（二）依据订单和供货清单进行清点验收，对不符合学校订单的食材，有权退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回乙方，由此产生的损失由乙方承担；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（三）依据订单和供货清单进行称重验收，重量以学校称重数据为准；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（四）双方需在供货清单上签字确认；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（五）乙方提供发票信息与实际发生信息一致时，不得拖延支付费用；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（六）学校监督小组或膳食委员会等监督管理机构不定期对乙方经营的食材品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质及来源进行检查；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（七）定期检查库存食材，对临近保质期的食材进行管理监督，设置临期食材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专柜或在相对集中区域陈列使用；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（八）</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十二、乙方权利义务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（一）应严格按照《中华人民共和国农产品质量安全法》《中华人民共和国消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费者权益保护法》《中华人民共和国食品安全法》等有关食品安全规定，保质、保量为甲方供应所需食材。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（二）需向甲方提供营业执照、账户及开户行信息、供应食材质量合格证明、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从业人员健康证明、税务登记证、食品的检验报告、食品安全管理体系认证证书、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食材来源证明、安全应急预案等有关资料；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（三）与甲方核对供应食材信息无误后，需向甲方提供合规的发票；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（四）按照订单约定准时将食材运送到指定地点，配合甲方做好验收并在供货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清单上签字确认；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（五）自行承担食材从开始运输至经甲方检验合格前的一切损毁、变质风险；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（六）严格按照甲方订单中的品类、规格、质量及数量进行配送，验收时甲方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若发现食材质量不达标、重量不足或出现漏货等情况，乙方应按照甲方的要求立即更换及补货；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（七）工作人员出入校园应遵守学校规章制度；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（八）</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十三、合同解除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（一）双方协商一致可以解除本合同；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（二）在合同期内，由于发生不可抗力，致使合同不能履行的，甲、乙双方的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任何一方有权提出终止合同。由此发生的经济损失，甲、乙双方各自承担。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（三）乙方未按合同约定时间供货的，每延迟一次按延迟供货金额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%支付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违约金，如发生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次延迟供货，甲方有权解除合同。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（四）合同期内，如果因乙方原因不能履约的，应提前</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日通知甲方终止合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同；如乙方未及时书面通知甲方终止合同而给甲方造成损失的，除乙方应向甲方支付已经履行合同总价款___ %违约金外，还应赔偿甲方临时采购增加的费用以及其他损失。如果乙方拒绝支付违约金和赔偿金的，甲方有权在乙方已供原材料款项中扣除。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（五）如乙方所提供的食材经甲方进行抽检不合格的，该批次产品一律无条件退回。如果两次发现抽查不合格的，甲方有权终止合同，乙方应承担违约责任，向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甲方支付已经履约总价款</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%的违约金。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（六）如甲、乙双方中有一方不接受调整价格，可提出终止合同，不属于违约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行为。如终止合同，乙方仍需按照上一个周期的价格为甲方供货一个月，如因乙方无法供货给甲方造成损失，则视为违约行为，损失优先从履约保证金中扣除，不足部分由乙方补足。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十四、违约责任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（一）食品供应造成师生食物中毒（一般食品安全事故及以上等级的）或其他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食源性疾病等重大安全事故的，经检测是乙方配送食品原材料原因的，甲方有权单方解除本合同，乙方应当向甲方支付已供货总金额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%的违约金。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乙方工作没有达到甲方或学校要求的，甲方有权向乙方提出工作整改提高服务水平。甲方三次催告后乙方仍不予整改的，甲方有权单方解除合同，乙方应承担给甲方造成的一切损失（包括但不限于鉴定费、差旅费、诉讼费、律师费等）。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（三）若乙方已做到供货及时，保质保量，诚信经营，甲方无正当理由不能在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合同期内随意取消乙方的供货权。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（四）除本合同对违约责任有明确约定外，任何一方不履行合同或履行合同不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符合约定的均视为违约。届时，违约方除应向守约方支付已供货总金额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%的惩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罚性违约金外，还应赔偿由此给守约方造成的所有损失。同时，违约方未按守约方的要求纠正违约行为或虽经纠正但仍不符合合同约定的，守约方有权单方面解除合同，由此产生的责任均由违约方承担。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十五、争议解决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因本合同相关事项发生的纠纷，可由双方协商解决，协商不成，可按以下第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种方式解决：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（一）向</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仲裁委员会申请仲裁。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（二）依法向</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人民法院起诉。在诉讼或仲裁期间，本合同不涉及争议的条款仍然有效，双方应继续履行。因争议解决产生的诉讼费、保全费、保全、保险费、律师费、鉴定费、评估费、公证费、差旅费、公告费、邮寄送达费等所有成本由违约方承担。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十六、合同签订时间、地点、份数及生效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（一）合同签订时间：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年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（二）合同签订地点：</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（三）合同份数：合同一式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份，甲方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份，乙方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份，由甲方向当地教育行政部门备案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（四）本合同经双方法定代表人签字并加盖公章后生效。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十七、其它约定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（一）合同签订后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日内向属地教育行政部门备案。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（二）在履行本合同过程中涉及对中标资金和本合同内容修改或补充的，须经当地财政部门审批，并签订书面补充协议报教育行政部门和市场监管部门备案方可作为主合同不可分割的一部分。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（三）本合同所有附件、采购文件、投标文件、中标通知书均为合同的有效组成部分，与本合同具有同等法律效力。本合同应实质性响应招标要求，优于或满足 招投标文件，如有降低要求或不满足等不一致情况，以招投标文件为准。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（四）本合同如有未尽事宜，由甲乙双方协商解决。达成一致后签订补充协议，补充协议的约定原则上不能与本合同及中标通知书的核心内容相抵触，否则不具有法律效力。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十八、合同生效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本合同自甲乙双方法定代表人签章并加盖单位公章（加盖骑缝章）后生效。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甲方（公章）：                                 乙方（公章）：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账户：                                          账户：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开户行：                                        开户行：</w:t>
      </w:r>
      <w:r>
        <w:rPr>
          <w:rFonts w:hint="eastAsia" w:ascii="宋体" w:hAnsi="宋体" w:eastAsia="宋体" w:cs="宋体"/>
          <w:snapToGrid w:val="0"/>
          <w:color w:val="000000"/>
          <w:kern w:val="0"/>
          <w:sz w:val="28"/>
          <w:szCs w:val="28"/>
          <w:lang w:val="en-US" w:eastAsia="zh-CN" w:bidi="ar"/>
        </w:rPr>
        <w:t xml:space="preserve">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纳税人识别号：                                  纳税人识别号：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地址：                                          地址：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联系人：                                        联系人：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联系电话：                                      联系电话：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法人（签字）：                                  法人（签字）：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注意事项：本合同条款未尽事宜，由甲乙双方以补充合同约定，原则上不能超越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和违背采购文件、投标文件及投标有关承诺的范围及内容。</w:t>
      </w:r>
    </w:p>
    <w:p/>
    <w:sectPr>
      <w:headerReference r:id="rId47" w:type="default"/>
      <w:footerReference r:id="rId48" w:type="default"/>
      <w:pgSz w:w="11907" w:h="16840"/>
      <w:pgMar w:top="1118" w:right="1736" w:bottom="1264" w:left="1724" w:header="878" w:footer="1085" w:gutter="0"/>
      <w:pgBorders>
        <w:top w:val="single" w:color="auto" w:sz="4" w:space="1"/>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FZShuSong-Z01">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780" w:firstLineChars="18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780" w:firstLineChars="18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360" w:firstLineChars="16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360" w:firstLineChars="16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hint="eastAsia"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12"/>
      </w:tabs>
      <w:spacing w:line="218" w:lineRule="auto"/>
      <w:ind w:left="765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940" w:firstLineChars="14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990" w:firstLineChars="19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0" w:firstLineChars="20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360" w:firstLineChars="16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78155"/>
    <w:multiLevelType w:val="singleLevel"/>
    <w:tmpl w:val="8FC78155"/>
    <w:lvl w:ilvl="0" w:tentative="0">
      <w:start w:val="4"/>
      <w:numFmt w:val="decimal"/>
      <w:suff w:val="nothing"/>
      <w:lvlText w:val="%1、"/>
      <w:lvlJc w:val="left"/>
    </w:lvl>
  </w:abstractNum>
  <w:abstractNum w:abstractNumId="1">
    <w:nsid w:val="CB5F083B"/>
    <w:multiLevelType w:val="singleLevel"/>
    <w:tmpl w:val="CB5F083B"/>
    <w:lvl w:ilvl="0" w:tentative="0">
      <w:start w:val="1"/>
      <w:numFmt w:val="decimal"/>
      <w:lvlText w:val="%1."/>
      <w:lvlJc w:val="left"/>
      <w:pPr>
        <w:tabs>
          <w:tab w:val="left" w:pos="312"/>
        </w:tabs>
      </w:pPr>
    </w:lvl>
  </w:abstractNum>
  <w:abstractNum w:abstractNumId="2">
    <w:nsid w:val="D0609881"/>
    <w:multiLevelType w:val="singleLevel"/>
    <w:tmpl w:val="D0609881"/>
    <w:lvl w:ilvl="0" w:tentative="0">
      <w:start w:val="1"/>
      <w:numFmt w:val="decimal"/>
      <w:suff w:val="nothing"/>
      <w:lvlText w:val="%1、"/>
      <w:lvlJc w:val="left"/>
    </w:lvl>
  </w:abstractNum>
  <w:abstractNum w:abstractNumId="3">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3"/>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4">
    <w:nsid w:val="15E612FC"/>
    <w:multiLevelType w:val="singleLevel"/>
    <w:tmpl w:val="15E612FC"/>
    <w:lvl w:ilvl="0" w:tentative="0">
      <w:start w:val="6"/>
      <w:numFmt w:val="chineseCounting"/>
      <w:suff w:val="nothing"/>
      <w:lvlText w:val="（%1）"/>
      <w:lvlJc w:val="left"/>
      <w:rPr>
        <w:rFonts w:hint="eastAsia"/>
      </w:rPr>
    </w:lvl>
  </w:abstractNum>
  <w:abstractNum w:abstractNumId="5">
    <w:nsid w:val="26D7FAE7"/>
    <w:multiLevelType w:val="singleLevel"/>
    <w:tmpl w:val="26D7FAE7"/>
    <w:lvl w:ilvl="0" w:tentative="0">
      <w:start w:val="1"/>
      <w:numFmt w:val="decimal"/>
      <w:suff w:val="nothing"/>
      <w:lvlText w:val="（%1）"/>
      <w:lvlJc w:val="left"/>
    </w:lvl>
  </w:abstractNum>
  <w:abstractNum w:abstractNumId="6">
    <w:nsid w:val="3FF7C39B"/>
    <w:multiLevelType w:val="singleLevel"/>
    <w:tmpl w:val="3FF7C39B"/>
    <w:lvl w:ilvl="0" w:tentative="0">
      <w:start w:val="1"/>
      <w:numFmt w:val="decimal"/>
      <w:lvlText w:val="%1."/>
      <w:lvlJc w:val="left"/>
      <w:pPr>
        <w:tabs>
          <w:tab w:val="left" w:pos="312"/>
        </w:tabs>
      </w:pPr>
    </w:lvl>
  </w:abstractNum>
  <w:abstractNum w:abstractNumId="7">
    <w:nsid w:val="45CAD224"/>
    <w:multiLevelType w:val="singleLevel"/>
    <w:tmpl w:val="45CAD224"/>
    <w:lvl w:ilvl="0" w:tentative="0">
      <w:start w:val="5"/>
      <w:numFmt w:val="decimal"/>
      <w:suff w:val="space"/>
      <w:lvlText w:val="第%1章"/>
      <w:lvlJc w:val="left"/>
      <w:rPr>
        <w:rFonts w:hint="default"/>
        <w:sz w:val="36"/>
        <w:szCs w:val="36"/>
      </w:rPr>
    </w:lvl>
  </w:abstractNum>
  <w:abstractNum w:abstractNumId="8">
    <w:nsid w:val="60FE979C"/>
    <w:multiLevelType w:val="singleLevel"/>
    <w:tmpl w:val="60FE979C"/>
    <w:lvl w:ilvl="0" w:tentative="0">
      <w:start w:val="2"/>
      <w:numFmt w:val="chineseCounting"/>
      <w:suff w:val="nothing"/>
      <w:lvlText w:val="（%1）"/>
      <w:lvlJc w:val="left"/>
      <w:rPr>
        <w:rFonts w:hint="eastAsia"/>
      </w:rPr>
    </w:lvl>
  </w:abstractNum>
  <w:abstractNum w:abstractNumId="9">
    <w:nsid w:val="74B30828"/>
    <w:multiLevelType w:val="singleLevel"/>
    <w:tmpl w:val="74B30828"/>
    <w:lvl w:ilvl="0" w:tentative="0">
      <w:start w:val="1"/>
      <w:numFmt w:val="decimal"/>
      <w:lvlText w:val="%1."/>
      <w:lvlJc w:val="left"/>
      <w:pPr>
        <w:tabs>
          <w:tab w:val="left" w:pos="312"/>
        </w:tabs>
      </w:pPr>
    </w:lvl>
  </w:abstractNum>
  <w:abstractNum w:abstractNumId="10">
    <w:nsid w:val="7784DB2C"/>
    <w:multiLevelType w:val="singleLevel"/>
    <w:tmpl w:val="7784DB2C"/>
    <w:lvl w:ilvl="0" w:tentative="0">
      <w:start w:val="3"/>
      <w:numFmt w:val="decimal"/>
      <w:suff w:val="nothing"/>
      <w:lvlText w:val="%1、"/>
      <w:lvlJc w:val="left"/>
    </w:lvl>
  </w:abstractNum>
  <w:num w:numId="1">
    <w:abstractNumId w:val="3"/>
  </w:num>
  <w:num w:numId="2">
    <w:abstractNumId w:val="8"/>
  </w:num>
  <w:num w:numId="3">
    <w:abstractNumId w:val="4"/>
  </w:num>
  <w:num w:numId="4">
    <w:abstractNumId w:val="2"/>
  </w:num>
  <w:num w:numId="5">
    <w:abstractNumId w:val="5"/>
  </w:num>
  <w:num w:numId="6">
    <w:abstractNumId w:val="10"/>
  </w:num>
  <w:num w:numId="7">
    <w:abstractNumId w:val="0"/>
  </w:num>
  <w:num w:numId="8">
    <w:abstractNumId w:val="1"/>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jUwNTRmMmVmODAzY2U5NjFhNGY0N2JhN2QxZDIifQ=="/>
    <w:docVar w:name="KSO_WPS_MARK_KEY" w:val="17219e19-0d9d-484e-a46b-711cd4c43509"/>
  </w:docVars>
  <w:rsids>
    <w:rsidRoot w:val="00172A27"/>
    <w:rsid w:val="00035318"/>
    <w:rsid w:val="00047197"/>
    <w:rsid w:val="00061CBB"/>
    <w:rsid w:val="00150EAD"/>
    <w:rsid w:val="00207188"/>
    <w:rsid w:val="0023674B"/>
    <w:rsid w:val="00245594"/>
    <w:rsid w:val="00262C45"/>
    <w:rsid w:val="003550AC"/>
    <w:rsid w:val="003E3747"/>
    <w:rsid w:val="004874D5"/>
    <w:rsid w:val="005319D6"/>
    <w:rsid w:val="006838D9"/>
    <w:rsid w:val="006B31C3"/>
    <w:rsid w:val="007A1658"/>
    <w:rsid w:val="0083050D"/>
    <w:rsid w:val="008B73C2"/>
    <w:rsid w:val="00AA3CEC"/>
    <w:rsid w:val="00B21B00"/>
    <w:rsid w:val="00C55C62"/>
    <w:rsid w:val="00CB3C62"/>
    <w:rsid w:val="00CD1788"/>
    <w:rsid w:val="00D20B4D"/>
    <w:rsid w:val="00D217B8"/>
    <w:rsid w:val="00E908CF"/>
    <w:rsid w:val="00E972B6"/>
    <w:rsid w:val="00EC306F"/>
    <w:rsid w:val="010411BC"/>
    <w:rsid w:val="01064C9A"/>
    <w:rsid w:val="010C5220"/>
    <w:rsid w:val="010D6029"/>
    <w:rsid w:val="0134185B"/>
    <w:rsid w:val="01376778"/>
    <w:rsid w:val="01383EC5"/>
    <w:rsid w:val="013B4ECC"/>
    <w:rsid w:val="013D4B60"/>
    <w:rsid w:val="017F5F1F"/>
    <w:rsid w:val="01804A4C"/>
    <w:rsid w:val="01AA5582"/>
    <w:rsid w:val="01B446F6"/>
    <w:rsid w:val="01B841E6"/>
    <w:rsid w:val="01B97F5E"/>
    <w:rsid w:val="01DA6F17"/>
    <w:rsid w:val="01EE084F"/>
    <w:rsid w:val="02076F1C"/>
    <w:rsid w:val="020B07BA"/>
    <w:rsid w:val="021D0D94"/>
    <w:rsid w:val="02217327"/>
    <w:rsid w:val="02353A89"/>
    <w:rsid w:val="023870D5"/>
    <w:rsid w:val="023A109F"/>
    <w:rsid w:val="024139EE"/>
    <w:rsid w:val="024D04FB"/>
    <w:rsid w:val="024F273B"/>
    <w:rsid w:val="02664218"/>
    <w:rsid w:val="028265A2"/>
    <w:rsid w:val="029F7154"/>
    <w:rsid w:val="02A957F6"/>
    <w:rsid w:val="02AC0069"/>
    <w:rsid w:val="02B017B0"/>
    <w:rsid w:val="02C31095"/>
    <w:rsid w:val="02C47780"/>
    <w:rsid w:val="02DE5ECF"/>
    <w:rsid w:val="02F94BC3"/>
    <w:rsid w:val="03035935"/>
    <w:rsid w:val="03123DCA"/>
    <w:rsid w:val="031511C4"/>
    <w:rsid w:val="03176D9B"/>
    <w:rsid w:val="031C7364"/>
    <w:rsid w:val="03237D85"/>
    <w:rsid w:val="034510A8"/>
    <w:rsid w:val="0359353D"/>
    <w:rsid w:val="03675921"/>
    <w:rsid w:val="037203C5"/>
    <w:rsid w:val="03830824"/>
    <w:rsid w:val="03A367D0"/>
    <w:rsid w:val="03A74810"/>
    <w:rsid w:val="03B56796"/>
    <w:rsid w:val="03C2134C"/>
    <w:rsid w:val="03CF75C5"/>
    <w:rsid w:val="03D033DF"/>
    <w:rsid w:val="03D30FD1"/>
    <w:rsid w:val="03E272AF"/>
    <w:rsid w:val="03FD41DC"/>
    <w:rsid w:val="04051239"/>
    <w:rsid w:val="040E6340"/>
    <w:rsid w:val="04134A25"/>
    <w:rsid w:val="04180F6C"/>
    <w:rsid w:val="04353117"/>
    <w:rsid w:val="043833BC"/>
    <w:rsid w:val="04425FE9"/>
    <w:rsid w:val="04473600"/>
    <w:rsid w:val="04615859"/>
    <w:rsid w:val="04651CD8"/>
    <w:rsid w:val="0466617C"/>
    <w:rsid w:val="046E7D42"/>
    <w:rsid w:val="04846205"/>
    <w:rsid w:val="048550B3"/>
    <w:rsid w:val="04A22D50"/>
    <w:rsid w:val="04AD02DC"/>
    <w:rsid w:val="04DF4324"/>
    <w:rsid w:val="04DF7CDC"/>
    <w:rsid w:val="04E11CA6"/>
    <w:rsid w:val="04E23328"/>
    <w:rsid w:val="04EB042F"/>
    <w:rsid w:val="04EF43C3"/>
    <w:rsid w:val="04EF66A6"/>
    <w:rsid w:val="04F82B4C"/>
    <w:rsid w:val="04FD3979"/>
    <w:rsid w:val="05045994"/>
    <w:rsid w:val="051A0D14"/>
    <w:rsid w:val="0522236A"/>
    <w:rsid w:val="05233879"/>
    <w:rsid w:val="05297C28"/>
    <w:rsid w:val="05325A0A"/>
    <w:rsid w:val="053B7608"/>
    <w:rsid w:val="05400206"/>
    <w:rsid w:val="055E4193"/>
    <w:rsid w:val="056B5638"/>
    <w:rsid w:val="05921402"/>
    <w:rsid w:val="059443FD"/>
    <w:rsid w:val="05B9052D"/>
    <w:rsid w:val="05E51322"/>
    <w:rsid w:val="05F7755F"/>
    <w:rsid w:val="060911D9"/>
    <w:rsid w:val="060E5A3D"/>
    <w:rsid w:val="061614DB"/>
    <w:rsid w:val="062F23E9"/>
    <w:rsid w:val="06347C27"/>
    <w:rsid w:val="063858F6"/>
    <w:rsid w:val="063F6C84"/>
    <w:rsid w:val="067E4BBE"/>
    <w:rsid w:val="068154EF"/>
    <w:rsid w:val="06935222"/>
    <w:rsid w:val="06992C49"/>
    <w:rsid w:val="06B225CD"/>
    <w:rsid w:val="06CA1B69"/>
    <w:rsid w:val="06D20985"/>
    <w:rsid w:val="06D71CF0"/>
    <w:rsid w:val="06E31D05"/>
    <w:rsid w:val="06E3407D"/>
    <w:rsid w:val="06E45A7E"/>
    <w:rsid w:val="06F51A39"/>
    <w:rsid w:val="070B4DB8"/>
    <w:rsid w:val="070C5D06"/>
    <w:rsid w:val="07133C6D"/>
    <w:rsid w:val="0714098C"/>
    <w:rsid w:val="072145DC"/>
    <w:rsid w:val="0732033F"/>
    <w:rsid w:val="07324746"/>
    <w:rsid w:val="07342561"/>
    <w:rsid w:val="07373DFF"/>
    <w:rsid w:val="07397B77"/>
    <w:rsid w:val="073D2C3C"/>
    <w:rsid w:val="074212D4"/>
    <w:rsid w:val="0748600C"/>
    <w:rsid w:val="07512869"/>
    <w:rsid w:val="077747C3"/>
    <w:rsid w:val="07822F3C"/>
    <w:rsid w:val="07945788"/>
    <w:rsid w:val="079D7527"/>
    <w:rsid w:val="07AA56A0"/>
    <w:rsid w:val="07AA637F"/>
    <w:rsid w:val="07BE1E2B"/>
    <w:rsid w:val="07BE62CF"/>
    <w:rsid w:val="07CC5CDA"/>
    <w:rsid w:val="07E23D6B"/>
    <w:rsid w:val="07E95234"/>
    <w:rsid w:val="07EF009E"/>
    <w:rsid w:val="07F25F48"/>
    <w:rsid w:val="07F341CA"/>
    <w:rsid w:val="07F97307"/>
    <w:rsid w:val="08031F33"/>
    <w:rsid w:val="081B57B2"/>
    <w:rsid w:val="08327C94"/>
    <w:rsid w:val="08342AD5"/>
    <w:rsid w:val="0839554D"/>
    <w:rsid w:val="084126B6"/>
    <w:rsid w:val="08444A26"/>
    <w:rsid w:val="086329D2"/>
    <w:rsid w:val="08756B82"/>
    <w:rsid w:val="088A394B"/>
    <w:rsid w:val="089D7C92"/>
    <w:rsid w:val="08A21CBE"/>
    <w:rsid w:val="08A83343"/>
    <w:rsid w:val="08B33959"/>
    <w:rsid w:val="08B978FA"/>
    <w:rsid w:val="08CE42EF"/>
    <w:rsid w:val="08D833C0"/>
    <w:rsid w:val="08DA68C6"/>
    <w:rsid w:val="08E41D65"/>
    <w:rsid w:val="08E81855"/>
    <w:rsid w:val="08ED686D"/>
    <w:rsid w:val="09036861"/>
    <w:rsid w:val="090655BA"/>
    <w:rsid w:val="09095327"/>
    <w:rsid w:val="09096AA7"/>
    <w:rsid w:val="090E293E"/>
    <w:rsid w:val="0913264A"/>
    <w:rsid w:val="09187C60"/>
    <w:rsid w:val="091B505B"/>
    <w:rsid w:val="0922463B"/>
    <w:rsid w:val="092B34F0"/>
    <w:rsid w:val="095C18FB"/>
    <w:rsid w:val="0962154F"/>
    <w:rsid w:val="097510C3"/>
    <w:rsid w:val="0978425B"/>
    <w:rsid w:val="09951BA0"/>
    <w:rsid w:val="099A5DD9"/>
    <w:rsid w:val="09B774DD"/>
    <w:rsid w:val="09BB6FD3"/>
    <w:rsid w:val="09CA2D09"/>
    <w:rsid w:val="09D21BBD"/>
    <w:rsid w:val="09D54CF7"/>
    <w:rsid w:val="09E638BB"/>
    <w:rsid w:val="09E85885"/>
    <w:rsid w:val="09F47D86"/>
    <w:rsid w:val="09FC30DE"/>
    <w:rsid w:val="09FC6C3A"/>
    <w:rsid w:val="0A0106F5"/>
    <w:rsid w:val="0A0420EC"/>
    <w:rsid w:val="0A1A55B1"/>
    <w:rsid w:val="0A232419"/>
    <w:rsid w:val="0A247067"/>
    <w:rsid w:val="0A291DA3"/>
    <w:rsid w:val="0A2E4B86"/>
    <w:rsid w:val="0A8530D4"/>
    <w:rsid w:val="0A854E82"/>
    <w:rsid w:val="0A8F5D00"/>
    <w:rsid w:val="0AA957DD"/>
    <w:rsid w:val="0AAC07F3"/>
    <w:rsid w:val="0ABA2D7D"/>
    <w:rsid w:val="0ABB4D47"/>
    <w:rsid w:val="0AC00976"/>
    <w:rsid w:val="0AC106B6"/>
    <w:rsid w:val="0AC27FEC"/>
    <w:rsid w:val="0ADA51CD"/>
    <w:rsid w:val="0AE0030A"/>
    <w:rsid w:val="0AE447D6"/>
    <w:rsid w:val="0AF86F5E"/>
    <w:rsid w:val="0AFD318D"/>
    <w:rsid w:val="0B065FC2"/>
    <w:rsid w:val="0B09160F"/>
    <w:rsid w:val="0B0E131B"/>
    <w:rsid w:val="0B33270F"/>
    <w:rsid w:val="0B491765"/>
    <w:rsid w:val="0B4C2B78"/>
    <w:rsid w:val="0B5C6715"/>
    <w:rsid w:val="0B640F3B"/>
    <w:rsid w:val="0B7366D4"/>
    <w:rsid w:val="0B9E2984"/>
    <w:rsid w:val="0BA94BA0"/>
    <w:rsid w:val="0BAA2B56"/>
    <w:rsid w:val="0BD04822"/>
    <w:rsid w:val="0BDB3B94"/>
    <w:rsid w:val="0BE23CA7"/>
    <w:rsid w:val="0BED0F30"/>
    <w:rsid w:val="0BF13607"/>
    <w:rsid w:val="0BF978D5"/>
    <w:rsid w:val="0C012C2E"/>
    <w:rsid w:val="0C0E526F"/>
    <w:rsid w:val="0C177D5B"/>
    <w:rsid w:val="0C191D25"/>
    <w:rsid w:val="0C1A0723"/>
    <w:rsid w:val="0C2808E6"/>
    <w:rsid w:val="0C282A7F"/>
    <w:rsid w:val="0C381612"/>
    <w:rsid w:val="0C5E598A"/>
    <w:rsid w:val="0C613F6D"/>
    <w:rsid w:val="0C7F11DF"/>
    <w:rsid w:val="0C905ACD"/>
    <w:rsid w:val="0C9A4AC4"/>
    <w:rsid w:val="0C9E7CED"/>
    <w:rsid w:val="0CA20EAA"/>
    <w:rsid w:val="0CC46135"/>
    <w:rsid w:val="0CCF4ADA"/>
    <w:rsid w:val="0CD2125B"/>
    <w:rsid w:val="0CEC720E"/>
    <w:rsid w:val="0CF06F2A"/>
    <w:rsid w:val="0CF17C9F"/>
    <w:rsid w:val="0CFD51A3"/>
    <w:rsid w:val="0D047DB5"/>
    <w:rsid w:val="0D075AA7"/>
    <w:rsid w:val="0D1B6623"/>
    <w:rsid w:val="0D295F98"/>
    <w:rsid w:val="0D3C21E6"/>
    <w:rsid w:val="0D3F57BC"/>
    <w:rsid w:val="0D4C1C87"/>
    <w:rsid w:val="0D5C2546"/>
    <w:rsid w:val="0D6C0A58"/>
    <w:rsid w:val="0D6E42F3"/>
    <w:rsid w:val="0D8D29CB"/>
    <w:rsid w:val="0D95362E"/>
    <w:rsid w:val="0DA56D11"/>
    <w:rsid w:val="0DA67939"/>
    <w:rsid w:val="0DAE2941"/>
    <w:rsid w:val="0DB04D50"/>
    <w:rsid w:val="0DBD4932"/>
    <w:rsid w:val="0DC67C51"/>
    <w:rsid w:val="0DE808EC"/>
    <w:rsid w:val="0DF50570"/>
    <w:rsid w:val="0DFC6D88"/>
    <w:rsid w:val="0E123140"/>
    <w:rsid w:val="0E3015A8"/>
    <w:rsid w:val="0E3177FA"/>
    <w:rsid w:val="0E342E47"/>
    <w:rsid w:val="0E362232"/>
    <w:rsid w:val="0E43308A"/>
    <w:rsid w:val="0E5E6115"/>
    <w:rsid w:val="0E7616B1"/>
    <w:rsid w:val="0E797231"/>
    <w:rsid w:val="0E87566C"/>
    <w:rsid w:val="0E9E6D55"/>
    <w:rsid w:val="0E9E6F0A"/>
    <w:rsid w:val="0EA63619"/>
    <w:rsid w:val="0EAF6971"/>
    <w:rsid w:val="0EB375DF"/>
    <w:rsid w:val="0EC251B7"/>
    <w:rsid w:val="0ED55516"/>
    <w:rsid w:val="0EDE5AE1"/>
    <w:rsid w:val="0EE021C3"/>
    <w:rsid w:val="0EEE70F1"/>
    <w:rsid w:val="0EF22A84"/>
    <w:rsid w:val="0F113188"/>
    <w:rsid w:val="0F16079E"/>
    <w:rsid w:val="0F18017D"/>
    <w:rsid w:val="0F1E1F98"/>
    <w:rsid w:val="0F242EBB"/>
    <w:rsid w:val="0F2A5BEC"/>
    <w:rsid w:val="0F4E7F38"/>
    <w:rsid w:val="0F58463B"/>
    <w:rsid w:val="0F5B4403"/>
    <w:rsid w:val="0F680DBF"/>
    <w:rsid w:val="0F803E6A"/>
    <w:rsid w:val="0F94465A"/>
    <w:rsid w:val="0F967329"/>
    <w:rsid w:val="0FB635F4"/>
    <w:rsid w:val="101C3C8D"/>
    <w:rsid w:val="103F4196"/>
    <w:rsid w:val="10562014"/>
    <w:rsid w:val="10630BD8"/>
    <w:rsid w:val="10655129"/>
    <w:rsid w:val="10685029"/>
    <w:rsid w:val="106A493B"/>
    <w:rsid w:val="106C5235"/>
    <w:rsid w:val="10867E20"/>
    <w:rsid w:val="10A13A9A"/>
    <w:rsid w:val="10A92DD3"/>
    <w:rsid w:val="10AA1CBB"/>
    <w:rsid w:val="10BC5375"/>
    <w:rsid w:val="10DA645D"/>
    <w:rsid w:val="10FC469C"/>
    <w:rsid w:val="110E5BD1"/>
    <w:rsid w:val="111D2270"/>
    <w:rsid w:val="11346F8A"/>
    <w:rsid w:val="114A2981"/>
    <w:rsid w:val="11511F61"/>
    <w:rsid w:val="11641F54"/>
    <w:rsid w:val="11841EC8"/>
    <w:rsid w:val="11890DCD"/>
    <w:rsid w:val="118C2F9A"/>
    <w:rsid w:val="11A021EF"/>
    <w:rsid w:val="11C664AC"/>
    <w:rsid w:val="11CB191D"/>
    <w:rsid w:val="11D010D8"/>
    <w:rsid w:val="11E64458"/>
    <w:rsid w:val="11E810E5"/>
    <w:rsid w:val="11EE77B0"/>
    <w:rsid w:val="11F12DFD"/>
    <w:rsid w:val="121F5BBC"/>
    <w:rsid w:val="12237A0A"/>
    <w:rsid w:val="12303925"/>
    <w:rsid w:val="123C676E"/>
    <w:rsid w:val="12685CF0"/>
    <w:rsid w:val="126B2BAF"/>
    <w:rsid w:val="126B65F3"/>
    <w:rsid w:val="12781557"/>
    <w:rsid w:val="127A7296"/>
    <w:rsid w:val="1288104C"/>
    <w:rsid w:val="128A6AC3"/>
    <w:rsid w:val="12957C2C"/>
    <w:rsid w:val="129F2561"/>
    <w:rsid w:val="12B97DBE"/>
    <w:rsid w:val="12BE3627"/>
    <w:rsid w:val="12C50511"/>
    <w:rsid w:val="12CC0405"/>
    <w:rsid w:val="12E36BE9"/>
    <w:rsid w:val="12E52E35"/>
    <w:rsid w:val="12E56E05"/>
    <w:rsid w:val="12E61D4F"/>
    <w:rsid w:val="12F2537D"/>
    <w:rsid w:val="12F47048"/>
    <w:rsid w:val="12FB03D7"/>
    <w:rsid w:val="130D010A"/>
    <w:rsid w:val="131371F2"/>
    <w:rsid w:val="13141BE8"/>
    <w:rsid w:val="131822D0"/>
    <w:rsid w:val="13286C49"/>
    <w:rsid w:val="132D4308"/>
    <w:rsid w:val="13367661"/>
    <w:rsid w:val="133E5820"/>
    <w:rsid w:val="13453400"/>
    <w:rsid w:val="13517FF7"/>
    <w:rsid w:val="13550B72"/>
    <w:rsid w:val="136C4E31"/>
    <w:rsid w:val="137A3EBF"/>
    <w:rsid w:val="13871C6A"/>
    <w:rsid w:val="1395604C"/>
    <w:rsid w:val="13981E3B"/>
    <w:rsid w:val="13997285"/>
    <w:rsid w:val="13B351C5"/>
    <w:rsid w:val="13B567D8"/>
    <w:rsid w:val="13BA5B9C"/>
    <w:rsid w:val="13E60A9E"/>
    <w:rsid w:val="13F22685"/>
    <w:rsid w:val="13F23952"/>
    <w:rsid w:val="13FE0A81"/>
    <w:rsid w:val="13FE5913"/>
    <w:rsid w:val="142B4CEC"/>
    <w:rsid w:val="14357918"/>
    <w:rsid w:val="143C2A55"/>
    <w:rsid w:val="14435C1D"/>
    <w:rsid w:val="145A2EDB"/>
    <w:rsid w:val="147B119A"/>
    <w:rsid w:val="148B7538"/>
    <w:rsid w:val="14922675"/>
    <w:rsid w:val="1498645A"/>
    <w:rsid w:val="149B2B35"/>
    <w:rsid w:val="149E726C"/>
    <w:rsid w:val="14AE34B3"/>
    <w:rsid w:val="14B369E4"/>
    <w:rsid w:val="14B37F9A"/>
    <w:rsid w:val="14B95E54"/>
    <w:rsid w:val="14C30F94"/>
    <w:rsid w:val="14DA401C"/>
    <w:rsid w:val="14DB6C89"/>
    <w:rsid w:val="14E22390"/>
    <w:rsid w:val="14F24CFF"/>
    <w:rsid w:val="14F74BCE"/>
    <w:rsid w:val="15133F92"/>
    <w:rsid w:val="151A3F56"/>
    <w:rsid w:val="152E4C16"/>
    <w:rsid w:val="15382EBF"/>
    <w:rsid w:val="15565F6D"/>
    <w:rsid w:val="15597637"/>
    <w:rsid w:val="155C2C83"/>
    <w:rsid w:val="15655FDB"/>
    <w:rsid w:val="1567082B"/>
    <w:rsid w:val="156C1118"/>
    <w:rsid w:val="157D0C04"/>
    <w:rsid w:val="158C5316"/>
    <w:rsid w:val="1594066F"/>
    <w:rsid w:val="159643E7"/>
    <w:rsid w:val="15AE0FF3"/>
    <w:rsid w:val="15AE4CA6"/>
    <w:rsid w:val="15B34F99"/>
    <w:rsid w:val="15BF17B8"/>
    <w:rsid w:val="15C701A6"/>
    <w:rsid w:val="15D40867"/>
    <w:rsid w:val="15EE7D7F"/>
    <w:rsid w:val="15F31839"/>
    <w:rsid w:val="15FF67D8"/>
    <w:rsid w:val="16072265"/>
    <w:rsid w:val="16117F11"/>
    <w:rsid w:val="16223297"/>
    <w:rsid w:val="163A700E"/>
    <w:rsid w:val="163D5A89"/>
    <w:rsid w:val="1646689F"/>
    <w:rsid w:val="164A7ADC"/>
    <w:rsid w:val="164E703A"/>
    <w:rsid w:val="165733D1"/>
    <w:rsid w:val="167175C0"/>
    <w:rsid w:val="1672275E"/>
    <w:rsid w:val="167F4E7B"/>
    <w:rsid w:val="16945399"/>
    <w:rsid w:val="16A91EF8"/>
    <w:rsid w:val="16B07E84"/>
    <w:rsid w:val="16B23087"/>
    <w:rsid w:val="16B40FC8"/>
    <w:rsid w:val="16BA4105"/>
    <w:rsid w:val="16BC3EE5"/>
    <w:rsid w:val="16E87A6C"/>
    <w:rsid w:val="17011D34"/>
    <w:rsid w:val="17101F77"/>
    <w:rsid w:val="173F1493"/>
    <w:rsid w:val="17457E73"/>
    <w:rsid w:val="174F2A9F"/>
    <w:rsid w:val="175E3991"/>
    <w:rsid w:val="176522C3"/>
    <w:rsid w:val="176A1687"/>
    <w:rsid w:val="176F6C9D"/>
    <w:rsid w:val="17735A03"/>
    <w:rsid w:val="17782CA9"/>
    <w:rsid w:val="17AA49C7"/>
    <w:rsid w:val="17BA710E"/>
    <w:rsid w:val="17C31746"/>
    <w:rsid w:val="17E07BBF"/>
    <w:rsid w:val="17F53EC5"/>
    <w:rsid w:val="180025B8"/>
    <w:rsid w:val="18003D99"/>
    <w:rsid w:val="18295170"/>
    <w:rsid w:val="183D35E1"/>
    <w:rsid w:val="18492C74"/>
    <w:rsid w:val="18695DE3"/>
    <w:rsid w:val="186D63A9"/>
    <w:rsid w:val="186E33F9"/>
    <w:rsid w:val="187A7FF0"/>
    <w:rsid w:val="187D188E"/>
    <w:rsid w:val="187D53EA"/>
    <w:rsid w:val="18814F90"/>
    <w:rsid w:val="188E3870"/>
    <w:rsid w:val="18D10AD9"/>
    <w:rsid w:val="18D95880"/>
    <w:rsid w:val="18EB3680"/>
    <w:rsid w:val="18F51424"/>
    <w:rsid w:val="18FE477D"/>
    <w:rsid w:val="18FF22A3"/>
    <w:rsid w:val="190776E2"/>
    <w:rsid w:val="190873AA"/>
    <w:rsid w:val="191320E9"/>
    <w:rsid w:val="19137AFC"/>
    <w:rsid w:val="191A0E8B"/>
    <w:rsid w:val="191A5E87"/>
    <w:rsid w:val="191C4C03"/>
    <w:rsid w:val="19241D0A"/>
    <w:rsid w:val="192E7CCB"/>
    <w:rsid w:val="193A44C1"/>
    <w:rsid w:val="1954439D"/>
    <w:rsid w:val="19722A75"/>
    <w:rsid w:val="19855AE2"/>
    <w:rsid w:val="19A03A86"/>
    <w:rsid w:val="19AC242B"/>
    <w:rsid w:val="19BA3BF4"/>
    <w:rsid w:val="19BB289A"/>
    <w:rsid w:val="19CD3282"/>
    <w:rsid w:val="19D8661D"/>
    <w:rsid w:val="19DD25E4"/>
    <w:rsid w:val="19EF2318"/>
    <w:rsid w:val="19F56590"/>
    <w:rsid w:val="1A037B71"/>
    <w:rsid w:val="1A0B0887"/>
    <w:rsid w:val="1A0F6516"/>
    <w:rsid w:val="1A134FCE"/>
    <w:rsid w:val="1A1F5268"/>
    <w:rsid w:val="1A2A14B1"/>
    <w:rsid w:val="1A2E2E40"/>
    <w:rsid w:val="1A330075"/>
    <w:rsid w:val="1A3441CE"/>
    <w:rsid w:val="1A473F02"/>
    <w:rsid w:val="1A5064DF"/>
    <w:rsid w:val="1A5064FB"/>
    <w:rsid w:val="1A525246"/>
    <w:rsid w:val="1A693E78"/>
    <w:rsid w:val="1A757A10"/>
    <w:rsid w:val="1A7A6085"/>
    <w:rsid w:val="1A82066E"/>
    <w:rsid w:val="1A824F3A"/>
    <w:rsid w:val="1A9A6727"/>
    <w:rsid w:val="1AA479D9"/>
    <w:rsid w:val="1AAA261B"/>
    <w:rsid w:val="1AAD645B"/>
    <w:rsid w:val="1AB6166D"/>
    <w:rsid w:val="1AB62E35"/>
    <w:rsid w:val="1ACB7F4D"/>
    <w:rsid w:val="1AE15BD2"/>
    <w:rsid w:val="1AE17EB2"/>
    <w:rsid w:val="1AE31E7C"/>
    <w:rsid w:val="1AFC2F3E"/>
    <w:rsid w:val="1B063DBD"/>
    <w:rsid w:val="1B092D1A"/>
    <w:rsid w:val="1B267688"/>
    <w:rsid w:val="1B2A1722"/>
    <w:rsid w:val="1B2A6CD9"/>
    <w:rsid w:val="1B392C89"/>
    <w:rsid w:val="1B3B6643"/>
    <w:rsid w:val="1B3C333B"/>
    <w:rsid w:val="1B496795"/>
    <w:rsid w:val="1B542BCF"/>
    <w:rsid w:val="1B666609"/>
    <w:rsid w:val="1B8076CB"/>
    <w:rsid w:val="1B9E3FF5"/>
    <w:rsid w:val="1BA333BA"/>
    <w:rsid w:val="1BA571E5"/>
    <w:rsid w:val="1BCA00BC"/>
    <w:rsid w:val="1BD41838"/>
    <w:rsid w:val="1BD71F88"/>
    <w:rsid w:val="1BDC68CC"/>
    <w:rsid w:val="1BED43A3"/>
    <w:rsid w:val="1BF05288"/>
    <w:rsid w:val="1BF400B9"/>
    <w:rsid w:val="1BFD6F6E"/>
    <w:rsid w:val="1C1125FD"/>
    <w:rsid w:val="1C2208E7"/>
    <w:rsid w:val="1C2838BF"/>
    <w:rsid w:val="1C3A1F70"/>
    <w:rsid w:val="1C5F19D6"/>
    <w:rsid w:val="1C67088B"/>
    <w:rsid w:val="1C6C5EA1"/>
    <w:rsid w:val="1C6E5251"/>
    <w:rsid w:val="1C8B5FB5"/>
    <w:rsid w:val="1CB24FF4"/>
    <w:rsid w:val="1CB475FC"/>
    <w:rsid w:val="1CB810E7"/>
    <w:rsid w:val="1CC23D13"/>
    <w:rsid w:val="1CD777BF"/>
    <w:rsid w:val="1CE84555"/>
    <w:rsid w:val="1CEB4191"/>
    <w:rsid w:val="1CF540E9"/>
    <w:rsid w:val="1CF71C0F"/>
    <w:rsid w:val="1CFD2F9D"/>
    <w:rsid w:val="1D232A04"/>
    <w:rsid w:val="1D303373"/>
    <w:rsid w:val="1D677FC0"/>
    <w:rsid w:val="1D6848BB"/>
    <w:rsid w:val="1D6923E1"/>
    <w:rsid w:val="1D733B41"/>
    <w:rsid w:val="1D7F0C25"/>
    <w:rsid w:val="1DA3114B"/>
    <w:rsid w:val="1DA35BF9"/>
    <w:rsid w:val="1DB93368"/>
    <w:rsid w:val="1DC256AB"/>
    <w:rsid w:val="1DC72084"/>
    <w:rsid w:val="1DCD6BEA"/>
    <w:rsid w:val="1DD106B2"/>
    <w:rsid w:val="1DD7559C"/>
    <w:rsid w:val="1DEF6D8A"/>
    <w:rsid w:val="1DF24184"/>
    <w:rsid w:val="1E14234D"/>
    <w:rsid w:val="1E287DB6"/>
    <w:rsid w:val="1E2F17CE"/>
    <w:rsid w:val="1E3F4573"/>
    <w:rsid w:val="1E454970"/>
    <w:rsid w:val="1E474C7B"/>
    <w:rsid w:val="1E5A2ED1"/>
    <w:rsid w:val="1E85469D"/>
    <w:rsid w:val="1E892D3B"/>
    <w:rsid w:val="1E8F7C25"/>
    <w:rsid w:val="1E91399D"/>
    <w:rsid w:val="1EB458DE"/>
    <w:rsid w:val="1EBF050A"/>
    <w:rsid w:val="1EC91389"/>
    <w:rsid w:val="1EC93137"/>
    <w:rsid w:val="1EDB2E6A"/>
    <w:rsid w:val="1EEA61F3"/>
    <w:rsid w:val="1EF060FE"/>
    <w:rsid w:val="1F06465C"/>
    <w:rsid w:val="1F0827F2"/>
    <w:rsid w:val="1F114ADE"/>
    <w:rsid w:val="1F1F369F"/>
    <w:rsid w:val="1F2D6BC3"/>
    <w:rsid w:val="1F4924CA"/>
    <w:rsid w:val="1F5218AC"/>
    <w:rsid w:val="1F5C3FAB"/>
    <w:rsid w:val="1F6321DF"/>
    <w:rsid w:val="1F6F64FB"/>
    <w:rsid w:val="1F98137F"/>
    <w:rsid w:val="1F9B6F21"/>
    <w:rsid w:val="1FA407DF"/>
    <w:rsid w:val="1FAC223E"/>
    <w:rsid w:val="1FC03E6A"/>
    <w:rsid w:val="1FC3227C"/>
    <w:rsid w:val="1FC6467C"/>
    <w:rsid w:val="1FDD29C9"/>
    <w:rsid w:val="1FF151B1"/>
    <w:rsid w:val="20025C29"/>
    <w:rsid w:val="200C3C23"/>
    <w:rsid w:val="200C6AA4"/>
    <w:rsid w:val="200E0A69"/>
    <w:rsid w:val="201D7A78"/>
    <w:rsid w:val="204010F1"/>
    <w:rsid w:val="20423D70"/>
    <w:rsid w:val="20497651"/>
    <w:rsid w:val="204A02A8"/>
    <w:rsid w:val="205477BB"/>
    <w:rsid w:val="20694BCD"/>
    <w:rsid w:val="207D156B"/>
    <w:rsid w:val="20843DD0"/>
    <w:rsid w:val="20881C02"/>
    <w:rsid w:val="209D2105"/>
    <w:rsid w:val="209F6845"/>
    <w:rsid w:val="20A0611A"/>
    <w:rsid w:val="20BD4F1E"/>
    <w:rsid w:val="210157CC"/>
    <w:rsid w:val="212154AC"/>
    <w:rsid w:val="21254871"/>
    <w:rsid w:val="212E5E1B"/>
    <w:rsid w:val="213056EF"/>
    <w:rsid w:val="214454EF"/>
    <w:rsid w:val="21556040"/>
    <w:rsid w:val="216E446A"/>
    <w:rsid w:val="21723F5A"/>
    <w:rsid w:val="217A4BBD"/>
    <w:rsid w:val="21885277"/>
    <w:rsid w:val="21D4251F"/>
    <w:rsid w:val="21D544E9"/>
    <w:rsid w:val="21D839C3"/>
    <w:rsid w:val="21D902C5"/>
    <w:rsid w:val="21EF7359"/>
    <w:rsid w:val="21F67E7A"/>
    <w:rsid w:val="21FE134A"/>
    <w:rsid w:val="2205092A"/>
    <w:rsid w:val="22097CEF"/>
    <w:rsid w:val="220A4192"/>
    <w:rsid w:val="22104313"/>
    <w:rsid w:val="22183599"/>
    <w:rsid w:val="22250295"/>
    <w:rsid w:val="222C1C9F"/>
    <w:rsid w:val="22383861"/>
    <w:rsid w:val="22461307"/>
    <w:rsid w:val="224A0192"/>
    <w:rsid w:val="224E5D01"/>
    <w:rsid w:val="22574EFE"/>
    <w:rsid w:val="2261739B"/>
    <w:rsid w:val="226A4C31"/>
    <w:rsid w:val="22720BE8"/>
    <w:rsid w:val="22916662"/>
    <w:rsid w:val="229D32CF"/>
    <w:rsid w:val="22EE13BE"/>
    <w:rsid w:val="22EF562B"/>
    <w:rsid w:val="23047A11"/>
    <w:rsid w:val="23056BE4"/>
    <w:rsid w:val="233E10F9"/>
    <w:rsid w:val="233E262A"/>
    <w:rsid w:val="233F1C1A"/>
    <w:rsid w:val="23425BAE"/>
    <w:rsid w:val="234324B7"/>
    <w:rsid w:val="23452FA8"/>
    <w:rsid w:val="23502079"/>
    <w:rsid w:val="23614286"/>
    <w:rsid w:val="23675615"/>
    <w:rsid w:val="236D0A4E"/>
    <w:rsid w:val="23700025"/>
    <w:rsid w:val="237369FB"/>
    <w:rsid w:val="23775858"/>
    <w:rsid w:val="2378512C"/>
    <w:rsid w:val="237E7E26"/>
    <w:rsid w:val="238A7846"/>
    <w:rsid w:val="2398246B"/>
    <w:rsid w:val="23A777BF"/>
    <w:rsid w:val="23AB0F1F"/>
    <w:rsid w:val="23B94F02"/>
    <w:rsid w:val="23DB233D"/>
    <w:rsid w:val="23ED5D2E"/>
    <w:rsid w:val="23F57877"/>
    <w:rsid w:val="23F944BF"/>
    <w:rsid w:val="23FE282D"/>
    <w:rsid w:val="240B0553"/>
    <w:rsid w:val="241815EB"/>
    <w:rsid w:val="24313071"/>
    <w:rsid w:val="243472A5"/>
    <w:rsid w:val="244020ED"/>
    <w:rsid w:val="24547BF1"/>
    <w:rsid w:val="24686E21"/>
    <w:rsid w:val="248225D2"/>
    <w:rsid w:val="2485348A"/>
    <w:rsid w:val="24981900"/>
    <w:rsid w:val="24AA3A0B"/>
    <w:rsid w:val="24AD730D"/>
    <w:rsid w:val="24C04FDC"/>
    <w:rsid w:val="24C06D8A"/>
    <w:rsid w:val="24DD5B8E"/>
    <w:rsid w:val="24DF2456"/>
    <w:rsid w:val="24F829C8"/>
    <w:rsid w:val="25011BFC"/>
    <w:rsid w:val="2503226E"/>
    <w:rsid w:val="25090731"/>
    <w:rsid w:val="25134795"/>
    <w:rsid w:val="252735BD"/>
    <w:rsid w:val="253D4381"/>
    <w:rsid w:val="253D487F"/>
    <w:rsid w:val="254A43CB"/>
    <w:rsid w:val="25576C1D"/>
    <w:rsid w:val="255F2F8E"/>
    <w:rsid w:val="256D503F"/>
    <w:rsid w:val="25797F62"/>
    <w:rsid w:val="257D2ECD"/>
    <w:rsid w:val="258204E4"/>
    <w:rsid w:val="25C07624"/>
    <w:rsid w:val="25CB1E8B"/>
    <w:rsid w:val="25D00E85"/>
    <w:rsid w:val="25FE400E"/>
    <w:rsid w:val="26040EF9"/>
    <w:rsid w:val="2604539D"/>
    <w:rsid w:val="26057D67"/>
    <w:rsid w:val="260A1105"/>
    <w:rsid w:val="260D4251"/>
    <w:rsid w:val="260E3B25"/>
    <w:rsid w:val="26153106"/>
    <w:rsid w:val="26184F11"/>
    <w:rsid w:val="26235823"/>
    <w:rsid w:val="26301CEE"/>
    <w:rsid w:val="26345C82"/>
    <w:rsid w:val="26347A30"/>
    <w:rsid w:val="263C0693"/>
    <w:rsid w:val="263F60ED"/>
    <w:rsid w:val="2641404B"/>
    <w:rsid w:val="26760048"/>
    <w:rsid w:val="267918E7"/>
    <w:rsid w:val="268426C8"/>
    <w:rsid w:val="268E2015"/>
    <w:rsid w:val="26961EDB"/>
    <w:rsid w:val="26976211"/>
    <w:rsid w:val="26A81BFC"/>
    <w:rsid w:val="26A92AB7"/>
    <w:rsid w:val="26B32AF0"/>
    <w:rsid w:val="26C54B2C"/>
    <w:rsid w:val="26D0702D"/>
    <w:rsid w:val="26EF7F88"/>
    <w:rsid w:val="26F15921"/>
    <w:rsid w:val="26FE7671"/>
    <w:rsid w:val="271F5995"/>
    <w:rsid w:val="272730F1"/>
    <w:rsid w:val="273D185B"/>
    <w:rsid w:val="274F43F6"/>
    <w:rsid w:val="27554102"/>
    <w:rsid w:val="27600D1B"/>
    <w:rsid w:val="2767173F"/>
    <w:rsid w:val="276C03E9"/>
    <w:rsid w:val="27706BF2"/>
    <w:rsid w:val="27784E87"/>
    <w:rsid w:val="27806CA5"/>
    <w:rsid w:val="27873B8F"/>
    <w:rsid w:val="27897907"/>
    <w:rsid w:val="278C389C"/>
    <w:rsid w:val="27A24CE0"/>
    <w:rsid w:val="27A504B9"/>
    <w:rsid w:val="27AC7A9A"/>
    <w:rsid w:val="27B86BB3"/>
    <w:rsid w:val="27DB3EDB"/>
    <w:rsid w:val="27F8683B"/>
    <w:rsid w:val="280766F8"/>
    <w:rsid w:val="280F4C47"/>
    <w:rsid w:val="281507EE"/>
    <w:rsid w:val="281F356A"/>
    <w:rsid w:val="28395B38"/>
    <w:rsid w:val="28440022"/>
    <w:rsid w:val="284D3072"/>
    <w:rsid w:val="285A5748"/>
    <w:rsid w:val="285D2B42"/>
    <w:rsid w:val="28616B57"/>
    <w:rsid w:val="287E19CB"/>
    <w:rsid w:val="28866BF1"/>
    <w:rsid w:val="28902616"/>
    <w:rsid w:val="289E385C"/>
    <w:rsid w:val="28B46C06"/>
    <w:rsid w:val="28B74948"/>
    <w:rsid w:val="28C22A00"/>
    <w:rsid w:val="28CF3A40"/>
    <w:rsid w:val="28D252DE"/>
    <w:rsid w:val="28EC341E"/>
    <w:rsid w:val="28F267EC"/>
    <w:rsid w:val="28FC611F"/>
    <w:rsid w:val="29024C5F"/>
    <w:rsid w:val="29192782"/>
    <w:rsid w:val="296C7758"/>
    <w:rsid w:val="297C6823"/>
    <w:rsid w:val="297D1117"/>
    <w:rsid w:val="29892D57"/>
    <w:rsid w:val="298E7457"/>
    <w:rsid w:val="29AA1DB7"/>
    <w:rsid w:val="29BA649E"/>
    <w:rsid w:val="29BC0849"/>
    <w:rsid w:val="29C9356B"/>
    <w:rsid w:val="29E2214C"/>
    <w:rsid w:val="29EA3E3E"/>
    <w:rsid w:val="29EB2AFB"/>
    <w:rsid w:val="2A1658FC"/>
    <w:rsid w:val="2A187669"/>
    <w:rsid w:val="2A2F4B69"/>
    <w:rsid w:val="2A375D41"/>
    <w:rsid w:val="2A48370D"/>
    <w:rsid w:val="2A4A1DF1"/>
    <w:rsid w:val="2A57508D"/>
    <w:rsid w:val="2A5C68F2"/>
    <w:rsid w:val="2A5E32CD"/>
    <w:rsid w:val="2A735B5B"/>
    <w:rsid w:val="2A740C09"/>
    <w:rsid w:val="2A7B5C7C"/>
    <w:rsid w:val="2A841DAD"/>
    <w:rsid w:val="2AA36F32"/>
    <w:rsid w:val="2AB22DDE"/>
    <w:rsid w:val="2AC47462"/>
    <w:rsid w:val="2AE5754B"/>
    <w:rsid w:val="2AE632C3"/>
    <w:rsid w:val="2AE65071"/>
    <w:rsid w:val="2AFA50E7"/>
    <w:rsid w:val="2AFB6D6E"/>
    <w:rsid w:val="2B057BED"/>
    <w:rsid w:val="2B1C0A93"/>
    <w:rsid w:val="2B277B63"/>
    <w:rsid w:val="2B2C75A8"/>
    <w:rsid w:val="2B3A4E50"/>
    <w:rsid w:val="2B3B594E"/>
    <w:rsid w:val="2B434271"/>
    <w:rsid w:val="2B483D91"/>
    <w:rsid w:val="2B5F35DF"/>
    <w:rsid w:val="2B603075"/>
    <w:rsid w:val="2B6A14A8"/>
    <w:rsid w:val="2B764647"/>
    <w:rsid w:val="2B980CA0"/>
    <w:rsid w:val="2BA61037"/>
    <w:rsid w:val="2BAA087A"/>
    <w:rsid w:val="2BAA2906"/>
    <w:rsid w:val="2BE64D82"/>
    <w:rsid w:val="2BEC4909"/>
    <w:rsid w:val="2C026866"/>
    <w:rsid w:val="2C1B6F9C"/>
    <w:rsid w:val="2C2677FD"/>
    <w:rsid w:val="2C414C55"/>
    <w:rsid w:val="2C540466"/>
    <w:rsid w:val="2C5A5D16"/>
    <w:rsid w:val="2C622E1D"/>
    <w:rsid w:val="2C7C53A9"/>
    <w:rsid w:val="2C7D0E82"/>
    <w:rsid w:val="2C844B41"/>
    <w:rsid w:val="2C867B93"/>
    <w:rsid w:val="2C956D4E"/>
    <w:rsid w:val="2CAB6572"/>
    <w:rsid w:val="2CB61237"/>
    <w:rsid w:val="2CC45A66"/>
    <w:rsid w:val="2CCE2260"/>
    <w:rsid w:val="2D015201"/>
    <w:rsid w:val="2D085772"/>
    <w:rsid w:val="2D087520"/>
    <w:rsid w:val="2D0F532B"/>
    <w:rsid w:val="2D202ABC"/>
    <w:rsid w:val="2D291971"/>
    <w:rsid w:val="2D2B4AE5"/>
    <w:rsid w:val="2D2D342B"/>
    <w:rsid w:val="2D3740B8"/>
    <w:rsid w:val="2D47203D"/>
    <w:rsid w:val="2D5D6194"/>
    <w:rsid w:val="2D71156A"/>
    <w:rsid w:val="2D7303C5"/>
    <w:rsid w:val="2D7C5288"/>
    <w:rsid w:val="2D8D306A"/>
    <w:rsid w:val="2D904132"/>
    <w:rsid w:val="2D9E7C8C"/>
    <w:rsid w:val="2DA107C0"/>
    <w:rsid w:val="2DB15E0A"/>
    <w:rsid w:val="2DCF44E2"/>
    <w:rsid w:val="2DE00B11"/>
    <w:rsid w:val="2DF14458"/>
    <w:rsid w:val="2E0917A2"/>
    <w:rsid w:val="2E13617D"/>
    <w:rsid w:val="2E1F2F1E"/>
    <w:rsid w:val="2E2E2FB7"/>
    <w:rsid w:val="2E3405BB"/>
    <w:rsid w:val="2E507989"/>
    <w:rsid w:val="2E5F2166"/>
    <w:rsid w:val="2E65069C"/>
    <w:rsid w:val="2E652751"/>
    <w:rsid w:val="2E67296D"/>
    <w:rsid w:val="2E6B020C"/>
    <w:rsid w:val="2E744194"/>
    <w:rsid w:val="2E764E5E"/>
    <w:rsid w:val="2E823302"/>
    <w:rsid w:val="2E885C33"/>
    <w:rsid w:val="2E9A064C"/>
    <w:rsid w:val="2E9F3EB4"/>
    <w:rsid w:val="2EAB2859"/>
    <w:rsid w:val="2EAC037F"/>
    <w:rsid w:val="2EAE5EA6"/>
    <w:rsid w:val="2EB15996"/>
    <w:rsid w:val="2EC47989"/>
    <w:rsid w:val="2ED333BB"/>
    <w:rsid w:val="2ED718A0"/>
    <w:rsid w:val="2EFE507F"/>
    <w:rsid w:val="2F032695"/>
    <w:rsid w:val="2F0361F1"/>
    <w:rsid w:val="2F126434"/>
    <w:rsid w:val="2F2B1BEC"/>
    <w:rsid w:val="2F340AA1"/>
    <w:rsid w:val="2F35262C"/>
    <w:rsid w:val="2F371CBB"/>
    <w:rsid w:val="2F3F2FA2"/>
    <w:rsid w:val="2F451247"/>
    <w:rsid w:val="2F4C7559"/>
    <w:rsid w:val="2F5C1DA5"/>
    <w:rsid w:val="2F7F6795"/>
    <w:rsid w:val="2F8F217B"/>
    <w:rsid w:val="2FA5374C"/>
    <w:rsid w:val="2FB35672"/>
    <w:rsid w:val="2FCC0CD9"/>
    <w:rsid w:val="2FCC2644"/>
    <w:rsid w:val="2FCE2B17"/>
    <w:rsid w:val="2FCE2CA3"/>
    <w:rsid w:val="2FE14059"/>
    <w:rsid w:val="2FE148C0"/>
    <w:rsid w:val="2FE75B13"/>
    <w:rsid w:val="2FF0391A"/>
    <w:rsid w:val="2FF40AB2"/>
    <w:rsid w:val="2FF70277"/>
    <w:rsid w:val="2FF975F4"/>
    <w:rsid w:val="300E28F3"/>
    <w:rsid w:val="30143F92"/>
    <w:rsid w:val="30257F10"/>
    <w:rsid w:val="30412C3F"/>
    <w:rsid w:val="30534F57"/>
    <w:rsid w:val="3056624A"/>
    <w:rsid w:val="305E56A9"/>
    <w:rsid w:val="305F1B4D"/>
    <w:rsid w:val="30627082"/>
    <w:rsid w:val="30717AD3"/>
    <w:rsid w:val="30810763"/>
    <w:rsid w:val="308E7498"/>
    <w:rsid w:val="30903E92"/>
    <w:rsid w:val="30A307D0"/>
    <w:rsid w:val="30A734F4"/>
    <w:rsid w:val="30B83FFE"/>
    <w:rsid w:val="30C45B1C"/>
    <w:rsid w:val="30CC6AB7"/>
    <w:rsid w:val="30E97669"/>
    <w:rsid w:val="30ED7159"/>
    <w:rsid w:val="3102072B"/>
    <w:rsid w:val="310426F5"/>
    <w:rsid w:val="31083655"/>
    <w:rsid w:val="3109737B"/>
    <w:rsid w:val="311A02B8"/>
    <w:rsid w:val="313034EA"/>
    <w:rsid w:val="3143321D"/>
    <w:rsid w:val="31442AF1"/>
    <w:rsid w:val="31464ABB"/>
    <w:rsid w:val="31480833"/>
    <w:rsid w:val="315C7E3B"/>
    <w:rsid w:val="31733646"/>
    <w:rsid w:val="31946F2B"/>
    <w:rsid w:val="31A677D0"/>
    <w:rsid w:val="31B86968"/>
    <w:rsid w:val="31C205E6"/>
    <w:rsid w:val="31E76661"/>
    <w:rsid w:val="320504D2"/>
    <w:rsid w:val="32052280"/>
    <w:rsid w:val="320F4EAD"/>
    <w:rsid w:val="32233681"/>
    <w:rsid w:val="324162A9"/>
    <w:rsid w:val="32705DF9"/>
    <w:rsid w:val="32B21045"/>
    <w:rsid w:val="32B44047"/>
    <w:rsid w:val="32B70E7A"/>
    <w:rsid w:val="32C67F86"/>
    <w:rsid w:val="32CA7F60"/>
    <w:rsid w:val="32CF509C"/>
    <w:rsid w:val="32D305D1"/>
    <w:rsid w:val="32DC7485"/>
    <w:rsid w:val="3308789D"/>
    <w:rsid w:val="33146A92"/>
    <w:rsid w:val="33180A41"/>
    <w:rsid w:val="332205C8"/>
    <w:rsid w:val="332525B0"/>
    <w:rsid w:val="332822E7"/>
    <w:rsid w:val="33332E1D"/>
    <w:rsid w:val="333F5916"/>
    <w:rsid w:val="3341378C"/>
    <w:rsid w:val="334B19C6"/>
    <w:rsid w:val="335E433E"/>
    <w:rsid w:val="33613E2E"/>
    <w:rsid w:val="33694A91"/>
    <w:rsid w:val="33721B98"/>
    <w:rsid w:val="337C0FFF"/>
    <w:rsid w:val="33844E91"/>
    <w:rsid w:val="33873DC4"/>
    <w:rsid w:val="339E6ED8"/>
    <w:rsid w:val="33B00303"/>
    <w:rsid w:val="33B01AC5"/>
    <w:rsid w:val="33B51A84"/>
    <w:rsid w:val="33B640F0"/>
    <w:rsid w:val="33C1667B"/>
    <w:rsid w:val="33CD330B"/>
    <w:rsid w:val="33EA12CC"/>
    <w:rsid w:val="33ED2D63"/>
    <w:rsid w:val="33F52F7C"/>
    <w:rsid w:val="34030A42"/>
    <w:rsid w:val="340A0022"/>
    <w:rsid w:val="340A7A25"/>
    <w:rsid w:val="34134755"/>
    <w:rsid w:val="3423265F"/>
    <w:rsid w:val="34384B8F"/>
    <w:rsid w:val="343B467F"/>
    <w:rsid w:val="345117AD"/>
    <w:rsid w:val="345A00D0"/>
    <w:rsid w:val="34695792"/>
    <w:rsid w:val="3474193F"/>
    <w:rsid w:val="349977F4"/>
    <w:rsid w:val="34A718A1"/>
    <w:rsid w:val="34C313EA"/>
    <w:rsid w:val="34CE72A2"/>
    <w:rsid w:val="34E02B31"/>
    <w:rsid w:val="34EA0519"/>
    <w:rsid w:val="35004F81"/>
    <w:rsid w:val="350B22A4"/>
    <w:rsid w:val="352626E6"/>
    <w:rsid w:val="35262C3A"/>
    <w:rsid w:val="35327830"/>
    <w:rsid w:val="35523A2F"/>
    <w:rsid w:val="35611EC4"/>
    <w:rsid w:val="357B2B5C"/>
    <w:rsid w:val="358468F9"/>
    <w:rsid w:val="358838F4"/>
    <w:rsid w:val="35886381"/>
    <w:rsid w:val="359009FB"/>
    <w:rsid w:val="35942299"/>
    <w:rsid w:val="359758E5"/>
    <w:rsid w:val="359C195C"/>
    <w:rsid w:val="35A6162C"/>
    <w:rsid w:val="35A61FCC"/>
    <w:rsid w:val="35A87372"/>
    <w:rsid w:val="35AA386B"/>
    <w:rsid w:val="35B20971"/>
    <w:rsid w:val="35B91D00"/>
    <w:rsid w:val="35BD45AF"/>
    <w:rsid w:val="35C16EE4"/>
    <w:rsid w:val="35CA381B"/>
    <w:rsid w:val="35D73F34"/>
    <w:rsid w:val="35DF103A"/>
    <w:rsid w:val="35E14DB3"/>
    <w:rsid w:val="3600792F"/>
    <w:rsid w:val="360568F2"/>
    <w:rsid w:val="360F26B6"/>
    <w:rsid w:val="36140CE4"/>
    <w:rsid w:val="36453D49"/>
    <w:rsid w:val="36515879"/>
    <w:rsid w:val="365343EC"/>
    <w:rsid w:val="3656754F"/>
    <w:rsid w:val="365F5BDC"/>
    <w:rsid w:val="36653C36"/>
    <w:rsid w:val="368A369C"/>
    <w:rsid w:val="368F0CB2"/>
    <w:rsid w:val="369577EC"/>
    <w:rsid w:val="369E56BC"/>
    <w:rsid w:val="36AC7A6D"/>
    <w:rsid w:val="36B142F9"/>
    <w:rsid w:val="36B2116A"/>
    <w:rsid w:val="36B81FB7"/>
    <w:rsid w:val="36BB1AA7"/>
    <w:rsid w:val="36E36908"/>
    <w:rsid w:val="37040D59"/>
    <w:rsid w:val="371A4A20"/>
    <w:rsid w:val="3720575C"/>
    <w:rsid w:val="375F2433"/>
    <w:rsid w:val="37887BDC"/>
    <w:rsid w:val="37931B4D"/>
    <w:rsid w:val="379D72C6"/>
    <w:rsid w:val="37A3622A"/>
    <w:rsid w:val="37B81B43"/>
    <w:rsid w:val="37C4498C"/>
    <w:rsid w:val="37D37C18"/>
    <w:rsid w:val="37DA275F"/>
    <w:rsid w:val="37F039D3"/>
    <w:rsid w:val="37F71A1D"/>
    <w:rsid w:val="381274A5"/>
    <w:rsid w:val="38130D6E"/>
    <w:rsid w:val="38161923"/>
    <w:rsid w:val="3828316D"/>
    <w:rsid w:val="3837515E"/>
    <w:rsid w:val="383C2774"/>
    <w:rsid w:val="38415FDC"/>
    <w:rsid w:val="384C0E00"/>
    <w:rsid w:val="384F24A7"/>
    <w:rsid w:val="38521F98"/>
    <w:rsid w:val="38556E05"/>
    <w:rsid w:val="385C2E16"/>
    <w:rsid w:val="38657F1D"/>
    <w:rsid w:val="38683569"/>
    <w:rsid w:val="388D0775"/>
    <w:rsid w:val="389B56ED"/>
    <w:rsid w:val="38A465A6"/>
    <w:rsid w:val="38B04A8C"/>
    <w:rsid w:val="38FF272D"/>
    <w:rsid w:val="390B500D"/>
    <w:rsid w:val="390C0398"/>
    <w:rsid w:val="3925145A"/>
    <w:rsid w:val="393022D9"/>
    <w:rsid w:val="39311BAD"/>
    <w:rsid w:val="393618B9"/>
    <w:rsid w:val="393671C3"/>
    <w:rsid w:val="393A4F06"/>
    <w:rsid w:val="393D6A78"/>
    <w:rsid w:val="394A6544"/>
    <w:rsid w:val="394C3181"/>
    <w:rsid w:val="39504729"/>
    <w:rsid w:val="39592215"/>
    <w:rsid w:val="395C1320"/>
    <w:rsid w:val="39614ACF"/>
    <w:rsid w:val="39693A3D"/>
    <w:rsid w:val="39755F3E"/>
    <w:rsid w:val="39771A8E"/>
    <w:rsid w:val="39916B8B"/>
    <w:rsid w:val="3995462E"/>
    <w:rsid w:val="39A46823"/>
    <w:rsid w:val="39A808FE"/>
    <w:rsid w:val="39B32A88"/>
    <w:rsid w:val="39BC6658"/>
    <w:rsid w:val="39C87740"/>
    <w:rsid w:val="39CD5D7A"/>
    <w:rsid w:val="39D23390"/>
    <w:rsid w:val="39DA1303"/>
    <w:rsid w:val="39F01A68"/>
    <w:rsid w:val="3A0472C2"/>
    <w:rsid w:val="3A127C30"/>
    <w:rsid w:val="3A233BEC"/>
    <w:rsid w:val="3A347BA7"/>
    <w:rsid w:val="3A3B7187"/>
    <w:rsid w:val="3A4F7958"/>
    <w:rsid w:val="3A5340CE"/>
    <w:rsid w:val="3A575643"/>
    <w:rsid w:val="3A66312A"/>
    <w:rsid w:val="3A77082C"/>
    <w:rsid w:val="3A8E5120"/>
    <w:rsid w:val="3A916DA7"/>
    <w:rsid w:val="3A9C236C"/>
    <w:rsid w:val="3ABA1B09"/>
    <w:rsid w:val="3ABB2387"/>
    <w:rsid w:val="3ABC194A"/>
    <w:rsid w:val="3ADD1FEC"/>
    <w:rsid w:val="3AE01ADD"/>
    <w:rsid w:val="3AE02072"/>
    <w:rsid w:val="3AE3337B"/>
    <w:rsid w:val="3AED3225"/>
    <w:rsid w:val="3AEF3ACE"/>
    <w:rsid w:val="3B021A53"/>
    <w:rsid w:val="3B0437AD"/>
    <w:rsid w:val="3B0E664A"/>
    <w:rsid w:val="3B295F7D"/>
    <w:rsid w:val="3B30742C"/>
    <w:rsid w:val="3B356257"/>
    <w:rsid w:val="3B3C5AF6"/>
    <w:rsid w:val="3B4503AF"/>
    <w:rsid w:val="3B493A0A"/>
    <w:rsid w:val="3B9062F7"/>
    <w:rsid w:val="3B9B5A04"/>
    <w:rsid w:val="3B9E5419"/>
    <w:rsid w:val="3BA5548A"/>
    <w:rsid w:val="3BAE6660"/>
    <w:rsid w:val="3BB371F1"/>
    <w:rsid w:val="3BC66826"/>
    <w:rsid w:val="3BEB698B"/>
    <w:rsid w:val="3C101F4E"/>
    <w:rsid w:val="3C1108C0"/>
    <w:rsid w:val="3C2123AD"/>
    <w:rsid w:val="3C265C15"/>
    <w:rsid w:val="3C26756E"/>
    <w:rsid w:val="3C2F43F7"/>
    <w:rsid w:val="3C3A6FCB"/>
    <w:rsid w:val="3C3F65E4"/>
    <w:rsid w:val="3C4D6CFE"/>
    <w:rsid w:val="3C5957EE"/>
    <w:rsid w:val="3C6779A4"/>
    <w:rsid w:val="3C716EE0"/>
    <w:rsid w:val="3C87533C"/>
    <w:rsid w:val="3C8C1F1C"/>
    <w:rsid w:val="3CAD1E92"/>
    <w:rsid w:val="3CBB45AF"/>
    <w:rsid w:val="3CC82828"/>
    <w:rsid w:val="3CC95D4F"/>
    <w:rsid w:val="3CDC19C8"/>
    <w:rsid w:val="3CF278A5"/>
    <w:rsid w:val="3CF63839"/>
    <w:rsid w:val="3CFD6976"/>
    <w:rsid w:val="3D025872"/>
    <w:rsid w:val="3D084FB0"/>
    <w:rsid w:val="3D1625F9"/>
    <w:rsid w:val="3D296970"/>
    <w:rsid w:val="3D2E4D81"/>
    <w:rsid w:val="3D324146"/>
    <w:rsid w:val="3D5134CB"/>
    <w:rsid w:val="3D516CC2"/>
    <w:rsid w:val="3D52791A"/>
    <w:rsid w:val="3D595B76"/>
    <w:rsid w:val="3D694434"/>
    <w:rsid w:val="3D956BAE"/>
    <w:rsid w:val="3DA3025C"/>
    <w:rsid w:val="3DB773FC"/>
    <w:rsid w:val="3DBA4867"/>
    <w:rsid w:val="3DC21E52"/>
    <w:rsid w:val="3DD376D7"/>
    <w:rsid w:val="3DE511B8"/>
    <w:rsid w:val="3E2148E6"/>
    <w:rsid w:val="3E270ACE"/>
    <w:rsid w:val="3E2B1CC9"/>
    <w:rsid w:val="3E374C3C"/>
    <w:rsid w:val="3E3A59A8"/>
    <w:rsid w:val="3E3E2CAF"/>
    <w:rsid w:val="3E5D65FA"/>
    <w:rsid w:val="3E6E552A"/>
    <w:rsid w:val="3E86735F"/>
    <w:rsid w:val="3ECA7AEB"/>
    <w:rsid w:val="3ED74FA5"/>
    <w:rsid w:val="3ED92ACB"/>
    <w:rsid w:val="3EDC5EA0"/>
    <w:rsid w:val="3EDD64D0"/>
    <w:rsid w:val="3EE63801"/>
    <w:rsid w:val="3EEF0540"/>
    <w:rsid w:val="3EF6006E"/>
    <w:rsid w:val="3F0B1D3C"/>
    <w:rsid w:val="3F285800"/>
    <w:rsid w:val="3F402B4A"/>
    <w:rsid w:val="3F5E1B6B"/>
    <w:rsid w:val="3F76656C"/>
    <w:rsid w:val="3F7D3BA5"/>
    <w:rsid w:val="3F7D5B4C"/>
    <w:rsid w:val="3F8A2017"/>
    <w:rsid w:val="3F916525"/>
    <w:rsid w:val="3F930BD7"/>
    <w:rsid w:val="3FA6322C"/>
    <w:rsid w:val="3FB11C9A"/>
    <w:rsid w:val="3FB97B2C"/>
    <w:rsid w:val="3FC75571"/>
    <w:rsid w:val="3FCA4B88"/>
    <w:rsid w:val="3FE931E1"/>
    <w:rsid w:val="3FEB6F5A"/>
    <w:rsid w:val="3FEC7E9B"/>
    <w:rsid w:val="3FFA00B1"/>
    <w:rsid w:val="40001CEE"/>
    <w:rsid w:val="40095632"/>
    <w:rsid w:val="400B75FC"/>
    <w:rsid w:val="400E0E9A"/>
    <w:rsid w:val="401E1A89"/>
    <w:rsid w:val="4021297B"/>
    <w:rsid w:val="4035319B"/>
    <w:rsid w:val="40463AB2"/>
    <w:rsid w:val="40507E8F"/>
    <w:rsid w:val="405F3AFD"/>
    <w:rsid w:val="4061546E"/>
    <w:rsid w:val="407F58F4"/>
    <w:rsid w:val="408569C9"/>
    <w:rsid w:val="40880C4C"/>
    <w:rsid w:val="40A166C4"/>
    <w:rsid w:val="40AE302D"/>
    <w:rsid w:val="40C55B80"/>
    <w:rsid w:val="40C854ED"/>
    <w:rsid w:val="40CD6944"/>
    <w:rsid w:val="40FD165F"/>
    <w:rsid w:val="40FD410E"/>
    <w:rsid w:val="4110479E"/>
    <w:rsid w:val="4111727F"/>
    <w:rsid w:val="411B386E"/>
    <w:rsid w:val="412F2E76"/>
    <w:rsid w:val="41335058"/>
    <w:rsid w:val="41434B73"/>
    <w:rsid w:val="41446AC9"/>
    <w:rsid w:val="414D77A0"/>
    <w:rsid w:val="41554456"/>
    <w:rsid w:val="4167271B"/>
    <w:rsid w:val="41676AB4"/>
    <w:rsid w:val="41790595"/>
    <w:rsid w:val="41872596"/>
    <w:rsid w:val="41945E2E"/>
    <w:rsid w:val="41A3665C"/>
    <w:rsid w:val="41AA074E"/>
    <w:rsid w:val="41B45A71"/>
    <w:rsid w:val="41BF557A"/>
    <w:rsid w:val="41D9558A"/>
    <w:rsid w:val="41F2137B"/>
    <w:rsid w:val="41FA7928"/>
    <w:rsid w:val="42073DF3"/>
    <w:rsid w:val="42114C71"/>
    <w:rsid w:val="42186000"/>
    <w:rsid w:val="421F738E"/>
    <w:rsid w:val="42217DE4"/>
    <w:rsid w:val="42277FF1"/>
    <w:rsid w:val="422C1AAB"/>
    <w:rsid w:val="422C3859"/>
    <w:rsid w:val="423A41C8"/>
    <w:rsid w:val="42491726"/>
    <w:rsid w:val="424929BB"/>
    <w:rsid w:val="4252375D"/>
    <w:rsid w:val="42592118"/>
    <w:rsid w:val="425E4F63"/>
    <w:rsid w:val="42635F66"/>
    <w:rsid w:val="42774755"/>
    <w:rsid w:val="427D6F5C"/>
    <w:rsid w:val="42874C92"/>
    <w:rsid w:val="42A00D54"/>
    <w:rsid w:val="42A463CD"/>
    <w:rsid w:val="42B9463D"/>
    <w:rsid w:val="42C35F6C"/>
    <w:rsid w:val="42C76B3B"/>
    <w:rsid w:val="42D33F36"/>
    <w:rsid w:val="43356244"/>
    <w:rsid w:val="43394D4F"/>
    <w:rsid w:val="435C1F1C"/>
    <w:rsid w:val="435D6755"/>
    <w:rsid w:val="435E4682"/>
    <w:rsid w:val="436414A9"/>
    <w:rsid w:val="4367412F"/>
    <w:rsid w:val="436A4639"/>
    <w:rsid w:val="436E5A86"/>
    <w:rsid w:val="4370357A"/>
    <w:rsid w:val="43931DE2"/>
    <w:rsid w:val="43AF64F0"/>
    <w:rsid w:val="43CA332A"/>
    <w:rsid w:val="43E06D85"/>
    <w:rsid w:val="44000AFA"/>
    <w:rsid w:val="440525B4"/>
    <w:rsid w:val="441222F9"/>
    <w:rsid w:val="442742D8"/>
    <w:rsid w:val="442D7CF1"/>
    <w:rsid w:val="444141BE"/>
    <w:rsid w:val="445B4B11"/>
    <w:rsid w:val="448434D9"/>
    <w:rsid w:val="44953B11"/>
    <w:rsid w:val="44A771C7"/>
    <w:rsid w:val="4508410A"/>
    <w:rsid w:val="4517434D"/>
    <w:rsid w:val="45246A6A"/>
    <w:rsid w:val="452B24C8"/>
    <w:rsid w:val="45572623"/>
    <w:rsid w:val="456B28EB"/>
    <w:rsid w:val="457B7B14"/>
    <w:rsid w:val="45812155"/>
    <w:rsid w:val="458E4348"/>
    <w:rsid w:val="459C60A2"/>
    <w:rsid w:val="45AC0F39"/>
    <w:rsid w:val="45CF4C28"/>
    <w:rsid w:val="45E37B58"/>
    <w:rsid w:val="45E5269D"/>
    <w:rsid w:val="45E95E81"/>
    <w:rsid w:val="45E961FB"/>
    <w:rsid w:val="45EA4D0D"/>
    <w:rsid w:val="45EB5E09"/>
    <w:rsid w:val="4607616F"/>
    <w:rsid w:val="460A2104"/>
    <w:rsid w:val="4618253E"/>
    <w:rsid w:val="461E2AF6"/>
    <w:rsid w:val="461F40D3"/>
    <w:rsid w:val="462420C4"/>
    <w:rsid w:val="462813AD"/>
    <w:rsid w:val="46341091"/>
    <w:rsid w:val="46352521"/>
    <w:rsid w:val="464E1FF0"/>
    <w:rsid w:val="464F6C86"/>
    <w:rsid w:val="46565349"/>
    <w:rsid w:val="465D66D7"/>
    <w:rsid w:val="466F1F67"/>
    <w:rsid w:val="467D0B27"/>
    <w:rsid w:val="468123C6"/>
    <w:rsid w:val="46844BE7"/>
    <w:rsid w:val="46873754"/>
    <w:rsid w:val="468C42DA"/>
    <w:rsid w:val="468E4AE3"/>
    <w:rsid w:val="46923DF0"/>
    <w:rsid w:val="46943C0F"/>
    <w:rsid w:val="46BE6485"/>
    <w:rsid w:val="46C87FF5"/>
    <w:rsid w:val="46CE762A"/>
    <w:rsid w:val="46E21B98"/>
    <w:rsid w:val="470F52AC"/>
    <w:rsid w:val="47151F14"/>
    <w:rsid w:val="472F57A0"/>
    <w:rsid w:val="47541888"/>
    <w:rsid w:val="475E6263"/>
    <w:rsid w:val="47835AC3"/>
    <w:rsid w:val="47B10A89"/>
    <w:rsid w:val="47B440D5"/>
    <w:rsid w:val="47C14A44"/>
    <w:rsid w:val="47CF53B3"/>
    <w:rsid w:val="47D06A35"/>
    <w:rsid w:val="48270455"/>
    <w:rsid w:val="484671D9"/>
    <w:rsid w:val="484B4866"/>
    <w:rsid w:val="48627FD5"/>
    <w:rsid w:val="486359A1"/>
    <w:rsid w:val="48684DC2"/>
    <w:rsid w:val="48697143"/>
    <w:rsid w:val="488C33B7"/>
    <w:rsid w:val="48A24858"/>
    <w:rsid w:val="48B00D40"/>
    <w:rsid w:val="48B87BF5"/>
    <w:rsid w:val="48C81A9C"/>
    <w:rsid w:val="48E42798"/>
    <w:rsid w:val="48E91EBC"/>
    <w:rsid w:val="48EA246C"/>
    <w:rsid w:val="48EA3B26"/>
    <w:rsid w:val="490177EE"/>
    <w:rsid w:val="49033566"/>
    <w:rsid w:val="492445E1"/>
    <w:rsid w:val="492C52E4"/>
    <w:rsid w:val="492E435B"/>
    <w:rsid w:val="494C570A"/>
    <w:rsid w:val="49595BC3"/>
    <w:rsid w:val="49635DB3"/>
    <w:rsid w:val="49680FED"/>
    <w:rsid w:val="497004D0"/>
    <w:rsid w:val="497F079E"/>
    <w:rsid w:val="49A540DA"/>
    <w:rsid w:val="49BA7C78"/>
    <w:rsid w:val="49C56A6D"/>
    <w:rsid w:val="49C7166E"/>
    <w:rsid w:val="49D40A5E"/>
    <w:rsid w:val="4A072690"/>
    <w:rsid w:val="4A1531CE"/>
    <w:rsid w:val="4A1B306C"/>
    <w:rsid w:val="4A1E617D"/>
    <w:rsid w:val="4A2131C5"/>
    <w:rsid w:val="4A286FFC"/>
    <w:rsid w:val="4A3E2F33"/>
    <w:rsid w:val="4A6D7D09"/>
    <w:rsid w:val="4A742241"/>
    <w:rsid w:val="4A7B6C61"/>
    <w:rsid w:val="4A7D4C52"/>
    <w:rsid w:val="4A800BE6"/>
    <w:rsid w:val="4A8835F7"/>
    <w:rsid w:val="4A8852F9"/>
    <w:rsid w:val="4A964A98"/>
    <w:rsid w:val="4A977AF4"/>
    <w:rsid w:val="4AA04DE4"/>
    <w:rsid w:val="4AAE7501"/>
    <w:rsid w:val="4AC7285C"/>
    <w:rsid w:val="4ACE1952"/>
    <w:rsid w:val="4AE90539"/>
    <w:rsid w:val="4AEF0CFA"/>
    <w:rsid w:val="4AF066D1"/>
    <w:rsid w:val="4AF13892"/>
    <w:rsid w:val="4AF528F5"/>
    <w:rsid w:val="4AF60EA8"/>
    <w:rsid w:val="4B187071"/>
    <w:rsid w:val="4B1F7EAC"/>
    <w:rsid w:val="4B272E10"/>
    <w:rsid w:val="4B306168"/>
    <w:rsid w:val="4B321EE0"/>
    <w:rsid w:val="4B6840DD"/>
    <w:rsid w:val="4B685902"/>
    <w:rsid w:val="4B747A79"/>
    <w:rsid w:val="4B7C7600"/>
    <w:rsid w:val="4B7D6ED4"/>
    <w:rsid w:val="4B7E5126"/>
    <w:rsid w:val="4B810772"/>
    <w:rsid w:val="4B906C07"/>
    <w:rsid w:val="4B913916"/>
    <w:rsid w:val="4BA8078D"/>
    <w:rsid w:val="4BB16B1F"/>
    <w:rsid w:val="4BBA2F63"/>
    <w:rsid w:val="4BBB26CF"/>
    <w:rsid w:val="4BBE3668"/>
    <w:rsid w:val="4BC92119"/>
    <w:rsid w:val="4BE3142D"/>
    <w:rsid w:val="4BF21670"/>
    <w:rsid w:val="4BF74ED8"/>
    <w:rsid w:val="4BFC429C"/>
    <w:rsid w:val="4C0118B3"/>
    <w:rsid w:val="4C0B504A"/>
    <w:rsid w:val="4C0F06E7"/>
    <w:rsid w:val="4C115694"/>
    <w:rsid w:val="4C172E84"/>
    <w:rsid w:val="4C2E1C41"/>
    <w:rsid w:val="4C365A00"/>
    <w:rsid w:val="4C426F80"/>
    <w:rsid w:val="4C5F7E0E"/>
    <w:rsid w:val="4C627CDE"/>
    <w:rsid w:val="4C6D5CD6"/>
    <w:rsid w:val="4C6D6AD8"/>
    <w:rsid w:val="4C7F7227"/>
    <w:rsid w:val="4C87000A"/>
    <w:rsid w:val="4C89771F"/>
    <w:rsid w:val="4C984BBC"/>
    <w:rsid w:val="4CA824AC"/>
    <w:rsid w:val="4CAF7561"/>
    <w:rsid w:val="4CBB4378"/>
    <w:rsid w:val="4CFF0538"/>
    <w:rsid w:val="4D0A29E9"/>
    <w:rsid w:val="4D112063"/>
    <w:rsid w:val="4D1C122D"/>
    <w:rsid w:val="4D2F391D"/>
    <w:rsid w:val="4D3C7A82"/>
    <w:rsid w:val="4D6252C0"/>
    <w:rsid w:val="4D743A2D"/>
    <w:rsid w:val="4D913927"/>
    <w:rsid w:val="4D9724CF"/>
    <w:rsid w:val="4D9E7AF5"/>
    <w:rsid w:val="4D9F1383"/>
    <w:rsid w:val="4DA44BEC"/>
    <w:rsid w:val="4DAB47C2"/>
    <w:rsid w:val="4DC25ADD"/>
    <w:rsid w:val="4DC80BAD"/>
    <w:rsid w:val="4DD34146"/>
    <w:rsid w:val="4DDA23BB"/>
    <w:rsid w:val="4DE04FD5"/>
    <w:rsid w:val="4DF54B22"/>
    <w:rsid w:val="4DF74D1B"/>
    <w:rsid w:val="4E0336C0"/>
    <w:rsid w:val="4E167ABB"/>
    <w:rsid w:val="4E191136"/>
    <w:rsid w:val="4E275BCF"/>
    <w:rsid w:val="4E305CD9"/>
    <w:rsid w:val="4E5403C0"/>
    <w:rsid w:val="4E587C2C"/>
    <w:rsid w:val="4E6F51FA"/>
    <w:rsid w:val="4E862792"/>
    <w:rsid w:val="4E9F398F"/>
    <w:rsid w:val="4EA24B6F"/>
    <w:rsid w:val="4EAF1A9A"/>
    <w:rsid w:val="4EB1274B"/>
    <w:rsid w:val="4EB946C7"/>
    <w:rsid w:val="4ED366BA"/>
    <w:rsid w:val="4EE2391F"/>
    <w:rsid w:val="4EFD2805"/>
    <w:rsid w:val="4F0A0EE8"/>
    <w:rsid w:val="4F0B7DD0"/>
    <w:rsid w:val="4F1418FD"/>
    <w:rsid w:val="4F1A1B6C"/>
    <w:rsid w:val="4F245FE4"/>
    <w:rsid w:val="4F2630B9"/>
    <w:rsid w:val="4F2A1121"/>
    <w:rsid w:val="4F365C5E"/>
    <w:rsid w:val="4F3A5808"/>
    <w:rsid w:val="4F3F29DB"/>
    <w:rsid w:val="4F6E763C"/>
    <w:rsid w:val="4F6F0016"/>
    <w:rsid w:val="4F7C5DFE"/>
    <w:rsid w:val="4F900D58"/>
    <w:rsid w:val="4F9A00BA"/>
    <w:rsid w:val="4F9C3DCC"/>
    <w:rsid w:val="4FA26F09"/>
    <w:rsid w:val="4FAB6783"/>
    <w:rsid w:val="4FF97471"/>
    <w:rsid w:val="4FFC3EA4"/>
    <w:rsid w:val="50025BF9"/>
    <w:rsid w:val="50035120"/>
    <w:rsid w:val="500362FC"/>
    <w:rsid w:val="501747B4"/>
    <w:rsid w:val="501E15EE"/>
    <w:rsid w:val="50502E09"/>
    <w:rsid w:val="50596E98"/>
    <w:rsid w:val="50724B2D"/>
    <w:rsid w:val="507A5644"/>
    <w:rsid w:val="50833C49"/>
    <w:rsid w:val="508825A3"/>
    <w:rsid w:val="508A7A43"/>
    <w:rsid w:val="508D5E0B"/>
    <w:rsid w:val="50946380"/>
    <w:rsid w:val="50966A6E"/>
    <w:rsid w:val="50AD025B"/>
    <w:rsid w:val="50C730CB"/>
    <w:rsid w:val="50D434CD"/>
    <w:rsid w:val="50E82355"/>
    <w:rsid w:val="50F06DB1"/>
    <w:rsid w:val="50FE200D"/>
    <w:rsid w:val="51121CFE"/>
    <w:rsid w:val="51142088"/>
    <w:rsid w:val="5116195C"/>
    <w:rsid w:val="511B41EA"/>
    <w:rsid w:val="51385D77"/>
    <w:rsid w:val="51387B25"/>
    <w:rsid w:val="51415AB0"/>
    <w:rsid w:val="51516E38"/>
    <w:rsid w:val="516528E4"/>
    <w:rsid w:val="518002D4"/>
    <w:rsid w:val="519138FA"/>
    <w:rsid w:val="5196243B"/>
    <w:rsid w:val="51A46F68"/>
    <w:rsid w:val="51AC0513"/>
    <w:rsid w:val="51AE428B"/>
    <w:rsid w:val="51B761EE"/>
    <w:rsid w:val="51C70EA9"/>
    <w:rsid w:val="51E77260"/>
    <w:rsid w:val="51E97071"/>
    <w:rsid w:val="51F72176"/>
    <w:rsid w:val="5208399B"/>
    <w:rsid w:val="521D27E0"/>
    <w:rsid w:val="521E63A3"/>
    <w:rsid w:val="52214528"/>
    <w:rsid w:val="52285059"/>
    <w:rsid w:val="52303B9C"/>
    <w:rsid w:val="5236391B"/>
    <w:rsid w:val="523670A6"/>
    <w:rsid w:val="52391DA6"/>
    <w:rsid w:val="523B7711"/>
    <w:rsid w:val="52475C21"/>
    <w:rsid w:val="524B7D18"/>
    <w:rsid w:val="52572747"/>
    <w:rsid w:val="525C2965"/>
    <w:rsid w:val="525F2AC7"/>
    <w:rsid w:val="528D5C4E"/>
    <w:rsid w:val="528F3894"/>
    <w:rsid w:val="52B633F7"/>
    <w:rsid w:val="52BE159A"/>
    <w:rsid w:val="52C84ED8"/>
    <w:rsid w:val="52CC055D"/>
    <w:rsid w:val="52D93535"/>
    <w:rsid w:val="52DE53DA"/>
    <w:rsid w:val="52F57CA6"/>
    <w:rsid w:val="52FB3500"/>
    <w:rsid w:val="53071EA5"/>
    <w:rsid w:val="531351CF"/>
    <w:rsid w:val="53237A9C"/>
    <w:rsid w:val="533F163E"/>
    <w:rsid w:val="534766DE"/>
    <w:rsid w:val="53605592"/>
    <w:rsid w:val="53625996"/>
    <w:rsid w:val="537D3F15"/>
    <w:rsid w:val="5382265D"/>
    <w:rsid w:val="53A72D40"/>
    <w:rsid w:val="53AC0356"/>
    <w:rsid w:val="53B35B89"/>
    <w:rsid w:val="53BD3FDB"/>
    <w:rsid w:val="53C51418"/>
    <w:rsid w:val="53E932F1"/>
    <w:rsid w:val="54153D27"/>
    <w:rsid w:val="541F321E"/>
    <w:rsid w:val="543640C4"/>
    <w:rsid w:val="544113E6"/>
    <w:rsid w:val="54416526"/>
    <w:rsid w:val="5445474F"/>
    <w:rsid w:val="544D66EF"/>
    <w:rsid w:val="546141E6"/>
    <w:rsid w:val="54660E4D"/>
    <w:rsid w:val="547D2A84"/>
    <w:rsid w:val="548949ED"/>
    <w:rsid w:val="548B7B21"/>
    <w:rsid w:val="54B971CF"/>
    <w:rsid w:val="54BC6CBF"/>
    <w:rsid w:val="54C77463"/>
    <w:rsid w:val="54FE1085"/>
    <w:rsid w:val="55142657"/>
    <w:rsid w:val="553E5926"/>
    <w:rsid w:val="553F5B7D"/>
    <w:rsid w:val="55432F3C"/>
    <w:rsid w:val="55472A2C"/>
    <w:rsid w:val="554C1DF1"/>
    <w:rsid w:val="554E4764"/>
    <w:rsid w:val="5557518A"/>
    <w:rsid w:val="555A181E"/>
    <w:rsid w:val="555E6993"/>
    <w:rsid w:val="556D1D67"/>
    <w:rsid w:val="556F1F83"/>
    <w:rsid w:val="557B4484"/>
    <w:rsid w:val="55985036"/>
    <w:rsid w:val="55A559A5"/>
    <w:rsid w:val="55AA1674"/>
    <w:rsid w:val="55B81195"/>
    <w:rsid w:val="55BD4A9D"/>
    <w:rsid w:val="55C20FD9"/>
    <w:rsid w:val="55CE2806"/>
    <w:rsid w:val="55EB68A7"/>
    <w:rsid w:val="55EF09CE"/>
    <w:rsid w:val="55F14746"/>
    <w:rsid w:val="55F52488"/>
    <w:rsid w:val="55FF50B5"/>
    <w:rsid w:val="560E70A6"/>
    <w:rsid w:val="562C39D0"/>
    <w:rsid w:val="56327239"/>
    <w:rsid w:val="56407B31"/>
    <w:rsid w:val="564451BE"/>
    <w:rsid w:val="565060B6"/>
    <w:rsid w:val="565C2507"/>
    <w:rsid w:val="567D7BCB"/>
    <w:rsid w:val="56A83F47"/>
    <w:rsid w:val="56AF0889"/>
    <w:rsid w:val="56B45E9F"/>
    <w:rsid w:val="56B7148A"/>
    <w:rsid w:val="56C365FD"/>
    <w:rsid w:val="56C80121"/>
    <w:rsid w:val="56F71510"/>
    <w:rsid w:val="56FC342C"/>
    <w:rsid w:val="5719343A"/>
    <w:rsid w:val="571C1C97"/>
    <w:rsid w:val="573174F0"/>
    <w:rsid w:val="5737262D"/>
    <w:rsid w:val="573A3ECB"/>
    <w:rsid w:val="573E7E5F"/>
    <w:rsid w:val="575D27C8"/>
    <w:rsid w:val="576378C6"/>
    <w:rsid w:val="5765537C"/>
    <w:rsid w:val="5773022F"/>
    <w:rsid w:val="577473DD"/>
    <w:rsid w:val="577616A4"/>
    <w:rsid w:val="57835872"/>
    <w:rsid w:val="57835DC2"/>
    <w:rsid w:val="578E4942"/>
    <w:rsid w:val="57961A49"/>
    <w:rsid w:val="579E26AC"/>
    <w:rsid w:val="57B05C93"/>
    <w:rsid w:val="57B65C47"/>
    <w:rsid w:val="57C9597B"/>
    <w:rsid w:val="57CA524F"/>
    <w:rsid w:val="57CC66EF"/>
    <w:rsid w:val="57F12FF3"/>
    <w:rsid w:val="58000079"/>
    <w:rsid w:val="58004F89"/>
    <w:rsid w:val="580746F5"/>
    <w:rsid w:val="580F73E0"/>
    <w:rsid w:val="58306D10"/>
    <w:rsid w:val="58393981"/>
    <w:rsid w:val="5842572D"/>
    <w:rsid w:val="585F62DF"/>
    <w:rsid w:val="5862479B"/>
    <w:rsid w:val="587A2719"/>
    <w:rsid w:val="588875E4"/>
    <w:rsid w:val="58A40196"/>
    <w:rsid w:val="58BA28FE"/>
    <w:rsid w:val="58CA53CD"/>
    <w:rsid w:val="58CB4E38"/>
    <w:rsid w:val="58DB2371"/>
    <w:rsid w:val="58E223C6"/>
    <w:rsid w:val="58FF4335"/>
    <w:rsid w:val="59077E9E"/>
    <w:rsid w:val="591A0A0D"/>
    <w:rsid w:val="591F7277"/>
    <w:rsid w:val="5927664D"/>
    <w:rsid w:val="592B61C1"/>
    <w:rsid w:val="592E180D"/>
    <w:rsid w:val="5937711B"/>
    <w:rsid w:val="59396B30"/>
    <w:rsid w:val="593E7E74"/>
    <w:rsid w:val="59455B22"/>
    <w:rsid w:val="59605E6B"/>
    <w:rsid w:val="5966544B"/>
    <w:rsid w:val="596671F9"/>
    <w:rsid w:val="59695CCD"/>
    <w:rsid w:val="59747B68"/>
    <w:rsid w:val="5992712F"/>
    <w:rsid w:val="59A10231"/>
    <w:rsid w:val="59B015EE"/>
    <w:rsid w:val="59CF4D9E"/>
    <w:rsid w:val="59D802D6"/>
    <w:rsid w:val="59DB6802"/>
    <w:rsid w:val="59E07178"/>
    <w:rsid w:val="5A0B388A"/>
    <w:rsid w:val="5A0C4C95"/>
    <w:rsid w:val="5A1402C9"/>
    <w:rsid w:val="5A1425E2"/>
    <w:rsid w:val="5A2413B5"/>
    <w:rsid w:val="5A274BDA"/>
    <w:rsid w:val="5A317807"/>
    <w:rsid w:val="5A4578B9"/>
    <w:rsid w:val="5A496657"/>
    <w:rsid w:val="5A9102A6"/>
    <w:rsid w:val="5A9F29C3"/>
    <w:rsid w:val="5AB32912"/>
    <w:rsid w:val="5AD004B8"/>
    <w:rsid w:val="5AEC2B60"/>
    <w:rsid w:val="5AF50835"/>
    <w:rsid w:val="5AF745AD"/>
    <w:rsid w:val="5B0171D9"/>
    <w:rsid w:val="5B084A0C"/>
    <w:rsid w:val="5B0A7B16"/>
    <w:rsid w:val="5B1C06DB"/>
    <w:rsid w:val="5B24736C"/>
    <w:rsid w:val="5B33135D"/>
    <w:rsid w:val="5B340CB0"/>
    <w:rsid w:val="5B3E6EE9"/>
    <w:rsid w:val="5B49752A"/>
    <w:rsid w:val="5B4E3AA2"/>
    <w:rsid w:val="5B500161"/>
    <w:rsid w:val="5B5163B3"/>
    <w:rsid w:val="5B5408AE"/>
    <w:rsid w:val="5B5D268B"/>
    <w:rsid w:val="5B6854AA"/>
    <w:rsid w:val="5B695F30"/>
    <w:rsid w:val="5B6C3000"/>
    <w:rsid w:val="5B73097A"/>
    <w:rsid w:val="5B8B5616"/>
    <w:rsid w:val="5B923296"/>
    <w:rsid w:val="5B9F0763"/>
    <w:rsid w:val="5BAB5397"/>
    <w:rsid w:val="5BB97AB4"/>
    <w:rsid w:val="5BC329F6"/>
    <w:rsid w:val="5BCF72D8"/>
    <w:rsid w:val="5BD90156"/>
    <w:rsid w:val="5BDC32BD"/>
    <w:rsid w:val="5BE865EB"/>
    <w:rsid w:val="5BEC60DC"/>
    <w:rsid w:val="5C0B1FE3"/>
    <w:rsid w:val="5C0C22DA"/>
    <w:rsid w:val="5C0F2BFF"/>
    <w:rsid w:val="5C115B42"/>
    <w:rsid w:val="5C25339C"/>
    <w:rsid w:val="5C2F5FC8"/>
    <w:rsid w:val="5C3A6F3B"/>
    <w:rsid w:val="5C6A7000"/>
    <w:rsid w:val="5C70230F"/>
    <w:rsid w:val="5C734374"/>
    <w:rsid w:val="5C8A60EC"/>
    <w:rsid w:val="5CA96EF0"/>
    <w:rsid w:val="5CC91F79"/>
    <w:rsid w:val="5CD87EC6"/>
    <w:rsid w:val="5CE62B2B"/>
    <w:rsid w:val="5CF50FC0"/>
    <w:rsid w:val="5D1257AE"/>
    <w:rsid w:val="5D2418A5"/>
    <w:rsid w:val="5D3F048D"/>
    <w:rsid w:val="5D3F66DF"/>
    <w:rsid w:val="5D445AA3"/>
    <w:rsid w:val="5D810624"/>
    <w:rsid w:val="5DAD189A"/>
    <w:rsid w:val="5DC0558D"/>
    <w:rsid w:val="5DC57FBC"/>
    <w:rsid w:val="5DCB3ACF"/>
    <w:rsid w:val="5DDB01B6"/>
    <w:rsid w:val="5DE66B5A"/>
    <w:rsid w:val="5DE91340"/>
    <w:rsid w:val="5E02502F"/>
    <w:rsid w:val="5E04217E"/>
    <w:rsid w:val="5E176D14"/>
    <w:rsid w:val="5E2733FB"/>
    <w:rsid w:val="5E295D01"/>
    <w:rsid w:val="5E2D2E8B"/>
    <w:rsid w:val="5E3646CC"/>
    <w:rsid w:val="5E515B70"/>
    <w:rsid w:val="5E52548D"/>
    <w:rsid w:val="5E653F23"/>
    <w:rsid w:val="5E6C52B2"/>
    <w:rsid w:val="5E71501E"/>
    <w:rsid w:val="5E783C56"/>
    <w:rsid w:val="5E8029C8"/>
    <w:rsid w:val="5E9B16F3"/>
    <w:rsid w:val="5EC46E9C"/>
    <w:rsid w:val="5EC82C7F"/>
    <w:rsid w:val="5EC92704"/>
    <w:rsid w:val="5ECB647C"/>
    <w:rsid w:val="5ED014C1"/>
    <w:rsid w:val="5EF05EE3"/>
    <w:rsid w:val="5EF37781"/>
    <w:rsid w:val="5F061196"/>
    <w:rsid w:val="5F265461"/>
    <w:rsid w:val="5F2E0448"/>
    <w:rsid w:val="5F426012"/>
    <w:rsid w:val="5F4678B1"/>
    <w:rsid w:val="5F5226F9"/>
    <w:rsid w:val="5F6758BD"/>
    <w:rsid w:val="5F906D7E"/>
    <w:rsid w:val="5F97635E"/>
    <w:rsid w:val="5FAF1470"/>
    <w:rsid w:val="5FB01277"/>
    <w:rsid w:val="5FBC5DC5"/>
    <w:rsid w:val="5FEA3A59"/>
    <w:rsid w:val="5FF17497"/>
    <w:rsid w:val="5FF23595"/>
    <w:rsid w:val="5FFF71C4"/>
    <w:rsid w:val="6022014B"/>
    <w:rsid w:val="6025526A"/>
    <w:rsid w:val="602A0F80"/>
    <w:rsid w:val="602F7D52"/>
    <w:rsid w:val="603040BD"/>
    <w:rsid w:val="603B5FAA"/>
    <w:rsid w:val="606276AD"/>
    <w:rsid w:val="606E3EE6"/>
    <w:rsid w:val="607C15BD"/>
    <w:rsid w:val="607E5A53"/>
    <w:rsid w:val="60874625"/>
    <w:rsid w:val="609076F3"/>
    <w:rsid w:val="60A24FBB"/>
    <w:rsid w:val="60AB546B"/>
    <w:rsid w:val="60B3541A"/>
    <w:rsid w:val="60B807A4"/>
    <w:rsid w:val="60BA0556"/>
    <w:rsid w:val="60BD3BA3"/>
    <w:rsid w:val="60C43183"/>
    <w:rsid w:val="60CA62C0"/>
    <w:rsid w:val="60CD08FF"/>
    <w:rsid w:val="60D62EB6"/>
    <w:rsid w:val="60E127A8"/>
    <w:rsid w:val="610619ED"/>
    <w:rsid w:val="610C3417"/>
    <w:rsid w:val="610D1F57"/>
    <w:rsid w:val="611539DF"/>
    <w:rsid w:val="611B712C"/>
    <w:rsid w:val="612F453E"/>
    <w:rsid w:val="61395C63"/>
    <w:rsid w:val="614610F4"/>
    <w:rsid w:val="61477910"/>
    <w:rsid w:val="61502C69"/>
    <w:rsid w:val="6153325C"/>
    <w:rsid w:val="61702784"/>
    <w:rsid w:val="61712C70"/>
    <w:rsid w:val="617E7C88"/>
    <w:rsid w:val="61826A36"/>
    <w:rsid w:val="618378A8"/>
    <w:rsid w:val="61A15272"/>
    <w:rsid w:val="61A95F09"/>
    <w:rsid w:val="61BC3E5A"/>
    <w:rsid w:val="61C243C9"/>
    <w:rsid w:val="61D81393"/>
    <w:rsid w:val="61E3588B"/>
    <w:rsid w:val="61ED04B8"/>
    <w:rsid w:val="62102F98"/>
    <w:rsid w:val="6227351C"/>
    <w:rsid w:val="62297D08"/>
    <w:rsid w:val="62610F56"/>
    <w:rsid w:val="627109AC"/>
    <w:rsid w:val="628255CF"/>
    <w:rsid w:val="6293061F"/>
    <w:rsid w:val="62B47227"/>
    <w:rsid w:val="62CA75F3"/>
    <w:rsid w:val="62EB7E3D"/>
    <w:rsid w:val="62F52A44"/>
    <w:rsid w:val="62F53AC8"/>
    <w:rsid w:val="62F81B26"/>
    <w:rsid w:val="631D4DCC"/>
    <w:rsid w:val="632B3B10"/>
    <w:rsid w:val="634C56B2"/>
    <w:rsid w:val="635A0D1C"/>
    <w:rsid w:val="6367429A"/>
    <w:rsid w:val="637F5A87"/>
    <w:rsid w:val="639E0012"/>
    <w:rsid w:val="63A07199"/>
    <w:rsid w:val="63A921DA"/>
    <w:rsid w:val="63B95DD5"/>
    <w:rsid w:val="63C17E4E"/>
    <w:rsid w:val="63CB65D6"/>
    <w:rsid w:val="63D538F9"/>
    <w:rsid w:val="63E83435"/>
    <w:rsid w:val="63F01D9B"/>
    <w:rsid w:val="63F56C5B"/>
    <w:rsid w:val="642122C3"/>
    <w:rsid w:val="64297466"/>
    <w:rsid w:val="64395C36"/>
    <w:rsid w:val="6457430E"/>
    <w:rsid w:val="646709F5"/>
    <w:rsid w:val="648B61A6"/>
    <w:rsid w:val="6492262F"/>
    <w:rsid w:val="64923598"/>
    <w:rsid w:val="64B471CA"/>
    <w:rsid w:val="64CA2D32"/>
    <w:rsid w:val="64E04304"/>
    <w:rsid w:val="64E32C5A"/>
    <w:rsid w:val="64E738E4"/>
    <w:rsid w:val="64FA0BB5"/>
    <w:rsid w:val="64FC6BF1"/>
    <w:rsid w:val="650E2C58"/>
    <w:rsid w:val="65110961"/>
    <w:rsid w:val="65113B24"/>
    <w:rsid w:val="65155EBB"/>
    <w:rsid w:val="65174882"/>
    <w:rsid w:val="65183AA3"/>
    <w:rsid w:val="6530528B"/>
    <w:rsid w:val="65362175"/>
    <w:rsid w:val="654462E5"/>
    <w:rsid w:val="654E3963"/>
    <w:rsid w:val="655A40B6"/>
    <w:rsid w:val="655D7702"/>
    <w:rsid w:val="65605444"/>
    <w:rsid w:val="656054DA"/>
    <w:rsid w:val="6582360D"/>
    <w:rsid w:val="6593581A"/>
    <w:rsid w:val="659A5E19"/>
    <w:rsid w:val="65B20839"/>
    <w:rsid w:val="65B74E52"/>
    <w:rsid w:val="65CB2462"/>
    <w:rsid w:val="65CE23AE"/>
    <w:rsid w:val="65D11E9E"/>
    <w:rsid w:val="65D14444"/>
    <w:rsid w:val="65D62E22"/>
    <w:rsid w:val="65DD6A95"/>
    <w:rsid w:val="65E60E74"/>
    <w:rsid w:val="65EC5638"/>
    <w:rsid w:val="65FF7DA7"/>
    <w:rsid w:val="66014531"/>
    <w:rsid w:val="660949F2"/>
    <w:rsid w:val="660C45AF"/>
    <w:rsid w:val="661070A1"/>
    <w:rsid w:val="66267799"/>
    <w:rsid w:val="662A1F26"/>
    <w:rsid w:val="662B5A52"/>
    <w:rsid w:val="66415276"/>
    <w:rsid w:val="664F07A9"/>
    <w:rsid w:val="66552ACF"/>
    <w:rsid w:val="665E7BD6"/>
    <w:rsid w:val="665F78C7"/>
    <w:rsid w:val="6664247F"/>
    <w:rsid w:val="66747021"/>
    <w:rsid w:val="668469F0"/>
    <w:rsid w:val="6696673B"/>
    <w:rsid w:val="66AA4BC9"/>
    <w:rsid w:val="66AD290B"/>
    <w:rsid w:val="66B01A27"/>
    <w:rsid w:val="66C2677C"/>
    <w:rsid w:val="66C44D83"/>
    <w:rsid w:val="66D165FA"/>
    <w:rsid w:val="66E3632D"/>
    <w:rsid w:val="66E96125"/>
    <w:rsid w:val="66F61BBC"/>
    <w:rsid w:val="66F67E0E"/>
    <w:rsid w:val="67070F51"/>
    <w:rsid w:val="670A38BA"/>
    <w:rsid w:val="671F625C"/>
    <w:rsid w:val="6727621A"/>
    <w:rsid w:val="6728494B"/>
    <w:rsid w:val="672E33A8"/>
    <w:rsid w:val="67384641"/>
    <w:rsid w:val="674212A6"/>
    <w:rsid w:val="6760797E"/>
    <w:rsid w:val="67674868"/>
    <w:rsid w:val="67680C07"/>
    <w:rsid w:val="676832A4"/>
    <w:rsid w:val="67723A7B"/>
    <w:rsid w:val="6773145F"/>
    <w:rsid w:val="67A91325"/>
    <w:rsid w:val="67A96C2F"/>
    <w:rsid w:val="67B7688E"/>
    <w:rsid w:val="67B850C4"/>
    <w:rsid w:val="67B92249"/>
    <w:rsid w:val="67BA07B7"/>
    <w:rsid w:val="67BB2C21"/>
    <w:rsid w:val="67BD3827"/>
    <w:rsid w:val="67D363A2"/>
    <w:rsid w:val="67E05F5E"/>
    <w:rsid w:val="67FC5491"/>
    <w:rsid w:val="68012F0F"/>
    <w:rsid w:val="680854BD"/>
    <w:rsid w:val="68115791"/>
    <w:rsid w:val="68150768"/>
    <w:rsid w:val="681F7E48"/>
    <w:rsid w:val="68466B73"/>
    <w:rsid w:val="68534CEB"/>
    <w:rsid w:val="685C3F9C"/>
    <w:rsid w:val="686C7A9F"/>
    <w:rsid w:val="68727968"/>
    <w:rsid w:val="687C65F6"/>
    <w:rsid w:val="688651C2"/>
    <w:rsid w:val="68891DE6"/>
    <w:rsid w:val="688B0A2A"/>
    <w:rsid w:val="68934217"/>
    <w:rsid w:val="689F6284"/>
    <w:rsid w:val="68BB7A9F"/>
    <w:rsid w:val="68D403C3"/>
    <w:rsid w:val="68E1064A"/>
    <w:rsid w:val="68F85BA3"/>
    <w:rsid w:val="69006D22"/>
    <w:rsid w:val="69061212"/>
    <w:rsid w:val="691F66E4"/>
    <w:rsid w:val="69256789"/>
    <w:rsid w:val="692A4B83"/>
    <w:rsid w:val="692F585A"/>
    <w:rsid w:val="69550672"/>
    <w:rsid w:val="695847ED"/>
    <w:rsid w:val="695E1C9B"/>
    <w:rsid w:val="6962427C"/>
    <w:rsid w:val="696465F8"/>
    <w:rsid w:val="698536CB"/>
    <w:rsid w:val="698A0CE2"/>
    <w:rsid w:val="6990680F"/>
    <w:rsid w:val="69AD49F8"/>
    <w:rsid w:val="69B46627"/>
    <w:rsid w:val="69D01015"/>
    <w:rsid w:val="69D05CA8"/>
    <w:rsid w:val="69D46D24"/>
    <w:rsid w:val="69D8733F"/>
    <w:rsid w:val="69DA1BE5"/>
    <w:rsid w:val="69E905A0"/>
    <w:rsid w:val="69E96915"/>
    <w:rsid w:val="69FF347E"/>
    <w:rsid w:val="6A0678F8"/>
    <w:rsid w:val="6A0942FC"/>
    <w:rsid w:val="6A2230B3"/>
    <w:rsid w:val="6A285053"/>
    <w:rsid w:val="6A332977"/>
    <w:rsid w:val="6A366774"/>
    <w:rsid w:val="6A386990"/>
    <w:rsid w:val="6A4946F9"/>
    <w:rsid w:val="6A4E61B3"/>
    <w:rsid w:val="6A6B3750"/>
    <w:rsid w:val="6A6D4835"/>
    <w:rsid w:val="6A9F046D"/>
    <w:rsid w:val="6ABE50E7"/>
    <w:rsid w:val="6ABE5291"/>
    <w:rsid w:val="6AC31EDA"/>
    <w:rsid w:val="6AD579E4"/>
    <w:rsid w:val="6ADE6B73"/>
    <w:rsid w:val="6AE52674"/>
    <w:rsid w:val="6AF01018"/>
    <w:rsid w:val="6AF11D33"/>
    <w:rsid w:val="6AFC176B"/>
    <w:rsid w:val="6B006970"/>
    <w:rsid w:val="6B016D82"/>
    <w:rsid w:val="6B092CA3"/>
    <w:rsid w:val="6B1C1E0E"/>
    <w:rsid w:val="6B1E13EE"/>
    <w:rsid w:val="6B23319C"/>
    <w:rsid w:val="6B2A62D8"/>
    <w:rsid w:val="6B2E558C"/>
    <w:rsid w:val="6B41544C"/>
    <w:rsid w:val="6B4277A8"/>
    <w:rsid w:val="6B4B624F"/>
    <w:rsid w:val="6B7E6624"/>
    <w:rsid w:val="6B8237AB"/>
    <w:rsid w:val="6BA271FB"/>
    <w:rsid w:val="6BA4362E"/>
    <w:rsid w:val="6BA804F1"/>
    <w:rsid w:val="6BA96008"/>
    <w:rsid w:val="6BAB4527"/>
    <w:rsid w:val="6BCF0C2E"/>
    <w:rsid w:val="6BD91EF0"/>
    <w:rsid w:val="6BFE20FA"/>
    <w:rsid w:val="6C0F0B2F"/>
    <w:rsid w:val="6C237348"/>
    <w:rsid w:val="6C264CF2"/>
    <w:rsid w:val="6C286863"/>
    <w:rsid w:val="6C332D06"/>
    <w:rsid w:val="6C3618AD"/>
    <w:rsid w:val="6C3F5DB4"/>
    <w:rsid w:val="6C4F762D"/>
    <w:rsid w:val="6C593562"/>
    <w:rsid w:val="6C612E60"/>
    <w:rsid w:val="6C6D7FA7"/>
    <w:rsid w:val="6C7A4CD0"/>
    <w:rsid w:val="6C7F30D3"/>
    <w:rsid w:val="6C833EFD"/>
    <w:rsid w:val="6C856BF4"/>
    <w:rsid w:val="6C8F723F"/>
    <w:rsid w:val="6C9F1A9B"/>
    <w:rsid w:val="6CA4213A"/>
    <w:rsid w:val="6CA8143B"/>
    <w:rsid w:val="6CBD4F2A"/>
    <w:rsid w:val="6CC938CF"/>
    <w:rsid w:val="6CCD4BDE"/>
    <w:rsid w:val="6CDB1F80"/>
    <w:rsid w:val="6CDB7A32"/>
    <w:rsid w:val="6CDC3982"/>
    <w:rsid w:val="6D0B213A"/>
    <w:rsid w:val="6D1E0870"/>
    <w:rsid w:val="6D1F1741"/>
    <w:rsid w:val="6D374CDD"/>
    <w:rsid w:val="6D437B25"/>
    <w:rsid w:val="6D45564C"/>
    <w:rsid w:val="6D463172"/>
    <w:rsid w:val="6D5C4743"/>
    <w:rsid w:val="6D6A50B2"/>
    <w:rsid w:val="6D6F26C8"/>
    <w:rsid w:val="6D806684"/>
    <w:rsid w:val="6D9157CC"/>
    <w:rsid w:val="6DA22A9E"/>
    <w:rsid w:val="6DA265FA"/>
    <w:rsid w:val="6DA85BDA"/>
    <w:rsid w:val="6DEF55B7"/>
    <w:rsid w:val="6E056B89"/>
    <w:rsid w:val="6E110844"/>
    <w:rsid w:val="6E1A0886"/>
    <w:rsid w:val="6E344C48"/>
    <w:rsid w:val="6E3F7222"/>
    <w:rsid w:val="6E6C4E5A"/>
    <w:rsid w:val="6E713C0D"/>
    <w:rsid w:val="6E9F0D8B"/>
    <w:rsid w:val="6EA12D56"/>
    <w:rsid w:val="6EA93EFA"/>
    <w:rsid w:val="6EC66318"/>
    <w:rsid w:val="6EE45E80"/>
    <w:rsid w:val="6EFF7A7C"/>
    <w:rsid w:val="6F143527"/>
    <w:rsid w:val="6F1D78C7"/>
    <w:rsid w:val="6F305E87"/>
    <w:rsid w:val="6F410095"/>
    <w:rsid w:val="6F433E0D"/>
    <w:rsid w:val="6F441D12"/>
    <w:rsid w:val="6F653D83"/>
    <w:rsid w:val="6F6B6EC0"/>
    <w:rsid w:val="6F7C731F"/>
    <w:rsid w:val="6F946933"/>
    <w:rsid w:val="6F9957DB"/>
    <w:rsid w:val="6FB50862"/>
    <w:rsid w:val="6FBC5841"/>
    <w:rsid w:val="6FC62348"/>
    <w:rsid w:val="6FC96806"/>
    <w:rsid w:val="6FD3454E"/>
    <w:rsid w:val="6FED3D79"/>
    <w:rsid w:val="6FF13869"/>
    <w:rsid w:val="6FF15BC1"/>
    <w:rsid w:val="70055979"/>
    <w:rsid w:val="700C06A3"/>
    <w:rsid w:val="70191A43"/>
    <w:rsid w:val="701D200D"/>
    <w:rsid w:val="70294DB1"/>
    <w:rsid w:val="703A3509"/>
    <w:rsid w:val="703E149E"/>
    <w:rsid w:val="7047792D"/>
    <w:rsid w:val="704F233D"/>
    <w:rsid w:val="705838E8"/>
    <w:rsid w:val="705D1564"/>
    <w:rsid w:val="70704E55"/>
    <w:rsid w:val="70871AD7"/>
    <w:rsid w:val="708C17E3"/>
    <w:rsid w:val="70930D7D"/>
    <w:rsid w:val="70A22DB5"/>
    <w:rsid w:val="70BF5715"/>
    <w:rsid w:val="70C92A85"/>
    <w:rsid w:val="70CE3BAA"/>
    <w:rsid w:val="70D45302"/>
    <w:rsid w:val="70E064F2"/>
    <w:rsid w:val="70E31A1D"/>
    <w:rsid w:val="70E879C2"/>
    <w:rsid w:val="70F6250B"/>
    <w:rsid w:val="70FF76A4"/>
    <w:rsid w:val="71123060"/>
    <w:rsid w:val="71184A88"/>
    <w:rsid w:val="7120118F"/>
    <w:rsid w:val="712437CA"/>
    <w:rsid w:val="712D5AE4"/>
    <w:rsid w:val="71353C29"/>
    <w:rsid w:val="713A123F"/>
    <w:rsid w:val="713F6065"/>
    <w:rsid w:val="714D0D63"/>
    <w:rsid w:val="71651051"/>
    <w:rsid w:val="71722787"/>
    <w:rsid w:val="718A7AD1"/>
    <w:rsid w:val="71957A74"/>
    <w:rsid w:val="71A010A2"/>
    <w:rsid w:val="71A30B93"/>
    <w:rsid w:val="71A60683"/>
    <w:rsid w:val="71AF56C7"/>
    <w:rsid w:val="71B62E1A"/>
    <w:rsid w:val="71B96AC3"/>
    <w:rsid w:val="71BB0014"/>
    <w:rsid w:val="71C548F5"/>
    <w:rsid w:val="71CD20B4"/>
    <w:rsid w:val="71E9108D"/>
    <w:rsid w:val="71E91B9B"/>
    <w:rsid w:val="72037883"/>
    <w:rsid w:val="72176967"/>
    <w:rsid w:val="721C56AB"/>
    <w:rsid w:val="72251164"/>
    <w:rsid w:val="722F0678"/>
    <w:rsid w:val="72380D67"/>
    <w:rsid w:val="72391ED2"/>
    <w:rsid w:val="72605D30"/>
    <w:rsid w:val="72621DA4"/>
    <w:rsid w:val="729329B5"/>
    <w:rsid w:val="7298621E"/>
    <w:rsid w:val="72987FCC"/>
    <w:rsid w:val="72A050D2"/>
    <w:rsid w:val="72A40A22"/>
    <w:rsid w:val="72A82B27"/>
    <w:rsid w:val="72B563D7"/>
    <w:rsid w:val="72C4788F"/>
    <w:rsid w:val="72C9287B"/>
    <w:rsid w:val="72CF7CED"/>
    <w:rsid w:val="72EB0A43"/>
    <w:rsid w:val="72EC0317"/>
    <w:rsid w:val="73064720"/>
    <w:rsid w:val="730B517F"/>
    <w:rsid w:val="73221F8B"/>
    <w:rsid w:val="73365497"/>
    <w:rsid w:val="7343340A"/>
    <w:rsid w:val="73494A46"/>
    <w:rsid w:val="734A1A0D"/>
    <w:rsid w:val="73504D4A"/>
    <w:rsid w:val="735A004C"/>
    <w:rsid w:val="73727D47"/>
    <w:rsid w:val="737603F7"/>
    <w:rsid w:val="73781E3B"/>
    <w:rsid w:val="737C169B"/>
    <w:rsid w:val="738D1FE6"/>
    <w:rsid w:val="73A6496A"/>
    <w:rsid w:val="73A66718"/>
    <w:rsid w:val="73AD3445"/>
    <w:rsid w:val="73AF7CC3"/>
    <w:rsid w:val="73B2330F"/>
    <w:rsid w:val="73B928EF"/>
    <w:rsid w:val="73C104B5"/>
    <w:rsid w:val="73D019E7"/>
    <w:rsid w:val="73D239B1"/>
    <w:rsid w:val="73D6524F"/>
    <w:rsid w:val="73E57241"/>
    <w:rsid w:val="73F04807"/>
    <w:rsid w:val="73F90F3E"/>
    <w:rsid w:val="73FE47A6"/>
    <w:rsid w:val="73FE7350"/>
    <w:rsid w:val="740427BD"/>
    <w:rsid w:val="74055B35"/>
    <w:rsid w:val="740A6CA7"/>
    <w:rsid w:val="740C6EC3"/>
    <w:rsid w:val="7412073B"/>
    <w:rsid w:val="74143C2D"/>
    <w:rsid w:val="741B1C7B"/>
    <w:rsid w:val="74251D33"/>
    <w:rsid w:val="74257F85"/>
    <w:rsid w:val="74284C0D"/>
    <w:rsid w:val="74365CEE"/>
    <w:rsid w:val="74432A1F"/>
    <w:rsid w:val="745A5E80"/>
    <w:rsid w:val="746857E8"/>
    <w:rsid w:val="748A428C"/>
    <w:rsid w:val="749C427F"/>
    <w:rsid w:val="74A94712"/>
    <w:rsid w:val="74AE053B"/>
    <w:rsid w:val="74C4606C"/>
    <w:rsid w:val="74EB2E29"/>
    <w:rsid w:val="74F837F7"/>
    <w:rsid w:val="751A358B"/>
    <w:rsid w:val="75243D99"/>
    <w:rsid w:val="75357D54"/>
    <w:rsid w:val="7538135D"/>
    <w:rsid w:val="75695C4F"/>
    <w:rsid w:val="75773924"/>
    <w:rsid w:val="75845D21"/>
    <w:rsid w:val="75A47591"/>
    <w:rsid w:val="75B64E48"/>
    <w:rsid w:val="75D57D49"/>
    <w:rsid w:val="75D94B83"/>
    <w:rsid w:val="75DE663D"/>
    <w:rsid w:val="75E579CC"/>
    <w:rsid w:val="75F47C0F"/>
    <w:rsid w:val="760140DA"/>
    <w:rsid w:val="760672C4"/>
    <w:rsid w:val="76125D2B"/>
    <w:rsid w:val="761C1A73"/>
    <w:rsid w:val="761F483F"/>
    <w:rsid w:val="763760D4"/>
    <w:rsid w:val="763F1768"/>
    <w:rsid w:val="76585C3A"/>
    <w:rsid w:val="76607052"/>
    <w:rsid w:val="76982C90"/>
    <w:rsid w:val="76984A3E"/>
    <w:rsid w:val="76B31878"/>
    <w:rsid w:val="76C61E2D"/>
    <w:rsid w:val="76E77774"/>
    <w:rsid w:val="76EF27A5"/>
    <w:rsid w:val="76EF3F7C"/>
    <w:rsid w:val="76F01D2C"/>
    <w:rsid w:val="76F65C09"/>
    <w:rsid w:val="77035204"/>
    <w:rsid w:val="770664D6"/>
    <w:rsid w:val="77123106"/>
    <w:rsid w:val="771A56D8"/>
    <w:rsid w:val="772618AB"/>
    <w:rsid w:val="77361C9C"/>
    <w:rsid w:val="776963DA"/>
    <w:rsid w:val="776C165E"/>
    <w:rsid w:val="77721AB3"/>
    <w:rsid w:val="777F79AC"/>
    <w:rsid w:val="77A14E0E"/>
    <w:rsid w:val="77DC6625"/>
    <w:rsid w:val="77E67A2B"/>
    <w:rsid w:val="77FF15D9"/>
    <w:rsid w:val="78166CD2"/>
    <w:rsid w:val="782A7918"/>
    <w:rsid w:val="783C193B"/>
    <w:rsid w:val="78414C61"/>
    <w:rsid w:val="78472812"/>
    <w:rsid w:val="784C3D32"/>
    <w:rsid w:val="78511348"/>
    <w:rsid w:val="78597C58"/>
    <w:rsid w:val="787A6483"/>
    <w:rsid w:val="78A27E89"/>
    <w:rsid w:val="78AF2513"/>
    <w:rsid w:val="78AF42C1"/>
    <w:rsid w:val="78BC2BA1"/>
    <w:rsid w:val="78CC3CF7"/>
    <w:rsid w:val="78D0391E"/>
    <w:rsid w:val="78DD498A"/>
    <w:rsid w:val="792E5383"/>
    <w:rsid w:val="79305402"/>
    <w:rsid w:val="796E6CDB"/>
    <w:rsid w:val="797177C8"/>
    <w:rsid w:val="797D7D91"/>
    <w:rsid w:val="799C4845"/>
    <w:rsid w:val="79CB17D1"/>
    <w:rsid w:val="79DA35C0"/>
    <w:rsid w:val="79F93A46"/>
    <w:rsid w:val="7A0C6E22"/>
    <w:rsid w:val="7A1F7224"/>
    <w:rsid w:val="7A301431"/>
    <w:rsid w:val="7A314595"/>
    <w:rsid w:val="7A3F4800"/>
    <w:rsid w:val="7A445EF2"/>
    <w:rsid w:val="7A5B48C2"/>
    <w:rsid w:val="7A6115EB"/>
    <w:rsid w:val="7A8A00FA"/>
    <w:rsid w:val="7A965738"/>
    <w:rsid w:val="7AA330BC"/>
    <w:rsid w:val="7AAD4830"/>
    <w:rsid w:val="7AB64DB6"/>
    <w:rsid w:val="7ADF6001"/>
    <w:rsid w:val="7AE364A4"/>
    <w:rsid w:val="7B166879"/>
    <w:rsid w:val="7B1E41A1"/>
    <w:rsid w:val="7B1F7752"/>
    <w:rsid w:val="7B450F0D"/>
    <w:rsid w:val="7B454A69"/>
    <w:rsid w:val="7B476A33"/>
    <w:rsid w:val="7B494B47"/>
    <w:rsid w:val="7B4D150D"/>
    <w:rsid w:val="7B546A35"/>
    <w:rsid w:val="7B5B24DE"/>
    <w:rsid w:val="7B783090"/>
    <w:rsid w:val="7B8726D4"/>
    <w:rsid w:val="7BAB6A0B"/>
    <w:rsid w:val="7BB3231A"/>
    <w:rsid w:val="7BBD4F47"/>
    <w:rsid w:val="7BBE5231"/>
    <w:rsid w:val="7BDD6595"/>
    <w:rsid w:val="7BEB03D0"/>
    <w:rsid w:val="7C136915"/>
    <w:rsid w:val="7C240970"/>
    <w:rsid w:val="7C26515D"/>
    <w:rsid w:val="7C5A2796"/>
    <w:rsid w:val="7C5B021D"/>
    <w:rsid w:val="7C6715D0"/>
    <w:rsid w:val="7C824F1B"/>
    <w:rsid w:val="7C8D4919"/>
    <w:rsid w:val="7C984327"/>
    <w:rsid w:val="7CAA54CB"/>
    <w:rsid w:val="7CAD4FBB"/>
    <w:rsid w:val="7CB26E8E"/>
    <w:rsid w:val="7CB50FA6"/>
    <w:rsid w:val="7CB73744"/>
    <w:rsid w:val="7CC77E2B"/>
    <w:rsid w:val="7CD503BE"/>
    <w:rsid w:val="7CD662C0"/>
    <w:rsid w:val="7CD82038"/>
    <w:rsid w:val="7CD824D6"/>
    <w:rsid w:val="7CE57A91"/>
    <w:rsid w:val="7CFA3A06"/>
    <w:rsid w:val="7CFF28E9"/>
    <w:rsid w:val="7D024993"/>
    <w:rsid w:val="7D025F86"/>
    <w:rsid w:val="7D06587C"/>
    <w:rsid w:val="7D100919"/>
    <w:rsid w:val="7D276B1C"/>
    <w:rsid w:val="7D2C5EE0"/>
    <w:rsid w:val="7D384885"/>
    <w:rsid w:val="7D3A5A57"/>
    <w:rsid w:val="7D425704"/>
    <w:rsid w:val="7D5E0064"/>
    <w:rsid w:val="7D6C09D3"/>
    <w:rsid w:val="7D7B29C4"/>
    <w:rsid w:val="7D8723E1"/>
    <w:rsid w:val="7D8E0949"/>
    <w:rsid w:val="7DB859C6"/>
    <w:rsid w:val="7DD345AE"/>
    <w:rsid w:val="7DDC0FE0"/>
    <w:rsid w:val="7DFA791B"/>
    <w:rsid w:val="7E112774"/>
    <w:rsid w:val="7E1365B7"/>
    <w:rsid w:val="7E325778"/>
    <w:rsid w:val="7E3A64BA"/>
    <w:rsid w:val="7E4A7988"/>
    <w:rsid w:val="7E4E1E86"/>
    <w:rsid w:val="7E5A4CCF"/>
    <w:rsid w:val="7E5B18C5"/>
    <w:rsid w:val="7E6F0DE8"/>
    <w:rsid w:val="7E874AA6"/>
    <w:rsid w:val="7E8B6422"/>
    <w:rsid w:val="7EA85A3A"/>
    <w:rsid w:val="7EB47E7A"/>
    <w:rsid w:val="7EBA4A64"/>
    <w:rsid w:val="7EC34622"/>
    <w:rsid w:val="7EC4740D"/>
    <w:rsid w:val="7EC93702"/>
    <w:rsid w:val="7ECD54A1"/>
    <w:rsid w:val="7ECF2FC7"/>
    <w:rsid w:val="7EDE320A"/>
    <w:rsid w:val="7EE50A3C"/>
    <w:rsid w:val="7EE82A5E"/>
    <w:rsid w:val="7EFC5D86"/>
    <w:rsid w:val="7F0A06C2"/>
    <w:rsid w:val="7F0E3DA3"/>
    <w:rsid w:val="7F1A2E56"/>
    <w:rsid w:val="7F1B26B0"/>
    <w:rsid w:val="7F1C3D32"/>
    <w:rsid w:val="7F361298"/>
    <w:rsid w:val="7F435763"/>
    <w:rsid w:val="7F5C05D3"/>
    <w:rsid w:val="7F6A7194"/>
    <w:rsid w:val="7F6C5A72"/>
    <w:rsid w:val="7F71407E"/>
    <w:rsid w:val="7F9B10FB"/>
    <w:rsid w:val="7F9E2999"/>
    <w:rsid w:val="7F9E7077"/>
    <w:rsid w:val="7FA97CBC"/>
    <w:rsid w:val="7FD3693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4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pPr>
    <w:rPr>
      <w:rFonts w:ascii="宋体" w:hAnsi="宋体" w:cs="宋体"/>
      <w:szCs w:val="20"/>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annotation text"/>
    <w:basedOn w:val="1"/>
    <w:qFormat/>
    <w:uiPriority w:val="0"/>
    <w:pPr>
      <w:jc w:val="left"/>
    </w:pPr>
  </w:style>
  <w:style w:type="paragraph" w:styleId="9">
    <w:name w:val="Body Text"/>
    <w:basedOn w:val="1"/>
    <w:semiHidden/>
    <w:qFormat/>
    <w:uiPriority w:val="0"/>
    <w:rPr>
      <w:rFonts w:ascii="宋体" w:hAnsi="宋体" w:eastAsia="宋体" w:cs="宋体"/>
      <w:sz w:val="28"/>
      <w:szCs w:val="28"/>
      <w:lang w:val="en-US" w:eastAsia="en-US" w:bidi="ar-SA"/>
    </w:rPr>
  </w:style>
  <w:style w:type="paragraph" w:styleId="10">
    <w:name w:val="Body Text Indent"/>
    <w:basedOn w:val="1"/>
    <w:qFormat/>
    <w:uiPriority w:val="0"/>
    <w:pPr>
      <w:spacing w:line="360" w:lineRule="auto"/>
      <w:ind w:firstLine="570"/>
    </w:pPr>
    <w:rPr>
      <w:sz w:val="24"/>
    </w:rPr>
  </w:style>
  <w:style w:type="paragraph" w:styleId="11">
    <w:name w:val="Plain Text"/>
    <w:basedOn w:val="1"/>
    <w:next w:val="6"/>
    <w:qFormat/>
    <w:uiPriority w:val="0"/>
    <w:rPr>
      <w:rFonts w:ascii="宋体" w:hAnsi="Courier New"/>
      <w:szCs w:val="20"/>
    </w:rPr>
  </w:style>
  <w:style w:type="paragraph" w:styleId="12">
    <w:name w:val="Body Text Indent 2"/>
    <w:basedOn w:val="1"/>
    <w:qFormat/>
    <w:uiPriority w:val="0"/>
    <w:pPr>
      <w:ind w:firstLine="480" w:firstLineChars="200"/>
    </w:pPr>
    <w:rPr>
      <w:rFonts w:ascii="仿宋_GB2312" w:hAnsi="Times New Roman" w:eastAsia="仿宋_GB2312" w:cs="Times New Roman"/>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footnote text"/>
    <w:basedOn w:val="1"/>
    <w:next w:val="9"/>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7">
    <w:name w:val="Body Text 2"/>
    <w:basedOn w:val="1"/>
    <w:qFormat/>
    <w:uiPriority w:val="0"/>
    <w:pPr>
      <w:adjustRightInd w:val="0"/>
      <w:snapToGrid w:val="0"/>
      <w:spacing w:line="480" w:lineRule="atLeast"/>
    </w:pPr>
    <w:rPr>
      <w:rFonts w:ascii="宋体" w:hAnsi="宋体"/>
      <w:sz w:val="28"/>
    </w:rPr>
  </w:style>
  <w:style w:type="paragraph" w:styleId="18">
    <w:name w:val="Normal (Web)"/>
    <w:basedOn w:val="1"/>
    <w:qFormat/>
    <w:uiPriority w:val="99"/>
    <w:rPr>
      <w:sz w:val="24"/>
      <w:szCs w:val="24"/>
    </w:rPr>
  </w:style>
  <w:style w:type="paragraph" w:styleId="19">
    <w:name w:val="Body Text First Indent"/>
    <w:basedOn w:val="9"/>
    <w:next w:val="1"/>
    <w:unhideWhenUsed/>
    <w:qFormat/>
    <w:uiPriority w:val="99"/>
    <w:pPr>
      <w:tabs>
        <w:tab w:val="left" w:pos="567"/>
      </w:tabs>
      <w:ind w:firstLine="420" w:firstLineChars="100"/>
    </w:pPr>
    <w:rPr>
      <w:rFonts w:ascii="Calibri" w:hAnsi="Calibri"/>
    </w:rPr>
  </w:style>
  <w:style w:type="paragraph" w:styleId="20">
    <w:name w:val="Body Text First Indent 2"/>
    <w:basedOn w:val="10"/>
    <w:next w:val="1"/>
    <w:qFormat/>
    <w:uiPriority w:val="0"/>
    <w:pPr>
      <w:ind w:firstLine="420" w:firstLineChars="200"/>
    </w:pPr>
    <w:rPr>
      <w:rFonts w:ascii="Times New Roman" w:hAnsi="Times New Roman" w:eastAsia="宋体"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99"/>
    <w:rPr>
      <w:color w:val="0000FF"/>
      <w:u w:val="single"/>
    </w:rPr>
  </w:style>
  <w:style w:type="character" w:styleId="26">
    <w:name w:val="HTML Sample"/>
    <w:basedOn w:val="23"/>
    <w:qFormat/>
    <w:uiPriority w:val="0"/>
    <w:rPr>
      <w:rFonts w:ascii="Courier New" w:hAnsi="Courier New"/>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Default"/>
    <w:next w:val="29"/>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9">
    <w:name w:val="大标题"/>
    <w:basedOn w:val="1"/>
    <w:next w:val="20"/>
    <w:qFormat/>
    <w:uiPriority w:val="0"/>
    <w:pPr>
      <w:jc w:val="center"/>
    </w:pPr>
    <w:rPr>
      <w:rFonts w:ascii="Arial" w:hAnsi="Arial" w:eastAsia="宋体"/>
      <w:b/>
      <w:sz w:val="28"/>
      <w:szCs w:val="24"/>
    </w:rPr>
  </w:style>
  <w:style w:type="paragraph" w:customStyle="1" w:styleId="30">
    <w:name w:val="Table Text"/>
    <w:basedOn w:val="1"/>
    <w:semiHidden/>
    <w:qFormat/>
    <w:uiPriority w:val="0"/>
    <w:rPr>
      <w:rFonts w:ascii="仿宋" w:hAnsi="仿宋" w:eastAsia="仿宋" w:cs="仿宋"/>
      <w:sz w:val="24"/>
      <w:szCs w:val="24"/>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font31"/>
    <w:basedOn w:val="23"/>
    <w:qFormat/>
    <w:uiPriority w:val="0"/>
    <w:rPr>
      <w:rFonts w:hint="eastAsia" w:ascii="宋体" w:hAnsi="宋体" w:eastAsia="宋体" w:cs="宋体"/>
      <w:color w:val="000000"/>
      <w:sz w:val="21"/>
      <w:szCs w:val="21"/>
      <w:u w:val="none"/>
    </w:rPr>
  </w:style>
  <w:style w:type="character" w:customStyle="1" w:styleId="33">
    <w:name w:val="font21"/>
    <w:basedOn w:val="23"/>
    <w:qFormat/>
    <w:uiPriority w:val="0"/>
    <w:rPr>
      <w:rFonts w:hint="default" w:ascii="Calibri" w:hAnsi="Calibri" w:cs="Calibri"/>
      <w:color w:val="000000"/>
      <w:sz w:val="21"/>
      <w:szCs w:val="21"/>
      <w:u w:val="none"/>
    </w:rPr>
  </w:style>
  <w:style w:type="paragraph" w:customStyle="1" w:styleId="3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35">
    <w:name w:val="列出段落1"/>
    <w:basedOn w:val="1"/>
    <w:qFormat/>
    <w:uiPriority w:val="99"/>
    <w:pPr>
      <w:ind w:firstLine="420" w:firstLineChars="200"/>
    </w:pPr>
  </w:style>
  <w:style w:type="character" w:customStyle="1" w:styleId="36">
    <w:name w:val="font51"/>
    <w:basedOn w:val="23"/>
    <w:qFormat/>
    <w:uiPriority w:val="0"/>
    <w:rPr>
      <w:rFonts w:hint="eastAsia" w:ascii="宋体" w:hAnsi="宋体" w:eastAsia="宋体" w:cs="宋体"/>
      <w:b/>
      <w:bCs/>
      <w:color w:val="FF0000"/>
      <w:sz w:val="20"/>
      <w:szCs w:val="20"/>
      <w:u w:val="none"/>
    </w:rPr>
  </w:style>
  <w:style w:type="character" w:customStyle="1" w:styleId="37">
    <w:name w:val="font171"/>
    <w:basedOn w:val="23"/>
    <w:qFormat/>
    <w:uiPriority w:val="0"/>
    <w:rPr>
      <w:rFonts w:hint="eastAsia" w:ascii="宋体" w:hAnsi="宋体" w:eastAsia="宋体" w:cs="宋体"/>
      <w:color w:val="000000"/>
      <w:sz w:val="22"/>
      <w:szCs w:val="22"/>
      <w:u w:val="none"/>
    </w:rPr>
  </w:style>
  <w:style w:type="character" w:customStyle="1" w:styleId="38">
    <w:name w:val="font11"/>
    <w:basedOn w:val="23"/>
    <w:qFormat/>
    <w:uiPriority w:val="0"/>
    <w:rPr>
      <w:rFonts w:hint="eastAsia" w:ascii="微软雅黑" w:hAnsi="微软雅黑" w:eastAsia="微软雅黑" w:cs="微软雅黑"/>
      <w:color w:val="000000"/>
      <w:sz w:val="22"/>
      <w:szCs w:val="22"/>
      <w:u w:val="none"/>
    </w:rPr>
  </w:style>
  <w:style w:type="character" w:customStyle="1" w:styleId="39">
    <w:name w:val="font181"/>
    <w:basedOn w:val="23"/>
    <w:qFormat/>
    <w:uiPriority w:val="0"/>
    <w:rPr>
      <w:rFonts w:hint="eastAsia" w:ascii="宋体" w:hAnsi="宋体" w:eastAsia="宋体" w:cs="宋体"/>
      <w:color w:val="000000"/>
      <w:sz w:val="18"/>
      <w:szCs w:val="18"/>
      <w:u w:val="none"/>
    </w:rPr>
  </w:style>
  <w:style w:type="character" w:customStyle="1" w:styleId="40">
    <w:name w:val="font191"/>
    <w:basedOn w:val="23"/>
    <w:qFormat/>
    <w:uiPriority w:val="0"/>
    <w:rPr>
      <w:rFonts w:ascii="等线" w:hAnsi="等线" w:eastAsia="等线" w:cs="等线"/>
      <w:color w:val="000000"/>
      <w:sz w:val="22"/>
      <w:szCs w:val="22"/>
      <w:u w:val="none"/>
    </w:rPr>
  </w:style>
  <w:style w:type="paragraph" w:customStyle="1" w:styleId="41">
    <w:name w:val="K&amp;W Body text"/>
    <w:basedOn w:val="42"/>
    <w:qFormat/>
    <w:uiPriority w:val="0"/>
    <w:pPr>
      <w:ind w:firstLine="567"/>
    </w:pPr>
    <w:rPr>
      <w:color w:val="auto"/>
    </w:rPr>
  </w:style>
  <w:style w:type="paragraph" w:customStyle="1" w:styleId="42">
    <w:name w:val="K&amp;W Normal"/>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3">
    <w:name w:val="K&amp;W heading 2"/>
    <w:basedOn w:val="42"/>
    <w:qFormat/>
    <w:uiPriority w:val="0"/>
    <w:pPr>
      <w:widowControl w:val="0"/>
      <w:numPr>
        <w:ilvl w:val="1"/>
        <w:numId w:val="1"/>
      </w:numPr>
      <w:spacing w:line="320" w:lineRule="exact"/>
      <w:outlineLvl w:val="1"/>
    </w:pPr>
    <w:rPr>
      <w:rFonts w:cs="Times New Roman"/>
      <w:kern w:val="0"/>
      <w:szCs w:val="20"/>
    </w:rPr>
  </w:style>
  <w:style w:type="character" w:customStyle="1" w:styleId="44">
    <w:name w:val="标题 1 Char"/>
    <w:link w:val="3"/>
    <w:qFormat/>
    <w:uiPriority w:val="0"/>
    <w:rPr>
      <w:rFonts w:ascii="宋体"/>
      <w:b/>
      <w:kern w:val="44"/>
      <w:sz w:val="32"/>
      <w:szCs w:val="20"/>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3.png"/><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17570</Words>
  <Characters>18451</Characters>
  <Lines>0</Lines>
  <Paragraphs>0</Paragraphs>
  <TotalTime>1</TotalTime>
  <ScaleCrop>false</ScaleCrop>
  <LinksUpToDate>false</LinksUpToDate>
  <CharactersWithSpaces>20277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Administrator</cp:lastModifiedBy>
  <cp:lastPrinted>2025-07-04T06:16:00Z</cp:lastPrinted>
  <dcterms:modified xsi:type="dcterms:W3CDTF">2025-07-04T11:16:40Z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CBE40A1378DB4198A10F962CCCD9FC1F_13</vt:lpwstr>
  </property>
  <property fmtid="{D5CDD505-2E9C-101B-9397-08002B2CF9AE}" pid="4" name="KSOTemplateDocerSaveRecord">
    <vt:lpwstr>eyJoZGlkIjoiMGM5ZjUwNTRmMmVmODAzY2U5NjFhNGY0N2JhN2QxZDIiLCJ1c2VySWQiOiI0MjE2NDg4MjQifQ==</vt:lpwstr>
  </property>
</Properties>
</file>